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168E" w14:textId="5E4A349A" w:rsidR="009260DE" w:rsidRPr="00296606" w:rsidRDefault="0021526C" w:rsidP="00296606">
      <w:pPr>
        <w:rPr>
          <w:b/>
          <w:sz w:val="24"/>
          <w:szCs w:val="24"/>
        </w:rPr>
      </w:pPr>
      <w:bookmarkStart w:id="0" w:name="_GoBack"/>
      <w:bookmarkEnd w:id="0"/>
      <w:r w:rsidRPr="00296606">
        <w:rPr>
          <w:noProof/>
          <w:sz w:val="24"/>
          <w:szCs w:val="24"/>
          <w:lang w:eastAsia="da-DK"/>
        </w:rPr>
        <w:drawing>
          <wp:anchor distT="0" distB="0" distL="114300" distR="114300" simplePos="0" relativeHeight="251658240" behindDoc="0" locked="0" layoutInCell="1" allowOverlap="1" wp14:anchorId="63D0464F" wp14:editId="48262F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96606">
        <w:rPr>
          <w:sz w:val="24"/>
          <w:szCs w:val="24"/>
        </w:rPr>
        <w:br w:type="textWrapping" w:clear="all"/>
      </w:r>
    </w:p>
    <w:p w14:paraId="291FDE13" w14:textId="23441B33" w:rsidR="003F3D07" w:rsidRPr="003F3D07" w:rsidRDefault="009260DE" w:rsidP="009260DE">
      <w:pPr>
        <w:pStyle w:val="Titel"/>
        <w:tabs>
          <w:tab w:val="right" w:pos="9356"/>
        </w:tabs>
        <w:jc w:val="left"/>
        <w:rPr>
          <w:szCs w:val="24"/>
        </w:rPr>
      </w:pPr>
      <w:r w:rsidRPr="00296606">
        <w:rPr>
          <w:b w:val="0"/>
          <w:szCs w:val="24"/>
          <w:lang w:eastAsia="en-US"/>
        </w:rPr>
        <w:tab/>
      </w:r>
      <w:r w:rsidR="002E0EA0">
        <w:rPr>
          <w:szCs w:val="24"/>
        </w:rPr>
        <w:t>19. marts 2024</w:t>
      </w:r>
    </w:p>
    <w:p w14:paraId="00EACFF6" w14:textId="4C5668E4" w:rsidR="006636D2" w:rsidRDefault="006636D2" w:rsidP="009260DE">
      <w:pPr>
        <w:pStyle w:val="Titel"/>
        <w:tabs>
          <w:tab w:val="left" w:pos="8222"/>
        </w:tabs>
        <w:jc w:val="left"/>
        <w:rPr>
          <w:b w:val="0"/>
          <w:szCs w:val="24"/>
        </w:rPr>
      </w:pPr>
    </w:p>
    <w:p w14:paraId="2A02C2C7" w14:textId="77777777" w:rsidR="0027090D" w:rsidRPr="00296606" w:rsidRDefault="0027090D" w:rsidP="009260DE">
      <w:pPr>
        <w:pStyle w:val="Titel"/>
        <w:tabs>
          <w:tab w:val="left" w:pos="8222"/>
        </w:tabs>
        <w:jc w:val="left"/>
        <w:rPr>
          <w:b w:val="0"/>
          <w:szCs w:val="24"/>
        </w:rPr>
      </w:pPr>
    </w:p>
    <w:p w14:paraId="55787775" w14:textId="77777777" w:rsidR="009260DE" w:rsidRPr="00296606" w:rsidRDefault="009260DE" w:rsidP="009260DE">
      <w:pPr>
        <w:jc w:val="center"/>
        <w:rPr>
          <w:b/>
          <w:sz w:val="24"/>
          <w:szCs w:val="24"/>
        </w:rPr>
      </w:pPr>
      <w:r w:rsidRPr="00296606">
        <w:rPr>
          <w:b/>
          <w:sz w:val="24"/>
          <w:szCs w:val="24"/>
        </w:rPr>
        <w:t>PRODUKTRESUMÉ</w:t>
      </w:r>
    </w:p>
    <w:p w14:paraId="098BB0C1" w14:textId="77777777" w:rsidR="009260DE" w:rsidRPr="00296606" w:rsidRDefault="009260DE" w:rsidP="009260DE">
      <w:pPr>
        <w:jc w:val="center"/>
        <w:rPr>
          <w:b/>
          <w:sz w:val="24"/>
          <w:szCs w:val="24"/>
        </w:rPr>
      </w:pPr>
    </w:p>
    <w:p w14:paraId="4F088925" w14:textId="77777777" w:rsidR="009260DE" w:rsidRPr="00296606" w:rsidRDefault="009260DE" w:rsidP="009260DE">
      <w:pPr>
        <w:jc w:val="center"/>
        <w:rPr>
          <w:b/>
          <w:sz w:val="24"/>
          <w:szCs w:val="24"/>
        </w:rPr>
      </w:pPr>
      <w:r w:rsidRPr="00296606">
        <w:rPr>
          <w:b/>
          <w:sz w:val="24"/>
          <w:szCs w:val="24"/>
        </w:rPr>
        <w:t>for</w:t>
      </w:r>
    </w:p>
    <w:p w14:paraId="158230A7" w14:textId="77777777" w:rsidR="000B058C" w:rsidRPr="00296606" w:rsidRDefault="000B058C" w:rsidP="009260DE">
      <w:pPr>
        <w:jc w:val="center"/>
        <w:rPr>
          <w:b/>
          <w:sz w:val="24"/>
          <w:szCs w:val="24"/>
        </w:rPr>
      </w:pPr>
    </w:p>
    <w:p w14:paraId="3E9132D6" w14:textId="4302570A" w:rsidR="009260DE" w:rsidRPr="00296606" w:rsidRDefault="00150C30" w:rsidP="009260DE">
      <w:pPr>
        <w:jc w:val="center"/>
        <w:rPr>
          <w:b/>
          <w:sz w:val="24"/>
          <w:szCs w:val="24"/>
        </w:rPr>
      </w:pPr>
      <w:proofErr w:type="spellStart"/>
      <w:r w:rsidRPr="00296606">
        <w:rPr>
          <w:b/>
          <w:sz w:val="24"/>
          <w:szCs w:val="24"/>
        </w:rPr>
        <w:t>Atgam</w:t>
      </w:r>
      <w:proofErr w:type="spellEnd"/>
      <w:r w:rsidRPr="00296606">
        <w:rPr>
          <w:b/>
          <w:sz w:val="24"/>
          <w:szCs w:val="24"/>
        </w:rPr>
        <w:t xml:space="preserve">, </w:t>
      </w:r>
      <w:r w:rsidR="00702CD3" w:rsidRPr="00296606">
        <w:rPr>
          <w:b/>
          <w:sz w:val="24"/>
          <w:szCs w:val="24"/>
        </w:rPr>
        <w:t>koncentrat til infusionsvæske, opløsning</w:t>
      </w:r>
    </w:p>
    <w:p w14:paraId="6358101C" w14:textId="11C522E2" w:rsidR="009260DE" w:rsidRPr="00296606" w:rsidRDefault="009260DE" w:rsidP="009260DE">
      <w:pPr>
        <w:jc w:val="both"/>
        <w:rPr>
          <w:sz w:val="24"/>
          <w:szCs w:val="24"/>
        </w:rPr>
      </w:pPr>
    </w:p>
    <w:p w14:paraId="538716B0" w14:textId="3ED6DFFF" w:rsidR="00F76F9D" w:rsidRPr="00296606" w:rsidRDefault="00F76F9D" w:rsidP="00F76F9D">
      <w:pPr>
        <w:tabs>
          <w:tab w:val="left" w:pos="1304"/>
        </w:tabs>
        <w:rPr>
          <w:sz w:val="24"/>
          <w:szCs w:val="24"/>
        </w:rPr>
      </w:pPr>
      <w:r w:rsidRPr="00296606">
        <w:rPr>
          <w:noProof/>
          <w:sz w:val="24"/>
          <w:szCs w:val="24"/>
        </w:rPr>
        <w:drawing>
          <wp:inline distT="0" distB="0" distL="0" distR="0" wp14:anchorId="1D4DFA46" wp14:editId="0A972B05">
            <wp:extent cx="212090" cy="168275"/>
            <wp:effectExtent l="0" t="0" r="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90" cy="168275"/>
                    </a:xfrm>
                    <a:prstGeom prst="rect">
                      <a:avLst/>
                    </a:prstGeom>
                    <a:noFill/>
                    <a:ln>
                      <a:noFill/>
                    </a:ln>
                  </pic:spPr>
                </pic:pic>
              </a:graphicData>
            </a:graphic>
          </wp:inline>
        </w:drawing>
      </w:r>
      <w:r w:rsidRPr="00296606">
        <w:rPr>
          <w:sz w:val="24"/>
          <w:szCs w:val="24"/>
        </w:rPr>
        <w:t>Dette lægemiddel er underlagt supplerende overvågning. Dermed kan nye sikkerheds</w:t>
      </w:r>
      <w:r w:rsidR="00181434">
        <w:rPr>
          <w:sz w:val="24"/>
          <w:szCs w:val="24"/>
        </w:rPr>
        <w:softHyphen/>
      </w:r>
      <w:r w:rsidRPr="00296606">
        <w:rPr>
          <w:sz w:val="24"/>
          <w:szCs w:val="24"/>
        </w:rPr>
        <w:t>oplysninger hurtigt tilvejebringes. Sundhedspersoner anmodes om at indberette alle formodede bivirkninger. Se i pkt. 4.8, hvordan bivirkninger indberettes.</w:t>
      </w:r>
    </w:p>
    <w:p w14:paraId="4DFA2E0A" w14:textId="77777777" w:rsidR="00F76F9D" w:rsidRPr="00296606" w:rsidRDefault="00F76F9D" w:rsidP="009260DE">
      <w:pPr>
        <w:jc w:val="both"/>
        <w:rPr>
          <w:sz w:val="24"/>
          <w:szCs w:val="24"/>
        </w:rPr>
      </w:pPr>
    </w:p>
    <w:p w14:paraId="446EF03E" w14:textId="77777777" w:rsidR="009260DE" w:rsidRPr="00296606" w:rsidRDefault="009260DE" w:rsidP="009260DE">
      <w:pPr>
        <w:jc w:val="both"/>
        <w:rPr>
          <w:sz w:val="24"/>
          <w:szCs w:val="24"/>
        </w:rPr>
      </w:pPr>
    </w:p>
    <w:p w14:paraId="6F034DD7" w14:textId="77777777" w:rsidR="009260DE" w:rsidRPr="00296606" w:rsidRDefault="009260DE" w:rsidP="009260DE">
      <w:pPr>
        <w:tabs>
          <w:tab w:val="left" w:pos="851"/>
        </w:tabs>
        <w:ind w:left="851" w:hanging="851"/>
        <w:rPr>
          <w:b/>
          <w:sz w:val="24"/>
          <w:szCs w:val="24"/>
        </w:rPr>
      </w:pPr>
      <w:r w:rsidRPr="00296606">
        <w:rPr>
          <w:b/>
          <w:sz w:val="24"/>
          <w:szCs w:val="24"/>
        </w:rPr>
        <w:t>0.</w:t>
      </w:r>
      <w:r w:rsidRPr="00296606">
        <w:rPr>
          <w:b/>
          <w:sz w:val="24"/>
          <w:szCs w:val="24"/>
        </w:rPr>
        <w:tab/>
        <w:t>D.SP.NR.</w:t>
      </w:r>
    </w:p>
    <w:p w14:paraId="6CCE30B5" w14:textId="750DEEE9" w:rsidR="009260DE" w:rsidRPr="00296606" w:rsidRDefault="00702CD3" w:rsidP="009260DE">
      <w:pPr>
        <w:tabs>
          <w:tab w:val="left" w:pos="851"/>
        </w:tabs>
        <w:ind w:left="851"/>
        <w:rPr>
          <w:sz w:val="24"/>
          <w:szCs w:val="24"/>
        </w:rPr>
      </w:pPr>
      <w:r w:rsidRPr="00296606">
        <w:rPr>
          <w:sz w:val="24"/>
          <w:szCs w:val="24"/>
        </w:rPr>
        <w:t>31959</w:t>
      </w:r>
    </w:p>
    <w:p w14:paraId="3D2F767B" w14:textId="77777777" w:rsidR="009260DE" w:rsidRPr="00296606" w:rsidRDefault="009260DE" w:rsidP="009260DE">
      <w:pPr>
        <w:tabs>
          <w:tab w:val="left" w:pos="851"/>
        </w:tabs>
        <w:ind w:left="851"/>
        <w:rPr>
          <w:sz w:val="24"/>
          <w:szCs w:val="24"/>
        </w:rPr>
      </w:pPr>
    </w:p>
    <w:p w14:paraId="60E127B8" w14:textId="77777777" w:rsidR="009260DE" w:rsidRPr="00296606" w:rsidRDefault="009260DE" w:rsidP="009260DE">
      <w:pPr>
        <w:tabs>
          <w:tab w:val="left" w:pos="851"/>
        </w:tabs>
        <w:ind w:left="851" w:hanging="851"/>
        <w:rPr>
          <w:b/>
          <w:sz w:val="24"/>
          <w:szCs w:val="24"/>
        </w:rPr>
      </w:pPr>
      <w:r w:rsidRPr="00296606">
        <w:rPr>
          <w:b/>
          <w:sz w:val="24"/>
          <w:szCs w:val="24"/>
        </w:rPr>
        <w:t>1.</w:t>
      </w:r>
      <w:r w:rsidRPr="00296606">
        <w:rPr>
          <w:b/>
          <w:sz w:val="24"/>
          <w:szCs w:val="24"/>
        </w:rPr>
        <w:tab/>
        <w:t>LÆGEMIDLETS NAVN</w:t>
      </w:r>
    </w:p>
    <w:p w14:paraId="38BDB248" w14:textId="7E0013D5" w:rsidR="009260DE" w:rsidRPr="00296606" w:rsidRDefault="00702CD3" w:rsidP="009260DE">
      <w:pPr>
        <w:tabs>
          <w:tab w:val="left" w:pos="851"/>
        </w:tabs>
        <w:ind w:left="851"/>
        <w:rPr>
          <w:sz w:val="24"/>
          <w:szCs w:val="24"/>
        </w:rPr>
      </w:pPr>
      <w:proofErr w:type="spellStart"/>
      <w:r w:rsidRPr="00296606">
        <w:rPr>
          <w:sz w:val="24"/>
          <w:szCs w:val="24"/>
        </w:rPr>
        <w:t>Atgam</w:t>
      </w:r>
      <w:proofErr w:type="spellEnd"/>
    </w:p>
    <w:p w14:paraId="606D5855" w14:textId="77777777" w:rsidR="009260DE" w:rsidRPr="00296606" w:rsidRDefault="009260DE" w:rsidP="009260DE">
      <w:pPr>
        <w:tabs>
          <w:tab w:val="left" w:pos="851"/>
        </w:tabs>
        <w:ind w:left="851"/>
        <w:rPr>
          <w:sz w:val="24"/>
          <w:szCs w:val="24"/>
        </w:rPr>
      </w:pPr>
    </w:p>
    <w:p w14:paraId="5DE2AF76" w14:textId="77777777" w:rsidR="009260DE" w:rsidRPr="00296606" w:rsidRDefault="009260DE" w:rsidP="009260DE">
      <w:pPr>
        <w:tabs>
          <w:tab w:val="left" w:pos="851"/>
        </w:tabs>
        <w:ind w:left="851" w:hanging="851"/>
        <w:rPr>
          <w:b/>
          <w:sz w:val="24"/>
          <w:szCs w:val="24"/>
        </w:rPr>
      </w:pPr>
      <w:r w:rsidRPr="00296606">
        <w:rPr>
          <w:b/>
          <w:sz w:val="24"/>
          <w:szCs w:val="24"/>
        </w:rPr>
        <w:t>2.</w:t>
      </w:r>
      <w:r w:rsidRPr="00296606">
        <w:rPr>
          <w:b/>
          <w:sz w:val="24"/>
          <w:szCs w:val="24"/>
        </w:rPr>
        <w:tab/>
        <w:t>KVALITATIV OG KVANTITATIV SAMMENSÆTNING</w:t>
      </w:r>
    </w:p>
    <w:p w14:paraId="5BAA0BE4" w14:textId="77777777" w:rsidR="00032351" w:rsidRPr="00296606" w:rsidRDefault="00032351" w:rsidP="008345F9">
      <w:pPr>
        <w:ind w:left="851"/>
        <w:rPr>
          <w:sz w:val="24"/>
          <w:szCs w:val="24"/>
        </w:rPr>
      </w:pPr>
      <w:r w:rsidRPr="00296606">
        <w:rPr>
          <w:sz w:val="24"/>
          <w:szCs w:val="24"/>
        </w:rPr>
        <w:t>En ml indeholder 50 mg Antihumant T-</w:t>
      </w:r>
      <w:proofErr w:type="spellStart"/>
      <w:r w:rsidRPr="00296606">
        <w:rPr>
          <w:sz w:val="24"/>
          <w:szCs w:val="24"/>
        </w:rPr>
        <w:t>lymphocytimmunoglobulin</w:t>
      </w:r>
      <w:proofErr w:type="spellEnd"/>
      <w:r w:rsidRPr="00296606">
        <w:rPr>
          <w:sz w:val="24"/>
          <w:szCs w:val="24"/>
        </w:rPr>
        <w:t xml:space="preserve"> (hest) (</w:t>
      </w:r>
      <w:proofErr w:type="spellStart"/>
      <w:r w:rsidRPr="00296606">
        <w:rPr>
          <w:sz w:val="24"/>
          <w:szCs w:val="24"/>
        </w:rPr>
        <w:t>ekvinATG</w:t>
      </w:r>
      <w:proofErr w:type="spellEnd"/>
      <w:r w:rsidRPr="00296606">
        <w:rPr>
          <w:sz w:val="24"/>
          <w:szCs w:val="24"/>
        </w:rPr>
        <w:t>).</w:t>
      </w:r>
    </w:p>
    <w:p w14:paraId="25971521" w14:textId="77777777" w:rsidR="00032351" w:rsidRPr="00296606" w:rsidRDefault="00032351" w:rsidP="008345F9">
      <w:pPr>
        <w:ind w:left="851"/>
        <w:rPr>
          <w:sz w:val="24"/>
          <w:szCs w:val="24"/>
        </w:rPr>
      </w:pPr>
      <w:r w:rsidRPr="00296606">
        <w:rPr>
          <w:sz w:val="24"/>
          <w:szCs w:val="24"/>
        </w:rPr>
        <w:t>Hver ampul på 5 ml indeholder 250 mg antihumant T-</w:t>
      </w:r>
      <w:proofErr w:type="spellStart"/>
      <w:r w:rsidRPr="00296606">
        <w:rPr>
          <w:sz w:val="24"/>
          <w:szCs w:val="24"/>
        </w:rPr>
        <w:t>lymfocytimmunoglobulin</w:t>
      </w:r>
      <w:proofErr w:type="spellEnd"/>
      <w:r w:rsidRPr="00296606">
        <w:rPr>
          <w:sz w:val="24"/>
          <w:szCs w:val="24"/>
        </w:rPr>
        <w:t xml:space="preserve"> (hest).</w:t>
      </w:r>
    </w:p>
    <w:p w14:paraId="30124AA9" w14:textId="77777777" w:rsidR="00032351" w:rsidRPr="00296606" w:rsidRDefault="00032351" w:rsidP="008345F9">
      <w:pPr>
        <w:ind w:left="851"/>
        <w:rPr>
          <w:noProof/>
          <w:sz w:val="24"/>
          <w:szCs w:val="24"/>
        </w:rPr>
      </w:pPr>
    </w:p>
    <w:p w14:paraId="48C70DA9" w14:textId="77777777" w:rsidR="00032351" w:rsidRPr="00296606" w:rsidRDefault="00032351" w:rsidP="008345F9">
      <w:pPr>
        <w:ind w:left="851"/>
        <w:rPr>
          <w:sz w:val="24"/>
          <w:szCs w:val="24"/>
        </w:rPr>
      </w:pPr>
      <w:r w:rsidRPr="00296606">
        <w:rPr>
          <w:sz w:val="24"/>
          <w:szCs w:val="24"/>
        </w:rPr>
        <w:t xml:space="preserve">Oprenset, koncentreret, sterilt </w:t>
      </w:r>
      <w:proofErr w:type="spellStart"/>
      <w:r w:rsidRPr="00296606">
        <w:rPr>
          <w:sz w:val="24"/>
          <w:szCs w:val="24"/>
        </w:rPr>
        <w:t>gammaglobulin</w:t>
      </w:r>
      <w:proofErr w:type="spellEnd"/>
      <w:r w:rsidRPr="00296606">
        <w:rPr>
          <w:sz w:val="24"/>
          <w:szCs w:val="24"/>
        </w:rPr>
        <w:t xml:space="preserve">, primært </w:t>
      </w:r>
      <w:proofErr w:type="spellStart"/>
      <w:r w:rsidRPr="00296606">
        <w:rPr>
          <w:sz w:val="24"/>
          <w:szCs w:val="24"/>
        </w:rPr>
        <w:t>monomerisk</w:t>
      </w:r>
      <w:proofErr w:type="spellEnd"/>
      <w:r w:rsidRPr="00296606">
        <w:rPr>
          <w:sz w:val="24"/>
          <w:szCs w:val="24"/>
        </w:rPr>
        <w:t xml:space="preserve"> </w:t>
      </w:r>
      <w:proofErr w:type="spellStart"/>
      <w:r w:rsidRPr="00296606">
        <w:rPr>
          <w:sz w:val="24"/>
          <w:szCs w:val="24"/>
        </w:rPr>
        <w:t>IgG</w:t>
      </w:r>
      <w:proofErr w:type="spellEnd"/>
      <w:r w:rsidRPr="00296606">
        <w:rPr>
          <w:sz w:val="24"/>
          <w:szCs w:val="24"/>
        </w:rPr>
        <w:t xml:space="preserve">, fra </w:t>
      </w:r>
      <w:proofErr w:type="spellStart"/>
      <w:r w:rsidRPr="00296606">
        <w:rPr>
          <w:sz w:val="24"/>
          <w:szCs w:val="24"/>
        </w:rPr>
        <w:t>hyperimmun</w:t>
      </w:r>
      <w:proofErr w:type="spellEnd"/>
      <w:r w:rsidRPr="00296606">
        <w:rPr>
          <w:sz w:val="24"/>
          <w:szCs w:val="24"/>
        </w:rPr>
        <w:t xml:space="preserve"> serum fra heste immuniseret med humane </w:t>
      </w:r>
      <w:proofErr w:type="spellStart"/>
      <w:r w:rsidRPr="00296606">
        <w:rPr>
          <w:sz w:val="24"/>
          <w:szCs w:val="24"/>
        </w:rPr>
        <w:t>thymuslymfocytter</w:t>
      </w:r>
      <w:proofErr w:type="spellEnd"/>
      <w:r w:rsidRPr="00296606">
        <w:rPr>
          <w:sz w:val="24"/>
          <w:szCs w:val="24"/>
        </w:rPr>
        <w:t>.</w:t>
      </w:r>
    </w:p>
    <w:p w14:paraId="1763E530" w14:textId="77777777" w:rsidR="00032351" w:rsidRPr="00296606" w:rsidRDefault="00032351" w:rsidP="008345F9">
      <w:pPr>
        <w:ind w:left="851"/>
        <w:rPr>
          <w:noProof/>
          <w:sz w:val="24"/>
          <w:szCs w:val="24"/>
        </w:rPr>
      </w:pPr>
    </w:p>
    <w:p w14:paraId="6E5C1F47" w14:textId="77777777" w:rsidR="00032351" w:rsidRPr="00296606" w:rsidRDefault="00032351" w:rsidP="008345F9">
      <w:pPr>
        <w:ind w:left="851"/>
        <w:rPr>
          <w:sz w:val="24"/>
          <w:szCs w:val="24"/>
        </w:rPr>
      </w:pPr>
      <w:r w:rsidRPr="00296606">
        <w:rPr>
          <w:sz w:val="24"/>
          <w:szCs w:val="24"/>
        </w:rPr>
        <w:t>Alle hjælpestoffer er anført under pkt. 6.1.</w:t>
      </w:r>
    </w:p>
    <w:p w14:paraId="218F3591" w14:textId="77777777" w:rsidR="009260DE" w:rsidRPr="00296606" w:rsidRDefault="009260DE" w:rsidP="009260DE">
      <w:pPr>
        <w:tabs>
          <w:tab w:val="left" w:pos="851"/>
        </w:tabs>
        <w:ind w:left="851"/>
        <w:rPr>
          <w:sz w:val="24"/>
          <w:szCs w:val="24"/>
        </w:rPr>
      </w:pPr>
    </w:p>
    <w:p w14:paraId="0E06ADCE" w14:textId="77777777" w:rsidR="009260DE" w:rsidRPr="00296606" w:rsidRDefault="009260DE" w:rsidP="009260DE">
      <w:pPr>
        <w:tabs>
          <w:tab w:val="left" w:pos="851"/>
        </w:tabs>
        <w:ind w:left="851" w:hanging="851"/>
        <w:rPr>
          <w:b/>
          <w:sz w:val="24"/>
          <w:szCs w:val="24"/>
        </w:rPr>
      </w:pPr>
      <w:r w:rsidRPr="00296606">
        <w:rPr>
          <w:b/>
          <w:sz w:val="24"/>
          <w:szCs w:val="24"/>
        </w:rPr>
        <w:t>3.</w:t>
      </w:r>
      <w:r w:rsidRPr="00296606">
        <w:rPr>
          <w:b/>
          <w:sz w:val="24"/>
          <w:szCs w:val="24"/>
        </w:rPr>
        <w:tab/>
        <w:t>LÆGEMIDDELFORM</w:t>
      </w:r>
    </w:p>
    <w:p w14:paraId="7BCB7D4D" w14:textId="545C00F8" w:rsidR="00032351" w:rsidRPr="00FB2EA3" w:rsidRDefault="00032351" w:rsidP="00FB2EA3">
      <w:pPr>
        <w:ind w:left="851"/>
        <w:rPr>
          <w:sz w:val="24"/>
          <w:szCs w:val="24"/>
        </w:rPr>
      </w:pPr>
      <w:r w:rsidRPr="00FB2EA3">
        <w:rPr>
          <w:sz w:val="24"/>
          <w:szCs w:val="24"/>
        </w:rPr>
        <w:t>Koncentrat til infusionsvæske, opløsning (sterilt koncentrat)</w:t>
      </w:r>
    </w:p>
    <w:p w14:paraId="4892F5B9" w14:textId="77777777" w:rsidR="00032351" w:rsidRPr="00FB2EA3" w:rsidRDefault="00032351" w:rsidP="00FB2EA3">
      <w:pPr>
        <w:ind w:left="851"/>
        <w:rPr>
          <w:color w:val="000000"/>
          <w:sz w:val="24"/>
          <w:szCs w:val="24"/>
        </w:rPr>
      </w:pPr>
    </w:p>
    <w:p w14:paraId="13DBA740" w14:textId="77777777" w:rsidR="001D5EE6" w:rsidRPr="00FB2EA3" w:rsidRDefault="001D5EE6" w:rsidP="001D5EE6">
      <w:pPr>
        <w:ind w:left="851"/>
        <w:rPr>
          <w:sz w:val="24"/>
          <w:szCs w:val="24"/>
        </w:rPr>
      </w:pPr>
      <w:r w:rsidRPr="00FB2EA3">
        <w:rPr>
          <w:sz w:val="24"/>
          <w:szCs w:val="24"/>
        </w:rPr>
        <w:t xml:space="preserve">Klar til let opaliserende, farveløs til lys pink eller lys brun steril vandig opløsning, som </w:t>
      </w:r>
      <w:r w:rsidRPr="00D200A2">
        <w:rPr>
          <w:szCs w:val="22"/>
        </w:rPr>
        <w:t xml:space="preserve">kan udvikle et let kornet eller </w:t>
      </w:r>
      <w:r>
        <w:rPr>
          <w:szCs w:val="22"/>
        </w:rPr>
        <w:t>flaget</w:t>
      </w:r>
      <w:r w:rsidRPr="00D200A2">
        <w:rPr>
          <w:szCs w:val="22"/>
        </w:rPr>
        <w:t xml:space="preserve"> bundfald</w:t>
      </w:r>
      <w:r>
        <w:rPr>
          <w:szCs w:val="22"/>
        </w:rPr>
        <w:t>.</w:t>
      </w:r>
      <w:r w:rsidRPr="00D200A2">
        <w:rPr>
          <w:szCs w:val="22"/>
        </w:rPr>
        <w:t xml:space="preserve"> </w:t>
      </w:r>
      <w:r>
        <w:rPr>
          <w:sz w:val="24"/>
          <w:szCs w:val="24"/>
        </w:rPr>
        <w:t>S</w:t>
      </w:r>
      <w:r w:rsidRPr="00FB2EA3">
        <w:rPr>
          <w:sz w:val="24"/>
          <w:szCs w:val="24"/>
        </w:rPr>
        <w:t>kal fortyndes inden administration.</w:t>
      </w:r>
    </w:p>
    <w:p w14:paraId="43ADA45C" w14:textId="77777777" w:rsidR="00032351" w:rsidRPr="00FB2EA3" w:rsidRDefault="00032351" w:rsidP="00FB2EA3">
      <w:pPr>
        <w:ind w:left="851"/>
        <w:rPr>
          <w:sz w:val="24"/>
          <w:szCs w:val="24"/>
        </w:rPr>
      </w:pPr>
    </w:p>
    <w:p w14:paraId="77873443" w14:textId="77777777" w:rsidR="00032351" w:rsidRPr="00FB2EA3" w:rsidRDefault="00032351" w:rsidP="00FB2EA3">
      <w:pPr>
        <w:ind w:left="851"/>
        <w:rPr>
          <w:sz w:val="24"/>
          <w:szCs w:val="24"/>
        </w:rPr>
      </w:pPr>
      <w:r w:rsidRPr="00FB2EA3">
        <w:rPr>
          <w:sz w:val="24"/>
          <w:szCs w:val="24"/>
        </w:rPr>
        <w:t xml:space="preserve">Opløsningens pH er mellem 6,4 og 7,2 og </w:t>
      </w:r>
      <w:proofErr w:type="spellStart"/>
      <w:r w:rsidRPr="00FB2EA3">
        <w:rPr>
          <w:sz w:val="24"/>
          <w:szCs w:val="24"/>
        </w:rPr>
        <w:t>osmolaliteten</w:t>
      </w:r>
      <w:proofErr w:type="spellEnd"/>
      <w:r w:rsidRPr="00FB2EA3">
        <w:rPr>
          <w:sz w:val="24"/>
          <w:szCs w:val="24"/>
        </w:rPr>
        <w:t xml:space="preserve"> er ≥ 240 </w:t>
      </w:r>
      <w:proofErr w:type="spellStart"/>
      <w:r w:rsidRPr="00FB2EA3">
        <w:rPr>
          <w:sz w:val="24"/>
          <w:szCs w:val="24"/>
        </w:rPr>
        <w:t>mOsm</w:t>
      </w:r>
      <w:proofErr w:type="spellEnd"/>
      <w:r w:rsidRPr="00FB2EA3">
        <w:rPr>
          <w:sz w:val="24"/>
          <w:szCs w:val="24"/>
        </w:rPr>
        <w:t>/kg.</w:t>
      </w:r>
    </w:p>
    <w:p w14:paraId="78896B76" w14:textId="77777777" w:rsidR="009260DE" w:rsidRPr="00296606" w:rsidRDefault="009260DE" w:rsidP="009260DE">
      <w:pPr>
        <w:tabs>
          <w:tab w:val="left" w:pos="851"/>
        </w:tabs>
        <w:ind w:left="851"/>
        <w:rPr>
          <w:sz w:val="24"/>
          <w:szCs w:val="24"/>
        </w:rPr>
      </w:pPr>
    </w:p>
    <w:p w14:paraId="4AEC7BB6" w14:textId="77777777" w:rsidR="009260DE" w:rsidRPr="00296606" w:rsidRDefault="009260DE" w:rsidP="009260DE">
      <w:pPr>
        <w:tabs>
          <w:tab w:val="left" w:pos="851"/>
        </w:tabs>
        <w:ind w:left="851"/>
        <w:rPr>
          <w:sz w:val="24"/>
          <w:szCs w:val="24"/>
        </w:rPr>
      </w:pPr>
    </w:p>
    <w:p w14:paraId="6D52DA0B" w14:textId="77777777" w:rsidR="009260DE" w:rsidRPr="00296606" w:rsidRDefault="009260DE" w:rsidP="009260DE">
      <w:pPr>
        <w:tabs>
          <w:tab w:val="left" w:pos="851"/>
        </w:tabs>
        <w:ind w:left="851" w:hanging="851"/>
        <w:rPr>
          <w:b/>
          <w:sz w:val="24"/>
          <w:szCs w:val="24"/>
        </w:rPr>
      </w:pPr>
      <w:r w:rsidRPr="00296606">
        <w:rPr>
          <w:b/>
          <w:sz w:val="24"/>
          <w:szCs w:val="24"/>
        </w:rPr>
        <w:t>4.</w:t>
      </w:r>
      <w:r w:rsidRPr="00296606">
        <w:rPr>
          <w:b/>
          <w:sz w:val="24"/>
          <w:szCs w:val="24"/>
        </w:rPr>
        <w:tab/>
        <w:t>KLINISKE OPLYSNINGER</w:t>
      </w:r>
    </w:p>
    <w:p w14:paraId="1E83CB8A" w14:textId="77777777" w:rsidR="009260DE" w:rsidRPr="00296606" w:rsidRDefault="009260DE" w:rsidP="009260DE">
      <w:pPr>
        <w:tabs>
          <w:tab w:val="left" w:pos="851"/>
        </w:tabs>
        <w:ind w:left="851"/>
        <w:rPr>
          <w:b/>
          <w:sz w:val="24"/>
          <w:szCs w:val="24"/>
        </w:rPr>
      </w:pPr>
    </w:p>
    <w:p w14:paraId="41242435" w14:textId="77777777" w:rsidR="009260DE" w:rsidRPr="00296606" w:rsidRDefault="009260DE" w:rsidP="009260DE">
      <w:pPr>
        <w:tabs>
          <w:tab w:val="left" w:pos="851"/>
        </w:tabs>
        <w:ind w:left="851" w:hanging="851"/>
        <w:rPr>
          <w:b/>
          <w:sz w:val="24"/>
          <w:szCs w:val="24"/>
          <w:u w:val="single"/>
        </w:rPr>
      </w:pPr>
      <w:r w:rsidRPr="00296606">
        <w:rPr>
          <w:b/>
          <w:sz w:val="24"/>
          <w:szCs w:val="24"/>
        </w:rPr>
        <w:t>4.1</w:t>
      </w:r>
      <w:r w:rsidRPr="00296606">
        <w:rPr>
          <w:b/>
          <w:sz w:val="24"/>
          <w:szCs w:val="24"/>
        </w:rPr>
        <w:tab/>
        <w:t>Terapeutiske indikationer</w:t>
      </w:r>
    </w:p>
    <w:p w14:paraId="03354DAF" w14:textId="77777777" w:rsidR="00032351" w:rsidRPr="00296606" w:rsidRDefault="00032351" w:rsidP="008345F9">
      <w:pPr>
        <w:ind w:left="851"/>
        <w:rPr>
          <w:sz w:val="24"/>
          <w:szCs w:val="24"/>
        </w:rPr>
      </w:pPr>
      <w:proofErr w:type="spellStart"/>
      <w:r w:rsidRPr="00296606">
        <w:rPr>
          <w:sz w:val="24"/>
          <w:szCs w:val="24"/>
        </w:rPr>
        <w:t>Atgam</w:t>
      </w:r>
      <w:proofErr w:type="spellEnd"/>
      <w:r w:rsidRPr="00296606">
        <w:rPr>
          <w:sz w:val="24"/>
          <w:szCs w:val="24"/>
        </w:rPr>
        <w:t xml:space="preserve"> er indiceret til brug hos voksne og børn ≥ 2 år til behandling af erhvervet moderat til svær </w:t>
      </w:r>
      <w:proofErr w:type="spellStart"/>
      <w:r w:rsidRPr="00296606">
        <w:rPr>
          <w:sz w:val="24"/>
          <w:szCs w:val="24"/>
        </w:rPr>
        <w:t>aplastisk</w:t>
      </w:r>
      <w:proofErr w:type="spellEnd"/>
      <w:r w:rsidRPr="00296606">
        <w:rPr>
          <w:sz w:val="24"/>
          <w:szCs w:val="24"/>
        </w:rPr>
        <w:t xml:space="preserve"> anæmi af kendt eller formodet immunologisk ætiologi som led i </w:t>
      </w:r>
      <w:proofErr w:type="spellStart"/>
      <w:r w:rsidRPr="00296606">
        <w:rPr>
          <w:sz w:val="24"/>
          <w:szCs w:val="24"/>
        </w:rPr>
        <w:t>immunosuppressiv</w:t>
      </w:r>
      <w:proofErr w:type="spellEnd"/>
      <w:r w:rsidRPr="00296606">
        <w:rPr>
          <w:sz w:val="24"/>
          <w:szCs w:val="24"/>
        </w:rPr>
        <w:t xml:space="preserve"> standardbehandling hos patienter, der er uegnede til knoglemarvstransplantation eller hvor der ikke er fundet en egnet knoglemarvsdonor.</w:t>
      </w:r>
    </w:p>
    <w:p w14:paraId="228DCC23" w14:textId="20C36639" w:rsidR="009260DE" w:rsidRPr="00296606" w:rsidRDefault="009260DE" w:rsidP="009260DE">
      <w:pPr>
        <w:tabs>
          <w:tab w:val="left" w:pos="851"/>
        </w:tabs>
        <w:ind w:left="851"/>
        <w:rPr>
          <w:sz w:val="24"/>
          <w:szCs w:val="24"/>
        </w:rPr>
      </w:pPr>
    </w:p>
    <w:p w14:paraId="34DD2E1C" w14:textId="77777777" w:rsidR="009260DE" w:rsidRPr="00296606" w:rsidRDefault="009260DE" w:rsidP="009260DE">
      <w:pPr>
        <w:tabs>
          <w:tab w:val="left" w:pos="851"/>
        </w:tabs>
        <w:ind w:left="851"/>
        <w:rPr>
          <w:sz w:val="24"/>
          <w:szCs w:val="24"/>
        </w:rPr>
      </w:pPr>
    </w:p>
    <w:p w14:paraId="243EC862" w14:textId="3178248B" w:rsidR="009260DE" w:rsidRPr="00296606" w:rsidRDefault="009260DE" w:rsidP="009260DE">
      <w:pPr>
        <w:tabs>
          <w:tab w:val="left" w:pos="851"/>
        </w:tabs>
        <w:ind w:left="851" w:hanging="851"/>
        <w:rPr>
          <w:b/>
          <w:sz w:val="24"/>
          <w:szCs w:val="24"/>
        </w:rPr>
      </w:pPr>
      <w:r w:rsidRPr="00296606">
        <w:rPr>
          <w:b/>
          <w:sz w:val="24"/>
          <w:szCs w:val="24"/>
        </w:rPr>
        <w:t>4.2</w:t>
      </w:r>
      <w:r w:rsidRPr="00296606">
        <w:rPr>
          <w:b/>
          <w:sz w:val="24"/>
          <w:szCs w:val="24"/>
        </w:rPr>
        <w:tab/>
        <w:t xml:space="preserve">Dosering og </w:t>
      </w:r>
      <w:r w:rsidR="00FA1740">
        <w:rPr>
          <w:b/>
          <w:sz w:val="24"/>
          <w:szCs w:val="24"/>
        </w:rPr>
        <w:t>administration</w:t>
      </w:r>
    </w:p>
    <w:p w14:paraId="4FF49D1A" w14:textId="77777777" w:rsidR="00032351" w:rsidRPr="00FB2EA3" w:rsidRDefault="00032351" w:rsidP="00FB2EA3">
      <w:pPr>
        <w:ind w:left="851"/>
        <w:rPr>
          <w:sz w:val="24"/>
          <w:szCs w:val="24"/>
        </w:rPr>
      </w:pPr>
      <w:r w:rsidRPr="00FB2EA3">
        <w:rPr>
          <w:sz w:val="24"/>
          <w:szCs w:val="24"/>
        </w:rPr>
        <w:t xml:space="preserve">Kun læger med erfaring i </w:t>
      </w:r>
      <w:proofErr w:type="spellStart"/>
      <w:r w:rsidRPr="00FB2EA3">
        <w:rPr>
          <w:sz w:val="24"/>
          <w:szCs w:val="24"/>
        </w:rPr>
        <w:t>immunosuppressiv</w:t>
      </w:r>
      <w:proofErr w:type="spellEnd"/>
      <w:r w:rsidRPr="00FB2EA3">
        <w:rPr>
          <w:sz w:val="24"/>
          <w:szCs w:val="24"/>
        </w:rPr>
        <w:t xml:space="preserve"> behandling bør anvende </w:t>
      </w:r>
      <w:proofErr w:type="spellStart"/>
      <w:r w:rsidRPr="00FB2EA3">
        <w:rPr>
          <w:sz w:val="24"/>
          <w:szCs w:val="24"/>
        </w:rPr>
        <w:t>Atgam</w:t>
      </w:r>
      <w:proofErr w:type="spellEnd"/>
      <w:r w:rsidRPr="00FB2EA3">
        <w:rPr>
          <w:sz w:val="24"/>
          <w:szCs w:val="24"/>
        </w:rPr>
        <w:t>. Der bør anvendes faciliteter, der er udstyret og bemandet med tilstrækkelige laboratoriemæssige og understøttende lægelige ressourcer ved indlæggelse.</w:t>
      </w:r>
    </w:p>
    <w:p w14:paraId="763BCE47" w14:textId="77777777" w:rsidR="00032351" w:rsidRPr="00FB2EA3" w:rsidRDefault="00032351" w:rsidP="00FB2EA3">
      <w:pPr>
        <w:ind w:left="851"/>
        <w:rPr>
          <w:sz w:val="24"/>
          <w:szCs w:val="24"/>
        </w:rPr>
      </w:pPr>
    </w:p>
    <w:p w14:paraId="6F6576D9" w14:textId="77777777" w:rsidR="00032351" w:rsidRPr="00FB2EA3" w:rsidRDefault="00032351" w:rsidP="00FB2EA3">
      <w:pPr>
        <w:ind w:left="851"/>
        <w:rPr>
          <w:sz w:val="24"/>
          <w:szCs w:val="24"/>
          <w:u w:val="single"/>
        </w:rPr>
      </w:pPr>
      <w:r w:rsidRPr="00FB2EA3">
        <w:rPr>
          <w:sz w:val="24"/>
          <w:szCs w:val="24"/>
          <w:u w:val="single"/>
        </w:rPr>
        <w:t>Dosering</w:t>
      </w:r>
    </w:p>
    <w:p w14:paraId="228D42D1" w14:textId="77777777" w:rsidR="00032351" w:rsidRPr="00FB2EA3" w:rsidRDefault="00032351" w:rsidP="00FB2EA3">
      <w:pPr>
        <w:ind w:left="851"/>
        <w:rPr>
          <w:sz w:val="24"/>
          <w:szCs w:val="24"/>
        </w:rPr>
      </w:pPr>
    </w:p>
    <w:p w14:paraId="204919A1" w14:textId="77777777" w:rsidR="00032351" w:rsidRPr="00FB2EA3" w:rsidRDefault="00032351" w:rsidP="00FB2EA3">
      <w:pPr>
        <w:ind w:left="851"/>
        <w:rPr>
          <w:i/>
          <w:sz w:val="24"/>
          <w:szCs w:val="24"/>
        </w:rPr>
      </w:pPr>
      <w:r w:rsidRPr="00FB2EA3">
        <w:rPr>
          <w:i/>
          <w:sz w:val="24"/>
          <w:szCs w:val="24"/>
        </w:rPr>
        <w:t>Voksne patienter og børn ≥ 2 år</w:t>
      </w:r>
      <w:r w:rsidRPr="00FB2EA3">
        <w:rPr>
          <w:i/>
          <w:iCs/>
          <w:sz w:val="24"/>
          <w:szCs w:val="24"/>
        </w:rPr>
        <w:t xml:space="preserve"> </w:t>
      </w:r>
    </w:p>
    <w:p w14:paraId="2F68F6D4" w14:textId="77777777" w:rsidR="00032351" w:rsidRPr="00FB2EA3" w:rsidRDefault="00032351" w:rsidP="00FB2EA3">
      <w:pPr>
        <w:ind w:left="851"/>
        <w:rPr>
          <w:sz w:val="24"/>
          <w:szCs w:val="24"/>
        </w:rPr>
      </w:pPr>
      <w:proofErr w:type="spellStart"/>
      <w:r w:rsidRPr="00FB2EA3">
        <w:rPr>
          <w:sz w:val="24"/>
          <w:szCs w:val="24"/>
        </w:rPr>
        <w:t>Dosisrekommendationer</w:t>
      </w:r>
      <w:proofErr w:type="spellEnd"/>
      <w:r w:rsidRPr="00FB2EA3">
        <w:rPr>
          <w:sz w:val="24"/>
          <w:szCs w:val="24"/>
        </w:rPr>
        <w:t xml:space="preserve"> er baseret på legemsvægt.</w:t>
      </w:r>
    </w:p>
    <w:p w14:paraId="68D1E57A" w14:textId="77777777" w:rsidR="00032351" w:rsidRPr="00FB2EA3" w:rsidRDefault="00032351" w:rsidP="00FB2EA3">
      <w:pPr>
        <w:ind w:left="851"/>
        <w:rPr>
          <w:sz w:val="24"/>
          <w:szCs w:val="24"/>
        </w:rPr>
      </w:pPr>
    </w:p>
    <w:p w14:paraId="575D5794" w14:textId="77777777" w:rsidR="00032351" w:rsidRPr="00FB2EA3" w:rsidRDefault="00032351" w:rsidP="00FB2EA3">
      <w:pPr>
        <w:ind w:left="851"/>
        <w:rPr>
          <w:sz w:val="24"/>
          <w:szCs w:val="24"/>
          <w:u w:val="single"/>
        </w:rPr>
      </w:pPr>
      <w:r w:rsidRPr="00FB2EA3">
        <w:rPr>
          <w:sz w:val="24"/>
          <w:szCs w:val="24"/>
        </w:rPr>
        <w:t xml:space="preserve">Den anbefalede samlede dosis er 160 mg/kg legemsvægt, administreret som led i </w:t>
      </w:r>
      <w:proofErr w:type="spellStart"/>
      <w:r w:rsidRPr="00FB2EA3">
        <w:rPr>
          <w:sz w:val="24"/>
          <w:szCs w:val="24"/>
        </w:rPr>
        <w:t>immunosuppressiv</w:t>
      </w:r>
      <w:proofErr w:type="spellEnd"/>
      <w:r w:rsidRPr="00FB2EA3">
        <w:rPr>
          <w:sz w:val="24"/>
          <w:szCs w:val="24"/>
        </w:rPr>
        <w:t xml:space="preserve"> standardbehandling, som følger (se pkt. 4.4, 4.8 og 5.1):</w:t>
      </w:r>
    </w:p>
    <w:p w14:paraId="32F5B5F0" w14:textId="77777777" w:rsidR="00032351" w:rsidRPr="00296606" w:rsidRDefault="00032351" w:rsidP="008345F9">
      <w:pPr>
        <w:pStyle w:val="Opstilling-talellerbogst"/>
        <w:numPr>
          <w:ilvl w:val="0"/>
          <w:numId w:val="7"/>
        </w:numPr>
        <w:spacing w:after="0"/>
        <w:ind w:left="1276" w:hanging="425"/>
        <w:rPr>
          <w:u w:val="single"/>
          <w:lang w:val="da-DK"/>
        </w:rPr>
      </w:pPr>
      <w:r w:rsidRPr="00296606">
        <w:rPr>
          <w:lang w:val="da-DK"/>
        </w:rPr>
        <w:t>16 mg/kg/dag over 10 dage eller</w:t>
      </w:r>
    </w:p>
    <w:p w14:paraId="1751849E" w14:textId="77777777" w:rsidR="00032351" w:rsidRPr="00296606" w:rsidRDefault="00032351" w:rsidP="008345F9">
      <w:pPr>
        <w:pStyle w:val="Opstilling-talellerbogst"/>
        <w:numPr>
          <w:ilvl w:val="0"/>
          <w:numId w:val="7"/>
        </w:numPr>
        <w:spacing w:after="0"/>
        <w:ind w:left="1276" w:hanging="425"/>
        <w:rPr>
          <w:u w:val="single"/>
          <w:lang w:val="da-DK"/>
        </w:rPr>
      </w:pPr>
      <w:r w:rsidRPr="00296606">
        <w:rPr>
          <w:lang w:val="da-DK"/>
        </w:rPr>
        <w:t>20 mg/kg/dag over 8 dage eller</w:t>
      </w:r>
    </w:p>
    <w:p w14:paraId="2D595F5E" w14:textId="77777777" w:rsidR="00032351" w:rsidRPr="00296606" w:rsidRDefault="00032351" w:rsidP="008345F9">
      <w:pPr>
        <w:pStyle w:val="Opstilling-talellerbogst"/>
        <w:numPr>
          <w:ilvl w:val="0"/>
          <w:numId w:val="7"/>
        </w:numPr>
        <w:spacing w:after="0"/>
        <w:ind w:left="1276" w:hanging="425"/>
        <w:rPr>
          <w:u w:val="single"/>
          <w:lang w:val="da-DK"/>
        </w:rPr>
      </w:pPr>
      <w:r w:rsidRPr="00296606">
        <w:rPr>
          <w:lang w:val="da-DK"/>
        </w:rPr>
        <w:t>40 mg/kg/dag over 4 dage</w:t>
      </w:r>
    </w:p>
    <w:p w14:paraId="58AC54F1" w14:textId="77777777" w:rsidR="00032351" w:rsidRPr="00FB2EA3" w:rsidRDefault="00032351" w:rsidP="00FB2EA3">
      <w:pPr>
        <w:rPr>
          <w:sz w:val="24"/>
          <w:szCs w:val="24"/>
        </w:rPr>
      </w:pPr>
    </w:p>
    <w:p w14:paraId="66437971" w14:textId="77777777" w:rsidR="00032351" w:rsidRPr="00296606" w:rsidRDefault="00032351" w:rsidP="008345F9">
      <w:pPr>
        <w:pStyle w:val="Opstilling-talellerbogst"/>
        <w:numPr>
          <w:ilvl w:val="0"/>
          <w:numId w:val="0"/>
        </w:numPr>
        <w:spacing w:after="0"/>
        <w:ind w:left="851"/>
        <w:rPr>
          <w:i/>
          <w:iCs/>
          <w:lang w:val="da-DK"/>
        </w:rPr>
      </w:pPr>
      <w:r w:rsidRPr="00296606">
        <w:rPr>
          <w:i/>
          <w:iCs/>
          <w:lang w:val="da-DK"/>
        </w:rPr>
        <w:t>Overvågning og håndtering af bivirkninger</w:t>
      </w:r>
    </w:p>
    <w:p w14:paraId="4596C05D" w14:textId="77777777" w:rsidR="00032351" w:rsidRPr="00296606" w:rsidRDefault="00032351" w:rsidP="008345F9">
      <w:pPr>
        <w:pStyle w:val="Opstilling-talellerbogst"/>
        <w:numPr>
          <w:ilvl w:val="0"/>
          <w:numId w:val="0"/>
        </w:numPr>
        <w:spacing w:after="0"/>
        <w:ind w:left="851"/>
        <w:rPr>
          <w:lang w:val="da-DK"/>
        </w:rPr>
      </w:pPr>
      <w:r w:rsidRPr="00296606">
        <w:rPr>
          <w:lang w:val="da-DK"/>
        </w:rPr>
        <w:t xml:space="preserve">Patienter skal nøje overvåges for bivirkninger både under og efter behandling. Anbefalinger for overvågning og håndtering af bivirkninger er anført i tabel 1. Behandling af bivirkninger skal iværksættes i henhold til hospitalets retningslinjer/praksis. </w:t>
      </w:r>
    </w:p>
    <w:p w14:paraId="435E813B" w14:textId="77777777" w:rsidR="00032351" w:rsidRPr="00296606" w:rsidRDefault="00032351" w:rsidP="00032351">
      <w:pPr>
        <w:pStyle w:val="Opstilling-talellerbogst"/>
        <w:numPr>
          <w:ilvl w:val="0"/>
          <w:numId w:val="0"/>
        </w:numPr>
        <w:tabs>
          <w:tab w:val="left" w:pos="1304"/>
        </w:tabs>
        <w:spacing w:after="0"/>
        <w:rPr>
          <w:lang w:val="da-DK"/>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100"/>
      </w:tblGrid>
      <w:tr w:rsidR="00032351" w:rsidRPr="00296606" w14:paraId="0007D505" w14:textId="77777777" w:rsidTr="00552486">
        <w:tc>
          <w:tcPr>
            <w:tcW w:w="5000" w:type="pct"/>
            <w:gridSpan w:val="2"/>
            <w:tcBorders>
              <w:top w:val="single" w:sz="4" w:space="0" w:color="auto"/>
              <w:left w:val="single" w:sz="4" w:space="0" w:color="auto"/>
              <w:bottom w:val="single" w:sz="4" w:space="0" w:color="auto"/>
              <w:right w:val="single" w:sz="4" w:space="0" w:color="auto"/>
            </w:tcBorders>
            <w:hideMark/>
          </w:tcPr>
          <w:p w14:paraId="163B67BF" w14:textId="77777777" w:rsidR="00032351" w:rsidRPr="00296606" w:rsidRDefault="00032351">
            <w:pPr>
              <w:pStyle w:val="Opstilling-talellerbogst"/>
              <w:numPr>
                <w:ilvl w:val="0"/>
                <w:numId w:val="0"/>
              </w:numPr>
              <w:tabs>
                <w:tab w:val="left" w:pos="1304"/>
              </w:tabs>
              <w:spacing w:after="0"/>
              <w:rPr>
                <w:b/>
                <w:bCs/>
                <w:lang w:val="da-DK"/>
              </w:rPr>
            </w:pPr>
            <w:r w:rsidRPr="00296606">
              <w:rPr>
                <w:b/>
                <w:bCs/>
                <w:lang w:val="da-DK"/>
              </w:rPr>
              <w:t>Tabel 1. Anbefalinger for overvågning og håndtering af bivirkninger</w:t>
            </w:r>
          </w:p>
        </w:tc>
      </w:tr>
      <w:tr w:rsidR="00032351" w:rsidRPr="00296606" w14:paraId="36EC7536" w14:textId="77777777" w:rsidTr="00552486">
        <w:tc>
          <w:tcPr>
            <w:tcW w:w="1585" w:type="pct"/>
            <w:tcBorders>
              <w:top w:val="single" w:sz="4" w:space="0" w:color="auto"/>
              <w:left w:val="single" w:sz="4" w:space="0" w:color="auto"/>
              <w:bottom w:val="single" w:sz="4" w:space="0" w:color="auto"/>
              <w:right w:val="single" w:sz="4" w:space="0" w:color="auto"/>
            </w:tcBorders>
            <w:hideMark/>
          </w:tcPr>
          <w:p w14:paraId="4783D0FF" w14:textId="77777777" w:rsidR="00032351" w:rsidRPr="00296606" w:rsidRDefault="00032351">
            <w:pPr>
              <w:pStyle w:val="Opstilling-talellerbogst"/>
              <w:numPr>
                <w:ilvl w:val="0"/>
                <w:numId w:val="0"/>
              </w:numPr>
              <w:tabs>
                <w:tab w:val="left" w:pos="1304"/>
              </w:tabs>
              <w:spacing w:after="0"/>
              <w:rPr>
                <w:b/>
                <w:bCs/>
                <w:lang w:val="da-DK"/>
              </w:rPr>
            </w:pPr>
            <w:r w:rsidRPr="00296606">
              <w:rPr>
                <w:b/>
                <w:bCs/>
                <w:lang w:val="da-DK"/>
              </w:rPr>
              <w:t>Bivirkning</w:t>
            </w:r>
          </w:p>
        </w:tc>
        <w:tc>
          <w:tcPr>
            <w:tcW w:w="3415" w:type="pct"/>
            <w:tcBorders>
              <w:top w:val="single" w:sz="4" w:space="0" w:color="auto"/>
              <w:left w:val="single" w:sz="4" w:space="0" w:color="auto"/>
              <w:bottom w:val="single" w:sz="4" w:space="0" w:color="auto"/>
              <w:right w:val="single" w:sz="4" w:space="0" w:color="auto"/>
            </w:tcBorders>
            <w:hideMark/>
          </w:tcPr>
          <w:p w14:paraId="26F5989D" w14:textId="77777777" w:rsidR="00032351" w:rsidRPr="00296606" w:rsidRDefault="00032351">
            <w:pPr>
              <w:pStyle w:val="Opstilling-talellerbogst"/>
              <w:numPr>
                <w:ilvl w:val="0"/>
                <w:numId w:val="0"/>
              </w:numPr>
              <w:tabs>
                <w:tab w:val="left" w:pos="1304"/>
              </w:tabs>
              <w:spacing w:after="0"/>
              <w:rPr>
                <w:b/>
                <w:bCs/>
                <w:lang w:val="da-DK"/>
              </w:rPr>
            </w:pPr>
            <w:r w:rsidRPr="00296606">
              <w:rPr>
                <w:b/>
                <w:bCs/>
                <w:lang w:val="da-DK"/>
              </w:rPr>
              <w:t>Anbefalinger for overvågning og håndtering</w:t>
            </w:r>
          </w:p>
        </w:tc>
      </w:tr>
      <w:tr w:rsidR="00032351" w:rsidRPr="00296606" w14:paraId="20C594EB" w14:textId="77777777" w:rsidTr="00552486">
        <w:tc>
          <w:tcPr>
            <w:tcW w:w="1585" w:type="pct"/>
            <w:tcBorders>
              <w:top w:val="single" w:sz="4" w:space="0" w:color="auto"/>
              <w:left w:val="single" w:sz="4" w:space="0" w:color="auto"/>
              <w:bottom w:val="single" w:sz="4" w:space="0" w:color="auto"/>
              <w:right w:val="single" w:sz="4" w:space="0" w:color="auto"/>
            </w:tcBorders>
            <w:hideMark/>
          </w:tcPr>
          <w:p w14:paraId="2859589C" w14:textId="77777777" w:rsidR="00032351" w:rsidRPr="00296606" w:rsidRDefault="00032351">
            <w:pPr>
              <w:pStyle w:val="Opstilling-talellerbogst"/>
              <w:numPr>
                <w:ilvl w:val="0"/>
                <w:numId w:val="0"/>
              </w:numPr>
              <w:tabs>
                <w:tab w:val="left" w:pos="1304"/>
              </w:tabs>
              <w:spacing w:after="0"/>
              <w:rPr>
                <w:i/>
                <w:iCs/>
                <w:lang w:val="da-DK"/>
              </w:rPr>
            </w:pPr>
            <w:r w:rsidRPr="00296606">
              <w:rPr>
                <w:lang w:val="da-DK"/>
              </w:rPr>
              <w:t>Anafylaksi, herunder åndedrætsbesvær</w:t>
            </w:r>
          </w:p>
        </w:tc>
        <w:tc>
          <w:tcPr>
            <w:tcW w:w="3415" w:type="pct"/>
            <w:tcBorders>
              <w:top w:val="single" w:sz="4" w:space="0" w:color="auto"/>
              <w:left w:val="single" w:sz="4" w:space="0" w:color="auto"/>
              <w:bottom w:val="single" w:sz="4" w:space="0" w:color="auto"/>
              <w:right w:val="single" w:sz="4" w:space="0" w:color="auto"/>
            </w:tcBorders>
          </w:tcPr>
          <w:p w14:paraId="06A910CC" w14:textId="77777777" w:rsidR="00032351" w:rsidRPr="00296606" w:rsidRDefault="00032351">
            <w:pPr>
              <w:pStyle w:val="Opstilling-talellerbogst"/>
              <w:numPr>
                <w:ilvl w:val="0"/>
                <w:numId w:val="0"/>
              </w:numPr>
              <w:tabs>
                <w:tab w:val="left" w:pos="1304"/>
              </w:tabs>
              <w:spacing w:after="0"/>
              <w:rPr>
                <w:lang w:val="da-DK"/>
              </w:rPr>
            </w:pPr>
            <w:r w:rsidRPr="00296606">
              <w:rPr>
                <w:lang w:val="da-DK"/>
              </w:rPr>
              <w:t xml:space="preserve">For at identificere patienter i størst risiko for systemisk anafylaksi, anbefales det kraftigt, at der udføres hudfølsomhedstest af potentielle patienter før behandling iværksættes, særligt hvis patienten er </w:t>
            </w:r>
            <w:proofErr w:type="spellStart"/>
            <w:r w:rsidRPr="00296606">
              <w:rPr>
                <w:lang w:val="da-DK"/>
              </w:rPr>
              <w:t>atopisk</w:t>
            </w:r>
            <w:proofErr w:type="spellEnd"/>
            <w:r w:rsidRPr="00296606">
              <w:rPr>
                <w:lang w:val="da-DK"/>
              </w:rPr>
              <w:t>.</w:t>
            </w:r>
          </w:p>
          <w:p w14:paraId="1EF61776" w14:textId="77777777" w:rsidR="00032351" w:rsidRPr="00296606" w:rsidRDefault="00032351">
            <w:pPr>
              <w:pStyle w:val="Opstilling-talellerbogst"/>
              <w:numPr>
                <w:ilvl w:val="0"/>
                <w:numId w:val="0"/>
              </w:numPr>
              <w:tabs>
                <w:tab w:val="left" w:pos="1304"/>
              </w:tabs>
              <w:spacing w:after="0"/>
              <w:rPr>
                <w:lang w:val="da-DK"/>
              </w:rPr>
            </w:pPr>
          </w:p>
          <w:p w14:paraId="61EEC9EE" w14:textId="77777777" w:rsidR="00032351" w:rsidRPr="00296606" w:rsidRDefault="00032351">
            <w:pPr>
              <w:pStyle w:val="Opstilling-talellerbogst"/>
              <w:numPr>
                <w:ilvl w:val="0"/>
                <w:numId w:val="0"/>
              </w:numPr>
              <w:tabs>
                <w:tab w:val="left" w:pos="1304"/>
              </w:tabs>
              <w:spacing w:after="0"/>
              <w:rPr>
                <w:lang w:val="da-DK"/>
              </w:rPr>
            </w:pPr>
            <w:r w:rsidRPr="00296606">
              <w:rPr>
                <w:lang w:val="da-DK"/>
              </w:rPr>
              <w:t>Patienter skal nøje overvåges for anafylaksi, herunder åndedrætsbesvær, og behandlingen skal afbrydes, hvis der opstår anafylaksi (se pkt. 4.4).</w:t>
            </w:r>
          </w:p>
        </w:tc>
      </w:tr>
      <w:tr w:rsidR="00032351" w:rsidRPr="00296606" w14:paraId="12F8A189" w14:textId="77777777" w:rsidTr="00552486">
        <w:tc>
          <w:tcPr>
            <w:tcW w:w="1585" w:type="pct"/>
            <w:tcBorders>
              <w:top w:val="single" w:sz="4" w:space="0" w:color="auto"/>
              <w:left w:val="single" w:sz="4" w:space="0" w:color="auto"/>
              <w:bottom w:val="single" w:sz="4" w:space="0" w:color="auto"/>
              <w:right w:val="single" w:sz="4" w:space="0" w:color="auto"/>
            </w:tcBorders>
            <w:hideMark/>
          </w:tcPr>
          <w:p w14:paraId="56EEAC99" w14:textId="77777777" w:rsidR="00032351" w:rsidRPr="00296606" w:rsidRDefault="00032351">
            <w:pPr>
              <w:pStyle w:val="Opstilling-talellerbogst"/>
              <w:numPr>
                <w:ilvl w:val="0"/>
                <w:numId w:val="0"/>
              </w:numPr>
              <w:tabs>
                <w:tab w:val="left" w:pos="1304"/>
              </w:tabs>
              <w:spacing w:after="0"/>
              <w:rPr>
                <w:lang w:val="da-DK"/>
              </w:rPr>
            </w:pPr>
            <w:r w:rsidRPr="00296606">
              <w:rPr>
                <w:lang w:val="da-DK"/>
              </w:rPr>
              <w:t>Cytokinfrigivelsessyndrom (CRS)</w:t>
            </w:r>
          </w:p>
        </w:tc>
        <w:tc>
          <w:tcPr>
            <w:tcW w:w="3415" w:type="pct"/>
            <w:tcBorders>
              <w:top w:val="single" w:sz="4" w:space="0" w:color="auto"/>
              <w:left w:val="single" w:sz="4" w:space="0" w:color="auto"/>
              <w:bottom w:val="single" w:sz="4" w:space="0" w:color="auto"/>
              <w:right w:val="single" w:sz="4" w:space="0" w:color="auto"/>
            </w:tcBorders>
            <w:hideMark/>
          </w:tcPr>
          <w:p w14:paraId="1D605063" w14:textId="77777777" w:rsidR="00032351" w:rsidRPr="00296606" w:rsidRDefault="00032351">
            <w:pPr>
              <w:pStyle w:val="Opstilling-talellerbogst"/>
              <w:numPr>
                <w:ilvl w:val="0"/>
                <w:numId w:val="0"/>
              </w:numPr>
              <w:tabs>
                <w:tab w:val="left" w:pos="1304"/>
              </w:tabs>
              <w:spacing w:after="0"/>
              <w:rPr>
                <w:lang w:val="da-DK"/>
              </w:rPr>
            </w:pPr>
            <w:r w:rsidRPr="00296606">
              <w:rPr>
                <w:lang w:val="da-DK"/>
              </w:rPr>
              <w:t xml:space="preserve">Hvis der opstår cytokinfrigivelsessyndrom (CRS) skal </w:t>
            </w:r>
            <w:proofErr w:type="spellStart"/>
            <w:r w:rsidRPr="00296606">
              <w:rPr>
                <w:lang w:val="da-DK"/>
              </w:rPr>
              <w:t>seponering</w:t>
            </w:r>
            <w:proofErr w:type="spellEnd"/>
            <w:r w:rsidRPr="00296606">
              <w:rPr>
                <w:lang w:val="da-DK"/>
              </w:rPr>
              <w:t xml:space="preserve"> af behandlingen overvejes (se pkt. 4.4).</w:t>
            </w:r>
          </w:p>
        </w:tc>
      </w:tr>
      <w:tr w:rsidR="00032351" w:rsidRPr="00296606" w14:paraId="153D58B5" w14:textId="77777777" w:rsidTr="00552486">
        <w:tc>
          <w:tcPr>
            <w:tcW w:w="1585" w:type="pct"/>
            <w:tcBorders>
              <w:top w:val="single" w:sz="4" w:space="0" w:color="auto"/>
              <w:left w:val="single" w:sz="4" w:space="0" w:color="auto"/>
              <w:bottom w:val="single" w:sz="4" w:space="0" w:color="auto"/>
              <w:right w:val="single" w:sz="4" w:space="0" w:color="auto"/>
            </w:tcBorders>
            <w:hideMark/>
          </w:tcPr>
          <w:p w14:paraId="6759C7C1" w14:textId="77777777" w:rsidR="00032351" w:rsidRPr="00296606" w:rsidRDefault="00032351">
            <w:pPr>
              <w:pStyle w:val="Opstilling-talellerbogst"/>
              <w:numPr>
                <w:ilvl w:val="0"/>
                <w:numId w:val="0"/>
              </w:numPr>
              <w:tabs>
                <w:tab w:val="left" w:pos="1304"/>
              </w:tabs>
              <w:spacing w:after="0"/>
              <w:rPr>
                <w:lang w:val="da-DK"/>
              </w:rPr>
            </w:pPr>
            <w:proofErr w:type="spellStart"/>
            <w:r w:rsidRPr="00296606">
              <w:rPr>
                <w:lang w:val="da-DK"/>
              </w:rPr>
              <w:t>Trombocytopeni</w:t>
            </w:r>
            <w:proofErr w:type="spellEnd"/>
            <w:r w:rsidRPr="00296606">
              <w:rPr>
                <w:lang w:val="da-DK"/>
              </w:rPr>
              <w:t xml:space="preserve"> og </w:t>
            </w:r>
            <w:proofErr w:type="spellStart"/>
            <w:r w:rsidRPr="00296606">
              <w:rPr>
                <w:lang w:val="da-DK"/>
              </w:rPr>
              <w:t>neutropeni</w:t>
            </w:r>
            <w:proofErr w:type="spellEnd"/>
          </w:p>
        </w:tc>
        <w:tc>
          <w:tcPr>
            <w:tcW w:w="3415" w:type="pct"/>
            <w:tcBorders>
              <w:top w:val="single" w:sz="4" w:space="0" w:color="auto"/>
              <w:left w:val="single" w:sz="4" w:space="0" w:color="auto"/>
              <w:bottom w:val="single" w:sz="4" w:space="0" w:color="auto"/>
              <w:right w:val="single" w:sz="4" w:space="0" w:color="auto"/>
            </w:tcBorders>
            <w:hideMark/>
          </w:tcPr>
          <w:p w14:paraId="7A511FC9" w14:textId="77777777" w:rsidR="00032351" w:rsidRPr="00296606" w:rsidRDefault="00032351">
            <w:pPr>
              <w:pStyle w:val="Opstilling-talellerbogst"/>
              <w:numPr>
                <w:ilvl w:val="0"/>
                <w:numId w:val="0"/>
              </w:numPr>
              <w:tabs>
                <w:tab w:val="left" w:pos="1304"/>
              </w:tabs>
              <w:spacing w:after="0"/>
              <w:rPr>
                <w:lang w:val="da-DK"/>
              </w:rPr>
            </w:pPr>
            <w:r w:rsidRPr="00296606">
              <w:rPr>
                <w:lang w:val="da-DK"/>
              </w:rPr>
              <w:t xml:space="preserve">Hvis der er tegn på alvorlig og blivende </w:t>
            </w:r>
            <w:proofErr w:type="spellStart"/>
            <w:r w:rsidRPr="00296606">
              <w:rPr>
                <w:lang w:val="da-DK"/>
              </w:rPr>
              <w:t>trombocytopeni</w:t>
            </w:r>
            <w:proofErr w:type="spellEnd"/>
            <w:r w:rsidRPr="00296606">
              <w:rPr>
                <w:lang w:val="da-DK"/>
              </w:rPr>
              <w:t xml:space="preserve"> eller </w:t>
            </w:r>
            <w:proofErr w:type="spellStart"/>
            <w:r w:rsidRPr="00296606">
              <w:rPr>
                <w:lang w:val="da-DK"/>
              </w:rPr>
              <w:t>neutropeni</w:t>
            </w:r>
            <w:proofErr w:type="spellEnd"/>
            <w:r w:rsidRPr="00296606">
              <w:rPr>
                <w:lang w:val="da-DK"/>
              </w:rPr>
              <w:t xml:space="preserve"> skal </w:t>
            </w:r>
            <w:proofErr w:type="spellStart"/>
            <w:r w:rsidRPr="00296606">
              <w:rPr>
                <w:lang w:val="da-DK"/>
              </w:rPr>
              <w:t>seponering</w:t>
            </w:r>
            <w:proofErr w:type="spellEnd"/>
            <w:r w:rsidRPr="00296606">
              <w:rPr>
                <w:lang w:val="da-DK"/>
              </w:rPr>
              <w:t xml:space="preserve"> af behandlingen overvejes (se pkt. 4.4).</w:t>
            </w:r>
          </w:p>
        </w:tc>
      </w:tr>
    </w:tbl>
    <w:p w14:paraId="6D80E6CD" w14:textId="77777777" w:rsidR="00032351" w:rsidRPr="00FB2EA3" w:rsidRDefault="00032351" w:rsidP="00FB2EA3">
      <w:pPr>
        <w:ind w:left="851"/>
        <w:rPr>
          <w:sz w:val="24"/>
          <w:szCs w:val="24"/>
        </w:rPr>
      </w:pPr>
    </w:p>
    <w:p w14:paraId="05233884" w14:textId="77777777" w:rsidR="00032351" w:rsidRPr="00FB2EA3" w:rsidRDefault="00032351" w:rsidP="00FB2EA3">
      <w:pPr>
        <w:ind w:left="851"/>
        <w:rPr>
          <w:sz w:val="24"/>
          <w:szCs w:val="24"/>
          <w:u w:val="single"/>
        </w:rPr>
      </w:pPr>
      <w:r w:rsidRPr="00FB2EA3">
        <w:rPr>
          <w:sz w:val="24"/>
          <w:szCs w:val="24"/>
          <w:u w:val="single"/>
        </w:rPr>
        <w:t>Særlige patientpopulationer</w:t>
      </w:r>
    </w:p>
    <w:p w14:paraId="333BE51D" w14:textId="77777777" w:rsidR="00032351" w:rsidRPr="00FB2EA3" w:rsidRDefault="00032351" w:rsidP="00FB2EA3">
      <w:pPr>
        <w:ind w:left="851"/>
        <w:rPr>
          <w:sz w:val="24"/>
          <w:szCs w:val="24"/>
        </w:rPr>
      </w:pPr>
    </w:p>
    <w:p w14:paraId="1BD1561D" w14:textId="77777777" w:rsidR="00032351" w:rsidRPr="00FB2EA3" w:rsidRDefault="00032351" w:rsidP="00FB2EA3">
      <w:pPr>
        <w:ind w:left="851"/>
        <w:rPr>
          <w:i/>
          <w:sz w:val="24"/>
          <w:szCs w:val="24"/>
        </w:rPr>
      </w:pPr>
      <w:r w:rsidRPr="00FB2EA3">
        <w:rPr>
          <w:i/>
          <w:sz w:val="24"/>
          <w:szCs w:val="24"/>
        </w:rPr>
        <w:t>Nyre- og leverinsufficiens</w:t>
      </w:r>
    </w:p>
    <w:p w14:paraId="48E16270" w14:textId="77777777" w:rsidR="00032351" w:rsidRPr="00FB2EA3" w:rsidRDefault="00032351" w:rsidP="00FB2EA3">
      <w:pPr>
        <w:ind w:left="851"/>
        <w:rPr>
          <w:sz w:val="24"/>
          <w:szCs w:val="24"/>
        </w:rPr>
      </w:pPr>
      <w:r w:rsidRPr="00FB2EA3">
        <w:rPr>
          <w:sz w:val="24"/>
          <w:szCs w:val="24"/>
        </w:rPr>
        <w:t xml:space="preserve">Der er ikke udført specifikke kliniske studier til vurdering af effekten af nyre- eller leverinsufficiens på </w:t>
      </w:r>
      <w:proofErr w:type="spellStart"/>
      <w:r w:rsidRPr="00FB2EA3">
        <w:rPr>
          <w:sz w:val="24"/>
          <w:szCs w:val="24"/>
        </w:rPr>
        <w:t>Atgams</w:t>
      </w:r>
      <w:proofErr w:type="spellEnd"/>
      <w:r w:rsidRPr="00FB2EA3">
        <w:rPr>
          <w:sz w:val="24"/>
          <w:szCs w:val="24"/>
        </w:rPr>
        <w:t xml:space="preserve"> farmakokinetik.</w:t>
      </w:r>
    </w:p>
    <w:p w14:paraId="098A3C9B" w14:textId="77777777" w:rsidR="00032351" w:rsidRPr="00FB2EA3" w:rsidRDefault="00032351" w:rsidP="00FB2EA3">
      <w:pPr>
        <w:ind w:left="851"/>
        <w:rPr>
          <w:sz w:val="24"/>
          <w:szCs w:val="24"/>
        </w:rPr>
      </w:pPr>
    </w:p>
    <w:p w14:paraId="1743B897" w14:textId="77777777" w:rsidR="00032351" w:rsidRPr="00FB2EA3" w:rsidRDefault="00032351" w:rsidP="00FB2EA3">
      <w:pPr>
        <w:ind w:left="851"/>
        <w:rPr>
          <w:bCs/>
          <w:i/>
          <w:iCs/>
          <w:sz w:val="24"/>
          <w:szCs w:val="24"/>
        </w:rPr>
      </w:pPr>
      <w:r w:rsidRPr="00FB2EA3">
        <w:rPr>
          <w:i/>
          <w:sz w:val="24"/>
          <w:szCs w:val="24"/>
        </w:rPr>
        <w:t>Pædiatrisk population</w:t>
      </w:r>
    </w:p>
    <w:p w14:paraId="1C0D27C3" w14:textId="77777777" w:rsidR="00032351" w:rsidRPr="00FB2EA3" w:rsidRDefault="00032351" w:rsidP="00FB2EA3">
      <w:pPr>
        <w:ind w:left="851"/>
        <w:rPr>
          <w:sz w:val="24"/>
          <w:szCs w:val="24"/>
        </w:rPr>
      </w:pPr>
      <w:r w:rsidRPr="00FB2EA3">
        <w:rPr>
          <w:sz w:val="24"/>
          <w:szCs w:val="24"/>
        </w:rPr>
        <w:t>De foreliggende data hos børn under 18 år er beskrevet i pkt. 4.8 og 5.1.</w:t>
      </w:r>
    </w:p>
    <w:p w14:paraId="3FBB3271" w14:textId="77777777" w:rsidR="00032351" w:rsidRPr="00296606" w:rsidRDefault="00032351" w:rsidP="008345F9">
      <w:pPr>
        <w:ind w:left="851"/>
        <w:rPr>
          <w:sz w:val="24"/>
          <w:szCs w:val="24"/>
          <w:u w:val="single"/>
        </w:rPr>
      </w:pPr>
    </w:p>
    <w:p w14:paraId="0B8AE149" w14:textId="77777777" w:rsidR="00032351" w:rsidRPr="00296606" w:rsidRDefault="00032351" w:rsidP="008345F9">
      <w:pPr>
        <w:ind w:left="851"/>
        <w:rPr>
          <w:i/>
          <w:iCs/>
          <w:sz w:val="24"/>
          <w:szCs w:val="24"/>
        </w:rPr>
      </w:pPr>
      <w:r w:rsidRPr="00296606">
        <w:rPr>
          <w:i/>
          <w:iCs/>
          <w:sz w:val="24"/>
          <w:szCs w:val="24"/>
        </w:rPr>
        <w:t>Ældre (&gt; 65 år)</w:t>
      </w:r>
    </w:p>
    <w:p w14:paraId="69F164E4" w14:textId="77777777" w:rsidR="00032351" w:rsidRPr="00296606" w:rsidRDefault="00032351" w:rsidP="008345F9">
      <w:pPr>
        <w:ind w:left="851"/>
        <w:rPr>
          <w:sz w:val="24"/>
          <w:szCs w:val="24"/>
        </w:rPr>
      </w:pPr>
      <w:r w:rsidRPr="00296606">
        <w:rPr>
          <w:sz w:val="24"/>
          <w:szCs w:val="24"/>
        </w:rPr>
        <w:t>Den kliniske erfaring fra ældre patienter har ikke vist tegn på forskelle i respons mellem ældre og yngre patienter. Der anbefales derfor ingen dosisjustering til ældre patienter.</w:t>
      </w:r>
    </w:p>
    <w:p w14:paraId="6CB86195" w14:textId="77777777" w:rsidR="00032351" w:rsidRPr="00296606" w:rsidRDefault="00032351" w:rsidP="008345F9">
      <w:pPr>
        <w:ind w:left="851"/>
        <w:rPr>
          <w:sz w:val="24"/>
          <w:szCs w:val="24"/>
        </w:rPr>
      </w:pPr>
    </w:p>
    <w:p w14:paraId="78847A66" w14:textId="77777777" w:rsidR="00032351" w:rsidRPr="00296606" w:rsidRDefault="00032351" w:rsidP="008345F9">
      <w:pPr>
        <w:ind w:left="851"/>
        <w:rPr>
          <w:sz w:val="24"/>
          <w:szCs w:val="24"/>
          <w:u w:val="single"/>
        </w:rPr>
      </w:pPr>
      <w:r w:rsidRPr="00296606">
        <w:rPr>
          <w:sz w:val="24"/>
          <w:szCs w:val="24"/>
          <w:u w:val="single"/>
        </w:rPr>
        <w:lastRenderedPageBreak/>
        <w:t>Administration</w:t>
      </w:r>
    </w:p>
    <w:p w14:paraId="0D58A334" w14:textId="77777777" w:rsidR="00032351" w:rsidRPr="00296606" w:rsidRDefault="00032351" w:rsidP="008345F9">
      <w:pPr>
        <w:ind w:left="851"/>
        <w:rPr>
          <w:sz w:val="24"/>
          <w:szCs w:val="24"/>
        </w:rPr>
      </w:pPr>
    </w:p>
    <w:p w14:paraId="1C79B704" w14:textId="77777777" w:rsidR="00032351" w:rsidRPr="00296606" w:rsidRDefault="00032351" w:rsidP="008345F9">
      <w:pPr>
        <w:ind w:left="851"/>
        <w:rPr>
          <w:sz w:val="24"/>
          <w:szCs w:val="24"/>
        </w:rPr>
      </w:pPr>
      <w:proofErr w:type="spellStart"/>
      <w:r w:rsidRPr="00296606">
        <w:rPr>
          <w:sz w:val="24"/>
          <w:szCs w:val="24"/>
        </w:rPr>
        <w:t>Atgam</w:t>
      </w:r>
      <w:proofErr w:type="spellEnd"/>
      <w:r w:rsidRPr="00296606">
        <w:rPr>
          <w:sz w:val="24"/>
          <w:szCs w:val="24"/>
        </w:rPr>
        <w:t xml:space="preserve"> er beregnet til intravenøs anvendelse og skal helst administreres i en central vene med høj gennemstrømning.</w:t>
      </w:r>
    </w:p>
    <w:p w14:paraId="046EE5FB" w14:textId="77777777" w:rsidR="00032351" w:rsidRPr="00296606" w:rsidRDefault="00032351" w:rsidP="008345F9">
      <w:pPr>
        <w:ind w:left="851"/>
        <w:rPr>
          <w:sz w:val="24"/>
          <w:szCs w:val="24"/>
        </w:rPr>
      </w:pPr>
    </w:p>
    <w:p w14:paraId="2D797346" w14:textId="77777777" w:rsidR="00032351" w:rsidRPr="00296606" w:rsidRDefault="00032351" w:rsidP="008345F9">
      <w:pPr>
        <w:ind w:left="851"/>
        <w:rPr>
          <w:i/>
          <w:iCs/>
          <w:sz w:val="24"/>
          <w:szCs w:val="24"/>
        </w:rPr>
      </w:pPr>
      <w:r w:rsidRPr="00296606">
        <w:rPr>
          <w:i/>
          <w:iCs/>
          <w:sz w:val="24"/>
          <w:szCs w:val="24"/>
        </w:rPr>
        <w:t>Præmedicinering</w:t>
      </w:r>
    </w:p>
    <w:p w14:paraId="27481AE6" w14:textId="77777777" w:rsidR="00032351" w:rsidRPr="00296606" w:rsidRDefault="00032351" w:rsidP="008345F9">
      <w:pPr>
        <w:tabs>
          <w:tab w:val="left" w:pos="1304"/>
        </w:tabs>
        <w:ind w:left="851"/>
        <w:rPr>
          <w:sz w:val="24"/>
          <w:szCs w:val="24"/>
        </w:rPr>
      </w:pPr>
      <w:r w:rsidRPr="00296606">
        <w:rPr>
          <w:sz w:val="24"/>
          <w:szCs w:val="24"/>
        </w:rPr>
        <w:t xml:space="preserve">Præmedicinering i form af </w:t>
      </w:r>
      <w:proofErr w:type="spellStart"/>
      <w:r w:rsidRPr="00296606">
        <w:rPr>
          <w:sz w:val="24"/>
          <w:szCs w:val="24"/>
        </w:rPr>
        <w:t>kortikosteroider</w:t>
      </w:r>
      <w:proofErr w:type="spellEnd"/>
      <w:r w:rsidRPr="00296606">
        <w:rPr>
          <w:sz w:val="24"/>
          <w:szCs w:val="24"/>
        </w:rPr>
        <w:t xml:space="preserve"> og antihistaminer anbefales inden infusion af </w:t>
      </w:r>
      <w:proofErr w:type="spellStart"/>
      <w:r w:rsidRPr="00296606">
        <w:rPr>
          <w:sz w:val="24"/>
          <w:szCs w:val="24"/>
        </w:rPr>
        <w:t>Atgam</w:t>
      </w:r>
      <w:proofErr w:type="spellEnd"/>
      <w:r w:rsidRPr="00296606">
        <w:rPr>
          <w:sz w:val="24"/>
          <w:szCs w:val="24"/>
        </w:rPr>
        <w:t xml:space="preserve"> i overensstemmelse med hospitalets retningslinjer/praksis. Febernedsættende midler kan også øge </w:t>
      </w:r>
      <w:proofErr w:type="spellStart"/>
      <w:r w:rsidRPr="00296606">
        <w:rPr>
          <w:sz w:val="24"/>
          <w:szCs w:val="24"/>
        </w:rPr>
        <w:t>tolerabiliteten</w:t>
      </w:r>
      <w:proofErr w:type="spellEnd"/>
      <w:r w:rsidRPr="00296606">
        <w:rPr>
          <w:sz w:val="24"/>
          <w:szCs w:val="24"/>
        </w:rPr>
        <w:t xml:space="preserve"> af infusionen af </w:t>
      </w:r>
      <w:proofErr w:type="spellStart"/>
      <w:r w:rsidRPr="00296606">
        <w:rPr>
          <w:sz w:val="24"/>
          <w:szCs w:val="24"/>
        </w:rPr>
        <w:t>Atgam</w:t>
      </w:r>
      <w:proofErr w:type="spellEnd"/>
      <w:r w:rsidRPr="00296606">
        <w:rPr>
          <w:sz w:val="24"/>
          <w:szCs w:val="24"/>
        </w:rPr>
        <w:t xml:space="preserve"> (se pkt. 4.4).</w:t>
      </w:r>
    </w:p>
    <w:p w14:paraId="143CB490" w14:textId="77777777" w:rsidR="00032351" w:rsidRPr="00296606" w:rsidRDefault="00032351" w:rsidP="008345F9">
      <w:pPr>
        <w:ind w:left="851"/>
        <w:rPr>
          <w:sz w:val="24"/>
          <w:szCs w:val="24"/>
        </w:rPr>
      </w:pPr>
    </w:p>
    <w:p w14:paraId="77E7A4F7" w14:textId="77777777" w:rsidR="00032351" w:rsidRPr="00296606" w:rsidRDefault="00032351" w:rsidP="008345F9">
      <w:pPr>
        <w:ind w:left="851"/>
        <w:rPr>
          <w:i/>
          <w:iCs/>
          <w:sz w:val="24"/>
          <w:szCs w:val="24"/>
        </w:rPr>
      </w:pPr>
      <w:r w:rsidRPr="00296606">
        <w:rPr>
          <w:i/>
          <w:iCs/>
          <w:sz w:val="24"/>
          <w:szCs w:val="24"/>
        </w:rPr>
        <w:t>Administration</w:t>
      </w:r>
    </w:p>
    <w:p w14:paraId="0CB0A1D4" w14:textId="77777777" w:rsidR="00032351" w:rsidRPr="00296606" w:rsidRDefault="00032351" w:rsidP="008345F9">
      <w:pPr>
        <w:ind w:left="851"/>
        <w:rPr>
          <w:sz w:val="24"/>
          <w:szCs w:val="24"/>
        </w:rPr>
      </w:pPr>
      <w:proofErr w:type="spellStart"/>
      <w:r w:rsidRPr="00296606">
        <w:rPr>
          <w:sz w:val="24"/>
          <w:szCs w:val="24"/>
        </w:rPr>
        <w:t>Atgam</w:t>
      </w:r>
      <w:proofErr w:type="spellEnd"/>
      <w:r w:rsidRPr="00296606">
        <w:rPr>
          <w:sz w:val="24"/>
          <w:szCs w:val="24"/>
        </w:rPr>
        <w:t xml:space="preserve"> skal fortyndes inden infusion og skal administreres med passende aseptiske teknikker (se pkt. 6.3 og 6.6). </w:t>
      </w:r>
    </w:p>
    <w:p w14:paraId="6F3CEC7F" w14:textId="77777777" w:rsidR="00032351" w:rsidRPr="00296606" w:rsidRDefault="00032351" w:rsidP="008345F9">
      <w:pPr>
        <w:ind w:left="851"/>
        <w:rPr>
          <w:sz w:val="24"/>
          <w:szCs w:val="24"/>
        </w:rPr>
      </w:pPr>
    </w:p>
    <w:p w14:paraId="0F49C3F8" w14:textId="77777777" w:rsidR="00032351" w:rsidRPr="00296606" w:rsidRDefault="00032351" w:rsidP="008345F9">
      <w:pPr>
        <w:tabs>
          <w:tab w:val="left" w:pos="1304"/>
        </w:tabs>
        <w:ind w:left="851"/>
        <w:rPr>
          <w:sz w:val="24"/>
          <w:szCs w:val="24"/>
        </w:rPr>
      </w:pPr>
      <w:r w:rsidRPr="00296606">
        <w:rPr>
          <w:sz w:val="24"/>
          <w:szCs w:val="24"/>
        </w:rPr>
        <w:t xml:space="preserve">Fortyndet </w:t>
      </w:r>
      <w:proofErr w:type="spellStart"/>
      <w:r w:rsidRPr="00296606">
        <w:rPr>
          <w:sz w:val="24"/>
          <w:szCs w:val="24"/>
        </w:rPr>
        <w:t>Atgam</w:t>
      </w:r>
      <w:proofErr w:type="spellEnd"/>
      <w:r w:rsidRPr="00296606">
        <w:rPr>
          <w:sz w:val="24"/>
          <w:szCs w:val="24"/>
        </w:rPr>
        <w:t xml:space="preserve"> skal have stuetemperatur (20°C-25°C) inden infusion. </w:t>
      </w:r>
      <w:proofErr w:type="spellStart"/>
      <w:r w:rsidRPr="00296606">
        <w:rPr>
          <w:sz w:val="24"/>
          <w:szCs w:val="24"/>
        </w:rPr>
        <w:t>Atgam</w:t>
      </w:r>
      <w:proofErr w:type="spellEnd"/>
      <w:r w:rsidRPr="00296606">
        <w:rPr>
          <w:sz w:val="24"/>
          <w:szCs w:val="24"/>
        </w:rPr>
        <w:t xml:space="preserve"> skal administreres i en central vene med høj gennemstrømning via et in-line-filter (0,2</w:t>
      </w:r>
      <w:r w:rsidRPr="00296606">
        <w:rPr>
          <w:sz w:val="24"/>
          <w:szCs w:val="24"/>
        </w:rPr>
        <w:noBreakHyphen/>
        <w:t xml:space="preserve">1,0 mikrometer). Der skal anvendes et in-line-filter (medfølger ikke) ved alle infusioner af </w:t>
      </w:r>
      <w:proofErr w:type="spellStart"/>
      <w:r w:rsidRPr="00296606">
        <w:rPr>
          <w:sz w:val="24"/>
          <w:szCs w:val="24"/>
        </w:rPr>
        <w:t>Atgam</w:t>
      </w:r>
      <w:proofErr w:type="spellEnd"/>
      <w:r w:rsidRPr="00296606">
        <w:rPr>
          <w:sz w:val="24"/>
          <w:szCs w:val="24"/>
        </w:rPr>
        <w:t xml:space="preserve"> for at forhindre administration af eventuelt uopløseligt materiale, der kan udvikles under opbevaring. Brugen af vener med høj gennemstrømning vil minimere forekomsten af </w:t>
      </w:r>
      <w:proofErr w:type="spellStart"/>
      <w:r w:rsidRPr="00296606">
        <w:rPr>
          <w:sz w:val="24"/>
          <w:szCs w:val="24"/>
        </w:rPr>
        <w:t>phlebitis</w:t>
      </w:r>
      <w:proofErr w:type="spellEnd"/>
      <w:r w:rsidRPr="00296606">
        <w:rPr>
          <w:sz w:val="24"/>
          <w:szCs w:val="24"/>
        </w:rPr>
        <w:t xml:space="preserve"> og trombose. </w:t>
      </w:r>
    </w:p>
    <w:p w14:paraId="1BEFB014" w14:textId="77777777" w:rsidR="00032351" w:rsidRPr="00296606" w:rsidRDefault="00032351" w:rsidP="008345F9">
      <w:pPr>
        <w:tabs>
          <w:tab w:val="left" w:pos="1304"/>
        </w:tabs>
        <w:ind w:left="851"/>
        <w:rPr>
          <w:sz w:val="24"/>
          <w:szCs w:val="24"/>
        </w:rPr>
      </w:pPr>
    </w:p>
    <w:p w14:paraId="55429E78" w14:textId="77777777" w:rsidR="00032351" w:rsidRPr="00296606" w:rsidRDefault="00032351" w:rsidP="008345F9">
      <w:pPr>
        <w:tabs>
          <w:tab w:val="left" w:pos="1304"/>
        </w:tabs>
        <w:ind w:left="851"/>
        <w:rPr>
          <w:sz w:val="24"/>
          <w:szCs w:val="24"/>
        </w:rPr>
      </w:pPr>
      <w:r w:rsidRPr="00296606">
        <w:rPr>
          <w:sz w:val="24"/>
          <w:szCs w:val="24"/>
        </w:rPr>
        <w:t xml:space="preserve">Infusionsvarighed for 40 mg/kg doseringen er 12 til 18 timer. </w:t>
      </w:r>
      <w:proofErr w:type="spellStart"/>
      <w:r w:rsidRPr="00296606">
        <w:rPr>
          <w:sz w:val="24"/>
          <w:szCs w:val="24"/>
        </w:rPr>
        <w:t>Atgam</w:t>
      </w:r>
      <w:proofErr w:type="spellEnd"/>
      <w:r w:rsidRPr="00296606">
        <w:rPr>
          <w:sz w:val="24"/>
          <w:szCs w:val="24"/>
        </w:rPr>
        <w:t xml:space="preserve"> må ikke </w:t>
      </w:r>
      <w:proofErr w:type="spellStart"/>
      <w:r w:rsidRPr="00296606">
        <w:rPr>
          <w:sz w:val="24"/>
          <w:szCs w:val="24"/>
        </w:rPr>
        <w:t>infunderes</w:t>
      </w:r>
      <w:proofErr w:type="spellEnd"/>
      <w:r w:rsidRPr="00296606">
        <w:rPr>
          <w:sz w:val="24"/>
          <w:szCs w:val="24"/>
        </w:rPr>
        <w:t xml:space="preserve"> på mindre end 4 timer. En forlængelse af infusionstiden kan reducere bivirkninger. Patienten skal holdes under uafbrudt observation under og efter infusionen med henblik på eventuelle allergiske reaktioner (se pkt. 4.4 og 4.8). Efter administrationen anbefales det at skylle iv-slangerne.</w:t>
      </w:r>
    </w:p>
    <w:p w14:paraId="77C64C10" w14:textId="77777777" w:rsidR="00032351" w:rsidRPr="00296606" w:rsidRDefault="00032351" w:rsidP="008345F9">
      <w:pPr>
        <w:ind w:left="851"/>
        <w:rPr>
          <w:noProof/>
          <w:sz w:val="24"/>
          <w:szCs w:val="24"/>
        </w:rPr>
      </w:pPr>
    </w:p>
    <w:p w14:paraId="0D61064A" w14:textId="77777777" w:rsidR="00032351" w:rsidRPr="00296606" w:rsidRDefault="00032351" w:rsidP="008345F9">
      <w:pPr>
        <w:ind w:left="851"/>
        <w:rPr>
          <w:sz w:val="24"/>
          <w:szCs w:val="24"/>
        </w:rPr>
      </w:pPr>
      <w:r w:rsidRPr="00296606">
        <w:rPr>
          <w:sz w:val="24"/>
          <w:szCs w:val="24"/>
        </w:rPr>
        <w:t xml:space="preserve">Mængden af den fortyndede opløsning til infusion skal beregnes på basis af faktorer såsom patientens </w:t>
      </w:r>
      <w:proofErr w:type="spellStart"/>
      <w:r w:rsidRPr="00296606">
        <w:rPr>
          <w:sz w:val="24"/>
          <w:szCs w:val="24"/>
        </w:rPr>
        <w:t>hæmodynamiske</w:t>
      </w:r>
      <w:proofErr w:type="spellEnd"/>
      <w:r w:rsidRPr="00296606">
        <w:rPr>
          <w:sz w:val="24"/>
          <w:szCs w:val="24"/>
        </w:rPr>
        <w:t xml:space="preserve"> status, alder og vægt.</w:t>
      </w:r>
    </w:p>
    <w:p w14:paraId="5E3AFDC0" w14:textId="77777777" w:rsidR="00032351" w:rsidRPr="00296606" w:rsidRDefault="00032351" w:rsidP="008345F9">
      <w:pPr>
        <w:ind w:left="851"/>
        <w:rPr>
          <w:sz w:val="24"/>
          <w:szCs w:val="24"/>
        </w:rPr>
      </w:pPr>
    </w:p>
    <w:p w14:paraId="1825A9C9" w14:textId="77777777" w:rsidR="00032351" w:rsidRPr="00296606" w:rsidRDefault="00032351" w:rsidP="008345F9">
      <w:pPr>
        <w:ind w:left="851"/>
        <w:rPr>
          <w:i/>
          <w:iCs/>
          <w:sz w:val="24"/>
          <w:szCs w:val="24"/>
        </w:rPr>
      </w:pPr>
      <w:r w:rsidRPr="00296606">
        <w:rPr>
          <w:i/>
          <w:iCs/>
          <w:sz w:val="24"/>
          <w:szCs w:val="24"/>
        </w:rPr>
        <w:t xml:space="preserve">Samtidig behandling med </w:t>
      </w:r>
      <w:proofErr w:type="spellStart"/>
      <w:r w:rsidRPr="00296606">
        <w:rPr>
          <w:i/>
          <w:iCs/>
          <w:sz w:val="24"/>
          <w:szCs w:val="24"/>
        </w:rPr>
        <w:t>immunosupprimerende</w:t>
      </w:r>
      <w:proofErr w:type="spellEnd"/>
      <w:r w:rsidRPr="00296606">
        <w:rPr>
          <w:i/>
          <w:iCs/>
          <w:sz w:val="24"/>
          <w:szCs w:val="24"/>
        </w:rPr>
        <w:t xml:space="preserve"> behandling</w:t>
      </w:r>
    </w:p>
    <w:p w14:paraId="77EF413C" w14:textId="77777777" w:rsidR="00032351" w:rsidRPr="00296606" w:rsidRDefault="00032351" w:rsidP="008345F9">
      <w:pPr>
        <w:ind w:left="851"/>
        <w:rPr>
          <w:sz w:val="24"/>
          <w:szCs w:val="24"/>
        </w:rPr>
      </w:pPr>
      <w:proofErr w:type="spellStart"/>
      <w:r w:rsidRPr="00296606">
        <w:rPr>
          <w:sz w:val="24"/>
          <w:szCs w:val="24"/>
        </w:rPr>
        <w:t>Atgam</w:t>
      </w:r>
      <w:proofErr w:type="spellEnd"/>
      <w:r w:rsidRPr="00296606">
        <w:rPr>
          <w:sz w:val="24"/>
          <w:szCs w:val="24"/>
        </w:rPr>
        <w:t xml:space="preserve"> gives almindeligvis sammen med </w:t>
      </w:r>
      <w:proofErr w:type="spellStart"/>
      <w:r w:rsidRPr="00296606">
        <w:rPr>
          <w:sz w:val="24"/>
          <w:szCs w:val="24"/>
        </w:rPr>
        <w:t>ciclosporin</w:t>
      </w:r>
      <w:proofErr w:type="spellEnd"/>
      <w:r w:rsidRPr="00296606">
        <w:rPr>
          <w:sz w:val="24"/>
          <w:szCs w:val="24"/>
        </w:rPr>
        <w:t xml:space="preserve"> A.</w:t>
      </w:r>
    </w:p>
    <w:p w14:paraId="179A13C6" w14:textId="0238968F" w:rsidR="009260DE" w:rsidRPr="00296606" w:rsidRDefault="009260DE" w:rsidP="009260DE">
      <w:pPr>
        <w:tabs>
          <w:tab w:val="left" w:pos="851"/>
        </w:tabs>
        <w:ind w:left="851"/>
        <w:rPr>
          <w:sz w:val="24"/>
          <w:szCs w:val="24"/>
        </w:rPr>
      </w:pPr>
    </w:p>
    <w:p w14:paraId="37C8FEE5" w14:textId="77777777" w:rsidR="009260DE" w:rsidRPr="00296606" w:rsidRDefault="009260DE" w:rsidP="009260DE">
      <w:pPr>
        <w:tabs>
          <w:tab w:val="left" w:pos="851"/>
        </w:tabs>
        <w:ind w:left="851" w:hanging="851"/>
        <w:rPr>
          <w:b/>
          <w:sz w:val="24"/>
          <w:szCs w:val="24"/>
        </w:rPr>
      </w:pPr>
      <w:r w:rsidRPr="00296606">
        <w:rPr>
          <w:b/>
          <w:sz w:val="24"/>
          <w:szCs w:val="24"/>
        </w:rPr>
        <w:t>4.3</w:t>
      </w:r>
      <w:r w:rsidRPr="00296606">
        <w:rPr>
          <w:b/>
          <w:sz w:val="24"/>
          <w:szCs w:val="24"/>
        </w:rPr>
        <w:tab/>
        <w:t>Kontraindikationer</w:t>
      </w:r>
    </w:p>
    <w:p w14:paraId="1AFA83D5" w14:textId="77777777" w:rsidR="00032351" w:rsidRPr="00296606" w:rsidRDefault="00032351" w:rsidP="008345F9">
      <w:pPr>
        <w:numPr>
          <w:ilvl w:val="0"/>
          <w:numId w:val="8"/>
        </w:numPr>
        <w:spacing w:line="260" w:lineRule="exact"/>
        <w:ind w:left="1276" w:hanging="425"/>
        <w:rPr>
          <w:sz w:val="24"/>
          <w:szCs w:val="24"/>
        </w:rPr>
      </w:pPr>
      <w:r w:rsidRPr="00296606">
        <w:rPr>
          <w:sz w:val="24"/>
          <w:szCs w:val="24"/>
        </w:rPr>
        <w:t>Overfølsomhed over for det aktive stof eller over for et eller flere af hjælpestofferne anført i pkt. 6.1.</w:t>
      </w:r>
    </w:p>
    <w:p w14:paraId="17A04FEF" w14:textId="77777777" w:rsidR="00032351" w:rsidRPr="00296606" w:rsidRDefault="00032351" w:rsidP="008345F9">
      <w:pPr>
        <w:numPr>
          <w:ilvl w:val="0"/>
          <w:numId w:val="8"/>
        </w:numPr>
        <w:spacing w:line="260" w:lineRule="exact"/>
        <w:ind w:left="1276" w:hanging="425"/>
        <w:rPr>
          <w:sz w:val="24"/>
          <w:szCs w:val="24"/>
        </w:rPr>
      </w:pPr>
      <w:r w:rsidRPr="00296606">
        <w:rPr>
          <w:sz w:val="24"/>
          <w:szCs w:val="24"/>
        </w:rPr>
        <w:t xml:space="preserve">Overfølsomhed over for ethvert andet </w:t>
      </w:r>
      <w:proofErr w:type="spellStart"/>
      <w:r w:rsidRPr="00296606">
        <w:rPr>
          <w:sz w:val="24"/>
          <w:szCs w:val="24"/>
        </w:rPr>
        <w:t>ekvint</w:t>
      </w:r>
      <w:proofErr w:type="spellEnd"/>
      <w:r w:rsidRPr="00296606">
        <w:rPr>
          <w:sz w:val="24"/>
          <w:szCs w:val="24"/>
        </w:rPr>
        <w:t xml:space="preserve"> </w:t>
      </w:r>
      <w:proofErr w:type="spellStart"/>
      <w:r w:rsidRPr="00296606">
        <w:rPr>
          <w:sz w:val="24"/>
          <w:szCs w:val="24"/>
        </w:rPr>
        <w:t>gammaglobulinpræparat</w:t>
      </w:r>
      <w:proofErr w:type="spellEnd"/>
      <w:r w:rsidRPr="00296606">
        <w:rPr>
          <w:sz w:val="24"/>
          <w:szCs w:val="24"/>
        </w:rPr>
        <w:t>.</w:t>
      </w:r>
    </w:p>
    <w:p w14:paraId="2CEDFCD5" w14:textId="77777777" w:rsidR="009260DE" w:rsidRPr="00296606" w:rsidRDefault="009260DE" w:rsidP="009260DE">
      <w:pPr>
        <w:tabs>
          <w:tab w:val="left" w:pos="851"/>
        </w:tabs>
        <w:ind w:left="851"/>
        <w:rPr>
          <w:sz w:val="24"/>
          <w:szCs w:val="24"/>
        </w:rPr>
      </w:pPr>
    </w:p>
    <w:p w14:paraId="410937AB" w14:textId="77777777" w:rsidR="009260DE" w:rsidRPr="00296606" w:rsidRDefault="009260DE" w:rsidP="009260DE">
      <w:pPr>
        <w:tabs>
          <w:tab w:val="left" w:pos="851"/>
        </w:tabs>
        <w:ind w:left="851" w:hanging="851"/>
        <w:rPr>
          <w:b/>
          <w:sz w:val="24"/>
          <w:szCs w:val="24"/>
        </w:rPr>
      </w:pPr>
      <w:r w:rsidRPr="00296606">
        <w:rPr>
          <w:b/>
          <w:sz w:val="24"/>
          <w:szCs w:val="24"/>
        </w:rPr>
        <w:t>4.4</w:t>
      </w:r>
      <w:r w:rsidRPr="00296606">
        <w:rPr>
          <w:b/>
          <w:sz w:val="24"/>
          <w:szCs w:val="24"/>
        </w:rPr>
        <w:tab/>
        <w:t>Særlige advarsler og forsigtighedsregler vedrørende brugen</w:t>
      </w:r>
    </w:p>
    <w:p w14:paraId="086456F4" w14:textId="77777777" w:rsidR="00FB2EA3" w:rsidRDefault="00FB2EA3" w:rsidP="00FB2EA3">
      <w:pPr>
        <w:ind w:left="851"/>
        <w:rPr>
          <w:sz w:val="24"/>
          <w:szCs w:val="24"/>
        </w:rPr>
      </w:pPr>
    </w:p>
    <w:p w14:paraId="786BE05C" w14:textId="4E4A0310" w:rsidR="00032351" w:rsidRPr="00FB2EA3" w:rsidRDefault="00032351" w:rsidP="00FB2EA3">
      <w:pPr>
        <w:ind w:left="851"/>
        <w:rPr>
          <w:sz w:val="24"/>
          <w:szCs w:val="24"/>
          <w:u w:val="single"/>
        </w:rPr>
      </w:pPr>
      <w:r w:rsidRPr="00FB2EA3">
        <w:rPr>
          <w:sz w:val="24"/>
          <w:szCs w:val="24"/>
          <w:u w:val="single"/>
        </w:rPr>
        <w:t>Sporbarhed</w:t>
      </w:r>
    </w:p>
    <w:p w14:paraId="5D8B262D" w14:textId="77777777" w:rsidR="00032351" w:rsidRPr="00FB2EA3" w:rsidRDefault="00032351" w:rsidP="00FB2EA3">
      <w:pPr>
        <w:ind w:left="851"/>
        <w:rPr>
          <w:sz w:val="24"/>
          <w:szCs w:val="24"/>
        </w:rPr>
      </w:pPr>
    </w:p>
    <w:p w14:paraId="3E4476D2" w14:textId="77777777" w:rsidR="00032351" w:rsidRPr="00296606" w:rsidRDefault="00032351" w:rsidP="008345F9">
      <w:pPr>
        <w:ind w:left="851"/>
        <w:rPr>
          <w:sz w:val="24"/>
          <w:szCs w:val="24"/>
        </w:rPr>
      </w:pPr>
      <w:r w:rsidRPr="00296606">
        <w:rPr>
          <w:sz w:val="24"/>
          <w:szCs w:val="24"/>
          <w:lang w:eastAsia="en-GB"/>
        </w:rPr>
        <w:t>For at forbedre sporbarheden af biologiske lægemidler skal det administrerede produkts navn og batchnummer tydeligt registreres.</w:t>
      </w:r>
    </w:p>
    <w:p w14:paraId="638F3466" w14:textId="77777777" w:rsidR="00032351" w:rsidRPr="00296606" w:rsidRDefault="00032351" w:rsidP="008345F9">
      <w:pPr>
        <w:ind w:left="851"/>
        <w:rPr>
          <w:sz w:val="24"/>
          <w:szCs w:val="24"/>
        </w:rPr>
      </w:pPr>
    </w:p>
    <w:p w14:paraId="07DA0C4B" w14:textId="77777777" w:rsidR="00032351" w:rsidRPr="00296606" w:rsidRDefault="00032351" w:rsidP="008345F9">
      <w:pPr>
        <w:tabs>
          <w:tab w:val="left" w:pos="1304"/>
        </w:tabs>
        <w:ind w:left="851"/>
        <w:rPr>
          <w:sz w:val="24"/>
          <w:szCs w:val="24"/>
          <w:u w:val="single"/>
        </w:rPr>
      </w:pPr>
      <w:r w:rsidRPr="00296606">
        <w:rPr>
          <w:sz w:val="24"/>
          <w:szCs w:val="24"/>
          <w:u w:val="single"/>
        </w:rPr>
        <w:t xml:space="preserve">Særlige overvejelser for </w:t>
      </w:r>
      <w:proofErr w:type="spellStart"/>
      <w:r w:rsidRPr="00296606">
        <w:rPr>
          <w:sz w:val="24"/>
          <w:szCs w:val="24"/>
          <w:u w:val="single"/>
        </w:rPr>
        <w:t>Atgam</w:t>
      </w:r>
      <w:proofErr w:type="spellEnd"/>
      <w:r w:rsidRPr="00296606">
        <w:rPr>
          <w:sz w:val="24"/>
          <w:szCs w:val="24"/>
          <w:u w:val="single"/>
        </w:rPr>
        <w:t xml:space="preserve"> infusion</w:t>
      </w:r>
    </w:p>
    <w:p w14:paraId="5316478D" w14:textId="77777777" w:rsidR="00032351" w:rsidRPr="00296606" w:rsidRDefault="00032351" w:rsidP="008345F9">
      <w:pPr>
        <w:tabs>
          <w:tab w:val="left" w:pos="1304"/>
        </w:tabs>
        <w:ind w:left="851"/>
        <w:rPr>
          <w:sz w:val="24"/>
          <w:szCs w:val="24"/>
          <w:u w:val="single"/>
        </w:rPr>
      </w:pPr>
    </w:p>
    <w:p w14:paraId="293AD8E2" w14:textId="77777777" w:rsidR="001D5EE6" w:rsidRPr="00296606" w:rsidRDefault="001D5EE6" w:rsidP="001D5EE6">
      <w:pPr>
        <w:keepNext/>
        <w:tabs>
          <w:tab w:val="left" w:pos="1304"/>
        </w:tabs>
        <w:ind w:left="851"/>
        <w:rPr>
          <w:sz w:val="24"/>
          <w:szCs w:val="24"/>
        </w:rPr>
      </w:pPr>
      <w:proofErr w:type="spellStart"/>
      <w:r w:rsidRPr="00296606">
        <w:rPr>
          <w:sz w:val="24"/>
          <w:szCs w:val="24"/>
        </w:rPr>
        <w:t>Atgam</w:t>
      </w:r>
      <w:proofErr w:type="spellEnd"/>
      <w:r w:rsidRPr="00296606">
        <w:rPr>
          <w:sz w:val="24"/>
          <w:szCs w:val="24"/>
        </w:rPr>
        <w:t xml:space="preserve"> skal administreres i en central vene med høj gennemstrømning via et in-line-filter (medfølger ikke). </w:t>
      </w:r>
      <w:proofErr w:type="spellStart"/>
      <w:r w:rsidRPr="00296606">
        <w:rPr>
          <w:sz w:val="24"/>
          <w:szCs w:val="24"/>
        </w:rPr>
        <w:t>Atgam</w:t>
      </w:r>
      <w:proofErr w:type="spellEnd"/>
      <w:r w:rsidRPr="00296606">
        <w:rPr>
          <w:sz w:val="24"/>
          <w:szCs w:val="24"/>
        </w:rPr>
        <w:t xml:space="preserve"> må ikke </w:t>
      </w:r>
      <w:proofErr w:type="spellStart"/>
      <w:r w:rsidRPr="00296606">
        <w:rPr>
          <w:sz w:val="24"/>
          <w:szCs w:val="24"/>
        </w:rPr>
        <w:t>infunderes</w:t>
      </w:r>
      <w:proofErr w:type="spellEnd"/>
      <w:r w:rsidRPr="00296606">
        <w:rPr>
          <w:sz w:val="24"/>
          <w:szCs w:val="24"/>
        </w:rPr>
        <w:t xml:space="preserve"> på mindre end 4 timer. En forlængelse af </w:t>
      </w:r>
      <w:r w:rsidRPr="00296606">
        <w:rPr>
          <w:sz w:val="24"/>
          <w:szCs w:val="24"/>
        </w:rPr>
        <w:lastRenderedPageBreak/>
        <w:t>infusionstiden kan reducere bivirkninger. Patienten skal holdes under uafbrudt observation under og efter infusionen med henblik på eventuelle allergiske reaktioner (se pkt. 4.8).</w:t>
      </w:r>
    </w:p>
    <w:p w14:paraId="519F2693" w14:textId="77777777" w:rsidR="001D5EE6" w:rsidRPr="00F64589" w:rsidRDefault="001D5EE6" w:rsidP="001D5EE6">
      <w:pPr>
        <w:ind w:left="851"/>
        <w:rPr>
          <w:sz w:val="24"/>
          <w:szCs w:val="24"/>
        </w:rPr>
      </w:pPr>
    </w:p>
    <w:p w14:paraId="6197B263" w14:textId="77777777" w:rsidR="001D5EE6" w:rsidRPr="00F64589" w:rsidRDefault="001D5EE6" w:rsidP="001D5EE6">
      <w:pPr>
        <w:ind w:left="851"/>
        <w:rPr>
          <w:iCs/>
          <w:sz w:val="24"/>
          <w:szCs w:val="24"/>
          <w:u w:val="single"/>
        </w:rPr>
      </w:pPr>
      <w:r w:rsidRPr="00F64589">
        <w:rPr>
          <w:iCs/>
          <w:sz w:val="24"/>
          <w:szCs w:val="24"/>
          <w:u w:val="single"/>
        </w:rPr>
        <w:t>Infektion</w:t>
      </w:r>
    </w:p>
    <w:p w14:paraId="13A369C4" w14:textId="77777777" w:rsidR="001D5EE6" w:rsidRPr="00F64589" w:rsidRDefault="001D5EE6" w:rsidP="001D5EE6">
      <w:pPr>
        <w:ind w:left="851"/>
        <w:rPr>
          <w:iCs/>
          <w:sz w:val="24"/>
          <w:szCs w:val="24"/>
          <w:u w:val="single"/>
        </w:rPr>
      </w:pPr>
    </w:p>
    <w:p w14:paraId="7F1D49F5" w14:textId="77777777" w:rsidR="001D5EE6" w:rsidRPr="00F64589" w:rsidRDefault="001D5EE6" w:rsidP="001D5EE6">
      <w:pPr>
        <w:ind w:left="851"/>
        <w:rPr>
          <w:sz w:val="24"/>
          <w:szCs w:val="24"/>
        </w:rPr>
      </w:pPr>
      <w:r w:rsidRPr="00F64589">
        <w:rPr>
          <w:sz w:val="24"/>
          <w:szCs w:val="24"/>
        </w:rPr>
        <w:t xml:space="preserve">På grund af sygdommens karakter og </w:t>
      </w:r>
      <w:proofErr w:type="spellStart"/>
      <w:r w:rsidRPr="00F64589">
        <w:rPr>
          <w:sz w:val="24"/>
          <w:szCs w:val="24"/>
        </w:rPr>
        <w:t>Atgams</w:t>
      </w:r>
      <w:proofErr w:type="spellEnd"/>
      <w:r w:rsidRPr="00F64589">
        <w:rPr>
          <w:sz w:val="24"/>
          <w:szCs w:val="24"/>
        </w:rPr>
        <w:t xml:space="preserve"> </w:t>
      </w:r>
      <w:proofErr w:type="spellStart"/>
      <w:r w:rsidRPr="00F64589">
        <w:rPr>
          <w:sz w:val="24"/>
          <w:szCs w:val="24"/>
        </w:rPr>
        <w:t>immunosuppressive</w:t>
      </w:r>
      <w:proofErr w:type="spellEnd"/>
      <w:r w:rsidRPr="00F64589">
        <w:rPr>
          <w:sz w:val="24"/>
          <w:szCs w:val="24"/>
        </w:rPr>
        <w:t xml:space="preserve"> virkning er opportunistiske infektioner (der skyldes bakterier og svampe) meget almindelige. Der er også rapporteret sepsis. Risikoen for infektioner øges, når </w:t>
      </w:r>
      <w:proofErr w:type="spellStart"/>
      <w:r w:rsidRPr="00F64589">
        <w:rPr>
          <w:sz w:val="24"/>
          <w:szCs w:val="24"/>
        </w:rPr>
        <w:t>Atgam</w:t>
      </w:r>
      <w:proofErr w:type="spellEnd"/>
      <w:r w:rsidRPr="00F64589">
        <w:rPr>
          <w:sz w:val="24"/>
          <w:szCs w:val="24"/>
        </w:rPr>
        <w:t xml:space="preserve"> kombineres med andre </w:t>
      </w:r>
      <w:proofErr w:type="spellStart"/>
      <w:r w:rsidRPr="00F64589">
        <w:rPr>
          <w:sz w:val="24"/>
          <w:szCs w:val="24"/>
        </w:rPr>
        <w:t>immunosuppressive</w:t>
      </w:r>
      <w:proofErr w:type="spellEnd"/>
      <w:r w:rsidRPr="00F64589">
        <w:rPr>
          <w:sz w:val="24"/>
          <w:szCs w:val="24"/>
        </w:rPr>
        <w:t xml:space="preserve"> stoffer. Der er en øget risiko for reaktivering af virus (</w:t>
      </w:r>
      <w:r>
        <w:rPr>
          <w:sz w:val="24"/>
          <w:szCs w:val="24"/>
        </w:rPr>
        <w:t>f.eks.</w:t>
      </w:r>
      <w:r w:rsidRPr="00F64589">
        <w:rPr>
          <w:sz w:val="24"/>
          <w:szCs w:val="24"/>
        </w:rPr>
        <w:t xml:space="preserve"> </w:t>
      </w:r>
      <w:proofErr w:type="spellStart"/>
      <w:r w:rsidRPr="00F64589">
        <w:rPr>
          <w:sz w:val="24"/>
          <w:szCs w:val="24"/>
        </w:rPr>
        <w:t>cytomegalovirus</w:t>
      </w:r>
      <w:proofErr w:type="spellEnd"/>
      <w:r w:rsidRPr="00F64589">
        <w:rPr>
          <w:sz w:val="24"/>
          <w:szCs w:val="24"/>
        </w:rPr>
        <w:t xml:space="preserve"> (CMV), </w:t>
      </w:r>
      <w:proofErr w:type="spellStart"/>
      <w:r w:rsidRPr="00F64589">
        <w:rPr>
          <w:sz w:val="24"/>
          <w:szCs w:val="24"/>
        </w:rPr>
        <w:t>Epstein</w:t>
      </w:r>
      <w:proofErr w:type="spellEnd"/>
      <w:r>
        <w:rPr>
          <w:sz w:val="24"/>
          <w:szCs w:val="24"/>
        </w:rPr>
        <w:t>-</w:t>
      </w:r>
      <w:r w:rsidRPr="00F64589">
        <w:rPr>
          <w:sz w:val="24"/>
          <w:szCs w:val="24"/>
        </w:rPr>
        <w:t xml:space="preserve">Barr-virus (EBV) og herpes </w:t>
      </w:r>
      <w:proofErr w:type="spellStart"/>
      <w:r w:rsidRPr="00F64589">
        <w:rPr>
          <w:sz w:val="24"/>
          <w:szCs w:val="24"/>
        </w:rPr>
        <w:t>simplex</w:t>
      </w:r>
      <w:proofErr w:type="spellEnd"/>
      <w:r w:rsidRPr="00F64589">
        <w:rPr>
          <w:sz w:val="24"/>
          <w:szCs w:val="24"/>
        </w:rPr>
        <w:t>-virus (HSV)). Patienten skal overvåges omhyggeligt for tegn på infektion, og behandling skal påbegyndes i overensstemmelse med hospitalets retningslinjer/praksis.</w:t>
      </w:r>
    </w:p>
    <w:p w14:paraId="21AB4054" w14:textId="77777777" w:rsidR="001D5EE6" w:rsidRPr="00F64589" w:rsidRDefault="001D5EE6" w:rsidP="001D5EE6">
      <w:pPr>
        <w:ind w:left="851"/>
        <w:rPr>
          <w:noProof/>
          <w:sz w:val="24"/>
          <w:szCs w:val="24"/>
        </w:rPr>
      </w:pPr>
    </w:p>
    <w:p w14:paraId="02DC0BBC" w14:textId="77777777" w:rsidR="00032351" w:rsidRPr="00F64589" w:rsidRDefault="00032351" w:rsidP="00F64589">
      <w:pPr>
        <w:ind w:left="851"/>
        <w:rPr>
          <w:noProof/>
          <w:sz w:val="24"/>
          <w:szCs w:val="24"/>
        </w:rPr>
      </w:pPr>
    </w:p>
    <w:p w14:paraId="4EBAD3C2" w14:textId="77777777" w:rsidR="00032351" w:rsidRPr="00296606" w:rsidRDefault="00032351" w:rsidP="008345F9">
      <w:pPr>
        <w:ind w:left="851"/>
        <w:rPr>
          <w:iCs/>
          <w:sz w:val="24"/>
          <w:szCs w:val="24"/>
          <w:u w:val="single"/>
        </w:rPr>
      </w:pPr>
      <w:r w:rsidRPr="00296606">
        <w:rPr>
          <w:iCs/>
          <w:sz w:val="24"/>
          <w:szCs w:val="24"/>
          <w:u w:val="single"/>
        </w:rPr>
        <w:t>Immunmedierede reaktioner</w:t>
      </w:r>
    </w:p>
    <w:p w14:paraId="705A969D" w14:textId="77777777" w:rsidR="00032351" w:rsidRPr="00296606" w:rsidRDefault="00032351" w:rsidP="008345F9">
      <w:pPr>
        <w:ind w:left="851"/>
        <w:rPr>
          <w:iCs/>
          <w:sz w:val="24"/>
          <w:szCs w:val="24"/>
          <w:u w:val="single"/>
        </w:rPr>
      </w:pPr>
    </w:p>
    <w:p w14:paraId="5E50ED69" w14:textId="77777777" w:rsidR="00032351" w:rsidRPr="00296606" w:rsidRDefault="00032351" w:rsidP="008345F9">
      <w:pPr>
        <w:tabs>
          <w:tab w:val="left" w:pos="1304"/>
        </w:tabs>
        <w:ind w:left="851"/>
        <w:rPr>
          <w:sz w:val="24"/>
          <w:szCs w:val="24"/>
          <w:lang w:eastAsia="en-GB"/>
        </w:rPr>
      </w:pPr>
      <w:r w:rsidRPr="00296606">
        <w:rPr>
          <w:sz w:val="24"/>
          <w:szCs w:val="24"/>
        </w:rPr>
        <w:t xml:space="preserve">I sjældne tilfælde er der rapporteret alvorlige immunmedierede reaktioner ved brug af </w:t>
      </w:r>
      <w:proofErr w:type="spellStart"/>
      <w:r w:rsidRPr="00296606">
        <w:rPr>
          <w:sz w:val="24"/>
          <w:szCs w:val="24"/>
        </w:rPr>
        <w:t>Atgam</w:t>
      </w:r>
      <w:proofErr w:type="spellEnd"/>
      <w:r w:rsidRPr="00296606">
        <w:rPr>
          <w:sz w:val="24"/>
          <w:szCs w:val="24"/>
        </w:rPr>
        <w:t>.</w:t>
      </w:r>
      <w:r w:rsidRPr="00296606">
        <w:rPr>
          <w:sz w:val="24"/>
          <w:szCs w:val="24"/>
          <w:lang w:eastAsia="en-GB"/>
        </w:rPr>
        <w:t xml:space="preserve"> </w:t>
      </w:r>
      <w:r w:rsidRPr="00296606">
        <w:rPr>
          <w:sz w:val="24"/>
          <w:szCs w:val="24"/>
        </w:rPr>
        <w:t xml:space="preserve">Kliniske tegn, der forbindes med anafylaksi, andre reaktioner forbundet med infusion, serumsygdom og relaterede symptomer herunder udslæt, </w:t>
      </w:r>
      <w:proofErr w:type="spellStart"/>
      <w:r w:rsidRPr="00296606">
        <w:rPr>
          <w:sz w:val="24"/>
          <w:szCs w:val="24"/>
        </w:rPr>
        <w:t>artralgi</w:t>
      </w:r>
      <w:proofErr w:type="spellEnd"/>
      <w:r w:rsidRPr="00296606">
        <w:rPr>
          <w:sz w:val="24"/>
          <w:szCs w:val="24"/>
        </w:rPr>
        <w:t xml:space="preserve">, </w:t>
      </w:r>
      <w:proofErr w:type="spellStart"/>
      <w:r w:rsidRPr="00296606">
        <w:rPr>
          <w:sz w:val="24"/>
          <w:szCs w:val="24"/>
        </w:rPr>
        <w:t>pyreksi</w:t>
      </w:r>
      <w:proofErr w:type="spellEnd"/>
      <w:r w:rsidRPr="00296606">
        <w:rPr>
          <w:sz w:val="24"/>
          <w:szCs w:val="24"/>
        </w:rPr>
        <w:t>, kulderystninger og smerter er blevet rapporteret (se pkt. 4.8).</w:t>
      </w:r>
      <w:r w:rsidRPr="00296606">
        <w:rPr>
          <w:sz w:val="24"/>
          <w:szCs w:val="24"/>
          <w:lang w:eastAsia="en-GB"/>
        </w:rPr>
        <w:t xml:space="preserve"> </w:t>
      </w:r>
    </w:p>
    <w:p w14:paraId="61B0B008" w14:textId="77777777" w:rsidR="00032351" w:rsidRPr="00296606" w:rsidRDefault="00032351" w:rsidP="008345F9">
      <w:pPr>
        <w:tabs>
          <w:tab w:val="left" w:pos="1304"/>
        </w:tabs>
        <w:autoSpaceDE w:val="0"/>
        <w:autoSpaceDN w:val="0"/>
        <w:adjustRightInd w:val="0"/>
        <w:ind w:left="851"/>
        <w:rPr>
          <w:sz w:val="24"/>
          <w:szCs w:val="24"/>
          <w:lang w:eastAsia="en-GB"/>
        </w:rPr>
      </w:pPr>
    </w:p>
    <w:p w14:paraId="525E0968" w14:textId="77777777" w:rsidR="00032351" w:rsidRPr="00296606" w:rsidRDefault="00032351" w:rsidP="008345F9">
      <w:pPr>
        <w:tabs>
          <w:tab w:val="left" w:pos="1304"/>
        </w:tabs>
        <w:autoSpaceDE w:val="0"/>
        <w:autoSpaceDN w:val="0"/>
        <w:adjustRightInd w:val="0"/>
        <w:ind w:left="851"/>
        <w:rPr>
          <w:sz w:val="24"/>
          <w:szCs w:val="24"/>
        </w:rPr>
      </w:pPr>
      <w:r w:rsidRPr="00296606">
        <w:rPr>
          <w:sz w:val="24"/>
          <w:szCs w:val="24"/>
        </w:rPr>
        <w:t xml:space="preserve">En systemisk reaktion såsom generaliseret udslæt, </w:t>
      </w:r>
      <w:proofErr w:type="spellStart"/>
      <w:r w:rsidRPr="00296606">
        <w:rPr>
          <w:sz w:val="24"/>
          <w:szCs w:val="24"/>
        </w:rPr>
        <w:t>takykardi</w:t>
      </w:r>
      <w:proofErr w:type="spellEnd"/>
      <w:r w:rsidRPr="00296606">
        <w:rPr>
          <w:sz w:val="24"/>
          <w:szCs w:val="24"/>
        </w:rPr>
        <w:t xml:space="preserve">, dyspnø, hypotension eller anafylaksi udelukker enhver yderligere administration af </w:t>
      </w:r>
      <w:proofErr w:type="spellStart"/>
      <w:r w:rsidRPr="00296606">
        <w:rPr>
          <w:sz w:val="24"/>
          <w:szCs w:val="24"/>
        </w:rPr>
        <w:t>Atgam</w:t>
      </w:r>
      <w:proofErr w:type="spellEnd"/>
      <w:r w:rsidRPr="00296606">
        <w:rPr>
          <w:sz w:val="24"/>
          <w:szCs w:val="24"/>
        </w:rPr>
        <w:t>.</w:t>
      </w:r>
    </w:p>
    <w:p w14:paraId="7C9BC733" w14:textId="77777777" w:rsidR="00032351" w:rsidRPr="00296606" w:rsidRDefault="00032351" w:rsidP="008345F9">
      <w:pPr>
        <w:ind w:left="851"/>
        <w:rPr>
          <w:sz w:val="24"/>
          <w:szCs w:val="24"/>
        </w:rPr>
      </w:pPr>
    </w:p>
    <w:p w14:paraId="7F35E95B" w14:textId="77777777" w:rsidR="00032351" w:rsidRPr="00296606" w:rsidRDefault="00032351" w:rsidP="008345F9">
      <w:pPr>
        <w:ind w:left="851"/>
        <w:rPr>
          <w:sz w:val="24"/>
          <w:szCs w:val="24"/>
        </w:rPr>
      </w:pPr>
      <w:r w:rsidRPr="00296606">
        <w:rPr>
          <w:sz w:val="24"/>
          <w:szCs w:val="24"/>
        </w:rPr>
        <w:t xml:space="preserve">Det anbefales at give </w:t>
      </w:r>
      <w:proofErr w:type="spellStart"/>
      <w:r w:rsidRPr="00296606">
        <w:rPr>
          <w:sz w:val="24"/>
          <w:szCs w:val="24"/>
        </w:rPr>
        <w:t>kortikosteroider</w:t>
      </w:r>
      <w:proofErr w:type="spellEnd"/>
      <w:r w:rsidRPr="00296606">
        <w:rPr>
          <w:sz w:val="24"/>
          <w:szCs w:val="24"/>
        </w:rPr>
        <w:t xml:space="preserve"> og antihistaminer inden infusion af </w:t>
      </w:r>
      <w:proofErr w:type="spellStart"/>
      <w:r w:rsidRPr="00296606">
        <w:rPr>
          <w:sz w:val="24"/>
          <w:szCs w:val="24"/>
        </w:rPr>
        <w:t>Atgam</w:t>
      </w:r>
      <w:proofErr w:type="spellEnd"/>
      <w:r w:rsidRPr="00296606">
        <w:rPr>
          <w:sz w:val="24"/>
          <w:szCs w:val="24"/>
        </w:rPr>
        <w:t xml:space="preserve"> (se pkt. 4.2 og 4.5). Febernedsættende midler kan også øge </w:t>
      </w:r>
      <w:proofErr w:type="spellStart"/>
      <w:r w:rsidRPr="00296606">
        <w:rPr>
          <w:sz w:val="24"/>
          <w:szCs w:val="24"/>
        </w:rPr>
        <w:t>tolerabiliteten</w:t>
      </w:r>
      <w:proofErr w:type="spellEnd"/>
      <w:r w:rsidRPr="00296606">
        <w:rPr>
          <w:sz w:val="24"/>
          <w:szCs w:val="24"/>
        </w:rPr>
        <w:t xml:space="preserve"> af infusionen af </w:t>
      </w:r>
      <w:proofErr w:type="spellStart"/>
      <w:r w:rsidRPr="00296606">
        <w:rPr>
          <w:sz w:val="24"/>
          <w:szCs w:val="24"/>
        </w:rPr>
        <w:t>Atgam</w:t>
      </w:r>
      <w:proofErr w:type="spellEnd"/>
      <w:r w:rsidRPr="00296606">
        <w:rPr>
          <w:sz w:val="24"/>
          <w:szCs w:val="24"/>
        </w:rPr>
        <w:t>.</w:t>
      </w:r>
    </w:p>
    <w:p w14:paraId="524655BF" w14:textId="77777777" w:rsidR="00032351" w:rsidRPr="00296606" w:rsidRDefault="00032351" w:rsidP="008345F9">
      <w:pPr>
        <w:ind w:left="851"/>
        <w:rPr>
          <w:sz w:val="24"/>
          <w:szCs w:val="24"/>
        </w:rPr>
      </w:pPr>
    </w:p>
    <w:p w14:paraId="6F546CCE" w14:textId="77777777" w:rsidR="00032351" w:rsidRPr="00296606" w:rsidRDefault="00032351" w:rsidP="008345F9">
      <w:pPr>
        <w:ind w:left="851"/>
        <w:rPr>
          <w:sz w:val="24"/>
          <w:szCs w:val="24"/>
          <w:u w:val="single"/>
        </w:rPr>
      </w:pPr>
      <w:r w:rsidRPr="00296606">
        <w:rPr>
          <w:sz w:val="24"/>
          <w:szCs w:val="24"/>
          <w:u w:val="single"/>
        </w:rPr>
        <w:t>Cytokinfrigivelsessyndrom</w:t>
      </w:r>
    </w:p>
    <w:p w14:paraId="14DF14AC" w14:textId="77777777" w:rsidR="00032351" w:rsidRPr="00296606" w:rsidRDefault="00032351" w:rsidP="008345F9">
      <w:pPr>
        <w:ind w:left="851"/>
        <w:rPr>
          <w:sz w:val="24"/>
          <w:szCs w:val="24"/>
          <w:u w:val="single"/>
        </w:rPr>
      </w:pPr>
    </w:p>
    <w:p w14:paraId="4D28CB72" w14:textId="77777777" w:rsidR="00032351" w:rsidRPr="00296606" w:rsidRDefault="00032351" w:rsidP="008345F9">
      <w:pPr>
        <w:ind w:left="851"/>
        <w:rPr>
          <w:sz w:val="24"/>
          <w:szCs w:val="24"/>
        </w:rPr>
      </w:pPr>
      <w:r w:rsidRPr="00296606">
        <w:rPr>
          <w:sz w:val="24"/>
          <w:szCs w:val="24"/>
        </w:rPr>
        <w:t>Der er potentiel risiko for cytokinfrigivelsessyndrom, der kan være fatal (se pkt. 4.2).</w:t>
      </w:r>
    </w:p>
    <w:p w14:paraId="3111C0C3" w14:textId="77777777" w:rsidR="00032351" w:rsidRPr="00296606" w:rsidRDefault="00032351" w:rsidP="008345F9">
      <w:pPr>
        <w:ind w:left="851"/>
        <w:rPr>
          <w:sz w:val="24"/>
          <w:szCs w:val="24"/>
        </w:rPr>
      </w:pPr>
    </w:p>
    <w:p w14:paraId="111CC558" w14:textId="77777777" w:rsidR="00032351" w:rsidRPr="00296606" w:rsidRDefault="00032351" w:rsidP="008345F9">
      <w:pPr>
        <w:ind w:left="851"/>
        <w:rPr>
          <w:iCs/>
          <w:sz w:val="24"/>
          <w:szCs w:val="24"/>
          <w:u w:val="single"/>
        </w:rPr>
      </w:pPr>
      <w:r w:rsidRPr="00296606">
        <w:rPr>
          <w:iCs/>
          <w:sz w:val="24"/>
          <w:szCs w:val="24"/>
          <w:u w:val="single"/>
        </w:rPr>
        <w:t>Anafylaksi/hudtest</w:t>
      </w:r>
    </w:p>
    <w:p w14:paraId="17CB85E8" w14:textId="77777777" w:rsidR="00032351" w:rsidRPr="00296606" w:rsidRDefault="00032351" w:rsidP="008345F9">
      <w:pPr>
        <w:ind w:left="851"/>
        <w:rPr>
          <w:iCs/>
          <w:sz w:val="24"/>
          <w:szCs w:val="24"/>
          <w:u w:val="single"/>
        </w:rPr>
      </w:pPr>
    </w:p>
    <w:p w14:paraId="75DCCCF3" w14:textId="77777777" w:rsidR="00032351" w:rsidRPr="00296606" w:rsidRDefault="00032351" w:rsidP="008345F9">
      <w:pPr>
        <w:tabs>
          <w:tab w:val="left" w:pos="1304"/>
        </w:tabs>
        <w:ind w:left="851"/>
        <w:rPr>
          <w:sz w:val="24"/>
          <w:szCs w:val="24"/>
        </w:rPr>
      </w:pPr>
      <w:r w:rsidRPr="00296606">
        <w:rPr>
          <w:sz w:val="24"/>
          <w:szCs w:val="24"/>
        </w:rPr>
        <w:t xml:space="preserve">For at identificere de patienter i størst risiko for systemisk anafylaksi, anbefales det </w:t>
      </w:r>
      <w:r w:rsidRPr="00296606">
        <w:rPr>
          <w:b/>
          <w:bCs/>
          <w:sz w:val="24"/>
          <w:szCs w:val="24"/>
        </w:rPr>
        <w:t>kraftigt</w:t>
      </w:r>
      <w:r w:rsidRPr="00296606">
        <w:rPr>
          <w:sz w:val="24"/>
          <w:szCs w:val="24"/>
        </w:rPr>
        <w:t xml:space="preserve">, at der udføres hudfølsomhedstest af potentielle patienter før behandling iværksættes, særligt hvis patienten er </w:t>
      </w:r>
      <w:proofErr w:type="spellStart"/>
      <w:r w:rsidRPr="00296606">
        <w:rPr>
          <w:sz w:val="24"/>
          <w:szCs w:val="24"/>
        </w:rPr>
        <w:t>atopisk</w:t>
      </w:r>
      <w:proofErr w:type="spellEnd"/>
      <w:r w:rsidRPr="00296606">
        <w:rPr>
          <w:sz w:val="24"/>
          <w:szCs w:val="24"/>
        </w:rPr>
        <w:t xml:space="preserve">. En konservativ, traditionel tilgang vil være først at foretage </w:t>
      </w:r>
      <w:proofErr w:type="spellStart"/>
      <w:r w:rsidRPr="00296606">
        <w:rPr>
          <w:sz w:val="24"/>
          <w:szCs w:val="24"/>
        </w:rPr>
        <w:t>epikutantest</w:t>
      </w:r>
      <w:proofErr w:type="spellEnd"/>
      <w:r w:rsidRPr="00296606">
        <w:rPr>
          <w:sz w:val="24"/>
          <w:szCs w:val="24"/>
        </w:rPr>
        <w:t xml:space="preserve"> med ufortyndet </w:t>
      </w:r>
      <w:proofErr w:type="spellStart"/>
      <w:r w:rsidRPr="00296606">
        <w:rPr>
          <w:sz w:val="24"/>
          <w:szCs w:val="24"/>
        </w:rPr>
        <w:t>Atgam</w:t>
      </w:r>
      <w:proofErr w:type="spellEnd"/>
      <w:r w:rsidRPr="00296606">
        <w:rPr>
          <w:sz w:val="24"/>
          <w:szCs w:val="24"/>
        </w:rPr>
        <w:t xml:space="preserve">. Hvis personen ikke har en </w:t>
      </w:r>
      <w:proofErr w:type="spellStart"/>
      <w:r w:rsidRPr="00296606">
        <w:rPr>
          <w:sz w:val="24"/>
          <w:szCs w:val="24"/>
        </w:rPr>
        <w:t>papel</w:t>
      </w:r>
      <w:proofErr w:type="spellEnd"/>
      <w:r w:rsidRPr="00296606">
        <w:rPr>
          <w:sz w:val="24"/>
          <w:szCs w:val="24"/>
        </w:rPr>
        <w:t xml:space="preserve"> ti minutter efter prikning, fortsættes til </w:t>
      </w:r>
      <w:proofErr w:type="spellStart"/>
      <w:r w:rsidRPr="00296606">
        <w:rPr>
          <w:sz w:val="24"/>
          <w:szCs w:val="24"/>
        </w:rPr>
        <w:t>intradermal</w:t>
      </w:r>
      <w:proofErr w:type="spellEnd"/>
      <w:r w:rsidRPr="00296606">
        <w:rPr>
          <w:sz w:val="24"/>
          <w:szCs w:val="24"/>
        </w:rPr>
        <w:t xml:space="preserve"> test med 0,02 ml saltvandsfortyndet (volumenbrøk 1:1000) </w:t>
      </w:r>
      <w:proofErr w:type="spellStart"/>
      <w:r w:rsidRPr="00296606">
        <w:rPr>
          <w:sz w:val="24"/>
          <w:szCs w:val="24"/>
        </w:rPr>
        <w:t>Atgam</w:t>
      </w:r>
      <w:proofErr w:type="spellEnd"/>
      <w:r w:rsidRPr="00296606">
        <w:rPr>
          <w:sz w:val="24"/>
          <w:szCs w:val="24"/>
        </w:rPr>
        <w:t xml:space="preserve"> med en separat kontrolinjektion af den samme mængde saltvand. Resultatet aflæses efter 10 minutter. En </w:t>
      </w:r>
      <w:proofErr w:type="spellStart"/>
      <w:r w:rsidRPr="00296606">
        <w:rPr>
          <w:sz w:val="24"/>
          <w:szCs w:val="24"/>
        </w:rPr>
        <w:t>papel</w:t>
      </w:r>
      <w:proofErr w:type="spellEnd"/>
      <w:r w:rsidRPr="00296606">
        <w:rPr>
          <w:sz w:val="24"/>
          <w:szCs w:val="24"/>
        </w:rPr>
        <w:t xml:space="preserve"> på </w:t>
      </w:r>
      <w:proofErr w:type="spellStart"/>
      <w:r w:rsidRPr="00296606">
        <w:rPr>
          <w:sz w:val="24"/>
          <w:szCs w:val="24"/>
        </w:rPr>
        <w:t>Atgam</w:t>
      </w:r>
      <w:proofErr w:type="spellEnd"/>
      <w:r w:rsidRPr="00296606">
        <w:rPr>
          <w:sz w:val="24"/>
          <w:szCs w:val="24"/>
        </w:rPr>
        <w:t>-stedet på 3 millimeter eller større diameter end på saltvandskontrolstedet (eller en positiv priktest) tyder på klinisk sensibilitet og en øget sandsynlighed for en systemisk allergisk reaktion.</w:t>
      </w:r>
    </w:p>
    <w:p w14:paraId="32AF84E8" w14:textId="77777777" w:rsidR="00032351" w:rsidRPr="00296606" w:rsidRDefault="00032351" w:rsidP="008345F9">
      <w:pPr>
        <w:ind w:left="851"/>
        <w:rPr>
          <w:sz w:val="24"/>
          <w:szCs w:val="24"/>
        </w:rPr>
      </w:pPr>
    </w:p>
    <w:p w14:paraId="128A9139" w14:textId="77777777" w:rsidR="00032351" w:rsidRPr="00296606" w:rsidRDefault="00032351" w:rsidP="008345F9">
      <w:pPr>
        <w:tabs>
          <w:tab w:val="left" w:pos="1304"/>
        </w:tabs>
        <w:ind w:left="851"/>
        <w:rPr>
          <w:sz w:val="24"/>
          <w:szCs w:val="24"/>
        </w:rPr>
      </w:pPr>
      <w:r w:rsidRPr="00296606">
        <w:rPr>
          <w:sz w:val="24"/>
          <w:szCs w:val="24"/>
        </w:rPr>
        <w:t xml:space="preserve">Den prognostiske værdi af denne test er ikke klinisk dokumenteret. Allergiske reaktioner kan også forekomme hos patienter, hvis hudtest er negativ. Desuden er en hudtest, der udføres som beskrevet ovenfor, ikke prognostisk for fremtidig udvikling af serumsygdom. Hvis der findes en hudtest, som er lokalt positiv over for </w:t>
      </w:r>
      <w:proofErr w:type="spellStart"/>
      <w:r w:rsidRPr="00296606">
        <w:rPr>
          <w:sz w:val="24"/>
          <w:szCs w:val="24"/>
        </w:rPr>
        <w:t>Atgam</w:t>
      </w:r>
      <w:proofErr w:type="spellEnd"/>
      <w:r w:rsidRPr="00296606">
        <w:rPr>
          <w:sz w:val="24"/>
          <w:szCs w:val="24"/>
        </w:rPr>
        <w:t>, bør det overvejes grundigt, om alternative former for behandling skal anvendes. Benefit-</w:t>
      </w:r>
      <w:proofErr w:type="spellStart"/>
      <w:r w:rsidRPr="00296606">
        <w:rPr>
          <w:sz w:val="24"/>
          <w:szCs w:val="24"/>
        </w:rPr>
        <w:t>risk</w:t>
      </w:r>
      <w:proofErr w:type="spellEnd"/>
      <w:r w:rsidRPr="00296606">
        <w:rPr>
          <w:sz w:val="24"/>
          <w:szCs w:val="24"/>
        </w:rPr>
        <w:t xml:space="preserve">-forholdet skal vurderes omhyggeligt. Hvis behandling med </w:t>
      </w:r>
      <w:proofErr w:type="spellStart"/>
      <w:r w:rsidRPr="00296606">
        <w:rPr>
          <w:sz w:val="24"/>
          <w:szCs w:val="24"/>
        </w:rPr>
        <w:t>Atgam</w:t>
      </w:r>
      <w:proofErr w:type="spellEnd"/>
      <w:r w:rsidRPr="00296606">
        <w:rPr>
          <w:sz w:val="24"/>
          <w:szCs w:val="24"/>
        </w:rPr>
        <w:t xml:space="preserve"> vurderes hensigtsmæssig efter en lokalt positiv hudtest, bør behandlingen administreres på et sted, hvor intensivt </w:t>
      </w:r>
      <w:r w:rsidRPr="00296606">
        <w:rPr>
          <w:sz w:val="24"/>
          <w:szCs w:val="24"/>
        </w:rPr>
        <w:lastRenderedPageBreak/>
        <w:t>genoplivningsudstyr er nemt tilgængeligt, og hvor en læge, der er bekendt med behandling af potentielt livstruende allergiske reaktioner, er til stede (se pkt. 4.2).</w:t>
      </w:r>
    </w:p>
    <w:p w14:paraId="68F2027C" w14:textId="77777777" w:rsidR="00032351" w:rsidRPr="00296606" w:rsidRDefault="00032351" w:rsidP="008345F9">
      <w:pPr>
        <w:ind w:left="851"/>
        <w:rPr>
          <w:sz w:val="24"/>
          <w:szCs w:val="24"/>
        </w:rPr>
      </w:pPr>
    </w:p>
    <w:p w14:paraId="27563387" w14:textId="77777777" w:rsidR="00032351" w:rsidRPr="00296606" w:rsidRDefault="00032351" w:rsidP="008345F9">
      <w:pPr>
        <w:ind w:left="851"/>
        <w:rPr>
          <w:iCs/>
          <w:sz w:val="24"/>
          <w:szCs w:val="24"/>
          <w:u w:val="single"/>
        </w:rPr>
      </w:pPr>
      <w:proofErr w:type="spellStart"/>
      <w:r w:rsidRPr="00296606">
        <w:rPr>
          <w:iCs/>
          <w:sz w:val="24"/>
          <w:szCs w:val="24"/>
          <w:u w:val="single"/>
        </w:rPr>
        <w:t>Trombocytopeni</w:t>
      </w:r>
      <w:proofErr w:type="spellEnd"/>
      <w:r w:rsidRPr="00296606">
        <w:rPr>
          <w:iCs/>
          <w:sz w:val="24"/>
          <w:szCs w:val="24"/>
          <w:u w:val="single"/>
        </w:rPr>
        <w:t xml:space="preserve"> og </w:t>
      </w:r>
      <w:proofErr w:type="spellStart"/>
      <w:r w:rsidRPr="00296606">
        <w:rPr>
          <w:iCs/>
          <w:sz w:val="24"/>
          <w:szCs w:val="24"/>
          <w:u w:val="single"/>
        </w:rPr>
        <w:t>neutropeni</w:t>
      </w:r>
      <w:proofErr w:type="spellEnd"/>
    </w:p>
    <w:p w14:paraId="31038BC6" w14:textId="77777777" w:rsidR="00032351" w:rsidRPr="00296606" w:rsidRDefault="00032351" w:rsidP="008345F9">
      <w:pPr>
        <w:ind w:left="851"/>
        <w:rPr>
          <w:iCs/>
          <w:sz w:val="24"/>
          <w:szCs w:val="24"/>
        </w:rPr>
      </w:pPr>
    </w:p>
    <w:p w14:paraId="7015FA93" w14:textId="77777777" w:rsidR="00032351" w:rsidRPr="00296606" w:rsidRDefault="00032351" w:rsidP="008345F9">
      <w:pPr>
        <w:ind w:left="851"/>
        <w:rPr>
          <w:iCs/>
          <w:sz w:val="24"/>
          <w:szCs w:val="24"/>
        </w:rPr>
      </w:pPr>
      <w:r w:rsidRPr="00296606">
        <w:rPr>
          <w:iCs/>
          <w:sz w:val="24"/>
          <w:szCs w:val="24"/>
        </w:rPr>
        <w:t xml:space="preserve">Behandling med </w:t>
      </w:r>
      <w:proofErr w:type="spellStart"/>
      <w:r w:rsidRPr="00296606">
        <w:rPr>
          <w:iCs/>
          <w:sz w:val="24"/>
          <w:szCs w:val="24"/>
        </w:rPr>
        <w:t>Atgam</w:t>
      </w:r>
      <w:proofErr w:type="spellEnd"/>
      <w:r w:rsidRPr="00296606">
        <w:rPr>
          <w:iCs/>
          <w:sz w:val="24"/>
          <w:szCs w:val="24"/>
        </w:rPr>
        <w:t xml:space="preserve"> kan forværre </w:t>
      </w:r>
      <w:proofErr w:type="spellStart"/>
      <w:r w:rsidRPr="00296606">
        <w:rPr>
          <w:iCs/>
          <w:sz w:val="24"/>
          <w:szCs w:val="24"/>
        </w:rPr>
        <w:t>trombocytopeni</w:t>
      </w:r>
      <w:proofErr w:type="spellEnd"/>
      <w:r w:rsidRPr="00296606">
        <w:rPr>
          <w:iCs/>
          <w:sz w:val="24"/>
          <w:szCs w:val="24"/>
        </w:rPr>
        <w:t xml:space="preserve"> og </w:t>
      </w:r>
      <w:proofErr w:type="spellStart"/>
      <w:r w:rsidRPr="00296606">
        <w:rPr>
          <w:iCs/>
          <w:sz w:val="24"/>
          <w:szCs w:val="24"/>
        </w:rPr>
        <w:t>neutropeni</w:t>
      </w:r>
      <w:proofErr w:type="spellEnd"/>
      <w:r w:rsidRPr="00296606">
        <w:rPr>
          <w:iCs/>
          <w:sz w:val="24"/>
          <w:szCs w:val="24"/>
        </w:rPr>
        <w:t xml:space="preserve"> (se pkt. 4.2).</w:t>
      </w:r>
    </w:p>
    <w:p w14:paraId="163ADCD4" w14:textId="77777777" w:rsidR="00032351" w:rsidRPr="00296606" w:rsidRDefault="00032351" w:rsidP="008345F9">
      <w:pPr>
        <w:ind w:left="851"/>
        <w:rPr>
          <w:iCs/>
          <w:sz w:val="24"/>
          <w:szCs w:val="24"/>
        </w:rPr>
      </w:pPr>
    </w:p>
    <w:p w14:paraId="6B367B91" w14:textId="77777777" w:rsidR="00032351" w:rsidRPr="00296606" w:rsidRDefault="00032351" w:rsidP="008345F9">
      <w:pPr>
        <w:ind w:left="851"/>
        <w:rPr>
          <w:iCs/>
          <w:sz w:val="24"/>
          <w:szCs w:val="24"/>
          <w:u w:val="single"/>
        </w:rPr>
      </w:pPr>
      <w:r w:rsidRPr="00296606">
        <w:rPr>
          <w:iCs/>
          <w:sz w:val="24"/>
          <w:szCs w:val="24"/>
          <w:u w:val="single"/>
        </w:rPr>
        <w:t>Nyre- og leverfunktionstest</w:t>
      </w:r>
    </w:p>
    <w:p w14:paraId="1C41C7BB" w14:textId="77777777" w:rsidR="002E0EA0" w:rsidRPr="00296606" w:rsidRDefault="002E0EA0" w:rsidP="002E0EA0">
      <w:pPr>
        <w:ind w:left="851"/>
        <w:rPr>
          <w:sz w:val="24"/>
          <w:szCs w:val="24"/>
          <w:lang w:eastAsia="en-GB"/>
        </w:rPr>
      </w:pPr>
      <w:r w:rsidRPr="00296606">
        <w:rPr>
          <w:sz w:val="24"/>
          <w:szCs w:val="24"/>
        </w:rPr>
        <w:t xml:space="preserve">Hos patienter med </w:t>
      </w:r>
      <w:proofErr w:type="spellStart"/>
      <w:r w:rsidRPr="00296606">
        <w:rPr>
          <w:sz w:val="24"/>
          <w:szCs w:val="24"/>
        </w:rPr>
        <w:t>aplastisk</w:t>
      </w:r>
      <w:proofErr w:type="spellEnd"/>
      <w:r w:rsidRPr="00296606">
        <w:rPr>
          <w:sz w:val="24"/>
          <w:szCs w:val="24"/>
        </w:rPr>
        <w:t xml:space="preserve"> anæmi og andre hæmatologiske abnormiteter, som har fået </w:t>
      </w:r>
      <w:proofErr w:type="spellStart"/>
      <w:r w:rsidRPr="00296606">
        <w:rPr>
          <w:sz w:val="24"/>
          <w:szCs w:val="24"/>
        </w:rPr>
        <w:t>Atgam</w:t>
      </w:r>
      <w:proofErr w:type="spellEnd"/>
      <w:r w:rsidRPr="00296606">
        <w:rPr>
          <w:sz w:val="24"/>
          <w:szCs w:val="24"/>
        </w:rPr>
        <w:t>, er der blevet observeret unormale test</w:t>
      </w:r>
      <w:r>
        <w:rPr>
          <w:sz w:val="24"/>
          <w:szCs w:val="24"/>
        </w:rPr>
        <w:t>resultater</w:t>
      </w:r>
      <w:r w:rsidRPr="00296606">
        <w:rPr>
          <w:sz w:val="24"/>
          <w:szCs w:val="24"/>
        </w:rPr>
        <w:t xml:space="preserve"> af leverfunktionen og nyrefunktionen.</w:t>
      </w:r>
    </w:p>
    <w:p w14:paraId="4873E047" w14:textId="77777777" w:rsidR="00032351" w:rsidRPr="00296606" w:rsidRDefault="00032351" w:rsidP="008345F9">
      <w:pPr>
        <w:ind w:left="851"/>
        <w:rPr>
          <w:sz w:val="24"/>
          <w:szCs w:val="24"/>
        </w:rPr>
      </w:pPr>
    </w:p>
    <w:p w14:paraId="206FE042" w14:textId="77777777" w:rsidR="00032351" w:rsidRPr="00296606" w:rsidRDefault="00032351" w:rsidP="008345F9">
      <w:pPr>
        <w:pStyle w:val="Paragraph"/>
        <w:spacing w:after="0"/>
        <w:ind w:left="851"/>
        <w:rPr>
          <w:iCs/>
          <w:u w:val="single"/>
          <w:lang w:val="da-DK"/>
        </w:rPr>
      </w:pPr>
      <w:r w:rsidRPr="00296606">
        <w:rPr>
          <w:iCs/>
          <w:u w:val="single"/>
          <w:lang w:val="da-DK"/>
        </w:rPr>
        <w:t>Samtidig anvendelse af vacciner</w:t>
      </w:r>
    </w:p>
    <w:p w14:paraId="7EFAFCFE" w14:textId="77777777" w:rsidR="00032351" w:rsidRPr="00296606" w:rsidRDefault="00032351" w:rsidP="008345F9">
      <w:pPr>
        <w:pStyle w:val="Paragraph"/>
        <w:spacing w:after="0"/>
        <w:ind w:left="851"/>
        <w:rPr>
          <w:vertAlign w:val="superscript"/>
          <w:lang w:val="da-DK"/>
        </w:rPr>
      </w:pPr>
      <w:r w:rsidRPr="00296606">
        <w:rPr>
          <w:lang w:val="da-DK"/>
        </w:rPr>
        <w:t xml:space="preserve">Sikkerhed og virkning af vacciner sammen med </w:t>
      </w:r>
      <w:proofErr w:type="spellStart"/>
      <w:r w:rsidRPr="00296606">
        <w:rPr>
          <w:lang w:val="da-DK"/>
        </w:rPr>
        <w:t>Atgam</w:t>
      </w:r>
      <w:proofErr w:type="spellEnd"/>
      <w:r w:rsidRPr="00296606">
        <w:rPr>
          <w:lang w:val="da-DK"/>
        </w:rPr>
        <w:t xml:space="preserve">-behandling er ikke undersøgt. Vaccination anbefales ikke sammen med </w:t>
      </w:r>
      <w:proofErr w:type="spellStart"/>
      <w:r w:rsidRPr="00296606">
        <w:rPr>
          <w:lang w:val="da-DK"/>
        </w:rPr>
        <w:t>Atgam</w:t>
      </w:r>
      <w:proofErr w:type="spellEnd"/>
      <w:r w:rsidRPr="00296606">
        <w:rPr>
          <w:lang w:val="da-DK"/>
        </w:rPr>
        <w:t xml:space="preserve">-behandling, da virkningen af vaccinerne kan være reduceret. Produktresuméet for den pågældende vaccine bør gennemlæses for at afgøre det passende interval mellem vaccination og </w:t>
      </w:r>
      <w:proofErr w:type="spellStart"/>
      <w:r w:rsidRPr="00296606">
        <w:rPr>
          <w:lang w:val="da-DK"/>
        </w:rPr>
        <w:t>immunosuppressiv</w:t>
      </w:r>
      <w:proofErr w:type="spellEnd"/>
      <w:r w:rsidRPr="00296606">
        <w:rPr>
          <w:lang w:val="da-DK"/>
        </w:rPr>
        <w:t xml:space="preserve"> behandling.</w:t>
      </w:r>
    </w:p>
    <w:p w14:paraId="7DC8A53D" w14:textId="77777777" w:rsidR="00032351" w:rsidRPr="00F64589" w:rsidRDefault="00032351" w:rsidP="00F64589">
      <w:pPr>
        <w:ind w:left="851"/>
        <w:rPr>
          <w:sz w:val="24"/>
          <w:szCs w:val="24"/>
          <w:lang w:eastAsia="en-GB"/>
        </w:rPr>
      </w:pPr>
    </w:p>
    <w:p w14:paraId="157816DD" w14:textId="77777777" w:rsidR="00032351" w:rsidRPr="00F64589" w:rsidRDefault="00032351" w:rsidP="00F64589">
      <w:pPr>
        <w:ind w:left="851"/>
        <w:rPr>
          <w:noProof/>
          <w:sz w:val="24"/>
          <w:szCs w:val="24"/>
          <w:u w:val="single"/>
        </w:rPr>
      </w:pPr>
      <w:r w:rsidRPr="00F64589">
        <w:rPr>
          <w:noProof/>
          <w:sz w:val="24"/>
          <w:szCs w:val="24"/>
          <w:u w:val="single"/>
        </w:rPr>
        <w:t>Hjælpestoffer</w:t>
      </w:r>
    </w:p>
    <w:p w14:paraId="3B11DFF2" w14:textId="77777777" w:rsidR="00032351" w:rsidRPr="00F64589" w:rsidRDefault="00032351" w:rsidP="00F64589">
      <w:pPr>
        <w:ind w:left="851"/>
        <w:rPr>
          <w:rFonts w:eastAsia="SimSun"/>
          <w:noProof/>
          <w:sz w:val="24"/>
          <w:szCs w:val="24"/>
        </w:rPr>
      </w:pPr>
    </w:p>
    <w:p w14:paraId="37C92194" w14:textId="77777777" w:rsidR="00032351" w:rsidRPr="00F64589" w:rsidRDefault="00032351" w:rsidP="00F64589">
      <w:pPr>
        <w:ind w:left="851"/>
        <w:rPr>
          <w:i/>
          <w:sz w:val="24"/>
          <w:szCs w:val="24"/>
        </w:rPr>
      </w:pPr>
      <w:r w:rsidRPr="00F64589">
        <w:rPr>
          <w:i/>
          <w:sz w:val="24"/>
          <w:szCs w:val="24"/>
        </w:rPr>
        <w:t>Natriumindhold</w:t>
      </w:r>
    </w:p>
    <w:p w14:paraId="3A19FC5D" w14:textId="77777777" w:rsidR="00032351" w:rsidRPr="00296606" w:rsidRDefault="00032351" w:rsidP="008345F9">
      <w:pPr>
        <w:tabs>
          <w:tab w:val="left" w:pos="1304"/>
        </w:tabs>
        <w:ind w:left="851"/>
        <w:rPr>
          <w:sz w:val="24"/>
          <w:szCs w:val="24"/>
        </w:rPr>
      </w:pPr>
      <w:r w:rsidRPr="00296606">
        <w:rPr>
          <w:sz w:val="24"/>
          <w:szCs w:val="24"/>
        </w:rPr>
        <w:t xml:space="preserve">Dette lægemiddel indeholder mindre end 1 mmol (23 mg) natrium pr. samlet dosis, dvs. det er i det </w:t>
      </w:r>
      <w:bookmarkStart w:id="1" w:name="OLE_LINK3"/>
      <w:bookmarkStart w:id="2" w:name="OLE_LINK2"/>
      <w:r w:rsidRPr="00296606">
        <w:rPr>
          <w:sz w:val="24"/>
          <w:szCs w:val="24"/>
        </w:rPr>
        <w:t>væsentlige natriumfrit</w:t>
      </w:r>
      <w:bookmarkEnd w:id="1"/>
      <w:bookmarkEnd w:id="2"/>
      <w:r w:rsidRPr="00296606">
        <w:rPr>
          <w:sz w:val="24"/>
          <w:szCs w:val="24"/>
        </w:rPr>
        <w:t xml:space="preserve">. </w:t>
      </w:r>
    </w:p>
    <w:p w14:paraId="11F34E36" w14:textId="77777777" w:rsidR="00032351" w:rsidRPr="00296606" w:rsidRDefault="00032351" w:rsidP="008345F9">
      <w:pPr>
        <w:tabs>
          <w:tab w:val="left" w:pos="1304"/>
        </w:tabs>
        <w:ind w:left="851"/>
        <w:rPr>
          <w:sz w:val="24"/>
          <w:szCs w:val="24"/>
        </w:rPr>
      </w:pPr>
    </w:p>
    <w:p w14:paraId="3E0C199A" w14:textId="77777777" w:rsidR="00032351" w:rsidRPr="00296606" w:rsidRDefault="00032351" w:rsidP="008345F9">
      <w:pPr>
        <w:tabs>
          <w:tab w:val="left" w:pos="1304"/>
        </w:tabs>
        <w:ind w:left="851"/>
        <w:rPr>
          <w:sz w:val="24"/>
          <w:szCs w:val="24"/>
        </w:rPr>
      </w:pPr>
      <w:proofErr w:type="spellStart"/>
      <w:r w:rsidRPr="00296606">
        <w:rPr>
          <w:sz w:val="24"/>
          <w:szCs w:val="24"/>
        </w:rPr>
        <w:t>Atgam</w:t>
      </w:r>
      <w:proofErr w:type="spellEnd"/>
      <w:r w:rsidRPr="00296606">
        <w:rPr>
          <w:sz w:val="24"/>
          <w:szCs w:val="24"/>
        </w:rPr>
        <w:t xml:space="preserve"> kan klargøres yderligere til administration med natriumholdige opløsninger (se pkt. 6.6), og dette skal tages i betragtning i forhold til det totale natriumindhold fra alle kilder, som patienten vil få administreret.</w:t>
      </w:r>
    </w:p>
    <w:p w14:paraId="713EF452" w14:textId="77777777" w:rsidR="00032351" w:rsidRPr="00296606" w:rsidRDefault="00032351" w:rsidP="008345F9">
      <w:pPr>
        <w:tabs>
          <w:tab w:val="left" w:pos="1304"/>
        </w:tabs>
        <w:ind w:left="851"/>
        <w:rPr>
          <w:sz w:val="24"/>
          <w:szCs w:val="24"/>
        </w:rPr>
      </w:pPr>
    </w:p>
    <w:p w14:paraId="172FE3A7" w14:textId="77777777" w:rsidR="00032351" w:rsidRPr="00296606" w:rsidRDefault="00032351" w:rsidP="008345F9">
      <w:pPr>
        <w:autoSpaceDE w:val="0"/>
        <w:autoSpaceDN w:val="0"/>
        <w:ind w:left="851"/>
        <w:rPr>
          <w:sz w:val="24"/>
          <w:szCs w:val="24"/>
          <w:u w:val="single"/>
        </w:rPr>
      </w:pPr>
      <w:r w:rsidRPr="00296606">
        <w:rPr>
          <w:sz w:val="24"/>
          <w:szCs w:val="24"/>
          <w:u w:val="single"/>
        </w:rPr>
        <w:t>Overførbare stoffer</w:t>
      </w:r>
    </w:p>
    <w:p w14:paraId="233D4CDF" w14:textId="77777777" w:rsidR="00032351" w:rsidRPr="00296606" w:rsidRDefault="00032351" w:rsidP="008345F9">
      <w:pPr>
        <w:autoSpaceDE w:val="0"/>
        <w:autoSpaceDN w:val="0"/>
        <w:ind w:left="851"/>
        <w:rPr>
          <w:sz w:val="24"/>
          <w:szCs w:val="24"/>
        </w:rPr>
      </w:pPr>
    </w:p>
    <w:p w14:paraId="01BABA44" w14:textId="77777777" w:rsidR="00032351" w:rsidRPr="00296606" w:rsidRDefault="00032351" w:rsidP="008345F9">
      <w:pPr>
        <w:autoSpaceDE w:val="0"/>
        <w:autoSpaceDN w:val="0"/>
        <w:ind w:left="851"/>
        <w:rPr>
          <w:sz w:val="24"/>
          <w:szCs w:val="24"/>
        </w:rPr>
      </w:pPr>
      <w:proofErr w:type="spellStart"/>
      <w:r w:rsidRPr="00296606">
        <w:rPr>
          <w:sz w:val="24"/>
          <w:szCs w:val="24"/>
        </w:rPr>
        <w:t>Atgam</w:t>
      </w:r>
      <w:proofErr w:type="spellEnd"/>
      <w:r w:rsidRPr="00296606">
        <w:rPr>
          <w:sz w:val="24"/>
          <w:szCs w:val="24"/>
        </w:rPr>
        <w:t xml:space="preserve"> er fremstillet af </w:t>
      </w:r>
      <w:proofErr w:type="spellStart"/>
      <w:r w:rsidRPr="00296606">
        <w:rPr>
          <w:sz w:val="24"/>
          <w:szCs w:val="24"/>
        </w:rPr>
        <w:t>ekvint</w:t>
      </w:r>
      <w:proofErr w:type="spellEnd"/>
      <w:r w:rsidRPr="00296606">
        <w:rPr>
          <w:sz w:val="24"/>
          <w:szCs w:val="24"/>
        </w:rPr>
        <w:t xml:space="preserve"> plasma, og der anvendes også reagenser udledt af humant blod i processen.</w:t>
      </w:r>
    </w:p>
    <w:p w14:paraId="73887F78" w14:textId="77777777" w:rsidR="00032351" w:rsidRPr="00296606" w:rsidRDefault="00032351" w:rsidP="008345F9">
      <w:pPr>
        <w:autoSpaceDE w:val="0"/>
        <w:autoSpaceDN w:val="0"/>
        <w:ind w:left="851"/>
        <w:rPr>
          <w:sz w:val="24"/>
          <w:szCs w:val="24"/>
        </w:rPr>
      </w:pPr>
    </w:p>
    <w:p w14:paraId="568F0459" w14:textId="77777777" w:rsidR="00032351" w:rsidRPr="00296606" w:rsidRDefault="00032351" w:rsidP="008345F9">
      <w:pPr>
        <w:tabs>
          <w:tab w:val="left" w:pos="1304"/>
        </w:tabs>
        <w:ind w:left="851"/>
        <w:rPr>
          <w:sz w:val="24"/>
          <w:szCs w:val="24"/>
        </w:rPr>
      </w:pPr>
      <w:r w:rsidRPr="00296606">
        <w:rPr>
          <w:sz w:val="24"/>
          <w:szCs w:val="24"/>
        </w:rPr>
        <w:t>Der tages effektive skridt under fremstillingen til inaktivering/fjernelse af vira i fremstillings</w:t>
      </w:r>
      <w:r w:rsidRPr="00296606">
        <w:rPr>
          <w:sz w:val="24"/>
          <w:szCs w:val="24"/>
        </w:rPr>
        <w:softHyphen/>
        <w:t xml:space="preserve">processen for </w:t>
      </w:r>
      <w:proofErr w:type="spellStart"/>
      <w:r w:rsidRPr="00296606">
        <w:rPr>
          <w:sz w:val="24"/>
          <w:szCs w:val="24"/>
        </w:rPr>
        <w:t>Atgam</w:t>
      </w:r>
      <w:proofErr w:type="spellEnd"/>
      <w:r w:rsidRPr="00296606">
        <w:rPr>
          <w:sz w:val="24"/>
          <w:szCs w:val="24"/>
        </w:rPr>
        <w:t xml:space="preserve">, og det er påvist, at disse skridt fjerner en lang række af både humane blodbårne og </w:t>
      </w:r>
      <w:proofErr w:type="spellStart"/>
      <w:r w:rsidRPr="00296606">
        <w:rPr>
          <w:sz w:val="24"/>
          <w:szCs w:val="24"/>
        </w:rPr>
        <w:t>ekvine</w:t>
      </w:r>
      <w:proofErr w:type="spellEnd"/>
      <w:r w:rsidRPr="00296606">
        <w:rPr>
          <w:sz w:val="24"/>
          <w:szCs w:val="24"/>
        </w:rPr>
        <w:t xml:space="preserve"> virusser ved brug af viruspaneltest. Den dækker hele virusspektret fra små, vira uden membrankappe som </w:t>
      </w:r>
      <w:proofErr w:type="spellStart"/>
      <w:r w:rsidRPr="00296606">
        <w:rPr>
          <w:sz w:val="24"/>
          <w:szCs w:val="24"/>
        </w:rPr>
        <w:t>parvovirus</w:t>
      </w:r>
      <w:proofErr w:type="spellEnd"/>
      <w:r w:rsidRPr="00296606">
        <w:rPr>
          <w:sz w:val="24"/>
          <w:szCs w:val="24"/>
        </w:rPr>
        <w:t xml:space="preserve"> og hepatitis A til store vira med membrankappe som herpes </w:t>
      </w:r>
      <w:proofErr w:type="spellStart"/>
      <w:r w:rsidRPr="00296606">
        <w:rPr>
          <w:sz w:val="24"/>
          <w:szCs w:val="24"/>
        </w:rPr>
        <w:t>simplex</w:t>
      </w:r>
      <w:proofErr w:type="spellEnd"/>
      <w:r w:rsidRPr="00296606">
        <w:rPr>
          <w:sz w:val="24"/>
          <w:szCs w:val="24"/>
        </w:rPr>
        <w:t xml:space="preserve">-virus. Alligevel kan muligheden for overførsel af smitstoffer ikke helt udelukkes, når lægemidler fremstillet på basis af blod fra heste og mennesker administreres. Dette gælder også ukendte eller nye vira og andre </w:t>
      </w:r>
      <w:proofErr w:type="spellStart"/>
      <w:r w:rsidRPr="00296606">
        <w:rPr>
          <w:sz w:val="24"/>
          <w:szCs w:val="24"/>
        </w:rPr>
        <w:t>patogener</w:t>
      </w:r>
      <w:proofErr w:type="spellEnd"/>
      <w:r w:rsidRPr="00296606">
        <w:rPr>
          <w:sz w:val="24"/>
          <w:szCs w:val="24"/>
        </w:rPr>
        <w:t>.</w:t>
      </w:r>
    </w:p>
    <w:p w14:paraId="14189D21" w14:textId="77777777" w:rsidR="009260DE" w:rsidRPr="00296606" w:rsidRDefault="009260DE" w:rsidP="009260DE">
      <w:pPr>
        <w:tabs>
          <w:tab w:val="left" w:pos="851"/>
        </w:tabs>
        <w:ind w:left="851"/>
        <w:rPr>
          <w:sz w:val="24"/>
          <w:szCs w:val="24"/>
        </w:rPr>
      </w:pPr>
    </w:p>
    <w:p w14:paraId="0F50BC8E" w14:textId="77777777" w:rsidR="009260DE" w:rsidRPr="00296606" w:rsidRDefault="009260DE" w:rsidP="009260DE">
      <w:pPr>
        <w:tabs>
          <w:tab w:val="left" w:pos="851"/>
        </w:tabs>
        <w:ind w:left="851" w:hanging="851"/>
        <w:rPr>
          <w:b/>
          <w:sz w:val="24"/>
          <w:szCs w:val="24"/>
        </w:rPr>
      </w:pPr>
      <w:r w:rsidRPr="00296606">
        <w:rPr>
          <w:b/>
          <w:sz w:val="24"/>
          <w:szCs w:val="24"/>
        </w:rPr>
        <w:t>4.5</w:t>
      </w:r>
      <w:r w:rsidRPr="00296606">
        <w:rPr>
          <w:b/>
          <w:sz w:val="24"/>
          <w:szCs w:val="24"/>
        </w:rPr>
        <w:tab/>
        <w:t>Interaktion med andre lægemidler og andre former for interaktion</w:t>
      </w:r>
    </w:p>
    <w:p w14:paraId="6B56D7C4" w14:textId="77777777" w:rsidR="00032351" w:rsidRPr="00296606" w:rsidRDefault="00032351" w:rsidP="008345F9">
      <w:pPr>
        <w:ind w:left="851"/>
        <w:rPr>
          <w:noProof/>
          <w:sz w:val="24"/>
          <w:szCs w:val="24"/>
        </w:rPr>
      </w:pPr>
      <w:r w:rsidRPr="00296606">
        <w:rPr>
          <w:sz w:val="24"/>
          <w:szCs w:val="24"/>
        </w:rPr>
        <w:t>Der er ikke udført interaktionsstudier.</w:t>
      </w:r>
    </w:p>
    <w:p w14:paraId="7DA05FBA" w14:textId="77777777" w:rsidR="00032351" w:rsidRPr="00296606" w:rsidRDefault="00032351" w:rsidP="008345F9">
      <w:pPr>
        <w:ind w:left="851"/>
        <w:rPr>
          <w:noProof/>
          <w:sz w:val="24"/>
          <w:szCs w:val="24"/>
        </w:rPr>
      </w:pPr>
    </w:p>
    <w:p w14:paraId="0C856792" w14:textId="77777777" w:rsidR="00032351" w:rsidRPr="00296606" w:rsidRDefault="00032351" w:rsidP="008345F9">
      <w:pPr>
        <w:tabs>
          <w:tab w:val="left" w:pos="1304"/>
        </w:tabs>
        <w:ind w:left="851"/>
        <w:rPr>
          <w:noProof/>
          <w:sz w:val="24"/>
          <w:szCs w:val="24"/>
        </w:rPr>
      </w:pPr>
      <w:r w:rsidRPr="00296606">
        <w:rPr>
          <w:sz w:val="24"/>
          <w:szCs w:val="24"/>
        </w:rPr>
        <w:t xml:space="preserve">Når dosis af </w:t>
      </w:r>
      <w:proofErr w:type="spellStart"/>
      <w:r w:rsidRPr="00296606">
        <w:rPr>
          <w:sz w:val="24"/>
          <w:szCs w:val="24"/>
        </w:rPr>
        <w:t>kortikosteroider</w:t>
      </w:r>
      <w:proofErr w:type="spellEnd"/>
      <w:r w:rsidRPr="00296606">
        <w:rPr>
          <w:sz w:val="24"/>
          <w:szCs w:val="24"/>
        </w:rPr>
        <w:t xml:space="preserve"> og andre </w:t>
      </w:r>
      <w:proofErr w:type="spellStart"/>
      <w:r w:rsidRPr="00296606">
        <w:rPr>
          <w:sz w:val="24"/>
          <w:szCs w:val="24"/>
        </w:rPr>
        <w:t>immunosuppressive</w:t>
      </w:r>
      <w:proofErr w:type="spellEnd"/>
      <w:r w:rsidRPr="00296606">
        <w:rPr>
          <w:sz w:val="24"/>
          <w:szCs w:val="24"/>
        </w:rPr>
        <w:t xml:space="preserve"> stoffer reduceres, kan der fremkomme tidligere maskerede reaktioner på </w:t>
      </w:r>
      <w:proofErr w:type="spellStart"/>
      <w:r w:rsidRPr="00296606">
        <w:rPr>
          <w:sz w:val="24"/>
          <w:szCs w:val="24"/>
        </w:rPr>
        <w:t>Atgam</w:t>
      </w:r>
      <w:proofErr w:type="spellEnd"/>
      <w:r w:rsidRPr="00296606">
        <w:rPr>
          <w:sz w:val="24"/>
          <w:szCs w:val="24"/>
        </w:rPr>
        <w:t xml:space="preserve">. I denne situation skal patienterne observeres særligt omhyggeligt ved behandling med </w:t>
      </w:r>
      <w:proofErr w:type="spellStart"/>
      <w:r w:rsidRPr="00296606">
        <w:rPr>
          <w:sz w:val="24"/>
          <w:szCs w:val="24"/>
        </w:rPr>
        <w:t>Atgam</w:t>
      </w:r>
      <w:proofErr w:type="spellEnd"/>
      <w:r w:rsidRPr="00296606">
        <w:rPr>
          <w:sz w:val="24"/>
          <w:szCs w:val="24"/>
        </w:rPr>
        <w:t>.</w:t>
      </w:r>
    </w:p>
    <w:p w14:paraId="667A26C0" w14:textId="5A3A4617" w:rsidR="00953259" w:rsidRDefault="00953259">
      <w:pPr>
        <w:rPr>
          <w:sz w:val="24"/>
          <w:szCs w:val="24"/>
        </w:rPr>
      </w:pPr>
      <w:r>
        <w:rPr>
          <w:sz w:val="24"/>
          <w:szCs w:val="24"/>
        </w:rPr>
        <w:br w:type="page"/>
      </w:r>
    </w:p>
    <w:p w14:paraId="089FD6E5" w14:textId="77777777" w:rsidR="009260DE" w:rsidRPr="00296606" w:rsidRDefault="009260DE" w:rsidP="009260DE">
      <w:pPr>
        <w:tabs>
          <w:tab w:val="left" w:pos="851"/>
        </w:tabs>
        <w:ind w:left="851"/>
        <w:rPr>
          <w:sz w:val="24"/>
          <w:szCs w:val="24"/>
        </w:rPr>
      </w:pPr>
    </w:p>
    <w:p w14:paraId="772D820B" w14:textId="40AA5338" w:rsidR="009260DE" w:rsidRPr="00296606" w:rsidRDefault="009260DE" w:rsidP="009260DE">
      <w:pPr>
        <w:tabs>
          <w:tab w:val="left" w:pos="851"/>
        </w:tabs>
        <w:ind w:left="851" w:hanging="851"/>
        <w:rPr>
          <w:b/>
          <w:sz w:val="24"/>
          <w:szCs w:val="24"/>
        </w:rPr>
      </w:pPr>
      <w:r w:rsidRPr="00296606">
        <w:rPr>
          <w:b/>
          <w:sz w:val="24"/>
          <w:szCs w:val="24"/>
        </w:rPr>
        <w:t>4.6</w:t>
      </w:r>
      <w:r w:rsidRPr="00296606">
        <w:rPr>
          <w:b/>
          <w:sz w:val="24"/>
          <w:szCs w:val="24"/>
        </w:rPr>
        <w:tab/>
      </w:r>
      <w:r w:rsidR="00FA1740">
        <w:rPr>
          <w:b/>
          <w:sz w:val="24"/>
          <w:szCs w:val="24"/>
        </w:rPr>
        <w:t>Fertilitet, g</w:t>
      </w:r>
      <w:r w:rsidRPr="00296606">
        <w:rPr>
          <w:b/>
          <w:sz w:val="24"/>
          <w:szCs w:val="24"/>
        </w:rPr>
        <w:t>raviditet og amning</w:t>
      </w:r>
    </w:p>
    <w:p w14:paraId="7A31DFEA" w14:textId="77777777" w:rsidR="00F64589" w:rsidRDefault="00F64589" w:rsidP="00F64589">
      <w:pPr>
        <w:ind w:left="851"/>
        <w:rPr>
          <w:sz w:val="24"/>
          <w:szCs w:val="24"/>
          <w:u w:val="single"/>
        </w:rPr>
      </w:pPr>
    </w:p>
    <w:p w14:paraId="5603F45E" w14:textId="3546DA4F" w:rsidR="00032351" w:rsidRPr="00F64589" w:rsidRDefault="00032351" w:rsidP="00F64589">
      <w:pPr>
        <w:ind w:left="851"/>
        <w:rPr>
          <w:noProof/>
          <w:sz w:val="24"/>
          <w:szCs w:val="24"/>
          <w:u w:val="single"/>
        </w:rPr>
      </w:pPr>
      <w:r w:rsidRPr="00F64589">
        <w:rPr>
          <w:sz w:val="24"/>
          <w:szCs w:val="24"/>
          <w:u w:val="single"/>
        </w:rPr>
        <w:t>Graviditet</w:t>
      </w:r>
    </w:p>
    <w:p w14:paraId="73A0037C" w14:textId="77777777" w:rsidR="00032351" w:rsidRPr="00296606" w:rsidRDefault="00032351" w:rsidP="008345F9">
      <w:pPr>
        <w:ind w:left="851"/>
        <w:rPr>
          <w:sz w:val="24"/>
          <w:szCs w:val="24"/>
        </w:rPr>
      </w:pPr>
      <w:r w:rsidRPr="00296606">
        <w:rPr>
          <w:sz w:val="24"/>
          <w:szCs w:val="24"/>
        </w:rPr>
        <w:t xml:space="preserve">Der er begrænsede data om anvendelse af </w:t>
      </w:r>
      <w:proofErr w:type="spellStart"/>
      <w:r w:rsidRPr="00296606">
        <w:rPr>
          <w:sz w:val="24"/>
          <w:szCs w:val="24"/>
        </w:rPr>
        <w:t>ekvint</w:t>
      </w:r>
      <w:proofErr w:type="spellEnd"/>
      <w:r w:rsidRPr="00296606">
        <w:rPr>
          <w:sz w:val="24"/>
          <w:szCs w:val="24"/>
        </w:rPr>
        <w:t xml:space="preserve"> antihumant T-</w:t>
      </w:r>
      <w:proofErr w:type="spellStart"/>
      <w:r w:rsidRPr="00296606">
        <w:rPr>
          <w:sz w:val="24"/>
          <w:szCs w:val="24"/>
        </w:rPr>
        <w:t>lymfocytimmunoglobulin</w:t>
      </w:r>
      <w:proofErr w:type="spellEnd"/>
      <w:r w:rsidRPr="00296606">
        <w:rPr>
          <w:sz w:val="24"/>
          <w:szCs w:val="24"/>
        </w:rPr>
        <w:t xml:space="preserve"> til gravide kvinder. Graviditeternes resultat kan ikke bestemmes. Dyrestudier har vist reproduktiv toksicitet (se pkt. 5.3). Disse resultater kan ikke overføres til mennesker.</w:t>
      </w:r>
    </w:p>
    <w:p w14:paraId="5CB2A25B" w14:textId="77777777" w:rsidR="00032351" w:rsidRPr="00296606" w:rsidRDefault="00032351" w:rsidP="008345F9">
      <w:pPr>
        <w:pStyle w:val="Default"/>
        <w:ind w:left="851"/>
        <w:jc w:val="both"/>
        <w:rPr>
          <w:lang w:val="da-DK"/>
        </w:rPr>
      </w:pPr>
    </w:p>
    <w:p w14:paraId="4C0B7611" w14:textId="77777777" w:rsidR="00032351" w:rsidRPr="00296606" w:rsidRDefault="00032351" w:rsidP="008345F9">
      <w:pPr>
        <w:tabs>
          <w:tab w:val="left" w:pos="1304"/>
        </w:tabs>
        <w:ind w:left="851"/>
        <w:rPr>
          <w:sz w:val="24"/>
          <w:szCs w:val="24"/>
        </w:rPr>
      </w:pPr>
      <w:r w:rsidRPr="00296606">
        <w:rPr>
          <w:sz w:val="24"/>
          <w:szCs w:val="24"/>
        </w:rPr>
        <w:t xml:space="preserve">For en sikkerheds skyld anbefales det ikke at </w:t>
      </w:r>
      <w:proofErr w:type="spellStart"/>
      <w:r w:rsidRPr="00296606">
        <w:rPr>
          <w:sz w:val="24"/>
          <w:szCs w:val="24"/>
        </w:rPr>
        <w:t>Atgam</w:t>
      </w:r>
      <w:proofErr w:type="spellEnd"/>
      <w:r w:rsidRPr="00296606">
        <w:rPr>
          <w:sz w:val="24"/>
          <w:szCs w:val="24"/>
        </w:rPr>
        <w:t xml:space="preserve"> anvendes under graviditet.</w:t>
      </w:r>
    </w:p>
    <w:p w14:paraId="6EBD516D" w14:textId="77777777" w:rsidR="00032351" w:rsidRPr="00296606" w:rsidRDefault="00032351" w:rsidP="008345F9">
      <w:pPr>
        <w:tabs>
          <w:tab w:val="left" w:pos="1304"/>
        </w:tabs>
        <w:ind w:left="851"/>
        <w:rPr>
          <w:sz w:val="24"/>
          <w:szCs w:val="24"/>
        </w:rPr>
      </w:pPr>
    </w:p>
    <w:p w14:paraId="6FE9A7F9" w14:textId="77777777" w:rsidR="00032351" w:rsidRPr="00296606" w:rsidRDefault="00032351" w:rsidP="008345F9">
      <w:pPr>
        <w:tabs>
          <w:tab w:val="left" w:pos="1304"/>
        </w:tabs>
        <w:ind w:left="851"/>
        <w:rPr>
          <w:sz w:val="24"/>
          <w:szCs w:val="24"/>
        </w:rPr>
      </w:pPr>
      <w:r w:rsidRPr="00296606">
        <w:rPr>
          <w:sz w:val="24"/>
          <w:szCs w:val="24"/>
        </w:rPr>
        <w:t xml:space="preserve">Kvinder i den fødedygtige alder skal anvende sikker prævention under og i op til 10 uger efter behandlingen er afsluttet. </w:t>
      </w:r>
    </w:p>
    <w:p w14:paraId="71DDF284" w14:textId="77777777" w:rsidR="00032351" w:rsidRPr="00F64589" w:rsidRDefault="00032351" w:rsidP="00F64589">
      <w:pPr>
        <w:ind w:left="851"/>
        <w:rPr>
          <w:noProof/>
          <w:sz w:val="24"/>
          <w:szCs w:val="24"/>
        </w:rPr>
      </w:pPr>
    </w:p>
    <w:p w14:paraId="6AADA3EB" w14:textId="77777777" w:rsidR="00032351" w:rsidRPr="00F64589" w:rsidRDefault="00032351" w:rsidP="00F64589">
      <w:pPr>
        <w:ind w:left="851"/>
        <w:rPr>
          <w:sz w:val="24"/>
          <w:szCs w:val="24"/>
          <w:u w:val="single"/>
        </w:rPr>
      </w:pPr>
      <w:r w:rsidRPr="00F64589">
        <w:rPr>
          <w:sz w:val="24"/>
          <w:szCs w:val="24"/>
          <w:u w:val="single"/>
        </w:rPr>
        <w:t>Amning</w:t>
      </w:r>
    </w:p>
    <w:p w14:paraId="30553EED" w14:textId="77777777" w:rsidR="00032351" w:rsidRPr="00F64589" w:rsidRDefault="00032351" w:rsidP="00F64589">
      <w:pPr>
        <w:ind w:left="851"/>
        <w:rPr>
          <w:color w:val="000000"/>
          <w:sz w:val="24"/>
          <w:szCs w:val="24"/>
          <w:lang w:eastAsia="zh-CN"/>
        </w:rPr>
      </w:pPr>
      <w:r w:rsidRPr="00F64589">
        <w:rPr>
          <w:sz w:val="24"/>
          <w:szCs w:val="24"/>
        </w:rPr>
        <w:t xml:space="preserve">Det vides ikke om </w:t>
      </w:r>
      <w:proofErr w:type="spellStart"/>
      <w:r w:rsidRPr="00F64589">
        <w:rPr>
          <w:sz w:val="24"/>
          <w:szCs w:val="24"/>
        </w:rPr>
        <w:t>ekvint</w:t>
      </w:r>
      <w:proofErr w:type="spellEnd"/>
      <w:r w:rsidRPr="00F64589">
        <w:rPr>
          <w:sz w:val="24"/>
          <w:szCs w:val="24"/>
        </w:rPr>
        <w:t xml:space="preserve"> antihumant T-</w:t>
      </w:r>
      <w:proofErr w:type="spellStart"/>
      <w:r w:rsidRPr="00F64589">
        <w:rPr>
          <w:sz w:val="24"/>
          <w:szCs w:val="24"/>
        </w:rPr>
        <w:t>lymfocytimmunoglobulin</w:t>
      </w:r>
      <w:proofErr w:type="spellEnd"/>
      <w:r w:rsidRPr="00F64589">
        <w:rPr>
          <w:sz w:val="24"/>
          <w:szCs w:val="24"/>
        </w:rPr>
        <w:t xml:space="preserve"> udskilles i human mælk. </w:t>
      </w:r>
      <w:r w:rsidRPr="00F64589">
        <w:rPr>
          <w:color w:val="000000"/>
          <w:sz w:val="24"/>
          <w:szCs w:val="24"/>
        </w:rPr>
        <w:t xml:space="preserve">De tilgængelige toksikologiske data fra dyreforsøg har ikke vist, at </w:t>
      </w:r>
      <w:proofErr w:type="spellStart"/>
      <w:r w:rsidRPr="00F64589">
        <w:rPr>
          <w:sz w:val="24"/>
          <w:szCs w:val="24"/>
        </w:rPr>
        <w:t>ekvint</w:t>
      </w:r>
      <w:proofErr w:type="spellEnd"/>
      <w:r w:rsidRPr="00F64589">
        <w:rPr>
          <w:sz w:val="24"/>
          <w:szCs w:val="24"/>
        </w:rPr>
        <w:t xml:space="preserve"> antihumant T-</w:t>
      </w:r>
      <w:proofErr w:type="spellStart"/>
      <w:r w:rsidRPr="00F64589">
        <w:rPr>
          <w:sz w:val="24"/>
          <w:szCs w:val="24"/>
        </w:rPr>
        <w:t>lymfocytimmunoglobulin</w:t>
      </w:r>
      <w:proofErr w:type="spellEnd"/>
      <w:r w:rsidRPr="00F64589">
        <w:rPr>
          <w:sz w:val="24"/>
          <w:szCs w:val="24"/>
        </w:rPr>
        <w:t xml:space="preserve"> </w:t>
      </w:r>
      <w:r w:rsidRPr="00F64589">
        <w:rPr>
          <w:color w:val="000000"/>
          <w:sz w:val="24"/>
          <w:szCs w:val="24"/>
        </w:rPr>
        <w:t>udskilles i mælk (se pkt. 5.3).</w:t>
      </w:r>
      <w:r w:rsidRPr="00F64589">
        <w:rPr>
          <w:color w:val="000000"/>
          <w:sz w:val="24"/>
          <w:szCs w:val="24"/>
          <w:lang w:eastAsia="zh-CN"/>
        </w:rPr>
        <w:t xml:space="preserve"> </w:t>
      </w:r>
      <w:r w:rsidRPr="00F64589">
        <w:rPr>
          <w:sz w:val="24"/>
          <w:szCs w:val="24"/>
        </w:rPr>
        <w:t xml:space="preserve">Da en risiko for det ammede barn ikke kan udelukkes, skal det besluttes, om amning eller behandling med </w:t>
      </w:r>
      <w:proofErr w:type="spellStart"/>
      <w:r w:rsidRPr="00F64589">
        <w:rPr>
          <w:sz w:val="24"/>
          <w:szCs w:val="24"/>
        </w:rPr>
        <w:t>Atgam</w:t>
      </w:r>
      <w:proofErr w:type="spellEnd"/>
      <w:r w:rsidRPr="00F64589">
        <w:rPr>
          <w:sz w:val="24"/>
          <w:szCs w:val="24"/>
        </w:rPr>
        <w:t xml:space="preserve"> skal ophøre, idet der tages højde for fordelene ved amning for barnet i forhold til de terapeutiske fordele for moderen.</w:t>
      </w:r>
    </w:p>
    <w:p w14:paraId="515BD9BF" w14:textId="77777777" w:rsidR="00032351" w:rsidRPr="00F64589" w:rsidRDefault="00032351" w:rsidP="00F64589">
      <w:pPr>
        <w:ind w:left="851"/>
        <w:rPr>
          <w:noProof/>
          <w:sz w:val="24"/>
          <w:szCs w:val="24"/>
        </w:rPr>
      </w:pPr>
    </w:p>
    <w:p w14:paraId="4BBD5173" w14:textId="77777777" w:rsidR="00032351" w:rsidRPr="00F64589" w:rsidRDefault="00032351" w:rsidP="00F64589">
      <w:pPr>
        <w:ind w:left="851"/>
        <w:rPr>
          <w:sz w:val="24"/>
          <w:szCs w:val="24"/>
          <w:u w:val="single"/>
        </w:rPr>
      </w:pPr>
      <w:r w:rsidRPr="00F64589">
        <w:rPr>
          <w:sz w:val="24"/>
          <w:szCs w:val="24"/>
          <w:u w:val="single"/>
        </w:rPr>
        <w:t>Fertilitet</w:t>
      </w:r>
    </w:p>
    <w:p w14:paraId="155193B7" w14:textId="77777777" w:rsidR="00032351" w:rsidRPr="00F64589" w:rsidRDefault="00032351" w:rsidP="00F64589">
      <w:pPr>
        <w:ind w:left="851"/>
        <w:rPr>
          <w:sz w:val="24"/>
          <w:szCs w:val="24"/>
        </w:rPr>
      </w:pPr>
      <w:r w:rsidRPr="00F64589">
        <w:rPr>
          <w:sz w:val="24"/>
          <w:szCs w:val="24"/>
        </w:rPr>
        <w:t xml:space="preserve">Administration af </w:t>
      </w:r>
      <w:proofErr w:type="spellStart"/>
      <w:r w:rsidRPr="00F64589">
        <w:rPr>
          <w:sz w:val="24"/>
          <w:szCs w:val="24"/>
        </w:rPr>
        <w:t>ekvint</w:t>
      </w:r>
      <w:proofErr w:type="spellEnd"/>
      <w:r w:rsidRPr="00F64589">
        <w:rPr>
          <w:sz w:val="24"/>
          <w:szCs w:val="24"/>
        </w:rPr>
        <w:t xml:space="preserve"> antihumant T-</w:t>
      </w:r>
      <w:proofErr w:type="spellStart"/>
      <w:r w:rsidRPr="00F64589">
        <w:rPr>
          <w:sz w:val="24"/>
          <w:szCs w:val="24"/>
        </w:rPr>
        <w:t>lymfocytimmunoglobulin</w:t>
      </w:r>
      <w:proofErr w:type="spellEnd"/>
      <w:r w:rsidRPr="00F64589">
        <w:rPr>
          <w:sz w:val="24"/>
          <w:szCs w:val="24"/>
        </w:rPr>
        <w:t xml:space="preserve"> til </w:t>
      </w:r>
      <w:proofErr w:type="spellStart"/>
      <w:r w:rsidRPr="00F64589">
        <w:rPr>
          <w:sz w:val="24"/>
          <w:szCs w:val="24"/>
        </w:rPr>
        <w:t>cynomolgus</w:t>
      </w:r>
      <w:proofErr w:type="spellEnd"/>
      <w:r w:rsidRPr="00F64589">
        <w:rPr>
          <w:sz w:val="24"/>
          <w:szCs w:val="24"/>
        </w:rPr>
        <w:t>-aber (</w:t>
      </w:r>
      <w:proofErr w:type="spellStart"/>
      <w:r w:rsidRPr="00F64589">
        <w:rPr>
          <w:i/>
          <w:sz w:val="24"/>
          <w:szCs w:val="24"/>
        </w:rPr>
        <w:t>Macaca</w:t>
      </w:r>
      <w:proofErr w:type="spellEnd"/>
      <w:r w:rsidRPr="00F64589">
        <w:rPr>
          <w:i/>
          <w:sz w:val="24"/>
          <w:szCs w:val="24"/>
        </w:rPr>
        <w:t xml:space="preserve"> </w:t>
      </w:r>
      <w:proofErr w:type="spellStart"/>
      <w:r w:rsidRPr="00F64589">
        <w:rPr>
          <w:i/>
          <w:sz w:val="24"/>
          <w:szCs w:val="24"/>
        </w:rPr>
        <w:t>fascicularis</w:t>
      </w:r>
      <w:proofErr w:type="spellEnd"/>
      <w:r w:rsidRPr="00F64589">
        <w:rPr>
          <w:sz w:val="24"/>
          <w:szCs w:val="24"/>
        </w:rPr>
        <w:t>) i doser, der er sammenlignelige med dem, som anvendes i kliniske studier, var ikke forbundet med nedsat fertilitet hos han- eller hunaber (se pkt. 5.3).</w:t>
      </w:r>
    </w:p>
    <w:p w14:paraId="4227FFA9" w14:textId="77777777" w:rsidR="009260DE" w:rsidRPr="00296606" w:rsidRDefault="009260DE" w:rsidP="009260DE">
      <w:pPr>
        <w:tabs>
          <w:tab w:val="left" w:pos="851"/>
        </w:tabs>
        <w:ind w:left="851"/>
        <w:rPr>
          <w:sz w:val="24"/>
          <w:szCs w:val="24"/>
        </w:rPr>
      </w:pPr>
    </w:p>
    <w:p w14:paraId="1387BEC7" w14:textId="58323551" w:rsidR="009260DE" w:rsidRPr="00296606" w:rsidRDefault="009260DE" w:rsidP="009260DE">
      <w:pPr>
        <w:tabs>
          <w:tab w:val="left" w:pos="851"/>
        </w:tabs>
        <w:ind w:left="851" w:hanging="851"/>
        <w:rPr>
          <w:b/>
          <w:sz w:val="24"/>
          <w:szCs w:val="24"/>
        </w:rPr>
      </w:pPr>
      <w:r w:rsidRPr="00296606">
        <w:rPr>
          <w:b/>
          <w:sz w:val="24"/>
          <w:szCs w:val="24"/>
        </w:rPr>
        <w:t>4.7</w:t>
      </w:r>
      <w:r w:rsidRPr="00296606">
        <w:rPr>
          <w:b/>
          <w:sz w:val="24"/>
          <w:szCs w:val="24"/>
        </w:rPr>
        <w:tab/>
        <w:t xml:space="preserve">Virkning på evnen til at føre motorkøretøj </w:t>
      </w:r>
      <w:r w:rsidR="00FA1740">
        <w:rPr>
          <w:b/>
          <w:sz w:val="24"/>
          <w:szCs w:val="24"/>
        </w:rPr>
        <w:t>og</w:t>
      </w:r>
      <w:r w:rsidRPr="00296606">
        <w:rPr>
          <w:b/>
          <w:sz w:val="24"/>
          <w:szCs w:val="24"/>
        </w:rPr>
        <w:t xml:space="preserve"> betjene maskiner</w:t>
      </w:r>
    </w:p>
    <w:p w14:paraId="3976B8B0" w14:textId="77777777" w:rsidR="00032351" w:rsidRPr="00296606" w:rsidRDefault="00032351" w:rsidP="008345F9">
      <w:pPr>
        <w:ind w:left="851"/>
        <w:rPr>
          <w:rStyle w:val="Instructions"/>
          <w:i w:val="0"/>
          <w:color w:val="auto"/>
          <w:sz w:val="24"/>
          <w:szCs w:val="24"/>
        </w:rPr>
      </w:pPr>
      <w:r w:rsidRPr="00296606">
        <w:rPr>
          <w:rStyle w:val="Instructions"/>
          <w:i w:val="0"/>
          <w:color w:val="auto"/>
          <w:sz w:val="24"/>
          <w:szCs w:val="24"/>
        </w:rPr>
        <w:t>Ikke mærkning.</w:t>
      </w:r>
    </w:p>
    <w:p w14:paraId="1A97F8AE" w14:textId="3D62CB2A" w:rsidR="00032351" w:rsidRPr="00296606" w:rsidRDefault="00032351" w:rsidP="008345F9">
      <w:pPr>
        <w:tabs>
          <w:tab w:val="left" w:pos="1304"/>
        </w:tabs>
        <w:ind w:left="851"/>
        <w:rPr>
          <w:rFonts w:eastAsia="SimSun"/>
          <w:sz w:val="24"/>
          <w:szCs w:val="24"/>
        </w:rPr>
      </w:pPr>
      <w:r w:rsidRPr="00296606">
        <w:rPr>
          <w:rStyle w:val="Instructions"/>
          <w:i w:val="0"/>
          <w:iCs/>
          <w:color w:val="auto"/>
          <w:sz w:val="24"/>
          <w:szCs w:val="24"/>
        </w:rPr>
        <w:t>Der er ikke udført studier af virkningen eller evnen til at føre motorkøretøj eller betjene maskiner.</w:t>
      </w:r>
      <w:r w:rsidRPr="00296606">
        <w:rPr>
          <w:rStyle w:val="Instructions"/>
          <w:i w:val="0"/>
          <w:color w:val="auto"/>
          <w:sz w:val="24"/>
          <w:szCs w:val="24"/>
        </w:rPr>
        <w:t xml:space="preserve"> </w:t>
      </w:r>
      <w:proofErr w:type="spellStart"/>
      <w:r w:rsidRPr="00296606">
        <w:rPr>
          <w:rStyle w:val="Instructions"/>
          <w:i w:val="0"/>
          <w:color w:val="auto"/>
          <w:sz w:val="24"/>
          <w:szCs w:val="24"/>
        </w:rPr>
        <w:t>E</w:t>
      </w:r>
      <w:r w:rsidRPr="00296606">
        <w:rPr>
          <w:sz w:val="24"/>
          <w:szCs w:val="24"/>
        </w:rPr>
        <w:t>kvint</w:t>
      </w:r>
      <w:proofErr w:type="spellEnd"/>
      <w:r w:rsidRPr="00296606">
        <w:rPr>
          <w:sz w:val="24"/>
          <w:szCs w:val="24"/>
        </w:rPr>
        <w:t xml:space="preserve"> antihumant T-</w:t>
      </w:r>
      <w:proofErr w:type="spellStart"/>
      <w:r w:rsidRPr="00296606">
        <w:rPr>
          <w:sz w:val="24"/>
          <w:szCs w:val="24"/>
        </w:rPr>
        <w:t>lymfocytimmunoglobulin</w:t>
      </w:r>
      <w:proofErr w:type="spellEnd"/>
      <w:r w:rsidRPr="00296606">
        <w:rPr>
          <w:sz w:val="24"/>
          <w:szCs w:val="24"/>
        </w:rPr>
        <w:t xml:space="preserve"> </w:t>
      </w:r>
      <w:r w:rsidRPr="00296606">
        <w:rPr>
          <w:rStyle w:val="Instructions"/>
          <w:i w:val="0"/>
          <w:iCs/>
          <w:color w:val="auto"/>
          <w:sz w:val="24"/>
          <w:szCs w:val="24"/>
        </w:rPr>
        <w:t>kan i moderat grad påvirke evnen til at føre motorkøretøj og betjene maskiner.</w:t>
      </w:r>
      <w:r w:rsidRPr="00296606">
        <w:rPr>
          <w:rStyle w:val="Instructions"/>
          <w:i w:val="0"/>
          <w:color w:val="auto"/>
          <w:sz w:val="24"/>
          <w:szCs w:val="24"/>
        </w:rPr>
        <w:t xml:space="preserve"> </w:t>
      </w:r>
      <w:r w:rsidRPr="00296606">
        <w:rPr>
          <w:rStyle w:val="Instructions"/>
          <w:i w:val="0"/>
          <w:iCs/>
          <w:color w:val="auto"/>
          <w:sz w:val="24"/>
          <w:szCs w:val="24"/>
        </w:rPr>
        <w:t>På grund af de potentielle bivirkninger, der kan forekomme (</w:t>
      </w:r>
      <w:r w:rsidR="00552486">
        <w:rPr>
          <w:rStyle w:val="Instructions"/>
          <w:i w:val="0"/>
          <w:iCs/>
          <w:color w:val="auto"/>
          <w:sz w:val="24"/>
          <w:szCs w:val="24"/>
        </w:rPr>
        <w:t>f.eks.</w:t>
      </w:r>
      <w:r w:rsidRPr="00296606">
        <w:rPr>
          <w:rStyle w:val="Instructions"/>
          <w:i w:val="0"/>
          <w:iCs/>
          <w:color w:val="auto"/>
          <w:sz w:val="24"/>
          <w:szCs w:val="24"/>
        </w:rPr>
        <w:t xml:space="preserve"> svimmelhed, krampeanfald, sindsforvirring, synkope), skal der udvises forsigtighed ved kørsel med motorkøretøj eller betjening af maskiner.</w:t>
      </w:r>
    </w:p>
    <w:p w14:paraId="1AE0F776" w14:textId="77777777" w:rsidR="009260DE" w:rsidRPr="00296606" w:rsidRDefault="009260DE" w:rsidP="009260DE">
      <w:pPr>
        <w:tabs>
          <w:tab w:val="left" w:pos="851"/>
        </w:tabs>
        <w:ind w:left="851"/>
        <w:rPr>
          <w:sz w:val="24"/>
          <w:szCs w:val="24"/>
        </w:rPr>
      </w:pPr>
    </w:p>
    <w:p w14:paraId="43822D87" w14:textId="77777777" w:rsidR="009260DE" w:rsidRPr="00296606" w:rsidRDefault="009260DE" w:rsidP="009260DE">
      <w:pPr>
        <w:tabs>
          <w:tab w:val="left" w:pos="851"/>
        </w:tabs>
        <w:ind w:left="851" w:hanging="851"/>
        <w:rPr>
          <w:b/>
          <w:sz w:val="24"/>
          <w:szCs w:val="24"/>
        </w:rPr>
      </w:pPr>
      <w:r w:rsidRPr="00296606">
        <w:rPr>
          <w:b/>
          <w:sz w:val="24"/>
          <w:szCs w:val="24"/>
        </w:rPr>
        <w:t>4.8</w:t>
      </w:r>
      <w:r w:rsidRPr="00296606">
        <w:rPr>
          <w:b/>
          <w:sz w:val="24"/>
          <w:szCs w:val="24"/>
        </w:rPr>
        <w:tab/>
        <w:t>Bivirkninger</w:t>
      </w:r>
    </w:p>
    <w:p w14:paraId="2BF31EA0" w14:textId="77777777" w:rsidR="00032351" w:rsidRPr="00296606" w:rsidRDefault="00032351" w:rsidP="008345F9">
      <w:pPr>
        <w:ind w:left="851"/>
        <w:rPr>
          <w:color w:val="000000"/>
          <w:sz w:val="24"/>
          <w:szCs w:val="24"/>
        </w:rPr>
      </w:pPr>
      <w:r w:rsidRPr="00296606">
        <w:rPr>
          <w:color w:val="000000"/>
          <w:sz w:val="24"/>
          <w:szCs w:val="24"/>
        </w:rPr>
        <w:t xml:space="preserve">De mest almindelige bivirkninger, der er rapporteret fra kliniske studier (forekommer hos flere end 10 % af patienterne) er infektioner, </w:t>
      </w:r>
      <w:proofErr w:type="spellStart"/>
      <w:r w:rsidRPr="00296606">
        <w:rPr>
          <w:color w:val="000000"/>
          <w:sz w:val="24"/>
          <w:szCs w:val="24"/>
        </w:rPr>
        <w:t>neutropeni</w:t>
      </w:r>
      <w:proofErr w:type="spellEnd"/>
      <w:r w:rsidRPr="00296606">
        <w:rPr>
          <w:color w:val="000000"/>
          <w:sz w:val="24"/>
          <w:szCs w:val="24"/>
        </w:rPr>
        <w:t xml:space="preserve">, serumsygdom, hovedpine, hypertension, diarré, udslæt, </w:t>
      </w:r>
      <w:proofErr w:type="spellStart"/>
      <w:r w:rsidRPr="00296606">
        <w:rPr>
          <w:color w:val="000000"/>
          <w:sz w:val="24"/>
          <w:szCs w:val="24"/>
        </w:rPr>
        <w:t>artralgi</w:t>
      </w:r>
      <w:proofErr w:type="spellEnd"/>
      <w:r w:rsidRPr="00296606">
        <w:rPr>
          <w:color w:val="000000"/>
          <w:sz w:val="24"/>
          <w:szCs w:val="24"/>
        </w:rPr>
        <w:t xml:space="preserve">, </w:t>
      </w:r>
      <w:proofErr w:type="spellStart"/>
      <w:r w:rsidRPr="00296606">
        <w:rPr>
          <w:color w:val="000000"/>
          <w:sz w:val="24"/>
          <w:szCs w:val="24"/>
        </w:rPr>
        <w:t>pyreksi</w:t>
      </w:r>
      <w:proofErr w:type="spellEnd"/>
      <w:r w:rsidRPr="00296606">
        <w:rPr>
          <w:color w:val="000000"/>
          <w:sz w:val="24"/>
          <w:szCs w:val="24"/>
        </w:rPr>
        <w:t xml:space="preserve">, kulderystelser, smerter, ødem og unormal leverfunktionstest </w:t>
      </w:r>
      <w:r w:rsidRPr="00296606">
        <w:rPr>
          <w:sz w:val="24"/>
          <w:szCs w:val="24"/>
        </w:rPr>
        <w:t>(se pkt. 4.4). Bivirkninger, der er angivet med ikke kendt hyppighed, er fra erfaringer efter markedsføringen.</w:t>
      </w:r>
    </w:p>
    <w:p w14:paraId="28EABBEA" w14:textId="77777777" w:rsidR="00032351" w:rsidRPr="00296606" w:rsidRDefault="00032351" w:rsidP="008345F9">
      <w:pPr>
        <w:ind w:left="851"/>
        <w:rPr>
          <w:sz w:val="24"/>
          <w:szCs w:val="24"/>
        </w:rPr>
      </w:pPr>
    </w:p>
    <w:p w14:paraId="5037C70A" w14:textId="77777777" w:rsidR="00032351" w:rsidRPr="00296606" w:rsidRDefault="00032351" w:rsidP="008345F9">
      <w:pPr>
        <w:ind w:left="851"/>
        <w:rPr>
          <w:sz w:val="24"/>
          <w:szCs w:val="24"/>
        </w:rPr>
      </w:pPr>
      <w:r w:rsidRPr="00296606">
        <w:rPr>
          <w:sz w:val="24"/>
          <w:szCs w:val="24"/>
        </w:rPr>
        <w:t>Se pkt. 4.4 for at få oplysninger om sikkerheden med hensyn til overførbare stoffer.</w:t>
      </w:r>
    </w:p>
    <w:p w14:paraId="06DBABF8" w14:textId="77777777" w:rsidR="00032351" w:rsidRPr="004E0D1A" w:rsidRDefault="00032351" w:rsidP="008345F9">
      <w:pPr>
        <w:ind w:left="851"/>
        <w:rPr>
          <w:noProof/>
          <w:sz w:val="24"/>
          <w:szCs w:val="24"/>
        </w:rPr>
      </w:pPr>
    </w:p>
    <w:p w14:paraId="3460FAB3" w14:textId="77777777" w:rsidR="00032351" w:rsidRPr="004E0D1A" w:rsidRDefault="00032351" w:rsidP="004E0D1A">
      <w:pPr>
        <w:ind w:left="851"/>
        <w:rPr>
          <w:noProof/>
          <w:sz w:val="24"/>
          <w:szCs w:val="24"/>
          <w:u w:val="single"/>
        </w:rPr>
      </w:pPr>
      <w:r w:rsidRPr="004E0D1A">
        <w:rPr>
          <w:noProof/>
          <w:sz w:val="24"/>
          <w:szCs w:val="24"/>
          <w:u w:val="single"/>
        </w:rPr>
        <w:t>Tabel over bivirkninger</w:t>
      </w:r>
    </w:p>
    <w:p w14:paraId="077E61F3" w14:textId="77777777" w:rsidR="00032351" w:rsidRPr="004E0D1A" w:rsidRDefault="00032351" w:rsidP="004E0D1A">
      <w:pPr>
        <w:ind w:left="851"/>
        <w:rPr>
          <w:sz w:val="24"/>
          <w:szCs w:val="24"/>
        </w:rPr>
      </w:pPr>
      <w:r w:rsidRPr="004E0D1A">
        <w:rPr>
          <w:sz w:val="24"/>
          <w:szCs w:val="24"/>
        </w:rPr>
        <w:t xml:space="preserve">I nedenstående tabel er bivirkninger angivet efter systemorganklasse og foretrukken betegnelse i </w:t>
      </w:r>
      <w:proofErr w:type="spellStart"/>
      <w:r w:rsidRPr="004E0D1A">
        <w:rPr>
          <w:sz w:val="24"/>
          <w:szCs w:val="24"/>
        </w:rPr>
        <w:t>MedDRA</w:t>
      </w:r>
      <w:proofErr w:type="spellEnd"/>
      <w:r w:rsidRPr="004E0D1A">
        <w:rPr>
          <w:sz w:val="24"/>
          <w:szCs w:val="24"/>
        </w:rPr>
        <w:t xml:space="preserve">. </w:t>
      </w:r>
    </w:p>
    <w:p w14:paraId="16804E3E" w14:textId="77777777" w:rsidR="00032351" w:rsidRPr="004E0D1A" w:rsidRDefault="00032351" w:rsidP="004E0D1A">
      <w:pPr>
        <w:ind w:left="851"/>
        <w:rPr>
          <w:sz w:val="24"/>
          <w:szCs w:val="24"/>
        </w:rPr>
      </w:pPr>
    </w:p>
    <w:p w14:paraId="3C8A20B2" w14:textId="77777777" w:rsidR="002E0EA0" w:rsidRPr="00296606" w:rsidRDefault="002E0EA0" w:rsidP="002E0EA0">
      <w:pPr>
        <w:pStyle w:val="Paragraph"/>
        <w:widowControl w:val="0"/>
        <w:spacing w:after="0"/>
        <w:ind w:left="851"/>
        <w:rPr>
          <w:rStyle w:val="TableText9"/>
          <w:sz w:val="24"/>
        </w:rPr>
      </w:pPr>
      <w:r w:rsidRPr="00296606">
        <w:rPr>
          <w:rStyle w:val="TableText9"/>
          <w:sz w:val="24"/>
          <w:lang w:val="da-DK"/>
        </w:rPr>
        <w:t>Bemærk:</w:t>
      </w:r>
      <w:r w:rsidRPr="00296606">
        <w:rPr>
          <w:bCs/>
          <w:lang w:val="da-DK"/>
        </w:rPr>
        <w:t xml:space="preserve"> </w:t>
      </w:r>
      <w:r w:rsidRPr="00296606">
        <w:rPr>
          <w:rStyle w:val="TableText9"/>
          <w:sz w:val="24"/>
          <w:lang w:val="da-DK"/>
        </w:rPr>
        <w:t>Hyppighedskategorierne er blevet defineret i henhold til følgende konvention: meget almindelig (</w:t>
      </w:r>
      <w:r w:rsidRPr="00296606">
        <w:rPr>
          <w:rStyle w:val="TableText9"/>
          <w:sz w:val="24"/>
          <w:u w:val="single"/>
          <w:lang w:val="da-DK"/>
        </w:rPr>
        <w:t>&gt; </w:t>
      </w:r>
      <w:r w:rsidRPr="00296606">
        <w:rPr>
          <w:rStyle w:val="TableText9"/>
          <w:sz w:val="24"/>
          <w:lang w:val="da-DK"/>
        </w:rPr>
        <w:t>1/10), almindelig (≥ 1/100 til &lt; 1/10), ikke almindelig (≥ 1/1.000 til &lt; 1/100), sjælden (≥ 1/10.000 til &lt; 1/1.000), meget sjælden (&lt; 1/10.000) og ikke kendt (kan ikke estimeres ud fra forhåndenværende data).</w:t>
      </w:r>
      <w:r w:rsidRPr="00296606">
        <w:rPr>
          <w:lang w:val="da-DK"/>
        </w:rPr>
        <w:t xml:space="preserve"> Inden for hver hyppighedsgruppe er </w:t>
      </w:r>
      <w:r w:rsidRPr="00296606">
        <w:rPr>
          <w:lang w:val="da-DK"/>
        </w:rPr>
        <w:lastRenderedPageBreak/>
        <w:t>bivirkningerne opstillet efter, hvor alvorlige de er. De alvorligste bivirkninger er anført først.</w:t>
      </w:r>
    </w:p>
    <w:p w14:paraId="1A150FF4" w14:textId="77777777" w:rsidR="002E0EA0" w:rsidRPr="00296606" w:rsidRDefault="002E0EA0" w:rsidP="002E0EA0">
      <w:pPr>
        <w:pStyle w:val="Paragraph"/>
        <w:widowControl w:val="0"/>
        <w:spacing w:after="0"/>
        <w:rPr>
          <w:u w:val="single"/>
        </w:rPr>
      </w:pPr>
    </w:p>
    <w:tbl>
      <w:tblPr>
        <w:tblW w:w="5000" w:type="pct"/>
        <w:tblLook w:val="01E0" w:firstRow="1" w:lastRow="1" w:firstColumn="1" w:lastColumn="1" w:noHBand="0" w:noVBand="0"/>
      </w:tblPr>
      <w:tblGrid>
        <w:gridCol w:w="2595"/>
        <w:gridCol w:w="1773"/>
        <w:gridCol w:w="1770"/>
        <w:gridCol w:w="1665"/>
        <w:gridCol w:w="1835"/>
      </w:tblGrid>
      <w:tr w:rsidR="002E0EA0" w:rsidRPr="003F3D07" w14:paraId="04518413" w14:textId="77777777" w:rsidTr="00182D0F">
        <w:tc>
          <w:tcPr>
            <w:tcW w:w="5000" w:type="pct"/>
            <w:gridSpan w:val="5"/>
            <w:hideMark/>
          </w:tcPr>
          <w:p w14:paraId="3511BB77" w14:textId="77777777" w:rsidR="002E0EA0" w:rsidRPr="003F3D07" w:rsidRDefault="002E0EA0" w:rsidP="00182D0F">
            <w:pPr>
              <w:rPr>
                <w:b/>
                <w:sz w:val="22"/>
                <w:szCs w:val="22"/>
              </w:rPr>
            </w:pPr>
            <w:r w:rsidRPr="003F3D07">
              <w:rPr>
                <w:b/>
                <w:sz w:val="22"/>
                <w:szCs w:val="22"/>
              </w:rPr>
              <w:t>Tabel 2. Bivirkninger</w:t>
            </w:r>
          </w:p>
        </w:tc>
      </w:tr>
      <w:tr w:rsidR="002E0EA0" w:rsidRPr="001711EF" w14:paraId="10B72BC6" w14:textId="77777777" w:rsidTr="00182D0F">
        <w:trPr>
          <w:tblHeader/>
        </w:trPr>
        <w:tc>
          <w:tcPr>
            <w:tcW w:w="1346" w:type="pct"/>
            <w:tcBorders>
              <w:top w:val="single" w:sz="4" w:space="0" w:color="auto"/>
              <w:left w:val="single" w:sz="4" w:space="0" w:color="auto"/>
              <w:bottom w:val="single" w:sz="4" w:space="0" w:color="auto"/>
              <w:right w:val="single" w:sz="4" w:space="0" w:color="auto"/>
            </w:tcBorders>
            <w:hideMark/>
          </w:tcPr>
          <w:p w14:paraId="46447716" w14:textId="77777777" w:rsidR="002E0EA0" w:rsidRPr="001711EF" w:rsidRDefault="002E0EA0" w:rsidP="00182D0F">
            <w:pPr>
              <w:rPr>
                <w:sz w:val="22"/>
                <w:szCs w:val="22"/>
              </w:rPr>
            </w:pPr>
            <w:r w:rsidRPr="001711EF">
              <w:rPr>
                <w:sz w:val="22"/>
                <w:szCs w:val="22"/>
              </w:rPr>
              <w:t>Systemorganklasse</w:t>
            </w:r>
          </w:p>
        </w:tc>
        <w:tc>
          <w:tcPr>
            <w:tcW w:w="920" w:type="pct"/>
            <w:tcBorders>
              <w:top w:val="single" w:sz="4" w:space="0" w:color="auto"/>
              <w:left w:val="single" w:sz="4" w:space="0" w:color="auto"/>
              <w:bottom w:val="single" w:sz="4" w:space="0" w:color="auto"/>
              <w:right w:val="single" w:sz="4" w:space="0" w:color="auto"/>
            </w:tcBorders>
          </w:tcPr>
          <w:p w14:paraId="4B996AF2" w14:textId="77777777" w:rsidR="002E0EA0" w:rsidRPr="001711EF" w:rsidRDefault="002E0EA0" w:rsidP="00182D0F">
            <w:pPr>
              <w:rPr>
                <w:sz w:val="22"/>
                <w:szCs w:val="22"/>
              </w:rPr>
            </w:pPr>
            <w:r w:rsidRPr="001711EF">
              <w:rPr>
                <w:sz w:val="22"/>
                <w:szCs w:val="22"/>
              </w:rPr>
              <w:t>Meget almindelig</w:t>
            </w:r>
          </w:p>
          <w:p w14:paraId="57A8AB97" w14:textId="77777777" w:rsidR="002E0EA0" w:rsidRPr="001711EF" w:rsidRDefault="002E0EA0" w:rsidP="00182D0F">
            <w:pPr>
              <w:rPr>
                <w:sz w:val="22"/>
                <w:szCs w:val="22"/>
              </w:rPr>
            </w:pPr>
            <w:r w:rsidRPr="001711EF">
              <w:rPr>
                <w:sz w:val="22"/>
                <w:szCs w:val="22"/>
              </w:rPr>
              <w:t>≥ 1/10</w:t>
            </w:r>
          </w:p>
        </w:tc>
        <w:tc>
          <w:tcPr>
            <w:tcW w:w="918" w:type="pct"/>
            <w:tcBorders>
              <w:top w:val="single" w:sz="4" w:space="0" w:color="auto"/>
              <w:left w:val="single" w:sz="4" w:space="0" w:color="auto"/>
              <w:bottom w:val="single" w:sz="4" w:space="0" w:color="auto"/>
              <w:right w:val="single" w:sz="4" w:space="0" w:color="auto"/>
            </w:tcBorders>
          </w:tcPr>
          <w:p w14:paraId="7CCBAC59" w14:textId="77777777" w:rsidR="002E0EA0" w:rsidRPr="001711EF" w:rsidRDefault="002E0EA0" w:rsidP="00182D0F">
            <w:pPr>
              <w:rPr>
                <w:sz w:val="22"/>
                <w:szCs w:val="22"/>
              </w:rPr>
            </w:pPr>
            <w:r w:rsidRPr="001711EF">
              <w:rPr>
                <w:sz w:val="22"/>
                <w:szCs w:val="22"/>
              </w:rPr>
              <w:t>Almindelig</w:t>
            </w:r>
          </w:p>
          <w:p w14:paraId="2C9FD323" w14:textId="77777777" w:rsidR="002E0EA0" w:rsidRPr="001711EF" w:rsidRDefault="002E0EA0" w:rsidP="00182D0F">
            <w:pPr>
              <w:rPr>
                <w:sz w:val="22"/>
                <w:szCs w:val="22"/>
              </w:rPr>
            </w:pPr>
            <w:r w:rsidRPr="001711EF">
              <w:rPr>
                <w:sz w:val="22"/>
                <w:szCs w:val="22"/>
              </w:rPr>
              <w:t>≥ 1/100</w:t>
            </w:r>
          </w:p>
          <w:p w14:paraId="0A73A27C" w14:textId="77777777" w:rsidR="002E0EA0" w:rsidRPr="001711EF" w:rsidRDefault="002E0EA0" w:rsidP="00182D0F">
            <w:pPr>
              <w:rPr>
                <w:sz w:val="22"/>
                <w:szCs w:val="22"/>
              </w:rPr>
            </w:pPr>
            <w:r w:rsidRPr="001711EF">
              <w:rPr>
                <w:sz w:val="22"/>
                <w:szCs w:val="22"/>
              </w:rPr>
              <w:t>til &lt; 1/10</w:t>
            </w:r>
          </w:p>
          <w:p w14:paraId="112D2E70" w14:textId="77777777" w:rsidR="002E0EA0" w:rsidRPr="001711EF" w:rsidRDefault="002E0EA0" w:rsidP="00182D0F">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14:paraId="0D5B4BCB" w14:textId="77777777" w:rsidR="002E0EA0" w:rsidRPr="001711EF" w:rsidRDefault="002E0EA0" w:rsidP="00182D0F">
            <w:pPr>
              <w:rPr>
                <w:sz w:val="22"/>
                <w:szCs w:val="22"/>
              </w:rPr>
            </w:pPr>
            <w:r w:rsidRPr="001711EF">
              <w:rPr>
                <w:sz w:val="22"/>
                <w:szCs w:val="22"/>
              </w:rPr>
              <w:t>Ikke almindelig</w:t>
            </w:r>
          </w:p>
          <w:p w14:paraId="02775AB4" w14:textId="77777777" w:rsidR="002E0EA0" w:rsidRPr="001711EF" w:rsidRDefault="002E0EA0" w:rsidP="00182D0F">
            <w:pPr>
              <w:rPr>
                <w:sz w:val="22"/>
                <w:szCs w:val="22"/>
              </w:rPr>
            </w:pPr>
            <w:r w:rsidRPr="001711EF">
              <w:rPr>
                <w:sz w:val="22"/>
                <w:szCs w:val="22"/>
              </w:rPr>
              <w:t>≥ 1/1.000 til &lt; 1/100</w:t>
            </w:r>
          </w:p>
        </w:tc>
        <w:tc>
          <w:tcPr>
            <w:tcW w:w="951" w:type="pct"/>
            <w:tcBorders>
              <w:top w:val="single" w:sz="4" w:space="0" w:color="auto"/>
              <w:left w:val="single" w:sz="4" w:space="0" w:color="auto"/>
              <w:bottom w:val="single" w:sz="4" w:space="0" w:color="auto"/>
              <w:right w:val="single" w:sz="4" w:space="0" w:color="auto"/>
            </w:tcBorders>
          </w:tcPr>
          <w:p w14:paraId="37DF6875" w14:textId="77777777" w:rsidR="002E0EA0" w:rsidRPr="001711EF" w:rsidRDefault="002E0EA0" w:rsidP="00182D0F">
            <w:pPr>
              <w:rPr>
                <w:sz w:val="22"/>
                <w:szCs w:val="22"/>
              </w:rPr>
            </w:pPr>
            <w:r w:rsidRPr="001711EF">
              <w:rPr>
                <w:sz w:val="22"/>
                <w:szCs w:val="22"/>
              </w:rPr>
              <w:t>Hyppighed ikke kendt (kan ikke estimeres ud fra forhåndenværende data)</w:t>
            </w:r>
          </w:p>
        </w:tc>
      </w:tr>
      <w:tr w:rsidR="002E0EA0" w:rsidRPr="001711EF" w14:paraId="35022A0D"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5E16F82F" w14:textId="77777777" w:rsidR="002E0EA0" w:rsidRPr="001711EF" w:rsidRDefault="002E0EA0" w:rsidP="00182D0F">
            <w:pPr>
              <w:rPr>
                <w:sz w:val="22"/>
                <w:szCs w:val="22"/>
              </w:rPr>
            </w:pPr>
            <w:r w:rsidRPr="001711EF">
              <w:rPr>
                <w:sz w:val="22"/>
                <w:szCs w:val="22"/>
              </w:rPr>
              <w:t>Infektioner og parasitære sygdomme</w:t>
            </w:r>
          </w:p>
        </w:tc>
        <w:tc>
          <w:tcPr>
            <w:tcW w:w="920" w:type="pct"/>
            <w:tcBorders>
              <w:top w:val="single" w:sz="4" w:space="0" w:color="auto"/>
              <w:left w:val="single" w:sz="4" w:space="0" w:color="auto"/>
              <w:bottom w:val="single" w:sz="4" w:space="0" w:color="auto"/>
              <w:right w:val="single" w:sz="4" w:space="0" w:color="auto"/>
            </w:tcBorders>
            <w:hideMark/>
          </w:tcPr>
          <w:p w14:paraId="323C1830" w14:textId="77777777" w:rsidR="002E0EA0" w:rsidRPr="001711EF" w:rsidRDefault="002E0EA0" w:rsidP="00182D0F">
            <w:pPr>
              <w:rPr>
                <w:sz w:val="22"/>
                <w:szCs w:val="22"/>
              </w:rPr>
            </w:pPr>
            <w:r w:rsidRPr="001711EF">
              <w:rPr>
                <w:sz w:val="22"/>
                <w:szCs w:val="22"/>
              </w:rPr>
              <w:t>Infektion, lokaliseret infektion</w:t>
            </w:r>
          </w:p>
        </w:tc>
        <w:tc>
          <w:tcPr>
            <w:tcW w:w="918" w:type="pct"/>
            <w:tcBorders>
              <w:top w:val="single" w:sz="4" w:space="0" w:color="auto"/>
              <w:left w:val="single" w:sz="4" w:space="0" w:color="auto"/>
              <w:bottom w:val="single" w:sz="4" w:space="0" w:color="auto"/>
              <w:right w:val="single" w:sz="4" w:space="0" w:color="auto"/>
            </w:tcBorders>
            <w:hideMark/>
          </w:tcPr>
          <w:p w14:paraId="4678BF9B" w14:textId="77777777" w:rsidR="002E0EA0" w:rsidRPr="001711EF" w:rsidRDefault="002E0EA0" w:rsidP="00182D0F">
            <w:pPr>
              <w:rPr>
                <w:sz w:val="22"/>
                <w:szCs w:val="22"/>
              </w:rPr>
            </w:pPr>
            <w:r w:rsidRPr="001711EF">
              <w:rPr>
                <w:sz w:val="22"/>
                <w:szCs w:val="22"/>
              </w:rPr>
              <w:t xml:space="preserve">Sepsis, herpes </w:t>
            </w:r>
            <w:proofErr w:type="spellStart"/>
            <w:r w:rsidRPr="001711EF">
              <w:rPr>
                <w:sz w:val="22"/>
                <w:szCs w:val="22"/>
              </w:rPr>
              <w:t>simplex</w:t>
            </w:r>
            <w:proofErr w:type="spellEnd"/>
          </w:p>
        </w:tc>
        <w:tc>
          <w:tcPr>
            <w:tcW w:w="864" w:type="pct"/>
            <w:tcBorders>
              <w:top w:val="single" w:sz="4" w:space="0" w:color="auto"/>
              <w:left w:val="single" w:sz="4" w:space="0" w:color="auto"/>
              <w:bottom w:val="single" w:sz="4" w:space="0" w:color="auto"/>
              <w:right w:val="single" w:sz="4" w:space="0" w:color="auto"/>
            </w:tcBorders>
          </w:tcPr>
          <w:p w14:paraId="215B72CE"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1167E492" w14:textId="77777777" w:rsidR="002E0EA0" w:rsidRDefault="002E0EA0" w:rsidP="00182D0F">
            <w:pPr>
              <w:rPr>
                <w:sz w:val="22"/>
                <w:szCs w:val="22"/>
              </w:rPr>
            </w:pPr>
            <w:r w:rsidRPr="001711EF">
              <w:rPr>
                <w:sz w:val="22"/>
                <w:szCs w:val="22"/>
              </w:rPr>
              <w:t xml:space="preserve">Viral hepatitis, </w:t>
            </w:r>
            <w:proofErr w:type="spellStart"/>
            <w:r w:rsidRPr="001711EF">
              <w:rPr>
                <w:sz w:val="22"/>
                <w:szCs w:val="22"/>
              </w:rPr>
              <w:t>Epstein</w:t>
            </w:r>
            <w:proofErr w:type="spellEnd"/>
            <w:r w:rsidRPr="001711EF">
              <w:rPr>
                <w:sz w:val="22"/>
                <w:szCs w:val="22"/>
              </w:rPr>
              <w:t>-Barr virus</w:t>
            </w:r>
          </w:p>
          <w:p w14:paraId="4C5005FA" w14:textId="40F2797B" w:rsidR="0027090D" w:rsidRPr="001711EF" w:rsidRDefault="0027090D" w:rsidP="00182D0F">
            <w:pPr>
              <w:rPr>
                <w:sz w:val="22"/>
                <w:szCs w:val="22"/>
              </w:rPr>
            </w:pPr>
            <w:proofErr w:type="spellStart"/>
            <w:r>
              <w:rPr>
                <w:sz w:val="22"/>
                <w:szCs w:val="22"/>
              </w:rPr>
              <w:t>Cytomegalovirus</w:t>
            </w:r>
            <w:proofErr w:type="spellEnd"/>
            <w:r>
              <w:rPr>
                <w:sz w:val="22"/>
                <w:szCs w:val="22"/>
              </w:rPr>
              <w:t xml:space="preserve"> infektion</w:t>
            </w:r>
          </w:p>
        </w:tc>
      </w:tr>
      <w:tr w:rsidR="002E0EA0" w:rsidRPr="001711EF" w14:paraId="1642B30D"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2F141395" w14:textId="77777777" w:rsidR="002E0EA0" w:rsidRPr="001711EF" w:rsidRDefault="002E0EA0" w:rsidP="00182D0F">
            <w:pPr>
              <w:rPr>
                <w:sz w:val="22"/>
                <w:szCs w:val="22"/>
              </w:rPr>
            </w:pPr>
            <w:r w:rsidRPr="001711EF">
              <w:rPr>
                <w:sz w:val="22"/>
                <w:szCs w:val="22"/>
              </w:rPr>
              <w:t>Blod og lymfesystem</w:t>
            </w:r>
          </w:p>
        </w:tc>
        <w:tc>
          <w:tcPr>
            <w:tcW w:w="920" w:type="pct"/>
            <w:tcBorders>
              <w:top w:val="single" w:sz="4" w:space="0" w:color="auto"/>
              <w:left w:val="single" w:sz="4" w:space="0" w:color="auto"/>
              <w:bottom w:val="single" w:sz="4" w:space="0" w:color="auto"/>
              <w:right w:val="single" w:sz="4" w:space="0" w:color="auto"/>
            </w:tcBorders>
            <w:hideMark/>
          </w:tcPr>
          <w:p w14:paraId="30401352" w14:textId="77777777" w:rsidR="002E0EA0" w:rsidRPr="001711EF" w:rsidRDefault="002E0EA0" w:rsidP="00182D0F">
            <w:pPr>
              <w:rPr>
                <w:sz w:val="22"/>
                <w:szCs w:val="22"/>
              </w:rPr>
            </w:pPr>
            <w:proofErr w:type="spellStart"/>
            <w:r w:rsidRPr="001711EF">
              <w:rPr>
                <w:sz w:val="22"/>
                <w:szCs w:val="22"/>
              </w:rPr>
              <w:t>Neutropeni</w:t>
            </w:r>
            <w:proofErr w:type="spellEnd"/>
          </w:p>
        </w:tc>
        <w:tc>
          <w:tcPr>
            <w:tcW w:w="918" w:type="pct"/>
            <w:tcBorders>
              <w:top w:val="single" w:sz="4" w:space="0" w:color="auto"/>
              <w:left w:val="single" w:sz="4" w:space="0" w:color="auto"/>
              <w:bottom w:val="single" w:sz="4" w:space="0" w:color="auto"/>
              <w:right w:val="single" w:sz="4" w:space="0" w:color="auto"/>
            </w:tcBorders>
            <w:hideMark/>
          </w:tcPr>
          <w:p w14:paraId="2532029D" w14:textId="77777777" w:rsidR="002E0EA0" w:rsidRPr="001711EF" w:rsidRDefault="002E0EA0" w:rsidP="00182D0F">
            <w:pPr>
              <w:rPr>
                <w:sz w:val="22"/>
                <w:szCs w:val="22"/>
              </w:rPr>
            </w:pPr>
            <w:proofErr w:type="spellStart"/>
            <w:r w:rsidRPr="001711EF">
              <w:rPr>
                <w:sz w:val="22"/>
                <w:szCs w:val="22"/>
              </w:rPr>
              <w:t>Hæmolyse</w:t>
            </w:r>
            <w:proofErr w:type="spellEnd"/>
            <w:r w:rsidRPr="001711EF">
              <w:rPr>
                <w:sz w:val="22"/>
                <w:szCs w:val="22"/>
              </w:rPr>
              <w:t xml:space="preserve">, </w:t>
            </w:r>
            <w:proofErr w:type="spellStart"/>
            <w:r w:rsidRPr="001711EF">
              <w:rPr>
                <w:sz w:val="22"/>
                <w:szCs w:val="22"/>
              </w:rPr>
              <w:t>leukopeni</w:t>
            </w:r>
            <w:proofErr w:type="spellEnd"/>
            <w:r w:rsidRPr="001711EF">
              <w:rPr>
                <w:sz w:val="22"/>
                <w:szCs w:val="22"/>
              </w:rPr>
              <w:t xml:space="preserve">, </w:t>
            </w:r>
            <w:proofErr w:type="spellStart"/>
            <w:r w:rsidRPr="001711EF">
              <w:rPr>
                <w:sz w:val="22"/>
                <w:szCs w:val="22"/>
              </w:rPr>
              <w:t>lymfadenopati</w:t>
            </w:r>
            <w:proofErr w:type="spellEnd"/>
          </w:p>
        </w:tc>
        <w:tc>
          <w:tcPr>
            <w:tcW w:w="864" w:type="pct"/>
            <w:tcBorders>
              <w:top w:val="single" w:sz="4" w:space="0" w:color="auto"/>
              <w:left w:val="single" w:sz="4" w:space="0" w:color="auto"/>
              <w:bottom w:val="single" w:sz="4" w:space="0" w:color="auto"/>
              <w:right w:val="single" w:sz="4" w:space="0" w:color="auto"/>
            </w:tcBorders>
            <w:hideMark/>
          </w:tcPr>
          <w:p w14:paraId="0A9B0200" w14:textId="77777777" w:rsidR="002E0EA0" w:rsidRPr="001711EF" w:rsidRDefault="002E0EA0" w:rsidP="00182D0F">
            <w:pPr>
              <w:rPr>
                <w:sz w:val="22"/>
                <w:szCs w:val="22"/>
              </w:rPr>
            </w:pPr>
            <w:proofErr w:type="spellStart"/>
            <w:r w:rsidRPr="001711EF">
              <w:rPr>
                <w:sz w:val="22"/>
                <w:szCs w:val="22"/>
              </w:rPr>
              <w:t>Trombocytopeni</w:t>
            </w:r>
            <w:proofErr w:type="spellEnd"/>
          </w:p>
        </w:tc>
        <w:tc>
          <w:tcPr>
            <w:tcW w:w="951" w:type="pct"/>
            <w:tcBorders>
              <w:top w:val="single" w:sz="4" w:space="0" w:color="auto"/>
              <w:left w:val="single" w:sz="4" w:space="0" w:color="auto"/>
              <w:bottom w:val="single" w:sz="4" w:space="0" w:color="auto"/>
              <w:right w:val="single" w:sz="4" w:space="0" w:color="auto"/>
            </w:tcBorders>
            <w:hideMark/>
          </w:tcPr>
          <w:p w14:paraId="77A87FFB" w14:textId="77777777" w:rsidR="002E0EA0" w:rsidRPr="001711EF" w:rsidRDefault="002E0EA0" w:rsidP="00182D0F">
            <w:pPr>
              <w:rPr>
                <w:sz w:val="22"/>
                <w:szCs w:val="22"/>
              </w:rPr>
            </w:pPr>
            <w:proofErr w:type="spellStart"/>
            <w:r w:rsidRPr="001711EF">
              <w:rPr>
                <w:sz w:val="22"/>
                <w:szCs w:val="22"/>
              </w:rPr>
              <w:t>Pancytopeni</w:t>
            </w:r>
            <w:proofErr w:type="spellEnd"/>
            <w:r w:rsidRPr="001711EF">
              <w:rPr>
                <w:sz w:val="22"/>
                <w:szCs w:val="22"/>
              </w:rPr>
              <w:t xml:space="preserve">, </w:t>
            </w:r>
            <w:proofErr w:type="spellStart"/>
            <w:r w:rsidRPr="001711EF">
              <w:rPr>
                <w:sz w:val="22"/>
                <w:szCs w:val="22"/>
              </w:rPr>
              <w:t>granulocytopeni</w:t>
            </w:r>
            <w:proofErr w:type="spellEnd"/>
            <w:r w:rsidRPr="001711EF">
              <w:rPr>
                <w:sz w:val="22"/>
                <w:szCs w:val="22"/>
              </w:rPr>
              <w:t xml:space="preserve">, </w:t>
            </w:r>
            <w:proofErr w:type="spellStart"/>
            <w:r w:rsidRPr="001711EF">
              <w:rPr>
                <w:sz w:val="22"/>
                <w:szCs w:val="22"/>
              </w:rPr>
              <w:t>hæmolytisk</w:t>
            </w:r>
            <w:proofErr w:type="spellEnd"/>
            <w:r w:rsidRPr="001711EF">
              <w:rPr>
                <w:sz w:val="22"/>
                <w:szCs w:val="22"/>
              </w:rPr>
              <w:t xml:space="preserve"> anæmi, anæmi, </w:t>
            </w:r>
            <w:proofErr w:type="spellStart"/>
            <w:r w:rsidRPr="001711EF">
              <w:rPr>
                <w:sz w:val="22"/>
                <w:szCs w:val="22"/>
              </w:rPr>
              <w:t>eosinofili</w:t>
            </w:r>
            <w:proofErr w:type="spellEnd"/>
          </w:p>
        </w:tc>
      </w:tr>
      <w:tr w:rsidR="002E0EA0" w:rsidRPr="001711EF" w14:paraId="200FE954"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17DBBEBC" w14:textId="77777777" w:rsidR="002E0EA0" w:rsidRPr="001711EF" w:rsidRDefault="002E0EA0" w:rsidP="00182D0F">
            <w:pPr>
              <w:rPr>
                <w:sz w:val="22"/>
                <w:szCs w:val="22"/>
              </w:rPr>
            </w:pPr>
            <w:r w:rsidRPr="001711EF">
              <w:rPr>
                <w:sz w:val="22"/>
                <w:szCs w:val="22"/>
              </w:rPr>
              <w:t>Immunsystemet</w:t>
            </w:r>
          </w:p>
        </w:tc>
        <w:tc>
          <w:tcPr>
            <w:tcW w:w="920" w:type="pct"/>
            <w:tcBorders>
              <w:top w:val="single" w:sz="4" w:space="0" w:color="auto"/>
              <w:left w:val="single" w:sz="4" w:space="0" w:color="auto"/>
              <w:bottom w:val="single" w:sz="4" w:space="0" w:color="auto"/>
              <w:right w:val="single" w:sz="4" w:space="0" w:color="auto"/>
            </w:tcBorders>
            <w:hideMark/>
          </w:tcPr>
          <w:p w14:paraId="6430F0EF" w14:textId="77777777" w:rsidR="002E0EA0" w:rsidRPr="001711EF" w:rsidRDefault="002E0EA0" w:rsidP="00182D0F">
            <w:pPr>
              <w:rPr>
                <w:sz w:val="22"/>
                <w:szCs w:val="22"/>
              </w:rPr>
            </w:pPr>
            <w:r w:rsidRPr="001711EF">
              <w:rPr>
                <w:sz w:val="22"/>
                <w:szCs w:val="22"/>
              </w:rPr>
              <w:t>Serumsygdom</w:t>
            </w:r>
          </w:p>
        </w:tc>
        <w:tc>
          <w:tcPr>
            <w:tcW w:w="918" w:type="pct"/>
            <w:tcBorders>
              <w:top w:val="single" w:sz="4" w:space="0" w:color="auto"/>
              <w:left w:val="single" w:sz="4" w:space="0" w:color="auto"/>
              <w:bottom w:val="single" w:sz="4" w:space="0" w:color="auto"/>
              <w:right w:val="single" w:sz="4" w:space="0" w:color="auto"/>
            </w:tcBorders>
          </w:tcPr>
          <w:p w14:paraId="4497FB55" w14:textId="77777777" w:rsidR="002E0EA0" w:rsidRPr="001711EF" w:rsidRDefault="002E0EA0" w:rsidP="00182D0F">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1591C50C" w14:textId="77777777" w:rsidR="002E0EA0" w:rsidRPr="001711EF" w:rsidRDefault="002E0EA0" w:rsidP="00182D0F">
            <w:pPr>
              <w:rPr>
                <w:sz w:val="22"/>
                <w:szCs w:val="22"/>
              </w:rPr>
            </w:pPr>
            <w:proofErr w:type="spellStart"/>
            <w:r w:rsidRPr="001711EF">
              <w:rPr>
                <w:sz w:val="22"/>
                <w:szCs w:val="22"/>
              </w:rPr>
              <w:t>Anafylaktisk</w:t>
            </w:r>
            <w:proofErr w:type="spellEnd"/>
            <w:r w:rsidRPr="001711EF">
              <w:rPr>
                <w:sz w:val="22"/>
                <w:szCs w:val="22"/>
              </w:rPr>
              <w:t xml:space="preserve"> reaktion</w:t>
            </w:r>
          </w:p>
        </w:tc>
        <w:tc>
          <w:tcPr>
            <w:tcW w:w="951" w:type="pct"/>
            <w:tcBorders>
              <w:top w:val="single" w:sz="4" w:space="0" w:color="auto"/>
              <w:left w:val="single" w:sz="4" w:space="0" w:color="auto"/>
              <w:bottom w:val="single" w:sz="4" w:space="0" w:color="auto"/>
              <w:right w:val="single" w:sz="4" w:space="0" w:color="auto"/>
            </w:tcBorders>
          </w:tcPr>
          <w:p w14:paraId="144116AF" w14:textId="77777777" w:rsidR="002E0EA0" w:rsidRPr="001711EF" w:rsidRDefault="002E0EA0" w:rsidP="00182D0F">
            <w:pPr>
              <w:rPr>
                <w:sz w:val="22"/>
                <w:szCs w:val="22"/>
              </w:rPr>
            </w:pPr>
          </w:p>
        </w:tc>
      </w:tr>
      <w:tr w:rsidR="002E0EA0" w:rsidRPr="001711EF" w14:paraId="158892BA"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1D77065F" w14:textId="77777777" w:rsidR="002E0EA0" w:rsidRPr="001711EF" w:rsidRDefault="002E0EA0" w:rsidP="00182D0F">
            <w:pPr>
              <w:rPr>
                <w:sz w:val="22"/>
                <w:szCs w:val="22"/>
              </w:rPr>
            </w:pPr>
            <w:r w:rsidRPr="001711EF">
              <w:rPr>
                <w:sz w:val="22"/>
                <w:szCs w:val="22"/>
              </w:rPr>
              <w:t>Metabolisme og ernæring</w:t>
            </w:r>
          </w:p>
        </w:tc>
        <w:tc>
          <w:tcPr>
            <w:tcW w:w="920" w:type="pct"/>
            <w:tcBorders>
              <w:top w:val="single" w:sz="4" w:space="0" w:color="auto"/>
              <w:left w:val="single" w:sz="4" w:space="0" w:color="auto"/>
              <w:bottom w:val="single" w:sz="4" w:space="0" w:color="auto"/>
              <w:right w:val="single" w:sz="4" w:space="0" w:color="auto"/>
            </w:tcBorders>
          </w:tcPr>
          <w:p w14:paraId="7A3C2F98"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14:paraId="71FAC630" w14:textId="77777777" w:rsidR="002E0EA0" w:rsidRPr="001711EF" w:rsidRDefault="002E0EA0" w:rsidP="00182D0F">
            <w:pPr>
              <w:rPr>
                <w:sz w:val="22"/>
                <w:szCs w:val="22"/>
              </w:rPr>
            </w:pPr>
            <w:proofErr w:type="spellStart"/>
            <w:r w:rsidRPr="001711EF">
              <w:rPr>
                <w:sz w:val="22"/>
                <w:szCs w:val="22"/>
              </w:rPr>
              <w:t>Hyperglykæmi</w:t>
            </w:r>
            <w:proofErr w:type="spellEnd"/>
          </w:p>
        </w:tc>
        <w:tc>
          <w:tcPr>
            <w:tcW w:w="864" w:type="pct"/>
            <w:tcBorders>
              <w:top w:val="single" w:sz="4" w:space="0" w:color="auto"/>
              <w:left w:val="single" w:sz="4" w:space="0" w:color="auto"/>
              <w:bottom w:val="single" w:sz="4" w:space="0" w:color="auto"/>
              <w:right w:val="single" w:sz="4" w:space="0" w:color="auto"/>
            </w:tcBorders>
          </w:tcPr>
          <w:p w14:paraId="3C9215E6"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tcPr>
          <w:p w14:paraId="4B5EF923" w14:textId="77777777" w:rsidR="002E0EA0" w:rsidRPr="001711EF" w:rsidRDefault="002E0EA0" w:rsidP="00182D0F">
            <w:pPr>
              <w:rPr>
                <w:sz w:val="22"/>
                <w:szCs w:val="22"/>
              </w:rPr>
            </w:pPr>
          </w:p>
        </w:tc>
      </w:tr>
      <w:tr w:rsidR="002E0EA0" w:rsidRPr="001711EF" w14:paraId="29C38AC8"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3371A956" w14:textId="77777777" w:rsidR="002E0EA0" w:rsidRPr="001711EF" w:rsidRDefault="002E0EA0" w:rsidP="00182D0F">
            <w:pPr>
              <w:rPr>
                <w:sz w:val="22"/>
                <w:szCs w:val="22"/>
              </w:rPr>
            </w:pPr>
            <w:r w:rsidRPr="001711EF">
              <w:rPr>
                <w:sz w:val="22"/>
                <w:szCs w:val="22"/>
              </w:rPr>
              <w:t>Psykiske forstyrrelser</w:t>
            </w:r>
          </w:p>
        </w:tc>
        <w:tc>
          <w:tcPr>
            <w:tcW w:w="920" w:type="pct"/>
            <w:tcBorders>
              <w:top w:val="single" w:sz="4" w:space="0" w:color="auto"/>
              <w:left w:val="single" w:sz="4" w:space="0" w:color="auto"/>
              <w:bottom w:val="single" w:sz="4" w:space="0" w:color="auto"/>
              <w:right w:val="single" w:sz="4" w:space="0" w:color="auto"/>
            </w:tcBorders>
          </w:tcPr>
          <w:p w14:paraId="2A7A11D3"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tcPr>
          <w:p w14:paraId="280A8D5E" w14:textId="77777777" w:rsidR="002E0EA0" w:rsidRPr="001711EF" w:rsidRDefault="002E0EA0" w:rsidP="00182D0F">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14:paraId="37DE0E17" w14:textId="77777777" w:rsidR="002E0EA0" w:rsidRPr="001711EF" w:rsidRDefault="002E0EA0" w:rsidP="00182D0F">
            <w:pPr>
              <w:rPr>
                <w:rStyle w:val="TableText9"/>
                <w:sz w:val="22"/>
                <w:szCs w:val="22"/>
              </w:rPr>
            </w:pPr>
            <w:r w:rsidRPr="001711EF">
              <w:rPr>
                <w:rStyle w:val="TableText9"/>
                <w:sz w:val="22"/>
                <w:szCs w:val="22"/>
              </w:rPr>
              <w:t>Agitation</w:t>
            </w:r>
          </w:p>
          <w:p w14:paraId="5CCF5202"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188A05C6" w14:textId="77777777" w:rsidR="002E0EA0" w:rsidRPr="001711EF" w:rsidRDefault="002E0EA0" w:rsidP="00182D0F">
            <w:pPr>
              <w:rPr>
                <w:rStyle w:val="TableText9"/>
                <w:sz w:val="22"/>
                <w:szCs w:val="22"/>
              </w:rPr>
            </w:pPr>
            <w:r w:rsidRPr="001711EF">
              <w:rPr>
                <w:rStyle w:val="TableText9"/>
                <w:sz w:val="22"/>
                <w:szCs w:val="22"/>
              </w:rPr>
              <w:t>Sindsforvirring</w:t>
            </w:r>
            <w:r w:rsidRPr="001711EF">
              <w:rPr>
                <w:sz w:val="22"/>
                <w:szCs w:val="22"/>
              </w:rPr>
              <w:t>,</w:t>
            </w:r>
          </w:p>
          <w:p w14:paraId="020C37C1" w14:textId="77777777" w:rsidR="002E0EA0" w:rsidRPr="001711EF" w:rsidRDefault="002E0EA0" w:rsidP="00182D0F">
            <w:pPr>
              <w:rPr>
                <w:sz w:val="22"/>
                <w:szCs w:val="22"/>
              </w:rPr>
            </w:pPr>
            <w:r w:rsidRPr="001711EF">
              <w:rPr>
                <w:rStyle w:val="TableText9"/>
                <w:sz w:val="22"/>
                <w:szCs w:val="22"/>
              </w:rPr>
              <w:t>desorientering</w:t>
            </w:r>
          </w:p>
        </w:tc>
      </w:tr>
      <w:tr w:rsidR="002E0EA0" w:rsidRPr="001711EF" w14:paraId="25DB4140"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4DAFDFD1" w14:textId="77777777" w:rsidR="002E0EA0" w:rsidRPr="001711EF" w:rsidRDefault="002E0EA0" w:rsidP="00182D0F">
            <w:pPr>
              <w:rPr>
                <w:sz w:val="22"/>
                <w:szCs w:val="22"/>
              </w:rPr>
            </w:pPr>
            <w:r w:rsidRPr="001711EF">
              <w:rPr>
                <w:sz w:val="22"/>
                <w:szCs w:val="22"/>
              </w:rPr>
              <w:t xml:space="preserve">Nervesystemet </w:t>
            </w:r>
          </w:p>
        </w:tc>
        <w:tc>
          <w:tcPr>
            <w:tcW w:w="920" w:type="pct"/>
            <w:tcBorders>
              <w:top w:val="single" w:sz="4" w:space="0" w:color="auto"/>
              <w:left w:val="single" w:sz="4" w:space="0" w:color="auto"/>
              <w:bottom w:val="single" w:sz="4" w:space="0" w:color="auto"/>
              <w:right w:val="single" w:sz="4" w:space="0" w:color="auto"/>
            </w:tcBorders>
            <w:hideMark/>
          </w:tcPr>
          <w:p w14:paraId="6F2A3881" w14:textId="77777777" w:rsidR="002E0EA0" w:rsidRPr="001711EF" w:rsidRDefault="002E0EA0" w:rsidP="00182D0F">
            <w:pPr>
              <w:rPr>
                <w:sz w:val="22"/>
                <w:szCs w:val="22"/>
              </w:rPr>
            </w:pPr>
            <w:r w:rsidRPr="001711EF">
              <w:rPr>
                <w:rStyle w:val="TableText9"/>
                <w:sz w:val="22"/>
                <w:szCs w:val="22"/>
              </w:rPr>
              <w:t>Hovedpine</w:t>
            </w:r>
          </w:p>
        </w:tc>
        <w:tc>
          <w:tcPr>
            <w:tcW w:w="918" w:type="pct"/>
            <w:tcBorders>
              <w:top w:val="single" w:sz="4" w:space="0" w:color="auto"/>
              <w:left w:val="single" w:sz="4" w:space="0" w:color="auto"/>
              <w:bottom w:val="single" w:sz="4" w:space="0" w:color="auto"/>
              <w:right w:val="single" w:sz="4" w:space="0" w:color="auto"/>
            </w:tcBorders>
            <w:hideMark/>
          </w:tcPr>
          <w:p w14:paraId="41C69610" w14:textId="77777777" w:rsidR="002E0EA0" w:rsidRPr="001711EF" w:rsidRDefault="002E0EA0" w:rsidP="00182D0F">
            <w:pPr>
              <w:rPr>
                <w:sz w:val="22"/>
                <w:szCs w:val="22"/>
              </w:rPr>
            </w:pPr>
            <w:r w:rsidRPr="001711EF">
              <w:rPr>
                <w:rStyle w:val="TableText9"/>
                <w:sz w:val="22"/>
                <w:szCs w:val="22"/>
              </w:rPr>
              <w:t xml:space="preserve">Krampeanfald, synkope, </w:t>
            </w:r>
            <w:proofErr w:type="spellStart"/>
            <w:r w:rsidRPr="001711EF">
              <w:rPr>
                <w:rStyle w:val="TableText9"/>
                <w:sz w:val="22"/>
                <w:szCs w:val="22"/>
              </w:rPr>
              <w:t>paræstesi</w:t>
            </w:r>
            <w:proofErr w:type="spellEnd"/>
            <w:r w:rsidRPr="001711EF">
              <w:rPr>
                <w:rStyle w:val="TableText9"/>
                <w:sz w:val="22"/>
                <w:szCs w:val="22"/>
              </w:rPr>
              <w:t>, svimmelhed</w:t>
            </w:r>
          </w:p>
        </w:tc>
        <w:tc>
          <w:tcPr>
            <w:tcW w:w="864" w:type="pct"/>
            <w:tcBorders>
              <w:top w:val="single" w:sz="4" w:space="0" w:color="auto"/>
              <w:left w:val="single" w:sz="4" w:space="0" w:color="auto"/>
              <w:bottom w:val="single" w:sz="4" w:space="0" w:color="auto"/>
              <w:right w:val="single" w:sz="4" w:space="0" w:color="auto"/>
            </w:tcBorders>
          </w:tcPr>
          <w:p w14:paraId="7A77BE8C"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5ED5FFC9" w14:textId="77777777" w:rsidR="002E0EA0" w:rsidRPr="001711EF" w:rsidRDefault="002E0EA0" w:rsidP="00182D0F">
            <w:pPr>
              <w:rPr>
                <w:rStyle w:val="TableText9"/>
                <w:sz w:val="22"/>
                <w:szCs w:val="22"/>
              </w:rPr>
            </w:pPr>
            <w:proofErr w:type="spellStart"/>
            <w:r w:rsidRPr="001711EF">
              <w:rPr>
                <w:rStyle w:val="TableText9"/>
                <w:sz w:val="22"/>
                <w:szCs w:val="22"/>
              </w:rPr>
              <w:t>Encephalitis</w:t>
            </w:r>
            <w:proofErr w:type="spellEnd"/>
            <w:r w:rsidRPr="001711EF">
              <w:rPr>
                <w:rStyle w:val="TableText9"/>
                <w:sz w:val="22"/>
                <w:szCs w:val="22"/>
              </w:rPr>
              <w:t>,</w:t>
            </w:r>
          </w:p>
          <w:p w14:paraId="52C2B6D5" w14:textId="77777777" w:rsidR="002E0EA0" w:rsidRPr="001711EF" w:rsidRDefault="002E0EA0" w:rsidP="00182D0F">
            <w:pPr>
              <w:rPr>
                <w:sz w:val="22"/>
                <w:szCs w:val="22"/>
              </w:rPr>
            </w:pPr>
            <w:proofErr w:type="spellStart"/>
            <w:r w:rsidRPr="001711EF">
              <w:rPr>
                <w:rStyle w:val="TableText9"/>
                <w:sz w:val="22"/>
                <w:szCs w:val="22"/>
              </w:rPr>
              <w:t>dyskinesi</w:t>
            </w:r>
            <w:proofErr w:type="spellEnd"/>
            <w:r w:rsidRPr="001711EF">
              <w:rPr>
                <w:sz w:val="22"/>
                <w:szCs w:val="22"/>
              </w:rPr>
              <w:t>,</w:t>
            </w:r>
          </w:p>
          <w:p w14:paraId="12ECEA0A" w14:textId="77777777" w:rsidR="002E0EA0" w:rsidRPr="001711EF" w:rsidRDefault="002E0EA0" w:rsidP="00182D0F">
            <w:pPr>
              <w:rPr>
                <w:sz w:val="22"/>
                <w:szCs w:val="22"/>
              </w:rPr>
            </w:pPr>
            <w:proofErr w:type="spellStart"/>
            <w:r w:rsidRPr="001711EF">
              <w:rPr>
                <w:rStyle w:val="TableText9"/>
                <w:sz w:val="22"/>
                <w:szCs w:val="22"/>
              </w:rPr>
              <w:t>tremor</w:t>
            </w:r>
            <w:proofErr w:type="spellEnd"/>
          </w:p>
        </w:tc>
      </w:tr>
      <w:tr w:rsidR="002E0EA0" w:rsidRPr="001711EF" w14:paraId="440F9C77"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6762EFE4" w14:textId="77777777" w:rsidR="002E0EA0" w:rsidRPr="001711EF" w:rsidRDefault="002E0EA0" w:rsidP="00182D0F">
            <w:pPr>
              <w:rPr>
                <w:sz w:val="22"/>
                <w:szCs w:val="22"/>
              </w:rPr>
            </w:pPr>
            <w:r w:rsidRPr="001711EF">
              <w:rPr>
                <w:sz w:val="22"/>
                <w:szCs w:val="22"/>
              </w:rPr>
              <w:t xml:space="preserve">Øjne </w:t>
            </w:r>
          </w:p>
        </w:tc>
        <w:tc>
          <w:tcPr>
            <w:tcW w:w="920" w:type="pct"/>
            <w:tcBorders>
              <w:top w:val="single" w:sz="4" w:space="0" w:color="auto"/>
              <w:left w:val="single" w:sz="4" w:space="0" w:color="auto"/>
              <w:bottom w:val="single" w:sz="4" w:space="0" w:color="auto"/>
              <w:right w:val="single" w:sz="4" w:space="0" w:color="auto"/>
            </w:tcBorders>
          </w:tcPr>
          <w:p w14:paraId="5999EE25"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tcPr>
          <w:p w14:paraId="0151E600" w14:textId="77777777" w:rsidR="002E0EA0" w:rsidRPr="001711EF" w:rsidRDefault="002E0EA0" w:rsidP="00182D0F">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3DF13856" w14:textId="77777777" w:rsidR="002E0EA0" w:rsidRPr="001711EF" w:rsidRDefault="002E0EA0" w:rsidP="00182D0F">
            <w:pPr>
              <w:rPr>
                <w:sz w:val="22"/>
                <w:szCs w:val="22"/>
              </w:rPr>
            </w:pPr>
            <w:proofErr w:type="spellStart"/>
            <w:r w:rsidRPr="001711EF">
              <w:rPr>
                <w:rStyle w:val="TableText9"/>
                <w:sz w:val="22"/>
                <w:szCs w:val="22"/>
              </w:rPr>
              <w:t>Periorbitalt</w:t>
            </w:r>
            <w:proofErr w:type="spellEnd"/>
            <w:r w:rsidRPr="001711EF">
              <w:rPr>
                <w:rStyle w:val="TableText9"/>
                <w:sz w:val="22"/>
                <w:szCs w:val="22"/>
              </w:rPr>
              <w:t xml:space="preserve"> ødem</w:t>
            </w:r>
          </w:p>
        </w:tc>
        <w:tc>
          <w:tcPr>
            <w:tcW w:w="951" w:type="pct"/>
            <w:tcBorders>
              <w:top w:val="single" w:sz="4" w:space="0" w:color="auto"/>
              <w:left w:val="single" w:sz="4" w:space="0" w:color="auto"/>
              <w:bottom w:val="single" w:sz="4" w:space="0" w:color="auto"/>
              <w:right w:val="single" w:sz="4" w:space="0" w:color="auto"/>
            </w:tcBorders>
          </w:tcPr>
          <w:p w14:paraId="6A0B06C5" w14:textId="77777777" w:rsidR="002E0EA0" w:rsidRPr="001711EF" w:rsidRDefault="002E0EA0" w:rsidP="00182D0F">
            <w:pPr>
              <w:rPr>
                <w:sz w:val="22"/>
                <w:szCs w:val="22"/>
              </w:rPr>
            </w:pPr>
          </w:p>
        </w:tc>
      </w:tr>
      <w:tr w:rsidR="002E0EA0" w:rsidRPr="001711EF" w14:paraId="0728A47C"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25F26676" w14:textId="77777777" w:rsidR="002E0EA0" w:rsidRPr="001711EF" w:rsidRDefault="002E0EA0" w:rsidP="00182D0F">
            <w:pPr>
              <w:rPr>
                <w:sz w:val="22"/>
                <w:szCs w:val="22"/>
              </w:rPr>
            </w:pPr>
            <w:r w:rsidRPr="001711EF">
              <w:rPr>
                <w:sz w:val="22"/>
                <w:szCs w:val="22"/>
              </w:rPr>
              <w:t xml:space="preserve">Hjerte </w:t>
            </w:r>
          </w:p>
        </w:tc>
        <w:tc>
          <w:tcPr>
            <w:tcW w:w="920" w:type="pct"/>
            <w:tcBorders>
              <w:top w:val="single" w:sz="4" w:space="0" w:color="auto"/>
              <w:left w:val="single" w:sz="4" w:space="0" w:color="auto"/>
              <w:bottom w:val="single" w:sz="4" w:space="0" w:color="auto"/>
              <w:right w:val="single" w:sz="4" w:space="0" w:color="auto"/>
            </w:tcBorders>
          </w:tcPr>
          <w:p w14:paraId="5F517F8D"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14:paraId="54973763" w14:textId="77777777" w:rsidR="002E0EA0" w:rsidRPr="001711EF" w:rsidRDefault="002E0EA0" w:rsidP="00182D0F">
            <w:pPr>
              <w:rPr>
                <w:rStyle w:val="TableText9"/>
                <w:sz w:val="22"/>
                <w:szCs w:val="22"/>
              </w:rPr>
            </w:pPr>
            <w:r w:rsidRPr="001711EF">
              <w:rPr>
                <w:rStyle w:val="TableText9"/>
                <w:sz w:val="22"/>
                <w:szCs w:val="22"/>
              </w:rPr>
              <w:t xml:space="preserve">Bradykardi, </w:t>
            </w:r>
          </w:p>
          <w:p w14:paraId="4834B1C6" w14:textId="77777777" w:rsidR="002E0EA0" w:rsidRPr="001711EF" w:rsidRDefault="002E0EA0" w:rsidP="00182D0F">
            <w:pPr>
              <w:rPr>
                <w:sz w:val="22"/>
                <w:szCs w:val="22"/>
              </w:rPr>
            </w:pPr>
            <w:proofErr w:type="spellStart"/>
            <w:r w:rsidRPr="001711EF">
              <w:rPr>
                <w:rStyle w:val="TableText9"/>
                <w:sz w:val="22"/>
                <w:szCs w:val="22"/>
              </w:rPr>
              <w:t>takykardi</w:t>
            </w:r>
            <w:proofErr w:type="spellEnd"/>
          </w:p>
        </w:tc>
        <w:tc>
          <w:tcPr>
            <w:tcW w:w="864" w:type="pct"/>
            <w:tcBorders>
              <w:top w:val="single" w:sz="4" w:space="0" w:color="auto"/>
              <w:left w:val="single" w:sz="4" w:space="0" w:color="auto"/>
              <w:bottom w:val="single" w:sz="4" w:space="0" w:color="auto"/>
              <w:right w:val="single" w:sz="4" w:space="0" w:color="auto"/>
            </w:tcBorders>
          </w:tcPr>
          <w:p w14:paraId="2894C67B"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6E8F3672" w14:textId="77777777" w:rsidR="002E0EA0" w:rsidRPr="001711EF" w:rsidRDefault="002E0EA0" w:rsidP="00182D0F">
            <w:pPr>
              <w:rPr>
                <w:sz w:val="22"/>
                <w:szCs w:val="22"/>
              </w:rPr>
            </w:pPr>
            <w:r w:rsidRPr="001711EF">
              <w:rPr>
                <w:rStyle w:val="TableText9"/>
                <w:sz w:val="22"/>
                <w:szCs w:val="22"/>
              </w:rPr>
              <w:t>Kongestiv hjerteinsufficiens</w:t>
            </w:r>
          </w:p>
        </w:tc>
      </w:tr>
      <w:tr w:rsidR="002E0EA0" w:rsidRPr="001711EF" w14:paraId="53D99661"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3D3AE045" w14:textId="77777777" w:rsidR="002E0EA0" w:rsidRPr="001711EF" w:rsidRDefault="002E0EA0" w:rsidP="00182D0F">
            <w:pPr>
              <w:rPr>
                <w:sz w:val="22"/>
                <w:szCs w:val="22"/>
              </w:rPr>
            </w:pPr>
            <w:proofErr w:type="spellStart"/>
            <w:r w:rsidRPr="001711EF">
              <w:rPr>
                <w:sz w:val="22"/>
                <w:szCs w:val="22"/>
              </w:rPr>
              <w:t>Vaskulære</w:t>
            </w:r>
            <w:proofErr w:type="spellEnd"/>
            <w:r w:rsidRPr="001711EF">
              <w:rPr>
                <w:sz w:val="22"/>
                <w:szCs w:val="22"/>
              </w:rPr>
              <w:t xml:space="preserve"> sygdomme </w:t>
            </w:r>
          </w:p>
        </w:tc>
        <w:tc>
          <w:tcPr>
            <w:tcW w:w="920" w:type="pct"/>
            <w:tcBorders>
              <w:top w:val="single" w:sz="4" w:space="0" w:color="auto"/>
              <w:left w:val="single" w:sz="4" w:space="0" w:color="auto"/>
              <w:bottom w:val="single" w:sz="4" w:space="0" w:color="auto"/>
              <w:right w:val="single" w:sz="4" w:space="0" w:color="auto"/>
            </w:tcBorders>
            <w:hideMark/>
          </w:tcPr>
          <w:p w14:paraId="16BA8BE3" w14:textId="77777777" w:rsidR="002E0EA0" w:rsidRPr="001711EF" w:rsidRDefault="002E0EA0" w:rsidP="00182D0F">
            <w:pPr>
              <w:rPr>
                <w:sz w:val="22"/>
                <w:szCs w:val="22"/>
              </w:rPr>
            </w:pPr>
            <w:r w:rsidRPr="001711EF">
              <w:rPr>
                <w:sz w:val="22"/>
                <w:szCs w:val="22"/>
              </w:rPr>
              <w:t>Hypertension</w:t>
            </w:r>
          </w:p>
        </w:tc>
        <w:tc>
          <w:tcPr>
            <w:tcW w:w="918" w:type="pct"/>
            <w:tcBorders>
              <w:top w:val="single" w:sz="4" w:space="0" w:color="auto"/>
              <w:left w:val="single" w:sz="4" w:space="0" w:color="auto"/>
              <w:bottom w:val="single" w:sz="4" w:space="0" w:color="auto"/>
              <w:right w:val="single" w:sz="4" w:space="0" w:color="auto"/>
            </w:tcBorders>
            <w:hideMark/>
          </w:tcPr>
          <w:p w14:paraId="0D954E9F" w14:textId="77777777" w:rsidR="002E0EA0" w:rsidRPr="001711EF" w:rsidRDefault="002E0EA0" w:rsidP="00182D0F">
            <w:pPr>
              <w:rPr>
                <w:sz w:val="22"/>
                <w:szCs w:val="22"/>
              </w:rPr>
            </w:pPr>
            <w:r w:rsidRPr="001711EF">
              <w:rPr>
                <w:sz w:val="22"/>
                <w:szCs w:val="22"/>
              </w:rPr>
              <w:t xml:space="preserve">Hypotension, </w:t>
            </w:r>
            <w:proofErr w:type="spellStart"/>
            <w:r w:rsidRPr="001711EF">
              <w:rPr>
                <w:sz w:val="22"/>
                <w:szCs w:val="22"/>
              </w:rPr>
              <w:t>t</w:t>
            </w:r>
            <w:r w:rsidRPr="001711EF">
              <w:rPr>
                <w:rStyle w:val="TableText9"/>
                <w:sz w:val="22"/>
                <w:szCs w:val="22"/>
              </w:rPr>
              <w:t>rombophlebitis</w:t>
            </w:r>
            <w:proofErr w:type="spellEnd"/>
          </w:p>
        </w:tc>
        <w:tc>
          <w:tcPr>
            <w:tcW w:w="864" w:type="pct"/>
            <w:tcBorders>
              <w:top w:val="single" w:sz="4" w:space="0" w:color="auto"/>
              <w:left w:val="single" w:sz="4" w:space="0" w:color="auto"/>
              <w:bottom w:val="single" w:sz="4" w:space="0" w:color="auto"/>
              <w:right w:val="single" w:sz="4" w:space="0" w:color="auto"/>
            </w:tcBorders>
          </w:tcPr>
          <w:p w14:paraId="33F5E45B"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7B46528B" w14:textId="77777777" w:rsidR="002E0EA0" w:rsidRPr="001711EF" w:rsidRDefault="002E0EA0" w:rsidP="00182D0F">
            <w:pPr>
              <w:rPr>
                <w:sz w:val="22"/>
                <w:szCs w:val="22"/>
              </w:rPr>
            </w:pPr>
            <w:proofErr w:type="spellStart"/>
            <w:r w:rsidRPr="001711EF">
              <w:rPr>
                <w:sz w:val="22"/>
                <w:szCs w:val="22"/>
              </w:rPr>
              <w:t>Vasculitis</w:t>
            </w:r>
            <w:proofErr w:type="spellEnd"/>
            <w:r w:rsidRPr="001711EF">
              <w:rPr>
                <w:sz w:val="22"/>
                <w:szCs w:val="22"/>
              </w:rPr>
              <w:t xml:space="preserve">, </w:t>
            </w:r>
            <w:proofErr w:type="spellStart"/>
            <w:r w:rsidRPr="001711EF">
              <w:rPr>
                <w:sz w:val="22"/>
                <w:szCs w:val="22"/>
              </w:rPr>
              <w:t>vena</w:t>
            </w:r>
            <w:proofErr w:type="spellEnd"/>
            <w:r w:rsidRPr="001711EF">
              <w:rPr>
                <w:sz w:val="22"/>
                <w:szCs w:val="22"/>
              </w:rPr>
              <w:t xml:space="preserve"> </w:t>
            </w:r>
            <w:proofErr w:type="spellStart"/>
            <w:r w:rsidRPr="001711EF">
              <w:rPr>
                <w:sz w:val="22"/>
                <w:szCs w:val="22"/>
              </w:rPr>
              <w:t>iliaca-okklusion</w:t>
            </w:r>
            <w:proofErr w:type="spellEnd"/>
            <w:r w:rsidRPr="001711EF">
              <w:rPr>
                <w:sz w:val="22"/>
                <w:szCs w:val="22"/>
              </w:rPr>
              <w:t>, dyb venetrombose</w:t>
            </w:r>
          </w:p>
        </w:tc>
      </w:tr>
      <w:tr w:rsidR="002E0EA0" w:rsidRPr="001711EF" w14:paraId="44A4B437"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5D6AF90E" w14:textId="77777777" w:rsidR="002E0EA0" w:rsidRPr="001711EF" w:rsidRDefault="002E0EA0" w:rsidP="00182D0F">
            <w:pPr>
              <w:rPr>
                <w:sz w:val="22"/>
                <w:szCs w:val="22"/>
              </w:rPr>
            </w:pPr>
            <w:r w:rsidRPr="001711EF">
              <w:rPr>
                <w:sz w:val="22"/>
                <w:szCs w:val="22"/>
              </w:rPr>
              <w:t xml:space="preserve">Luftveje, thorax og </w:t>
            </w:r>
            <w:proofErr w:type="spellStart"/>
            <w:r w:rsidRPr="001711EF">
              <w:rPr>
                <w:sz w:val="22"/>
                <w:szCs w:val="22"/>
              </w:rPr>
              <w:t>mediastinum</w:t>
            </w:r>
            <w:proofErr w:type="spellEnd"/>
            <w:r w:rsidRPr="001711EF">
              <w:rPr>
                <w:sz w:val="22"/>
                <w:szCs w:val="22"/>
              </w:rPr>
              <w:t xml:space="preserve"> </w:t>
            </w:r>
          </w:p>
        </w:tc>
        <w:tc>
          <w:tcPr>
            <w:tcW w:w="920" w:type="pct"/>
            <w:tcBorders>
              <w:top w:val="single" w:sz="4" w:space="0" w:color="auto"/>
              <w:left w:val="single" w:sz="4" w:space="0" w:color="auto"/>
              <w:bottom w:val="single" w:sz="4" w:space="0" w:color="auto"/>
              <w:right w:val="single" w:sz="4" w:space="0" w:color="auto"/>
            </w:tcBorders>
          </w:tcPr>
          <w:p w14:paraId="6BE1648D"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14:paraId="40DB6697" w14:textId="77777777" w:rsidR="002E0EA0" w:rsidRPr="001711EF" w:rsidRDefault="002E0EA0" w:rsidP="00182D0F">
            <w:pPr>
              <w:rPr>
                <w:rStyle w:val="TableText9"/>
                <w:sz w:val="22"/>
                <w:szCs w:val="22"/>
              </w:rPr>
            </w:pPr>
            <w:proofErr w:type="spellStart"/>
            <w:r w:rsidRPr="001711EF">
              <w:rPr>
                <w:rStyle w:val="TableText9"/>
                <w:sz w:val="22"/>
                <w:szCs w:val="22"/>
              </w:rPr>
              <w:t>Pleuraexsudat</w:t>
            </w:r>
            <w:proofErr w:type="spellEnd"/>
            <w:r w:rsidRPr="001711EF">
              <w:rPr>
                <w:rStyle w:val="TableText9"/>
                <w:sz w:val="22"/>
                <w:szCs w:val="22"/>
              </w:rPr>
              <w:t xml:space="preserve">, dyspnø, </w:t>
            </w:r>
            <w:proofErr w:type="spellStart"/>
            <w:r w:rsidRPr="001711EF">
              <w:rPr>
                <w:rStyle w:val="TableText9"/>
                <w:sz w:val="22"/>
                <w:szCs w:val="22"/>
              </w:rPr>
              <w:t>epistaxis</w:t>
            </w:r>
            <w:proofErr w:type="spellEnd"/>
            <w:r w:rsidRPr="001711EF">
              <w:rPr>
                <w:rStyle w:val="TableText9"/>
                <w:sz w:val="22"/>
                <w:szCs w:val="22"/>
              </w:rPr>
              <w:t xml:space="preserve">, </w:t>
            </w:r>
          </w:p>
          <w:p w14:paraId="3BFB81F4" w14:textId="77777777" w:rsidR="002E0EA0" w:rsidRPr="001711EF" w:rsidRDefault="002E0EA0" w:rsidP="00182D0F">
            <w:pPr>
              <w:rPr>
                <w:sz w:val="22"/>
                <w:szCs w:val="22"/>
              </w:rPr>
            </w:pPr>
            <w:r w:rsidRPr="001711EF">
              <w:rPr>
                <w:rStyle w:val="TableText9"/>
                <w:sz w:val="22"/>
                <w:szCs w:val="22"/>
              </w:rPr>
              <w:t>hoste</w:t>
            </w:r>
          </w:p>
        </w:tc>
        <w:tc>
          <w:tcPr>
            <w:tcW w:w="864" w:type="pct"/>
            <w:tcBorders>
              <w:top w:val="single" w:sz="4" w:space="0" w:color="auto"/>
              <w:left w:val="single" w:sz="4" w:space="0" w:color="auto"/>
              <w:bottom w:val="single" w:sz="4" w:space="0" w:color="auto"/>
              <w:right w:val="single" w:sz="4" w:space="0" w:color="auto"/>
            </w:tcBorders>
          </w:tcPr>
          <w:p w14:paraId="3AB531FA"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544B1079" w14:textId="77777777" w:rsidR="002E0EA0" w:rsidRPr="001711EF" w:rsidRDefault="002E0EA0" w:rsidP="00182D0F">
            <w:pPr>
              <w:rPr>
                <w:sz w:val="22"/>
                <w:szCs w:val="22"/>
              </w:rPr>
            </w:pPr>
            <w:proofErr w:type="spellStart"/>
            <w:r w:rsidRPr="001711EF">
              <w:rPr>
                <w:rStyle w:val="TableText9"/>
                <w:sz w:val="22"/>
                <w:szCs w:val="22"/>
              </w:rPr>
              <w:t>Laryngospasme</w:t>
            </w:r>
            <w:proofErr w:type="spellEnd"/>
            <w:r w:rsidRPr="001711EF">
              <w:rPr>
                <w:sz w:val="22"/>
                <w:szCs w:val="22"/>
              </w:rPr>
              <w:t xml:space="preserve">, lungeødem, </w:t>
            </w:r>
          </w:p>
          <w:p w14:paraId="5EC3C4D3" w14:textId="77777777" w:rsidR="002E0EA0" w:rsidRPr="001711EF" w:rsidRDefault="002E0EA0" w:rsidP="00182D0F">
            <w:pPr>
              <w:rPr>
                <w:sz w:val="22"/>
                <w:szCs w:val="22"/>
              </w:rPr>
            </w:pPr>
            <w:r w:rsidRPr="001711EF">
              <w:rPr>
                <w:rStyle w:val="TableText9"/>
                <w:sz w:val="22"/>
                <w:szCs w:val="22"/>
              </w:rPr>
              <w:t>apnø</w:t>
            </w:r>
            <w:r w:rsidRPr="001711EF">
              <w:rPr>
                <w:sz w:val="22"/>
                <w:szCs w:val="22"/>
              </w:rPr>
              <w:t xml:space="preserve">, </w:t>
            </w:r>
            <w:proofErr w:type="spellStart"/>
            <w:r w:rsidRPr="001711EF">
              <w:rPr>
                <w:rStyle w:val="TableText9"/>
                <w:sz w:val="22"/>
                <w:szCs w:val="22"/>
              </w:rPr>
              <w:t>orofaryngeale</w:t>
            </w:r>
            <w:proofErr w:type="spellEnd"/>
            <w:r w:rsidRPr="001711EF">
              <w:rPr>
                <w:rStyle w:val="TableText9"/>
                <w:sz w:val="22"/>
                <w:szCs w:val="22"/>
              </w:rPr>
              <w:t xml:space="preserve"> smerter</w:t>
            </w:r>
            <w:r w:rsidRPr="001711EF">
              <w:rPr>
                <w:sz w:val="22"/>
                <w:szCs w:val="22"/>
              </w:rPr>
              <w:t xml:space="preserve">, </w:t>
            </w:r>
          </w:p>
          <w:p w14:paraId="1762CED0" w14:textId="77777777" w:rsidR="002E0EA0" w:rsidRPr="001711EF" w:rsidRDefault="002E0EA0" w:rsidP="00182D0F">
            <w:pPr>
              <w:rPr>
                <w:sz w:val="22"/>
                <w:szCs w:val="22"/>
              </w:rPr>
            </w:pPr>
            <w:r w:rsidRPr="001711EF">
              <w:rPr>
                <w:rStyle w:val="TableText9"/>
                <w:sz w:val="22"/>
                <w:szCs w:val="22"/>
              </w:rPr>
              <w:t>hikke</w:t>
            </w:r>
          </w:p>
        </w:tc>
      </w:tr>
      <w:tr w:rsidR="002E0EA0" w:rsidRPr="001711EF" w14:paraId="32B14183"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7DA273B9" w14:textId="77777777" w:rsidR="002E0EA0" w:rsidRPr="001711EF" w:rsidRDefault="002E0EA0" w:rsidP="00182D0F">
            <w:pPr>
              <w:rPr>
                <w:sz w:val="22"/>
                <w:szCs w:val="22"/>
              </w:rPr>
            </w:pPr>
            <w:r w:rsidRPr="001711EF">
              <w:rPr>
                <w:sz w:val="22"/>
                <w:szCs w:val="22"/>
              </w:rPr>
              <w:t xml:space="preserve">Mave-tarm-kanalen </w:t>
            </w:r>
          </w:p>
        </w:tc>
        <w:tc>
          <w:tcPr>
            <w:tcW w:w="920" w:type="pct"/>
            <w:tcBorders>
              <w:top w:val="single" w:sz="4" w:space="0" w:color="auto"/>
              <w:left w:val="single" w:sz="4" w:space="0" w:color="auto"/>
              <w:bottom w:val="single" w:sz="4" w:space="0" w:color="auto"/>
              <w:right w:val="single" w:sz="4" w:space="0" w:color="auto"/>
            </w:tcBorders>
            <w:hideMark/>
          </w:tcPr>
          <w:p w14:paraId="5C3E86ED" w14:textId="77777777" w:rsidR="002E0EA0" w:rsidRPr="001711EF" w:rsidRDefault="002E0EA0" w:rsidP="00182D0F">
            <w:pPr>
              <w:rPr>
                <w:sz w:val="22"/>
                <w:szCs w:val="22"/>
              </w:rPr>
            </w:pPr>
            <w:r w:rsidRPr="001711EF">
              <w:rPr>
                <w:sz w:val="22"/>
                <w:szCs w:val="22"/>
              </w:rPr>
              <w:t>Diarré</w:t>
            </w:r>
          </w:p>
        </w:tc>
        <w:tc>
          <w:tcPr>
            <w:tcW w:w="918" w:type="pct"/>
            <w:tcBorders>
              <w:top w:val="single" w:sz="4" w:space="0" w:color="auto"/>
              <w:left w:val="single" w:sz="4" w:space="0" w:color="auto"/>
              <w:bottom w:val="single" w:sz="4" w:space="0" w:color="auto"/>
              <w:right w:val="single" w:sz="4" w:space="0" w:color="auto"/>
            </w:tcBorders>
            <w:hideMark/>
          </w:tcPr>
          <w:p w14:paraId="65CB22B7" w14:textId="77777777" w:rsidR="002E0EA0" w:rsidRPr="001711EF" w:rsidRDefault="002E0EA0" w:rsidP="00182D0F">
            <w:pPr>
              <w:rPr>
                <w:rStyle w:val="TableText9"/>
                <w:sz w:val="22"/>
                <w:szCs w:val="22"/>
              </w:rPr>
            </w:pPr>
            <w:proofErr w:type="spellStart"/>
            <w:r w:rsidRPr="001711EF">
              <w:rPr>
                <w:rStyle w:val="TableText9"/>
                <w:sz w:val="22"/>
                <w:szCs w:val="22"/>
              </w:rPr>
              <w:t>Gastrointestinal</w:t>
            </w:r>
            <w:proofErr w:type="spellEnd"/>
            <w:r w:rsidRPr="001711EF">
              <w:rPr>
                <w:rStyle w:val="TableText9"/>
                <w:sz w:val="22"/>
                <w:szCs w:val="22"/>
              </w:rPr>
              <w:t xml:space="preserve"> </w:t>
            </w:r>
            <w:proofErr w:type="spellStart"/>
            <w:r w:rsidRPr="001711EF">
              <w:rPr>
                <w:rStyle w:val="TableText9"/>
                <w:sz w:val="22"/>
                <w:szCs w:val="22"/>
              </w:rPr>
              <w:t>hæmorrhagi</w:t>
            </w:r>
            <w:proofErr w:type="spellEnd"/>
            <w:r w:rsidRPr="001711EF">
              <w:rPr>
                <w:rStyle w:val="TableText9"/>
                <w:sz w:val="22"/>
                <w:szCs w:val="22"/>
              </w:rPr>
              <w:t xml:space="preserve">, </w:t>
            </w:r>
            <w:proofErr w:type="spellStart"/>
            <w:r w:rsidRPr="001711EF">
              <w:rPr>
                <w:rStyle w:val="TableText9"/>
                <w:sz w:val="22"/>
                <w:szCs w:val="22"/>
              </w:rPr>
              <w:t>abdominalsmerter</w:t>
            </w:r>
            <w:proofErr w:type="spellEnd"/>
            <w:r w:rsidRPr="001711EF">
              <w:rPr>
                <w:rStyle w:val="TableText9"/>
                <w:sz w:val="22"/>
                <w:szCs w:val="22"/>
              </w:rPr>
              <w:t xml:space="preserve">, </w:t>
            </w:r>
          </w:p>
          <w:p w14:paraId="3CFFA08B" w14:textId="77777777" w:rsidR="002E0EA0" w:rsidRPr="001711EF" w:rsidRDefault="002E0EA0" w:rsidP="00182D0F">
            <w:pPr>
              <w:rPr>
                <w:sz w:val="22"/>
                <w:szCs w:val="22"/>
              </w:rPr>
            </w:pPr>
            <w:r w:rsidRPr="001711EF">
              <w:rPr>
                <w:rStyle w:val="TableText9"/>
                <w:sz w:val="22"/>
                <w:szCs w:val="22"/>
              </w:rPr>
              <w:t xml:space="preserve">smerter i øvre abdomen, opkastning, </w:t>
            </w:r>
            <w:proofErr w:type="spellStart"/>
            <w:r w:rsidRPr="001711EF">
              <w:rPr>
                <w:rStyle w:val="TableText9"/>
                <w:sz w:val="22"/>
                <w:szCs w:val="22"/>
              </w:rPr>
              <w:t>s</w:t>
            </w:r>
            <w:r w:rsidRPr="001711EF">
              <w:rPr>
                <w:sz w:val="22"/>
                <w:szCs w:val="22"/>
              </w:rPr>
              <w:t>tomatitis</w:t>
            </w:r>
            <w:proofErr w:type="spellEnd"/>
            <w:r w:rsidRPr="001711EF">
              <w:rPr>
                <w:sz w:val="22"/>
                <w:szCs w:val="22"/>
              </w:rPr>
              <w:t>,</w:t>
            </w:r>
          </w:p>
          <w:p w14:paraId="35BEDB13" w14:textId="77777777" w:rsidR="002E0EA0" w:rsidRPr="001711EF" w:rsidRDefault="002E0EA0" w:rsidP="00182D0F">
            <w:pPr>
              <w:rPr>
                <w:sz w:val="22"/>
                <w:szCs w:val="22"/>
              </w:rPr>
            </w:pPr>
            <w:r w:rsidRPr="001711EF">
              <w:rPr>
                <w:rStyle w:val="TableText9"/>
                <w:sz w:val="22"/>
                <w:szCs w:val="22"/>
              </w:rPr>
              <w:t>kvalme</w:t>
            </w:r>
          </w:p>
        </w:tc>
        <w:tc>
          <w:tcPr>
            <w:tcW w:w="864" w:type="pct"/>
            <w:tcBorders>
              <w:top w:val="single" w:sz="4" w:space="0" w:color="auto"/>
              <w:left w:val="single" w:sz="4" w:space="0" w:color="auto"/>
              <w:bottom w:val="single" w:sz="4" w:space="0" w:color="auto"/>
              <w:right w:val="single" w:sz="4" w:space="0" w:color="auto"/>
            </w:tcBorders>
          </w:tcPr>
          <w:p w14:paraId="75E734ED"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41E65DCF" w14:textId="77777777" w:rsidR="002E0EA0" w:rsidRPr="001711EF" w:rsidRDefault="002E0EA0" w:rsidP="00182D0F">
            <w:pPr>
              <w:rPr>
                <w:sz w:val="22"/>
                <w:szCs w:val="22"/>
              </w:rPr>
            </w:pPr>
            <w:proofErr w:type="spellStart"/>
            <w:r w:rsidRPr="001711EF">
              <w:rPr>
                <w:rStyle w:val="TableText9"/>
                <w:sz w:val="22"/>
                <w:szCs w:val="22"/>
              </w:rPr>
              <w:t>Gastrointestinal</w:t>
            </w:r>
            <w:proofErr w:type="spellEnd"/>
            <w:r w:rsidRPr="001711EF">
              <w:rPr>
                <w:rStyle w:val="TableText9"/>
                <w:sz w:val="22"/>
                <w:szCs w:val="22"/>
              </w:rPr>
              <w:t xml:space="preserve"> perforation,</w:t>
            </w:r>
            <w:r w:rsidRPr="001711EF">
              <w:rPr>
                <w:sz w:val="22"/>
                <w:szCs w:val="22"/>
              </w:rPr>
              <w:t xml:space="preserve"> </w:t>
            </w:r>
          </w:p>
          <w:p w14:paraId="3DA9B5D3" w14:textId="77777777" w:rsidR="002E0EA0" w:rsidRPr="001711EF" w:rsidRDefault="002E0EA0" w:rsidP="00182D0F">
            <w:pPr>
              <w:rPr>
                <w:sz w:val="22"/>
                <w:szCs w:val="22"/>
              </w:rPr>
            </w:pPr>
            <w:r w:rsidRPr="001711EF">
              <w:rPr>
                <w:rStyle w:val="TableText9"/>
                <w:sz w:val="22"/>
                <w:szCs w:val="22"/>
              </w:rPr>
              <w:t>orale smerter</w:t>
            </w:r>
          </w:p>
        </w:tc>
      </w:tr>
      <w:tr w:rsidR="002E0EA0" w:rsidRPr="001711EF" w14:paraId="4F91709B"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552AFA9B" w14:textId="77777777" w:rsidR="002E0EA0" w:rsidRPr="001711EF" w:rsidRDefault="002E0EA0" w:rsidP="00182D0F">
            <w:pPr>
              <w:rPr>
                <w:sz w:val="22"/>
                <w:szCs w:val="22"/>
              </w:rPr>
            </w:pPr>
            <w:r w:rsidRPr="001711EF">
              <w:rPr>
                <w:sz w:val="22"/>
                <w:szCs w:val="22"/>
              </w:rPr>
              <w:t xml:space="preserve">Hud og subkutane væv </w:t>
            </w:r>
          </w:p>
        </w:tc>
        <w:tc>
          <w:tcPr>
            <w:tcW w:w="920" w:type="pct"/>
            <w:tcBorders>
              <w:top w:val="single" w:sz="4" w:space="0" w:color="auto"/>
              <w:left w:val="single" w:sz="4" w:space="0" w:color="auto"/>
              <w:bottom w:val="single" w:sz="4" w:space="0" w:color="auto"/>
              <w:right w:val="single" w:sz="4" w:space="0" w:color="auto"/>
            </w:tcBorders>
            <w:hideMark/>
          </w:tcPr>
          <w:p w14:paraId="6CDCF91A" w14:textId="77777777" w:rsidR="002E0EA0" w:rsidRPr="001711EF" w:rsidRDefault="002E0EA0" w:rsidP="00182D0F">
            <w:pPr>
              <w:rPr>
                <w:sz w:val="22"/>
                <w:szCs w:val="22"/>
              </w:rPr>
            </w:pPr>
            <w:r w:rsidRPr="001711EF">
              <w:rPr>
                <w:rStyle w:val="TableText9"/>
                <w:sz w:val="22"/>
                <w:szCs w:val="22"/>
              </w:rPr>
              <w:t>Udslæt</w:t>
            </w:r>
          </w:p>
        </w:tc>
        <w:tc>
          <w:tcPr>
            <w:tcW w:w="918" w:type="pct"/>
            <w:tcBorders>
              <w:top w:val="single" w:sz="4" w:space="0" w:color="auto"/>
              <w:left w:val="single" w:sz="4" w:space="0" w:color="auto"/>
              <w:bottom w:val="single" w:sz="4" w:space="0" w:color="auto"/>
              <w:right w:val="single" w:sz="4" w:space="0" w:color="auto"/>
            </w:tcBorders>
            <w:hideMark/>
          </w:tcPr>
          <w:p w14:paraId="744D50C1" w14:textId="77777777" w:rsidR="002E0EA0" w:rsidRPr="001711EF" w:rsidRDefault="002E0EA0" w:rsidP="00182D0F">
            <w:pPr>
              <w:rPr>
                <w:rStyle w:val="TableText9"/>
                <w:sz w:val="22"/>
                <w:szCs w:val="22"/>
              </w:rPr>
            </w:pPr>
            <w:proofErr w:type="spellStart"/>
            <w:r w:rsidRPr="001711EF">
              <w:rPr>
                <w:rStyle w:val="TableText9"/>
                <w:sz w:val="22"/>
                <w:szCs w:val="22"/>
              </w:rPr>
              <w:t>Pruritus</w:t>
            </w:r>
            <w:proofErr w:type="spellEnd"/>
            <w:r w:rsidRPr="001711EF">
              <w:rPr>
                <w:rStyle w:val="TableText9"/>
                <w:sz w:val="22"/>
                <w:szCs w:val="22"/>
              </w:rPr>
              <w:t>,</w:t>
            </w:r>
          </w:p>
          <w:p w14:paraId="551FF51F" w14:textId="77777777" w:rsidR="002E0EA0" w:rsidRPr="001711EF" w:rsidRDefault="002E0EA0" w:rsidP="00182D0F">
            <w:pPr>
              <w:rPr>
                <w:sz w:val="22"/>
                <w:szCs w:val="22"/>
              </w:rPr>
            </w:pPr>
            <w:proofErr w:type="spellStart"/>
            <w:r w:rsidRPr="001711EF">
              <w:rPr>
                <w:rStyle w:val="TableText9"/>
                <w:sz w:val="22"/>
                <w:szCs w:val="22"/>
              </w:rPr>
              <w:t>urticaria</w:t>
            </w:r>
            <w:proofErr w:type="spellEnd"/>
          </w:p>
        </w:tc>
        <w:tc>
          <w:tcPr>
            <w:tcW w:w="864" w:type="pct"/>
            <w:tcBorders>
              <w:top w:val="single" w:sz="4" w:space="0" w:color="auto"/>
              <w:left w:val="single" w:sz="4" w:space="0" w:color="auto"/>
              <w:bottom w:val="single" w:sz="4" w:space="0" w:color="auto"/>
              <w:right w:val="single" w:sz="4" w:space="0" w:color="auto"/>
            </w:tcBorders>
            <w:hideMark/>
          </w:tcPr>
          <w:p w14:paraId="460B8D96" w14:textId="77777777" w:rsidR="002E0EA0" w:rsidRPr="001711EF" w:rsidRDefault="002E0EA0" w:rsidP="00182D0F">
            <w:pPr>
              <w:rPr>
                <w:sz w:val="22"/>
                <w:szCs w:val="22"/>
              </w:rPr>
            </w:pPr>
            <w:r w:rsidRPr="001711EF">
              <w:rPr>
                <w:rStyle w:val="TableText9"/>
                <w:sz w:val="22"/>
                <w:szCs w:val="22"/>
              </w:rPr>
              <w:t xml:space="preserve">Allergisk </w:t>
            </w:r>
            <w:proofErr w:type="spellStart"/>
            <w:r w:rsidRPr="001711EF">
              <w:rPr>
                <w:rStyle w:val="TableText9"/>
                <w:sz w:val="22"/>
                <w:szCs w:val="22"/>
              </w:rPr>
              <w:t>dermatitis</w:t>
            </w:r>
            <w:proofErr w:type="spellEnd"/>
          </w:p>
        </w:tc>
        <w:tc>
          <w:tcPr>
            <w:tcW w:w="951" w:type="pct"/>
            <w:tcBorders>
              <w:top w:val="single" w:sz="4" w:space="0" w:color="auto"/>
              <w:left w:val="single" w:sz="4" w:space="0" w:color="auto"/>
              <w:bottom w:val="single" w:sz="4" w:space="0" w:color="auto"/>
              <w:right w:val="single" w:sz="4" w:space="0" w:color="auto"/>
            </w:tcBorders>
            <w:hideMark/>
          </w:tcPr>
          <w:p w14:paraId="44439FD7" w14:textId="77777777" w:rsidR="002E0EA0" w:rsidRPr="001711EF" w:rsidRDefault="002E0EA0" w:rsidP="00182D0F">
            <w:pPr>
              <w:rPr>
                <w:sz w:val="22"/>
                <w:szCs w:val="22"/>
              </w:rPr>
            </w:pPr>
            <w:r w:rsidRPr="001711EF">
              <w:rPr>
                <w:sz w:val="22"/>
                <w:szCs w:val="22"/>
              </w:rPr>
              <w:t xml:space="preserve">Toksisk </w:t>
            </w:r>
            <w:proofErr w:type="spellStart"/>
            <w:r w:rsidRPr="001711EF">
              <w:rPr>
                <w:sz w:val="22"/>
                <w:szCs w:val="22"/>
              </w:rPr>
              <w:t>epidermal</w:t>
            </w:r>
            <w:proofErr w:type="spellEnd"/>
            <w:r w:rsidRPr="001711EF">
              <w:rPr>
                <w:sz w:val="22"/>
                <w:szCs w:val="22"/>
              </w:rPr>
              <w:t xml:space="preserve"> </w:t>
            </w:r>
            <w:proofErr w:type="spellStart"/>
            <w:r w:rsidRPr="001711EF">
              <w:rPr>
                <w:sz w:val="22"/>
                <w:szCs w:val="22"/>
              </w:rPr>
              <w:t>nekrolyse</w:t>
            </w:r>
            <w:proofErr w:type="spellEnd"/>
            <w:r w:rsidRPr="001711EF">
              <w:rPr>
                <w:sz w:val="22"/>
                <w:szCs w:val="22"/>
              </w:rPr>
              <w:t xml:space="preserve">, </w:t>
            </w:r>
          </w:p>
          <w:p w14:paraId="7157C79B" w14:textId="77777777" w:rsidR="002E0EA0" w:rsidRPr="001711EF" w:rsidRDefault="002E0EA0" w:rsidP="00182D0F">
            <w:pPr>
              <w:rPr>
                <w:sz w:val="22"/>
                <w:szCs w:val="22"/>
              </w:rPr>
            </w:pPr>
            <w:r w:rsidRPr="001711EF">
              <w:rPr>
                <w:sz w:val="22"/>
                <w:szCs w:val="22"/>
              </w:rPr>
              <w:t xml:space="preserve">nattesveden, </w:t>
            </w:r>
            <w:proofErr w:type="spellStart"/>
            <w:r w:rsidRPr="001711EF">
              <w:rPr>
                <w:rStyle w:val="TableText9"/>
                <w:sz w:val="22"/>
                <w:szCs w:val="22"/>
              </w:rPr>
              <w:t>hyperhidrose</w:t>
            </w:r>
            <w:proofErr w:type="spellEnd"/>
          </w:p>
        </w:tc>
      </w:tr>
      <w:tr w:rsidR="002E0EA0" w:rsidRPr="001711EF" w14:paraId="7B8891F4"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1999C859" w14:textId="77777777" w:rsidR="002E0EA0" w:rsidRPr="001711EF" w:rsidRDefault="002E0EA0" w:rsidP="00182D0F">
            <w:pPr>
              <w:rPr>
                <w:sz w:val="22"/>
                <w:szCs w:val="22"/>
              </w:rPr>
            </w:pPr>
            <w:r w:rsidRPr="001711EF">
              <w:rPr>
                <w:sz w:val="22"/>
                <w:szCs w:val="22"/>
              </w:rPr>
              <w:t xml:space="preserve">Knogler, led, muskler og bindevæv </w:t>
            </w:r>
          </w:p>
        </w:tc>
        <w:tc>
          <w:tcPr>
            <w:tcW w:w="920" w:type="pct"/>
            <w:tcBorders>
              <w:top w:val="single" w:sz="4" w:space="0" w:color="auto"/>
              <w:left w:val="single" w:sz="4" w:space="0" w:color="auto"/>
              <w:bottom w:val="single" w:sz="4" w:space="0" w:color="auto"/>
              <w:right w:val="single" w:sz="4" w:space="0" w:color="auto"/>
            </w:tcBorders>
            <w:hideMark/>
          </w:tcPr>
          <w:p w14:paraId="3BA7B03C" w14:textId="77777777" w:rsidR="002E0EA0" w:rsidRPr="001711EF" w:rsidRDefault="002E0EA0" w:rsidP="00182D0F">
            <w:pPr>
              <w:rPr>
                <w:sz w:val="22"/>
                <w:szCs w:val="22"/>
              </w:rPr>
            </w:pPr>
            <w:proofErr w:type="spellStart"/>
            <w:r w:rsidRPr="001711EF">
              <w:rPr>
                <w:rStyle w:val="TableText9"/>
                <w:sz w:val="22"/>
                <w:szCs w:val="22"/>
              </w:rPr>
              <w:t>Artralgi</w:t>
            </w:r>
            <w:proofErr w:type="spellEnd"/>
          </w:p>
        </w:tc>
        <w:tc>
          <w:tcPr>
            <w:tcW w:w="918" w:type="pct"/>
            <w:tcBorders>
              <w:top w:val="single" w:sz="4" w:space="0" w:color="auto"/>
              <w:left w:val="single" w:sz="4" w:space="0" w:color="auto"/>
              <w:bottom w:val="single" w:sz="4" w:space="0" w:color="auto"/>
              <w:right w:val="single" w:sz="4" w:space="0" w:color="auto"/>
            </w:tcBorders>
            <w:hideMark/>
          </w:tcPr>
          <w:p w14:paraId="2B20C697" w14:textId="77777777" w:rsidR="002E0EA0" w:rsidRPr="001711EF" w:rsidRDefault="002E0EA0" w:rsidP="00182D0F">
            <w:pPr>
              <w:rPr>
                <w:rStyle w:val="TableText9"/>
                <w:sz w:val="22"/>
                <w:szCs w:val="22"/>
              </w:rPr>
            </w:pPr>
            <w:r w:rsidRPr="001711EF">
              <w:rPr>
                <w:rStyle w:val="TableText9"/>
                <w:sz w:val="22"/>
                <w:szCs w:val="22"/>
              </w:rPr>
              <w:t xml:space="preserve">Myalgi, </w:t>
            </w:r>
          </w:p>
          <w:p w14:paraId="236F4BB3" w14:textId="77777777" w:rsidR="002E0EA0" w:rsidRPr="001711EF" w:rsidRDefault="002E0EA0" w:rsidP="00182D0F">
            <w:pPr>
              <w:rPr>
                <w:sz w:val="22"/>
                <w:szCs w:val="22"/>
              </w:rPr>
            </w:pPr>
            <w:r w:rsidRPr="001711EF">
              <w:rPr>
                <w:rStyle w:val="TableText9"/>
                <w:sz w:val="22"/>
                <w:szCs w:val="22"/>
              </w:rPr>
              <w:t>rygsmerter</w:t>
            </w:r>
          </w:p>
        </w:tc>
        <w:tc>
          <w:tcPr>
            <w:tcW w:w="864" w:type="pct"/>
            <w:tcBorders>
              <w:top w:val="single" w:sz="4" w:space="0" w:color="auto"/>
              <w:left w:val="single" w:sz="4" w:space="0" w:color="auto"/>
              <w:bottom w:val="single" w:sz="4" w:space="0" w:color="auto"/>
              <w:right w:val="single" w:sz="4" w:space="0" w:color="auto"/>
            </w:tcBorders>
          </w:tcPr>
          <w:p w14:paraId="7FB7D862"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4AF516F2" w14:textId="77777777" w:rsidR="002E0EA0" w:rsidRPr="001711EF" w:rsidRDefault="002E0EA0" w:rsidP="00182D0F">
            <w:pPr>
              <w:rPr>
                <w:sz w:val="22"/>
                <w:szCs w:val="22"/>
              </w:rPr>
            </w:pPr>
            <w:r w:rsidRPr="001711EF">
              <w:rPr>
                <w:rStyle w:val="TableText9"/>
                <w:sz w:val="22"/>
                <w:szCs w:val="22"/>
              </w:rPr>
              <w:t>Muskelstivhed</w:t>
            </w:r>
            <w:r w:rsidRPr="001711EF">
              <w:rPr>
                <w:sz w:val="22"/>
                <w:szCs w:val="22"/>
              </w:rPr>
              <w:t xml:space="preserve">, </w:t>
            </w:r>
            <w:r w:rsidRPr="001711EF">
              <w:rPr>
                <w:rStyle w:val="TableText9"/>
                <w:sz w:val="22"/>
                <w:szCs w:val="22"/>
              </w:rPr>
              <w:t>flankesmerter</w:t>
            </w:r>
            <w:r w:rsidRPr="001711EF">
              <w:rPr>
                <w:sz w:val="22"/>
                <w:szCs w:val="22"/>
              </w:rPr>
              <w:t xml:space="preserve">, </w:t>
            </w:r>
          </w:p>
          <w:p w14:paraId="377E18C2" w14:textId="77777777" w:rsidR="002E0EA0" w:rsidRPr="001711EF" w:rsidRDefault="002E0EA0" w:rsidP="00182D0F">
            <w:pPr>
              <w:rPr>
                <w:sz w:val="22"/>
                <w:szCs w:val="22"/>
              </w:rPr>
            </w:pPr>
            <w:r w:rsidRPr="001711EF">
              <w:rPr>
                <w:rStyle w:val="TableText9"/>
                <w:sz w:val="22"/>
                <w:szCs w:val="22"/>
              </w:rPr>
              <w:lastRenderedPageBreak/>
              <w:t>smerter i ekstremitet</w:t>
            </w:r>
          </w:p>
        </w:tc>
      </w:tr>
      <w:tr w:rsidR="002E0EA0" w:rsidRPr="001711EF" w14:paraId="3AC06BCC"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415448C8" w14:textId="77777777" w:rsidR="002E0EA0" w:rsidRPr="001711EF" w:rsidRDefault="002E0EA0" w:rsidP="00182D0F">
            <w:pPr>
              <w:rPr>
                <w:sz w:val="22"/>
                <w:szCs w:val="22"/>
              </w:rPr>
            </w:pPr>
            <w:r w:rsidRPr="001711EF">
              <w:rPr>
                <w:sz w:val="22"/>
                <w:szCs w:val="22"/>
              </w:rPr>
              <w:lastRenderedPageBreak/>
              <w:t xml:space="preserve">Nyrer og urinveje </w:t>
            </w:r>
          </w:p>
        </w:tc>
        <w:tc>
          <w:tcPr>
            <w:tcW w:w="920" w:type="pct"/>
            <w:tcBorders>
              <w:top w:val="single" w:sz="4" w:space="0" w:color="auto"/>
              <w:left w:val="single" w:sz="4" w:space="0" w:color="auto"/>
              <w:bottom w:val="single" w:sz="4" w:space="0" w:color="auto"/>
              <w:right w:val="single" w:sz="4" w:space="0" w:color="auto"/>
            </w:tcBorders>
          </w:tcPr>
          <w:p w14:paraId="59790655"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14:paraId="12F4D761" w14:textId="77777777" w:rsidR="002E0EA0" w:rsidRPr="001711EF" w:rsidRDefault="002E0EA0" w:rsidP="00182D0F">
            <w:pPr>
              <w:rPr>
                <w:sz w:val="22"/>
                <w:szCs w:val="22"/>
              </w:rPr>
            </w:pPr>
            <w:proofErr w:type="spellStart"/>
            <w:r w:rsidRPr="001711EF">
              <w:rPr>
                <w:rStyle w:val="TableText9"/>
                <w:sz w:val="22"/>
                <w:szCs w:val="22"/>
              </w:rPr>
              <w:t>Proteinuri</w:t>
            </w:r>
            <w:proofErr w:type="spellEnd"/>
          </w:p>
        </w:tc>
        <w:tc>
          <w:tcPr>
            <w:tcW w:w="864" w:type="pct"/>
            <w:tcBorders>
              <w:top w:val="single" w:sz="4" w:space="0" w:color="auto"/>
              <w:left w:val="single" w:sz="4" w:space="0" w:color="auto"/>
              <w:bottom w:val="single" w:sz="4" w:space="0" w:color="auto"/>
              <w:right w:val="single" w:sz="4" w:space="0" w:color="auto"/>
            </w:tcBorders>
          </w:tcPr>
          <w:p w14:paraId="55F75850"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0D03D81F" w14:textId="77777777" w:rsidR="002E0EA0" w:rsidRPr="001711EF" w:rsidRDefault="002E0EA0" w:rsidP="00182D0F">
            <w:pPr>
              <w:rPr>
                <w:sz w:val="22"/>
                <w:szCs w:val="22"/>
              </w:rPr>
            </w:pPr>
            <w:r w:rsidRPr="001711EF">
              <w:rPr>
                <w:rStyle w:val="TableText9"/>
                <w:sz w:val="22"/>
                <w:szCs w:val="22"/>
              </w:rPr>
              <w:t>Akut nyresvigt</w:t>
            </w:r>
            <w:r w:rsidRPr="001711EF">
              <w:rPr>
                <w:sz w:val="22"/>
                <w:szCs w:val="22"/>
              </w:rPr>
              <w:t xml:space="preserve">, </w:t>
            </w:r>
          </w:p>
          <w:p w14:paraId="6786D5AE" w14:textId="77777777" w:rsidR="002E0EA0" w:rsidRPr="001711EF" w:rsidRDefault="002E0EA0" w:rsidP="00182D0F">
            <w:pPr>
              <w:rPr>
                <w:sz w:val="22"/>
                <w:szCs w:val="22"/>
              </w:rPr>
            </w:pPr>
            <w:proofErr w:type="spellStart"/>
            <w:r w:rsidRPr="001711EF">
              <w:rPr>
                <w:rStyle w:val="TableText9"/>
                <w:sz w:val="22"/>
                <w:szCs w:val="22"/>
              </w:rPr>
              <w:t>arteria</w:t>
            </w:r>
            <w:proofErr w:type="spellEnd"/>
            <w:r w:rsidRPr="001711EF">
              <w:rPr>
                <w:rStyle w:val="TableText9"/>
                <w:sz w:val="22"/>
                <w:szCs w:val="22"/>
              </w:rPr>
              <w:t xml:space="preserve"> </w:t>
            </w:r>
            <w:proofErr w:type="spellStart"/>
            <w:r w:rsidRPr="001711EF">
              <w:rPr>
                <w:rStyle w:val="TableText9"/>
                <w:sz w:val="22"/>
                <w:szCs w:val="22"/>
              </w:rPr>
              <w:t>renalis</w:t>
            </w:r>
            <w:proofErr w:type="spellEnd"/>
            <w:r w:rsidRPr="001711EF">
              <w:rPr>
                <w:rStyle w:val="TableText9"/>
                <w:sz w:val="22"/>
                <w:szCs w:val="22"/>
              </w:rPr>
              <w:t>-trombose</w:t>
            </w:r>
            <w:r w:rsidRPr="001711EF">
              <w:rPr>
                <w:sz w:val="22"/>
                <w:szCs w:val="22"/>
              </w:rPr>
              <w:t>, forstørrede nyrer</w:t>
            </w:r>
          </w:p>
        </w:tc>
      </w:tr>
      <w:tr w:rsidR="002E0EA0" w:rsidRPr="001711EF" w14:paraId="2E653145"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02F4470E" w14:textId="77777777" w:rsidR="002E0EA0" w:rsidRPr="001711EF" w:rsidRDefault="002E0EA0" w:rsidP="00182D0F">
            <w:pPr>
              <w:rPr>
                <w:sz w:val="22"/>
                <w:szCs w:val="22"/>
              </w:rPr>
            </w:pPr>
            <w:r w:rsidRPr="001711EF">
              <w:rPr>
                <w:sz w:val="22"/>
                <w:szCs w:val="22"/>
              </w:rPr>
              <w:t>Medfødte, familiære og genetiske sygdomme</w:t>
            </w:r>
          </w:p>
        </w:tc>
        <w:tc>
          <w:tcPr>
            <w:tcW w:w="920" w:type="pct"/>
            <w:tcBorders>
              <w:top w:val="single" w:sz="4" w:space="0" w:color="auto"/>
              <w:left w:val="single" w:sz="4" w:space="0" w:color="auto"/>
              <w:bottom w:val="single" w:sz="4" w:space="0" w:color="auto"/>
              <w:right w:val="single" w:sz="4" w:space="0" w:color="auto"/>
            </w:tcBorders>
          </w:tcPr>
          <w:p w14:paraId="7056A4AC"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tcPr>
          <w:p w14:paraId="46F84A5B" w14:textId="77777777" w:rsidR="002E0EA0" w:rsidRPr="001711EF" w:rsidRDefault="002E0EA0" w:rsidP="00182D0F">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14:paraId="3E4956CE"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1E93FD32" w14:textId="77777777" w:rsidR="002E0EA0" w:rsidRPr="001711EF" w:rsidRDefault="002E0EA0" w:rsidP="00182D0F">
            <w:pPr>
              <w:rPr>
                <w:sz w:val="22"/>
                <w:szCs w:val="22"/>
              </w:rPr>
            </w:pPr>
            <w:proofErr w:type="spellStart"/>
            <w:r w:rsidRPr="001711EF">
              <w:rPr>
                <w:sz w:val="22"/>
                <w:szCs w:val="22"/>
              </w:rPr>
              <w:t>Aplasi</w:t>
            </w:r>
            <w:proofErr w:type="spellEnd"/>
          </w:p>
        </w:tc>
      </w:tr>
      <w:tr w:rsidR="002E0EA0" w:rsidRPr="001711EF" w14:paraId="0F1C3F6B"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7B1FF031" w14:textId="77777777" w:rsidR="002E0EA0" w:rsidRPr="001711EF" w:rsidRDefault="002E0EA0" w:rsidP="00182D0F">
            <w:pPr>
              <w:rPr>
                <w:sz w:val="22"/>
                <w:szCs w:val="22"/>
              </w:rPr>
            </w:pPr>
            <w:r w:rsidRPr="001711EF">
              <w:rPr>
                <w:sz w:val="22"/>
                <w:szCs w:val="22"/>
              </w:rPr>
              <w:t xml:space="preserve">Almene symptomer og reaktioner på administrationsstedet </w:t>
            </w:r>
          </w:p>
        </w:tc>
        <w:tc>
          <w:tcPr>
            <w:tcW w:w="920" w:type="pct"/>
            <w:tcBorders>
              <w:top w:val="single" w:sz="4" w:space="0" w:color="auto"/>
              <w:left w:val="single" w:sz="4" w:space="0" w:color="auto"/>
              <w:bottom w:val="single" w:sz="4" w:space="0" w:color="auto"/>
              <w:right w:val="single" w:sz="4" w:space="0" w:color="auto"/>
            </w:tcBorders>
            <w:hideMark/>
          </w:tcPr>
          <w:p w14:paraId="134E769F" w14:textId="77777777" w:rsidR="002E0EA0" w:rsidRPr="001711EF" w:rsidRDefault="002E0EA0" w:rsidP="00182D0F">
            <w:pPr>
              <w:rPr>
                <w:rStyle w:val="TableText9"/>
                <w:sz w:val="22"/>
                <w:szCs w:val="22"/>
              </w:rPr>
            </w:pPr>
            <w:r w:rsidRPr="001711EF">
              <w:rPr>
                <w:rStyle w:val="TableText9"/>
                <w:sz w:val="22"/>
                <w:szCs w:val="22"/>
              </w:rPr>
              <w:t xml:space="preserve">Ødem, </w:t>
            </w:r>
            <w:proofErr w:type="spellStart"/>
            <w:r w:rsidRPr="001711EF">
              <w:rPr>
                <w:rStyle w:val="TableText9"/>
                <w:sz w:val="22"/>
                <w:szCs w:val="22"/>
              </w:rPr>
              <w:t>pyreksi</w:t>
            </w:r>
            <w:proofErr w:type="spellEnd"/>
            <w:r w:rsidRPr="001711EF">
              <w:rPr>
                <w:rStyle w:val="TableText9"/>
                <w:sz w:val="22"/>
                <w:szCs w:val="22"/>
              </w:rPr>
              <w:t xml:space="preserve">, smerter, </w:t>
            </w:r>
          </w:p>
          <w:p w14:paraId="44297E1D" w14:textId="77777777" w:rsidR="002E0EA0" w:rsidRPr="001711EF" w:rsidRDefault="002E0EA0" w:rsidP="00182D0F">
            <w:pPr>
              <w:rPr>
                <w:sz w:val="22"/>
                <w:szCs w:val="22"/>
              </w:rPr>
            </w:pPr>
            <w:r w:rsidRPr="001711EF">
              <w:rPr>
                <w:rStyle w:val="TableText9"/>
                <w:sz w:val="22"/>
                <w:szCs w:val="22"/>
              </w:rPr>
              <w:t>kulderystelser</w:t>
            </w:r>
          </w:p>
        </w:tc>
        <w:tc>
          <w:tcPr>
            <w:tcW w:w="918" w:type="pct"/>
            <w:tcBorders>
              <w:top w:val="single" w:sz="4" w:space="0" w:color="auto"/>
              <w:left w:val="single" w:sz="4" w:space="0" w:color="auto"/>
              <w:bottom w:val="single" w:sz="4" w:space="0" w:color="auto"/>
              <w:right w:val="single" w:sz="4" w:space="0" w:color="auto"/>
            </w:tcBorders>
            <w:hideMark/>
          </w:tcPr>
          <w:p w14:paraId="06D7FBE6" w14:textId="77777777" w:rsidR="002E0EA0" w:rsidRPr="001711EF" w:rsidRDefault="002E0EA0" w:rsidP="00182D0F">
            <w:pPr>
              <w:rPr>
                <w:sz w:val="22"/>
                <w:szCs w:val="22"/>
              </w:rPr>
            </w:pPr>
            <w:r w:rsidRPr="001711EF">
              <w:rPr>
                <w:rStyle w:val="TableText9"/>
                <w:sz w:val="22"/>
                <w:szCs w:val="22"/>
              </w:rPr>
              <w:t>Brystsmerter, utilpashed</w:t>
            </w:r>
          </w:p>
        </w:tc>
        <w:tc>
          <w:tcPr>
            <w:tcW w:w="864" w:type="pct"/>
            <w:tcBorders>
              <w:top w:val="single" w:sz="4" w:space="0" w:color="auto"/>
              <w:left w:val="single" w:sz="4" w:space="0" w:color="auto"/>
              <w:bottom w:val="single" w:sz="4" w:space="0" w:color="auto"/>
              <w:right w:val="single" w:sz="4" w:space="0" w:color="auto"/>
            </w:tcBorders>
            <w:hideMark/>
          </w:tcPr>
          <w:p w14:paraId="26E76678" w14:textId="77777777" w:rsidR="002E0EA0" w:rsidRPr="001711EF" w:rsidRDefault="002E0EA0" w:rsidP="00182D0F">
            <w:pPr>
              <w:rPr>
                <w:sz w:val="22"/>
                <w:szCs w:val="22"/>
              </w:rPr>
            </w:pPr>
            <w:proofErr w:type="spellStart"/>
            <w:r w:rsidRPr="001711EF">
              <w:rPr>
                <w:rStyle w:val="TableText9"/>
                <w:sz w:val="22"/>
                <w:szCs w:val="22"/>
              </w:rPr>
              <w:t>Erytem</w:t>
            </w:r>
            <w:proofErr w:type="spellEnd"/>
            <w:r w:rsidRPr="001711EF">
              <w:rPr>
                <w:rStyle w:val="TableText9"/>
                <w:sz w:val="22"/>
                <w:szCs w:val="22"/>
              </w:rPr>
              <w:t xml:space="preserve"> på infusionsstedet</w:t>
            </w:r>
          </w:p>
        </w:tc>
        <w:tc>
          <w:tcPr>
            <w:tcW w:w="951" w:type="pct"/>
            <w:tcBorders>
              <w:top w:val="single" w:sz="4" w:space="0" w:color="auto"/>
              <w:left w:val="single" w:sz="4" w:space="0" w:color="auto"/>
              <w:bottom w:val="single" w:sz="4" w:space="0" w:color="auto"/>
              <w:right w:val="single" w:sz="4" w:space="0" w:color="auto"/>
            </w:tcBorders>
            <w:hideMark/>
          </w:tcPr>
          <w:p w14:paraId="1652E11D" w14:textId="77777777" w:rsidR="002E0EA0" w:rsidRPr="001711EF" w:rsidRDefault="002E0EA0" w:rsidP="00182D0F">
            <w:pPr>
              <w:rPr>
                <w:sz w:val="22"/>
                <w:szCs w:val="22"/>
              </w:rPr>
            </w:pPr>
            <w:r w:rsidRPr="001711EF">
              <w:rPr>
                <w:sz w:val="22"/>
                <w:szCs w:val="22"/>
              </w:rPr>
              <w:t xml:space="preserve">Hævelse på infusionsstedet, </w:t>
            </w:r>
          </w:p>
          <w:p w14:paraId="0492CF02" w14:textId="77777777" w:rsidR="002E0EA0" w:rsidRPr="001711EF" w:rsidRDefault="002E0EA0" w:rsidP="00182D0F">
            <w:pPr>
              <w:rPr>
                <w:sz w:val="22"/>
                <w:szCs w:val="22"/>
              </w:rPr>
            </w:pPr>
            <w:r w:rsidRPr="001711EF">
              <w:rPr>
                <w:sz w:val="22"/>
                <w:szCs w:val="22"/>
              </w:rPr>
              <w:t>smerter på infusionsstedet, asteni</w:t>
            </w:r>
          </w:p>
        </w:tc>
      </w:tr>
      <w:tr w:rsidR="002E0EA0" w:rsidRPr="001711EF" w14:paraId="65AF0B64"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49B9AE7B" w14:textId="77777777" w:rsidR="002E0EA0" w:rsidRPr="001711EF" w:rsidRDefault="002E0EA0" w:rsidP="00182D0F">
            <w:pPr>
              <w:rPr>
                <w:sz w:val="22"/>
                <w:szCs w:val="22"/>
              </w:rPr>
            </w:pPr>
            <w:r w:rsidRPr="001711EF">
              <w:rPr>
                <w:sz w:val="22"/>
                <w:szCs w:val="22"/>
              </w:rPr>
              <w:t xml:space="preserve">Undersøgelser </w:t>
            </w:r>
          </w:p>
        </w:tc>
        <w:tc>
          <w:tcPr>
            <w:tcW w:w="920" w:type="pct"/>
            <w:tcBorders>
              <w:top w:val="single" w:sz="4" w:space="0" w:color="auto"/>
              <w:left w:val="single" w:sz="4" w:space="0" w:color="auto"/>
              <w:bottom w:val="single" w:sz="4" w:space="0" w:color="auto"/>
              <w:right w:val="single" w:sz="4" w:space="0" w:color="auto"/>
            </w:tcBorders>
            <w:hideMark/>
          </w:tcPr>
          <w:p w14:paraId="736790E1" w14:textId="77777777" w:rsidR="002E0EA0" w:rsidRPr="001711EF" w:rsidRDefault="002E0EA0" w:rsidP="00182D0F">
            <w:pPr>
              <w:rPr>
                <w:sz w:val="22"/>
                <w:szCs w:val="22"/>
              </w:rPr>
            </w:pPr>
            <w:r w:rsidRPr="001711EF">
              <w:rPr>
                <w:sz w:val="22"/>
                <w:szCs w:val="22"/>
              </w:rPr>
              <w:t>Unormal leverfunktionstest</w:t>
            </w:r>
          </w:p>
        </w:tc>
        <w:tc>
          <w:tcPr>
            <w:tcW w:w="918" w:type="pct"/>
            <w:tcBorders>
              <w:top w:val="single" w:sz="4" w:space="0" w:color="auto"/>
              <w:left w:val="single" w:sz="4" w:space="0" w:color="auto"/>
              <w:bottom w:val="single" w:sz="4" w:space="0" w:color="auto"/>
              <w:right w:val="single" w:sz="4" w:space="0" w:color="auto"/>
            </w:tcBorders>
            <w:hideMark/>
          </w:tcPr>
          <w:p w14:paraId="672DECAA" w14:textId="77777777" w:rsidR="002E0EA0" w:rsidRPr="001711EF" w:rsidRDefault="002E0EA0" w:rsidP="00182D0F">
            <w:pPr>
              <w:rPr>
                <w:sz w:val="22"/>
                <w:szCs w:val="22"/>
              </w:rPr>
            </w:pPr>
            <w:r w:rsidRPr="001711EF">
              <w:rPr>
                <w:sz w:val="22"/>
                <w:szCs w:val="22"/>
              </w:rPr>
              <w:t>Unormal nyrefunktionstest</w:t>
            </w:r>
          </w:p>
        </w:tc>
        <w:tc>
          <w:tcPr>
            <w:tcW w:w="864" w:type="pct"/>
            <w:tcBorders>
              <w:top w:val="single" w:sz="4" w:space="0" w:color="auto"/>
              <w:left w:val="single" w:sz="4" w:space="0" w:color="auto"/>
              <w:bottom w:val="single" w:sz="4" w:space="0" w:color="auto"/>
              <w:right w:val="single" w:sz="4" w:space="0" w:color="auto"/>
            </w:tcBorders>
          </w:tcPr>
          <w:p w14:paraId="67DD295F"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tcPr>
          <w:p w14:paraId="2A8905C4" w14:textId="77777777" w:rsidR="002E0EA0" w:rsidRPr="001711EF" w:rsidRDefault="002E0EA0" w:rsidP="00182D0F">
            <w:pPr>
              <w:rPr>
                <w:sz w:val="22"/>
                <w:szCs w:val="22"/>
              </w:rPr>
            </w:pPr>
          </w:p>
        </w:tc>
      </w:tr>
      <w:tr w:rsidR="002E0EA0" w:rsidRPr="001711EF" w14:paraId="44FF8DED" w14:textId="77777777" w:rsidTr="00182D0F">
        <w:tc>
          <w:tcPr>
            <w:tcW w:w="1346" w:type="pct"/>
            <w:tcBorders>
              <w:top w:val="single" w:sz="4" w:space="0" w:color="auto"/>
              <w:left w:val="single" w:sz="4" w:space="0" w:color="auto"/>
              <w:bottom w:val="single" w:sz="4" w:space="0" w:color="auto"/>
              <w:right w:val="single" w:sz="4" w:space="0" w:color="auto"/>
            </w:tcBorders>
            <w:hideMark/>
          </w:tcPr>
          <w:p w14:paraId="0754D758" w14:textId="77777777" w:rsidR="002E0EA0" w:rsidRPr="001711EF" w:rsidRDefault="002E0EA0" w:rsidP="00182D0F">
            <w:pPr>
              <w:rPr>
                <w:sz w:val="22"/>
                <w:szCs w:val="22"/>
              </w:rPr>
            </w:pPr>
            <w:r w:rsidRPr="001711EF">
              <w:rPr>
                <w:sz w:val="22"/>
                <w:szCs w:val="22"/>
              </w:rPr>
              <w:t>Traumer, forgiftninger og behandlingskomplikationer</w:t>
            </w:r>
          </w:p>
        </w:tc>
        <w:tc>
          <w:tcPr>
            <w:tcW w:w="920" w:type="pct"/>
            <w:tcBorders>
              <w:top w:val="single" w:sz="4" w:space="0" w:color="auto"/>
              <w:left w:val="single" w:sz="4" w:space="0" w:color="auto"/>
              <w:bottom w:val="single" w:sz="4" w:space="0" w:color="auto"/>
              <w:right w:val="single" w:sz="4" w:space="0" w:color="auto"/>
            </w:tcBorders>
          </w:tcPr>
          <w:p w14:paraId="5CD6008B" w14:textId="77777777" w:rsidR="002E0EA0" w:rsidRPr="001711EF" w:rsidRDefault="002E0EA0" w:rsidP="00182D0F">
            <w:pPr>
              <w:rPr>
                <w:sz w:val="22"/>
                <w:szCs w:val="22"/>
              </w:rPr>
            </w:pPr>
          </w:p>
        </w:tc>
        <w:tc>
          <w:tcPr>
            <w:tcW w:w="918" w:type="pct"/>
            <w:tcBorders>
              <w:top w:val="single" w:sz="4" w:space="0" w:color="auto"/>
              <w:left w:val="single" w:sz="4" w:space="0" w:color="auto"/>
              <w:bottom w:val="single" w:sz="4" w:space="0" w:color="auto"/>
              <w:right w:val="single" w:sz="4" w:space="0" w:color="auto"/>
            </w:tcBorders>
          </w:tcPr>
          <w:p w14:paraId="18DFA978" w14:textId="77777777" w:rsidR="002E0EA0" w:rsidRPr="001711EF" w:rsidRDefault="002E0EA0" w:rsidP="00182D0F">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14:paraId="57751352" w14:textId="77777777" w:rsidR="002E0EA0" w:rsidRPr="001711EF" w:rsidRDefault="002E0EA0" w:rsidP="00182D0F">
            <w:pPr>
              <w:rPr>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41730981" w14:textId="77777777" w:rsidR="002E0EA0" w:rsidRPr="001711EF" w:rsidRDefault="002E0EA0" w:rsidP="00182D0F">
            <w:pPr>
              <w:rPr>
                <w:sz w:val="22"/>
                <w:szCs w:val="22"/>
              </w:rPr>
            </w:pPr>
            <w:r w:rsidRPr="001711EF">
              <w:rPr>
                <w:sz w:val="22"/>
                <w:szCs w:val="22"/>
              </w:rPr>
              <w:t xml:space="preserve">Nyreruptur, </w:t>
            </w:r>
            <w:proofErr w:type="spellStart"/>
            <w:r w:rsidRPr="001711EF">
              <w:rPr>
                <w:sz w:val="22"/>
                <w:szCs w:val="22"/>
              </w:rPr>
              <w:t>arteriovenøs</w:t>
            </w:r>
            <w:proofErr w:type="spellEnd"/>
            <w:r w:rsidRPr="001711EF">
              <w:rPr>
                <w:sz w:val="22"/>
                <w:szCs w:val="22"/>
              </w:rPr>
              <w:t xml:space="preserve"> fisteltrombose, </w:t>
            </w:r>
          </w:p>
          <w:p w14:paraId="75407619" w14:textId="77777777" w:rsidR="002E0EA0" w:rsidRPr="001711EF" w:rsidRDefault="002E0EA0" w:rsidP="00182D0F">
            <w:pPr>
              <w:rPr>
                <w:sz w:val="22"/>
                <w:szCs w:val="22"/>
              </w:rPr>
            </w:pPr>
            <w:r w:rsidRPr="001711EF">
              <w:rPr>
                <w:rStyle w:val="TableText9"/>
                <w:sz w:val="22"/>
                <w:szCs w:val="22"/>
              </w:rPr>
              <w:t>sårruptur</w:t>
            </w:r>
          </w:p>
        </w:tc>
      </w:tr>
    </w:tbl>
    <w:p w14:paraId="1AF485DB" w14:textId="77777777" w:rsidR="002E0EA0" w:rsidRPr="00296606" w:rsidRDefault="002E0EA0" w:rsidP="002E0EA0">
      <w:pPr>
        <w:autoSpaceDE w:val="0"/>
        <w:autoSpaceDN w:val="0"/>
        <w:adjustRightInd w:val="0"/>
        <w:rPr>
          <w:noProof/>
          <w:sz w:val="24"/>
          <w:szCs w:val="24"/>
          <w:u w:val="single"/>
          <w:lang w:val="en-GB"/>
        </w:rPr>
      </w:pPr>
    </w:p>
    <w:p w14:paraId="31BFE459" w14:textId="77777777" w:rsidR="002E0EA0" w:rsidRPr="008326C5" w:rsidRDefault="002E0EA0" w:rsidP="002E0EA0">
      <w:pPr>
        <w:ind w:left="851"/>
        <w:rPr>
          <w:sz w:val="24"/>
          <w:szCs w:val="24"/>
          <w:u w:val="single"/>
        </w:rPr>
      </w:pPr>
      <w:r w:rsidRPr="008326C5">
        <w:rPr>
          <w:sz w:val="24"/>
          <w:szCs w:val="24"/>
          <w:u w:val="single"/>
        </w:rPr>
        <w:t>Pædiatrisk population</w:t>
      </w:r>
    </w:p>
    <w:p w14:paraId="29A7F03E" w14:textId="77777777" w:rsidR="002E0EA0" w:rsidRPr="002E0EA0" w:rsidRDefault="002E0EA0" w:rsidP="002E0EA0">
      <w:pPr>
        <w:ind w:left="851"/>
        <w:rPr>
          <w:sz w:val="24"/>
          <w:szCs w:val="24"/>
        </w:rPr>
      </w:pPr>
    </w:p>
    <w:p w14:paraId="2AB8400F" w14:textId="77777777" w:rsidR="002E0EA0" w:rsidRPr="008326C5" w:rsidRDefault="002E0EA0" w:rsidP="002E0EA0">
      <w:pPr>
        <w:ind w:left="851"/>
        <w:rPr>
          <w:color w:val="000000"/>
          <w:sz w:val="24"/>
          <w:szCs w:val="24"/>
        </w:rPr>
      </w:pPr>
      <w:r w:rsidRPr="008326C5">
        <w:rPr>
          <w:color w:val="000000"/>
          <w:sz w:val="24"/>
          <w:szCs w:val="24"/>
        </w:rPr>
        <w:t xml:space="preserve">Data fra offentliggjorte studier med forskelligt design tyder på, at </w:t>
      </w:r>
      <w:proofErr w:type="spellStart"/>
      <w:r w:rsidRPr="008326C5">
        <w:rPr>
          <w:color w:val="000000"/>
          <w:sz w:val="24"/>
          <w:szCs w:val="24"/>
        </w:rPr>
        <w:t>Atgams</w:t>
      </w:r>
      <w:proofErr w:type="spellEnd"/>
      <w:r w:rsidRPr="008326C5">
        <w:rPr>
          <w:color w:val="000000"/>
          <w:sz w:val="24"/>
          <w:szCs w:val="24"/>
        </w:rPr>
        <w:t xml:space="preserve"> sikkerhed hos pædiatriske patienter med </w:t>
      </w:r>
      <w:proofErr w:type="spellStart"/>
      <w:r w:rsidRPr="008326C5">
        <w:rPr>
          <w:color w:val="000000"/>
          <w:sz w:val="24"/>
          <w:szCs w:val="24"/>
        </w:rPr>
        <w:t>aplastisk</w:t>
      </w:r>
      <w:proofErr w:type="spellEnd"/>
      <w:r w:rsidRPr="008326C5">
        <w:rPr>
          <w:color w:val="000000"/>
          <w:sz w:val="24"/>
          <w:szCs w:val="24"/>
        </w:rPr>
        <w:t xml:space="preserve"> anæmi er den samme som hos voksne, når de behandles med doser, der kan sammenlignes med de doser, der anvendes til voksne, og ved samme behandlingsvarighed.</w:t>
      </w:r>
    </w:p>
    <w:p w14:paraId="797E4880" w14:textId="77777777" w:rsidR="002E0EA0" w:rsidRPr="008326C5" w:rsidRDefault="002E0EA0" w:rsidP="002E0EA0">
      <w:pPr>
        <w:ind w:left="851"/>
        <w:rPr>
          <w:noProof/>
          <w:sz w:val="24"/>
          <w:szCs w:val="24"/>
        </w:rPr>
      </w:pPr>
    </w:p>
    <w:p w14:paraId="7CB05A85" w14:textId="77777777" w:rsidR="002E0EA0" w:rsidRPr="008326C5" w:rsidRDefault="002E0EA0" w:rsidP="002E0EA0">
      <w:pPr>
        <w:ind w:left="851"/>
        <w:rPr>
          <w:sz w:val="24"/>
          <w:szCs w:val="24"/>
          <w:u w:val="single"/>
        </w:rPr>
      </w:pPr>
      <w:r w:rsidRPr="008326C5">
        <w:rPr>
          <w:sz w:val="24"/>
          <w:szCs w:val="24"/>
          <w:u w:val="single"/>
        </w:rPr>
        <w:t>Indberetning af formodede bivirkninger</w:t>
      </w:r>
    </w:p>
    <w:p w14:paraId="148DA29F" w14:textId="77777777" w:rsidR="002E0EA0" w:rsidRPr="008326C5" w:rsidRDefault="002E0EA0" w:rsidP="002E0EA0">
      <w:pPr>
        <w:ind w:left="851"/>
        <w:rPr>
          <w:sz w:val="24"/>
          <w:szCs w:val="24"/>
        </w:rPr>
      </w:pPr>
      <w:r w:rsidRPr="008326C5">
        <w:rPr>
          <w:sz w:val="24"/>
          <w:szCs w:val="24"/>
        </w:rPr>
        <w:t>Når lægemidlet er godkendt, er indberetning af formodede bivirkninger vigtig. Det muliggør løbende overvågning af benefit/</w:t>
      </w:r>
      <w:proofErr w:type="spellStart"/>
      <w:r w:rsidRPr="008326C5">
        <w:rPr>
          <w:sz w:val="24"/>
          <w:szCs w:val="24"/>
        </w:rPr>
        <w:t>risk</w:t>
      </w:r>
      <w:proofErr w:type="spellEnd"/>
      <w:r w:rsidRPr="008326C5">
        <w:rPr>
          <w:sz w:val="24"/>
          <w:szCs w:val="24"/>
        </w:rPr>
        <w:t>-forholdet for lægemidlet. Sundhedspersoner anmodes om at indberette alle formodede bivirkninger via:</w:t>
      </w:r>
    </w:p>
    <w:p w14:paraId="18A45C72" w14:textId="77777777" w:rsidR="002E0EA0" w:rsidRPr="008326C5" w:rsidRDefault="002E0EA0" w:rsidP="002E0EA0">
      <w:pPr>
        <w:ind w:left="851"/>
        <w:rPr>
          <w:sz w:val="24"/>
          <w:szCs w:val="24"/>
        </w:rPr>
      </w:pPr>
    </w:p>
    <w:p w14:paraId="747B3B1B" w14:textId="77777777" w:rsidR="002E0EA0" w:rsidRPr="008326C5" w:rsidRDefault="002E0EA0" w:rsidP="002E0EA0">
      <w:pPr>
        <w:ind w:left="851"/>
        <w:rPr>
          <w:sz w:val="24"/>
          <w:szCs w:val="24"/>
        </w:rPr>
      </w:pPr>
      <w:r w:rsidRPr="008326C5">
        <w:rPr>
          <w:sz w:val="24"/>
          <w:szCs w:val="24"/>
        </w:rPr>
        <w:t>Lægemiddelstyrelsen</w:t>
      </w:r>
    </w:p>
    <w:p w14:paraId="369775C4" w14:textId="77777777" w:rsidR="002E0EA0" w:rsidRPr="008326C5" w:rsidRDefault="002E0EA0" w:rsidP="002E0EA0">
      <w:pPr>
        <w:ind w:left="851"/>
        <w:rPr>
          <w:sz w:val="24"/>
          <w:szCs w:val="24"/>
        </w:rPr>
      </w:pPr>
      <w:r w:rsidRPr="008326C5">
        <w:rPr>
          <w:sz w:val="24"/>
          <w:szCs w:val="24"/>
        </w:rPr>
        <w:t>Axel Heides Gade 1</w:t>
      </w:r>
    </w:p>
    <w:p w14:paraId="6B8DBCE3" w14:textId="77777777" w:rsidR="002E0EA0" w:rsidRPr="008326C5" w:rsidRDefault="002E0EA0" w:rsidP="002E0EA0">
      <w:pPr>
        <w:ind w:left="851"/>
        <w:rPr>
          <w:sz w:val="24"/>
          <w:szCs w:val="24"/>
        </w:rPr>
      </w:pPr>
      <w:r w:rsidRPr="008326C5">
        <w:rPr>
          <w:sz w:val="24"/>
          <w:szCs w:val="24"/>
        </w:rPr>
        <w:t>2300 København S</w:t>
      </w:r>
    </w:p>
    <w:p w14:paraId="379444C1" w14:textId="77777777" w:rsidR="002E0EA0" w:rsidRPr="008326C5" w:rsidRDefault="002E0EA0" w:rsidP="002E0EA0">
      <w:pPr>
        <w:ind w:left="851"/>
        <w:rPr>
          <w:noProof/>
          <w:sz w:val="24"/>
          <w:szCs w:val="24"/>
        </w:rPr>
      </w:pPr>
      <w:r w:rsidRPr="008326C5">
        <w:rPr>
          <w:sz w:val="24"/>
          <w:szCs w:val="24"/>
        </w:rPr>
        <w:t xml:space="preserve">Websted: </w:t>
      </w:r>
      <w:hyperlink r:id="rId9" w:history="1">
        <w:r w:rsidRPr="008326C5">
          <w:rPr>
            <w:rStyle w:val="Hyperlink"/>
            <w:rFonts w:eastAsia="PMingLiU"/>
            <w:sz w:val="24"/>
            <w:szCs w:val="24"/>
          </w:rPr>
          <w:t>www.meldenbivirkning.dk</w:t>
        </w:r>
      </w:hyperlink>
    </w:p>
    <w:p w14:paraId="0EB8E75B" w14:textId="77777777" w:rsidR="009260DE" w:rsidRPr="00296606" w:rsidRDefault="009260DE" w:rsidP="00A10294">
      <w:pPr>
        <w:tabs>
          <w:tab w:val="left" w:pos="851"/>
        </w:tabs>
        <w:ind w:left="851"/>
        <w:rPr>
          <w:sz w:val="24"/>
          <w:szCs w:val="24"/>
        </w:rPr>
      </w:pPr>
    </w:p>
    <w:p w14:paraId="66903A30" w14:textId="77777777" w:rsidR="009260DE" w:rsidRPr="00296606" w:rsidRDefault="009260DE" w:rsidP="009260DE">
      <w:pPr>
        <w:tabs>
          <w:tab w:val="left" w:pos="851"/>
        </w:tabs>
        <w:ind w:left="851" w:hanging="851"/>
        <w:rPr>
          <w:b/>
          <w:sz w:val="24"/>
          <w:szCs w:val="24"/>
        </w:rPr>
      </w:pPr>
      <w:r w:rsidRPr="00296606">
        <w:rPr>
          <w:b/>
          <w:sz w:val="24"/>
          <w:szCs w:val="24"/>
        </w:rPr>
        <w:t>4.9</w:t>
      </w:r>
      <w:r w:rsidRPr="00296606">
        <w:rPr>
          <w:b/>
          <w:sz w:val="24"/>
          <w:szCs w:val="24"/>
        </w:rPr>
        <w:tab/>
        <w:t>Overdosering</w:t>
      </w:r>
    </w:p>
    <w:p w14:paraId="400AFDBF" w14:textId="77777777" w:rsidR="00032351" w:rsidRPr="00296606" w:rsidRDefault="00032351" w:rsidP="008345F9">
      <w:pPr>
        <w:pStyle w:val="Paragraph"/>
        <w:spacing w:after="0"/>
        <w:ind w:left="851"/>
        <w:rPr>
          <w:lang w:val="da-DK"/>
        </w:rPr>
      </w:pPr>
      <w:r w:rsidRPr="00296606">
        <w:rPr>
          <w:lang w:val="da-DK"/>
        </w:rPr>
        <w:t xml:space="preserve">Den maksimale dosis </w:t>
      </w:r>
      <w:proofErr w:type="spellStart"/>
      <w:r w:rsidRPr="00296606">
        <w:rPr>
          <w:lang w:val="da-DK"/>
        </w:rPr>
        <w:t>Atgam</w:t>
      </w:r>
      <w:proofErr w:type="spellEnd"/>
      <w:r w:rsidRPr="00296606">
        <w:rPr>
          <w:lang w:val="da-DK"/>
        </w:rPr>
        <w:t xml:space="preserve">, der kan tolereres, ventes at variere fra patient til patient på grund af lægemidlets biologiske karakter. </w:t>
      </w:r>
    </w:p>
    <w:p w14:paraId="00B562D4" w14:textId="77777777" w:rsidR="00032351" w:rsidRPr="00296606" w:rsidRDefault="00032351" w:rsidP="008345F9">
      <w:pPr>
        <w:pStyle w:val="Paragraph"/>
        <w:spacing w:after="0"/>
        <w:ind w:left="851"/>
        <w:rPr>
          <w:lang w:val="da-DK"/>
        </w:rPr>
      </w:pPr>
    </w:p>
    <w:p w14:paraId="499D1BB5" w14:textId="77777777" w:rsidR="00032351" w:rsidRPr="00296606" w:rsidRDefault="00032351" w:rsidP="008345F9">
      <w:pPr>
        <w:tabs>
          <w:tab w:val="left" w:pos="1304"/>
        </w:tabs>
        <w:ind w:left="851"/>
        <w:rPr>
          <w:sz w:val="24"/>
          <w:szCs w:val="24"/>
        </w:rPr>
      </w:pPr>
      <w:r w:rsidRPr="00296606">
        <w:rPr>
          <w:sz w:val="24"/>
          <w:szCs w:val="24"/>
        </w:rPr>
        <w:t xml:space="preserve">Der er ikke fastlagt en maksimal terapeutisk dosis, og derfor er overdosering ikke klart defineret for </w:t>
      </w:r>
      <w:proofErr w:type="spellStart"/>
      <w:r w:rsidRPr="00296606">
        <w:rPr>
          <w:sz w:val="24"/>
          <w:szCs w:val="24"/>
        </w:rPr>
        <w:t>Atgam</w:t>
      </w:r>
      <w:proofErr w:type="spellEnd"/>
      <w:r w:rsidRPr="00296606">
        <w:rPr>
          <w:sz w:val="24"/>
          <w:szCs w:val="24"/>
        </w:rPr>
        <w:t xml:space="preserve">. Nogle patienter med </w:t>
      </w:r>
      <w:proofErr w:type="spellStart"/>
      <w:r w:rsidRPr="00296606">
        <w:rPr>
          <w:sz w:val="24"/>
          <w:szCs w:val="24"/>
        </w:rPr>
        <w:t>aplastisk</w:t>
      </w:r>
      <w:proofErr w:type="spellEnd"/>
      <w:r w:rsidRPr="00296606">
        <w:rPr>
          <w:sz w:val="24"/>
          <w:szCs w:val="24"/>
        </w:rPr>
        <w:t xml:space="preserve"> anæmi har fået op til 21 doser som ekstrabehandling hver anden dag i yderligere 14 dage. Forekomsten af toksikologiske symptomer blev ikke øget ved nogen af disse regimer. Det anbefales dog at overvåge patienten tæt.</w:t>
      </w:r>
    </w:p>
    <w:p w14:paraId="2B3CCD8A" w14:textId="77777777" w:rsidR="00032351" w:rsidRPr="00296606" w:rsidRDefault="00032351" w:rsidP="008345F9">
      <w:pPr>
        <w:ind w:left="851"/>
        <w:rPr>
          <w:noProof/>
          <w:sz w:val="24"/>
          <w:szCs w:val="24"/>
        </w:rPr>
      </w:pPr>
    </w:p>
    <w:p w14:paraId="56A603D1" w14:textId="77777777" w:rsidR="00032351" w:rsidRPr="00296606" w:rsidRDefault="00032351" w:rsidP="008345F9">
      <w:pPr>
        <w:ind w:left="851"/>
        <w:rPr>
          <w:sz w:val="24"/>
          <w:szCs w:val="24"/>
        </w:rPr>
      </w:pPr>
      <w:r w:rsidRPr="00296606">
        <w:rPr>
          <w:sz w:val="24"/>
          <w:szCs w:val="24"/>
        </w:rPr>
        <w:t xml:space="preserve">Der er ikke observeret akut forgiftning eller sene følgevirkninger ved en enkelt dosis på 7.000 mg </w:t>
      </w:r>
      <w:proofErr w:type="spellStart"/>
      <w:r w:rsidRPr="00296606">
        <w:rPr>
          <w:sz w:val="24"/>
          <w:szCs w:val="24"/>
        </w:rPr>
        <w:t>Atgam</w:t>
      </w:r>
      <w:proofErr w:type="spellEnd"/>
      <w:r w:rsidRPr="00296606">
        <w:rPr>
          <w:sz w:val="24"/>
          <w:szCs w:val="24"/>
        </w:rPr>
        <w:t xml:space="preserve"> til en nyretransplanteret patient.</w:t>
      </w:r>
    </w:p>
    <w:p w14:paraId="39ED5D37" w14:textId="77777777" w:rsidR="00032351" w:rsidRPr="00296606" w:rsidRDefault="00032351" w:rsidP="008345F9">
      <w:pPr>
        <w:ind w:left="851"/>
        <w:rPr>
          <w:noProof/>
          <w:sz w:val="24"/>
          <w:szCs w:val="24"/>
        </w:rPr>
      </w:pPr>
    </w:p>
    <w:p w14:paraId="621DDD39" w14:textId="77777777" w:rsidR="00032351" w:rsidRPr="00296606" w:rsidRDefault="00032351" w:rsidP="008345F9">
      <w:pPr>
        <w:tabs>
          <w:tab w:val="left" w:pos="1304"/>
        </w:tabs>
        <w:ind w:left="851"/>
        <w:rPr>
          <w:sz w:val="24"/>
          <w:szCs w:val="24"/>
        </w:rPr>
      </w:pPr>
      <w:r w:rsidRPr="00296606">
        <w:rPr>
          <w:sz w:val="24"/>
          <w:szCs w:val="24"/>
        </w:rPr>
        <w:t>Der er ingen kendt modgift. Behandlingen bør være symptomatisk.</w:t>
      </w:r>
    </w:p>
    <w:p w14:paraId="38BC9D28" w14:textId="77777777" w:rsidR="009260DE" w:rsidRPr="00296606" w:rsidRDefault="009260DE" w:rsidP="009260DE">
      <w:pPr>
        <w:tabs>
          <w:tab w:val="left" w:pos="851"/>
        </w:tabs>
        <w:ind w:left="851"/>
        <w:rPr>
          <w:sz w:val="24"/>
          <w:szCs w:val="24"/>
        </w:rPr>
      </w:pPr>
    </w:p>
    <w:p w14:paraId="36E5D768" w14:textId="77777777" w:rsidR="009260DE" w:rsidRPr="00296606" w:rsidRDefault="009260DE" w:rsidP="009260DE">
      <w:pPr>
        <w:tabs>
          <w:tab w:val="left" w:pos="851"/>
        </w:tabs>
        <w:ind w:left="851" w:hanging="851"/>
        <w:rPr>
          <w:b/>
          <w:sz w:val="24"/>
          <w:szCs w:val="24"/>
        </w:rPr>
      </w:pPr>
      <w:r w:rsidRPr="00296606">
        <w:rPr>
          <w:b/>
          <w:sz w:val="24"/>
          <w:szCs w:val="24"/>
        </w:rPr>
        <w:t>4.10</w:t>
      </w:r>
      <w:r w:rsidRPr="00296606">
        <w:rPr>
          <w:b/>
          <w:sz w:val="24"/>
          <w:szCs w:val="24"/>
        </w:rPr>
        <w:tab/>
        <w:t>Udlevering</w:t>
      </w:r>
    </w:p>
    <w:p w14:paraId="2A857C63" w14:textId="63762E93" w:rsidR="009260DE" w:rsidRPr="00296606" w:rsidRDefault="000779D3" w:rsidP="009260DE">
      <w:pPr>
        <w:tabs>
          <w:tab w:val="left" w:pos="851"/>
        </w:tabs>
        <w:ind w:left="851"/>
        <w:rPr>
          <w:sz w:val="24"/>
          <w:szCs w:val="24"/>
        </w:rPr>
      </w:pPr>
      <w:r w:rsidRPr="00296606">
        <w:rPr>
          <w:sz w:val="24"/>
          <w:szCs w:val="24"/>
        </w:rPr>
        <w:t>BEGR – kun til sygehuse</w:t>
      </w:r>
    </w:p>
    <w:p w14:paraId="7F642F7C" w14:textId="3B0DE003" w:rsidR="001711EF" w:rsidRDefault="001711EF">
      <w:pPr>
        <w:rPr>
          <w:sz w:val="24"/>
          <w:szCs w:val="24"/>
        </w:rPr>
      </w:pPr>
      <w:r>
        <w:rPr>
          <w:sz w:val="24"/>
          <w:szCs w:val="24"/>
        </w:rPr>
        <w:br w:type="page"/>
      </w:r>
    </w:p>
    <w:p w14:paraId="1E57ABBB" w14:textId="77777777" w:rsidR="009260DE" w:rsidRPr="00296606" w:rsidRDefault="009260DE" w:rsidP="009260DE">
      <w:pPr>
        <w:tabs>
          <w:tab w:val="left" w:pos="851"/>
        </w:tabs>
        <w:ind w:left="851"/>
        <w:rPr>
          <w:sz w:val="24"/>
          <w:szCs w:val="24"/>
        </w:rPr>
      </w:pPr>
    </w:p>
    <w:p w14:paraId="417EA22E" w14:textId="77777777" w:rsidR="009260DE" w:rsidRPr="00296606" w:rsidRDefault="009260DE" w:rsidP="009260DE">
      <w:pPr>
        <w:tabs>
          <w:tab w:val="left" w:pos="851"/>
        </w:tabs>
        <w:ind w:left="851" w:hanging="851"/>
        <w:rPr>
          <w:b/>
          <w:sz w:val="24"/>
          <w:szCs w:val="24"/>
        </w:rPr>
      </w:pPr>
      <w:r w:rsidRPr="00296606">
        <w:rPr>
          <w:b/>
          <w:sz w:val="24"/>
          <w:szCs w:val="24"/>
        </w:rPr>
        <w:t>5.</w:t>
      </w:r>
      <w:r w:rsidRPr="00296606">
        <w:rPr>
          <w:b/>
          <w:sz w:val="24"/>
          <w:szCs w:val="24"/>
        </w:rPr>
        <w:tab/>
        <w:t>FARMAKOLOGISKE EGENSKABER</w:t>
      </w:r>
    </w:p>
    <w:p w14:paraId="32209B8C" w14:textId="77777777" w:rsidR="009260DE" w:rsidRPr="00296606" w:rsidRDefault="009260DE" w:rsidP="009260DE">
      <w:pPr>
        <w:tabs>
          <w:tab w:val="left" w:pos="851"/>
        </w:tabs>
        <w:ind w:left="851"/>
        <w:rPr>
          <w:sz w:val="24"/>
          <w:szCs w:val="24"/>
        </w:rPr>
      </w:pPr>
    </w:p>
    <w:p w14:paraId="215C3317" w14:textId="62D010DB" w:rsidR="008326C5" w:rsidRPr="002E0EA0" w:rsidRDefault="009260DE" w:rsidP="002E0EA0">
      <w:pPr>
        <w:tabs>
          <w:tab w:val="num" w:pos="851"/>
        </w:tabs>
        <w:ind w:left="851" w:hanging="851"/>
        <w:rPr>
          <w:b/>
          <w:sz w:val="24"/>
          <w:szCs w:val="24"/>
        </w:rPr>
      </w:pPr>
      <w:r w:rsidRPr="00296606">
        <w:rPr>
          <w:b/>
          <w:sz w:val="24"/>
          <w:szCs w:val="24"/>
        </w:rPr>
        <w:t>5.1</w:t>
      </w:r>
      <w:r w:rsidRPr="00296606">
        <w:rPr>
          <w:b/>
          <w:sz w:val="24"/>
          <w:szCs w:val="24"/>
        </w:rPr>
        <w:tab/>
      </w:r>
      <w:proofErr w:type="spellStart"/>
      <w:r w:rsidRPr="00296606">
        <w:rPr>
          <w:b/>
          <w:sz w:val="24"/>
          <w:szCs w:val="24"/>
        </w:rPr>
        <w:t>Farmakodynamiske</w:t>
      </w:r>
      <w:proofErr w:type="spellEnd"/>
      <w:r w:rsidRPr="00296606">
        <w:rPr>
          <w:b/>
          <w:sz w:val="24"/>
          <w:szCs w:val="24"/>
        </w:rPr>
        <w:t xml:space="preserve"> egenskaber</w:t>
      </w:r>
    </w:p>
    <w:p w14:paraId="7B1CBFB3" w14:textId="0EDE8C72" w:rsidR="00FA1740" w:rsidRDefault="00FA1740" w:rsidP="00296606">
      <w:pPr>
        <w:ind w:left="851"/>
        <w:rPr>
          <w:sz w:val="24"/>
          <w:szCs w:val="24"/>
        </w:rPr>
      </w:pPr>
      <w:proofErr w:type="spellStart"/>
      <w:r>
        <w:rPr>
          <w:sz w:val="24"/>
          <w:szCs w:val="24"/>
        </w:rPr>
        <w:t>Farmakoterapeutisk</w:t>
      </w:r>
      <w:proofErr w:type="spellEnd"/>
      <w:r>
        <w:rPr>
          <w:sz w:val="24"/>
          <w:szCs w:val="24"/>
        </w:rPr>
        <w:t xml:space="preserve"> klassifikation:</w:t>
      </w:r>
      <w:r w:rsidRPr="00FA1740">
        <w:rPr>
          <w:sz w:val="24"/>
          <w:szCs w:val="24"/>
        </w:rPr>
        <w:t xml:space="preserve"> </w:t>
      </w:r>
      <w:r w:rsidRPr="008326C5">
        <w:rPr>
          <w:sz w:val="24"/>
          <w:szCs w:val="24"/>
        </w:rPr>
        <w:t xml:space="preserve">Selektive </w:t>
      </w:r>
      <w:proofErr w:type="spellStart"/>
      <w:r w:rsidRPr="008326C5">
        <w:rPr>
          <w:sz w:val="24"/>
          <w:szCs w:val="24"/>
        </w:rPr>
        <w:t>immunsuppressiva</w:t>
      </w:r>
      <w:proofErr w:type="spellEnd"/>
      <w:r w:rsidRPr="008326C5">
        <w:rPr>
          <w:sz w:val="24"/>
          <w:szCs w:val="24"/>
        </w:rPr>
        <w:t>.</w:t>
      </w:r>
    </w:p>
    <w:p w14:paraId="0ABEBAB3" w14:textId="5463BF0F" w:rsidR="00FA1740" w:rsidRDefault="00FA1740" w:rsidP="00296606">
      <w:pPr>
        <w:ind w:left="851"/>
        <w:rPr>
          <w:sz w:val="24"/>
          <w:szCs w:val="24"/>
        </w:rPr>
      </w:pPr>
      <w:r w:rsidRPr="008326C5">
        <w:rPr>
          <w:sz w:val="24"/>
          <w:szCs w:val="24"/>
        </w:rPr>
        <w:t>ATC-kode: L</w:t>
      </w:r>
      <w:r>
        <w:rPr>
          <w:sz w:val="24"/>
          <w:szCs w:val="24"/>
        </w:rPr>
        <w:t xml:space="preserve"> </w:t>
      </w:r>
      <w:r w:rsidRPr="008326C5">
        <w:rPr>
          <w:sz w:val="24"/>
          <w:szCs w:val="24"/>
        </w:rPr>
        <w:t>04</w:t>
      </w:r>
      <w:r>
        <w:rPr>
          <w:sz w:val="24"/>
          <w:szCs w:val="24"/>
        </w:rPr>
        <w:t xml:space="preserve"> </w:t>
      </w:r>
      <w:r w:rsidRPr="008326C5">
        <w:rPr>
          <w:sz w:val="24"/>
          <w:szCs w:val="24"/>
        </w:rPr>
        <w:t>AA</w:t>
      </w:r>
      <w:r>
        <w:rPr>
          <w:sz w:val="24"/>
          <w:szCs w:val="24"/>
        </w:rPr>
        <w:t xml:space="preserve"> </w:t>
      </w:r>
      <w:r w:rsidRPr="008326C5">
        <w:rPr>
          <w:sz w:val="24"/>
          <w:szCs w:val="24"/>
        </w:rPr>
        <w:t>03.</w:t>
      </w:r>
    </w:p>
    <w:p w14:paraId="34542C08" w14:textId="77777777" w:rsidR="00FA1740" w:rsidRPr="00FA1740" w:rsidRDefault="00FA1740" w:rsidP="00296606">
      <w:pPr>
        <w:ind w:left="851"/>
        <w:rPr>
          <w:sz w:val="24"/>
          <w:szCs w:val="24"/>
        </w:rPr>
      </w:pPr>
    </w:p>
    <w:p w14:paraId="5098B900" w14:textId="1DC4C8E8" w:rsidR="00032351" w:rsidRPr="00296606" w:rsidRDefault="00032351" w:rsidP="00296606">
      <w:pPr>
        <w:ind w:left="851"/>
        <w:rPr>
          <w:sz w:val="24"/>
          <w:szCs w:val="24"/>
          <w:u w:val="single"/>
        </w:rPr>
      </w:pPr>
      <w:r w:rsidRPr="00296606">
        <w:rPr>
          <w:sz w:val="24"/>
          <w:szCs w:val="24"/>
          <w:u w:val="single"/>
        </w:rPr>
        <w:t>Virkningsmekanisme</w:t>
      </w:r>
    </w:p>
    <w:p w14:paraId="0DFE0B65" w14:textId="77777777" w:rsidR="00032351" w:rsidRPr="00296606" w:rsidRDefault="00032351" w:rsidP="00296606">
      <w:pPr>
        <w:ind w:left="851"/>
        <w:rPr>
          <w:sz w:val="24"/>
          <w:szCs w:val="24"/>
          <w:u w:val="single"/>
        </w:rPr>
      </w:pPr>
    </w:p>
    <w:p w14:paraId="6607E5B9" w14:textId="77777777" w:rsidR="00032351" w:rsidRPr="00296606" w:rsidRDefault="00032351" w:rsidP="00296606">
      <w:pPr>
        <w:tabs>
          <w:tab w:val="left" w:pos="1304"/>
        </w:tabs>
        <w:ind w:left="851"/>
        <w:rPr>
          <w:sz w:val="24"/>
          <w:szCs w:val="24"/>
        </w:rPr>
      </w:pPr>
      <w:proofErr w:type="spellStart"/>
      <w:r w:rsidRPr="00296606">
        <w:rPr>
          <w:sz w:val="24"/>
          <w:szCs w:val="24"/>
        </w:rPr>
        <w:t>Atgam</w:t>
      </w:r>
      <w:proofErr w:type="spellEnd"/>
      <w:r w:rsidRPr="00296606">
        <w:rPr>
          <w:sz w:val="24"/>
          <w:szCs w:val="24"/>
        </w:rPr>
        <w:t xml:space="preserve"> består af antistoffer, der binder en lang række proteiner på overfladen af lymfocytter. Desuden bindes </w:t>
      </w:r>
      <w:proofErr w:type="spellStart"/>
      <w:r w:rsidRPr="00296606">
        <w:rPr>
          <w:sz w:val="24"/>
          <w:szCs w:val="24"/>
        </w:rPr>
        <w:t>Atgam</w:t>
      </w:r>
      <w:proofErr w:type="spellEnd"/>
      <w:r w:rsidRPr="00296606">
        <w:rPr>
          <w:sz w:val="24"/>
          <w:szCs w:val="24"/>
        </w:rPr>
        <w:t xml:space="preserve"> til granulocytter, </w:t>
      </w:r>
      <w:proofErr w:type="spellStart"/>
      <w:r w:rsidRPr="00296606">
        <w:rPr>
          <w:sz w:val="24"/>
          <w:szCs w:val="24"/>
        </w:rPr>
        <w:t>trombocytter</w:t>
      </w:r>
      <w:proofErr w:type="spellEnd"/>
      <w:r w:rsidRPr="00296606">
        <w:rPr>
          <w:sz w:val="24"/>
          <w:szCs w:val="24"/>
        </w:rPr>
        <w:t xml:space="preserve"> og knoglemarvsceller. Mekanismen i </w:t>
      </w:r>
      <w:proofErr w:type="spellStart"/>
      <w:r w:rsidRPr="00296606">
        <w:rPr>
          <w:sz w:val="24"/>
          <w:szCs w:val="24"/>
        </w:rPr>
        <w:t>Atgam</w:t>
      </w:r>
      <w:proofErr w:type="spellEnd"/>
      <w:r w:rsidRPr="00296606">
        <w:rPr>
          <w:sz w:val="24"/>
          <w:szCs w:val="24"/>
        </w:rPr>
        <w:t xml:space="preserve">-fremkaldt </w:t>
      </w:r>
      <w:proofErr w:type="spellStart"/>
      <w:r w:rsidRPr="00296606">
        <w:rPr>
          <w:sz w:val="24"/>
          <w:szCs w:val="24"/>
        </w:rPr>
        <w:t>immunosuppression</w:t>
      </w:r>
      <w:proofErr w:type="spellEnd"/>
      <w:r w:rsidRPr="00296606">
        <w:rPr>
          <w:sz w:val="24"/>
          <w:szCs w:val="24"/>
        </w:rPr>
        <w:t xml:space="preserve"> er ikke blevet fastlagt. Offentliggjorte data tyder på, at den primære mekanisme er </w:t>
      </w:r>
      <w:proofErr w:type="spellStart"/>
      <w:r w:rsidRPr="00296606">
        <w:rPr>
          <w:sz w:val="24"/>
          <w:szCs w:val="24"/>
        </w:rPr>
        <w:t>depletering</w:t>
      </w:r>
      <w:proofErr w:type="spellEnd"/>
      <w:r w:rsidRPr="00296606">
        <w:rPr>
          <w:sz w:val="24"/>
          <w:szCs w:val="24"/>
        </w:rPr>
        <w:t xml:space="preserve"> af cirkulerende lymfocytter, med størst virkning på T-lymfocytter. </w:t>
      </w:r>
      <w:proofErr w:type="spellStart"/>
      <w:r w:rsidRPr="00296606">
        <w:rPr>
          <w:sz w:val="24"/>
          <w:szCs w:val="24"/>
        </w:rPr>
        <w:t>Lymfocytdepletering</w:t>
      </w:r>
      <w:proofErr w:type="spellEnd"/>
      <w:r w:rsidRPr="00296606">
        <w:rPr>
          <w:sz w:val="24"/>
          <w:szCs w:val="24"/>
        </w:rPr>
        <w:t xml:space="preserve"> kan skyldes komplementafhængig </w:t>
      </w:r>
      <w:proofErr w:type="spellStart"/>
      <w:r w:rsidRPr="00296606">
        <w:rPr>
          <w:sz w:val="24"/>
          <w:szCs w:val="24"/>
        </w:rPr>
        <w:t>lysis</w:t>
      </w:r>
      <w:proofErr w:type="spellEnd"/>
      <w:r w:rsidRPr="00296606">
        <w:rPr>
          <w:sz w:val="24"/>
          <w:szCs w:val="24"/>
        </w:rPr>
        <w:t xml:space="preserve"> og/eller aktiveringsfremkaldt </w:t>
      </w:r>
      <w:proofErr w:type="spellStart"/>
      <w:r w:rsidRPr="00296606">
        <w:rPr>
          <w:sz w:val="24"/>
          <w:szCs w:val="24"/>
        </w:rPr>
        <w:t>apoptose</w:t>
      </w:r>
      <w:proofErr w:type="spellEnd"/>
      <w:r w:rsidRPr="00296606">
        <w:rPr>
          <w:sz w:val="24"/>
          <w:szCs w:val="24"/>
        </w:rPr>
        <w:t xml:space="preserve">. Desuden kan </w:t>
      </w:r>
      <w:proofErr w:type="spellStart"/>
      <w:r w:rsidRPr="00296606">
        <w:rPr>
          <w:sz w:val="24"/>
          <w:szCs w:val="24"/>
        </w:rPr>
        <w:t>immunosuppression</w:t>
      </w:r>
      <w:proofErr w:type="spellEnd"/>
      <w:r w:rsidRPr="00296606">
        <w:rPr>
          <w:sz w:val="24"/>
          <w:szCs w:val="24"/>
        </w:rPr>
        <w:t xml:space="preserve"> være medieret af bindingen af antistoffer til lymfocytter, som resulterer i delvis aktivering og fremkaldelse af T-lymfocyt-</w:t>
      </w:r>
      <w:proofErr w:type="spellStart"/>
      <w:r w:rsidRPr="00296606">
        <w:rPr>
          <w:sz w:val="24"/>
          <w:szCs w:val="24"/>
        </w:rPr>
        <w:t>anergi</w:t>
      </w:r>
      <w:proofErr w:type="spellEnd"/>
      <w:r w:rsidRPr="00296606">
        <w:rPr>
          <w:sz w:val="24"/>
          <w:szCs w:val="24"/>
        </w:rPr>
        <w:t>.</w:t>
      </w:r>
    </w:p>
    <w:p w14:paraId="5804E7B6" w14:textId="77777777" w:rsidR="00032351" w:rsidRPr="00296606" w:rsidRDefault="00032351" w:rsidP="00296606">
      <w:pPr>
        <w:ind w:left="851"/>
        <w:rPr>
          <w:sz w:val="24"/>
          <w:szCs w:val="24"/>
        </w:rPr>
      </w:pPr>
    </w:p>
    <w:p w14:paraId="4F3A1479" w14:textId="77777777" w:rsidR="00032351" w:rsidRPr="00296606" w:rsidRDefault="00032351" w:rsidP="00296606">
      <w:pPr>
        <w:tabs>
          <w:tab w:val="left" w:pos="1304"/>
        </w:tabs>
        <w:ind w:left="851"/>
        <w:rPr>
          <w:sz w:val="24"/>
          <w:szCs w:val="24"/>
        </w:rPr>
      </w:pPr>
      <w:r w:rsidRPr="00296606">
        <w:rPr>
          <w:sz w:val="24"/>
          <w:szCs w:val="24"/>
        </w:rPr>
        <w:t xml:space="preserve">Mekanismen i </w:t>
      </w:r>
      <w:proofErr w:type="spellStart"/>
      <w:r w:rsidRPr="00296606">
        <w:rPr>
          <w:sz w:val="24"/>
          <w:szCs w:val="24"/>
        </w:rPr>
        <w:t>Atgam</w:t>
      </w:r>
      <w:proofErr w:type="spellEnd"/>
      <w:r w:rsidRPr="00296606">
        <w:rPr>
          <w:sz w:val="24"/>
          <w:szCs w:val="24"/>
        </w:rPr>
        <w:t xml:space="preserve">-behandling af </w:t>
      </w:r>
      <w:proofErr w:type="spellStart"/>
      <w:r w:rsidRPr="00296606">
        <w:rPr>
          <w:sz w:val="24"/>
          <w:szCs w:val="24"/>
        </w:rPr>
        <w:t>aplastisk</w:t>
      </w:r>
      <w:proofErr w:type="spellEnd"/>
      <w:r w:rsidRPr="00296606">
        <w:rPr>
          <w:sz w:val="24"/>
          <w:szCs w:val="24"/>
        </w:rPr>
        <w:t xml:space="preserve"> anæmi tilskrives dens </w:t>
      </w:r>
      <w:proofErr w:type="spellStart"/>
      <w:r w:rsidRPr="00296606">
        <w:rPr>
          <w:sz w:val="24"/>
          <w:szCs w:val="24"/>
        </w:rPr>
        <w:t>immunosuppressive</w:t>
      </w:r>
      <w:proofErr w:type="spellEnd"/>
      <w:r w:rsidRPr="00296606">
        <w:rPr>
          <w:sz w:val="24"/>
          <w:szCs w:val="24"/>
        </w:rPr>
        <w:t xml:space="preserve"> virkning. Desuden stimulerer </w:t>
      </w:r>
      <w:proofErr w:type="spellStart"/>
      <w:r w:rsidRPr="00296606">
        <w:rPr>
          <w:sz w:val="24"/>
          <w:szCs w:val="24"/>
        </w:rPr>
        <w:t>Atgam</w:t>
      </w:r>
      <w:proofErr w:type="spellEnd"/>
      <w:r w:rsidRPr="00296606">
        <w:rPr>
          <w:sz w:val="24"/>
          <w:szCs w:val="24"/>
        </w:rPr>
        <w:t xml:space="preserve"> direkte væksten af </w:t>
      </w:r>
      <w:proofErr w:type="spellStart"/>
      <w:r w:rsidRPr="00296606">
        <w:rPr>
          <w:sz w:val="24"/>
          <w:szCs w:val="24"/>
        </w:rPr>
        <w:t>hæmatopoietiske</w:t>
      </w:r>
      <w:proofErr w:type="spellEnd"/>
      <w:r w:rsidRPr="00296606">
        <w:rPr>
          <w:sz w:val="24"/>
          <w:szCs w:val="24"/>
        </w:rPr>
        <w:t xml:space="preserve"> stamceller og frigivelse af </w:t>
      </w:r>
      <w:r w:rsidRPr="00296606">
        <w:rPr>
          <w:sz w:val="24"/>
          <w:szCs w:val="24"/>
          <w:lang w:eastAsia="en-GB"/>
        </w:rPr>
        <w:fldChar w:fldCharType="begin">
          <w:fldData xml:space="preserve">PEVuZE5vdGU+PENpdGU+PEF1dGhvcj5NYW5nYW48L0F1dGhvcj48WWVhcj4xOTg2PC9ZZWFyPjxS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</w:fldData>
        </w:fldChar>
      </w:r>
      <w:r w:rsidRPr="00296606">
        <w:rPr>
          <w:sz w:val="24"/>
          <w:szCs w:val="24"/>
          <w:lang w:eastAsia="en-GB"/>
        </w:rPr>
        <w:instrText xml:space="preserve"> ADDIN EN.CITE </w:instrText>
      </w:r>
      <w:r w:rsidRPr="00296606">
        <w:rPr>
          <w:sz w:val="24"/>
          <w:szCs w:val="24"/>
          <w:lang w:eastAsia="en-GB"/>
        </w:rPr>
        <w:fldChar w:fldCharType="begin">
          <w:fldData xml:space="preserve">PEVuZE5vdGU+PENpdGU+PEF1dGhvcj5NYW5nYW48L0F1dGhvcj48WWVhcj4xOTg2PC9ZZWFyPjxS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</w:fldData>
        </w:fldChar>
      </w:r>
      <w:r w:rsidRPr="00296606">
        <w:rPr>
          <w:sz w:val="24"/>
          <w:szCs w:val="24"/>
          <w:lang w:eastAsia="en-GB"/>
        </w:rPr>
        <w:instrText xml:space="preserve"> ADDIN EN.CITE.DATA </w:instrText>
      </w:r>
      <w:r w:rsidRPr="00296606">
        <w:rPr>
          <w:sz w:val="24"/>
          <w:szCs w:val="24"/>
          <w:lang w:eastAsia="en-GB"/>
        </w:rPr>
      </w:r>
      <w:r w:rsidRPr="00296606">
        <w:rPr>
          <w:sz w:val="24"/>
          <w:szCs w:val="24"/>
          <w:lang w:eastAsia="en-GB"/>
        </w:rPr>
        <w:fldChar w:fldCharType="end"/>
      </w:r>
      <w:r w:rsidRPr="00296606">
        <w:rPr>
          <w:sz w:val="24"/>
          <w:szCs w:val="24"/>
          <w:lang w:eastAsia="en-GB"/>
        </w:rPr>
      </w:r>
      <w:r w:rsidRPr="00296606">
        <w:rPr>
          <w:sz w:val="24"/>
          <w:szCs w:val="24"/>
          <w:lang w:eastAsia="en-GB"/>
        </w:rPr>
        <w:fldChar w:fldCharType="end"/>
      </w:r>
      <w:proofErr w:type="spellStart"/>
      <w:r w:rsidRPr="00296606">
        <w:rPr>
          <w:sz w:val="24"/>
          <w:szCs w:val="24"/>
        </w:rPr>
        <w:t>hæmatopoietiske</w:t>
      </w:r>
      <w:proofErr w:type="spellEnd"/>
      <w:r w:rsidRPr="00296606">
        <w:rPr>
          <w:sz w:val="24"/>
          <w:szCs w:val="24"/>
        </w:rPr>
        <w:t xml:space="preserve"> vækstfaktorer såsom interleukin-3 og granulocyt/makrofag koloni-stimulerende faktor.</w:t>
      </w:r>
    </w:p>
    <w:p w14:paraId="02303A41" w14:textId="77777777" w:rsidR="00032351" w:rsidRPr="00296606" w:rsidRDefault="00032351" w:rsidP="00296606">
      <w:pPr>
        <w:ind w:left="851"/>
        <w:rPr>
          <w:sz w:val="24"/>
          <w:szCs w:val="24"/>
        </w:rPr>
      </w:pPr>
    </w:p>
    <w:p w14:paraId="0F37905B" w14:textId="77777777" w:rsidR="00032351" w:rsidRPr="008326C5" w:rsidRDefault="00032351" w:rsidP="008326C5">
      <w:pPr>
        <w:ind w:left="851"/>
        <w:rPr>
          <w:sz w:val="24"/>
          <w:szCs w:val="24"/>
          <w:u w:val="single"/>
        </w:rPr>
      </w:pPr>
      <w:r w:rsidRPr="008326C5">
        <w:rPr>
          <w:sz w:val="24"/>
          <w:szCs w:val="24"/>
          <w:u w:val="single"/>
        </w:rPr>
        <w:t>Klinisk virkning og sikkerhed</w:t>
      </w:r>
    </w:p>
    <w:p w14:paraId="61A9A423" w14:textId="77777777" w:rsidR="00032351" w:rsidRPr="008326C5" w:rsidRDefault="00032351" w:rsidP="008326C5">
      <w:pPr>
        <w:ind w:left="851"/>
        <w:rPr>
          <w:sz w:val="24"/>
          <w:szCs w:val="24"/>
        </w:rPr>
      </w:pPr>
    </w:p>
    <w:p w14:paraId="440AC295" w14:textId="77777777" w:rsidR="00032351" w:rsidRPr="008326C5" w:rsidRDefault="00032351" w:rsidP="008326C5">
      <w:pPr>
        <w:ind w:left="851"/>
        <w:rPr>
          <w:sz w:val="24"/>
          <w:szCs w:val="24"/>
        </w:rPr>
      </w:pPr>
      <w:r w:rsidRPr="008326C5">
        <w:rPr>
          <w:sz w:val="24"/>
          <w:szCs w:val="24"/>
        </w:rPr>
        <w:t xml:space="preserve">Brugen af </w:t>
      </w:r>
      <w:proofErr w:type="spellStart"/>
      <w:r w:rsidRPr="008326C5">
        <w:rPr>
          <w:sz w:val="24"/>
          <w:szCs w:val="24"/>
        </w:rPr>
        <w:t>Atgam</w:t>
      </w:r>
      <w:proofErr w:type="spellEnd"/>
      <w:r w:rsidRPr="008326C5">
        <w:rPr>
          <w:sz w:val="24"/>
          <w:szCs w:val="24"/>
        </w:rPr>
        <w:t xml:space="preserve"> til behandling af moderat til svær </w:t>
      </w:r>
      <w:proofErr w:type="spellStart"/>
      <w:r w:rsidRPr="008326C5">
        <w:rPr>
          <w:sz w:val="24"/>
          <w:szCs w:val="24"/>
        </w:rPr>
        <w:t>aplastisk</w:t>
      </w:r>
      <w:proofErr w:type="spellEnd"/>
      <w:r w:rsidRPr="008326C5">
        <w:rPr>
          <w:sz w:val="24"/>
          <w:szCs w:val="24"/>
        </w:rPr>
        <w:t xml:space="preserve"> anæmi er baseret på fem kliniske studier og offentliggjorte rapporter.</w:t>
      </w:r>
    </w:p>
    <w:p w14:paraId="6BD7AF3C" w14:textId="77777777" w:rsidR="00032351" w:rsidRPr="00296606" w:rsidRDefault="00032351" w:rsidP="00296606">
      <w:pPr>
        <w:tabs>
          <w:tab w:val="left" w:pos="360"/>
        </w:tabs>
        <w:ind w:left="851"/>
        <w:rPr>
          <w:sz w:val="24"/>
          <w:szCs w:val="24"/>
        </w:rPr>
      </w:pPr>
    </w:p>
    <w:p w14:paraId="4C6A7A38" w14:textId="77777777" w:rsidR="00032351" w:rsidRPr="00296606" w:rsidRDefault="00032351" w:rsidP="00296606">
      <w:pPr>
        <w:tabs>
          <w:tab w:val="left" w:pos="1304"/>
        </w:tabs>
        <w:ind w:left="851"/>
        <w:rPr>
          <w:sz w:val="24"/>
          <w:szCs w:val="24"/>
        </w:rPr>
      </w:pPr>
      <w:proofErr w:type="spellStart"/>
      <w:r w:rsidRPr="00296606">
        <w:rPr>
          <w:sz w:val="24"/>
          <w:szCs w:val="24"/>
        </w:rPr>
        <w:t>Atgam</w:t>
      </w:r>
      <w:proofErr w:type="spellEnd"/>
      <w:r w:rsidRPr="00296606">
        <w:rPr>
          <w:sz w:val="24"/>
          <w:szCs w:val="24"/>
        </w:rPr>
        <w:t xml:space="preserve"> blev undersøgt i 5 kliniske studier, der omfattede i alt 332 patienter med </w:t>
      </w:r>
      <w:proofErr w:type="spellStart"/>
      <w:r w:rsidRPr="00296606">
        <w:rPr>
          <w:sz w:val="24"/>
          <w:szCs w:val="24"/>
        </w:rPr>
        <w:t>aplastisk</w:t>
      </w:r>
      <w:proofErr w:type="spellEnd"/>
      <w:r w:rsidRPr="00296606">
        <w:rPr>
          <w:sz w:val="24"/>
          <w:szCs w:val="24"/>
        </w:rPr>
        <w:t xml:space="preserve"> anæmi, der kunne evalueres for virkningseffekt, herunder patienter med </w:t>
      </w:r>
      <w:proofErr w:type="spellStart"/>
      <w:r w:rsidRPr="00296606">
        <w:rPr>
          <w:sz w:val="24"/>
          <w:szCs w:val="24"/>
        </w:rPr>
        <w:t>aplastisk</w:t>
      </w:r>
      <w:proofErr w:type="spellEnd"/>
      <w:r w:rsidRPr="00296606">
        <w:rPr>
          <w:sz w:val="24"/>
          <w:szCs w:val="24"/>
        </w:rPr>
        <w:t xml:space="preserve"> anæmi af idiopatisk eller formodet immunologisk ætiologi, sekundær ætiologi herunder post-hepatitis, graviditet, </w:t>
      </w:r>
      <w:proofErr w:type="spellStart"/>
      <w:r w:rsidRPr="00296606">
        <w:rPr>
          <w:sz w:val="24"/>
          <w:szCs w:val="24"/>
        </w:rPr>
        <w:t>paroxymal</w:t>
      </w:r>
      <w:proofErr w:type="spellEnd"/>
      <w:r w:rsidRPr="00296606">
        <w:rPr>
          <w:sz w:val="24"/>
          <w:szCs w:val="24"/>
        </w:rPr>
        <w:t xml:space="preserve"> </w:t>
      </w:r>
      <w:proofErr w:type="spellStart"/>
      <w:r w:rsidRPr="00296606">
        <w:rPr>
          <w:sz w:val="24"/>
          <w:szCs w:val="24"/>
        </w:rPr>
        <w:t>nokturnal</w:t>
      </w:r>
      <w:proofErr w:type="spellEnd"/>
      <w:r w:rsidRPr="00296606">
        <w:rPr>
          <w:sz w:val="24"/>
          <w:szCs w:val="24"/>
        </w:rPr>
        <w:t xml:space="preserve"> </w:t>
      </w:r>
      <w:proofErr w:type="spellStart"/>
      <w:r w:rsidRPr="00296606">
        <w:rPr>
          <w:sz w:val="24"/>
          <w:szCs w:val="24"/>
        </w:rPr>
        <w:t>hæmoglobinuria</w:t>
      </w:r>
      <w:proofErr w:type="spellEnd"/>
      <w:r w:rsidRPr="00296606">
        <w:rPr>
          <w:sz w:val="24"/>
          <w:szCs w:val="24"/>
        </w:rPr>
        <w:t xml:space="preserve"> (PNH) og andre årsager. Af disse blev 252 patienter behandlet med </w:t>
      </w:r>
      <w:proofErr w:type="spellStart"/>
      <w:r w:rsidRPr="00296606">
        <w:rPr>
          <w:sz w:val="24"/>
          <w:szCs w:val="24"/>
        </w:rPr>
        <w:t>Atgam</w:t>
      </w:r>
      <w:proofErr w:type="spellEnd"/>
      <w:r w:rsidRPr="00296606">
        <w:rPr>
          <w:sz w:val="24"/>
          <w:szCs w:val="24"/>
        </w:rPr>
        <w:t xml:space="preserve"> 160 mg/kg i lige store doser over 4, 8 eller 10 dage. 115 patienter (46 %) fik </w:t>
      </w:r>
      <w:proofErr w:type="spellStart"/>
      <w:r w:rsidRPr="00296606">
        <w:rPr>
          <w:sz w:val="24"/>
          <w:szCs w:val="24"/>
        </w:rPr>
        <w:t>Atgam</w:t>
      </w:r>
      <w:proofErr w:type="spellEnd"/>
      <w:r w:rsidRPr="00296606">
        <w:rPr>
          <w:sz w:val="24"/>
          <w:szCs w:val="24"/>
        </w:rPr>
        <w:t xml:space="preserve"> som det eneste </w:t>
      </w:r>
      <w:proofErr w:type="spellStart"/>
      <w:r w:rsidRPr="00296606">
        <w:rPr>
          <w:sz w:val="24"/>
          <w:szCs w:val="24"/>
        </w:rPr>
        <w:t>immunosupprimerende</w:t>
      </w:r>
      <w:proofErr w:type="spellEnd"/>
      <w:r w:rsidRPr="00296606">
        <w:rPr>
          <w:sz w:val="24"/>
          <w:szCs w:val="24"/>
        </w:rPr>
        <w:t xml:space="preserve"> lægemiddel mens </w:t>
      </w:r>
      <w:proofErr w:type="spellStart"/>
      <w:r w:rsidRPr="00296606">
        <w:rPr>
          <w:sz w:val="24"/>
          <w:szCs w:val="24"/>
        </w:rPr>
        <w:t>ciclosporin</w:t>
      </w:r>
      <w:proofErr w:type="spellEnd"/>
      <w:r w:rsidRPr="00296606">
        <w:rPr>
          <w:sz w:val="24"/>
          <w:szCs w:val="24"/>
        </w:rPr>
        <w:t xml:space="preserve"> A blev administreret samtidig til 137 patienter (54 %).</w:t>
      </w:r>
    </w:p>
    <w:p w14:paraId="2BDFA610" w14:textId="77777777" w:rsidR="00032351" w:rsidRPr="00296606" w:rsidRDefault="00032351" w:rsidP="00296606">
      <w:pPr>
        <w:tabs>
          <w:tab w:val="left" w:pos="1304"/>
        </w:tabs>
        <w:ind w:left="851"/>
        <w:rPr>
          <w:sz w:val="24"/>
          <w:szCs w:val="24"/>
        </w:rPr>
      </w:pPr>
    </w:p>
    <w:p w14:paraId="3DF286FC" w14:textId="77777777" w:rsidR="00032351" w:rsidRPr="00296606" w:rsidRDefault="00032351" w:rsidP="00296606">
      <w:pPr>
        <w:tabs>
          <w:tab w:val="left" w:pos="1304"/>
        </w:tabs>
        <w:ind w:left="851"/>
        <w:rPr>
          <w:sz w:val="24"/>
          <w:szCs w:val="24"/>
        </w:rPr>
      </w:pPr>
      <w:r w:rsidRPr="00296606">
        <w:rPr>
          <w:sz w:val="24"/>
          <w:szCs w:val="24"/>
        </w:rPr>
        <w:t xml:space="preserve">Responsraten i de individuelle studier varierede fra 39 % til 68 %, hvor de højere rater blev set i de seneste studier som inkluderede </w:t>
      </w:r>
      <w:proofErr w:type="spellStart"/>
      <w:r w:rsidRPr="00296606">
        <w:rPr>
          <w:sz w:val="24"/>
          <w:szCs w:val="24"/>
        </w:rPr>
        <w:t>ciclosporin</w:t>
      </w:r>
      <w:proofErr w:type="spellEnd"/>
      <w:r w:rsidRPr="00296606">
        <w:rPr>
          <w:sz w:val="24"/>
          <w:szCs w:val="24"/>
        </w:rPr>
        <w:t xml:space="preserve"> A (se tabel 3). </w:t>
      </w:r>
      <w:proofErr w:type="spellStart"/>
      <w:r w:rsidRPr="00296606">
        <w:rPr>
          <w:sz w:val="24"/>
          <w:szCs w:val="24"/>
        </w:rPr>
        <w:t>Atgam</w:t>
      </w:r>
      <w:proofErr w:type="spellEnd"/>
      <w:r w:rsidRPr="00296606">
        <w:rPr>
          <w:sz w:val="24"/>
          <w:szCs w:val="24"/>
        </w:rPr>
        <w:t xml:space="preserve"> har ført til tilfælde af delvis eller fuldstændig hæmatologisk helbredelse og forbedret overlevelse hos patienter med </w:t>
      </w:r>
      <w:proofErr w:type="spellStart"/>
      <w:r w:rsidRPr="00296606">
        <w:rPr>
          <w:sz w:val="24"/>
          <w:szCs w:val="24"/>
        </w:rPr>
        <w:t>aplastisk</w:t>
      </w:r>
      <w:proofErr w:type="spellEnd"/>
      <w:r w:rsidRPr="00296606">
        <w:rPr>
          <w:sz w:val="24"/>
          <w:szCs w:val="24"/>
        </w:rPr>
        <w:t xml:space="preserve"> anæmi af kendt eller formodet immunologisk ætiologi, som er uegnede til knoglemarvstransplantation. </w:t>
      </w:r>
    </w:p>
    <w:p w14:paraId="1C313CDA" w14:textId="77777777" w:rsidR="00032351" w:rsidRPr="00296606" w:rsidRDefault="00032351" w:rsidP="00296606">
      <w:pPr>
        <w:pStyle w:val="Paragraph"/>
        <w:spacing w:after="0"/>
        <w:ind w:left="851"/>
        <w:rPr>
          <w:color w:val="000000"/>
          <w:lang w:val="da-DK"/>
        </w:rPr>
      </w:pPr>
    </w:p>
    <w:p w14:paraId="27F83FBA" w14:textId="77777777" w:rsidR="00032351" w:rsidRPr="00296606" w:rsidRDefault="00032351" w:rsidP="00296606">
      <w:pPr>
        <w:widowControl w:val="0"/>
        <w:tabs>
          <w:tab w:val="left" w:pos="360"/>
        </w:tabs>
        <w:ind w:left="851"/>
        <w:outlineLvl w:val="0"/>
        <w:rPr>
          <w:sz w:val="24"/>
          <w:szCs w:val="24"/>
          <w:u w:val="single"/>
        </w:rPr>
      </w:pPr>
      <w:r w:rsidRPr="00296606">
        <w:rPr>
          <w:sz w:val="24"/>
          <w:szCs w:val="24"/>
          <w:u w:val="single"/>
        </w:rPr>
        <w:t>160 mg/kg (total dosis) administreret over 8 eller 10 dage</w:t>
      </w:r>
    </w:p>
    <w:p w14:paraId="79B195D0" w14:textId="77777777" w:rsidR="00032351" w:rsidRPr="00296606" w:rsidRDefault="00032351" w:rsidP="00296606">
      <w:pPr>
        <w:widowControl w:val="0"/>
        <w:tabs>
          <w:tab w:val="left" w:pos="360"/>
        </w:tabs>
        <w:ind w:left="851"/>
        <w:outlineLvl w:val="0"/>
        <w:rPr>
          <w:sz w:val="24"/>
          <w:szCs w:val="24"/>
        </w:rPr>
      </w:pPr>
    </w:p>
    <w:p w14:paraId="2CCD4533" w14:textId="77777777" w:rsidR="00032351" w:rsidRPr="00296606" w:rsidRDefault="00032351" w:rsidP="00296606">
      <w:pPr>
        <w:widowControl w:val="0"/>
        <w:tabs>
          <w:tab w:val="left" w:pos="360"/>
        </w:tabs>
        <w:ind w:left="851"/>
        <w:outlineLvl w:val="0"/>
        <w:rPr>
          <w:i/>
          <w:sz w:val="24"/>
          <w:szCs w:val="24"/>
        </w:rPr>
      </w:pPr>
      <w:r w:rsidRPr="00296606">
        <w:rPr>
          <w:i/>
          <w:sz w:val="24"/>
          <w:szCs w:val="24"/>
        </w:rPr>
        <w:t>Studie 3-197, Studie 3-198, Studie 5000</w:t>
      </w:r>
    </w:p>
    <w:p w14:paraId="59E47A16" w14:textId="77777777" w:rsidR="00032351" w:rsidRPr="00296606" w:rsidRDefault="00032351" w:rsidP="00296606">
      <w:pPr>
        <w:widowControl w:val="0"/>
        <w:tabs>
          <w:tab w:val="left" w:pos="1304"/>
        </w:tabs>
        <w:ind w:left="851"/>
        <w:rPr>
          <w:sz w:val="24"/>
          <w:szCs w:val="24"/>
        </w:rPr>
      </w:pPr>
      <w:r w:rsidRPr="00296606">
        <w:rPr>
          <w:sz w:val="24"/>
          <w:szCs w:val="24"/>
        </w:rPr>
        <w:t xml:space="preserve">I tre kontrollerede kliniske studier, der blev udført i 1980’erne, fik 115 </w:t>
      </w:r>
      <w:proofErr w:type="spellStart"/>
      <w:r w:rsidRPr="00296606">
        <w:rPr>
          <w:sz w:val="24"/>
          <w:szCs w:val="24"/>
        </w:rPr>
        <w:t>evaluerbare</w:t>
      </w:r>
      <w:proofErr w:type="spellEnd"/>
      <w:r w:rsidRPr="00296606">
        <w:rPr>
          <w:sz w:val="24"/>
          <w:szCs w:val="24"/>
        </w:rPr>
        <w:t xml:space="preserve"> patienter, der ikke var kandidater til knoglemarvstransplantation, med moderat (Studie 3-197 og Studie-5000) til alvorlig (alle 3 studier) </w:t>
      </w:r>
      <w:proofErr w:type="spellStart"/>
      <w:r w:rsidRPr="00296606">
        <w:rPr>
          <w:sz w:val="24"/>
          <w:szCs w:val="24"/>
        </w:rPr>
        <w:t>aplastisk</w:t>
      </w:r>
      <w:proofErr w:type="spellEnd"/>
      <w:r w:rsidRPr="00296606">
        <w:rPr>
          <w:sz w:val="24"/>
          <w:szCs w:val="24"/>
        </w:rPr>
        <w:t xml:space="preserve"> anæmi, administreret </w:t>
      </w:r>
      <w:proofErr w:type="spellStart"/>
      <w:r w:rsidRPr="00296606">
        <w:rPr>
          <w:sz w:val="24"/>
          <w:szCs w:val="24"/>
        </w:rPr>
        <w:t>ekvinATG</w:t>
      </w:r>
      <w:proofErr w:type="spellEnd"/>
      <w:r w:rsidRPr="00296606">
        <w:rPr>
          <w:sz w:val="24"/>
          <w:szCs w:val="24"/>
        </w:rPr>
        <w:t xml:space="preserve"> 160 mg/kg over 8 eller 10 dage. Patienternes alder spændte fra 1 år til 76 år. Hæmatologisk responsrate for </w:t>
      </w:r>
      <w:proofErr w:type="spellStart"/>
      <w:r w:rsidRPr="00296606">
        <w:rPr>
          <w:sz w:val="24"/>
          <w:szCs w:val="24"/>
        </w:rPr>
        <w:t>ekvinATG</w:t>
      </w:r>
      <w:proofErr w:type="spellEnd"/>
      <w:r w:rsidRPr="00296606">
        <w:rPr>
          <w:sz w:val="24"/>
          <w:szCs w:val="24"/>
        </w:rPr>
        <w:t>-behandlede patienter lå mellem 39 % og 52 % i disse 3 studier og overlevelsesrater var 50 % eller derover. Se tabel 3 for flere oplysninger.</w:t>
      </w:r>
    </w:p>
    <w:p w14:paraId="2D2C7F8D" w14:textId="77777777" w:rsidR="00032351" w:rsidRPr="00296606" w:rsidRDefault="00032351" w:rsidP="00296606">
      <w:pPr>
        <w:tabs>
          <w:tab w:val="left" w:pos="360"/>
        </w:tabs>
        <w:ind w:left="851"/>
        <w:outlineLvl w:val="0"/>
        <w:rPr>
          <w:b/>
          <w:sz w:val="24"/>
          <w:szCs w:val="24"/>
          <w:u w:val="single"/>
        </w:rPr>
      </w:pPr>
    </w:p>
    <w:p w14:paraId="1F260ABC" w14:textId="77777777" w:rsidR="00032351" w:rsidRPr="00296606" w:rsidRDefault="00032351" w:rsidP="00296606">
      <w:pPr>
        <w:widowControl w:val="0"/>
        <w:tabs>
          <w:tab w:val="left" w:pos="360"/>
        </w:tabs>
        <w:ind w:left="851"/>
        <w:outlineLvl w:val="0"/>
        <w:rPr>
          <w:sz w:val="24"/>
          <w:szCs w:val="24"/>
          <w:u w:val="single"/>
        </w:rPr>
      </w:pPr>
      <w:r w:rsidRPr="00296606">
        <w:rPr>
          <w:sz w:val="24"/>
          <w:szCs w:val="24"/>
          <w:u w:val="single"/>
        </w:rPr>
        <w:t>160 mg/kg (totaldosis) administreret over 4 dage</w:t>
      </w:r>
    </w:p>
    <w:p w14:paraId="11767EDB" w14:textId="77777777" w:rsidR="00032351" w:rsidRPr="00296606" w:rsidRDefault="00032351" w:rsidP="00296606">
      <w:pPr>
        <w:widowControl w:val="0"/>
        <w:tabs>
          <w:tab w:val="left" w:pos="360"/>
        </w:tabs>
        <w:ind w:left="851"/>
        <w:outlineLvl w:val="0"/>
        <w:rPr>
          <w:sz w:val="24"/>
          <w:szCs w:val="24"/>
          <w:u w:val="single"/>
        </w:rPr>
      </w:pPr>
    </w:p>
    <w:p w14:paraId="09ED3FA6" w14:textId="77777777" w:rsidR="00032351" w:rsidRPr="008326C5" w:rsidRDefault="00032351" w:rsidP="008326C5">
      <w:pPr>
        <w:ind w:left="851"/>
        <w:rPr>
          <w:i/>
          <w:sz w:val="24"/>
          <w:szCs w:val="24"/>
        </w:rPr>
      </w:pPr>
      <w:r w:rsidRPr="008326C5">
        <w:rPr>
          <w:i/>
          <w:sz w:val="24"/>
          <w:szCs w:val="24"/>
        </w:rPr>
        <w:t>(</w:t>
      </w:r>
      <w:proofErr w:type="spellStart"/>
      <w:r w:rsidRPr="008326C5">
        <w:rPr>
          <w:i/>
          <w:sz w:val="24"/>
          <w:szCs w:val="24"/>
        </w:rPr>
        <w:t>Scheinberg</w:t>
      </w:r>
      <w:proofErr w:type="spellEnd"/>
      <w:r w:rsidRPr="008326C5">
        <w:rPr>
          <w:i/>
          <w:sz w:val="24"/>
          <w:szCs w:val="24"/>
        </w:rPr>
        <w:t xml:space="preserve"> 2009)</w:t>
      </w:r>
    </w:p>
    <w:p w14:paraId="6DAF7D99" w14:textId="77777777" w:rsidR="00032351" w:rsidRPr="00296606" w:rsidRDefault="00032351" w:rsidP="00296606">
      <w:pPr>
        <w:tabs>
          <w:tab w:val="left" w:pos="1304"/>
        </w:tabs>
        <w:ind w:left="851"/>
        <w:rPr>
          <w:sz w:val="24"/>
          <w:szCs w:val="24"/>
        </w:rPr>
      </w:pPr>
      <w:r w:rsidRPr="00296606">
        <w:rPr>
          <w:sz w:val="24"/>
          <w:szCs w:val="24"/>
        </w:rPr>
        <w:t xml:space="preserve">I alt 77 patienter i alderen 4 til 78 år med svær </w:t>
      </w:r>
      <w:proofErr w:type="spellStart"/>
      <w:r w:rsidRPr="00296606">
        <w:rPr>
          <w:sz w:val="24"/>
          <w:szCs w:val="24"/>
        </w:rPr>
        <w:t>aplastisk</w:t>
      </w:r>
      <w:proofErr w:type="spellEnd"/>
      <w:r w:rsidRPr="00296606">
        <w:rPr>
          <w:sz w:val="24"/>
          <w:szCs w:val="24"/>
        </w:rPr>
        <w:t xml:space="preserve"> anæmi deltog i et </w:t>
      </w:r>
      <w:proofErr w:type="spellStart"/>
      <w:r w:rsidRPr="00296606">
        <w:rPr>
          <w:sz w:val="24"/>
          <w:szCs w:val="24"/>
        </w:rPr>
        <w:t>prospektivt</w:t>
      </w:r>
      <w:proofErr w:type="spellEnd"/>
      <w:r w:rsidRPr="00296606">
        <w:rPr>
          <w:sz w:val="24"/>
          <w:szCs w:val="24"/>
        </w:rPr>
        <w:t xml:space="preserve">, randomiseret studie, der sammenlignede </w:t>
      </w:r>
      <w:proofErr w:type="spellStart"/>
      <w:r w:rsidRPr="00296606">
        <w:rPr>
          <w:sz w:val="24"/>
          <w:szCs w:val="24"/>
        </w:rPr>
        <w:t>ekvinATG</w:t>
      </w:r>
      <w:proofErr w:type="spellEnd"/>
      <w:r w:rsidRPr="00296606">
        <w:rPr>
          <w:sz w:val="24"/>
          <w:szCs w:val="24"/>
        </w:rPr>
        <w:t>/</w:t>
      </w:r>
      <w:proofErr w:type="spellStart"/>
      <w:r w:rsidRPr="00296606">
        <w:rPr>
          <w:sz w:val="24"/>
          <w:szCs w:val="24"/>
        </w:rPr>
        <w:t>ciclosporin</w:t>
      </w:r>
      <w:proofErr w:type="spellEnd"/>
      <w:r w:rsidRPr="00296606">
        <w:rPr>
          <w:sz w:val="24"/>
          <w:szCs w:val="24"/>
        </w:rPr>
        <w:t xml:space="preserve"> (</w:t>
      </w:r>
      <w:proofErr w:type="spellStart"/>
      <w:r w:rsidRPr="00296606">
        <w:rPr>
          <w:sz w:val="24"/>
          <w:szCs w:val="24"/>
        </w:rPr>
        <w:t>CsA</w:t>
      </w:r>
      <w:proofErr w:type="spellEnd"/>
      <w:r w:rsidRPr="00296606">
        <w:rPr>
          <w:sz w:val="24"/>
          <w:szCs w:val="24"/>
        </w:rPr>
        <w:t>)/</w:t>
      </w:r>
      <w:proofErr w:type="spellStart"/>
      <w:r w:rsidRPr="00296606">
        <w:rPr>
          <w:sz w:val="24"/>
          <w:szCs w:val="24"/>
        </w:rPr>
        <w:t>sirolimus</w:t>
      </w:r>
      <w:proofErr w:type="spellEnd"/>
      <w:r w:rsidRPr="00296606">
        <w:rPr>
          <w:sz w:val="24"/>
          <w:szCs w:val="24"/>
        </w:rPr>
        <w:t xml:space="preserve"> med </w:t>
      </w:r>
      <w:proofErr w:type="spellStart"/>
      <w:r w:rsidRPr="00296606">
        <w:rPr>
          <w:sz w:val="24"/>
          <w:szCs w:val="24"/>
        </w:rPr>
        <w:t>immunosuppressiv</w:t>
      </w:r>
      <w:proofErr w:type="spellEnd"/>
      <w:r w:rsidRPr="00296606">
        <w:rPr>
          <w:sz w:val="24"/>
          <w:szCs w:val="24"/>
        </w:rPr>
        <w:t xml:space="preserve">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 xml:space="preserve">-standardbehandling. 35 patienter fik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w:t>
      </w:r>
      <w:proofErr w:type="spellStart"/>
      <w:r w:rsidRPr="00296606">
        <w:rPr>
          <w:sz w:val="24"/>
          <w:szCs w:val="24"/>
        </w:rPr>
        <w:t>sirolimus</w:t>
      </w:r>
      <w:proofErr w:type="spellEnd"/>
      <w:r w:rsidRPr="00296606">
        <w:rPr>
          <w:sz w:val="24"/>
          <w:szCs w:val="24"/>
        </w:rPr>
        <w:t>, og 42 patienter fik standard-</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 xml:space="preserve">. Intravenøst </w:t>
      </w:r>
      <w:proofErr w:type="spellStart"/>
      <w:r w:rsidRPr="00296606">
        <w:rPr>
          <w:sz w:val="24"/>
          <w:szCs w:val="24"/>
        </w:rPr>
        <w:t>ekvinATG</w:t>
      </w:r>
      <w:proofErr w:type="spellEnd"/>
      <w:r w:rsidRPr="00296606">
        <w:rPr>
          <w:sz w:val="24"/>
          <w:szCs w:val="24"/>
        </w:rPr>
        <w:t xml:space="preserve"> blev administreret med en dosis på 40 mg/kg/dag i 4 dage og </w:t>
      </w:r>
      <w:proofErr w:type="spellStart"/>
      <w:r w:rsidRPr="00296606">
        <w:rPr>
          <w:sz w:val="24"/>
          <w:szCs w:val="24"/>
        </w:rPr>
        <w:t>CsA</w:t>
      </w:r>
      <w:proofErr w:type="spellEnd"/>
      <w:r w:rsidRPr="00296606">
        <w:rPr>
          <w:sz w:val="24"/>
          <w:szCs w:val="24"/>
        </w:rPr>
        <w:t xml:space="preserve"> dosis var 10 mg/kg/dag (15 mg/kg/dag for børn under 12 år) i 6 måneder. Ud fra </w:t>
      </w:r>
      <w:proofErr w:type="spellStart"/>
      <w:r w:rsidRPr="00296606">
        <w:rPr>
          <w:sz w:val="24"/>
          <w:szCs w:val="24"/>
        </w:rPr>
        <w:t>randomisering</w:t>
      </w:r>
      <w:proofErr w:type="spellEnd"/>
      <w:r w:rsidRPr="00296606">
        <w:rPr>
          <w:sz w:val="24"/>
          <w:szCs w:val="24"/>
        </w:rPr>
        <w:t xml:space="preserve"> blev der givet oral </w:t>
      </w:r>
      <w:proofErr w:type="spellStart"/>
      <w:r w:rsidRPr="00296606">
        <w:rPr>
          <w:sz w:val="24"/>
          <w:szCs w:val="24"/>
        </w:rPr>
        <w:t>sirolimus</w:t>
      </w:r>
      <w:proofErr w:type="spellEnd"/>
      <w:r w:rsidRPr="00296606">
        <w:rPr>
          <w:sz w:val="24"/>
          <w:szCs w:val="24"/>
        </w:rPr>
        <w:t xml:space="preserve"> 2 mg/dag til voksne og 1 mg/m</w:t>
      </w:r>
      <w:r w:rsidRPr="00296606">
        <w:rPr>
          <w:sz w:val="24"/>
          <w:szCs w:val="24"/>
          <w:vertAlign w:val="superscript"/>
        </w:rPr>
        <w:t>2</w:t>
      </w:r>
      <w:r w:rsidRPr="00296606">
        <w:rPr>
          <w:sz w:val="24"/>
          <w:szCs w:val="24"/>
        </w:rPr>
        <w:t xml:space="preserve">/dag til børn (&lt;40 kg) i 6 måneder. Studiets primære endepunkt var en hæmatologisk responsrate efter 3 måneder, hvor kriterierne for svær </w:t>
      </w:r>
      <w:proofErr w:type="spellStart"/>
      <w:r w:rsidRPr="00296606">
        <w:rPr>
          <w:sz w:val="24"/>
          <w:szCs w:val="24"/>
        </w:rPr>
        <w:t>aplastisk</w:t>
      </w:r>
      <w:proofErr w:type="spellEnd"/>
      <w:r w:rsidRPr="00296606">
        <w:rPr>
          <w:sz w:val="24"/>
          <w:szCs w:val="24"/>
        </w:rPr>
        <w:t xml:space="preserve"> anæmi ikke længere var opfyldt. </w:t>
      </w:r>
    </w:p>
    <w:p w14:paraId="00723C90" w14:textId="77777777" w:rsidR="00032351" w:rsidRPr="00296606" w:rsidRDefault="00032351" w:rsidP="00296606">
      <w:pPr>
        <w:autoSpaceDE w:val="0"/>
        <w:autoSpaceDN w:val="0"/>
        <w:adjustRightInd w:val="0"/>
        <w:ind w:left="851"/>
        <w:rPr>
          <w:sz w:val="24"/>
          <w:szCs w:val="24"/>
        </w:rPr>
      </w:pPr>
    </w:p>
    <w:p w14:paraId="398A1C08" w14:textId="77777777" w:rsidR="00032351" w:rsidRPr="00296606" w:rsidRDefault="00032351" w:rsidP="00296606">
      <w:pPr>
        <w:tabs>
          <w:tab w:val="left" w:pos="1304"/>
        </w:tabs>
        <w:ind w:left="851"/>
        <w:rPr>
          <w:sz w:val="24"/>
          <w:szCs w:val="24"/>
        </w:rPr>
      </w:pPr>
      <w:r w:rsidRPr="00296606">
        <w:rPr>
          <w:sz w:val="24"/>
          <w:szCs w:val="24"/>
        </w:rPr>
        <w:t xml:space="preserve">Efter en planlagt foreløbig analyse af 30 </w:t>
      </w:r>
      <w:proofErr w:type="spellStart"/>
      <w:r w:rsidRPr="00296606">
        <w:rPr>
          <w:sz w:val="24"/>
          <w:szCs w:val="24"/>
        </w:rPr>
        <w:t>evaluerbare</w:t>
      </w:r>
      <w:proofErr w:type="spellEnd"/>
      <w:r w:rsidRPr="00296606">
        <w:rPr>
          <w:sz w:val="24"/>
          <w:szCs w:val="24"/>
        </w:rPr>
        <w:t xml:space="preserve"> patienter i hver arm blev tilgang til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w:t>
      </w:r>
      <w:proofErr w:type="spellStart"/>
      <w:r w:rsidRPr="00296606">
        <w:rPr>
          <w:sz w:val="24"/>
          <w:szCs w:val="24"/>
        </w:rPr>
        <w:t>sirolimus</w:t>
      </w:r>
      <w:proofErr w:type="spellEnd"/>
      <w:r w:rsidRPr="00296606">
        <w:rPr>
          <w:sz w:val="24"/>
          <w:szCs w:val="24"/>
        </w:rPr>
        <w:t xml:space="preserve">-armen lukket, da den betingede sandsynlighed for afvisning af nulhypotesen var mindre end 1 %. Den samlede responsrate efter 3 måneder var 37 % for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w:t>
      </w:r>
      <w:proofErr w:type="spellStart"/>
      <w:r w:rsidRPr="00296606">
        <w:rPr>
          <w:sz w:val="24"/>
          <w:szCs w:val="24"/>
        </w:rPr>
        <w:t>sirolimus</w:t>
      </w:r>
      <w:proofErr w:type="spellEnd"/>
      <w:r w:rsidRPr="00296606">
        <w:rPr>
          <w:sz w:val="24"/>
          <w:szCs w:val="24"/>
        </w:rPr>
        <w:t xml:space="preserve"> og 57 % for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 xml:space="preserve">, og efter 6 måneder var den 51 % for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w:t>
      </w:r>
      <w:proofErr w:type="spellStart"/>
      <w:r w:rsidRPr="00296606">
        <w:rPr>
          <w:sz w:val="24"/>
          <w:szCs w:val="24"/>
        </w:rPr>
        <w:t>sirolimus</w:t>
      </w:r>
      <w:proofErr w:type="spellEnd"/>
      <w:r w:rsidRPr="00296606">
        <w:rPr>
          <w:sz w:val="24"/>
          <w:szCs w:val="24"/>
        </w:rPr>
        <w:t xml:space="preserve"> og 62 % for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 xml:space="preserve">. Den samlede overlevelse efter 3 år for patienter i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w:t>
      </w:r>
      <w:proofErr w:type="spellStart"/>
      <w:r w:rsidRPr="00296606">
        <w:rPr>
          <w:sz w:val="24"/>
          <w:szCs w:val="24"/>
        </w:rPr>
        <w:t>sirolimus</w:t>
      </w:r>
      <w:proofErr w:type="spellEnd"/>
      <w:r w:rsidRPr="00296606">
        <w:rPr>
          <w:sz w:val="24"/>
          <w:szCs w:val="24"/>
        </w:rPr>
        <w:t xml:space="preserve">-armen var 97 %, og den var 90 % i </w:t>
      </w:r>
      <w:proofErr w:type="spellStart"/>
      <w:r w:rsidRPr="00296606">
        <w:rPr>
          <w:sz w:val="24"/>
          <w:szCs w:val="24"/>
        </w:rPr>
        <w:t>ekvinATG</w:t>
      </w:r>
      <w:proofErr w:type="spellEnd"/>
      <w:r w:rsidRPr="00296606">
        <w:rPr>
          <w:sz w:val="24"/>
          <w:szCs w:val="24"/>
        </w:rPr>
        <w:t>/</w:t>
      </w:r>
      <w:proofErr w:type="spellStart"/>
      <w:r w:rsidRPr="00296606">
        <w:rPr>
          <w:sz w:val="24"/>
          <w:szCs w:val="24"/>
        </w:rPr>
        <w:t>CsA</w:t>
      </w:r>
      <w:proofErr w:type="spellEnd"/>
      <w:r w:rsidRPr="00296606">
        <w:rPr>
          <w:sz w:val="24"/>
          <w:szCs w:val="24"/>
        </w:rPr>
        <w:t xml:space="preserve">-armen. Se tabel 3 for flere oplysninger. </w:t>
      </w:r>
    </w:p>
    <w:p w14:paraId="02622FD6" w14:textId="77777777" w:rsidR="00032351" w:rsidRPr="00296606" w:rsidRDefault="00032351" w:rsidP="00296606">
      <w:pPr>
        <w:autoSpaceDE w:val="0"/>
        <w:autoSpaceDN w:val="0"/>
        <w:ind w:left="851"/>
        <w:rPr>
          <w:sz w:val="24"/>
          <w:szCs w:val="24"/>
        </w:rPr>
      </w:pPr>
    </w:p>
    <w:p w14:paraId="0BD1C3EA" w14:textId="77777777" w:rsidR="00032351" w:rsidRPr="00296606" w:rsidRDefault="00032351" w:rsidP="00296606">
      <w:pPr>
        <w:autoSpaceDE w:val="0"/>
        <w:autoSpaceDN w:val="0"/>
        <w:ind w:left="851"/>
        <w:rPr>
          <w:i/>
          <w:sz w:val="24"/>
          <w:szCs w:val="24"/>
        </w:rPr>
      </w:pPr>
      <w:r w:rsidRPr="00296606">
        <w:rPr>
          <w:i/>
          <w:sz w:val="24"/>
          <w:szCs w:val="24"/>
        </w:rPr>
        <w:t>(</w:t>
      </w:r>
      <w:proofErr w:type="spellStart"/>
      <w:r w:rsidRPr="00296606">
        <w:rPr>
          <w:i/>
          <w:sz w:val="24"/>
          <w:szCs w:val="24"/>
        </w:rPr>
        <w:t>Scheinberg</w:t>
      </w:r>
      <w:proofErr w:type="spellEnd"/>
      <w:r w:rsidRPr="00296606">
        <w:rPr>
          <w:i/>
          <w:sz w:val="24"/>
          <w:szCs w:val="24"/>
        </w:rPr>
        <w:t> 2011)</w:t>
      </w:r>
    </w:p>
    <w:p w14:paraId="0955B112" w14:textId="77777777" w:rsidR="00032351" w:rsidRPr="00296606" w:rsidRDefault="00032351" w:rsidP="00296606">
      <w:pPr>
        <w:pStyle w:val="Kommentartekst"/>
        <w:tabs>
          <w:tab w:val="left" w:pos="1304"/>
        </w:tabs>
        <w:ind w:left="851"/>
        <w:rPr>
          <w:color w:val="000000"/>
          <w:spacing w:val="-1"/>
          <w:sz w:val="24"/>
          <w:szCs w:val="24"/>
        </w:rPr>
      </w:pPr>
      <w:r w:rsidRPr="00296606">
        <w:rPr>
          <w:sz w:val="24"/>
          <w:szCs w:val="24"/>
        </w:rPr>
        <w:t xml:space="preserve">I alt 120 behandlingsnaive patienter (60 i hver arm) i alderen 2 til 77 år med svær </w:t>
      </w:r>
      <w:proofErr w:type="spellStart"/>
      <w:r w:rsidRPr="00296606">
        <w:rPr>
          <w:sz w:val="24"/>
          <w:szCs w:val="24"/>
        </w:rPr>
        <w:t>aplastisk</w:t>
      </w:r>
      <w:proofErr w:type="spellEnd"/>
      <w:r w:rsidRPr="00296606">
        <w:rPr>
          <w:sz w:val="24"/>
          <w:szCs w:val="24"/>
        </w:rPr>
        <w:t xml:space="preserve"> anæmi blev randomiseret til at få enten </w:t>
      </w:r>
      <w:proofErr w:type="spellStart"/>
      <w:r w:rsidRPr="00296606">
        <w:rPr>
          <w:sz w:val="24"/>
          <w:szCs w:val="24"/>
        </w:rPr>
        <w:t>ekvinATG</w:t>
      </w:r>
      <w:proofErr w:type="spellEnd"/>
      <w:r w:rsidRPr="00296606">
        <w:rPr>
          <w:sz w:val="24"/>
          <w:szCs w:val="24"/>
        </w:rPr>
        <w:t xml:space="preserve"> med 40 mg/kg/dag i 4 dage eller </w:t>
      </w:r>
      <w:proofErr w:type="spellStart"/>
      <w:r w:rsidRPr="00296606">
        <w:rPr>
          <w:sz w:val="24"/>
          <w:szCs w:val="24"/>
        </w:rPr>
        <w:t>anti-thymocytglobulin</w:t>
      </w:r>
      <w:proofErr w:type="spellEnd"/>
      <w:r w:rsidRPr="00296606">
        <w:rPr>
          <w:sz w:val="24"/>
          <w:szCs w:val="24"/>
        </w:rPr>
        <w:t xml:space="preserve"> (kanin) (</w:t>
      </w:r>
      <w:proofErr w:type="spellStart"/>
      <w:r w:rsidRPr="00296606">
        <w:rPr>
          <w:sz w:val="24"/>
          <w:szCs w:val="24"/>
        </w:rPr>
        <w:t>rATG</w:t>
      </w:r>
      <w:proofErr w:type="spellEnd"/>
      <w:r w:rsidRPr="00296606">
        <w:rPr>
          <w:sz w:val="24"/>
          <w:szCs w:val="24"/>
        </w:rPr>
        <w:t xml:space="preserve">) med 3,5 mg/kg/dag i 5 dag. Hver behandlingsarm indbefattede også </w:t>
      </w:r>
      <w:proofErr w:type="spellStart"/>
      <w:r w:rsidRPr="00296606">
        <w:rPr>
          <w:sz w:val="24"/>
          <w:szCs w:val="24"/>
        </w:rPr>
        <w:t>CsA</w:t>
      </w:r>
      <w:proofErr w:type="spellEnd"/>
      <w:r w:rsidRPr="00296606">
        <w:rPr>
          <w:sz w:val="24"/>
          <w:szCs w:val="24"/>
        </w:rPr>
        <w:t xml:space="preserve"> med 10 mg/kg/dag (15 mg/kg/dag for børn under 12 år) givet i delte doser hver 12. time fra dag 1 i mindst 6 måneder, med justering af dosis for at opretholde et minimumblodniveau på 200 til 400 </w:t>
      </w:r>
      <w:proofErr w:type="spellStart"/>
      <w:r w:rsidRPr="00296606">
        <w:rPr>
          <w:sz w:val="24"/>
          <w:szCs w:val="24"/>
        </w:rPr>
        <w:t>ng</w:t>
      </w:r>
      <w:proofErr w:type="spellEnd"/>
      <w:r w:rsidRPr="00296606">
        <w:rPr>
          <w:sz w:val="24"/>
          <w:szCs w:val="24"/>
        </w:rPr>
        <w:t xml:space="preserve">/ml. Det primære endepunkt var hæmatologisk respons efter 6 måneder, hvor kriterierne for svær </w:t>
      </w:r>
      <w:proofErr w:type="spellStart"/>
      <w:r w:rsidRPr="00296606">
        <w:rPr>
          <w:sz w:val="24"/>
          <w:szCs w:val="24"/>
        </w:rPr>
        <w:t>aplastisk</w:t>
      </w:r>
      <w:proofErr w:type="spellEnd"/>
      <w:r w:rsidRPr="00296606">
        <w:rPr>
          <w:sz w:val="24"/>
          <w:szCs w:val="24"/>
        </w:rPr>
        <w:t xml:space="preserve"> anæmi ikke længere var opfyldt.</w:t>
      </w:r>
      <w:r w:rsidRPr="00296606">
        <w:rPr>
          <w:color w:val="000000"/>
          <w:spacing w:val="-1"/>
          <w:sz w:val="24"/>
          <w:szCs w:val="24"/>
        </w:rPr>
        <w:t xml:space="preserve"> </w:t>
      </w:r>
    </w:p>
    <w:p w14:paraId="3776A778" w14:textId="77777777" w:rsidR="00032351" w:rsidRPr="00296606" w:rsidRDefault="00032351" w:rsidP="00296606">
      <w:pPr>
        <w:pStyle w:val="Kommentartekst"/>
        <w:ind w:left="851"/>
        <w:rPr>
          <w:color w:val="000000"/>
          <w:spacing w:val="-1"/>
          <w:sz w:val="24"/>
          <w:szCs w:val="24"/>
        </w:rPr>
      </w:pPr>
    </w:p>
    <w:p w14:paraId="5E036A0E" w14:textId="77777777" w:rsidR="00032351" w:rsidRPr="00296606" w:rsidRDefault="00032351" w:rsidP="00296606">
      <w:pPr>
        <w:pStyle w:val="Kommentartekst"/>
        <w:tabs>
          <w:tab w:val="left" w:pos="1304"/>
        </w:tabs>
        <w:ind w:left="851"/>
        <w:rPr>
          <w:color w:val="000000"/>
          <w:spacing w:val="-1"/>
          <w:sz w:val="24"/>
          <w:szCs w:val="24"/>
        </w:rPr>
      </w:pPr>
      <w:r w:rsidRPr="00296606">
        <w:rPr>
          <w:color w:val="000000"/>
          <w:spacing w:val="-1"/>
          <w:sz w:val="24"/>
          <w:szCs w:val="24"/>
        </w:rPr>
        <w:t>Den observerede hæmatologiske responsrate efter 6</w:t>
      </w:r>
      <w:r w:rsidRPr="00296606">
        <w:rPr>
          <w:sz w:val="24"/>
          <w:szCs w:val="24"/>
        </w:rPr>
        <w:t> måneder var til fordel for</w:t>
      </w:r>
      <w:r w:rsidRPr="00296606">
        <w:rPr>
          <w:color w:val="000000"/>
          <w:spacing w:val="-1"/>
          <w:sz w:val="24"/>
          <w:szCs w:val="24"/>
        </w:rPr>
        <w:t xml:space="preserve"> </w:t>
      </w:r>
      <w:proofErr w:type="spellStart"/>
      <w:r w:rsidRPr="00296606">
        <w:rPr>
          <w:color w:val="000000"/>
          <w:spacing w:val="-1"/>
          <w:sz w:val="24"/>
          <w:szCs w:val="24"/>
        </w:rPr>
        <w:t>ekvinATG</w:t>
      </w:r>
      <w:proofErr w:type="spellEnd"/>
      <w:r w:rsidRPr="00296606">
        <w:rPr>
          <w:color w:val="000000"/>
          <w:spacing w:val="-1"/>
          <w:sz w:val="24"/>
          <w:szCs w:val="24"/>
        </w:rPr>
        <w:t xml:space="preserve"> sammenlignet med </w:t>
      </w:r>
      <w:proofErr w:type="spellStart"/>
      <w:r w:rsidRPr="00296606">
        <w:rPr>
          <w:color w:val="000000"/>
          <w:spacing w:val="-1"/>
          <w:sz w:val="24"/>
          <w:szCs w:val="24"/>
        </w:rPr>
        <w:t>rATG</w:t>
      </w:r>
      <w:proofErr w:type="spellEnd"/>
      <w:r w:rsidRPr="00296606">
        <w:rPr>
          <w:color w:val="000000"/>
          <w:spacing w:val="-1"/>
          <w:sz w:val="24"/>
          <w:szCs w:val="24"/>
        </w:rPr>
        <w:t xml:space="preserve"> (henholdsvis 68 % og 37 % [p&lt;0,001]). Den samlede overlevelsesrate efter 3 år var signifikant forskellig ved de to behandlinger: 96 % i </w:t>
      </w:r>
      <w:proofErr w:type="spellStart"/>
      <w:r w:rsidRPr="00296606">
        <w:rPr>
          <w:color w:val="000000"/>
          <w:spacing w:val="-1"/>
          <w:sz w:val="24"/>
          <w:szCs w:val="24"/>
        </w:rPr>
        <w:t>ekvinATG</w:t>
      </w:r>
      <w:proofErr w:type="spellEnd"/>
      <w:r w:rsidRPr="00296606">
        <w:rPr>
          <w:color w:val="000000"/>
          <w:spacing w:val="-1"/>
          <w:sz w:val="24"/>
          <w:szCs w:val="24"/>
        </w:rPr>
        <w:t xml:space="preserve">-gruppen sammenlignet med 76 % i </w:t>
      </w:r>
      <w:proofErr w:type="spellStart"/>
      <w:r w:rsidRPr="00296606">
        <w:rPr>
          <w:color w:val="000000"/>
          <w:spacing w:val="-1"/>
          <w:sz w:val="24"/>
          <w:szCs w:val="24"/>
        </w:rPr>
        <w:t>rATG</w:t>
      </w:r>
      <w:proofErr w:type="spellEnd"/>
      <w:r w:rsidRPr="00296606">
        <w:rPr>
          <w:color w:val="000000"/>
          <w:spacing w:val="-1"/>
          <w:sz w:val="24"/>
          <w:szCs w:val="24"/>
        </w:rPr>
        <w:t>-gruppen (p=0,04), når data blev korrigeret på tidspunktet for stamcelletransplantation, og 94 % sammenlignet med 70 % (p=0,008) i de respektive grupper, når stamcelletransplantationshændelser ikke blev korrigeret. Se tabel 3 for flere oplysninger.</w:t>
      </w:r>
    </w:p>
    <w:p w14:paraId="2C4721C8" w14:textId="77777777" w:rsidR="00032351" w:rsidRPr="008326C5" w:rsidRDefault="00032351" w:rsidP="008326C5">
      <w:pPr>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3"/>
        <w:gridCol w:w="1963"/>
        <w:gridCol w:w="893"/>
        <w:gridCol w:w="1259"/>
        <w:gridCol w:w="1428"/>
        <w:gridCol w:w="1340"/>
        <w:gridCol w:w="1546"/>
      </w:tblGrid>
      <w:tr w:rsidR="00032351" w:rsidRPr="00565ADE" w14:paraId="3627E553" w14:textId="77777777" w:rsidTr="00296606">
        <w:trPr>
          <w:cantSplit/>
          <w:tblHeader/>
        </w:trPr>
        <w:tc>
          <w:tcPr>
            <w:tcW w:w="5000" w:type="pct"/>
            <w:gridSpan w:val="7"/>
            <w:tcBorders>
              <w:top w:val="single" w:sz="6" w:space="0" w:color="000000"/>
              <w:left w:val="single" w:sz="6" w:space="0" w:color="000000"/>
              <w:bottom w:val="single" w:sz="6" w:space="0" w:color="000000"/>
              <w:right w:val="single" w:sz="6" w:space="0" w:color="000000"/>
            </w:tcBorders>
            <w:vAlign w:val="center"/>
            <w:hideMark/>
          </w:tcPr>
          <w:p w14:paraId="3FE7AEC0" w14:textId="77777777" w:rsidR="00032351" w:rsidRPr="00565ADE" w:rsidRDefault="00032351" w:rsidP="00296606">
            <w:pPr>
              <w:rPr>
                <w:b/>
                <w:sz w:val="22"/>
                <w:szCs w:val="22"/>
              </w:rPr>
            </w:pPr>
            <w:r w:rsidRPr="00565ADE">
              <w:rPr>
                <w:b/>
                <w:sz w:val="22"/>
                <w:szCs w:val="22"/>
              </w:rPr>
              <w:t xml:space="preserve">Tabel 3. Nøglestudier med </w:t>
            </w:r>
            <w:proofErr w:type="spellStart"/>
            <w:r w:rsidRPr="00565ADE">
              <w:rPr>
                <w:b/>
                <w:sz w:val="22"/>
                <w:szCs w:val="22"/>
              </w:rPr>
              <w:t>Atgam</w:t>
            </w:r>
            <w:proofErr w:type="spellEnd"/>
            <w:r w:rsidRPr="00565ADE">
              <w:rPr>
                <w:b/>
                <w:sz w:val="22"/>
                <w:szCs w:val="22"/>
              </w:rPr>
              <w:t xml:space="preserve"> til behandling af </w:t>
            </w:r>
            <w:proofErr w:type="spellStart"/>
            <w:r w:rsidRPr="00565ADE">
              <w:rPr>
                <w:b/>
                <w:sz w:val="22"/>
                <w:szCs w:val="22"/>
              </w:rPr>
              <w:t>aplastisk</w:t>
            </w:r>
            <w:proofErr w:type="spellEnd"/>
            <w:r w:rsidRPr="00565ADE">
              <w:rPr>
                <w:b/>
                <w:sz w:val="22"/>
                <w:szCs w:val="22"/>
              </w:rPr>
              <w:t xml:space="preserve"> anæmi</w:t>
            </w:r>
            <w:r w:rsidRPr="00565ADE">
              <w:rPr>
                <w:b/>
                <w:sz w:val="22"/>
                <w:szCs w:val="22"/>
                <w:vertAlign w:val="superscript"/>
              </w:rPr>
              <w:t>*</w:t>
            </w:r>
          </w:p>
        </w:tc>
      </w:tr>
      <w:tr w:rsidR="00032351" w:rsidRPr="00565ADE" w14:paraId="4D7F3E0F" w14:textId="77777777" w:rsidTr="00296606">
        <w:trPr>
          <w:cantSplit/>
          <w:tblHeader/>
        </w:trPr>
        <w:tc>
          <w:tcPr>
            <w:tcW w:w="633" w:type="pct"/>
            <w:tcBorders>
              <w:top w:val="single" w:sz="6" w:space="0" w:color="000000"/>
              <w:left w:val="single" w:sz="6" w:space="0" w:color="000000"/>
              <w:bottom w:val="single" w:sz="6" w:space="0" w:color="000000"/>
              <w:right w:val="single" w:sz="6" w:space="0" w:color="000000"/>
            </w:tcBorders>
            <w:vAlign w:val="center"/>
            <w:hideMark/>
          </w:tcPr>
          <w:p w14:paraId="3395785F" w14:textId="77777777" w:rsidR="00032351" w:rsidRPr="00565ADE" w:rsidRDefault="00032351" w:rsidP="00296606">
            <w:pPr>
              <w:rPr>
                <w:sz w:val="22"/>
                <w:szCs w:val="22"/>
                <w:lang w:val="en-GB"/>
              </w:rPr>
            </w:pPr>
            <w:r w:rsidRPr="00565ADE">
              <w:rPr>
                <w:sz w:val="22"/>
                <w:szCs w:val="22"/>
              </w:rPr>
              <w:t>Studie</w:t>
            </w:r>
          </w:p>
        </w:tc>
        <w:tc>
          <w:tcPr>
            <w:tcW w:w="1033" w:type="pct"/>
            <w:tcBorders>
              <w:top w:val="single" w:sz="6" w:space="0" w:color="000000"/>
              <w:left w:val="single" w:sz="6" w:space="0" w:color="000000"/>
              <w:bottom w:val="single" w:sz="6" w:space="0" w:color="000000"/>
              <w:right w:val="single" w:sz="6" w:space="0" w:color="000000"/>
            </w:tcBorders>
            <w:vAlign w:val="center"/>
            <w:hideMark/>
          </w:tcPr>
          <w:p w14:paraId="0837987A" w14:textId="77777777" w:rsidR="00032351" w:rsidRPr="00565ADE" w:rsidRDefault="00032351" w:rsidP="00296606">
            <w:pPr>
              <w:rPr>
                <w:sz w:val="22"/>
                <w:szCs w:val="22"/>
              </w:rPr>
            </w:pPr>
            <w:proofErr w:type="spellStart"/>
            <w:r w:rsidRPr="00565ADE">
              <w:rPr>
                <w:sz w:val="22"/>
                <w:szCs w:val="22"/>
              </w:rPr>
              <w:t>ekvinATG</w:t>
            </w:r>
            <w:proofErr w:type="spellEnd"/>
            <w:r w:rsidRPr="00565ADE">
              <w:rPr>
                <w:sz w:val="22"/>
                <w:szCs w:val="22"/>
              </w:rPr>
              <w:t xml:space="preserve">+ </w:t>
            </w:r>
            <w:proofErr w:type="spellStart"/>
            <w:r w:rsidRPr="00565ADE">
              <w:rPr>
                <w:sz w:val="22"/>
                <w:szCs w:val="22"/>
              </w:rPr>
              <w:t>komparator</w:t>
            </w:r>
            <w:proofErr w:type="spellEnd"/>
            <w:r w:rsidRPr="00565ADE">
              <w:rPr>
                <w:sz w:val="22"/>
                <w:szCs w:val="22"/>
              </w:rPr>
              <w:t xml:space="preserve"> eller anden behandling</w:t>
            </w:r>
          </w:p>
        </w:tc>
        <w:tc>
          <w:tcPr>
            <w:tcW w:w="477" w:type="pct"/>
            <w:tcBorders>
              <w:top w:val="single" w:sz="6" w:space="0" w:color="000000"/>
              <w:left w:val="single" w:sz="6" w:space="0" w:color="000000"/>
              <w:bottom w:val="single" w:sz="6" w:space="0" w:color="000000"/>
              <w:right w:val="single" w:sz="6" w:space="0" w:color="000000"/>
            </w:tcBorders>
            <w:vAlign w:val="center"/>
            <w:hideMark/>
          </w:tcPr>
          <w:p w14:paraId="57E12A21" w14:textId="59336B57" w:rsidR="00032351" w:rsidRPr="00565ADE" w:rsidRDefault="00032351" w:rsidP="00296606">
            <w:pPr>
              <w:rPr>
                <w:sz w:val="22"/>
                <w:szCs w:val="22"/>
                <w:lang w:val="en-GB"/>
              </w:rPr>
            </w:pPr>
            <w:r w:rsidRPr="00565ADE">
              <w:rPr>
                <w:sz w:val="22"/>
                <w:szCs w:val="22"/>
              </w:rPr>
              <w:t>Antal fo</w:t>
            </w:r>
            <w:r w:rsidR="00565ADE">
              <w:rPr>
                <w:sz w:val="22"/>
                <w:szCs w:val="22"/>
              </w:rPr>
              <w:t>r</w:t>
            </w:r>
            <w:r w:rsidRPr="00565ADE">
              <w:rPr>
                <w:sz w:val="22"/>
                <w:szCs w:val="22"/>
              </w:rPr>
              <w:t>søgspersoner</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741A1B76" w14:textId="77777777" w:rsidR="00032351" w:rsidRPr="00565ADE" w:rsidRDefault="00032351" w:rsidP="00296606">
            <w:pPr>
              <w:rPr>
                <w:sz w:val="22"/>
                <w:szCs w:val="22"/>
                <w:lang w:val="en-GB"/>
              </w:rPr>
            </w:pPr>
            <w:r w:rsidRPr="00565ADE">
              <w:rPr>
                <w:sz w:val="22"/>
                <w:szCs w:val="22"/>
              </w:rPr>
              <w:t>Responsrate %</w:t>
            </w:r>
          </w:p>
          <w:p w14:paraId="289C7827" w14:textId="77777777" w:rsidR="00032351" w:rsidRPr="00565ADE" w:rsidRDefault="00032351" w:rsidP="00296606">
            <w:pPr>
              <w:rPr>
                <w:sz w:val="22"/>
                <w:szCs w:val="22"/>
                <w:lang w:val="en-GB"/>
              </w:rPr>
            </w:pPr>
            <w:r w:rsidRPr="00565ADE">
              <w:rPr>
                <w:sz w:val="22"/>
                <w:szCs w:val="22"/>
              </w:rPr>
              <w:t>(endepunkt)</w:t>
            </w:r>
            <w:r w:rsidRPr="00565ADE">
              <w:rPr>
                <w:sz w:val="22"/>
                <w:szCs w:val="22"/>
                <w:vertAlign w:val="superscript"/>
              </w:rPr>
              <w:t>a</w:t>
            </w:r>
          </w:p>
        </w:tc>
        <w:tc>
          <w:tcPr>
            <w:tcW w:w="711" w:type="pct"/>
            <w:tcBorders>
              <w:top w:val="single" w:sz="6" w:space="0" w:color="000000"/>
              <w:left w:val="single" w:sz="6" w:space="0" w:color="000000"/>
              <w:bottom w:val="single" w:sz="6" w:space="0" w:color="000000"/>
              <w:right w:val="single" w:sz="6" w:space="0" w:color="000000"/>
            </w:tcBorders>
            <w:vAlign w:val="center"/>
            <w:hideMark/>
          </w:tcPr>
          <w:p w14:paraId="15BA346E" w14:textId="77777777" w:rsidR="00032351" w:rsidRPr="00565ADE" w:rsidRDefault="00032351" w:rsidP="00296606">
            <w:pPr>
              <w:rPr>
                <w:sz w:val="22"/>
                <w:szCs w:val="22"/>
                <w:lang w:val="en-GB"/>
              </w:rPr>
            </w:pPr>
            <w:proofErr w:type="spellStart"/>
            <w:r w:rsidRPr="00565ADE">
              <w:rPr>
                <w:i/>
                <w:sz w:val="22"/>
                <w:szCs w:val="22"/>
              </w:rPr>
              <w:t>P-</w:t>
            </w:r>
            <w:r w:rsidRPr="00565ADE">
              <w:rPr>
                <w:sz w:val="22"/>
                <w:szCs w:val="22"/>
              </w:rPr>
              <w:t>værdi</w:t>
            </w:r>
            <w:proofErr w:type="spellEnd"/>
          </w:p>
        </w:tc>
        <w:tc>
          <w:tcPr>
            <w:tcW w:w="709" w:type="pct"/>
            <w:tcBorders>
              <w:top w:val="single" w:sz="6" w:space="0" w:color="000000"/>
              <w:left w:val="single" w:sz="6" w:space="0" w:color="000000"/>
              <w:bottom w:val="single" w:sz="6" w:space="0" w:color="000000"/>
              <w:right w:val="single" w:sz="6" w:space="0" w:color="000000"/>
            </w:tcBorders>
            <w:vAlign w:val="center"/>
            <w:hideMark/>
          </w:tcPr>
          <w:p w14:paraId="237A25A5" w14:textId="77777777" w:rsidR="00032351" w:rsidRPr="00565ADE" w:rsidRDefault="00032351" w:rsidP="00296606">
            <w:pPr>
              <w:rPr>
                <w:sz w:val="22"/>
                <w:szCs w:val="22"/>
                <w:lang w:val="en-GB"/>
              </w:rPr>
            </w:pPr>
            <w:r w:rsidRPr="00565ADE">
              <w:rPr>
                <w:sz w:val="22"/>
                <w:szCs w:val="22"/>
              </w:rPr>
              <w:t>Overlevelses-rate %</w:t>
            </w:r>
            <w:r w:rsidRPr="00565ADE">
              <w:rPr>
                <w:sz w:val="22"/>
                <w:szCs w:val="22"/>
                <w:lang w:val="en-GB"/>
              </w:rPr>
              <w:t xml:space="preserve"> </w:t>
            </w:r>
          </w:p>
          <w:p w14:paraId="200301EF" w14:textId="77777777" w:rsidR="00032351" w:rsidRPr="00565ADE" w:rsidRDefault="00032351" w:rsidP="00296606">
            <w:pPr>
              <w:rPr>
                <w:sz w:val="22"/>
                <w:szCs w:val="22"/>
                <w:lang w:val="en-GB"/>
              </w:rPr>
            </w:pPr>
            <w:r w:rsidRPr="00565ADE">
              <w:rPr>
                <w:sz w:val="22"/>
                <w:szCs w:val="22"/>
              </w:rPr>
              <w:t>(tidspunkt)</w:t>
            </w:r>
          </w:p>
        </w:tc>
        <w:tc>
          <w:tcPr>
            <w:tcW w:w="771" w:type="pct"/>
            <w:tcBorders>
              <w:top w:val="single" w:sz="6" w:space="0" w:color="000000"/>
              <w:left w:val="single" w:sz="6" w:space="0" w:color="000000"/>
              <w:bottom w:val="single" w:sz="6" w:space="0" w:color="000000"/>
              <w:right w:val="single" w:sz="6" w:space="0" w:color="000000"/>
            </w:tcBorders>
            <w:vAlign w:val="center"/>
            <w:hideMark/>
          </w:tcPr>
          <w:p w14:paraId="2E6E033E" w14:textId="77777777" w:rsidR="00032351" w:rsidRPr="00565ADE" w:rsidRDefault="00032351" w:rsidP="00296606">
            <w:pPr>
              <w:rPr>
                <w:sz w:val="22"/>
                <w:szCs w:val="22"/>
                <w:highlight w:val="yellow"/>
                <w:lang w:val="en-GB"/>
              </w:rPr>
            </w:pPr>
            <w:proofErr w:type="spellStart"/>
            <w:r w:rsidRPr="00565ADE">
              <w:rPr>
                <w:i/>
                <w:sz w:val="22"/>
                <w:szCs w:val="22"/>
              </w:rPr>
              <w:t>P-</w:t>
            </w:r>
            <w:r w:rsidRPr="00565ADE">
              <w:rPr>
                <w:sz w:val="22"/>
                <w:szCs w:val="22"/>
              </w:rPr>
              <w:t>værdi</w:t>
            </w:r>
            <w:proofErr w:type="spellEnd"/>
            <w:r w:rsidRPr="00565ADE">
              <w:rPr>
                <w:sz w:val="22"/>
                <w:szCs w:val="22"/>
                <w:lang w:val="en-GB"/>
              </w:rPr>
              <w:t xml:space="preserve"> </w:t>
            </w:r>
          </w:p>
        </w:tc>
      </w:tr>
      <w:tr w:rsidR="00032351" w:rsidRPr="00565ADE" w14:paraId="3AD7B5F5" w14:textId="77777777" w:rsidTr="00296606">
        <w:trPr>
          <w:cantSplit/>
        </w:trPr>
        <w:tc>
          <w:tcPr>
            <w:tcW w:w="5000" w:type="pct"/>
            <w:gridSpan w:val="7"/>
            <w:tcBorders>
              <w:top w:val="single" w:sz="6" w:space="0" w:color="000000"/>
              <w:left w:val="single" w:sz="6" w:space="0" w:color="000000"/>
              <w:bottom w:val="single" w:sz="6" w:space="0" w:color="000000"/>
              <w:right w:val="single" w:sz="6" w:space="0" w:color="000000"/>
            </w:tcBorders>
            <w:vAlign w:val="center"/>
            <w:hideMark/>
          </w:tcPr>
          <w:p w14:paraId="257CABCE" w14:textId="77777777" w:rsidR="00032351" w:rsidRPr="00565ADE" w:rsidRDefault="00032351" w:rsidP="00296606">
            <w:pPr>
              <w:rPr>
                <w:b/>
                <w:i/>
                <w:sz w:val="22"/>
                <w:szCs w:val="22"/>
              </w:rPr>
            </w:pPr>
            <w:r w:rsidRPr="00565ADE">
              <w:rPr>
                <w:b/>
                <w:sz w:val="22"/>
                <w:szCs w:val="22"/>
              </w:rPr>
              <w:t>160 mg/kg (totaldosis) administreret over 8 eller 10 dage</w:t>
            </w:r>
          </w:p>
        </w:tc>
      </w:tr>
      <w:tr w:rsidR="00032351" w:rsidRPr="00565ADE" w14:paraId="0B62EED2" w14:textId="77777777" w:rsidTr="00296606">
        <w:trPr>
          <w:cantSplit/>
        </w:trPr>
        <w:tc>
          <w:tcPr>
            <w:tcW w:w="633" w:type="pct"/>
            <w:vMerge w:val="restart"/>
            <w:tcBorders>
              <w:top w:val="single" w:sz="6" w:space="0" w:color="000000"/>
              <w:left w:val="single" w:sz="6" w:space="0" w:color="000000"/>
              <w:bottom w:val="single" w:sz="6" w:space="0" w:color="000000"/>
              <w:right w:val="single" w:sz="6" w:space="0" w:color="000000"/>
            </w:tcBorders>
            <w:vAlign w:val="center"/>
          </w:tcPr>
          <w:p w14:paraId="006C53B8" w14:textId="77777777" w:rsidR="00032351" w:rsidRPr="00565ADE" w:rsidRDefault="00032351" w:rsidP="00296606">
            <w:pPr>
              <w:rPr>
                <w:sz w:val="22"/>
                <w:szCs w:val="22"/>
              </w:rPr>
            </w:pPr>
            <w:r w:rsidRPr="00565ADE">
              <w:rPr>
                <w:sz w:val="22"/>
                <w:szCs w:val="22"/>
              </w:rPr>
              <w:t>Studie 3-197</w:t>
            </w:r>
          </w:p>
          <w:p w14:paraId="56D479E8" w14:textId="77777777" w:rsidR="00032351" w:rsidRPr="00565ADE" w:rsidRDefault="00032351" w:rsidP="00296606">
            <w:pPr>
              <w:rPr>
                <w:sz w:val="22"/>
                <w:szCs w:val="22"/>
              </w:rPr>
            </w:pPr>
          </w:p>
          <w:p w14:paraId="30559EBD" w14:textId="77777777" w:rsidR="00032351" w:rsidRPr="00565ADE" w:rsidRDefault="00032351" w:rsidP="00296606">
            <w:pPr>
              <w:rPr>
                <w:sz w:val="22"/>
                <w:szCs w:val="22"/>
              </w:rPr>
            </w:pPr>
            <w:r w:rsidRPr="00565ADE">
              <w:rPr>
                <w:sz w:val="22"/>
                <w:szCs w:val="22"/>
              </w:rPr>
              <w:t>(20 mg/kg i 8 dage)</w:t>
            </w:r>
          </w:p>
        </w:tc>
        <w:tc>
          <w:tcPr>
            <w:tcW w:w="1033" w:type="pct"/>
            <w:tcBorders>
              <w:top w:val="single" w:sz="6" w:space="0" w:color="000000"/>
              <w:left w:val="single" w:sz="6" w:space="0" w:color="000000"/>
              <w:bottom w:val="dashed" w:sz="4" w:space="0" w:color="auto"/>
              <w:right w:val="single" w:sz="6" w:space="0" w:color="000000"/>
            </w:tcBorders>
            <w:vAlign w:val="center"/>
            <w:hideMark/>
          </w:tcPr>
          <w:p w14:paraId="5FB7755A" w14:textId="77777777" w:rsidR="00032351" w:rsidRPr="00565ADE" w:rsidRDefault="00032351" w:rsidP="00296606">
            <w:pPr>
              <w:rPr>
                <w:sz w:val="22"/>
                <w:szCs w:val="22"/>
                <w:lang w:val="en-GB"/>
              </w:rPr>
            </w:pPr>
            <w:proofErr w:type="spellStart"/>
            <w:r w:rsidRPr="00565ADE">
              <w:rPr>
                <w:sz w:val="22"/>
                <w:szCs w:val="22"/>
              </w:rPr>
              <w:t>ekvinATG</w:t>
            </w:r>
            <w:proofErr w:type="spellEnd"/>
          </w:p>
        </w:tc>
        <w:tc>
          <w:tcPr>
            <w:tcW w:w="477" w:type="pct"/>
            <w:tcBorders>
              <w:top w:val="dashed" w:sz="4" w:space="0" w:color="auto"/>
              <w:left w:val="single" w:sz="6" w:space="0" w:color="000000"/>
              <w:bottom w:val="dashed" w:sz="4" w:space="0" w:color="auto"/>
              <w:right w:val="single" w:sz="6" w:space="0" w:color="000000"/>
            </w:tcBorders>
            <w:vAlign w:val="center"/>
            <w:hideMark/>
          </w:tcPr>
          <w:p w14:paraId="1C1DDC7B" w14:textId="77777777" w:rsidR="00032351" w:rsidRPr="00565ADE" w:rsidRDefault="00032351" w:rsidP="00296606">
            <w:pPr>
              <w:rPr>
                <w:sz w:val="22"/>
                <w:szCs w:val="22"/>
                <w:lang w:val="en-GB"/>
              </w:rPr>
            </w:pPr>
            <w:r w:rsidRPr="00565ADE">
              <w:rPr>
                <w:sz w:val="22"/>
                <w:szCs w:val="22"/>
                <w:lang w:val="en-GB"/>
              </w:rPr>
              <w:t>21</w:t>
            </w:r>
          </w:p>
        </w:tc>
        <w:tc>
          <w:tcPr>
            <w:tcW w:w="667" w:type="pct"/>
            <w:tcBorders>
              <w:top w:val="dashed" w:sz="4" w:space="0" w:color="auto"/>
              <w:left w:val="single" w:sz="6" w:space="0" w:color="000000"/>
              <w:bottom w:val="dashed" w:sz="4" w:space="0" w:color="auto"/>
              <w:right w:val="single" w:sz="6" w:space="0" w:color="000000"/>
            </w:tcBorders>
            <w:vAlign w:val="center"/>
            <w:hideMark/>
          </w:tcPr>
          <w:p w14:paraId="40A02BE8" w14:textId="77777777" w:rsidR="00032351" w:rsidRPr="00565ADE" w:rsidRDefault="00032351" w:rsidP="00296606">
            <w:pPr>
              <w:rPr>
                <w:sz w:val="22"/>
                <w:szCs w:val="22"/>
                <w:lang w:val="en-GB"/>
              </w:rPr>
            </w:pPr>
            <w:r w:rsidRPr="00565ADE">
              <w:rPr>
                <w:sz w:val="22"/>
                <w:szCs w:val="22"/>
              </w:rPr>
              <w:t>47 %</w:t>
            </w:r>
            <w:r w:rsidRPr="00565ADE">
              <w:rPr>
                <w:sz w:val="22"/>
                <w:szCs w:val="22"/>
                <w:vertAlign w:val="superscript"/>
              </w:rPr>
              <w:t xml:space="preserve">b </w:t>
            </w:r>
            <w:r w:rsidRPr="00565ADE">
              <w:rPr>
                <w:sz w:val="22"/>
                <w:szCs w:val="22"/>
              </w:rPr>
              <w:t>/ 52 %</w:t>
            </w:r>
            <w:r w:rsidRPr="00565ADE">
              <w:rPr>
                <w:sz w:val="22"/>
                <w:szCs w:val="22"/>
                <w:vertAlign w:val="superscript"/>
              </w:rPr>
              <w:t>c</w:t>
            </w:r>
            <w:r w:rsidRPr="00565ADE">
              <w:rPr>
                <w:sz w:val="22"/>
                <w:szCs w:val="22"/>
              </w:rPr>
              <w:t xml:space="preserve"> (3 </w:t>
            </w:r>
            <w:proofErr w:type="spellStart"/>
            <w:r w:rsidRPr="00565ADE">
              <w:rPr>
                <w:sz w:val="22"/>
                <w:szCs w:val="22"/>
              </w:rPr>
              <w:t>mdr</w:t>
            </w:r>
            <w:proofErr w:type="spellEnd"/>
            <w:r w:rsidRPr="00565ADE">
              <w:rPr>
                <w:sz w:val="22"/>
                <w:szCs w:val="22"/>
              </w:rPr>
              <w:t>)</w:t>
            </w:r>
          </w:p>
        </w:tc>
        <w:tc>
          <w:tcPr>
            <w:tcW w:w="711" w:type="pct"/>
            <w:vMerge w:val="restart"/>
            <w:tcBorders>
              <w:top w:val="single" w:sz="6" w:space="0" w:color="000000"/>
              <w:left w:val="single" w:sz="6" w:space="0" w:color="000000"/>
              <w:bottom w:val="single" w:sz="6" w:space="0" w:color="000000"/>
              <w:right w:val="single" w:sz="6" w:space="0" w:color="000000"/>
            </w:tcBorders>
            <w:vAlign w:val="center"/>
            <w:hideMark/>
          </w:tcPr>
          <w:p w14:paraId="5BC13939" w14:textId="77777777" w:rsidR="00032351" w:rsidRPr="00565ADE" w:rsidRDefault="00032351" w:rsidP="00296606">
            <w:pPr>
              <w:rPr>
                <w:sz w:val="22"/>
                <w:szCs w:val="22"/>
                <w:lang w:val="en-GB"/>
              </w:rPr>
            </w:pPr>
            <w:r w:rsidRPr="00565ADE">
              <w:rPr>
                <w:sz w:val="22"/>
                <w:szCs w:val="22"/>
              </w:rPr>
              <w:t>&lt;0,01</w:t>
            </w:r>
            <w:r w:rsidRPr="00565ADE">
              <w:rPr>
                <w:sz w:val="22"/>
                <w:szCs w:val="22"/>
                <w:vertAlign w:val="superscript"/>
              </w:rPr>
              <w:t>b</w:t>
            </w:r>
            <w:r w:rsidRPr="00565ADE">
              <w:rPr>
                <w:sz w:val="22"/>
                <w:szCs w:val="22"/>
              </w:rPr>
              <w:t>/&lt;0,01</w:t>
            </w:r>
            <w:r w:rsidRPr="00565ADE">
              <w:rPr>
                <w:sz w:val="22"/>
                <w:szCs w:val="22"/>
                <w:vertAlign w:val="superscript"/>
              </w:rPr>
              <w:t>c</w:t>
            </w:r>
          </w:p>
        </w:tc>
        <w:tc>
          <w:tcPr>
            <w:tcW w:w="709" w:type="pct"/>
            <w:vMerge w:val="restart"/>
            <w:tcBorders>
              <w:top w:val="single" w:sz="6" w:space="0" w:color="000000"/>
              <w:left w:val="single" w:sz="6" w:space="0" w:color="000000"/>
              <w:bottom w:val="dashed" w:sz="4" w:space="0" w:color="auto"/>
              <w:right w:val="single" w:sz="6" w:space="0" w:color="000000"/>
            </w:tcBorders>
            <w:vAlign w:val="center"/>
            <w:hideMark/>
          </w:tcPr>
          <w:p w14:paraId="1EBD26A9" w14:textId="77777777" w:rsidR="00032351" w:rsidRPr="00565ADE" w:rsidRDefault="00032351" w:rsidP="00296606">
            <w:pPr>
              <w:rPr>
                <w:sz w:val="22"/>
                <w:szCs w:val="22"/>
              </w:rPr>
            </w:pPr>
            <w:r w:rsidRPr="00565ADE">
              <w:rPr>
                <w:sz w:val="22"/>
                <w:szCs w:val="22"/>
              </w:rPr>
              <w:t>62 %</w:t>
            </w:r>
            <w:r w:rsidRPr="00565ADE">
              <w:rPr>
                <w:sz w:val="22"/>
                <w:szCs w:val="22"/>
                <w:vertAlign w:val="superscript"/>
              </w:rPr>
              <w:t>d</w:t>
            </w:r>
            <w:r w:rsidRPr="00565ADE">
              <w:rPr>
                <w:sz w:val="22"/>
                <w:szCs w:val="22"/>
              </w:rPr>
              <w:t xml:space="preserve"> </w:t>
            </w:r>
          </w:p>
          <w:p w14:paraId="5980EAE6" w14:textId="77777777" w:rsidR="00032351" w:rsidRPr="00565ADE" w:rsidRDefault="00032351" w:rsidP="00296606">
            <w:pPr>
              <w:rPr>
                <w:sz w:val="22"/>
                <w:szCs w:val="22"/>
                <w:lang w:val="en-GB"/>
              </w:rPr>
            </w:pPr>
            <w:r w:rsidRPr="00565ADE">
              <w:rPr>
                <w:sz w:val="22"/>
                <w:szCs w:val="22"/>
              </w:rPr>
              <w:t>(12 </w:t>
            </w:r>
            <w:proofErr w:type="spellStart"/>
            <w:r w:rsidRPr="00565ADE">
              <w:rPr>
                <w:sz w:val="22"/>
                <w:szCs w:val="22"/>
              </w:rPr>
              <w:t>mdr</w:t>
            </w:r>
            <w:proofErr w:type="spellEnd"/>
            <w:r w:rsidRPr="00565ADE">
              <w:rPr>
                <w:sz w:val="22"/>
                <w:szCs w:val="22"/>
              </w:rPr>
              <w:t>)</w:t>
            </w:r>
          </w:p>
        </w:tc>
        <w:tc>
          <w:tcPr>
            <w:tcW w:w="771" w:type="pct"/>
            <w:vMerge w:val="restart"/>
            <w:tcBorders>
              <w:top w:val="single" w:sz="6" w:space="0" w:color="000000"/>
              <w:left w:val="single" w:sz="6" w:space="0" w:color="000000"/>
              <w:bottom w:val="single" w:sz="6" w:space="0" w:color="000000"/>
              <w:right w:val="single" w:sz="6" w:space="0" w:color="000000"/>
            </w:tcBorders>
            <w:vAlign w:val="center"/>
            <w:hideMark/>
          </w:tcPr>
          <w:p w14:paraId="41C05AA9" w14:textId="77777777" w:rsidR="00032351" w:rsidRPr="00565ADE" w:rsidRDefault="00032351" w:rsidP="00296606">
            <w:pPr>
              <w:rPr>
                <w:sz w:val="22"/>
                <w:szCs w:val="22"/>
                <w:lang w:val="en-GB"/>
              </w:rPr>
            </w:pPr>
            <w:r w:rsidRPr="00565ADE">
              <w:rPr>
                <w:sz w:val="22"/>
                <w:szCs w:val="22"/>
              </w:rPr>
              <w:t>N/A</w:t>
            </w:r>
          </w:p>
        </w:tc>
      </w:tr>
      <w:tr w:rsidR="00032351" w:rsidRPr="00565ADE" w14:paraId="7750C216" w14:textId="77777777" w:rsidTr="00296606">
        <w:trPr>
          <w:cantSplit/>
          <w:trHeight w:val="327"/>
        </w:trPr>
        <w:tc>
          <w:tcPr>
            <w:tcW w:w="633" w:type="pct"/>
            <w:vMerge/>
            <w:tcBorders>
              <w:top w:val="single" w:sz="6" w:space="0" w:color="000000"/>
              <w:left w:val="single" w:sz="6" w:space="0" w:color="000000"/>
              <w:bottom w:val="single" w:sz="6" w:space="0" w:color="000000"/>
              <w:right w:val="single" w:sz="6" w:space="0" w:color="000000"/>
            </w:tcBorders>
            <w:vAlign w:val="center"/>
            <w:hideMark/>
          </w:tcPr>
          <w:p w14:paraId="6D70B791" w14:textId="77777777" w:rsidR="00032351" w:rsidRPr="00565ADE" w:rsidRDefault="00032351" w:rsidP="00296606">
            <w:pPr>
              <w:rPr>
                <w:sz w:val="22"/>
                <w:szCs w:val="22"/>
              </w:rPr>
            </w:pPr>
          </w:p>
        </w:tc>
        <w:tc>
          <w:tcPr>
            <w:tcW w:w="1033" w:type="pct"/>
            <w:tcBorders>
              <w:top w:val="dashed" w:sz="4" w:space="0" w:color="auto"/>
              <w:left w:val="single" w:sz="6" w:space="0" w:color="000000"/>
              <w:bottom w:val="single" w:sz="6" w:space="0" w:color="000000"/>
              <w:right w:val="single" w:sz="6" w:space="0" w:color="000000"/>
            </w:tcBorders>
            <w:vAlign w:val="center"/>
            <w:hideMark/>
          </w:tcPr>
          <w:p w14:paraId="183F283E" w14:textId="77777777" w:rsidR="00032351" w:rsidRPr="00565ADE" w:rsidRDefault="00032351" w:rsidP="00296606">
            <w:pPr>
              <w:rPr>
                <w:sz w:val="22"/>
                <w:szCs w:val="22"/>
                <w:lang w:val="en-GB"/>
              </w:rPr>
            </w:pPr>
            <w:r w:rsidRPr="00565ADE">
              <w:rPr>
                <w:sz w:val="22"/>
                <w:szCs w:val="22"/>
              </w:rPr>
              <w:t>Kun understøttende behandling</w:t>
            </w:r>
          </w:p>
        </w:tc>
        <w:tc>
          <w:tcPr>
            <w:tcW w:w="477" w:type="pct"/>
            <w:tcBorders>
              <w:top w:val="dashed" w:sz="4" w:space="0" w:color="auto"/>
              <w:left w:val="single" w:sz="6" w:space="0" w:color="000000"/>
              <w:bottom w:val="single" w:sz="6" w:space="0" w:color="000000"/>
              <w:right w:val="single" w:sz="6" w:space="0" w:color="000000"/>
            </w:tcBorders>
            <w:vAlign w:val="center"/>
            <w:hideMark/>
          </w:tcPr>
          <w:p w14:paraId="49F7A206" w14:textId="77777777" w:rsidR="00032351" w:rsidRPr="00565ADE" w:rsidRDefault="00032351" w:rsidP="00296606">
            <w:pPr>
              <w:rPr>
                <w:sz w:val="22"/>
                <w:szCs w:val="22"/>
                <w:lang w:val="en-GB"/>
              </w:rPr>
            </w:pPr>
            <w:r w:rsidRPr="00565ADE">
              <w:rPr>
                <w:sz w:val="22"/>
                <w:szCs w:val="22"/>
                <w:lang w:val="en-GB"/>
              </w:rPr>
              <w:t>20</w:t>
            </w:r>
          </w:p>
        </w:tc>
        <w:tc>
          <w:tcPr>
            <w:tcW w:w="667" w:type="pct"/>
            <w:tcBorders>
              <w:top w:val="dashed" w:sz="4" w:space="0" w:color="auto"/>
              <w:left w:val="single" w:sz="6" w:space="0" w:color="000000"/>
              <w:bottom w:val="single" w:sz="6" w:space="0" w:color="000000"/>
              <w:right w:val="single" w:sz="6" w:space="0" w:color="000000"/>
            </w:tcBorders>
            <w:vAlign w:val="center"/>
            <w:hideMark/>
          </w:tcPr>
          <w:p w14:paraId="3C0F8F4E" w14:textId="77777777" w:rsidR="00032351" w:rsidRPr="00565ADE" w:rsidRDefault="00032351" w:rsidP="00296606">
            <w:pPr>
              <w:rPr>
                <w:sz w:val="22"/>
                <w:szCs w:val="22"/>
                <w:lang w:val="en-GB"/>
              </w:rPr>
            </w:pPr>
            <w:r w:rsidRPr="00565ADE">
              <w:rPr>
                <w:sz w:val="22"/>
                <w:szCs w:val="22"/>
              </w:rPr>
              <w:t>6 %</w:t>
            </w:r>
            <w:r w:rsidRPr="00565ADE">
              <w:rPr>
                <w:sz w:val="22"/>
                <w:szCs w:val="22"/>
                <w:vertAlign w:val="superscript"/>
              </w:rPr>
              <w:t xml:space="preserve">b </w:t>
            </w:r>
            <w:r w:rsidRPr="00565ADE">
              <w:rPr>
                <w:sz w:val="22"/>
                <w:szCs w:val="22"/>
              </w:rPr>
              <w:t>/ 0 %</w:t>
            </w:r>
            <w:r w:rsidRPr="00565ADE">
              <w:rPr>
                <w:sz w:val="22"/>
                <w:szCs w:val="22"/>
                <w:vertAlign w:val="superscript"/>
              </w:rPr>
              <w:t>c</w:t>
            </w:r>
            <w:r w:rsidRPr="00565ADE">
              <w:rPr>
                <w:sz w:val="22"/>
                <w:szCs w:val="22"/>
              </w:rPr>
              <w:t xml:space="preserve"> (3 </w:t>
            </w:r>
            <w:proofErr w:type="spellStart"/>
            <w:r w:rsidRPr="00565ADE">
              <w:rPr>
                <w:sz w:val="22"/>
                <w:szCs w:val="22"/>
              </w:rPr>
              <w:t>mdr</w:t>
            </w:r>
            <w:proofErr w:type="spellEnd"/>
            <w:r w:rsidRPr="00565ADE">
              <w:rPr>
                <w:sz w:val="22"/>
                <w:szCs w:val="22"/>
              </w:rPr>
              <w:t>)</w:t>
            </w:r>
          </w:p>
        </w:tc>
        <w:tc>
          <w:tcPr>
            <w:tcW w:w="711" w:type="pct"/>
            <w:vMerge/>
            <w:tcBorders>
              <w:top w:val="single" w:sz="6" w:space="0" w:color="000000"/>
              <w:left w:val="single" w:sz="6" w:space="0" w:color="000000"/>
              <w:bottom w:val="single" w:sz="6" w:space="0" w:color="000000"/>
              <w:right w:val="single" w:sz="6" w:space="0" w:color="000000"/>
            </w:tcBorders>
            <w:vAlign w:val="center"/>
            <w:hideMark/>
          </w:tcPr>
          <w:p w14:paraId="3BF975FB" w14:textId="77777777" w:rsidR="00032351" w:rsidRPr="00565ADE" w:rsidRDefault="00032351" w:rsidP="00296606">
            <w:pPr>
              <w:rPr>
                <w:sz w:val="22"/>
                <w:szCs w:val="22"/>
                <w:lang w:val="en-GB"/>
              </w:rPr>
            </w:pPr>
          </w:p>
        </w:tc>
        <w:tc>
          <w:tcPr>
            <w:tcW w:w="709" w:type="pct"/>
            <w:vMerge/>
            <w:tcBorders>
              <w:top w:val="single" w:sz="6" w:space="0" w:color="000000"/>
              <w:left w:val="single" w:sz="6" w:space="0" w:color="000000"/>
              <w:bottom w:val="dashed" w:sz="4" w:space="0" w:color="auto"/>
              <w:right w:val="single" w:sz="6" w:space="0" w:color="000000"/>
            </w:tcBorders>
            <w:vAlign w:val="center"/>
            <w:hideMark/>
          </w:tcPr>
          <w:p w14:paraId="6C30056F" w14:textId="77777777" w:rsidR="00032351" w:rsidRPr="00565ADE" w:rsidRDefault="00032351" w:rsidP="00296606">
            <w:pPr>
              <w:rPr>
                <w:sz w:val="22"/>
                <w:szCs w:val="22"/>
                <w:lang w:val="en-GB"/>
              </w:rPr>
            </w:pPr>
          </w:p>
        </w:tc>
        <w:tc>
          <w:tcPr>
            <w:tcW w:w="771" w:type="pct"/>
            <w:vMerge/>
            <w:tcBorders>
              <w:top w:val="single" w:sz="6" w:space="0" w:color="000000"/>
              <w:left w:val="single" w:sz="6" w:space="0" w:color="000000"/>
              <w:bottom w:val="single" w:sz="6" w:space="0" w:color="000000"/>
              <w:right w:val="single" w:sz="6" w:space="0" w:color="000000"/>
            </w:tcBorders>
            <w:vAlign w:val="center"/>
            <w:hideMark/>
          </w:tcPr>
          <w:p w14:paraId="094D58B5" w14:textId="77777777" w:rsidR="00032351" w:rsidRPr="00565ADE" w:rsidRDefault="00032351" w:rsidP="00296606">
            <w:pPr>
              <w:rPr>
                <w:sz w:val="22"/>
                <w:szCs w:val="22"/>
                <w:lang w:val="en-GB"/>
              </w:rPr>
            </w:pPr>
          </w:p>
        </w:tc>
      </w:tr>
      <w:tr w:rsidR="00032351" w:rsidRPr="00565ADE" w14:paraId="1D7DEC98" w14:textId="77777777" w:rsidTr="00296606">
        <w:trPr>
          <w:cantSplit/>
        </w:trPr>
        <w:tc>
          <w:tcPr>
            <w:tcW w:w="633" w:type="pct"/>
            <w:vMerge w:val="restart"/>
            <w:tcBorders>
              <w:top w:val="single" w:sz="6" w:space="0" w:color="000000"/>
              <w:left w:val="single" w:sz="6" w:space="0" w:color="000000"/>
              <w:bottom w:val="single" w:sz="6" w:space="0" w:color="000000"/>
              <w:right w:val="single" w:sz="6" w:space="0" w:color="000000"/>
            </w:tcBorders>
            <w:vAlign w:val="center"/>
          </w:tcPr>
          <w:p w14:paraId="7032B7E1" w14:textId="77777777" w:rsidR="00032351" w:rsidRPr="00565ADE" w:rsidRDefault="00032351" w:rsidP="00296606">
            <w:pPr>
              <w:rPr>
                <w:sz w:val="22"/>
                <w:szCs w:val="22"/>
              </w:rPr>
            </w:pPr>
            <w:r w:rsidRPr="00565ADE">
              <w:rPr>
                <w:sz w:val="22"/>
                <w:szCs w:val="22"/>
              </w:rPr>
              <w:lastRenderedPageBreak/>
              <w:t>Studie 3-198</w:t>
            </w:r>
          </w:p>
          <w:p w14:paraId="64C53689" w14:textId="77777777" w:rsidR="00032351" w:rsidRPr="00565ADE" w:rsidRDefault="00032351" w:rsidP="00296606">
            <w:pPr>
              <w:rPr>
                <w:sz w:val="22"/>
                <w:szCs w:val="22"/>
              </w:rPr>
            </w:pPr>
          </w:p>
          <w:p w14:paraId="7CCA1316" w14:textId="77777777" w:rsidR="00032351" w:rsidRPr="00565ADE" w:rsidRDefault="00032351" w:rsidP="00296606">
            <w:pPr>
              <w:rPr>
                <w:sz w:val="22"/>
                <w:szCs w:val="22"/>
              </w:rPr>
            </w:pPr>
            <w:r w:rsidRPr="00565ADE">
              <w:rPr>
                <w:sz w:val="22"/>
                <w:szCs w:val="22"/>
              </w:rPr>
              <w:t>(16 mg/kg i 10 dage)</w:t>
            </w:r>
          </w:p>
        </w:tc>
        <w:tc>
          <w:tcPr>
            <w:tcW w:w="1033" w:type="pct"/>
            <w:tcBorders>
              <w:top w:val="single" w:sz="6" w:space="0" w:color="000000"/>
              <w:left w:val="single" w:sz="6" w:space="0" w:color="000000"/>
              <w:bottom w:val="dashed" w:sz="4" w:space="0" w:color="auto"/>
              <w:right w:val="single" w:sz="6" w:space="0" w:color="000000"/>
            </w:tcBorders>
            <w:vAlign w:val="center"/>
            <w:hideMark/>
          </w:tcPr>
          <w:p w14:paraId="6F4B33B7" w14:textId="77777777" w:rsidR="00032351" w:rsidRPr="00565ADE" w:rsidRDefault="00032351" w:rsidP="00296606">
            <w:pPr>
              <w:rPr>
                <w:sz w:val="22"/>
                <w:szCs w:val="22"/>
                <w:lang w:val="en-GB"/>
              </w:rPr>
            </w:pPr>
            <w:proofErr w:type="spellStart"/>
            <w:r w:rsidRPr="00565ADE">
              <w:rPr>
                <w:sz w:val="22"/>
                <w:szCs w:val="22"/>
              </w:rPr>
              <w:t>ekvinATG</w:t>
            </w:r>
            <w:proofErr w:type="spellEnd"/>
            <w:r w:rsidRPr="00565ADE">
              <w:rPr>
                <w:sz w:val="22"/>
                <w:szCs w:val="22"/>
              </w:rPr>
              <w:t xml:space="preserve"> + OXY + knoglemarvsinfusion</w:t>
            </w:r>
          </w:p>
        </w:tc>
        <w:tc>
          <w:tcPr>
            <w:tcW w:w="477" w:type="pct"/>
            <w:tcBorders>
              <w:top w:val="single" w:sz="6" w:space="0" w:color="000000"/>
              <w:left w:val="single" w:sz="6" w:space="0" w:color="000000"/>
              <w:bottom w:val="dashed" w:sz="4" w:space="0" w:color="auto"/>
              <w:right w:val="single" w:sz="6" w:space="0" w:color="000000"/>
            </w:tcBorders>
            <w:vAlign w:val="center"/>
            <w:hideMark/>
          </w:tcPr>
          <w:p w14:paraId="330BF615" w14:textId="77777777" w:rsidR="00032351" w:rsidRPr="00565ADE" w:rsidRDefault="00032351" w:rsidP="00296606">
            <w:pPr>
              <w:rPr>
                <w:sz w:val="22"/>
                <w:szCs w:val="22"/>
                <w:lang w:val="en-GB"/>
              </w:rPr>
            </w:pPr>
            <w:r w:rsidRPr="00565ADE">
              <w:rPr>
                <w:sz w:val="22"/>
                <w:szCs w:val="22"/>
                <w:lang w:val="en-GB"/>
              </w:rPr>
              <w:t>23</w:t>
            </w:r>
          </w:p>
        </w:tc>
        <w:tc>
          <w:tcPr>
            <w:tcW w:w="667" w:type="pct"/>
            <w:tcBorders>
              <w:top w:val="single" w:sz="6" w:space="0" w:color="000000"/>
              <w:left w:val="single" w:sz="6" w:space="0" w:color="000000"/>
              <w:bottom w:val="dashed" w:sz="4" w:space="0" w:color="auto"/>
              <w:right w:val="single" w:sz="6" w:space="0" w:color="000000"/>
            </w:tcBorders>
            <w:vAlign w:val="center"/>
            <w:hideMark/>
          </w:tcPr>
          <w:p w14:paraId="6CEC4E2E" w14:textId="77777777" w:rsidR="00032351" w:rsidRPr="00565ADE" w:rsidRDefault="00032351" w:rsidP="00296606">
            <w:pPr>
              <w:rPr>
                <w:sz w:val="22"/>
                <w:szCs w:val="22"/>
                <w:lang w:val="en-GB"/>
              </w:rPr>
            </w:pPr>
            <w:r w:rsidRPr="00565ADE">
              <w:rPr>
                <w:sz w:val="22"/>
                <w:szCs w:val="22"/>
              </w:rPr>
              <w:t>43 %</w:t>
            </w:r>
            <w:r w:rsidRPr="00565ADE">
              <w:rPr>
                <w:sz w:val="22"/>
                <w:szCs w:val="22"/>
                <w:vertAlign w:val="superscript"/>
              </w:rPr>
              <w:t xml:space="preserve">b </w:t>
            </w:r>
            <w:r w:rsidRPr="00565ADE">
              <w:rPr>
                <w:sz w:val="22"/>
                <w:szCs w:val="22"/>
              </w:rPr>
              <w:t>/ 39 %</w:t>
            </w:r>
            <w:r w:rsidRPr="00565ADE">
              <w:rPr>
                <w:sz w:val="22"/>
                <w:szCs w:val="22"/>
                <w:vertAlign w:val="superscript"/>
              </w:rPr>
              <w:t>c</w:t>
            </w:r>
            <w:r w:rsidRPr="00565ADE">
              <w:rPr>
                <w:sz w:val="22"/>
                <w:szCs w:val="22"/>
              </w:rPr>
              <w:t xml:space="preserve"> (3 </w:t>
            </w:r>
            <w:proofErr w:type="spellStart"/>
            <w:r w:rsidRPr="00565ADE">
              <w:rPr>
                <w:sz w:val="22"/>
                <w:szCs w:val="22"/>
              </w:rPr>
              <w:t>mdr</w:t>
            </w:r>
            <w:proofErr w:type="spellEnd"/>
            <w:r w:rsidRPr="00565ADE">
              <w:rPr>
                <w:sz w:val="22"/>
                <w:szCs w:val="22"/>
              </w:rPr>
              <w:t>)</w:t>
            </w:r>
          </w:p>
        </w:tc>
        <w:tc>
          <w:tcPr>
            <w:tcW w:w="711" w:type="pct"/>
            <w:vMerge w:val="restart"/>
            <w:tcBorders>
              <w:top w:val="single" w:sz="6" w:space="0" w:color="000000"/>
              <w:left w:val="single" w:sz="6" w:space="0" w:color="000000"/>
              <w:bottom w:val="single" w:sz="6" w:space="0" w:color="000000"/>
              <w:right w:val="single" w:sz="6" w:space="0" w:color="000000"/>
            </w:tcBorders>
            <w:vAlign w:val="center"/>
            <w:hideMark/>
          </w:tcPr>
          <w:p w14:paraId="408030A6" w14:textId="77777777" w:rsidR="00032351" w:rsidRPr="00565ADE" w:rsidRDefault="00032351" w:rsidP="00296606">
            <w:pPr>
              <w:rPr>
                <w:sz w:val="22"/>
                <w:szCs w:val="22"/>
                <w:lang w:val="en-GB"/>
              </w:rPr>
            </w:pPr>
            <w:r w:rsidRPr="00565ADE">
              <w:rPr>
                <w:sz w:val="22"/>
                <w:szCs w:val="22"/>
              </w:rPr>
              <w:t xml:space="preserve">Ikke </w:t>
            </w:r>
            <w:proofErr w:type="spellStart"/>
            <w:r w:rsidRPr="00565ADE">
              <w:rPr>
                <w:sz w:val="22"/>
                <w:szCs w:val="22"/>
              </w:rPr>
              <w:t>rapp</w:t>
            </w:r>
            <w:proofErr w:type="spellEnd"/>
            <w:r w:rsidRPr="00565ADE">
              <w:rPr>
                <w:sz w:val="22"/>
                <w:szCs w:val="22"/>
              </w:rPr>
              <w:t>.</w:t>
            </w:r>
          </w:p>
        </w:tc>
        <w:tc>
          <w:tcPr>
            <w:tcW w:w="709" w:type="pct"/>
            <w:tcBorders>
              <w:top w:val="single" w:sz="6" w:space="0" w:color="000000"/>
              <w:left w:val="single" w:sz="6" w:space="0" w:color="000000"/>
              <w:bottom w:val="dashed" w:sz="4" w:space="0" w:color="auto"/>
              <w:right w:val="single" w:sz="6" w:space="0" w:color="000000"/>
            </w:tcBorders>
            <w:vAlign w:val="center"/>
            <w:hideMark/>
          </w:tcPr>
          <w:p w14:paraId="10D7268D" w14:textId="77777777" w:rsidR="00032351" w:rsidRPr="00565ADE" w:rsidRDefault="00032351" w:rsidP="00296606">
            <w:pPr>
              <w:rPr>
                <w:sz w:val="22"/>
                <w:szCs w:val="22"/>
              </w:rPr>
            </w:pPr>
            <w:r w:rsidRPr="00565ADE">
              <w:rPr>
                <w:sz w:val="22"/>
                <w:szCs w:val="22"/>
              </w:rPr>
              <w:t>83 %</w:t>
            </w:r>
          </w:p>
          <w:p w14:paraId="28EEA553" w14:textId="77777777" w:rsidR="00032351" w:rsidRPr="00565ADE" w:rsidRDefault="00032351" w:rsidP="00296606">
            <w:pPr>
              <w:rPr>
                <w:sz w:val="22"/>
                <w:szCs w:val="22"/>
                <w:lang w:val="en-GB"/>
              </w:rPr>
            </w:pPr>
            <w:r w:rsidRPr="00565ADE">
              <w:rPr>
                <w:sz w:val="22"/>
                <w:szCs w:val="22"/>
              </w:rPr>
              <w:t xml:space="preserve"> (12 </w:t>
            </w:r>
            <w:proofErr w:type="spellStart"/>
            <w:r w:rsidRPr="00565ADE">
              <w:rPr>
                <w:sz w:val="22"/>
                <w:szCs w:val="22"/>
              </w:rPr>
              <w:t>mdr</w:t>
            </w:r>
            <w:proofErr w:type="spellEnd"/>
            <w:r w:rsidRPr="00565ADE">
              <w:rPr>
                <w:sz w:val="22"/>
                <w:szCs w:val="22"/>
              </w:rPr>
              <w:t>)</w:t>
            </w:r>
          </w:p>
        </w:tc>
        <w:tc>
          <w:tcPr>
            <w:tcW w:w="771" w:type="pct"/>
            <w:vMerge w:val="restart"/>
            <w:tcBorders>
              <w:top w:val="single" w:sz="6" w:space="0" w:color="000000"/>
              <w:left w:val="single" w:sz="6" w:space="0" w:color="000000"/>
              <w:bottom w:val="single" w:sz="6" w:space="0" w:color="000000"/>
              <w:right w:val="single" w:sz="6" w:space="0" w:color="000000"/>
            </w:tcBorders>
            <w:vAlign w:val="center"/>
            <w:hideMark/>
          </w:tcPr>
          <w:p w14:paraId="66491A2C" w14:textId="77777777" w:rsidR="00032351" w:rsidRPr="00565ADE" w:rsidRDefault="00032351" w:rsidP="00296606">
            <w:pPr>
              <w:rPr>
                <w:sz w:val="22"/>
                <w:szCs w:val="22"/>
                <w:lang w:val="en-GB"/>
              </w:rPr>
            </w:pPr>
            <w:r w:rsidRPr="00565ADE">
              <w:rPr>
                <w:sz w:val="22"/>
                <w:szCs w:val="22"/>
                <w:lang w:val="en-GB"/>
              </w:rPr>
              <w:t>=0,14</w:t>
            </w:r>
          </w:p>
        </w:tc>
      </w:tr>
      <w:tr w:rsidR="00032351" w:rsidRPr="00565ADE" w14:paraId="33E461F9" w14:textId="77777777" w:rsidTr="00296606">
        <w:trPr>
          <w:cantSplit/>
        </w:trPr>
        <w:tc>
          <w:tcPr>
            <w:tcW w:w="633" w:type="pct"/>
            <w:vMerge/>
            <w:tcBorders>
              <w:top w:val="single" w:sz="6" w:space="0" w:color="000000"/>
              <w:left w:val="single" w:sz="6" w:space="0" w:color="000000"/>
              <w:bottom w:val="single" w:sz="6" w:space="0" w:color="000000"/>
              <w:right w:val="single" w:sz="6" w:space="0" w:color="000000"/>
            </w:tcBorders>
            <w:vAlign w:val="center"/>
            <w:hideMark/>
          </w:tcPr>
          <w:p w14:paraId="02EA3832" w14:textId="77777777" w:rsidR="00032351" w:rsidRPr="00565ADE" w:rsidRDefault="00032351" w:rsidP="00296606">
            <w:pPr>
              <w:rPr>
                <w:sz w:val="22"/>
                <w:szCs w:val="22"/>
              </w:rPr>
            </w:pPr>
          </w:p>
        </w:tc>
        <w:tc>
          <w:tcPr>
            <w:tcW w:w="1033" w:type="pct"/>
            <w:tcBorders>
              <w:top w:val="dashed" w:sz="4" w:space="0" w:color="auto"/>
              <w:left w:val="single" w:sz="6" w:space="0" w:color="000000"/>
              <w:bottom w:val="single" w:sz="6" w:space="0" w:color="000000"/>
              <w:right w:val="single" w:sz="6" w:space="0" w:color="000000"/>
            </w:tcBorders>
            <w:vAlign w:val="center"/>
            <w:hideMark/>
          </w:tcPr>
          <w:p w14:paraId="6E7A99BF" w14:textId="77777777" w:rsidR="00032351" w:rsidRPr="00565ADE" w:rsidRDefault="00032351" w:rsidP="00296606">
            <w:pPr>
              <w:rPr>
                <w:sz w:val="22"/>
                <w:szCs w:val="22"/>
                <w:lang w:val="en-GB"/>
              </w:rPr>
            </w:pPr>
            <w:proofErr w:type="spellStart"/>
            <w:r w:rsidRPr="00565ADE">
              <w:rPr>
                <w:sz w:val="22"/>
                <w:szCs w:val="22"/>
              </w:rPr>
              <w:t>ekvinATG</w:t>
            </w:r>
            <w:proofErr w:type="spellEnd"/>
            <w:r w:rsidRPr="00565ADE">
              <w:rPr>
                <w:sz w:val="22"/>
                <w:szCs w:val="22"/>
              </w:rPr>
              <w:t xml:space="preserve"> + OXY</w:t>
            </w:r>
          </w:p>
        </w:tc>
        <w:tc>
          <w:tcPr>
            <w:tcW w:w="477" w:type="pct"/>
            <w:tcBorders>
              <w:top w:val="dashed" w:sz="4" w:space="0" w:color="auto"/>
              <w:left w:val="single" w:sz="6" w:space="0" w:color="000000"/>
              <w:bottom w:val="single" w:sz="6" w:space="0" w:color="000000"/>
              <w:right w:val="single" w:sz="6" w:space="0" w:color="000000"/>
            </w:tcBorders>
            <w:vAlign w:val="center"/>
            <w:hideMark/>
          </w:tcPr>
          <w:p w14:paraId="70692E72" w14:textId="77777777" w:rsidR="00032351" w:rsidRPr="00565ADE" w:rsidRDefault="00032351" w:rsidP="00296606">
            <w:pPr>
              <w:rPr>
                <w:sz w:val="22"/>
                <w:szCs w:val="22"/>
                <w:lang w:val="en-GB"/>
              </w:rPr>
            </w:pPr>
            <w:r w:rsidRPr="00565ADE">
              <w:rPr>
                <w:sz w:val="22"/>
                <w:szCs w:val="22"/>
                <w:lang w:val="en-GB"/>
              </w:rPr>
              <w:t>18</w:t>
            </w:r>
          </w:p>
        </w:tc>
        <w:tc>
          <w:tcPr>
            <w:tcW w:w="667" w:type="pct"/>
            <w:tcBorders>
              <w:top w:val="dashed" w:sz="4" w:space="0" w:color="auto"/>
              <w:left w:val="single" w:sz="6" w:space="0" w:color="000000"/>
              <w:bottom w:val="single" w:sz="6" w:space="0" w:color="000000"/>
              <w:right w:val="single" w:sz="6" w:space="0" w:color="000000"/>
            </w:tcBorders>
            <w:vAlign w:val="center"/>
            <w:hideMark/>
          </w:tcPr>
          <w:p w14:paraId="0E27B823" w14:textId="77777777" w:rsidR="00032351" w:rsidRPr="00565ADE" w:rsidRDefault="00032351" w:rsidP="00296606">
            <w:pPr>
              <w:rPr>
                <w:sz w:val="22"/>
                <w:szCs w:val="22"/>
                <w:lang w:val="en-GB"/>
              </w:rPr>
            </w:pPr>
            <w:r w:rsidRPr="00565ADE">
              <w:rPr>
                <w:sz w:val="22"/>
                <w:szCs w:val="22"/>
              </w:rPr>
              <w:t>44 %</w:t>
            </w:r>
            <w:r w:rsidRPr="00565ADE">
              <w:rPr>
                <w:sz w:val="22"/>
                <w:szCs w:val="22"/>
                <w:vertAlign w:val="superscript"/>
              </w:rPr>
              <w:t xml:space="preserve">b </w:t>
            </w:r>
            <w:r w:rsidRPr="00565ADE">
              <w:rPr>
                <w:sz w:val="22"/>
                <w:szCs w:val="22"/>
              </w:rPr>
              <w:t>/ 39 %</w:t>
            </w:r>
            <w:r w:rsidRPr="00565ADE">
              <w:rPr>
                <w:sz w:val="22"/>
                <w:szCs w:val="22"/>
                <w:vertAlign w:val="superscript"/>
              </w:rPr>
              <w:t>c</w:t>
            </w:r>
            <w:r w:rsidRPr="00565ADE">
              <w:rPr>
                <w:sz w:val="22"/>
                <w:szCs w:val="22"/>
              </w:rPr>
              <w:t xml:space="preserve"> (3 </w:t>
            </w:r>
            <w:proofErr w:type="spellStart"/>
            <w:r w:rsidRPr="00565ADE">
              <w:rPr>
                <w:sz w:val="22"/>
                <w:szCs w:val="22"/>
              </w:rPr>
              <w:t>mdr</w:t>
            </w:r>
            <w:proofErr w:type="spellEnd"/>
            <w:r w:rsidRPr="00565ADE">
              <w:rPr>
                <w:sz w:val="22"/>
                <w:szCs w:val="22"/>
              </w:rPr>
              <w:t>)</w:t>
            </w:r>
          </w:p>
        </w:tc>
        <w:tc>
          <w:tcPr>
            <w:tcW w:w="711" w:type="pct"/>
            <w:vMerge/>
            <w:tcBorders>
              <w:top w:val="single" w:sz="6" w:space="0" w:color="000000"/>
              <w:left w:val="single" w:sz="6" w:space="0" w:color="000000"/>
              <w:bottom w:val="single" w:sz="6" w:space="0" w:color="000000"/>
              <w:right w:val="single" w:sz="6" w:space="0" w:color="000000"/>
            </w:tcBorders>
            <w:vAlign w:val="center"/>
            <w:hideMark/>
          </w:tcPr>
          <w:p w14:paraId="24CFDFC6" w14:textId="77777777" w:rsidR="00032351" w:rsidRPr="00565ADE" w:rsidRDefault="00032351" w:rsidP="00296606">
            <w:pPr>
              <w:rPr>
                <w:sz w:val="22"/>
                <w:szCs w:val="22"/>
                <w:lang w:val="en-GB"/>
              </w:rPr>
            </w:pPr>
          </w:p>
        </w:tc>
        <w:tc>
          <w:tcPr>
            <w:tcW w:w="709" w:type="pct"/>
            <w:tcBorders>
              <w:top w:val="dashed" w:sz="4" w:space="0" w:color="auto"/>
              <w:left w:val="single" w:sz="6" w:space="0" w:color="000000"/>
              <w:bottom w:val="single" w:sz="6" w:space="0" w:color="000000"/>
              <w:right w:val="single" w:sz="6" w:space="0" w:color="000000"/>
            </w:tcBorders>
            <w:vAlign w:val="center"/>
            <w:hideMark/>
          </w:tcPr>
          <w:p w14:paraId="55C8663A" w14:textId="77777777" w:rsidR="00032351" w:rsidRPr="00565ADE" w:rsidRDefault="00032351" w:rsidP="00296606">
            <w:pPr>
              <w:rPr>
                <w:sz w:val="22"/>
                <w:szCs w:val="22"/>
              </w:rPr>
            </w:pPr>
            <w:r w:rsidRPr="00565ADE">
              <w:rPr>
                <w:sz w:val="22"/>
                <w:szCs w:val="22"/>
              </w:rPr>
              <w:t>59 %</w:t>
            </w:r>
          </w:p>
          <w:p w14:paraId="04069ADD" w14:textId="77777777" w:rsidR="00032351" w:rsidRPr="00565ADE" w:rsidRDefault="00032351" w:rsidP="00296606">
            <w:pPr>
              <w:rPr>
                <w:sz w:val="22"/>
                <w:szCs w:val="22"/>
                <w:lang w:val="en-GB"/>
              </w:rPr>
            </w:pPr>
            <w:r w:rsidRPr="00565ADE">
              <w:rPr>
                <w:sz w:val="22"/>
                <w:szCs w:val="22"/>
              </w:rPr>
              <w:t>(12 </w:t>
            </w:r>
            <w:proofErr w:type="spellStart"/>
            <w:r w:rsidRPr="00565ADE">
              <w:rPr>
                <w:sz w:val="22"/>
                <w:szCs w:val="22"/>
              </w:rPr>
              <w:t>mdr</w:t>
            </w:r>
            <w:proofErr w:type="spellEnd"/>
            <w:r w:rsidRPr="00565ADE">
              <w:rPr>
                <w:sz w:val="22"/>
                <w:szCs w:val="22"/>
              </w:rPr>
              <w:t>)</w:t>
            </w:r>
          </w:p>
        </w:tc>
        <w:tc>
          <w:tcPr>
            <w:tcW w:w="771" w:type="pct"/>
            <w:vMerge/>
            <w:tcBorders>
              <w:top w:val="single" w:sz="6" w:space="0" w:color="000000"/>
              <w:left w:val="single" w:sz="6" w:space="0" w:color="000000"/>
              <w:bottom w:val="single" w:sz="6" w:space="0" w:color="000000"/>
              <w:right w:val="single" w:sz="6" w:space="0" w:color="000000"/>
            </w:tcBorders>
            <w:vAlign w:val="center"/>
            <w:hideMark/>
          </w:tcPr>
          <w:p w14:paraId="0C6FB0F5" w14:textId="77777777" w:rsidR="00032351" w:rsidRPr="00565ADE" w:rsidRDefault="00032351" w:rsidP="00296606">
            <w:pPr>
              <w:rPr>
                <w:sz w:val="22"/>
                <w:szCs w:val="22"/>
                <w:lang w:val="en-GB"/>
              </w:rPr>
            </w:pPr>
          </w:p>
        </w:tc>
      </w:tr>
      <w:tr w:rsidR="00032351" w:rsidRPr="00565ADE" w14:paraId="729F7467" w14:textId="77777777" w:rsidTr="00296606">
        <w:trPr>
          <w:cantSplit/>
          <w:trHeight w:val="668"/>
        </w:trPr>
        <w:tc>
          <w:tcPr>
            <w:tcW w:w="633" w:type="pct"/>
            <w:vMerge w:val="restart"/>
            <w:tcBorders>
              <w:top w:val="single" w:sz="6" w:space="0" w:color="000000"/>
              <w:left w:val="single" w:sz="6" w:space="0" w:color="000000"/>
              <w:bottom w:val="single" w:sz="6" w:space="0" w:color="000000"/>
              <w:right w:val="single" w:sz="6" w:space="0" w:color="000000"/>
            </w:tcBorders>
            <w:vAlign w:val="center"/>
          </w:tcPr>
          <w:p w14:paraId="5B8F656C" w14:textId="77777777" w:rsidR="00032351" w:rsidRPr="00565ADE" w:rsidRDefault="00032351" w:rsidP="00296606">
            <w:pPr>
              <w:rPr>
                <w:sz w:val="22"/>
                <w:szCs w:val="22"/>
              </w:rPr>
            </w:pPr>
            <w:r w:rsidRPr="00565ADE">
              <w:rPr>
                <w:sz w:val="22"/>
                <w:szCs w:val="22"/>
              </w:rPr>
              <w:t>Studie 5000</w:t>
            </w:r>
          </w:p>
          <w:p w14:paraId="2732C384" w14:textId="77777777" w:rsidR="00032351" w:rsidRPr="00565ADE" w:rsidRDefault="00032351" w:rsidP="00296606">
            <w:pPr>
              <w:rPr>
                <w:sz w:val="22"/>
                <w:szCs w:val="22"/>
              </w:rPr>
            </w:pPr>
          </w:p>
          <w:p w14:paraId="61836C47" w14:textId="77777777" w:rsidR="00032351" w:rsidRPr="00565ADE" w:rsidRDefault="00032351" w:rsidP="00296606">
            <w:pPr>
              <w:rPr>
                <w:sz w:val="22"/>
                <w:szCs w:val="22"/>
              </w:rPr>
            </w:pPr>
            <w:r w:rsidRPr="00565ADE">
              <w:rPr>
                <w:sz w:val="22"/>
                <w:szCs w:val="22"/>
              </w:rPr>
              <w:t>(20 mg/kg i 8 dage)</w:t>
            </w:r>
          </w:p>
        </w:tc>
        <w:tc>
          <w:tcPr>
            <w:tcW w:w="1033" w:type="pct"/>
            <w:tcBorders>
              <w:top w:val="single" w:sz="6" w:space="0" w:color="000000"/>
              <w:left w:val="single" w:sz="6" w:space="0" w:color="000000"/>
              <w:bottom w:val="dashed" w:sz="4" w:space="0" w:color="auto"/>
              <w:right w:val="single" w:sz="6" w:space="0" w:color="000000"/>
            </w:tcBorders>
            <w:vAlign w:val="center"/>
            <w:hideMark/>
          </w:tcPr>
          <w:p w14:paraId="09DDCB05" w14:textId="77777777" w:rsidR="00032351" w:rsidRPr="00565ADE" w:rsidRDefault="00032351" w:rsidP="00296606">
            <w:pPr>
              <w:rPr>
                <w:sz w:val="22"/>
                <w:szCs w:val="22"/>
                <w:lang w:val="en-GB"/>
              </w:rPr>
            </w:pPr>
            <w:proofErr w:type="spellStart"/>
            <w:r w:rsidRPr="00565ADE">
              <w:rPr>
                <w:sz w:val="22"/>
                <w:szCs w:val="22"/>
              </w:rPr>
              <w:t>ekvinATG</w:t>
            </w:r>
            <w:proofErr w:type="spellEnd"/>
            <w:r w:rsidRPr="00565ADE">
              <w:rPr>
                <w:sz w:val="22"/>
                <w:szCs w:val="22"/>
              </w:rPr>
              <w:t xml:space="preserve"> + </w:t>
            </w:r>
            <w:proofErr w:type="spellStart"/>
            <w:r w:rsidRPr="00565ADE">
              <w:rPr>
                <w:sz w:val="22"/>
                <w:szCs w:val="22"/>
              </w:rPr>
              <w:t>androgen</w:t>
            </w:r>
            <w:proofErr w:type="spellEnd"/>
          </w:p>
        </w:tc>
        <w:tc>
          <w:tcPr>
            <w:tcW w:w="477" w:type="pct"/>
            <w:tcBorders>
              <w:top w:val="single" w:sz="6" w:space="0" w:color="000000"/>
              <w:left w:val="single" w:sz="6" w:space="0" w:color="000000"/>
              <w:bottom w:val="dashed" w:sz="4" w:space="0" w:color="auto"/>
              <w:right w:val="single" w:sz="6" w:space="0" w:color="000000"/>
            </w:tcBorders>
            <w:vAlign w:val="center"/>
            <w:hideMark/>
          </w:tcPr>
          <w:p w14:paraId="1CC22F86" w14:textId="77777777" w:rsidR="00032351" w:rsidRPr="00565ADE" w:rsidRDefault="00032351" w:rsidP="00296606">
            <w:pPr>
              <w:rPr>
                <w:sz w:val="22"/>
                <w:szCs w:val="22"/>
                <w:lang w:val="en-GB"/>
              </w:rPr>
            </w:pPr>
            <w:r w:rsidRPr="00565ADE">
              <w:rPr>
                <w:sz w:val="22"/>
                <w:szCs w:val="22"/>
                <w:lang w:val="en-GB"/>
              </w:rPr>
              <w:t>26</w:t>
            </w:r>
          </w:p>
        </w:tc>
        <w:tc>
          <w:tcPr>
            <w:tcW w:w="667" w:type="pct"/>
            <w:tcBorders>
              <w:top w:val="single" w:sz="6" w:space="0" w:color="000000"/>
              <w:left w:val="single" w:sz="6" w:space="0" w:color="000000"/>
              <w:bottom w:val="dashed" w:sz="4" w:space="0" w:color="auto"/>
              <w:right w:val="single" w:sz="6" w:space="0" w:color="000000"/>
            </w:tcBorders>
            <w:vAlign w:val="center"/>
            <w:hideMark/>
          </w:tcPr>
          <w:p w14:paraId="60A5DDB4" w14:textId="77777777" w:rsidR="00032351" w:rsidRPr="00565ADE" w:rsidRDefault="00032351" w:rsidP="00296606">
            <w:pPr>
              <w:rPr>
                <w:sz w:val="22"/>
                <w:szCs w:val="22"/>
              </w:rPr>
            </w:pPr>
            <w:r w:rsidRPr="00565ADE">
              <w:rPr>
                <w:sz w:val="22"/>
                <w:szCs w:val="22"/>
              </w:rPr>
              <w:t>42 %</w:t>
            </w:r>
          </w:p>
          <w:p w14:paraId="56371ACE" w14:textId="77777777" w:rsidR="00032351" w:rsidRPr="00565ADE" w:rsidRDefault="00032351" w:rsidP="00296606">
            <w:pPr>
              <w:rPr>
                <w:sz w:val="22"/>
                <w:szCs w:val="22"/>
                <w:lang w:val="en-GB"/>
              </w:rPr>
            </w:pPr>
            <w:r w:rsidRPr="00565ADE">
              <w:rPr>
                <w:sz w:val="22"/>
                <w:szCs w:val="22"/>
              </w:rPr>
              <w:t>(6 </w:t>
            </w:r>
            <w:proofErr w:type="spellStart"/>
            <w:r w:rsidRPr="00565ADE">
              <w:rPr>
                <w:sz w:val="22"/>
                <w:szCs w:val="22"/>
              </w:rPr>
              <w:t>mdr</w:t>
            </w:r>
            <w:proofErr w:type="spellEnd"/>
            <w:r w:rsidRPr="00565ADE">
              <w:rPr>
                <w:sz w:val="22"/>
                <w:szCs w:val="22"/>
              </w:rPr>
              <w:t>)</w:t>
            </w:r>
          </w:p>
        </w:tc>
        <w:tc>
          <w:tcPr>
            <w:tcW w:w="711" w:type="pct"/>
            <w:vMerge w:val="restart"/>
            <w:tcBorders>
              <w:top w:val="single" w:sz="6" w:space="0" w:color="000000"/>
              <w:left w:val="single" w:sz="6" w:space="0" w:color="000000"/>
              <w:bottom w:val="single" w:sz="6" w:space="0" w:color="000000"/>
              <w:right w:val="single" w:sz="6" w:space="0" w:color="000000"/>
            </w:tcBorders>
            <w:vAlign w:val="center"/>
            <w:hideMark/>
          </w:tcPr>
          <w:p w14:paraId="1B0C3791" w14:textId="77777777" w:rsidR="00032351" w:rsidRPr="00565ADE" w:rsidRDefault="00032351" w:rsidP="00296606">
            <w:pPr>
              <w:rPr>
                <w:sz w:val="22"/>
                <w:szCs w:val="22"/>
                <w:lang w:val="en-GB"/>
              </w:rPr>
            </w:pPr>
            <w:r w:rsidRPr="00565ADE">
              <w:rPr>
                <w:sz w:val="22"/>
                <w:szCs w:val="22"/>
                <w:lang w:val="en-GB"/>
              </w:rPr>
              <w:t>&gt;0,9</w:t>
            </w:r>
          </w:p>
        </w:tc>
        <w:tc>
          <w:tcPr>
            <w:tcW w:w="709" w:type="pct"/>
            <w:tcBorders>
              <w:top w:val="single" w:sz="6" w:space="0" w:color="000000"/>
              <w:left w:val="single" w:sz="6" w:space="0" w:color="000000"/>
              <w:bottom w:val="dashed" w:sz="4" w:space="0" w:color="auto"/>
              <w:right w:val="single" w:sz="6" w:space="0" w:color="000000"/>
            </w:tcBorders>
            <w:vAlign w:val="center"/>
            <w:hideMark/>
          </w:tcPr>
          <w:p w14:paraId="3EBC6A47" w14:textId="77777777" w:rsidR="00032351" w:rsidRPr="00565ADE" w:rsidRDefault="00032351" w:rsidP="00296606">
            <w:pPr>
              <w:rPr>
                <w:sz w:val="22"/>
                <w:szCs w:val="22"/>
              </w:rPr>
            </w:pPr>
            <w:r w:rsidRPr="00565ADE">
              <w:rPr>
                <w:sz w:val="22"/>
                <w:szCs w:val="22"/>
              </w:rPr>
              <w:t>55 %</w:t>
            </w:r>
            <w:r w:rsidRPr="00565ADE">
              <w:rPr>
                <w:sz w:val="22"/>
                <w:szCs w:val="22"/>
                <w:vertAlign w:val="superscript"/>
              </w:rPr>
              <w:t>e</w:t>
            </w:r>
            <w:r w:rsidRPr="00565ADE">
              <w:rPr>
                <w:sz w:val="22"/>
                <w:szCs w:val="22"/>
              </w:rPr>
              <w:t xml:space="preserve"> </w:t>
            </w:r>
          </w:p>
          <w:p w14:paraId="5D45ECE6" w14:textId="77777777" w:rsidR="00032351" w:rsidRPr="00565ADE" w:rsidRDefault="00032351" w:rsidP="00296606">
            <w:pPr>
              <w:rPr>
                <w:sz w:val="22"/>
                <w:szCs w:val="22"/>
                <w:lang w:val="en-GB"/>
              </w:rPr>
            </w:pPr>
            <w:r w:rsidRPr="00565ADE">
              <w:rPr>
                <w:sz w:val="22"/>
                <w:szCs w:val="22"/>
              </w:rPr>
              <w:t>(24 </w:t>
            </w:r>
            <w:proofErr w:type="spellStart"/>
            <w:r w:rsidRPr="00565ADE">
              <w:rPr>
                <w:sz w:val="22"/>
                <w:szCs w:val="22"/>
              </w:rPr>
              <w:t>mdr</w:t>
            </w:r>
            <w:proofErr w:type="spellEnd"/>
            <w:r w:rsidRPr="00565ADE">
              <w:rPr>
                <w:sz w:val="22"/>
                <w:szCs w:val="22"/>
              </w:rPr>
              <w:t>)</w:t>
            </w:r>
          </w:p>
        </w:tc>
        <w:tc>
          <w:tcPr>
            <w:tcW w:w="771" w:type="pct"/>
            <w:vMerge w:val="restart"/>
            <w:tcBorders>
              <w:top w:val="single" w:sz="6" w:space="0" w:color="000000"/>
              <w:left w:val="single" w:sz="6" w:space="0" w:color="000000"/>
              <w:bottom w:val="single" w:sz="6" w:space="0" w:color="000000"/>
              <w:right w:val="single" w:sz="6" w:space="0" w:color="000000"/>
            </w:tcBorders>
            <w:vAlign w:val="center"/>
            <w:hideMark/>
          </w:tcPr>
          <w:p w14:paraId="5E9E1BDA" w14:textId="77777777" w:rsidR="00032351" w:rsidRPr="00565ADE" w:rsidRDefault="00032351" w:rsidP="00296606">
            <w:pPr>
              <w:rPr>
                <w:sz w:val="22"/>
                <w:szCs w:val="22"/>
                <w:lang w:val="en-GB"/>
              </w:rPr>
            </w:pPr>
            <w:r w:rsidRPr="00565ADE">
              <w:rPr>
                <w:sz w:val="22"/>
                <w:szCs w:val="22"/>
                <w:lang w:val="en-GB"/>
              </w:rPr>
              <w:t>=0,65</w:t>
            </w:r>
          </w:p>
        </w:tc>
      </w:tr>
      <w:tr w:rsidR="00032351" w:rsidRPr="00565ADE" w14:paraId="3EA2CC16" w14:textId="77777777" w:rsidTr="00296606">
        <w:trPr>
          <w:cantSplit/>
          <w:trHeight w:val="550"/>
        </w:trPr>
        <w:tc>
          <w:tcPr>
            <w:tcW w:w="633" w:type="pct"/>
            <w:vMerge/>
            <w:tcBorders>
              <w:top w:val="single" w:sz="6" w:space="0" w:color="000000"/>
              <w:left w:val="single" w:sz="6" w:space="0" w:color="000000"/>
              <w:bottom w:val="single" w:sz="6" w:space="0" w:color="000000"/>
              <w:right w:val="single" w:sz="6" w:space="0" w:color="000000"/>
            </w:tcBorders>
            <w:vAlign w:val="center"/>
            <w:hideMark/>
          </w:tcPr>
          <w:p w14:paraId="6A417712" w14:textId="77777777" w:rsidR="00032351" w:rsidRPr="00565ADE" w:rsidRDefault="00032351" w:rsidP="00296606">
            <w:pPr>
              <w:rPr>
                <w:sz w:val="22"/>
                <w:szCs w:val="22"/>
              </w:rPr>
            </w:pPr>
          </w:p>
        </w:tc>
        <w:tc>
          <w:tcPr>
            <w:tcW w:w="1033" w:type="pct"/>
            <w:tcBorders>
              <w:top w:val="dashed" w:sz="4" w:space="0" w:color="auto"/>
              <w:left w:val="single" w:sz="6" w:space="0" w:color="000000"/>
              <w:bottom w:val="single" w:sz="6" w:space="0" w:color="000000"/>
              <w:right w:val="single" w:sz="6" w:space="0" w:color="000000"/>
            </w:tcBorders>
            <w:vAlign w:val="center"/>
            <w:hideMark/>
          </w:tcPr>
          <w:p w14:paraId="6C81DDDB" w14:textId="77777777" w:rsidR="00032351" w:rsidRPr="00565ADE" w:rsidRDefault="00032351" w:rsidP="00296606">
            <w:pPr>
              <w:rPr>
                <w:sz w:val="22"/>
                <w:szCs w:val="22"/>
                <w:lang w:val="en-GB"/>
              </w:rPr>
            </w:pPr>
            <w:proofErr w:type="spellStart"/>
            <w:r w:rsidRPr="00565ADE">
              <w:rPr>
                <w:sz w:val="22"/>
                <w:szCs w:val="22"/>
              </w:rPr>
              <w:t>ekvinATG</w:t>
            </w:r>
            <w:proofErr w:type="spellEnd"/>
            <w:r w:rsidRPr="00565ADE">
              <w:rPr>
                <w:sz w:val="22"/>
                <w:szCs w:val="22"/>
              </w:rPr>
              <w:t xml:space="preserve"> + placebo</w:t>
            </w:r>
          </w:p>
        </w:tc>
        <w:tc>
          <w:tcPr>
            <w:tcW w:w="477" w:type="pct"/>
            <w:tcBorders>
              <w:top w:val="dashed" w:sz="4" w:space="0" w:color="auto"/>
              <w:left w:val="single" w:sz="6" w:space="0" w:color="000000"/>
              <w:bottom w:val="single" w:sz="6" w:space="0" w:color="000000"/>
              <w:right w:val="single" w:sz="6" w:space="0" w:color="000000"/>
            </w:tcBorders>
            <w:vAlign w:val="center"/>
            <w:hideMark/>
          </w:tcPr>
          <w:p w14:paraId="4D28FF1D" w14:textId="77777777" w:rsidR="00032351" w:rsidRPr="00565ADE" w:rsidRDefault="00032351" w:rsidP="00296606">
            <w:pPr>
              <w:rPr>
                <w:sz w:val="22"/>
                <w:szCs w:val="22"/>
                <w:lang w:val="en-GB"/>
              </w:rPr>
            </w:pPr>
            <w:r w:rsidRPr="00565ADE">
              <w:rPr>
                <w:sz w:val="22"/>
                <w:szCs w:val="22"/>
                <w:lang w:val="en-GB"/>
              </w:rPr>
              <w:t>27</w:t>
            </w:r>
          </w:p>
        </w:tc>
        <w:tc>
          <w:tcPr>
            <w:tcW w:w="667" w:type="pct"/>
            <w:tcBorders>
              <w:top w:val="dashed" w:sz="4" w:space="0" w:color="auto"/>
              <w:left w:val="single" w:sz="6" w:space="0" w:color="000000"/>
              <w:bottom w:val="single" w:sz="6" w:space="0" w:color="000000"/>
              <w:right w:val="single" w:sz="6" w:space="0" w:color="000000"/>
            </w:tcBorders>
            <w:vAlign w:val="center"/>
            <w:hideMark/>
          </w:tcPr>
          <w:p w14:paraId="38CFCC62" w14:textId="77777777" w:rsidR="00032351" w:rsidRPr="00565ADE" w:rsidRDefault="00032351" w:rsidP="00296606">
            <w:pPr>
              <w:rPr>
                <w:sz w:val="22"/>
                <w:szCs w:val="22"/>
              </w:rPr>
            </w:pPr>
            <w:r w:rsidRPr="00565ADE">
              <w:rPr>
                <w:sz w:val="22"/>
                <w:szCs w:val="22"/>
              </w:rPr>
              <w:t>44 %</w:t>
            </w:r>
          </w:p>
          <w:p w14:paraId="16E0A512" w14:textId="77777777" w:rsidR="00032351" w:rsidRPr="00565ADE" w:rsidRDefault="00032351" w:rsidP="00296606">
            <w:pPr>
              <w:rPr>
                <w:sz w:val="22"/>
                <w:szCs w:val="22"/>
                <w:lang w:val="en-GB"/>
              </w:rPr>
            </w:pPr>
            <w:r w:rsidRPr="00565ADE">
              <w:rPr>
                <w:sz w:val="22"/>
                <w:szCs w:val="22"/>
              </w:rPr>
              <w:t>(6 </w:t>
            </w:r>
            <w:proofErr w:type="spellStart"/>
            <w:r w:rsidRPr="00565ADE">
              <w:rPr>
                <w:sz w:val="22"/>
                <w:szCs w:val="22"/>
              </w:rPr>
              <w:t>mdr</w:t>
            </w:r>
            <w:proofErr w:type="spellEnd"/>
            <w:r w:rsidRPr="00565ADE">
              <w:rPr>
                <w:sz w:val="22"/>
                <w:szCs w:val="22"/>
              </w:rPr>
              <w:t>)</w:t>
            </w:r>
          </w:p>
        </w:tc>
        <w:tc>
          <w:tcPr>
            <w:tcW w:w="711" w:type="pct"/>
            <w:vMerge/>
            <w:tcBorders>
              <w:top w:val="single" w:sz="6" w:space="0" w:color="000000"/>
              <w:left w:val="single" w:sz="6" w:space="0" w:color="000000"/>
              <w:bottom w:val="single" w:sz="6" w:space="0" w:color="000000"/>
              <w:right w:val="single" w:sz="6" w:space="0" w:color="000000"/>
            </w:tcBorders>
            <w:vAlign w:val="center"/>
            <w:hideMark/>
          </w:tcPr>
          <w:p w14:paraId="4329525F" w14:textId="77777777" w:rsidR="00032351" w:rsidRPr="00565ADE" w:rsidRDefault="00032351" w:rsidP="00296606">
            <w:pPr>
              <w:rPr>
                <w:sz w:val="22"/>
                <w:szCs w:val="22"/>
                <w:lang w:val="en-GB"/>
              </w:rPr>
            </w:pPr>
          </w:p>
        </w:tc>
        <w:tc>
          <w:tcPr>
            <w:tcW w:w="709" w:type="pct"/>
            <w:tcBorders>
              <w:top w:val="dashed" w:sz="4" w:space="0" w:color="auto"/>
              <w:left w:val="single" w:sz="6" w:space="0" w:color="000000"/>
              <w:bottom w:val="single" w:sz="6" w:space="0" w:color="000000"/>
              <w:right w:val="single" w:sz="6" w:space="0" w:color="000000"/>
            </w:tcBorders>
            <w:vAlign w:val="center"/>
            <w:hideMark/>
          </w:tcPr>
          <w:p w14:paraId="2349CE25" w14:textId="77777777" w:rsidR="00032351" w:rsidRPr="00565ADE" w:rsidRDefault="00032351" w:rsidP="00296606">
            <w:pPr>
              <w:rPr>
                <w:sz w:val="22"/>
                <w:szCs w:val="22"/>
              </w:rPr>
            </w:pPr>
            <w:r w:rsidRPr="00565ADE">
              <w:rPr>
                <w:sz w:val="22"/>
                <w:szCs w:val="22"/>
              </w:rPr>
              <w:t>50 %</w:t>
            </w:r>
            <w:r w:rsidRPr="00565ADE">
              <w:rPr>
                <w:sz w:val="22"/>
                <w:szCs w:val="22"/>
                <w:vertAlign w:val="superscript"/>
              </w:rPr>
              <w:t>e</w:t>
            </w:r>
            <w:r w:rsidRPr="00565ADE">
              <w:rPr>
                <w:sz w:val="22"/>
                <w:szCs w:val="22"/>
              </w:rPr>
              <w:t xml:space="preserve"> </w:t>
            </w:r>
          </w:p>
          <w:p w14:paraId="61762DCB" w14:textId="77777777" w:rsidR="00032351" w:rsidRPr="00565ADE" w:rsidRDefault="00032351" w:rsidP="00296606">
            <w:pPr>
              <w:rPr>
                <w:sz w:val="22"/>
                <w:szCs w:val="22"/>
                <w:lang w:val="en-GB"/>
              </w:rPr>
            </w:pPr>
            <w:r w:rsidRPr="00565ADE">
              <w:rPr>
                <w:sz w:val="22"/>
                <w:szCs w:val="22"/>
              </w:rPr>
              <w:t>(24 </w:t>
            </w:r>
            <w:proofErr w:type="spellStart"/>
            <w:r w:rsidRPr="00565ADE">
              <w:rPr>
                <w:sz w:val="22"/>
                <w:szCs w:val="22"/>
              </w:rPr>
              <w:t>mdr</w:t>
            </w:r>
            <w:proofErr w:type="spellEnd"/>
            <w:r w:rsidRPr="00565ADE">
              <w:rPr>
                <w:sz w:val="22"/>
                <w:szCs w:val="22"/>
              </w:rPr>
              <w:t>)</w:t>
            </w:r>
          </w:p>
        </w:tc>
        <w:tc>
          <w:tcPr>
            <w:tcW w:w="771" w:type="pct"/>
            <w:vMerge/>
            <w:tcBorders>
              <w:top w:val="single" w:sz="6" w:space="0" w:color="000000"/>
              <w:left w:val="single" w:sz="6" w:space="0" w:color="000000"/>
              <w:bottom w:val="single" w:sz="6" w:space="0" w:color="000000"/>
              <w:right w:val="single" w:sz="6" w:space="0" w:color="000000"/>
            </w:tcBorders>
            <w:vAlign w:val="center"/>
            <w:hideMark/>
          </w:tcPr>
          <w:p w14:paraId="0DC7A21C" w14:textId="77777777" w:rsidR="00032351" w:rsidRPr="00565ADE" w:rsidRDefault="00032351" w:rsidP="00296606">
            <w:pPr>
              <w:rPr>
                <w:sz w:val="22"/>
                <w:szCs w:val="22"/>
                <w:lang w:val="en-GB"/>
              </w:rPr>
            </w:pPr>
          </w:p>
        </w:tc>
      </w:tr>
      <w:tr w:rsidR="00032351" w:rsidRPr="00565ADE" w14:paraId="679D3E0F" w14:textId="77777777" w:rsidTr="00296606">
        <w:trPr>
          <w:cantSplit/>
        </w:trPr>
        <w:tc>
          <w:tcPr>
            <w:tcW w:w="5000" w:type="pct"/>
            <w:gridSpan w:val="7"/>
            <w:tcBorders>
              <w:top w:val="single" w:sz="6" w:space="0" w:color="000000"/>
              <w:left w:val="single" w:sz="6" w:space="0" w:color="000000"/>
              <w:bottom w:val="single" w:sz="6" w:space="0" w:color="000000"/>
              <w:right w:val="single" w:sz="6" w:space="0" w:color="000000"/>
            </w:tcBorders>
            <w:vAlign w:val="center"/>
            <w:hideMark/>
          </w:tcPr>
          <w:p w14:paraId="067C3F83" w14:textId="77777777" w:rsidR="00032351" w:rsidRPr="00565ADE" w:rsidRDefault="00032351" w:rsidP="00296606">
            <w:pPr>
              <w:rPr>
                <w:b/>
                <w:i/>
                <w:sz w:val="22"/>
                <w:szCs w:val="22"/>
              </w:rPr>
            </w:pPr>
            <w:r w:rsidRPr="00565ADE">
              <w:rPr>
                <w:b/>
                <w:sz w:val="22"/>
                <w:szCs w:val="22"/>
              </w:rPr>
              <w:t>160 mg/kg (totaldosis) administreret over 4 dage</w:t>
            </w:r>
          </w:p>
        </w:tc>
      </w:tr>
      <w:tr w:rsidR="00032351" w:rsidRPr="00565ADE" w14:paraId="497B3D4D" w14:textId="77777777" w:rsidTr="00296606">
        <w:trPr>
          <w:cantSplit/>
          <w:trHeight w:val="327"/>
        </w:trPr>
        <w:tc>
          <w:tcPr>
            <w:tcW w:w="633" w:type="pct"/>
            <w:vMerge w:val="restart"/>
            <w:tcBorders>
              <w:top w:val="single" w:sz="6" w:space="0" w:color="000000"/>
              <w:left w:val="single" w:sz="6" w:space="0" w:color="000000"/>
              <w:bottom w:val="single" w:sz="6" w:space="0" w:color="000000"/>
              <w:right w:val="single" w:sz="6" w:space="0" w:color="000000"/>
            </w:tcBorders>
            <w:vAlign w:val="center"/>
            <w:hideMark/>
          </w:tcPr>
          <w:p w14:paraId="1662AB81" w14:textId="77777777" w:rsidR="00032351" w:rsidRPr="00565ADE" w:rsidRDefault="00032351" w:rsidP="00296606">
            <w:pPr>
              <w:rPr>
                <w:sz w:val="22"/>
                <w:szCs w:val="22"/>
                <w:lang w:val="en-GB"/>
              </w:rPr>
            </w:pPr>
            <w:proofErr w:type="spellStart"/>
            <w:r w:rsidRPr="00565ADE">
              <w:rPr>
                <w:sz w:val="22"/>
                <w:szCs w:val="22"/>
              </w:rPr>
              <w:t>Scheinberg</w:t>
            </w:r>
            <w:proofErr w:type="spellEnd"/>
            <w:r w:rsidRPr="00565ADE">
              <w:rPr>
                <w:sz w:val="22"/>
                <w:szCs w:val="22"/>
              </w:rPr>
              <w:t xml:space="preserve"> 2009</w:t>
            </w:r>
          </w:p>
        </w:tc>
        <w:tc>
          <w:tcPr>
            <w:tcW w:w="1033" w:type="pct"/>
            <w:tcBorders>
              <w:top w:val="single" w:sz="6" w:space="0" w:color="000000"/>
              <w:left w:val="single" w:sz="6" w:space="0" w:color="000000"/>
              <w:bottom w:val="dashed" w:sz="4" w:space="0" w:color="auto"/>
              <w:right w:val="single" w:sz="6" w:space="0" w:color="000000"/>
            </w:tcBorders>
            <w:vAlign w:val="center"/>
            <w:hideMark/>
          </w:tcPr>
          <w:p w14:paraId="625A3679" w14:textId="77777777" w:rsidR="00032351" w:rsidRPr="00565ADE" w:rsidRDefault="00032351" w:rsidP="00296606">
            <w:pPr>
              <w:rPr>
                <w:sz w:val="22"/>
                <w:szCs w:val="22"/>
                <w:lang w:val="en-GB"/>
              </w:rPr>
            </w:pPr>
            <w:proofErr w:type="spellStart"/>
            <w:r w:rsidRPr="00565ADE">
              <w:rPr>
                <w:sz w:val="22"/>
                <w:szCs w:val="22"/>
              </w:rPr>
              <w:t>ekvinATG</w:t>
            </w:r>
            <w:proofErr w:type="spellEnd"/>
            <w:r w:rsidRPr="00565ADE">
              <w:rPr>
                <w:sz w:val="22"/>
                <w:szCs w:val="22"/>
              </w:rPr>
              <w:t xml:space="preserve">+ </w:t>
            </w:r>
            <w:proofErr w:type="spellStart"/>
            <w:r w:rsidRPr="00565ADE">
              <w:rPr>
                <w:sz w:val="22"/>
                <w:szCs w:val="22"/>
              </w:rPr>
              <w:t>CsA</w:t>
            </w:r>
            <w:proofErr w:type="spellEnd"/>
            <w:r w:rsidRPr="00565ADE">
              <w:rPr>
                <w:sz w:val="22"/>
                <w:szCs w:val="22"/>
              </w:rPr>
              <w:t xml:space="preserve"> + </w:t>
            </w:r>
            <w:proofErr w:type="spellStart"/>
            <w:r w:rsidRPr="00565ADE">
              <w:rPr>
                <w:sz w:val="22"/>
                <w:szCs w:val="22"/>
              </w:rPr>
              <w:t>sirolimus</w:t>
            </w:r>
            <w:proofErr w:type="spellEnd"/>
          </w:p>
        </w:tc>
        <w:tc>
          <w:tcPr>
            <w:tcW w:w="477" w:type="pct"/>
            <w:tcBorders>
              <w:top w:val="single" w:sz="6" w:space="0" w:color="000000"/>
              <w:left w:val="single" w:sz="6" w:space="0" w:color="000000"/>
              <w:bottom w:val="dashed" w:sz="4" w:space="0" w:color="auto"/>
              <w:right w:val="single" w:sz="6" w:space="0" w:color="000000"/>
            </w:tcBorders>
            <w:vAlign w:val="center"/>
            <w:hideMark/>
          </w:tcPr>
          <w:p w14:paraId="39E8AC27" w14:textId="77777777" w:rsidR="00032351" w:rsidRPr="00565ADE" w:rsidRDefault="00032351" w:rsidP="00296606">
            <w:pPr>
              <w:rPr>
                <w:sz w:val="22"/>
                <w:szCs w:val="22"/>
                <w:lang w:val="en-GB"/>
              </w:rPr>
            </w:pPr>
            <w:r w:rsidRPr="00565ADE">
              <w:rPr>
                <w:sz w:val="22"/>
                <w:szCs w:val="22"/>
                <w:lang w:val="en-GB"/>
              </w:rPr>
              <w:t>35</w:t>
            </w:r>
          </w:p>
        </w:tc>
        <w:tc>
          <w:tcPr>
            <w:tcW w:w="667" w:type="pct"/>
            <w:tcBorders>
              <w:top w:val="single" w:sz="6" w:space="0" w:color="000000"/>
              <w:left w:val="single" w:sz="6" w:space="0" w:color="000000"/>
              <w:bottom w:val="dashed" w:sz="4" w:space="0" w:color="auto"/>
              <w:right w:val="single" w:sz="6" w:space="0" w:color="000000"/>
            </w:tcBorders>
            <w:vAlign w:val="center"/>
            <w:hideMark/>
          </w:tcPr>
          <w:p w14:paraId="2E213919" w14:textId="77777777" w:rsidR="00032351" w:rsidRPr="00565ADE" w:rsidRDefault="00032351" w:rsidP="00296606">
            <w:pPr>
              <w:rPr>
                <w:sz w:val="22"/>
                <w:szCs w:val="22"/>
              </w:rPr>
            </w:pPr>
            <w:r w:rsidRPr="00565ADE">
              <w:rPr>
                <w:sz w:val="22"/>
                <w:szCs w:val="22"/>
              </w:rPr>
              <w:t>51 %</w:t>
            </w:r>
          </w:p>
          <w:p w14:paraId="4B984142" w14:textId="77777777" w:rsidR="00032351" w:rsidRPr="00565ADE" w:rsidRDefault="00032351" w:rsidP="00296606">
            <w:pPr>
              <w:rPr>
                <w:sz w:val="22"/>
                <w:szCs w:val="22"/>
                <w:lang w:val="en-GB"/>
              </w:rPr>
            </w:pPr>
            <w:r w:rsidRPr="00565ADE">
              <w:rPr>
                <w:sz w:val="22"/>
                <w:szCs w:val="22"/>
              </w:rPr>
              <w:t>(6 </w:t>
            </w:r>
            <w:proofErr w:type="spellStart"/>
            <w:r w:rsidRPr="00565ADE">
              <w:rPr>
                <w:sz w:val="22"/>
                <w:szCs w:val="22"/>
              </w:rPr>
              <w:t>mdr</w:t>
            </w:r>
            <w:proofErr w:type="spellEnd"/>
            <w:r w:rsidRPr="00565ADE">
              <w:rPr>
                <w:sz w:val="22"/>
                <w:szCs w:val="22"/>
              </w:rPr>
              <w:t>)</w:t>
            </w:r>
          </w:p>
        </w:tc>
        <w:tc>
          <w:tcPr>
            <w:tcW w:w="711" w:type="pct"/>
            <w:vMerge w:val="restart"/>
            <w:tcBorders>
              <w:top w:val="single" w:sz="6" w:space="0" w:color="000000"/>
              <w:left w:val="single" w:sz="6" w:space="0" w:color="000000"/>
              <w:bottom w:val="single" w:sz="6" w:space="0" w:color="000000"/>
              <w:right w:val="single" w:sz="6" w:space="0" w:color="000000"/>
            </w:tcBorders>
            <w:vAlign w:val="center"/>
            <w:hideMark/>
          </w:tcPr>
          <w:p w14:paraId="2B0C5E44" w14:textId="77777777" w:rsidR="00032351" w:rsidRPr="00565ADE" w:rsidRDefault="00032351" w:rsidP="00296606">
            <w:pPr>
              <w:rPr>
                <w:sz w:val="22"/>
                <w:szCs w:val="22"/>
                <w:lang w:val="en-GB"/>
              </w:rPr>
            </w:pPr>
            <w:r w:rsidRPr="00565ADE">
              <w:rPr>
                <w:sz w:val="22"/>
                <w:szCs w:val="22"/>
              </w:rPr>
              <w:t xml:space="preserve">Ikke </w:t>
            </w:r>
            <w:proofErr w:type="spellStart"/>
            <w:r w:rsidRPr="00565ADE">
              <w:rPr>
                <w:sz w:val="22"/>
                <w:szCs w:val="22"/>
              </w:rPr>
              <w:t>rapp</w:t>
            </w:r>
            <w:proofErr w:type="spellEnd"/>
            <w:r w:rsidRPr="00565ADE">
              <w:rPr>
                <w:sz w:val="22"/>
                <w:szCs w:val="22"/>
              </w:rPr>
              <w:t>.</w:t>
            </w:r>
          </w:p>
        </w:tc>
        <w:tc>
          <w:tcPr>
            <w:tcW w:w="709" w:type="pct"/>
            <w:tcBorders>
              <w:top w:val="single" w:sz="6" w:space="0" w:color="000000"/>
              <w:left w:val="single" w:sz="6" w:space="0" w:color="000000"/>
              <w:bottom w:val="dashed" w:sz="4" w:space="0" w:color="auto"/>
              <w:right w:val="single" w:sz="6" w:space="0" w:color="000000"/>
            </w:tcBorders>
            <w:vAlign w:val="center"/>
            <w:hideMark/>
          </w:tcPr>
          <w:p w14:paraId="14890FA7" w14:textId="77777777" w:rsidR="00032351" w:rsidRPr="00565ADE" w:rsidRDefault="00032351" w:rsidP="00296606">
            <w:pPr>
              <w:rPr>
                <w:sz w:val="22"/>
                <w:szCs w:val="22"/>
              </w:rPr>
            </w:pPr>
            <w:r w:rsidRPr="00565ADE">
              <w:rPr>
                <w:sz w:val="22"/>
                <w:szCs w:val="22"/>
              </w:rPr>
              <w:t>97 %</w:t>
            </w:r>
          </w:p>
          <w:p w14:paraId="692A2EF1" w14:textId="77777777" w:rsidR="00032351" w:rsidRPr="00565ADE" w:rsidRDefault="00032351" w:rsidP="00296606">
            <w:pPr>
              <w:rPr>
                <w:sz w:val="22"/>
                <w:szCs w:val="22"/>
                <w:lang w:val="en-GB"/>
              </w:rPr>
            </w:pPr>
            <w:r w:rsidRPr="00565ADE">
              <w:rPr>
                <w:sz w:val="22"/>
                <w:szCs w:val="22"/>
              </w:rPr>
              <w:t>(36 </w:t>
            </w:r>
            <w:proofErr w:type="spellStart"/>
            <w:r w:rsidRPr="00565ADE">
              <w:rPr>
                <w:sz w:val="22"/>
                <w:szCs w:val="22"/>
              </w:rPr>
              <w:t>mdr</w:t>
            </w:r>
            <w:proofErr w:type="spellEnd"/>
            <w:r w:rsidRPr="00565ADE">
              <w:rPr>
                <w:sz w:val="22"/>
                <w:szCs w:val="22"/>
              </w:rPr>
              <w:t>)</w:t>
            </w:r>
          </w:p>
        </w:tc>
        <w:tc>
          <w:tcPr>
            <w:tcW w:w="771" w:type="pct"/>
            <w:vMerge w:val="restart"/>
            <w:tcBorders>
              <w:top w:val="single" w:sz="6" w:space="0" w:color="000000"/>
              <w:left w:val="single" w:sz="6" w:space="0" w:color="000000"/>
              <w:bottom w:val="single" w:sz="6" w:space="0" w:color="000000"/>
              <w:right w:val="single" w:sz="6" w:space="0" w:color="000000"/>
            </w:tcBorders>
            <w:vAlign w:val="center"/>
            <w:hideMark/>
          </w:tcPr>
          <w:p w14:paraId="1257B303" w14:textId="77777777" w:rsidR="00032351" w:rsidRPr="00565ADE" w:rsidRDefault="00032351" w:rsidP="00296606">
            <w:pPr>
              <w:rPr>
                <w:sz w:val="22"/>
                <w:szCs w:val="22"/>
                <w:lang w:val="en-GB"/>
              </w:rPr>
            </w:pPr>
            <w:r w:rsidRPr="00565ADE">
              <w:rPr>
                <w:sz w:val="22"/>
                <w:szCs w:val="22"/>
              </w:rPr>
              <w:t>=0,30 (log-rank)</w:t>
            </w:r>
          </w:p>
        </w:tc>
      </w:tr>
      <w:tr w:rsidR="00032351" w:rsidRPr="00565ADE" w14:paraId="49A3818B" w14:textId="77777777" w:rsidTr="00296606">
        <w:trPr>
          <w:cantSplit/>
          <w:trHeight w:val="309"/>
        </w:trPr>
        <w:tc>
          <w:tcPr>
            <w:tcW w:w="633" w:type="pct"/>
            <w:vMerge/>
            <w:tcBorders>
              <w:top w:val="single" w:sz="6" w:space="0" w:color="000000"/>
              <w:left w:val="single" w:sz="6" w:space="0" w:color="000000"/>
              <w:bottom w:val="single" w:sz="6" w:space="0" w:color="000000"/>
              <w:right w:val="single" w:sz="6" w:space="0" w:color="000000"/>
            </w:tcBorders>
            <w:vAlign w:val="center"/>
            <w:hideMark/>
          </w:tcPr>
          <w:p w14:paraId="17EB8A31" w14:textId="77777777" w:rsidR="00032351" w:rsidRPr="00565ADE" w:rsidRDefault="00032351" w:rsidP="00296606">
            <w:pPr>
              <w:rPr>
                <w:sz w:val="22"/>
                <w:szCs w:val="22"/>
                <w:lang w:val="en-GB"/>
              </w:rPr>
            </w:pPr>
          </w:p>
        </w:tc>
        <w:tc>
          <w:tcPr>
            <w:tcW w:w="1033" w:type="pct"/>
            <w:tcBorders>
              <w:top w:val="dashed" w:sz="4" w:space="0" w:color="auto"/>
              <w:left w:val="single" w:sz="6" w:space="0" w:color="000000"/>
              <w:bottom w:val="single" w:sz="4" w:space="0" w:color="auto"/>
              <w:right w:val="single" w:sz="6" w:space="0" w:color="000000"/>
            </w:tcBorders>
            <w:vAlign w:val="center"/>
            <w:hideMark/>
          </w:tcPr>
          <w:p w14:paraId="42213DC3" w14:textId="77777777" w:rsidR="00032351" w:rsidRPr="00565ADE" w:rsidRDefault="00032351" w:rsidP="00296606">
            <w:pPr>
              <w:rPr>
                <w:sz w:val="22"/>
                <w:szCs w:val="22"/>
                <w:highlight w:val="green"/>
                <w:lang w:val="en-GB"/>
              </w:rPr>
            </w:pPr>
            <w:proofErr w:type="spellStart"/>
            <w:r w:rsidRPr="00565ADE">
              <w:rPr>
                <w:sz w:val="22"/>
                <w:szCs w:val="22"/>
              </w:rPr>
              <w:t>ekvinATG</w:t>
            </w:r>
            <w:proofErr w:type="spellEnd"/>
            <w:r w:rsidRPr="00565ADE">
              <w:rPr>
                <w:sz w:val="22"/>
                <w:szCs w:val="22"/>
              </w:rPr>
              <w:t xml:space="preserve"> + </w:t>
            </w:r>
            <w:proofErr w:type="spellStart"/>
            <w:r w:rsidRPr="00565ADE">
              <w:rPr>
                <w:sz w:val="22"/>
                <w:szCs w:val="22"/>
              </w:rPr>
              <w:t>CsA</w:t>
            </w:r>
            <w:proofErr w:type="spellEnd"/>
          </w:p>
        </w:tc>
        <w:tc>
          <w:tcPr>
            <w:tcW w:w="477" w:type="pct"/>
            <w:tcBorders>
              <w:top w:val="dashed" w:sz="4" w:space="0" w:color="auto"/>
              <w:left w:val="single" w:sz="6" w:space="0" w:color="000000"/>
              <w:bottom w:val="single" w:sz="4" w:space="0" w:color="auto"/>
              <w:right w:val="single" w:sz="6" w:space="0" w:color="000000"/>
            </w:tcBorders>
            <w:vAlign w:val="center"/>
            <w:hideMark/>
          </w:tcPr>
          <w:p w14:paraId="104B3204" w14:textId="77777777" w:rsidR="00032351" w:rsidRPr="00565ADE" w:rsidRDefault="00032351" w:rsidP="00296606">
            <w:pPr>
              <w:rPr>
                <w:sz w:val="22"/>
                <w:szCs w:val="22"/>
                <w:highlight w:val="green"/>
                <w:lang w:val="en-GB"/>
              </w:rPr>
            </w:pPr>
            <w:r w:rsidRPr="00565ADE">
              <w:rPr>
                <w:sz w:val="22"/>
                <w:szCs w:val="22"/>
                <w:lang w:val="en-GB"/>
              </w:rPr>
              <w:t>42</w:t>
            </w:r>
          </w:p>
        </w:tc>
        <w:tc>
          <w:tcPr>
            <w:tcW w:w="667" w:type="pct"/>
            <w:tcBorders>
              <w:top w:val="dashed" w:sz="4" w:space="0" w:color="auto"/>
              <w:left w:val="single" w:sz="6" w:space="0" w:color="000000"/>
              <w:bottom w:val="single" w:sz="4" w:space="0" w:color="auto"/>
              <w:right w:val="single" w:sz="6" w:space="0" w:color="000000"/>
            </w:tcBorders>
            <w:vAlign w:val="center"/>
            <w:hideMark/>
          </w:tcPr>
          <w:p w14:paraId="2FCA8491" w14:textId="77777777" w:rsidR="00032351" w:rsidRPr="00565ADE" w:rsidRDefault="00032351" w:rsidP="00296606">
            <w:pPr>
              <w:rPr>
                <w:sz w:val="22"/>
                <w:szCs w:val="22"/>
              </w:rPr>
            </w:pPr>
            <w:r w:rsidRPr="00565ADE">
              <w:rPr>
                <w:sz w:val="22"/>
                <w:szCs w:val="22"/>
              </w:rPr>
              <w:t>62 %</w:t>
            </w:r>
          </w:p>
          <w:p w14:paraId="074C8299" w14:textId="77777777" w:rsidR="00032351" w:rsidRPr="00565ADE" w:rsidRDefault="00032351" w:rsidP="00296606">
            <w:pPr>
              <w:rPr>
                <w:sz w:val="22"/>
                <w:szCs w:val="22"/>
                <w:highlight w:val="green"/>
                <w:lang w:val="en-GB"/>
              </w:rPr>
            </w:pPr>
            <w:r w:rsidRPr="00565ADE">
              <w:rPr>
                <w:sz w:val="22"/>
                <w:szCs w:val="22"/>
              </w:rPr>
              <w:t>(6 </w:t>
            </w:r>
            <w:proofErr w:type="spellStart"/>
            <w:r w:rsidRPr="00565ADE">
              <w:rPr>
                <w:sz w:val="22"/>
                <w:szCs w:val="22"/>
              </w:rPr>
              <w:t>mdr</w:t>
            </w:r>
            <w:proofErr w:type="spellEnd"/>
            <w:r w:rsidRPr="00565ADE">
              <w:rPr>
                <w:sz w:val="22"/>
                <w:szCs w:val="22"/>
              </w:rPr>
              <w:t>)</w:t>
            </w:r>
          </w:p>
        </w:tc>
        <w:tc>
          <w:tcPr>
            <w:tcW w:w="711" w:type="pct"/>
            <w:vMerge/>
            <w:tcBorders>
              <w:top w:val="single" w:sz="6" w:space="0" w:color="000000"/>
              <w:left w:val="single" w:sz="6" w:space="0" w:color="000000"/>
              <w:bottom w:val="single" w:sz="6" w:space="0" w:color="000000"/>
              <w:right w:val="single" w:sz="6" w:space="0" w:color="000000"/>
            </w:tcBorders>
            <w:vAlign w:val="center"/>
            <w:hideMark/>
          </w:tcPr>
          <w:p w14:paraId="1D3AEBD8" w14:textId="77777777" w:rsidR="00032351" w:rsidRPr="00565ADE" w:rsidRDefault="00032351" w:rsidP="00296606">
            <w:pPr>
              <w:rPr>
                <w:sz w:val="22"/>
                <w:szCs w:val="22"/>
                <w:lang w:val="en-GB"/>
              </w:rPr>
            </w:pPr>
          </w:p>
        </w:tc>
        <w:tc>
          <w:tcPr>
            <w:tcW w:w="709" w:type="pct"/>
            <w:tcBorders>
              <w:top w:val="dashed" w:sz="4" w:space="0" w:color="auto"/>
              <w:left w:val="single" w:sz="6" w:space="0" w:color="000000"/>
              <w:bottom w:val="single" w:sz="6" w:space="0" w:color="000000"/>
              <w:right w:val="single" w:sz="6" w:space="0" w:color="000000"/>
            </w:tcBorders>
            <w:vAlign w:val="center"/>
            <w:hideMark/>
          </w:tcPr>
          <w:p w14:paraId="78768326" w14:textId="77777777" w:rsidR="00032351" w:rsidRPr="00565ADE" w:rsidRDefault="00032351" w:rsidP="00296606">
            <w:pPr>
              <w:rPr>
                <w:sz w:val="22"/>
                <w:szCs w:val="22"/>
              </w:rPr>
            </w:pPr>
            <w:r w:rsidRPr="00565ADE">
              <w:rPr>
                <w:sz w:val="22"/>
                <w:szCs w:val="22"/>
              </w:rPr>
              <w:t>90 %</w:t>
            </w:r>
          </w:p>
          <w:p w14:paraId="75924628" w14:textId="77777777" w:rsidR="00032351" w:rsidRPr="00565ADE" w:rsidRDefault="00032351" w:rsidP="00296606">
            <w:pPr>
              <w:rPr>
                <w:sz w:val="22"/>
                <w:szCs w:val="22"/>
                <w:highlight w:val="green"/>
                <w:lang w:val="en-GB"/>
              </w:rPr>
            </w:pPr>
            <w:r w:rsidRPr="00565ADE">
              <w:rPr>
                <w:sz w:val="22"/>
                <w:szCs w:val="22"/>
              </w:rPr>
              <w:t>(36 </w:t>
            </w:r>
            <w:proofErr w:type="spellStart"/>
            <w:r w:rsidRPr="00565ADE">
              <w:rPr>
                <w:sz w:val="22"/>
                <w:szCs w:val="22"/>
              </w:rPr>
              <w:t>mdr</w:t>
            </w:r>
            <w:proofErr w:type="spellEnd"/>
            <w:r w:rsidRPr="00565ADE">
              <w:rPr>
                <w:sz w:val="22"/>
                <w:szCs w:val="22"/>
              </w:rPr>
              <w:t>)</w:t>
            </w:r>
          </w:p>
        </w:tc>
        <w:tc>
          <w:tcPr>
            <w:tcW w:w="771" w:type="pct"/>
            <w:vMerge/>
            <w:tcBorders>
              <w:top w:val="single" w:sz="6" w:space="0" w:color="000000"/>
              <w:left w:val="single" w:sz="6" w:space="0" w:color="000000"/>
              <w:bottom w:val="single" w:sz="6" w:space="0" w:color="000000"/>
              <w:right w:val="single" w:sz="6" w:space="0" w:color="000000"/>
            </w:tcBorders>
            <w:vAlign w:val="center"/>
            <w:hideMark/>
          </w:tcPr>
          <w:p w14:paraId="079A6864" w14:textId="77777777" w:rsidR="00032351" w:rsidRPr="00565ADE" w:rsidRDefault="00032351" w:rsidP="00296606">
            <w:pPr>
              <w:rPr>
                <w:sz w:val="22"/>
                <w:szCs w:val="22"/>
                <w:lang w:val="en-GB"/>
              </w:rPr>
            </w:pPr>
          </w:p>
        </w:tc>
      </w:tr>
      <w:tr w:rsidR="00032351" w:rsidRPr="00565ADE" w14:paraId="4609FA11" w14:textId="77777777" w:rsidTr="00296606">
        <w:trPr>
          <w:cantSplit/>
          <w:trHeight w:val="309"/>
        </w:trPr>
        <w:tc>
          <w:tcPr>
            <w:tcW w:w="633" w:type="pct"/>
            <w:vMerge w:val="restart"/>
            <w:tcBorders>
              <w:top w:val="single" w:sz="6" w:space="0" w:color="000000"/>
              <w:left w:val="single" w:sz="6" w:space="0" w:color="000000"/>
              <w:bottom w:val="single" w:sz="6" w:space="0" w:color="000000"/>
              <w:right w:val="single" w:sz="6" w:space="0" w:color="000000"/>
            </w:tcBorders>
            <w:vAlign w:val="center"/>
            <w:hideMark/>
          </w:tcPr>
          <w:p w14:paraId="20AD9AB3" w14:textId="77777777" w:rsidR="00032351" w:rsidRPr="00565ADE" w:rsidRDefault="00032351" w:rsidP="00296606">
            <w:pPr>
              <w:rPr>
                <w:sz w:val="22"/>
                <w:szCs w:val="22"/>
                <w:lang w:val="en-GB"/>
              </w:rPr>
            </w:pPr>
            <w:proofErr w:type="spellStart"/>
            <w:r w:rsidRPr="00565ADE">
              <w:rPr>
                <w:sz w:val="22"/>
                <w:szCs w:val="22"/>
              </w:rPr>
              <w:t>Scheinberg</w:t>
            </w:r>
            <w:proofErr w:type="spellEnd"/>
            <w:r w:rsidRPr="00565ADE">
              <w:rPr>
                <w:sz w:val="22"/>
                <w:szCs w:val="22"/>
              </w:rPr>
              <w:t xml:space="preserve"> 2011</w:t>
            </w:r>
          </w:p>
        </w:tc>
        <w:tc>
          <w:tcPr>
            <w:tcW w:w="1033" w:type="pct"/>
            <w:tcBorders>
              <w:top w:val="single" w:sz="4" w:space="0" w:color="auto"/>
              <w:left w:val="single" w:sz="6" w:space="0" w:color="000000"/>
              <w:bottom w:val="dashed" w:sz="4" w:space="0" w:color="auto"/>
              <w:right w:val="single" w:sz="6" w:space="0" w:color="000000"/>
            </w:tcBorders>
            <w:vAlign w:val="center"/>
            <w:hideMark/>
          </w:tcPr>
          <w:p w14:paraId="3F147967" w14:textId="77777777" w:rsidR="00032351" w:rsidRPr="00565ADE" w:rsidRDefault="00032351" w:rsidP="00296606">
            <w:pPr>
              <w:rPr>
                <w:sz w:val="22"/>
                <w:szCs w:val="22"/>
                <w:lang w:val="en-GB"/>
              </w:rPr>
            </w:pPr>
            <w:proofErr w:type="spellStart"/>
            <w:r w:rsidRPr="00565ADE">
              <w:rPr>
                <w:sz w:val="22"/>
                <w:szCs w:val="22"/>
              </w:rPr>
              <w:t>ekvinATG</w:t>
            </w:r>
            <w:proofErr w:type="spellEnd"/>
            <w:r w:rsidRPr="00565ADE">
              <w:rPr>
                <w:sz w:val="22"/>
                <w:szCs w:val="22"/>
              </w:rPr>
              <w:t xml:space="preserve"> + </w:t>
            </w:r>
            <w:proofErr w:type="spellStart"/>
            <w:r w:rsidRPr="00565ADE">
              <w:rPr>
                <w:sz w:val="22"/>
                <w:szCs w:val="22"/>
              </w:rPr>
              <w:t>CsA</w:t>
            </w:r>
            <w:proofErr w:type="spellEnd"/>
          </w:p>
        </w:tc>
        <w:tc>
          <w:tcPr>
            <w:tcW w:w="477" w:type="pct"/>
            <w:tcBorders>
              <w:top w:val="single" w:sz="4" w:space="0" w:color="auto"/>
              <w:left w:val="single" w:sz="6" w:space="0" w:color="000000"/>
              <w:bottom w:val="dashed" w:sz="4" w:space="0" w:color="auto"/>
              <w:right w:val="single" w:sz="6" w:space="0" w:color="000000"/>
            </w:tcBorders>
            <w:vAlign w:val="center"/>
            <w:hideMark/>
          </w:tcPr>
          <w:p w14:paraId="0F823CFD" w14:textId="77777777" w:rsidR="00032351" w:rsidRPr="00565ADE" w:rsidRDefault="00032351" w:rsidP="00296606">
            <w:pPr>
              <w:rPr>
                <w:sz w:val="22"/>
                <w:szCs w:val="22"/>
                <w:lang w:val="en-GB"/>
              </w:rPr>
            </w:pPr>
            <w:r w:rsidRPr="00565ADE">
              <w:rPr>
                <w:sz w:val="22"/>
                <w:szCs w:val="22"/>
                <w:lang w:val="en-GB"/>
              </w:rPr>
              <w:t>60</w:t>
            </w:r>
          </w:p>
        </w:tc>
        <w:tc>
          <w:tcPr>
            <w:tcW w:w="667" w:type="pct"/>
            <w:tcBorders>
              <w:top w:val="single" w:sz="4" w:space="0" w:color="auto"/>
              <w:left w:val="single" w:sz="6" w:space="0" w:color="000000"/>
              <w:bottom w:val="dashed" w:sz="4" w:space="0" w:color="auto"/>
              <w:right w:val="single" w:sz="6" w:space="0" w:color="000000"/>
            </w:tcBorders>
            <w:hideMark/>
          </w:tcPr>
          <w:p w14:paraId="126A5DDA" w14:textId="77777777" w:rsidR="00032351" w:rsidRPr="00565ADE" w:rsidRDefault="00032351" w:rsidP="00296606">
            <w:pPr>
              <w:rPr>
                <w:sz w:val="22"/>
                <w:szCs w:val="22"/>
              </w:rPr>
            </w:pPr>
            <w:r w:rsidRPr="00565ADE">
              <w:rPr>
                <w:sz w:val="22"/>
                <w:szCs w:val="22"/>
              </w:rPr>
              <w:t>68 %</w:t>
            </w:r>
          </w:p>
          <w:p w14:paraId="159F208E" w14:textId="77777777" w:rsidR="00032351" w:rsidRPr="00565ADE" w:rsidRDefault="00032351" w:rsidP="00296606">
            <w:pPr>
              <w:rPr>
                <w:sz w:val="22"/>
                <w:szCs w:val="22"/>
                <w:lang w:val="en-GB"/>
              </w:rPr>
            </w:pPr>
            <w:r w:rsidRPr="00565ADE">
              <w:rPr>
                <w:sz w:val="22"/>
                <w:szCs w:val="22"/>
              </w:rPr>
              <w:t>(6 </w:t>
            </w:r>
            <w:proofErr w:type="spellStart"/>
            <w:r w:rsidRPr="00565ADE">
              <w:rPr>
                <w:sz w:val="22"/>
                <w:szCs w:val="22"/>
              </w:rPr>
              <w:t>mdr</w:t>
            </w:r>
            <w:proofErr w:type="spellEnd"/>
            <w:r w:rsidRPr="00565ADE">
              <w:rPr>
                <w:sz w:val="22"/>
                <w:szCs w:val="22"/>
              </w:rPr>
              <w:t>)</w:t>
            </w:r>
          </w:p>
        </w:tc>
        <w:tc>
          <w:tcPr>
            <w:tcW w:w="711" w:type="pct"/>
            <w:vMerge w:val="restart"/>
            <w:tcBorders>
              <w:top w:val="single" w:sz="6" w:space="0" w:color="000000"/>
              <w:left w:val="single" w:sz="6" w:space="0" w:color="000000"/>
              <w:bottom w:val="single" w:sz="6" w:space="0" w:color="000000"/>
              <w:right w:val="single" w:sz="6" w:space="0" w:color="000000"/>
            </w:tcBorders>
            <w:vAlign w:val="center"/>
            <w:hideMark/>
          </w:tcPr>
          <w:p w14:paraId="14B0AF72" w14:textId="77777777" w:rsidR="00032351" w:rsidRPr="00565ADE" w:rsidRDefault="00032351" w:rsidP="00296606">
            <w:pPr>
              <w:rPr>
                <w:sz w:val="22"/>
                <w:szCs w:val="22"/>
                <w:lang w:val="en-GB"/>
              </w:rPr>
            </w:pPr>
            <w:r w:rsidRPr="00565ADE">
              <w:rPr>
                <w:sz w:val="22"/>
                <w:szCs w:val="22"/>
                <w:lang w:val="en-GB"/>
              </w:rPr>
              <w:t>&lt;0,001</w:t>
            </w:r>
          </w:p>
        </w:tc>
        <w:tc>
          <w:tcPr>
            <w:tcW w:w="709" w:type="pct"/>
            <w:tcBorders>
              <w:top w:val="single" w:sz="6" w:space="0" w:color="000000"/>
              <w:left w:val="single" w:sz="6" w:space="0" w:color="000000"/>
              <w:bottom w:val="dashed" w:sz="4" w:space="0" w:color="auto"/>
              <w:right w:val="single" w:sz="6" w:space="0" w:color="000000"/>
            </w:tcBorders>
            <w:vAlign w:val="center"/>
            <w:hideMark/>
          </w:tcPr>
          <w:p w14:paraId="5947634E" w14:textId="77777777" w:rsidR="00032351" w:rsidRPr="00565ADE" w:rsidRDefault="00032351" w:rsidP="00296606">
            <w:pPr>
              <w:rPr>
                <w:sz w:val="22"/>
                <w:szCs w:val="22"/>
                <w:lang w:val="en-GB"/>
              </w:rPr>
            </w:pPr>
            <w:r w:rsidRPr="00565ADE">
              <w:rPr>
                <w:sz w:val="22"/>
                <w:szCs w:val="22"/>
              </w:rPr>
              <w:t>96 %</w:t>
            </w:r>
            <w:r w:rsidRPr="00565ADE">
              <w:rPr>
                <w:sz w:val="22"/>
                <w:szCs w:val="22"/>
                <w:vertAlign w:val="superscript"/>
              </w:rPr>
              <w:t xml:space="preserve">g </w:t>
            </w:r>
            <w:r w:rsidRPr="00565ADE">
              <w:rPr>
                <w:sz w:val="22"/>
                <w:szCs w:val="22"/>
              </w:rPr>
              <w:t>/ 94 %</w:t>
            </w:r>
            <w:r w:rsidRPr="00565ADE">
              <w:rPr>
                <w:sz w:val="22"/>
                <w:szCs w:val="22"/>
                <w:vertAlign w:val="superscript"/>
              </w:rPr>
              <w:t xml:space="preserve">h </w:t>
            </w:r>
            <w:r w:rsidRPr="00565ADE">
              <w:rPr>
                <w:sz w:val="22"/>
                <w:szCs w:val="22"/>
              </w:rPr>
              <w:t>(36 </w:t>
            </w:r>
            <w:proofErr w:type="spellStart"/>
            <w:r w:rsidRPr="00565ADE">
              <w:rPr>
                <w:sz w:val="22"/>
                <w:szCs w:val="22"/>
              </w:rPr>
              <w:t>mdr</w:t>
            </w:r>
            <w:proofErr w:type="spellEnd"/>
            <w:r w:rsidRPr="00565ADE">
              <w:rPr>
                <w:sz w:val="22"/>
                <w:szCs w:val="22"/>
              </w:rPr>
              <w:t>)</w:t>
            </w:r>
          </w:p>
        </w:tc>
        <w:tc>
          <w:tcPr>
            <w:tcW w:w="771" w:type="pct"/>
            <w:vMerge w:val="restart"/>
            <w:tcBorders>
              <w:top w:val="single" w:sz="6" w:space="0" w:color="000000"/>
              <w:left w:val="single" w:sz="6" w:space="0" w:color="000000"/>
              <w:bottom w:val="single" w:sz="6" w:space="0" w:color="000000"/>
              <w:right w:val="single" w:sz="6" w:space="0" w:color="000000"/>
            </w:tcBorders>
            <w:vAlign w:val="center"/>
            <w:hideMark/>
          </w:tcPr>
          <w:p w14:paraId="22B99EB3" w14:textId="77777777" w:rsidR="00032351" w:rsidRPr="00565ADE" w:rsidRDefault="00032351" w:rsidP="00296606">
            <w:pPr>
              <w:rPr>
                <w:sz w:val="22"/>
                <w:szCs w:val="22"/>
                <w:lang w:val="en-GB"/>
              </w:rPr>
            </w:pPr>
            <w:r w:rsidRPr="00565ADE">
              <w:rPr>
                <w:sz w:val="22"/>
                <w:szCs w:val="22"/>
              </w:rPr>
              <w:t>=0,04</w:t>
            </w:r>
            <w:r w:rsidRPr="00565ADE">
              <w:rPr>
                <w:sz w:val="22"/>
                <w:szCs w:val="22"/>
                <w:vertAlign w:val="superscript"/>
              </w:rPr>
              <w:t>g</w:t>
            </w:r>
            <w:r w:rsidRPr="00565ADE">
              <w:rPr>
                <w:sz w:val="22"/>
                <w:szCs w:val="22"/>
              </w:rPr>
              <w:t>/=0,008</w:t>
            </w:r>
            <w:r w:rsidRPr="00565ADE">
              <w:rPr>
                <w:sz w:val="22"/>
                <w:szCs w:val="22"/>
                <w:vertAlign w:val="superscript"/>
              </w:rPr>
              <w:t>h</w:t>
            </w:r>
          </w:p>
        </w:tc>
      </w:tr>
      <w:tr w:rsidR="00032351" w:rsidRPr="00565ADE" w14:paraId="6315F9B6" w14:textId="77777777" w:rsidTr="00296606">
        <w:trPr>
          <w:cantSplit/>
          <w:trHeight w:val="327"/>
        </w:trPr>
        <w:tc>
          <w:tcPr>
            <w:tcW w:w="633" w:type="pct"/>
            <w:vMerge/>
            <w:tcBorders>
              <w:top w:val="single" w:sz="6" w:space="0" w:color="000000"/>
              <w:left w:val="single" w:sz="6" w:space="0" w:color="000000"/>
              <w:bottom w:val="single" w:sz="6" w:space="0" w:color="000000"/>
              <w:right w:val="single" w:sz="6" w:space="0" w:color="000000"/>
            </w:tcBorders>
            <w:vAlign w:val="center"/>
            <w:hideMark/>
          </w:tcPr>
          <w:p w14:paraId="07CB2B22" w14:textId="77777777" w:rsidR="00032351" w:rsidRPr="00565ADE" w:rsidRDefault="00032351" w:rsidP="00296606">
            <w:pPr>
              <w:rPr>
                <w:sz w:val="22"/>
                <w:szCs w:val="22"/>
                <w:lang w:val="en-GB"/>
              </w:rPr>
            </w:pPr>
          </w:p>
        </w:tc>
        <w:tc>
          <w:tcPr>
            <w:tcW w:w="1033" w:type="pct"/>
            <w:tcBorders>
              <w:top w:val="dashed" w:sz="4" w:space="0" w:color="auto"/>
              <w:left w:val="single" w:sz="6" w:space="0" w:color="000000"/>
              <w:bottom w:val="single" w:sz="6" w:space="0" w:color="000000"/>
              <w:right w:val="single" w:sz="6" w:space="0" w:color="000000"/>
            </w:tcBorders>
            <w:vAlign w:val="center"/>
            <w:hideMark/>
          </w:tcPr>
          <w:p w14:paraId="1842595F" w14:textId="77777777" w:rsidR="00032351" w:rsidRPr="00565ADE" w:rsidRDefault="00032351" w:rsidP="00296606">
            <w:pPr>
              <w:rPr>
                <w:sz w:val="22"/>
                <w:szCs w:val="22"/>
                <w:lang w:val="en-GB"/>
              </w:rPr>
            </w:pPr>
            <w:proofErr w:type="spellStart"/>
            <w:r w:rsidRPr="00565ADE">
              <w:rPr>
                <w:sz w:val="22"/>
                <w:szCs w:val="22"/>
              </w:rPr>
              <w:t>rATG</w:t>
            </w:r>
            <w:r w:rsidRPr="00565ADE">
              <w:rPr>
                <w:sz w:val="22"/>
                <w:szCs w:val="22"/>
                <w:vertAlign w:val="superscript"/>
              </w:rPr>
              <w:t>f</w:t>
            </w:r>
            <w:proofErr w:type="spellEnd"/>
            <w:r w:rsidRPr="00565ADE">
              <w:rPr>
                <w:sz w:val="22"/>
                <w:szCs w:val="22"/>
              </w:rPr>
              <w:t xml:space="preserve"> + </w:t>
            </w:r>
            <w:proofErr w:type="spellStart"/>
            <w:r w:rsidRPr="00565ADE">
              <w:rPr>
                <w:sz w:val="22"/>
                <w:szCs w:val="22"/>
              </w:rPr>
              <w:t>CsA</w:t>
            </w:r>
            <w:proofErr w:type="spellEnd"/>
          </w:p>
        </w:tc>
        <w:tc>
          <w:tcPr>
            <w:tcW w:w="477" w:type="pct"/>
            <w:tcBorders>
              <w:top w:val="dashed" w:sz="4" w:space="0" w:color="auto"/>
              <w:left w:val="single" w:sz="6" w:space="0" w:color="000000"/>
              <w:bottom w:val="single" w:sz="6" w:space="0" w:color="000000"/>
              <w:right w:val="single" w:sz="6" w:space="0" w:color="000000"/>
            </w:tcBorders>
            <w:vAlign w:val="center"/>
            <w:hideMark/>
          </w:tcPr>
          <w:p w14:paraId="446B56D2" w14:textId="77777777" w:rsidR="00032351" w:rsidRPr="00565ADE" w:rsidRDefault="00032351" w:rsidP="00296606">
            <w:pPr>
              <w:rPr>
                <w:sz w:val="22"/>
                <w:szCs w:val="22"/>
                <w:lang w:val="en-GB"/>
              </w:rPr>
            </w:pPr>
            <w:r w:rsidRPr="00565ADE">
              <w:rPr>
                <w:sz w:val="22"/>
                <w:szCs w:val="22"/>
                <w:lang w:val="en-GB"/>
              </w:rPr>
              <w:t>60</w:t>
            </w:r>
          </w:p>
        </w:tc>
        <w:tc>
          <w:tcPr>
            <w:tcW w:w="667" w:type="pct"/>
            <w:tcBorders>
              <w:top w:val="dashed" w:sz="4" w:space="0" w:color="auto"/>
              <w:left w:val="single" w:sz="6" w:space="0" w:color="000000"/>
              <w:bottom w:val="single" w:sz="6" w:space="0" w:color="000000"/>
              <w:right w:val="single" w:sz="6" w:space="0" w:color="000000"/>
            </w:tcBorders>
            <w:hideMark/>
          </w:tcPr>
          <w:p w14:paraId="64EE90CD" w14:textId="77777777" w:rsidR="00032351" w:rsidRPr="00565ADE" w:rsidRDefault="00032351" w:rsidP="00296606">
            <w:pPr>
              <w:rPr>
                <w:sz w:val="22"/>
                <w:szCs w:val="22"/>
              </w:rPr>
            </w:pPr>
            <w:r w:rsidRPr="00565ADE">
              <w:rPr>
                <w:sz w:val="22"/>
                <w:szCs w:val="22"/>
              </w:rPr>
              <w:t>37 %</w:t>
            </w:r>
          </w:p>
          <w:p w14:paraId="2F35F27F" w14:textId="77777777" w:rsidR="00032351" w:rsidRPr="00565ADE" w:rsidRDefault="00032351" w:rsidP="00296606">
            <w:pPr>
              <w:rPr>
                <w:sz w:val="22"/>
                <w:szCs w:val="22"/>
                <w:lang w:val="en-GB"/>
              </w:rPr>
            </w:pPr>
            <w:r w:rsidRPr="00565ADE">
              <w:rPr>
                <w:sz w:val="22"/>
                <w:szCs w:val="22"/>
              </w:rPr>
              <w:t>(6 </w:t>
            </w:r>
            <w:proofErr w:type="spellStart"/>
            <w:r w:rsidRPr="00565ADE">
              <w:rPr>
                <w:sz w:val="22"/>
                <w:szCs w:val="22"/>
              </w:rPr>
              <w:t>mdr</w:t>
            </w:r>
            <w:proofErr w:type="spellEnd"/>
            <w:r w:rsidRPr="00565ADE">
              <w:rPr>
                <w:sz w:val="22"/>
                <w:szCs w:val="22"/>
              </w:rPr>
              <w:t>)</w:t>
            </w:r>
          </w:p>
        </w:tc>
        <w:tc>
          <w:tcPr>
            <w:tcW w:w="711" w:type="pct"/>
            <w:vMerge/>
            <w:tcBorders>
              <w:top w:val="single" w:sz="6" w:space="0" w:color="000000"/>
              <w:left w:val="single" w:sz="6" w:space="0" w:color="000000"/>
              <w:bottom w:val="single" w:sz="6" w:space="0" w:color="000000"/>
              <w:right w:val="single" w:sz="6" w:space="0" w:color="000000"/>
            </w:tcBorders>
            <w:vAlign w:val="center"/>
            <w:hideMark/>
          </w:tcPr>
          <w:p w14:paraId="43A4CCCD" w14:textId="77777777" w:rsidR="00032351" w:rsidRPr="00565ADE" w:rsidRDefault="00032351" w:rsidP="00296606">
            <w:pPr>
              <w:rPr>
                <w:sz w:val="22"/>
                <w:szCs w:val="22"/>
                <w:lang w:val="en-GB"/>
              </w:rPr>
            </w:pPr>
          </w:p>
        </w:tc>
        <w:tc>
          <w:tcPr>
            <w:tcW w:w="709" w:type="pct"/>
            <w:tcBorders>
              <w:top w:val="dashed" w:sz="4" w:space="0" w:color="auto"/>
              <w:left w:val="single" w:sz="6" w:space="0" w:color="000000"/>
              <w:bottom w:val="single" w:sz="6" w:space="0" w:color="000000"/>
              <w:right w:val="single" w:sz="6" w:space="0" w:color="000000"/>
            </w:tcBorders>
            <w:vAlign w:val="center"/>
            <w:hideMark/>
          </w:tcPr>
          <w:p w14:paraId="2451A612" w14:textId="77777777" w:rsidR="00032351" w:rsidRPr="00565ADE" w:rsidRDefault="00032351" w:rsidP="00296606">
            <w:pPr>
              <w:rPr>
                <w:sz w:val="22"/>
                <w:szCs w:val="22"/>
                <w:lang w:val="en-GB"/>
              </w:rPr>
            </w:pPr>
            <w:r w:rsidRPr="00565ADE">
              <w:rPr>
                <w:sz w:val="22"/>
                <w:szCs w:val="22"/>
              </w:rPr>
              <w:t>76 %</w:t>
            </w:r>
            <w:r w:rsidRPr="00565ADE">
              <w:rPr>
                <w:sz w:val="22"/>
                <w:szCs w:val="22"/>
                <w:vertAlign w:val="superscript"/>
              </w:rPr>
              <w:t xml:space="preserve">g </w:t>
            </w:r>
            <w:r w:rsidRPr="00565ADE">
              <w:rPr>
                <w:sz w:val="22"/>
                <w:szCs w:val="22"/>
              </w:rPr>
              <w:t>/ 70 %</w:t>
            </w:r>
            <w:r w:rsidRPr="00565ADE">
              <w:rPr>
                <w:sz w:val="22"/>
                <w:szCs w:val="22"/>
                <w:vertAlign w:val="superscript"/>
              </w:rPr>
              <w:t xml:space="preserve">h </w:t>
            </w:r>
            <w:r w:rsidRPr="00565ADE">
              <w:rPr>
                <w:sz w:val="22"/>
                <w:szCs w:val="22"/>
              </w:rPr>
              <w:t>(36 </w:t>
            </w:r>
            <w:proofErr w:type="spellStart"/>
            <w:r w:rsidRPr="00565ADE">
              <w:rPr>
                <w:sz w:val="22"/>
                <w:szCs w:val="22"/>
              </w:rPr>
              <w:t>mdr</w:t>
            </w:r>
            <w:proofErr w:type="spellEnd"/>
            <w:r w:rsidRPr="00565ADE">
              <w:rPr>
                <w:sz w:val="22"/>
                <w:szCs w:val="22"/>
              </w:rPr>
              <w:t>)</w:t>
            </w:r>
          </w:p>
        </w:tc>
        <w:tc>
          <w:tcPr>
            <w:tcW w:w="771" w:type="pct"/>
            <w:vMerge/>
            <w:tcBorders>
              <w:top w:val="single" w:sz="6" w:space="0" w:color="000000"/>
              <w:left w:val="single" w:sz="6" w:space="0" w:color="000000"/>
              <w:bottom w:val="single" w:sz="6" w:space="0" w:color="000000"/>
              <w:right w:val="single" w:sz="6" w:space="0" w:color="000000"/>
            </w:tcBorders>
            <w:vAlign w:val="center"/>
            <w:hideMark/>
          </w:tcPr>
          <w:p w14:paraId="6B5CD2F5" w14:textId="77777777" w:rsidR="00032351" w:rsidRPr="00565ADE" w:rsidRDefault="00032351" w:rsidP="00296606">
            <w:pPr>
              <w:rPr>
                <w:sz w:val="22"/>
                <w:szCs w:val="22"/>
                <w:lang w:val="en-GB"/>
              </w:rPr>
            </w:pPr>
          </w:p>
        </w:tc>
      </w:tr>
    </w:tbl>
    <w:p w14:paraId="5D19ACEF" w14:textId="77777777" w:rsidR="00032351" w:rsidRPr="008326C5" w:rsidRDefault="00032351" w:rsidP="00296606">
      <w:pPr>
        <w:pStyle w:val="Paragraph"/>
        <w:spacing w:after="0"/>
        <w:rPr>
          <w:sz w:val="20"/>
          <w:szCs w:val="20"/>
          <w:lang w:val="da-DK"/>
        </w:rPr>
      </w:pPr>
      <w:r w:rsidRPr="008326C5">
        <w:rPr>
          <w:sz w:val="20"/>
          <w:szCs w:val="20"/>
          <w:lang w:val="da-DK"/>
        </w:rPr>
        <w:t xml:space="preserve">Forkortelse OXY angiver </w:t>
      </w:r>
      <w:proofErr w:type="spellStart"/>
      <w:r w:rsidRPr="008326C5">
        <w:rPr>
          <w:sz w:val="20"/>
          <w:szCs w:val="20"/>
          <w:lang w:val="da-DK"/>
        </w:rPr>
        <w:t>oxymetholon</w:t>
      </w:r>
      <w:proofErr w:type="spellEnd"/>
    </w:p>
    <w:p w14:paraId="3D0C234B" w14:textId="77777777" w:rsidR="00032351" w:rsidRPr="008326C5" w:rsidRDefault="00032351" w:rsidP="00296606">
      <w:pPr>
        <w:pStyle w:val="Paragraph"/>
        <w:spacing w:after="0"/>
        <w:rPr>
          <w:sz w:val="20"/>
          <w:szCs w:val="20"/>
          <w:lang w:val="da-DK"/>
        </w:rPr>
      </w:pPr>
      <w:r w:rsidRPr="008326C5">
        <w:rPr>
          <w:sz w:val="20"/>
          <w:szCs w:val="20"/>
          <w:vertAlign w:val="superscript"/>
          <w:lang w:val="da-DK"/>
        </w:rPr>
        <w:t xml:space="preserve">* </w:t>
      </w:r>
      <w:r w:rsidRPr="008326C5">
        <w:rPr>
          <w:sz w:val="20"/>
          <w:szCs w:val="20"/>
          <w:lang w:val="da-DK"/>
        </w:rPr>
        <w:t>Disse kliniske studier er udført i perioden fra 1979 til 2010.</w:t>
      </w:r>
    </w:p>
    <w:p w14:paraId="15B2BF41" w14:textId="77777777" w:rsidR="00032351" w:rsidRPr="008326C5" w:rsidRDefault="00032351" w:rsidP="00296606">
      <w:pPr>
        <w:pStyle w:val="Paragraph"/>
        <w:spacing w:after="0"/>
        <w:rPr>
          <w:sz w:val="20"/>
          <w:szCs w:val="20"/>
          <w:lang w:val="da-DK"/>
        </w:rPr>
      </w:pPr>
      <w:r w:rsidRPr="008326C5">
        <w:rPr>
          <w:sz w:val="20"/>
          <w:szCs w:val="20"/>
          <w:vertAlign w:val="superscript"/>
          <w:lang w:val="da-DK"/>
        </w:rPr>
        <w:t>a</w:t>
      </w:r>
      <w:r w:rsidRPr="008326C5">
        <w:rPr>
          <w:sz w:val="20"/>
          <w:szCs w:val="20"/>
          <w:lang w:val="da-DK"/>
        </w:rPr>
        <w:t xml:space="preserve"> Hæmatologisk respons var defineret forskelligt i de forskellige studier.</w:t>
      </w:r>
    </w:p>
    <w:p w14:paraId="055FCD46" w14:textId="77777777" w:rsidR="00032351" w:rsidRPr="008326C5" w:rsidRDefault="00032351" w:rsidP="00296606">
      <w:pPr>
        <w:pStyle w:val="Paragraph"/>
        <w:spacing w:after="0"/>
        <w:rPr>
          <w:sz w:val="20"/>
          <w:szCs w:val="20"/>
        </w:rPr>
      </w:pPr>
      <w:r w:rsidRPr="008326C5">
        <w:rPr>
          <w:sz w:val="20"/>
          <w:szCs w:val="20"/>
          <w:vertAlign w:val="superscript"/>
        </w:rPr>
        <w:t>b</w:t>
      </w:r>
      <w:r w:rsidRPr="008326C5">
        <w:rPr>
          <w:sz w:val="20"/>
          <w:szCs w:val="20"/>
        </w:rPr>
        <w:t xml:space="preserve"> Sponsors </w:t>
      </w:r>
      <w:proofErr w:type="spellStart"/>
      <w:r w:rsidRPr="008326C5">
        <w:rPr>
          <w:sz w:val="20"/>
          <w:szCs w:val="20"/>
        </w:rPr>
        <w:t>evaluering</w:t>
      </w:r>
      <w:proofErr w:type="spellEnd"/>
      <w:r w:rsidRPr="008326C5">
        <w:rPr>
          <w:sz w:val="20"/>
          <w:szCs w:val="20"/>
        </w:rPr>
        <w:t xml:space="preserve"> </w:t>
      </w:r>
      <w:proofErr w:type="spellStart"/>
      <w:r w:rsidRPr="008326C5">
        <w:rPr>
          <w:sz w:val="20"/>
          <w:szCs w:val="20"/>
        </w:rPr>
        <w:t>af</w:t>
      </w:r>
      <w:proofErr w:type="spellEnd"/>
      <w:r w:rsidRPr="008326C5">
        <w:rPr>
          <w:sz w:val="20"/>
          <w:szCs w:val="20"/>
        </w:rPr>
        <w:t xml:space="preserve"> </w:t>
      </w:r>
      <w:proofErr w:type="spellStart"/>
      <w:r w:rsidRPr="008326C5">
        <w:rPr>
          <w:sz w:val="20"/>
          <w:szCs w:val="20"/>
        </w:rPr>
        <w:t>respons</w:t>
      </w:r>
      <w:proofErr w:type="spellEnd"/>
    </w:p>
    <w:p w14:paraId="4752B3CC" w14:textId="77777777" w:rsidR="00032351" w:rsidRPr="008326C5" w:rsidRDefault="00032351" w:rsidP="00296606">
      <w:pPr>
        <w:pStyle w:val="Paragraph"/>
        <w:spacing w:after="0"/>
        <w:rPr>
          <w:sz w:val="20"/>
          <w:szCs w:val="20"/>
        </w:rPr>
      </w:pPr>
      <w:r w:rsidRPr="008326C5">
        <w:rPr>
          <w:sz w:val="20"/>
          <w:szCs w:val="20"/>
          <w:vertAlign w:val="superscript"/>
        </w:rPr>
        <w:t>c</w:t>
      </w:r>
      <w:r w:rsidRPr="008326C5">
        <w:rPr>
          <w:sz w:val="20"/>
          <w:szCs w:val="20"/>
        </w:rPr>
        <w:t xml:space="preserve"> Investigators </w:t>
      </w:r>
      <w:proofErr w:type="spellStart"/>
      <w:r w:rsidRPr="008326C5">
        <w:rPr>
          <w:sz w:val="20"/>
          <w:szCs w:val="20"/>
        </w:rPr>
        <w:t>evaluering</w:t>
      </w:r>
      <w:proofErr w:type="spellEnd"/>
      <w:r w:rsidRPr="008326C5">
        <w:rPr>
          <w:sz w:val="20"/>
          <w:szCs w:val="20"/>
        </w:rPr>
        <w:t xml:space="preserve"> </w:t>
      </w:r>
      <w:proofErr w:type="spellStart"/>
      <w:r w:rsidRPr="008326C5">
        <w:rPr>
          <w:sz w:val="20"/>
          <w:szCs w:val="20"/>
        </w:rPr>
        <w:t>af</w:t>
      </w:r>
      <w:proofErr w:type="spellEnd"/>
      <w:r w:rsidRPr="008326C5">
        <w:rPr>
          <w:sz w:val="20"/>
          <w:szCs w:val="20"/>
        </w:rPr>
        <w:t xml:space="preserve"> </w:t>
      </w:r>
      <w:proofErr w:type="spellStart"/>
      <w:r w:rsidRPr="008326C5">
        <w:rPr>
          <w:sz w:val="20"/>
          <w:szCs w:val="20"/>
        </w:rPr>
        <w:t>respons</w:t>
      </w:r>
      <w:proofErr w:type="spellEnd"/>
    </w:p>
    <w:p w14:paraId="4AC869E2" w14:textId="77777777" w:rsidR="00032351" w:rsidRPr="008326C5" w:rsidRDefault="00032351" w:rsidP="00296606">
      <w:pPr>
        <w:pStyle w:val="Paragraph"/>
        <w:spacing w:after="0"/>
        <w:rPr>
          <w:sz w:val="20"/>
          <w:szCs w:val="20"/>
          <w:lang w:val="da-DK"/>
        </w:rPr>
      </w:pPr>
      <w:r w:rsidRPr="008326C5">
        <w:rPr>
          <w:sz w:val="20"/>
          <w:szCs w:val="20"/>
          <w:vertAlign w:val="superscript"/>
          <w:lang w:val="da-DK"/>
        </w:rPr>
        <w:t>d</w:t>
      </w:r>
      <w:r w:rsidRPr="008326C5">
        <w:rPr>
          <w:sz w:val="20"/>
          <w:szCs w:val="20"/>
          <w:lang w:val="da-DK"/>
        </w:rPr>
        <w:t xml:space="preserve"> Dette overlevelsesestimat indbefatter de 21 forsøgspersoner, der blev randomiseret til at modtage </w:t>
      </w:r>
      <w:proofErr w:type="spellStart"/>
      <w:r w:rsidRPr="008326C5">
        <w:rPr>
          <w:sz w:val="20"/>
          <w:szCs w:val="20"/>
          <w:lang w:val="da-DK"/>
        </w:rPr>
        <w:t>ekvinATG</w:t>
      </w:r>
      <w:proofErr w:type="spellEnd"/>
      <w:r w:rsidRPr="008326C5">
        <w:rPr>
          <w:sz w:val="20"/>
          <w:szCs w:val="20"/>
          <w:lang w:val="da-DK"/>
        </w:rPr>
        <w:t xml:space="preserve">, plus endnu 11 forsøgspersoner, som fik </w:t>
      </w:r>
      <w:proofErr w:type="spellStart"/>
      <w:r w:rsidRPr="008326C5">
        <w:rPr>
          <w:sz w:val="20"/>
          <w:szCs w:val="20"/>
          <w:lang w:val="da-DK"/>
        </w:rPr>
        <w:t>Atgam</w:t>
      </w:r>
      <w:proofErr w:type="spellEnd"/>
      <w:r w:rsidRPr="008326C5">
        <w:rPr>
          <w:sz w:val="20"/>
          <w:szCs w:val="20"/>
          <w:lang w:val="da-DK"/>
        </w:rPr>
        <w:t xml:space="preserve"> efter de var blevet overflyttet fra kontrolgruppen. </w:t>
      </w:r>
    </w:p>
    <w:p w14:paraId="0592D59A" w14:textId="77777777" w:rsidR="00032351" w:rsidRPr="008326C5" w:rsidRDefault="00032351" w:rsidP="00296606">
      <w:pPr>
        <w:pStyle w:val="Paragraph"/>
        <w:spacing w:after="0"/>
        <w:rPr>
          <w:sz w:val="20"/>
          <w:szCs w:val="20"/>
          <w:lang w:val="da-DK"/>
        </w:rPr>
      </w:pPr>
      <w:r w:rsidRPr="008326C5">
        <w:rPr>
          <w:sz w:val="20"/>
          <w:szCs w:val="20"/>
          <w:vertAlign w:val="superscript"/>
          <w:lang w:val="da-DK"/>
        </w:rPr>
        <w:t>e</w:t>
      </w:r>
      <w:r w:rsidRPr="008326C5">
        <w:rPr>
          <w:sz w:val="20"/>
          <w:szCs w:val="20"/>
          <w:lang w:val="da-DK"/>
        </w:rPr>
        <w:t xml:space="preserve"> Kun patienter med svær </w:t>
      </w:r>
      <w:proofErr w:type="spellStart"/>
      <w:r w:rsidRPr="008326C5">
        <w:rPr>
          <w:sz w:val="20"/>
          <w:szCs w:val="20"/>
          <w:lang w:val="da-DK"/>
        </w:rPr>
        <w:t>aplastisk</w:t>
      </w:r>
      <w:proofErr w:type="spellEnd"/>
      <w:r w:rsidRPr="008326C5">
        <w:rPr>
          <w:sz w:val="20"/>
          <w:szCs w:val="20"/>
          <w:lang w:val="da-DK"/>
        </w:rPr>
        <w:t xml:space="preserve"> anæmi</w:t>
      </w:r>
    </w:p>
    <w:p w14:paraId="6D1927E5" w14:textId="77777777" w:rsidR="00032351" w:rsidRPr="008326C5" w:rsidRDefault="00032351" w:rsidP="00296606">
      <w:pPr>
        <w:pStyle w:val="Paragraph"/>
        <w:spacing w:after="0"/>
        <w:rPr>
          <w:sz w:val="20"/>
          <w:szCs w:val="20"/>
          <w:lang w:val="da-DK"/>
        </w:rPr>
      </w:pPr>
      <w:r w:rsidRPr="008326C5">
        <w:rPr>
          <w:sz w:val="20"/>
          <w:szCs w:val="20"/>
          <w:vertAlign w:val="superscript"/>
          <w:lang w:val="da-DK"/>
        </w:rPr>
        <w:t xml:space="preserve">f </w:t>
      </w:r>
      <w:proofErr w:type="spellStart"/>
      <w:r w:rsidRPr="008326C5">
        <w:rPr>
          <w:sz w:val="20"/>
          <w:szCs w:val="20"/>
          <w:lang w:val="da-DK"/>
        </w:rPr>
        <w:t>CsA</w:t>
      </w:r>
      <w:proofErr w:type="spellEnd"/>
      <w:r w:rsidRPr="008326C5">
        <w:rPr>
          <w:sz w:val="20"/>
          <w:szCs w:val="20"/>
          <w:lang w:val="da-DK"/>
        </w:rPr>
        <w:t xml:space="preserve"> blev seponeret efter 6 måneder i </w:t>
      </w:r>
      <w:proofErr w:type="spellStart"/>
      <w:r w:rsidRPr="008326C5">
        <w:rPr>
          <w:sz w:val="20"/>
          <w:szCs w:val="20"/>
          <w:lang w:val="da-DK"/>
        </w:rPr>
        <w:t>rATG</w:t>
      </w:r>
      <w:proofErr w:type="spellEnd"/>
      <w:r w:rsidRPr="008326C5">
        <w:rPr>
          <w:sz w:val="20"/>
          <w:szCs w:val="20"/>
          <w:lang w:val="da-DK"/>
        </w:rPr>
        <w:t>-gruppen.</w:t>
      </w:r>
    </w:p>
    <w:p w14:paraId="791C69CF" w14:textId="77777777" w:rsidR="00032351" w:rsidRPr="008326C5" w:rsidRDefault="00032351" w:rsidP="00296606">
      <w:pPr>
        <w:autoSpaceDE w:val="0"/>
        <w:autoSpaceDN w:val="0"/>
        <w:rPr>
          <w:sz w:val="20"/>
        </w:rPr>
      </w:pPr>
      <w:r w:rsidRPr="008326C5">
        <w:rPr>
          <w:sz w:val="20"/>
          <w:vertAlign w:val="superscript"/>
        </w:rPr>
        <w:t>g</w:t>
      </w:r>
      <w:r w:rsidRPr="008326C5">
        <w:rPr>
          <w:sz w:val="20"/>
        </w:rPr>
        <w:t xml:space="preserve"> Forsøgspersoner, der havde fået stamcelletransplantation blev </w:t>
      </w:r>
      <w:proofErr w:type="spellStart"/>
      <w:r w:rsidRPr="008326C5">
        <w:rPr>
          <w:sz w:val="20"/>
        </w:rPr>
        <w:t>censoreret</w:t>
      </w:r>
      <w:proofErr w:type="spellEnd"/>
      <w:r w:rsidRPr="008326C5">
        <w:rPr>
          <w:sz w:val="20"/>
        </w:rPr>
        <w:t>.</w:t>
      </w:r>
    </w:p>
    <w:p w14:paraId="52142083" w14:textId="77777777" w:rsidR="00032351" w:rsidRPr="008326C5" w:rsidRDefault="00032351" w:rsidP="00296606">
      <w:pPr>
        <w:autoSpaceDE w:val="0"/>
        <w:autoSpaceDN w:val="0"/>
        <w:adjustRightInd w:val="0"/>
        <w:rPr>
          <w:sz w:val="20"/>
        </w:rPr>
      </w:pPr>
      <w:r w:rsidRPr="008326C5">
        <w:rPr>
          <w:sz w:val="20"/>
          <w:vertAlign w:val="superscript"/>
        </w:rPr>
        <w:t>h</w:t>
      </w:r>
      <w:r w:rsidRPr="008326C5">
        <w:rPr>
          <w:sz w:val="20"/>
        </w:rPr>
        <w:t xml:space="preserve"> Forsøgspersoner, der havde fået stamcelletransplantation blev ikke </w:t>
      </w:r>
      <w:proofErr w:type="spellStart"/>
      <w:r w:rsidRPr="008326C5">
        <w:rPr>
          <w:sz w:val="20"/>
        </w:rPr>
        <w:t>censoreret</w:t>
      </w:r>
      <w:proofErr w:type="spellEnd"/>
      <w:r w:rsidRPr="008326C5">
        <w:rPr>
          <w:sz w:val="20"/>
        </w:rPr>
        <w:t>.</w:t>
      </w:r>
    </w:p>
    <w:p w14:paraId="6930143C" w14:textId="77777777" w:rsidR="00032351" w:rsidRPr="00296606" w:rsidRDefault="00032351" w:rsidP="00032351">
      <w:pPr>
        <w:autoSpaceDE w:val="0"/>
        <w:autoSpaceDN w:val="0"/>
        <w:adjustRightInd w:val="0"/>
        <w:rPr>
          <w:bCs/>
          <w:iCs/>
          <w:sz w:val="24"/>
          <w:szCs w:val="24"/>
        </w:rPr>
      </w:pPr>
    </w:p>
    <w:p w14:paraId="7485290C" w14:textId="77777777" w:rsidR="00032351" w:rsidRPr="00296606" w:rsidRDefault="00032351" w:rsidP="00296606">
      <w:pPr>
        <w:ind w:left="851"/>
        <w:rPr>
          <w:sz w:val="24"/>
          <w:szCs w:val="24"/>
        </w:rPr>
      </w:pPr>
      <w:r w:rsidRPr="00296606">
        <w:rPr>
          <w:sz w:val="24"/>
          <w:szCs w:val="24"/>
        </w:rPr>
        <w:t xml:space="preserve">Udvikling af antistoffer over for </w:t>
      </w:r>
      <w:proofErr w:type="spellStart"/>
      <w:r w:rsidRPr="00296606">
        <w:rPr>
          <w:sz w:val="24"/>
          <w:szCs w:val="24"/>
        </w:rPr>
        <w:t>ekvint</w:t>
      </w:r>
      <w:proofErr w:type="spellEnd"/>
      <w:r w:rsidRPr="00296606">
        <w:rPr>
          <w:sz w:val="24"/>
          <w:szCs w:val="24"/>
        </w:rPr>
        <w:t xml:space="preserve"> </w:t>
      </w:r>
      <w:proofErr w:type="spellStart"/>
      <w:r w:rsidRPr="00296606">
        <w:rPr>
          <w:sz w:val="24"/>
          <w:szCs w:val="24"/>
        </w:rPr>
        <w:t>IgG</w:t>
      </w:r>
      <w:proofErr w:type="spellEnd"/>
      <w:r w:rsidRPr="00296606">
        <w:rPr>
          <w:sz w:val="24"/>
          <w:szCs w:val="24"/>
        </w:rPr>
        <w:t xml:space="preserve"> blev undersøgt i 2 kliniske studier med nyretransplanterede patienter, der blev behandlet med </w:t>
      </w:r>
      <w:proofErr w:type="spellStart"/>
      <w:r w:rsidRPr="00296606">
        <w:rPr>
          <w:sz w:val="24"/>
          <w:szCs w:val="24"/>
        </w:rPr>
        <w:t>Atgam</w:t>
      </w:r>
      <w:proofErr w:type="spellEnd"/>
      <w:r w:rsidRPr="00296606">
        <w:rPr>
          <w:sz w:val="24"/>
          <w:szCs w:val="24"/>
        </w:rPr>
        <w:t xml:space="preserve">. 9 %-37 % af de behandlede patienter havde målbare niveauer af </w:t>
      </w:r>
      <w:proofErr w:type="spellStart"/>
      <w:r w:rsidRPr="00296606">
        <w:rPr>
          <w:sz w:val="24"/>
          <w:szCs w:val="24"/>
        </w:rPr>
        <w:t>anti-ekvint</w:t>
      </w:r>
      <w:proofErr w:type="spellEnd"/>
      <w:r w:rsidRPr="00296606">
        <w:rPr>
          <w:sz w:val="24"/>
          <w:szCs w:val="24"/>
        </w:rPr>
        <w:t xml:space="preserve"> </w:t>
      </w:r>
      <w:proofErr w:type="spellStart"/>
      <w:r w:rsidRPr="00296606">
        <w:rPr>
          <w:sz w:val="24"/>
          <w:szCs w:val="24"/>
        </w:rPr>
        <w:t>IgG</w:t>
      </w:r>
      <w:proofErr w:type="spellEnd"/>
      <w:r w:rsidRPr="00296606">
        <w:rPr>
          <w:sz w:val="24"/>
          <w:szCs w:val="24"/>
        </w:rPr>
        <w:t xml:space="preserve"> antistoffer. Forekomsten af udvikling af </w:t>
      </w:r>
      <w:proofErr w:type="spellStart"/>
      <w:r w:rsidRPr="00296606">
        <w:rPr>
          <w:sz w:val="24"/>
          <w:szCs w:val="24"/>
        </w:rPr>
        <w:t>anti-ekvint</w:t>
      </w:r>
      <w:proofErr w:type="spellEnd"/>
      <w:r w:rsidRPr="00296606">
        <w:rPr>
          <w:sz w:val="24"/>
          <w:szCs w:val="24"/>
        </w:rPr>
        <w:t xml:space="preserve"> antistoffer hos patienter med </w:t>
      </w:r>
      <w:proofErr w:type="spellStart"/>
      <w:r w:rsidRPr="00296606">
        <w:rPr>
          <w:sz w:val="24"/>
          <w:szCs w:val="24"/>
        </w:rPr>
        <w:t>aplastisk</w:t>
      </w:r>
      <w:proofErr w:type="spellEnd"/>
      <w:r w:rsidRPr="00296606">
        <w:rPr>
          <w:sz w:val="24"/>
          <w:szCs w:val="24"/>
        </w:rPr>
        <w:t xml:space="preserve"> anæmi og det neutraliserende potentiale af disse er ukendt og den kliniske betydning er ikke fastlagt.</w:t>
      </w:r>
    </w:p>
    <w:p w14:paraId="2A826B7E" w14:textId="77777777" w:rsidR="00032351" w:rsidRPr="00296606" w:rsidRDefault="00032351" w:rsidP="00296606">
      <w:pPr>
        <w:ind w:left="851"/>
        <w:rPr>
          <w:sz w:val="24"/>
          <w:szCs w:val="24"/>
        </w:rPr>
      </w:pPr>
    </w:p>
    <w:p w14:paraId="0097A15D" w14:textId="77777777" w:rsidR="00032351" w:rsidRPr="00296606" w:rsidRDefault="00032351" w:rsidP="00296606">
      <w:pPr>
        <w:ind w:left="851"/>
        <w:rPr>
          <w:sz w:val="24"/>
          <w:szCs w:val="24"/>
          <w:u w:val="single"/>
        </w:rPr>
      </w:pPr>
      <w:r w:rsidRPr="00296606">
        <w:rPr>
          <w:sz w:val="24"/>
          <w:szCs w:val="24"/>
          <w:u w:val="single"/>
        </w:rPr>
        <w:t>Pædiatrisk population</w:t>
      </w:r>
    </w:p>
    <w:p w14:paraId="541611F3" w14:textId="77777777" w:rsidR="00032351" w:rsidRPr="00296606" w:rsidRDefault="00032351" w:rsidP="00296606">
      <w:pPr>
        <w:ind w:left="851"/>
        <w:rPr>
          <w:bCs/>
          <w:sz w:val="24"/>
          <w:szCs w:val="24"/>
          <w:u w:val="single"/>
        </w:rPr>
      </w:pPr>
    </w:p>
    <w:p w14:paraId="6DBB74B6" w14:textId="77777777" w:rsidR="00032351" w:rsidRPr="00296606" w:rsidRDefault="00032351" w:rsidP="00296606">
      <w:pPr>
        <w:numPr>
          <w:ilvl w:val="12"/>
          <w:numId w:val="0"/>
        </w:numPr>
        <w:ind w:left="851" w:right="-2"/>
        <w:rPr>
          <w:sz w:val="24"/>
          <w:szCs w:val="24"/>
        </w:rPr>
      </w:pPr>
      <w:r w:rsidRPr="00296606">
        <w:rPr>
          <w:sz w:val="24"/>
          <w:szCs w:val="24"/>
        </w:rPr>
        <w:t xml:space="preserve">Data fra offentliggjorte studier med forskelligt design tyder på, at </w:t>
      </w:r>
      <w:proofErr w:type="spellStart"/>
      <w:r w:rsidRPr="00296606">
        <w:rPr>
          <w:sz w:val="24"/>
          <w:szCs w:val="24"/>
        </w:rPr>
        <w:t>Atgams</w:t>
      </w:r>
      <w:proofErr w:type="spellEnd"/>
      <w:r w:rsidRPr="00296606">
        <w:rPr>
          <w:sz w:val="24"/>
          <w:szCs w:val="24"/>
        </w:rPr>
        <w:t xml:space="preserve"> virkning hos pædiatriske patienter med </w:t>
      </w:r>
      <w:proofErr w:type="spellStart"/>
      <w:r w:rsidRPr="00296606">
        <w:rPr>
          <w:sz w:val="24"/>
          <w:szCs w:val="24"/>
        </w:rPr>
        <w:t>aplastisk</w:t>
      </w:r>
      <w:proofErr w:type="spellEnd"/>
      <w:r w:rsidRPr="00296606">
        <w:rPr>
          <w:sz w:val="24"/>
          <w:szCs w:val="24"/>
        </w:rPr>
        <w:t xml:space="preserve"> anæmi er den samme som hos voksne, når de behandles med doser, der kan sammenlignes med de doser, der anvendes til voksne, og ved samme behandlingsvarighed.</w:t>
      </w:r>
    </w:p>
    <w:p w14:paraId="4B7962D4" w14:textId="77777777" w:rsidR="00032351" w:rsidRPr="00296606" w:rsidRDefault="00032351" w:rsidP="00296606">
      <w:pPr>
        <w:numPr>
          <w:ilvl w:val="12"/>
          <w:numId w:val="0"/>
        </w:numPr>
        <w:ind w:left="851" w:right="-2"/>
        <w:rPr>
          <w:sz w:val="24"/>
          <w:szCs w:val="24"/>
        </w:rPr>
      </w:pPr>
    </w:p>
    <w:p w14:paraId="02612FCD" w14:textId="279D1094" w:rsidR="009260DE" w:rsidRPr="00296606" w:rsidRDefault="00032351" w:rsidP="002741B0">
      <w:pPr>
        <w:numPr>
          <w:ilvl w:val="12"/>
          <w:numId w:val="0"/>
        </w:numPr>
        <w:ind w:left="851" w:right="-2"/>
        <w:rPr>
          <w:sz w:val="24"/>
          <w:szCs w:val="24"/>
        </w:rPr>
      </w:pPr>
      <w:r w:rsidRPr="00296606">
        <w:rPr>
          <w:sz w:val="24"/>
          <w:szCs w:val="24"/>
        </w:rPr>
        <w:t xml:space="preserve">Men ifølge data baseret på </w:t>
      </w:r>
      <w:proofErr w:type="spellStart"/>
      <w:r w:rsidRPr="00296606">
        <w:rPr>
          <w:i/>
          <w:iCs/>
          <w:sz w:val="24"/>
          <w:szCs w:val="24"/>
        </w:rPr>
        <w:t>compassionate</w:t>
      </w:r>
      <w:proofErr w:type="spellEnd"/>
      <w:r w:rsidRPr="00296606">
        <w:rPr>
          <w:i/>
          <w:iCs/>
          <w:sz w:val="24"/>
          <w:szCs w:val="24"/>
        </w:rPr>
        <w:t xml:space="preserve"> </w:t>
      </w:r>
      <w:proofErr w:type="spellStart"/>
      <w:r w:rsidRPr="00296606">
        <w:rPr>
          <w:i/>
          <w:iCs/>
          <w:sz w:val="24"/>
          <w:szCs w:val="24"/>
        </w:rPr>
        <w:t>use</w:t>
      </w:r>
      <w:proofErr w:type="spellEnd"/>
      <w:r w:rsidRPr="00296606">
        <w:rPr>
          <w:sz w:val="24"/>
          <w:szCs w:val="24"/>
        </w:rPr>
        <w:t xml:space="preserve">-programmer kan opnåelse af hæmatologisk respons være mindre succesfyldt hos børn in alderen 2 til 11 år i subgruppen af pædiatriske patienter med meget alvorlig </w:t>
      </w:r>
      <w:proofErr w:type="spellStart"/>
      <w:r w:rsidRPr="00296606">
        <w:rPr>
          <w:sz w:val="24"/>
          <w:szCs w:val="24"/>
        </w:rPr>
        <w:t>aplastisk</w:t>
      </w:r>
      <w:proofErr w:type="spellEnd"/>
      <w:r w:rsidRPr="00296606">
        <w:rPr>
          <w:sz w:val="24"/>
          <w:szCs w:val="24"/>
        </w:rPr>
        <w:t xml:space="preserve"> anæmi sammenlignet med ældre børn eller voksne patienter med meget alvorlig </w:t>
      </w:r>
      <w:proofErr w:type="spellStart"/>
      <w:r w:rsidRPr="00296606">
        <w:rPr>
          <w:sz w:val="24"/>
          <w:szCs w:val="24"/>
        </w:rPr>
        <w:t>aplastisk</w:t>
      </w:r>
      <w:proofErr w:type="spellEnd"/>
      <w:r w:rsidRPr="00296606">
        <w:rPr>
          <w:sz w:val="24"/>
          <w:szCs w:val="24"/>
        </w:rPr>
        <w:t xml:space="preserve"> anæmi.</w:t>
      </w:r>
    </w:p>
    <w:p w14:paraId="65738431" w14:textId="77777777" w:rsidR="009260DE" w:rsidRPr="00296606" w:rsidRDefault="009260DE" w:rsidP="009260DE">
      <w:pPr>
        <w:tabs>
          <w:tab w:val="left" w:pos="851"/>
        </w:tabs>
        <w:ind w:left="851"/>
        <w:rPr>
          <w:sz w:val="24"/>
          <w:szCs w:val="24"/>
        </w:rPr>
      </w:pPr>
    </w:p>
    <w:p w14:paraId="1BA338E7" w14:textId="77777777" w:rsidR="009260DE" w:rsidRPr="00296606" w:rsidRDefault="009260DE" w:rsidP="009260DE">
      <w:pPr>
        <w:tabs>
          <w:tab w:val="left" w:pos="851"/>
        </w:tabs>
        <w:ind w:left="851" w:hanging="851"/>
        <w:rPr>
          <w:b/>
          <w:sz w:val="24"/>
          <w:szCs w:val="24"/>
        </w:rPr>
      </w:pPr>
      <w:r w:rsidRPr="00296606">
        <w:rPr>
          <w:b/>
          <w:sz w:val="24"/>
          <w:szCs w:val="24"/>
        </w:rPr>
        <w:lastRenderedPageBreak/>
        <w:t>5.2</w:t>
      </w:r>
      <w:r w:rsidRPr="00296606">
        <w:rPr>
          <w:b/>
          <w:sz w:val="24"/>
          <w:szCs w:val="24"/>
        </w:rPr>
        <w:tab/>
      </w:r>
      <w:proofErr w:type="spellStart"/>
      <w:r w:rsidRPr="00296606">
        <w:rPr>
          <w:b/>
          <w:sz w:val="24"/>
          <w:szCs w:val="24"/>
        </w:rPr>
        <w:t>Farmakokinetiske</w:t>
      </w:r>
      <w:proofErr w:type="spellEnd"/>
      <w:r w:rsidRPr="00296606">
        <w:rPr>
          <w:b/>
          <w:sz w:val="24"/>
          <w:szCs w:val="24"/>
        </w:rPr>
        <w:t xml:space="preserve"> egenskaber</w:t>
      </w:r>
    </w:p>
    <w:p w14:paraId="6236032F" w14:textId="77777777" w:rsidR="002741B0" w:rsidRDefault="002741B0" w:rsidP="002741B0">
      <w:pPr>
        <w:ind w:left="851"/>
        <w:rPr>
          <w:sz w:val="24"/>
          <w:szCs w:val="24"/>
        </w:rPr>
      </w:pPr>
    </w:p>
    <w:p w14:paraId="6D74C4E5" w14:textId="77777777" w:rsidR="002E0EA0" w:rsidRPr="002741B0" w:rsidRDefault="002E0EA0" w:rsidP="002E0EA0">
      <w:pPr>
        <w:ind w:left="851"/>
        <w:rPr>
          <w:sz w:val="24"/>
          <w:szCs w:val="24"/>
          <w:u w:val="single"/>
        </w:rPr>
      </w:pPr>
      <w:r w:rsidRPr="002741B0">
        <w:rPr>
          <w:sz w:val="24"/>
          <w:szCs w:val="24"/>
          <w:u w:val="single"/>
        </w:rPr>
        <w:t>Fordeling</w:t>
      </w:r>
    </w:p>
    <w:p w14:paraId="33B263E7" w14:textId="77777777" w:rsidR="002E0EA0" w:rsidRPr="002741B0" w:rsidRDefault="002E0EA0" w:rsidP="002E0EA0">
      <w:pPr>
        <w:ind w:left="851"/>
        <w:rPr>
          <w:sz w:val="24"/>
          <w:szCs w:val="24"/>
        </w:rPr>
      </w:pPr>
    </w:p>
    <w:p w14:paraId="5DAF5F2C" w14:textId="77777777" w:rsidR="002E0EA0" w:rsidRPr="002741B0" w:rsidRDefault="002E0EA0" w:rsidP="002E0EA0">
      <w:pPr>
        <w:ind w:left="851"/>
        <w:rPr>
          <w:sz w:val="24"/>
          <w:szCs w:val="24"/>
        </w:rPr>
      </w:pPr>
      <w:r w:rsidRPr="002741B0">
        <w:rPr>
          <w:sz w:val="24"/>
          <w:szCs w:val="24"/>
        </w:rPr>
        <w:t xml:space="preserve">Under infusion af </w:t>
      </w:r>
      <w:proofErr w:type="spellStart"/>
      <w:r w:rsidRPr="002741B0">
        <w:rPr>
          <w:sz w:val="24"/>
          <w:szCs w:val="24"/>
        </w:rPr>
        <w:t>Atgam</w:t>
      </w:r>
      <w:proofErr w:type="spellEnd"/>
      <w:r w:rsidRPr="002741B0">
        <w:rPr>
          <w:sz w:val="24"/>
          <w:szCs w:val="24"/>
        </w:rPr>
        <w:t xml:space="preserve"> med 10 til 15 mg/kg/dag blev det gennemsnitlige maksimale plasmaniveau af </w:t>
      </w:r>
      <w:proofErr w:type="spellStart"/>
      <w:r w:rsidRPr="002741B0">
        <w:rPr>
          <w:sz w:val="24"/>
          <w:szCs w:val="24"/>
        </w:rPr>
        <w:t>ekvint</w:t>
      </w:r>
      <w:proofErr w:type="spellEnd"/>
      <w:r w:rsidRPr="002741B0">
        <w:rPr>
          <w:sz w:val="24"/>
          <w:szCs w:val="24"/>
        </w:rPr>
        <w:t xml:space="preserve"> </w:t>
      </w:r>
      <w:proofErr w:type="spellStart"/>
      <w:r w:rsidRPr="002741B0">
        <w:rPr>
          <w:sz w:val="24"/>
          <w:szCs w:val="24"/>
        </w:rPr>
        <w:t>immunoglobulin</w:t>
      </w:r>
      <w:proofErr w:type="spellEnd"/>
      <w:r w:rsidRPr="002741B0">
        <w:rPr>
          <w:sz w:val="24"/>
          <w:szCs w:val="24"/>
        </w:rPr>
        <w:t xml:space="preserve"> (n=27 nyretransplanterede patienter) bestemt til at være 727 ± 310 </w:t>
      </w:r>
      <w:proofErr w:type="spellStart"/>
      <w:r w:rsidRPr="002741B0">
        <w:rPr>
          <w:sz w:val="24"/>
          <w:szCs w:val="24"/>
        </w:rPr>
        <w:t>μg</w:t>
      </w:r>
      <w:proofErr w:type="spellEnd"/>
      <w:r w:rsidRPr="002741B0">
        <w:rPr>
          <w:sz w:val="24"/>
          <w:szCs w:val="24"/>
        </w:rPr>
        <w:t>/ml.</w:t>
      </w:r>
    </w:p>
    <w:p w14:paraId="2BE2F50D" w14:textId="77777777" w:rsidR="002E0EA0" w:rsidRPr="002741B0" w:rsidRDefault="002E0EA0" w:rsidP="002E0EA0">
      <w:pPr>
        <w:ind w:left="851"/>
        <w:rPr>
          <w:sz w:val="24"/>
          <w:szCs w:val="24"/>
        </w:rPr>
      </w:pPr>
    </w:p>
    <w:p w14:paraId="3CDFB3F0" w14:textId="77777777" w:rsidR="002E0EA0" w:rsidRPr="002741B0" w:rsidRDefault="002E0EA0" w:rsidP="002E0EA0">
      <w:pPr>
        <w:ind w:left="851"/>
        <w:rPr>
          <w:sz w:val="24"/>
          <w:szCs w:val="24"/>
          <w:u w:val="single"/>
        </w:rPr>
      </w:pPr>
      <w:r w:rsidRPr="002741B0">
        <w:rPr>
          <w:sz w:val="24"/>
          <w:szCs w:val="24"/>
          <w:u w:val="single"/>
        </w:rPr>
        <w:t>Elimination</w:t>
      </w:r>
    </w:p>
    <w:p w14:paraId="6D06CB36" w14:textId="77777777" w:rsidR="002E0EA0" w:rsidRPr="002741B0" w:rsidRDefault="002E0EA0" w:rsidP="002E0EA0">
      <w:pPr>
        <w:ind w:left="851"/>
        <w:rPr>
          <w:sz w:val="24"/>
          <w:szCs w:val="24"/>
          <w:highlight w:val="yellow"/>
        </w:rPr>
      </w:pPr>
    </w:p>
    <w:p w14:paraId="38AECC55" w14:textId="77777777" w:rsidR="002E0EA0" w:rsidRDefault="002E0EA0" w:rsidP="002E0EA0">
      <w:pPr>
        <w:ind w:left="851"/>
        <w:rPr>
          <w:sz w:val="24"/>
          <w:szCs w:val="24"/>
        </w:rPr>
      </w:pPr>
      <w:r w:rsidRPr="002741B0">
        <w:rPr>
          <w:sz w:val="24"/>
          <w:szCs w:val="24"/>
        </w:rPr>
        <w:t xml:space="preserve">Halveringstiden for </w:t>
      </w:r>
      <w:proofErr w:type="spellStart"/>
      <w:r w:rsidRPr="002741B0">
        <w:rPr>
          <w:sz w:val="24"/>
          <w:szCs w:val="24"/>
        </w:rPr>
        <w:t>ekvint</w:t>
      </w:r>
      <w:proofErr w:type="spellEnd"/>
      <w:r w:rsidRPr="002741B0">
        <w:rPr>
          <w:sz w:val="24"/>
          <w:szCs w:val="24"/>
        </w:rPr>
        <w:t xml:space="preserve"> antihumant T-</w:t>
      </w:r>
      <w:proofErr w:type="spellStart"/>
      <w:r w:rsidRPr="002741B0">
        <w:rPr>
          <w:sz w:val="24"/>
          <w:szCs w:val="24"/>
        </w:rPr>
        <w:t>lymfocytimmunoglobulin</w:t>
      </w:r>
      <w:proofErr w:type="spellEnd"/>
      <w:r w:rsidRPr="002741B0">
        <w:rPr>
          <w:sz w:val="24"/>
          <w:szCs w:val="24"/>
        </w:rPr>
        <w:t xml:space="preserve"> efter infusion blev bestemt til at være 5,7 ± 3,0 dage </w:t>
      </w:r>
      <w:r>
        <w:rPr>
          <w:sz w:val="24"/>
          <w:szCs w:val="24"/>
        </w:rPr>
        <w:t>hos nyretransplanterede patienter</w:t>
      </w:r>
      <w:r w:rsidRPr="002741B0">
        <w:rPr>
          <w:sz w:val="24"/>
          <w:szCs w:val="24"/>
        </w:rPr>
        <w:t>. Intervallet for halveringstid var 1,5 til 13 dage.</w:t>
      </w:r>
    </w:p>
    <w:p w14:paraId="24E19A25" w14:textId="77777777" w:rsidR="002E0EA0" w:rsidRDefault="002E0EA0" w:rsidP="002E0EA0">
      <w:pPr>
        <w:ind w:left="851"/>
        <w:rPr>
          <w:sz w:val="24"/>
          <w:szCs w:val="24"/>
        </w:rPr>
      </w:pPr>
    </w:p>
    <w:p w14:paraId="7DE338EE" w14:textId="77777777" w:rsidR="002E0EA0" w:rsidRDefault="002E0EA0" w:rsidP="002E0EA0">
      <w:pPr>
        <w:ind w:left="851"/>
        <w:rPr>
          <w:sz w:val="24"/>
          <w:szCs w:val="24"/>
        </w:rPr>
      </w:pPr>
      <w:r>
        <w:rPr>
          <w:sz w:val="24"/>
          <w:szCs w:val="24"/>
          <w:u w:val="single"/>
        </w:rPr>
        <w:t>Særlige patientpopulationer</w:t>
      </w:r>
    </w:p>
    <w:p w14:paraId="110C0B35" w14:textId="77777777" w:rsidR="002E0EA0" w:rsidRDefault="002E0EA0" w:rsidP="002E0EA0">
      <w:pPr>
        <w:ind w:left="851"/>
        <w:rPr>
          <w:sz w:val="24"/>
          <w:szCs w:val="24"/>
        </w:rPr>
      </w:pPr>
    </w:p>
    <w:p w14:paraId="1616B6C4" w14:textId="77777777" w:rsidR="002E0EA0" w:rsidRDefault="002E0EA0" w:rsidP="002E0EA0">
      <w:pPr>
        <w:ind w:left="851"/>
        <w:rPr>
          <w:i/>
          <w:iCs/>
          <w:sz w:val="24"/>
          <w:szCs w:val="24"/>
        </w:rPr>
      </w:pPr>
      <w:r>
        <w:rPr>
          <w:i/>
          <w:iCs/>
          <w:sz w:val="24"/>
          <w:szCs w:val="24"/>
        </w:rPr>
        <w:t>Etnicitet</w:t>
      </w:r>
    </w:p>
    <w:p w14:paraId="006E2DC3" w14:textId="77777777" w:rsidR="002E0EA0" w:rsidRPr="00E10EEF" w:rsidRDefault="002E0EA0" w:rsidP="002E0EA0">
      <w:pPr>
        <w:ind w:left="851"/>
        <w:rPr>
          <w:sz w:val="24"/>
          <w:szCs w:val="24"/>
        </w:rPr>
      </w:pPr>
      <w:r>
        <w:rPr>
          <w:sz w:val="24"/>
          <w:szCs w:val="24"/>
        </w:rPr>
        <w:t xml:space="preserve">Et klinisk studie undersøgte </w:t>
      </w:r>
      <w:proofErr w:type="spellStart"/>
      <w:r>
        <w:rPr>
          <w:sz w:val="24"/>
          <w:szCs w:val="24"/>
        </w:rPr>
        <w:t>Atgams</w:t>
      </w:r>
      <w:proofErr w:type="spellEnd"/>
      <w:r>
        <w:rPr>
          <w:sz w:val="24"/>
          <w:szCs w:val="24"/>
        </w:rPr>
        <w:t xml:space="preserve"> farmakokinetik i 6 voksne japanske patienter med moderat til svær </w:t>
      </w:r>
      <w:proofErr w:type="spellStart"/>
      <w:r>
        <w:rPr>
          <w:sz w:val="24"/>
          <w:szCs w:val="24"/>
        </w:rPr>
        <w:t>aplastisk</w:t>
      </w:r>
      <w:proofErr w:type="spellEnd"/>
      <w:r>
        <w:rPr>
          <w:sz w:val="24"/>
          <w:szCs w:val="24"/>
        </w:rPr>
        <w:t xml:space="preserve"> anæmi. Når administreret som intravenøs infusion i doser på 10 mg/kg legemsvægt/dag (n=3) eller 20 mg/kg legemsvægt/dag (n=3) i 8 dage var den </w:t>
      </w:r>
      <w:proofErr w:type="spellStart"/>
      <w:r>
        <w:rPr>
          <w:sz w:val="24"/>
          <w:szCs w:val="24"/>
        </w:rPr>
        <w:t>gennemsnitslige</w:t>
      </w:r>
      <w:proofErr w:type="spellEnd"/>
      <w:r>
        <w:rPr>
          <w:sz w:val="24"/>
          <w:szCs w:val="24"/>
        </w:rPr>
        <w:t xml:space="preserve"> koncentration hhv. 1.180 </w:t>
      </w:r>
      <w:r w:rsidRPr="002741B0">
        <w:rPr>
          <w:sz w:val="24"/>
          <w:szCs w:val="24"/>
        </w:rPr>
        <w:t>±</w:t>
      </w:r>
      <w:r>
        <w:rPr>
          <w:sz w:val="24"/>
          <w:szCs w:val="24"/>
        </w:rPr>
        <w:t> 240 </w:t>
      </w:r>
      <w:proofErr w:type="spellStart"/>
      <w:r w:rsidRPr="002741B0">
        <w:rPr>
          <w:sz w:val="24"/>
          <w:szCs w:val="24"/>
        </w:rPr>
        <w:t>μg</w:t>
      </w:r>
      <w:proofErr w:type="spellEnd"/>
      <w:r w:rsidRPr="002741B0">
        <w:rPr>
          <w:sz w:val="24"/>
          <w:szCs w:val="24"/>
        </w:rPr>
        <w:t>/ml</w:t>
      </w:r>
      <w:r>
        <w:rPr>
          <w:sz w:val="24"/>
          <w:szCs w:val="24"/>
        </w:rPr>
        <w:t xml:space="preserve"> og 2.060 </w:t>
      </w:r>
      <w:r w:rsidRPr="002741B0">
        <w:rPr>
          <w:sz w:val="24"/>
          <w:szCs w:val="24"/>
        </w:rPr>
        <w:t>±</w:t>
      </w:r>
      <w:r>
        <w:rPr>
          <w:sz w:val="24"/>
          <w:szCs w:val="24"/>
        </w:rPr>
        <w:t> 340 </w:t>
      </w:r>
      <w:proofErr w:type="spellStart"/>
      <w:r w:rsidRPr="002741B0">
        <w:rPr>
          <w:sz w:val="24"/>
          <w:szCs w:val="24"/>
        </w:rPr>
        <w:t>μg</w:t>
      </w:r>
      <w:proofErr w:type="spellEnd"/>
      <w:r w:rsidRPr="002741B0">
        <w:rPr>
          <w:sz w:val="24"/>
          <w:szCs w:val="24"/>
        </w:rPr>
        <w:t>/ml</w:t>
      </w:r>
      <w:r>
        <w:rPr>
          <w:sz w:val="24"/>
          <w:szCs w:val="24"/>
        </w:rPr>
        <w:t xml:space="preserve"> 1 time efter endt infusion på dag 8. Den tilsyneladende halveringstid efter sidste dosis varierede mellem 1,3 til 6 hos disse patienter.</w:t>
      </w:r>
    </w:p>
    <w:p w14:paraId="7D35F4D5" w14:textId="77777777" w:rsidR="009260DE" w:rsidRPr="00296606" w:rsidRDefault="009260DE" w:rsidP="009260DE">
      <w:pPr>
        <w:tabs>
          <w:tab w:val="left" w:pos="851"/>
        </w:tabs>
        <w:ind w:left="851"/>
        <w:rPr>
          <w:sz w:val="24"/>
          <w:szCs w:val="24"/>
        </w:rPr>
      </w:pPr>
    </w:p>
    <w:p w14:paraId="19FE985A" w14:textId="42F4E08D" w:rsidR="009260DE" w:rsidRPr="00296606" w:rsidRDefault="009260DE" w:rsidP="009260DE">
      <w:pPr>
        <w:tabs>
          <w:tab w:val="left" w:pos="851"/>
        </w:tabs>
        <w:ind w:left="851" w:hanging="851"/>
        <w:rPr>
          <w:b/>
          <w:sz w:val="24"/>
          <w:szCs w:val="24"/>
        </w:rPr>
      </w:pPr>
      <w:r w:rsidRPr="00296606">
        <w:rPr>
          <w:b/>
          <w:sz w:val="24"/>
          <w:szCs w:val="24"/>
        </w:rPr>
        <w:t>5.3</w:t>
      </w:r>
      <w:r w:rsidRPr="00296606">
        <w:rPr>
          <w:b/>
          <w:sz w:val="24"/>
          <w:szCs w:val="24"/>
        </w:rPr>
        <w:tab/>
      </w:r>
      <w:r w:rsidR="00FA1740">
        <w:rPr>
          <w:b/>
          <w:sz w:val="24"/>
          <w:szCs w:val="24"/>
        </w:rPr>
        <w:t>Non-</w:t>
      </w:r>
      <w:r w:rsidRPr="00296606">
        <w:rPr>
          <w:b/>
          <w:sz w:val="24"/>
          <w:szCs w:val="24"/>
        </w:rPr>
        <w:t>kliniske sikkerhedsdata</w:t>
      </w:r>
    </w:p>
    <w:p w14:paraId="351ECC07" w14:textId="77777777" w:rsidR="00032351" w:rsidRPr="00296606" w:rsidRDefault="00032351" w:rsidP="00296606">
      <w:pPr>
        <w:ind w:left="851"/>
        <w:rPr>
          <w:sz w:val="24"/>
          <w:szCs w:val="24"/>
        </w:rPr>
      </w:pPr>
      <w:r w:rsidRPr="00296606">
        <w:rPr>
          <w:sz w:val="24"/>
          <w:szCs w:val="24"/>
        </w:rPr>
        <w:t>De prækliniske data tyder ikke på særlig risici for mennesker baseret på konventionelle studier af gentagen dosis toksicitet, genotoksicitet og fertilitet.</w:t>
      </w:r>
    </w:p>
    <w:p w14:paraId="7985EFCC" w14:textId="77777777" w:rsidR="00032351" w:rsidRPr="00296606" w:rsidRDefault="00032351" w:rsidP="00296606">
      <w:pPr>
        <w:ind w:left="851"/>
        <w:rPr>
          <w:sz w:val="24"/>
          <w:szCs w:val="24"/>
        </w:rPr>
      </w:pPr>
    </w:p>
    <w:p w14:paraId="224D5B59" w14:textId="77777777" w:rsidR="00032351" w:rsidRPr="00296606" w:rsidRDefault="00032351" w:rsidP="00296606">
      <w:pPr>
        <w:ind w:left="851"/>
        <w:rPr>
          <w:sz w:val="24"/>
          <w:szCs w:val="24"/>
        </w:rPr>
      </w:pPr>
      <w:r w:rsidRPr="00296606">
        <w:rPr>
          <w:sz w:val="24"/>
          <w:szCs w:val="24"/>
        </w:rPr>
        <w:t xml:space="preserve">Der er ikke udført studier vedrørende </w:t>
      </w:r>
      <w:proofErr w:type="spellStart"/>
      <w:r w:rsidRPr="00296606">
        <w:rPr>
          <w:sz w:val="24"/>
          <w:szCs w:val="24"/>
        </w:rPr>
        <w:t>carcinogenicitet</w:t>
      </w:r>
      <w:proofErr w:type="spellEnd"/>
      <w:r w:rsidRPr="00296606">
        <w:rPr>
          <w:sz w:val="24"/>
          <w:szCs w:val="24"/>
        </w:rPr>
        <w:t xml:space="preserve"> og præ-/</w:t>
      </w:r>
      <w:proofErr w:type="spellStart"/>
      <w:r w:rsidRPr="00296606">
        <w:rPr>
          <w:sz w:val="24"/>
          <w:szCs w:val="24"/>
        </w:rPr>
        <w:t>postnatal</w:t>
      </w:r>
      <w:proofErr w:type="spellEnd"/>
      <w:r w:rsidRPr="00296606">
        <w:rPr>
          <w:sz w:val="24"/>
          <w:szCs w:val="24"/>
        </w:rPr>
        <w:t xml:space="preserve"> udvikling med </w:t>
      </w:r>
      <w:proofErr w:type="spellStart"/>
      <w:r w:rsidRPr="00296606">
        <w:rPr>
          <w:sz w:val="24"/>
          <w:szCs w:val="24"/>
        </w:rPr>
        <w:t>ekvint</w:t>
      </w:r>
      <w:proofErr w:type="spellEnd"/>
      <w:r w:rsidRPr="00296606">
        <w:rPr>
          <w:sz w:val="24"/>
          <w:szCs w:val="24"/>
        </w:rPr>
        <w:t xml:space="preserve"> antihumant T-</w:t>
      </w:r>
      <w:proofErr w:type="spellStart"/>
      <w:r w:rsidRPr="00296606">
        <w:rPr>
          <w:sz w:val="24"/>
          <w:szCs w:val="24"/>
        </w:rPr>
        <w:t>lymfocytimmunoglobulin</w:t>
      </w:r>
      <w:proofErr w:type="spellEnd"/>
      <w:r w:rsidRPr="00296606">
        <w:rPr>
          <w:sz w:val="24"/>
          <w:szCs w:val="24"/>
        </w:rPr>
        <w:t xml:space="preserve">. </w:t>
      </w:r>
    </w:p>
    <w:p w14:paraId="0CB63117" w14:textId="77777777" w:rsidR="00032351" w:rsidRPr="002741B0" w:rsidRDefault="00032351" w:rsidP="00296606">
      <w:pPr>
        <w:ind w:left="851"/>
        <w:rPr>
          <w:sz w:val="24"/>
          <w:szCs w:val="24"/>
        </w:rPr>
      </w:pPr>
    </w:p>
    <w:p w14:paraId="4485E4F8" w14:textId="77777777" w:rsidR="00032351" w:rsidRPr="002741B0" w:rsidRDefault="00032351" w:rsidP="002741B0">
      <w:pPr>
        <w:ind w:left="851"/>
        <w:rPr>
          <w:sz w:val="24"/>
          <w:szCs w:val="24"/>
          <w:u w:val="single"/>
        </w:rPr>
      </w:pPr>
      <w:r w:rsidRPr="002741B0">
        <w:rPr>
          <w:sz w:val="24"/>
          <w:szCs w:val="24"/>
          <w:u w:val="single"/>
        </w:rPr>
        <w:t>Graviditet</w:t>
      </w:r>
    </w:p>
    <w:p w14:paraId="5FADDEF9" w14:textId="77777777" w:rsidR="00032351" w:rsidRPr="002741B0" w:rsidRDefault="00032351" w:rsidP="002741B0">
      <w:pPr>
        <w:ind w:left="851"/>
        <w:rPr>
          <w:sz w:val="24"/>
          <w:szCs w:val="24"/>
        </w:rPr>
      </w:pPr>
    </w:p>
    <w:p w14:paraId="2C4FF157" w14:textId="77777777" w:rsidR="00032351" w:rsidRPr="002741B0" w:rsidRDefault="00032351" w:rsidP="002741B0">
      <w:pPr>
        <w:ind w:left="851"/>
        <w:rPr>
          <w:sz w:val="24"/>
          <w:szCs w:val="24"/>
        </w:rPr>
      </w:pPr>
      <w:proofErr w:type="spellStart"/>
      <w:r w:rsidRPr="002741B0">
        <w:rPr>
          <w:sz w:val="24"/>
          <w:szCs w:val="24"/>
        </w:rPr>
        <w:t>Atgam</w:t>
      </w:r>
      <w:proofErr w:type="spellEnd"/>
      <w:r w:rsidRPr="002741B0">
        <w:rPr>
          <w:spacing w:val="-2"/>
          <w:sz w:val="24"/>
          <w:szCs w:val="24"/>
        </w:rPr>
        <w:t xml:space="preserve"> var ikke</w:t>
      </w:r>
      <w:r w:rsidRPr="002741B0">
        <w:rPr>
          <w:sz w:val="24"/>
          <w:szCs w:val="24"/>
        </w:rPr>
        <w:t xml:space="preserve"> embryotoksisk, </w:t>
      </w:r>
      <w:proofErr w:type="spellStart"/>
      <w:r w:rsidRPr="002741B0">
        <w:rPr>
          <w:sz w:val="24"/>
          <w:szCs w:val="24"/>
        </w:rPr>
        <w:t>fetotoksisk</w:t>
      </w:r>
      <w:proofErr w:type="spellEnd"/>
      <w:r w:rsidRPr="002741B0">
        <w:rPr>
          <w:sz w:val="24"/>
          <w:szCs w:val="24"/>
        </w:rPr>
        <w:t xml:space="preserve"> eller </w:t>
      </w:r>
      <w:proofErr w:type="spellStart"/>
      <w:r w:rsidRPr="002741B0">
        <w:rPr>
          <w:sz w:val="24"/>
          <w:szCs w:val="24"/>
        </w:rPr>
        <w:t>teratogent</w:t>
      </w:r>
      <w:proofErr w:type="spellEnd"/>
      <w:r w:rsidRPr="002741B0">
        <w:rPr>
          <w:sz w:val="24"/>
          <w:szCs w:val="24"/>
        </w:rPr>
        <w:t xml:space="preserve"> hos rotter efter indgivelse af doser sammenlignelige med doser til mennesker. I reproduktionsstudier hos aber var </w:t>
      </w:r>
      <w:proofErr w:type="spellStart"/>
      <w:r w:rsidRPr="002741B0">
        <w:rPr>
          <w:sz w:val="24"/>
          <w:szCs w:val="24"/>
        </w:rPr>
        <w:t>Atgam</w:t>
      </w:r>
      <w:proofErr w:type="spellEnd"/>
      <w:r w:rsidRPr="002741B0">
        <w:rPr>
          <w:sz w:val="24"/>
          <w:szCs w:val="24"/>
        </w:rPr>
        <w:t xml:space="preserve"> embryotoksisk og </w:t>
      </w:r>
      <w:proofErr w:type="spellStart"/>
      <w:r w:rsidRPr="002741B0">
        <w:rPr>
          <w:sz w:val="24"/>
          <w:szCs w:val="24"/>
        </w:rPr>
        <w:t>fetotoksisk</w:t>
      </w:r>
      <w:proofErr w:type="spellEnd"/>
      <w:r w:rsidRPr="002741B0">
        <w:rPr>
          <w:sz w:val="24"/>
          <w:szCs w:val="24"/>
        </w:rPr>
        <w:t xml:space="preserve">. Disse virkninger blev set ved </w:t>
      </w:r>
      <w:proofErr w:type="spellStart"/>
      <w:r w:rsidRPr="002741B0">
        <w:rPr>
          <w:sz w:val="24"/>
          <w:szCs w:val="24"/>
        </w:rPr>
        <w:t>maternel</w:t>
      </w:r>
      <w:proofErr w:type="spellEnd"/>
      <w:r w:rsidRPr="002741B0">
        <w:rPr>
          <w:sz w:val="24"/>
          <w:szCs w:val="24"/>
        </w:rPr>
        <w:t xml:space="preserve"> toksicitet (ved </w:t>
      </w:r>
      <w:proofErr w:type="spellStart"/>
      <w:r w:rsidRPr="002741B0">
        <w:rPr>
          <w:sz w:val="24"/>
          <w:szCs w:val="24"/>
        </w:rPr>
        <w:t>Atgam</w:t>
      </w:r>
      <w:proofErr w:type="spellEnd"/>
      <w:r w:rsidRPr="002741B0">
        <w:rPr>
          <w:sz w:val="24"/>
          <w:szCs w:val="24"/>
        </w:rPr>
        <w:t xml:space="preserve">-doser på 20 mg/kg/dag og med </w:t>
      </w:r>
      <w:proofErr w:type="spellStart"/>
      <w:r w:rsidRPr="002741B0">
        <w:rPr>
          <w:sz w:val="24"/>
          <w:szCs w:val="24"/>
        </w:rPr>
        <w:t>maternel</w:t>
      </w:r>
      <w:proofErr w:type="spellEnd"/>
      <w:r w:rsidRPr="002741B0">
        <w:rPr>
          <w:sz w:val="24"/>
          <w:szCs w:val="24"/>
        </w:rPr>
        <w:t xml:space="preserve"> død ved doser på 40 mg/kg/dag). Fosterdød forekom hos moderdyr, der blev behandlet under den første del af </w:t>
      </w:r>
      <w:proofErr w:type="spellStart"/>
      <w:r w:rsidRPr="002741B0">
        <w:rPr>
          <w:sz w:val="24"/>
          <w:szCs w:val="24"/>
        </w:rPr>
        <w:t>organogenesen</w:t>
      </w:r>
      <w:proofErr w:type="spellEnd"/>
      <w:r w:rsidRPr="002741B0">
        <w:rPr>
          <w:sz w:val="24"/>
          <w:szCs w:val="24"/>
        </w:rPr>
        <w:t xml:space="preserve">, men ikke hos moderdyr, der blev behandlet under den sidste del af </w:t>
      </w:r>
      <w:proofErr w:type="spellStart"/>
      <w:r w:rsidRPr="002741B0">
        <w:rPr>
          <w:sz w:val="24"/>
          <w:szCs w:val="24"/>
        </w:rPr>
        <w:t>organogenesen</w:t>
      </w:r>
      <w:proofErr w:type="spellEnd"/>
      <w:r w:rsidRPr="002741B0">
        <w:rPr>
          <w:sz w:val="24"/>
          <w:szCs w:val="24"/>
        </w:rPr>
        <w:t xml:space="preserve">. </w:t>
      </w:r>
      <w:proofErr w:type="spellStart"/>
      <w:r w:rsidRPr="002741B0">
        <w:rPr>
          <w:sz w:val="24"/>
          <w:szCs w:val="24"/>
        </w:rPr>
        <w:t>Maternel</w:t>
      </w:r>
      <w:proofErr w:type="spellEnd"/>
      <w:r w:rsidRPr="002741B0">
        <w:rPr>
          <w:sz w:val="24"/>
          <w:szCs w:val="24"/>
        </w:rPr>
        <w:t xml:space="preserve"> død og fosterdød blev tilskrevet </w:t>
      </w:r>
      <w:proofErr w:type="spellStart"/>
      <w:r w:rsidRPr="002741B0">
        <w:rPr>
          <w:sz w:val="24"/>
          <w:szCs w:val="24"/>
        </w:rPr>
        <w:t>maternel</w:t>
      </w:r>
      <w:proofErr w:type="spellEnd"/>
      <w:r w:rsidRPr="002741B0">
        <w:rPr>
          <w:sz w:val="24"/>
          <w:szCs w:val="24"/>
        </w:rPr>
        <w:t xml:space="preserve"> anæmi på grund af et rødt blodcelle-antigen, som mennesker ikke har. Derfor anses denne toksicitet ikke relevant for humane fostres udvikling.</w:t>
      </w:r>
    </w:p>
    <w:p w14:paraId="11EA6C40" w14:textId="77777777" w:rsidR="00032351" w:rsidRPr="00296606" w:rsidRDefault="00032351" w:rsidP="00296606">
      <w:pPr>
        <w:pStyle w:val="Paragraph"/>
        <w:spacing w:after="0"/>
        <w:ind w:left="851" w:right="490"/>
        <w:rPr>
          <w:u w:val="single"/>
          <w:lang w:val="da-DK"/>
        </w:rPr>
      </w:pPr>
    </w:p>
    <w:p w14:paraId="69479E53" w14:textId="77777777" w:rsidR="00032351" w:rsidRPr="00296606" w:rsidRDefault="00032351" w:rsidP="00296606">
      <w:pPr>
        <w:pStyle w:val="Paragraph"/>
        <w:spacing w:after="0"/>
        <w:ind w:left="851" w:right="490"/>
        <w:rPr>
          <w:u w:val="single"/>
          <w:lang w:val="da-DK"/>
        </w:rPr>
      </w:pPr>
      <w:r w:rsidRPr="00296606">
        <w:rPr>
          <w:u w:val="single"/>
          <w:lang w:val="da-DK"/>
        </w:rPr>
        <w:t>Amning</w:t>
      </w:r>
    </w:p>
    <w:p w14:paraId="7B91D680" w14:textId="77777777" w:rsidR="00032351" w:rsidRPr="00296606" w:rsidRDefault="00032351" w:rsidP="00296606">
      <w:pPr>
        <w:pStyle w:val="Paragraph"/>
        <w:spacing w:after="0"/>
        <w:ind w:left="851" w:right="490"/>
        <w:rPr>
          <w:u w:val="single"/>
          <w:lang w:val="da-DK"/>
        </w:rPr>
      </w:pPr>
    </w:p>
    <w:p w14:paraId="24DEF279" w14:textId="77777777" w:rsidR="00032351" w:rsidRPr="00296606" w:rsidRDefault="00032351" w:rsidP="00296606">
      <w:pPr>
        <w:pStyle w:val="Paragraph"/>
        <w:spacing w:after="0"/>
        <w:ind w:left="851" w:right="9"/>
        <w:rPr>
          <w:u w:val="single"/>
          <w:lang w:val="da-DK"/>
        </w:rPr>
      </w:pPr>
      <w:r w:rsidRPr="00296606">
        <w:rPr>
          <w:lang w:val="da-DK"/>
        </w:rPr>
        <w:t xml:space="preserve">I dyrestudier blev </w:t>
      </w:r>
      <w:proofErr w:type="spellStart"/>
      <w:r w:rsidRPr="00296606">
        <w:rPr>
          <w:lang w:val="da-DK"/>
        </w:rPr>
        <w:t>Atgam</w:t>
      </w:r>
      <w:proofErr w:type="spellEnd"/>
      <w:r w:rsidRPr="00296606">
        <w:rPr>
          <w:lang w:val="da-DK"/>
        </w:rPr>
        <w:t xml:space="preserve"> ikke påvist ved kvantificeringsgrænsen i mælk hos diegivende </w:t>
      </w:r>
      <w:proofErr w:type="spellStart"/>
      <w:r w:rsidRPr="00296606">
        <w:rPr>
          <w:lang w:val="da-DK"/>
        </w:rPr>
        <w:t>cynomolgus</w:t>
      </w:r>
      <w:proofErr w:type="spellEnd"/>
      <w:r w:rsidRPr="00296606">
        <w:rPr>
          <w:lang w:val="da-DK"/>
        </w:rPr>
        <w:t>-aber.</w:t>
      </w:r>
    </w:p>
    <w:p w14:paraId="0E02193D" w14:textId="08E00619" w:rsidR="009260DE" w:rsidRDefault="009260DE" w:rsidP="009260DE">
      <w:pPr>
        <w:tabs>
          <w:tab w:val="left" w:pos="851"/>
        </w:tabs>
        <w:ind w:left="851"/>
        <w:rPr>
          <w:sz w:val="24"/>
          <w:szCs w:val="24"/>
        </w:rPr>
      </w:pPr>
    </w:p>
    <w:p w14:paraId="15569193" w14:textId="1DDE39EE" w:rsidR="002741B0" w:rsidRDefault="002741B0" w:rsidP="009260DE">
      <w:pPr>
        <w:tabs>
          <w:tab w:val="left" w:pos="851"/>
        </w:tabs>
        <w:ind w:left="851"/>
        <w:rPr>
          <w:sz w:val="24"/>
          <w:szCs w:val="24"/>
        </w:rPr>
      </w:pPr>
    </w:p>
    <w:p w14:paraId="716119C1" w14:textId="3525F298" w:rsidR="002E0EA0" w:rsidRDefault="002E0EA0" w:rsidP="009260DE">
      <w:pPr>
        <w:tabs>
          <w:tab w:val="left" w:pos="851"/>
        </w:tabs>
        <w:ind w:left="851"/>
        <w:rPr>
          <w:sz w:val="24"/>
          <w:szCs w:val="24"/>
        </w:rPr>
      </w:pPr>
    </w:p>
    <w:p w14:paraId="0BD87BA0" w14:textId="77777777" w:rsidR="002E0EA0" w:rsidRPr="00296606" w:rsidRDefault="002E0EA0" w:rsidP="009260DE">
      <w:pPr>
        <w:tabs>
          <w:tab w:val="left" w:pos="851"/>
        </w:tabs>
        <w:ind w:left="851"/>
        <w:rPr>
          <w:sz w:val="24"/>
          <w:szCs w:val="24"/>
        </w:rPr>
      </w:pPr>
    </w:p>
    <w:p w14:paraId="018EE885" w14:textId="77777777" w:rsidR="009260DE" w:rsidRPr="00296606" w:rsidRDefault="009260DE" w:rsidP="009260DE">
      <w:pPr>
        <w:tabs>
          <w:tab w:val="left" w:pos="851"/>
        </w:tabs>
        <w:ind w:left="851" w:hanging="851"/>
        <w:rPr>
          <w:b/>
          <w:sz w:val="24"/>
          <w:szCs w:val="24"/>
        </w:rPr>
      </w:pPr>
      <w:r w:rsidRPr="00296606">
        <w:rPr>
          <w:b/>
          <w:sz w:val="24"/>
          <w:szCs w:val="24"/>
        </w:rPr>
        <w:lastRenderedPageBreak/>
        <w:t>6.</w:t>
      </w:r>
      <w:r w:rsidRPr="00296606">
        <w:rPr>
          <w:b/>
          <w:sz w:val="24"/>
          <w:szCs w:val="24"/>
        </w:rPr>
        <w:tab/>
        <w:t>FARMACEUTISKE OPLYSNINGER</w:t>
      </w:r>
    </w:p>
    <w:p w14:paraId="627AE1FF" w14:textId="77777777" w:rsidR="009260DE" w:rsidRPr="00296606" w:rsidRDefault="009260DE" w:rsidP="009260DE">
      <w:pPr>
        <w:tabs>
          <w:tab w:val="left" w:pos="851"/>
        </w:tabs>
        <w:ind w:left="851"/>
        <w:rPr>
          <w:sz w:val="24"/>
          <w:szCs w:val="24"/>
        </w:rPr>
      </w:pPr>
    </w:p>
    <w:p w14:paraId="1F3CEFDF" w14:textId="77777777" w:rsidR="009260DE" w:rsidRPr="00296606" w:rsidRDefault="009260DE" w:rsidP="009260DE">
      <w:pPr>
        <w:tabs>
          <w:tab w:val="left" w:pos="851"/>
        </w:tabs>
        <w:ind w:left="851" w:hanging="851"/>
        <w:rPr>
          <w:b/>
          <w:sz w:val="24"/>
          <w:szCs w:val="24"/>
        </w:rPr>
      </w:pPr>
      <w:r w:rsidRPr="00296606">
        <w:rPr>
          <w:b/>
          <w:sz w:val="24"/>
          <w:szCs w:val="24"/>
        </w:rPr>
        <w:t>6.1</w:t>
      </w:r>
      <w:r w:rsidRPr="00296606">
        <w:rPr>
          <w:b/>
          <w:sz w:val="24"/>
          <w:szCs w:val="24"/>
        </w:rPr>
        <w:tab/>
        <w:t>Hjælpestoffer</w:t>
      </w:r>
    </w:p>
    <w:p w14:paraId="2868891B" w14:textId="77777777" w:rsidR="00AB54AB" w:rsidRPr="002741B0" w:rsidRDefault="00AB54AB" w:rsidP="002741B0">
      <w:pPr>
        <w:ind w:left="851"/>
        <w:rPr>
          <w:sz w:val="24"/>
          <w:szCs w:val="24"/>
        </w:rPr>
      </w:pPr>
      <w:proofErr w:type="spellStart"/>
      <w:r w:rsidRPr="002741B0">
        <w:rPr>
          <w:sz w:val="24"/>
          <w:szCs w:val="24"/>
        </w:rPr>
        <w:t>Glycin</w:t>
      </w:r>
      <w:proofErr w:type="spellEnd"/>
    </w:p>
    <w:p w14:paraId="4D609298" w14:textId="77777777" w:rsidR="00AB54AB" w:rsidRPr="002741B0" w:rsidRDefault="00AB54AB" w:rsidP="002741B0">
      <w:pPr>
        <w:ind w:left="851"/>
        <w:rPr>
          <w:sz w:val="24"/>
          <w:szCs w:val="24"/>
        </w:rPr>
      </w:pPr>
      <w:r w:rsidRPr="002741B0">
        <w:rPr>
          <w:sz w:val="24"/>
          <w:szCs w:val="24"/>
        </w:rPr>
        <w:t>Vand til injektionsvæsker</w:t>
      </w:r>
    </w:p>
    <w:p w14:paraId="0CE4BD7E" w14:textId="77777777" w:rsidR="00AB54AB" w:rsidRPr="002741B0" w:rsidRDefault="00AB54AB" w:rsidP="002741B0">
      <w:pPr>
        <w:ind w:left="851"/>
        <w:rPr>
          <w:sz w:val="24"/>
          <w:szCs w:val="24"/>
        </w:rPr>
      </w:pPr>
      <w:r w:rsidRPr="002741B0">
        <w:rPr>
          <w:sz w:val="24"/>
          <w:szCs w:val="24"/>
        </w:rPr>
        <w:t>Natriumhydroxid (til justering af pH)</w:t>
      </w:r>
    </w:p>
    <w:p w14:paraId="3E46504F" w14:textId="77777777" w:rsidR="00AB54AB" w:rsidRPr="002741B0" w:rsidRDefault="00AB54AB" w:rsidP="002741B0">
      <w:pPr>
        <w:ind w:left="851"/>
        <w:rPr>
          <w:sz w:val="24"/>
          <w:szCs w:val="24"/>
        </w:rPr>
      </w:pPr>
      <w:r w:rsidRPr="002741B0">
        <w:rPr>
          <w:sz w:val="24"/>
          <w:szCs w:val="24"/>
        </w:rPr>
        <w:t>Saltsyre (til justering af pH)</w:t>
      </w:r>
    </w:p>
    <w:p w14:paraId="2A429BB1" w14:textId="77777777" w:rsidR="009260DE" w:rsidRPr="00296606" w:rsidRDefault="009260DE" w:rsidP="009260DE">
      <w:pPr>
        <w:tabs>
          <w:tab w:val="left" w:pos="851"/>
        </w:tabs>
        <w:ind w:left="851"/>
        <w:rPr>
          <w:sz w:val="24"/>
          <w:szCs w:val="24"/>
        </w:rPr>
      </w:pPr>
    </w:p>
    <w:p w14:paraId="585BA566" w14:textId="77777777" w:rsidR="009260DE" w:rsidRPr="00296606" w:rsidRDefault="009260DE" w:rsidP="009260DE">
      <w:pPr>
        <w:tabs>
          <w:tab w:val="left" w:pos="851"/>
        </w:tabs>
        <w:ind w:left="851" w:hanging="851"/>
        <w:rPr>
          <w:b/>
          <w:sz w:val="24"/>
          <w:szCs w:val="24"/>
        </w:rPr>
      </w:pPr>
      <w:r w:rsidRPr="00296606">
        <w:rPr>
          <w:b/>
          <w:sz w:val="24"/>
          <w:szCs w:val="24"/>
        </w:rPr>
        <w:t>6.2</w:t>
      </w:r>
      <w:r w:rsidRPr="00296606">
        <w:rPr>
          <w:b/>
          <w:sz w:val="24"/>
          <w:szCs w:val="24"/>
        </w:rPr>
        <w:tab/>
        <w:t>Uforligeligheder</w:t>
      </w:r>
    </w:p>
    <w:p w14:paraId="30723FF4" w14:textId="77777777" w:rsidR="00AB54AB" w:rsidRPr="002741B0" w:rsidRDefault="00AB54AB" w:rsidP="002741B0">
      <w:pPr>
        <w:ind w:left="851"/>
        <w:rPr>
          <w:noProof/>
          <w:sz w:val="24"/>
          <w:szCs w:val="24"/>
        </w:rPr>
      </w:pPr>
      <w:r w:rsidRPr="002741B0">
        <w:rPr>
          <w:sz w:val="24"/>
          <w:szCs w:val="24"/>
        </w:rPr>
        <w:t>Dette lægemiddel må ikke blandes med andre lægemidler end dem, der er anført under pkt. 6.6.</w:t>
      </w:r>
    </w:p>
    <w:p w14:paraId="4638DE5A" w14:textId="77777777" w:rsidR="009260DE" w:rsidRPr="00296606" w:rsidRDefault="009260DE" w:rsidP="009260DE">
      <w:pPr>
        <w:tabs>
          <w:tab w:val="left" w:pos="851"/>
        </w:tabs>
        <w:ind w:left="851"/>
        <w:rPr>
          <w:sz w:val="24"/>
          <w:szCs w:val="24"/>
        </w:rPr>
      </w:pPr>
    </w:p>
    <w:p w14:paraId="0EB70CF2" w14:textId="77777777" w:rsidR="009260DE" w:rsidRPr="00296606" w:rsidRDefault="009260DE" w:rsidP="009260DE">
      <w:pPr>
        <w:tabs>
          <w:tab w:val="left" w:pos="851"/>
        </w:tabs>
        <w:ind w:left="851" w:hanging="851"/>
        <w:rPr>
          <w:b/>
          <w:sz w:val="24"/>
          <w:szCs w:val="24"/>
        </w:rPr>
      </w:pPr>
      <w:r w:rsidRPr="00296606">
        <w:rPr>
          <w:b/>
          <w:sz w:val="24"/>
          <w:szCs w:val="24"/>
        </w:rPr>
        <w:t>6.3</w:t>
      </w:r>
      <w:r w:rsidRPr="00296606">
        <w:rPr>
          <w:b/>
          <w:sz w:val="24"/>
          <w:szCs w:val="24"/>
        </w:rPr>
        <w:tab/>
        <w:t>Opbevaringstid</w:t>
      </w:r>
    </w:p>
    <w:p w14:paraId="4C3EC0C4" w14:textId="77777777" w:rsidR="002741B0" w:rsidRPr="002741B0" w:rsidRDefault="002741B0" w:rsidP="002741B0">
      <w:pPr>
        <w:ind w:left="851"/>
        <w:rPr>
          <w:sz w:val="24"/>
          <w:szCs w:val="24"/>
        </w:rPr>
      </w:pPr>
    </w:p>
    <w:p w14:paraId="02147E49" w14:textId="002CA83C" w:rsidR="00AB54AB" w:rsidRPr="002741B0" w:rsidRDefault="00AB54AB" w:rsidP="002741B0">
      <w:pPr>
        <w:ind w:left="851"/>
        <w:rPr>
          <w:sz w:val="24"/>
          <w:szCs w:val="24"/>
          <w:u w:val="single"/>
        </w:rPr>
      </w:pPr>
      <w:r w:rsidRPr="002741B0">
        <w:rPr>
          <w:sz w:val="24"/>
          <w:szCs w:val="24"/>
          <w:u w:val="single"/>
        </w:rPr>
        <w:t>Uåbnede ampuller</w:t>
      </w:r>
    </w:p>
    <w:p w14:paraId="37608C9C" w14:textId="77777777" w:rsidR="00AB54AB" w:rsidRPr="002741B0" w:rsidRDefault="00AB54AB" w:rsidP="002741B0">
      <w:pPr>
        <w:ind w:left="851"/>
        <w:rPr>
          <w:sz w:val="24"/>
          <w:szCs w:val="24"/>
        </w:rPr>
      </w:pPr>
      <w:r w:rsidRPr="002741B0">
        <w:rPr>
          <w:sz w:val="24"/>
          <w:szCs w:val="24"/>
        </w:rPr>
        <w:t>2 år</w:t>
      </w:r>
    </w:p>
    <w:p w14:paraId="0DFF068E" w14:textId="77777777" w:rsidR="00AB54AB" w:rsidRPr="002741B0" w:rsidRDefault="00AB54AB" w:rsidP="002741B0">
      <w:pPr>
        <w:ind w:left="851"/>
        <w:rPr>
          <w:sz w:val="24"/>
          <w:szCs w:val="24"/>
        </w:rPr>
      </w:pPr>
    </w:p>
    <w:p w14:paraId="0BAB2CD0" w14:textId="77777777" w:rsidR="00AB54AB" w:rsidRPr="002741B0" w:rsidRDefault="00AB54AB" w:rsidP="00296606">
      <w:pPr>
        <w:ind w:left="851"/>
        <w:rPr>
          <w:sz w:val="24"/>
          <w:szCs w:val="24"/>
        </w:rPr>
      </w:pPr>
      <w:r w:rsidRPr="002741B0">
        <w:rPr>
          <w:sz w:val="24"/>
          <w:szCs w:val="24"/>
        </w:rPr>
        <w:t>Kemisk og fysisk stabilitet for den brugsfærdige opløsning er dokumenteret i 24 timer ved 25°C. Ud fra et mikrobiologisk synspunkt skal præparatet bruges med det samme, medmindre åbnings- og fortyndingsmetoden udelukker risikoen for mikrobiel kontaminering.</w:t>
      </w:r>
    </w:p>
    <w:p w14:paraId="40E2D605" w14:textId="77777777" w:rsidR="00AB54AB" w:rsidRPr="002741B0" w:rsidRDefault="00AB54AB" w:rsidP="00296606">
      <w:pPr>
        <w:tabs>
          <w:tab w:val="left" w:pos="1304"/>
        </w:tabs>
        <w:ind w:left="851"/>
        <w:rPr>
          <w:sz w:val="24"/>
          <w:szCs w:val="24"/>
        </w:rPr>
      </w:pPr>
      <w:r w:rsidRPr="002741B0">
        <w:rPr>
          <w:sz w:val="24"/>
          <w:szCs w:val="24"/>
        </w:rPr>
        <w:t>Anvendelse af andre opbevaringsbetingelser er på brugerens eget ansvar.</w:t>
      </w:r>
    </w:p>
    <w:p w14:paraId="69658F7E" w14:textId="77777777" w:rsidR="009260DE" w:rsidRPr="00296606" w:rsidRDefault="009260DE" w:rsidP="009260DE">
      <w:pPr>
        <w:tabs>
          <w:tab w:val="left" w:pos="851"/>
        </w:tabs>
        <w:ind w:left="851"/>
        <w:rPr>
          <w:sz w:val="24"/>
          <w:szCs w:val="24"/>
        </w:rPr>
      </w:pPr>
    </w:p>
    <w:p w14:paraId="783ECEAE" w14:textId="77777777" w:rsidR="009260DE" w:rsidRPr="00296606" w:rsidRDefault="009260DE" w:rsidP="009260DE">
      <w:pPr>
        <w:tabs>
          <w:tab w:val="left" w:pos="851"/>
        </w:tabs>
        <w:ind w:left="851" w:hanging="851"/>
        <w:rPr>
          <w:b/>
          <w:sz w:val="24"/>
          <w:szCs w:val="24"/>
        </w:rPr>
      </w:pPr>
      <w:r w:rsidRPr="00296606">
        <w:rPr>
          <w:b/>
          <w:sz w:val="24"/>
          <w:szCs w:val="24"/>
        </w:rPr>
        <w:t>6.4</w:t>
      </w:r>
      <w:r w:rsidRPr="00296606">
        <w:rPr>
          <w:b/>
          <w:sz w:val="24"/>
          <w:szCs w:val="24"/>
        </w:rPr>
        <w:tab/>
        <w:t>Særlige opbevaringsforhold</w:t>
      </w:r>
    </w:p>
    <w:p w14:paraId="29F3212B" w14:textId="77777777" w:rsidR="002741B0" w:rsidRDefault="002741B0" w:rsidP="002741B0">
      <w:pPr>
        <w:ind w:left="851"/>
        <w:rPr>
          <w:sz w:val="24"/>
          <w:szCs w:val="24"/>
        </w:rPr>
      </w:pPr>
    </w:p>
    <w:p w14:paraId="39C881BC" w14:textId="4DF42318" w:rsidR="00AB54AB" w:rsidRPr="002741B0" w:rsidRDefault="00AB54AB" w:rsidP="002741B0">
      <w:pPr>
        <w:ind w:left="851"/>
        <w:rPr>
          <w:sz w:val="24"/>
          <w:szCs w:val="24"/>
          <w:u w:val="single"/>
        </w:rPr>
      </w:pPr>
      <w:r w:rsidRPr="002741B0">
        <w:rPr>
          <w:sz w:val="24"/>
          <w:szCs w:val="24"/>
          <w:u w:val="single"/>
        </w:rPr>
        <w:t>Uåbnede ampuller</w:t>
      </w:r>
    </w:p>
    <w:p w14:paraId="5C25EB60" w14:textId="77777777" w:rsidR="00AB54AB" w:rsidRPr="002741B0" w:rsidRDefault="00AB54AB" w:rsidP="002741B0">
      <w:pPr>
        <w:ind w:left="851"/>
        <w:rPr>
          <w:sz w:val="24"/>
          <w:szCs w:val="24"/>
        </w:rPr>
      </w:pPr>
    </w:p>
    <w:p w14:paraId="35C3B929" w14:textId="77777777" w:rsidR="00AB54AB" w:rsidRPr="002741B0" w:rsidRDefault="00AB54AB" w:rsidP="002741B0">
      <w:pPr>
        <w:ind w:left="851"/>
        <w:rPr>
          <w:noProof/>
          <w:sz w:val="24"/>
          <w:szCs w:val="24"/>
        </w:rPr>
      </w:pPr>
      <w:r w:rsidRPr="002741B0">
        <w:rPr>
          <w:sz w:val="24"/>
          <w:szCs w:val="24"/>
        </w:rPr>
        <w:t>Opbevares i køleskab (2 °C – 8 °C).</w:t>
      </w:r>
      <w:r w:rsidRPr="002741B0">
        <w:rPr>
          <w:noProof/>
          <w:sz w:val="24"/>
          <w:szCs w:val="24"/>
        </w:rPr>
        <w:t xml:space="preserve"> </w:t>
      </w:r>
      <w:r w:rsidRPr="002741B0">
        <w:rPr>
          <w:sz w:val="24"/>
          <w:szCs w:val="24"/>
        </w:rPr>
        <w:t>Må ikke nedfryses. Opbevar ampullen i den ydre karton for at beskytte mod lys.</w:t>
      </w:r>
    </w:p>
    <w:p w14:paraId="30A33A54" w14:textId="77777777" w:rsidR="00AB54AB" w:rsidRPr="002741B0" w:rsidRDefault="00AB54AB" w:rsidP="002741B0">
      <w:pPr>
        <w:ind w:left="851"/>
        <w:rPr>
          <w:noProof/>
          <w:sz w:val="24"/>
          <w:szCs w:val="24"/>
        </w:rPr>
      </w:pPr>
    </w:p>
    <w:p w14:paraId="01017998" w14:textId="77777777" w:rsidR="00AB54AB" w:rsidRPr="002741B0" w:rsidRDefault="00AB54AB" w:rsidP="002741B0">
      <w:pPr>
        <w:ind w:left="851"/>
        <w:rPr>
          <w:noProof/>
          <w:sz w:val="24"/>
          <w:szCs w:val="24"/>
        </w:rPr>
      </w:pPr>
      <w:r w:rsidRPr="002741B0">
        <w:rPr>
          <w:sz w:val="24"/>
          <w:szCs w:val="24"/>
        </w:rPr>
        <w:t>Opbevaringsforhold for den fortyndede opløsning, se pkt. 6.3 og 6.6.</w:t>
      </w:r>
    </w:p>
    <w:p w14:paraId="3BD1987F" w14:textId="77777777" w:rsidR="009260DE" w:rsidRPr="00296606" w:rsidRDefault="009260DE" w:rsidP="009260DE">
      <w:pPr>
        <w:tabs>
          <w:tab w:val="left" w:pos="851"/>
        </w:tabs>
        <w:ind w:left="851"/>
        <w:rPr>
          <w:sz w:val="24"/>
          <w:szCs w:val="24"/>
        </w:rPr>
      </w:pPr>
    </w:p>
    <w:p w14:paraId="72D42330" w14:textId="3218C483" w:rsidR="009260DE" w:rsidRPr="00296606" w:rsidRDefault="009260DE" w:rsidP="009260DE">
      <w:pPr>
        <w:tabs>
          <w:tab w:val="left" w:pos="851"/>
        </w:tabs>
        <w:ind w:left="851" w:hanging="851"/>
        <w:rPr>
          <w:b/>
          <w:sz w:val="24"/>
          <w:szCs w:val="24"/>
        </w:rPr>
      </w:pPr>
      <w:r w:rsidRPr="00296606">
        <w:rPr>
          <w:b/>
          <w:sz w:val="24"/>
          <w:szCs w:val="24"/>
        </w:rPr>
        <w:t>6.5</w:t>
      </w:r>
      <w:r w:rsidRPr="00296606">
        <w:rPr>
          <w:b/>
          <w:sz w:val="24"/>
          <w:szCs w:val="24"/>
        </w:rPr>
        <w:tab/>
        <w:t>Emballagetype og pakningsstørrelser</w:t>
      </w:r>
    </w:p>
    <w:p w14:paraId="2B456F42" w14:textId="77777777" w:rsidR="00AB54AB" w:rsidRPr="00296606" w:rsidRDefault="00AB54AB" w:rsidP="00296606">
      <w:pPr>
        <w:ind w:left="851"/>
        <w:rPr>
          <w:sz w:val="24"/>
          <w:szCs w:val="24"/>
        </w:rPr>
      </w:pPr>
      <w:r w:rsidRPr="00296606">
        <w:rPr>
          <w:sz w:val="24"/>
          <w:szCs w:val="24"/>
        </w:rPr>
        <w:t xml:space="preserve">5 ml koncentrat, opløsning i en klar type-1 glasampul. </w:t>
      </w:r>
    </w:p>
    <w:p w14:paraId="21CA01C2" w14:textId="77777777" w:rsidR="00AB54AB" w:rsidRPr="00296606" w:rsidRDefault="00AB54AB" w:rsidP="00296606">
      <w:pPr>
        <w:ind w:left="851"/>
        <w:rPr>
          <w:sz w:val="24"/>
          <w:szCs w:val="24"/>
        </w:rPr>
      </w:pPr>
      <w:r w:rsidRPr="00296606">
        <w:rPr>
          <w:sz w:val="24"/>
          <w:szCs w:val="24"/>
        </w:rPr>
        <w:t>Pakningsstørrelse: 5 ampuller.</w:t>
      </w:r>
    </w:p>
    <w:p w14:paraId="54E564CA" w14:textId="77777777" w:rsidR="009260DE" w:rsidRPr="00296606" w:rsidRDefault="009260DE" w:rsidP="009260DE">
      <w:pPr>
        <w:tabs>
          <w:tab w:val="left" w:pos="851"/>
        </w:tabs>
        <w:ind w:left="851"/>
        <w:rPr>
          <w:sz w:val="24"/>
          <w:szCs w:val="24"/>
        </w:rPr>
      </w:pPr>
    </w:p>
    <w:p w14:paraId="7F58764A" w14:textId="4EF8992A" w:rsidR="009260DE" w:rsidRPr="00296606" w:rsidRDefault="009260DE" w:rsidP="009260DE">
      <w:pPr>
        <w:tabs>
          <w:tab w:val="left" w:pos="851"/>
        </w:tabs>
        <w:ind w:left="851" w:hanging="851"/>
        <w:rPr>
          <w:b/>
          <w:sz w:val="24"/>
          <w:szCs w:val="24"/>
        </w:rPr>
      </w:pPr>
      <w:r w:rsidRPr="00296606">
        <w:rPr>
          <w:b/>
          <w:sz w:val="24"/>
          <w:szCs w:val="24"/>
        </w:rPr>
        <w:t>6.6</w:t>
      </w:r>
      <w:r w:rsidRPr="00296606">
        <w:rPr>
          <w:b/>
          <w:sz w:val="24"/>
          <w:szCs w:val="24"/>
        </w:rPr>
        <w:tab/>
        <w:t xml:space="preserve">Regler for </w:t>
      </w:r>
      <w:r w:rsidR="00FA1740">
        <w:rPr>
          <w:b/>
          <w:sz w:val="24"/>
          <w:szCs w:val="24"/>
        </w:rPr>
        <w:t>bortskaffelse</w:t>
      </w:r>
      <w:r w:rsidRPr="00296606">
        <w:rPr>
          <w:b/>
          <w:sz w:val="24"/>
          <w:szCs w:val="24"/>
        </w:rPr>
        <w:t xml:space="preserve"> og anden håndtering</w:t>
      </w:r>
    </w:p>
    <w:p w14:paraId="59516D65" w14:textId="77777777" w:rsidR="002741B0" w:rsidRDefault="002741B0" w:rsidP="00296606">
      <w:pPr>
        <w:ind w:left="851"/>
        <w:rPr>
          <w:sz w:val="24"/>
          <w:szCs w:val="24"/>
          <w:u w:val="single"/>
        </w:rPr>
      </w:pPr>
    </w:p>
    <w:p w14:paraId="542676A0" w14:textId="77777777" w:rsidR="002E0EA0" w:rsidRPr="00182D0F" w:rsidRDefault="002E0EA0" w:rsidP="002E0EA0">
      <w:pPr>
        <w:numPr>
          <w:ilvl w:val="12"/>
          <w:numId w:val="0"/>
        </w:numPr>
        <w:ind w:left="851" w:right="-29"/>
        <w:rPr>
          <w:bCs/>
          <w:i/>
          <w:sz w:val="24"/>
          <w:szCs w:val="24"/>
          <w:u w:val="single"/>
        </w:rPr>
      </w:pPr>
      <w:r w:rsidRPr="00182D0F">
        <w:rPr>
          <w:i/>
          <w:sz w:val="24"/>
          <w:szCs w:val="24"/>
          <w:u w:val="single"/>
        </w:rPr>
        <w:t>Klargøring af infusionsopløsningen</w:t>
      </w:r>
    </w:p>
    <w:p w14:paraId="62A1BD5A" w14:textId="77777777" w:rsidR="002E0EA0" w:rsidRPr="00182D0F" w:rsidRDefault="002E0EA0" w:rsidP="002E0EA0">
      <w:pPr>
        <w:ind w:left="851"/>
        <w:rPr>
          <w:sz w:val="24"/>
          <w:szCs w:val="24"/>
        </w:rPr>
      </w:pPr>
      <w:r w:rsidRPr="00182D0F">
        <w:rPr>
          <w:sz w:val="24"/>
          <w:szCs w:val="24"/>
        </w:rPr>
        <w:t xml:space="preserve">Da </w:t>
      </w:r>
      <w:proofErr w:type="spellStart"/>
      <w:r w:rsidRPr="00182D0F">
        <w:rPr>
          <w:sz w:val="24"/>
          <w:szCs w:val="24"/>
        </w:rPr>
        <w:t>Atgam</w:t>
      </w:r>
      <w:proofErr w:type="spellEnd"/>
      <w:r w:rsidRPr="00182D0F">
        <w:rPr>
          <w:sz w:val="24"/>
          <w:szCs w:val="24"/>
        </w:rPr>
        <w:t xml:space="preserve"> er et </w:t>
      </w:r>
      <w:proofErr w:type="spellStart"/>
      <w:r w:rsidRPr="00182D0F">
        <w:rPr>
          <w:sz w:val="24"/>
          <w:szCs w:val="24"/>
        </w:rPr>
        <w:t>gammaglobulin</w:t>
      </w:r>
      <w:proofErr w:type="spellEnd"/>
      <w:r w:rsidRPr="00182D0F">
        <w:rPr>
          <w:sz w:val="24"/>
          <w:szCs w:val="24"/>
        </w:rPr>
        <w:t xml:space="preserve"> skal både koncentratet og den fortyndede opløsning </w:t>
      </w:r>
      <w:r w:rsidRPr="000070CD">
        <w:rPr>
          <w:sz w:val="24"/>
          <w:szCs w:val="24"/>
        </w:rPr>
        <w:t>inspiceres</w:t>
      </w:r>
      <w:r w:rsidRPr="00C445B2">
        <w:rPr>
          <w:sz w:val="24"/>
          <w:szCs w:val="24"/>
        </w:rPr>
        <w:t xml:space="preserve"> </w:t>
      </w:r>
      <w:r w:rsidRPr="00182D0F">
        <w:rPr>
          <w:sz w:val="24"/>
          <w:szCs w:val="24"/>
        </w:rPr>
        <w:t>visuelt, såfremt det er muligt, for partikler og misfarvning inden administration. Koncentratet og den fortyndede opløsning er klar til let opaliserende, farveløs til lys pink eller lys brun og kan udvikle et let kornet eller flaget bundfald under opbevaring.</w:t>
      </w:r>
    </w:p>
    <w:p w14:paraId="71EA0EBE" w14:textId="77777777" w:rsidR="002E0EA0" w:rsidRPr="00296606" w:rsidRDefault="002E0EA0" w:rsidP="002E0EA0">
      <w:pPr>
        <w:autoSpaceDE w:val="0"/>
        <w:autoSpaceDN w:val="0"/>
        <w:adjustRightInd w:val="0"/>
        <w:ind w:left="851"/>
        <w:rPr>
          <w:sz w:val="24"/>
          <w:szCs w:val="24"/>
        </w:rPr>
      </w:pPr>
    </w:p>
    <w:p w14:paraId="3B448230" w14:textId="77777777" w:rsidR="002E0EA0" w:rsidRPr="00296606" w:rsidRDefault="002E0EA0" w:rsidP="002E0EA0">
      <w:pPr>
        <w:tabs>
          <w:tab w:val="left" w:pos="1304"/>
        </w:tabs>
        <w:ind w:left="851"/>
        <w:rPr>
          <w:sz w:val="24"/>
          <w:szCs w:val="24"/>
        </w:rPr>
      </w:pPr>
      <w:proofErr w:type="spellStart"/>
      <w:r w:rsidRPr="00296606">
        <w:rPr>
          <w:sz w:val="24"/>
          <w:szCs w:val="24"/>
        </w:rPr>
        <w:t>Atgam</w:t>
      </w:r>
      <w:proofErr w:type="spellEnd"/>
      <w:r w:rsidRPr="00296606">
        <w:rPr>
          <w:sz w:val="24"/>
          <w:szCs w:val="24"/>
        </w:rPr>
        <w:t xml:space="preserve"> (fortyndet og ufortyndet) må ikke omrystes, da dette kan forårsage stor skumdannelse og/eller denaturering af proteinet. </w:t>
      </w:r>
      <w:proofErr w:type="spellStart"/>
      <w:r w:rsidRPr="00296606">
        <w:rPr>
          <w:sz w:val="24"/>
          <w:szCs w:val="24"/>
        </w:rPr>
        <w:t>Atgam</w:t>
      </w:r>
      <w:proofErr w:type="spellEnd"/>
      <w:r>
        <w:rPr>
          <w:sz w:val="24"/>
          <w:szCs w:val="24"/>
        </w:rPr>
        <w:t xml:space="preserve"> koncentrat</w:t>
      </w:r>
      <w:r w:rsidRPr="00296606">
        <w:rPr>
          <w:sz w:val="24"/>
          <w:szCs w:val="24"/>
        </w:rPr>
        <w:t xml:space="preserve"> skal fortyndes inden infusion ved at vende bunden i vejret på beholderen med de</w:t>
      </w:r>
      <w:r>
        <w:rPr>
          <w:sz w:val="24"/>
          <w:szCs w:val="24"/>
        </w:rPr>
        <w:t>n</w:t>
      </w:r>
      <w:r w:rsidRPr="00296606">
        <w:rPr>
          <w:sz w:val="24"/>
          <w:szCs w:val="24"/>
        </w:rPr>
        <w:t xml:space="preserve"> sterile </w:t>
      </w:r>
      <w:r>
        <w:rPr>
          <w:sz w:val="24"/>
          <w:szCs w:val="24"/>
        </w:rPr>
        <w:t>fortyndingsopløsning</w:t>
      </w:r>
      <w:r w:rsidRPr="00296606">
        <w:rPr>
          <w:sz w:val="24"/>
          <w:szCs w:val="24"/>
        </w:rPr>
        <w:t>, således at de</w:t>
      </w:r>
      <w:r>
        <w:rPr>
          <w:sz w:val="24"/>
          <w:szCs w:val="24"/>
        </w:rPr>
        <w:t>t</w:t>
      </w:r>
      <w:r w:rsidRPr="00296606">
        <w:rPr>
          <w:sz w:val="24"/>
          <w:szCs w:val="24"/>
        </w:rPr>
        <w:t xml:space="preserve"> </w:t>
      </w:r>
      <w:r>
        <w:rPr>
          <w:sz w:val="24"/>
          <w:szCs w:val="24"/>
        </w:rPr>
        <w:t>u</w:t>
      </w:r>
      <w:r w:rsidRPr="00296606">
        <w:rPr>
          <w:sz w:val="24"/>
          <w:szCs w:val="24"/>
        </w:rPr>
        <w:t xml:space="preserve">fortyndede </w:t>
      </w:r>
      <w:proofErr w:type="spellStart"/>
      <w:r w:rsidRPr="00296606">
        <w:rPr>
          <w:sz w:val="24"/>
          <w:szCs w:val="24"/>
        </w:rPr>
        <w:t>Atgam</w:t>
      </w:r>
      <w:proofErr w:type="spellEnd"/>
      <w:r w:rsidRPr="00296606">
        <w:rPr>
          <w:sz w:val="24"/>
          <w:szCs w:val="24"/>
        </w:rPr>
        <w:t xml:space="preserve"> ikke kommer i kontakt med luften indeni. </w:t>
      </w:r>
    </w:p>
    <w:p w14:paraId="4E434C52" w14:textId="77777777" w:rsidR="002E0EA0" w:rsidRPr="00296606" w:rsidRDefault="002E0EA0" w:rsidP="002E0EA0">
      <w:pPr>
        <w:ind w:left="851"/>
        <w:rPr>
          <w:sz w:val="24"/>
          <w:szCs w:val="24"/>
        </w:rPr>
      </w:pPr>
    </w:p>
    <w:p w14:paraId="06D3BA50" w14:textId="77777777" w:rsidR="002E0EA0" w:rsidRPr="00296606" w:rsidRDefault="002E0EA0" w:rsidP="002E0EA0">
      <w:pPr>
        <w:ind w:left="851"/>
        <w:rPr>
          <w:sz w:val="24"/>
          <w:szCs w:val="24"/>
        </w:rPr>
      </w:pPr>
      <w:r w:rsidRPr="00296606">
        <w:rPr>
          <w:sz w:val="24"/>
          <w:szCs w:val="24"/>
        </w:rPr>
        <w:t xml:space="preserve">Tilsæt den samlede daglige dosis </w:t>
      </w:r>
      <w:proofErr w:type="spellStart"/>
      <w:r w:rsidRPr="00296606">
        <w:rPr>
          <w:sz w:val="24"/>
          <w:szCs w:val="24"/>
        </w:rPr>
        <w:t>Atgam</w:t>
      </w:r>
      <w:proofErr w:type="spellEnd"/>
      <w:r w:rsidRPr="00296606">
        <w:rPr>
          <w:sz w:val="24"/>
          <w:szCs w:val="24"/>
        </w:rPr>
        <w:t xml:space="preserve"> til en omvendt flaske eller pose med et af følgende sterile </w:t>
      </w:r>
      <w:r>
        <w:rPr>
          <w:sz w:val="24"/>
          <w:szCs w:val="24"/>
        </w:rPr>
        <w:t>opløsningsmidler</w:t>
      </w:r>
      <w:r w:rsidRPr="00296606">
        <w:rPr>
          <w:sz w:val="24"/>
          <w:szCs w:val="24"/>
        </w:rPr>
        <w:t xml:space="preserve">: </w:t>
      </w:r>
    </w:p>
    <w:p w14:paraId="039F3E59" w14:textId="77777777" w:rsidR="002E0EA0" w:rsidRPr="00296606" w:rsidRDefault="002E0EA0" w:rsidP="002E0EA0">
      <w:pPr>
        <w:autoSpaceDE w:val="0"/>
        <w:autoSpaceDN w:val="0"/>
        <w:adjustRightInd w:val="0"/>
        <w:ind w:left="851"/>
        <w:rPr>
          <w:sz w:val="24"/>
          <w:szCs w:val="24"/>
        </w:rPr>
      </w:pPr>
      <w:r w:rsidRPr="00296606">
        <w:rPr>
          <w:sz w:val="24"/>
          <w:szCs w:val="24"/>
        </w:rPr>
        <w:t xml:space="preserve">- 0,9 % </w:t>
      </w:r>
      <w:proofErr w:type="spellStart"/>
      <w:r w:rsidRPr="00296606">
        <w:rPr>
          <w:sz w:val="24"/>
          <w:szCs w:val="24"/>
        </w:rPr>
        <w:t>natriumchlorid</w:t>
      </w:r>
      <w:proofErr w:type="spellEnd"/>
    </w:p>
    <w:p w14:paraId="0F27810D" w14:textId="77777777" w:rsidR="002E0EA0" w:rsidRPr="00296606" w:rsidRDefault="002E0EA0" w:rsidP="002E0EA0">
      <w:pPr>
        <w:autoSpaceDE w:val="0"/>
        <w:autoSpaceDN w:val="0"/>
        <w:adjustRightInd w:val="0"/>
        <w:ind w:left="851"/>
        <w:rPr>
          <w:sz w:val="24"/>
          <w:szCs w:val="24"/>
        </w:rPr>
      </w:pPr>
      <w:r w:rsidRPr="00296606">
        <w:rPr>
          <w:sz w:val="24"/>
          <w:szCs w:val="24"/>
        </w:rPr>
        <w:lastRenderedPageBreak/>
        <w:t xml:space="preserve">- </w:t>
      </w:r>
      <w:proofErr w:type="spellStart"/>
      <w:r w:rsidRPr="00296606">
        <w:rPr>
          <w:sz w:val="24"/>
          <w:szCs w:val="24"/>
        </w:rPr>
        <w:t>Glucoseopløsning</w:t>
      </w:r>
      <w:proofErr w:type="spellEnd"/>
      <w:r w:rsidRPr="00296606">
        <w:rPr>
          <w:sz w:val="24"/>
          <w:szCs w:val="24"/>
        </w:rPr>
        <w:t>/</w:t>
      </w:r>
      <w:proofErr w:type="spellStart"/>
      <w:r w:rsidRPr="00296606">
        <w:rPr>
          <w:sz w:val="24"/>
          <w:szCs w:val="24"/>
        </w:rPr>
        <w:t>natrium</w:t>
      </w:r>
      <w:r w:rsidRPr="00296606">
        <w:rPr>
          <w:color w:val="000000"/>
          <w:sz w:val="24"/>
          <w:szCs w:val="24"/>
        </w:rPr>
        <w:t>chloridopløsning</w:t>
      </w:r>
      <w:proofErr w:type="spellEnd"/>
      <w:r w:rsidRPr="00296606">
        <w:rPr>
          <w:color w:val="000000"/>
          <w:sz w:val="24"/>
          <w:szCs w:val="24"/>
        </w:rPr>
        <w:t>:</w:t>
      </w:r>
    </w:p>
    <w:p w14:paraId="798E8358" w14:textId="77777777" w:rsidR="002E0EA0" w:rsidRPr="00296606" w:rsidRDefault="002E0EA0" w:rsidP="002E0EA0">
      <w:pPr>
        <w:autoSpaceDE w:val="0"/>
        <w:autoSpaceDN w:val="0"/>
        <w:adjustRightInd w:val="0"/>
        <w:ind w:left="851"/>
        <w:rPr>
          <w:color w:val="000000"/>
          <w:sz w:val="24"/>
          <w:szCs w:val="24"/>
        </w:rPr>
      </w:pPr>
      <w:r w:rsidRPr="00296606">
        <w:rPr>
          <w:sz w:val="24"/>
          <w:szCs w:val="24"/>
        </w:rPr>
        <w:t xml:space="preserve">- </w:t>
      </w:r>
      <w:r w:rsidRPr="00296606">
        <w:rPr>
          <w:color w:val="000000"/>
          <w:sz w:val="24"/>
          <w:szCs w:val="24"/>
        </w:rPr>
        <w:t xml:space="preserve">50 mg/ml (5 %) </w:t>
      </w:r>
      <w:proofErr w:type="spellStart"/>
      <w:r w:rsidRPr="00296606">
        <w:rPr>
          <w:color w:val="000000"/>
          <w:sz w:val="24"/>
          <w:szCs w:val="24"/>
        </w:rPr>
        <w:t>glucose</w:t>
      </w:r>
      <w:proofErr w:type="spellEnd"/>
      <w:r w:rsidRPr="00296606">
        <w:rPr>
          <w:color w:val="000000"/>
          <w:sz w:val="24"/>
          <w:szCs w:val="24"/>
        </w:rPr>
        <w:t xml:space="preserve"> i 0,45 % (</w:t>
      </w:r>
      <w:r w:rsidRPr="00296606">
        <w:rPr>
          <w:sz w:val="24"/>
          <w:szCs w:val="24"/>
        </w:rPr>
        <w:t xml:space="preserve">4,5 mg/ml) </w:t>
      </w:r>
      <w:proofErr w:type="spellStart"/>
      <w:r w:rsidRPr="00296606">
        <w:rPr>
          <w:sz w:val="24"/>
          <w:szCs w:val="24"/>
        </w:rPr>
        <w:t>natrium</w:t>
      </w:r>
      <w:r w:rsidRPr="00296606">
        <w:rPr>
          <w:color w:val="000000"/>
          <w:sz w:val="24"/>
          <w:szCs w:val="24"/>
        </w:rPr>
        <w:t>chloridopløsning</w:t>
      </w:r>
      <w:proofErr w:type="spellEnd"/>
    </w:p>
    <w:p w14:paraId="6B51CCF0" w14:textId="77777777" w:rsidR="002E0EA0" w:rsidRPr="00296606" w:rsidRDefault="002E0EA0" w:rsidP="002E0EA0">
      <w:pPr>
        <w:autoSpaceDE w:val="0"/>
        <w:autoSpaceDN w:val="0"/>
        <w:ind w:left="851"/>
        <w:rPr>
          <w:color w:val="000000"/>
          <w:sz w:val="24"/>
          <w:szCs w:val="24"/>
        </w:rPr>
      </w:pPr>
      <w:r w:rsidRPr="00296606">
        <w:rPr>
          <w:sz w:val="24"/>
          <w:szCs w:val="24"/>
        </w:rPr>
        <w:t>- 50</w:t>
      </w:r>
      <w:r w:rsidRPr="00296606">
        <w:rPr>
          <w:color w:val="000000"/>
          <w:sz w:val="24"/>
          <w:szCs w:val="24"/>
        </w:rPr>
        <w:t xml:space="preserve"> mg/ml (5 %) </w:t>
      </w:r>
      <w:proofErr w:type="spellStart"/>
      <w:r w:rsidRPr="00296606">
        <w:rPr>
          <w:color w:val="000000"/>
          <w:sz w:val="24"/>
          <w:szCs w:val="24"/>
        </w:rPr>
        <w:t>glucose</w:t>
      </w:r>
      <w:proofErr w:type="spellEnd"/>
      <w:r w:rsidRPr="00296606">
        <w:rPr>
          <w:color w:val="000000"/>
          <w:sz w:val="24"/>
          <w:szCs w:val="24"/>
        </w:rPr>
        <w:t xml:space="preserve"> i 0,225 % (</w:t>
      </w:r>
      <w:r w:rsidRPr="00296606">
        <w:rPr>
          <w:sz w:val="24"/>
          <w:szCs w:val="24"/>
        </w:rPr>
        <w:t xml:space="preserve">2,25 mg/ml) </w:t>
      </w:r>
      <w:proofErr w:type="spellStart"/>
      <w:r w:rsidRPr="00296606">
        <w:rPr>
          <w:sz w:val="24"/>
          <w:szCs w:val="24"/>
        </w:rPr>
        <w:t>natrium</w:t>
      </w:r>
      <w:r w:rsidRPr="00296606">
        <w:rPr>
          <w:color w:val="000000"/>
          <w:sz w:val="24"/>
          <w:szCs w:val="24"/>
        </w:rPr>
        <w:t>chloridopløsning</w:t>
      </w:r>
      <w:proofErr w:type="spellEnd"/>
    </w:p>
    <w:p w14:paraId="3C300AB3" w14:textId="77777777" w:rsidR="002E0EA0" w:rsidRPr="00296606" w:rsidRDefault="002E0EA0" w:rsidP="002E0EA0">
      <w:pPr>
        <w:autoSpaceDE w:val="0"/>
        <w:autoSpaceDN w:val="0"/>
        <w:ind w:left="851"/>
        <w:rPr>
          <w:color w:val="000000"/>
          <w:sz w:val="24"/>
          <w:szCs w:val="24"/>
        </w:rPr>
      </w:pPr>
    </w:p>
    <w:p w14:paraId="1A174414" w14:textId="77777777" w:rsidR="002E0EA0" w:rsidRPr="00296606" w:rsidRDefault="002E0EA0" w:rsidP="002E0EA0">
      <w:pPr>
        <w:ind w:left="851"/>
        <w:rPr>
          <w:sz w:val="24"/>
          <w:szCs w:val="24"/>
        </w:rPr>
      </w:pPr>
      <w:r w:rsidRPr="00296606">
        <w:rPr>
          <w:sz w:val="24"/>
          <w:szCs w:val="24"/>
        </w:rPr>
        <w:t xml:space="preserve">Da </w:t>
      </w:r>
      <w:proofErr w:type="spellStart"/>
      <w:r w:rsidRPr="00296606">
        <w:rPr>
          <w:sz w:val="24"/>
          <w:szCs w:val="24"/>
        </w:rPr>
        <w:t>Atgam</w:t>
      </w:r>
      <w:proofErr w:type="spellEnd"/>
      <w:r w:rsidRPr="00296606">
        <w:rPr>
          <w:sz w:val="24"/>
          <w:szCs w:val="24"/>
        </w:rPr>
        <w:t xml:space="preserve"> kan udfældes, frarådes det at fortynde med </w:t>
      </w:r>
      <w:proofErr w:type="spellStart"/>
      <w:r w:rsidRPr="00296606">
        <w:rPr>
          <w:sz w:val="24"/>
          <w:szCs w:val="24"/>
        </w:rPr>
        <w:t>glucoseopløsning</w:t>
      </w:r>
      <w:proofErr w:type="spellEnd"/>
      <w:r w:rsidRPr="00296606">
        <w:rPr>
          <w:sz w:val="24"/>
          <w:szCs w:val="24"/>
        </w:rPr>
        <w:t xml:space="preserve"> alene (se pkt. 6.2). </w:t>
      </w:r>
    </w:p>
    <w:p w14:paraId="099B7EF2" w14:textId="77777777" w:rsidR="002E0EA0" w:rsidRPr="00E911FB" w:rsidRDefault="002E0EA0" w:rsidP="002E0EA0">
      <w:pPr>
        <w:autoSpaceDE w:val="0"/>
        <w:autoSpaceDN w:val="0"/>
        <w:ind w:left="851"/>
        <w:rPr>
          <w:sz w:val="24"/>
          <w:szCs w:val="24"/>
        </w:rPr>
      </w:pPr>
    </w:p>
    <w:p w14:paraId="2D61CEED" w14:textId="77777777" w:rsidR="002E0EA0" w:rsidRPr="00182D0F" w:rsidRDefault="002E0EA0" w:rsidP="002E0EA0">
      <w:pPr>
        <w:ind w:left="851"/>
        <w:rPr>
          <w:color w:val="1F497D"/>
          <w:sz w:val="24"/>
          <w:szCs w:val="24"/>
        </w:rPr>
      </w:pPr>
      <w:r w:rsidRPr="00182D0F">
        <w:rPr>
          <w:sz w:val="24"/>
          <w:szCs w:val="24"/>
        </w:rPr>
        <w:t xml:space="preserve">Den anbefalede koncentration af fortyndet </w:t>
      </w:r>
      <w:proofErr w:type="spellStart"/>
      <w:r w:rsidRPr="00182D0F">
        <w:rPr>
          <w:sz w:val="24"/>
          <w:szCs w:val="24"/>
        </w:rPr>
        <w:t>Atgam</w:t>
      </w:r>
      <w:proofErr w:type="spellEnd"/>
      <w:r w:rsidRPr="00182D0F">
        <w:rPr>
          <w:sz w:val="24"/>
          <w:szCs w:val="24"/>
        </w:rPr>
        <w:t xml:space="preserve"> er 1 mg/ml i det valgte opløsningsmiddel. Koncentrationen af </w:t>
      </w:r>
      <w:proofErr w:type="spellStart"/>
      <w:r w:rsidRPr="00182D0F">
        <w:rPr>
          <w:sz w:val="24"/>
          <w:szCs w:val="24"/>
        </w:rPr>
        <w:t>Atgam</w:t>
      </w:r>
      <w:proofErr w:type="spellEnd"/>
      <w:r w:rsidRPr="00182D0F">
        <w:rPr>
          <w:sz w:val="24"/>
          <w:szCs w:val="24"/>
        </w:rPr>
        <w:t xml:space="preserve"> bør ikke overstige 4 mg/ml.</w:t>
      </w:r>
    </w:p>
    <w:p w14:paraId="1C4C18BD" w14:textId="77777777" w:rsidR="002E0EA0" w:rsidRDefault="002E0EA0" w:rsidP="002E0EA0">
      <w:pPr>
        <w:autoSpaceDE w:val="0"/>
        <w:autoSpaceDN w:val="0"/>
        <w:ind w:left="851"/>
        <w:rPr>
          <w:sz w:val="24"/>
          <w:szCs w:val="24"/>
        </w:rPr>
      </w:pPr>
    </w:p>
    <w:p w14:paraId="2E5DDECE" w14:textId="77777777" w:rsidR="002E0EA0" w:rsidRPr="00296606" w:rsidRDefault="002E0EA0" w:rsidP="002E0EA0">
      <w:pPr>
        <w:autoSpaceDE w:val="0"/>
        <w:autoSpaceDN w:val="0"/>
        <w:ind w:left="851"/>
        <w:rPr>
          <w:sz w:val="24"/>
          <w:szCs w:val="24"/>
        </w:rPr>
      </w:pPr>
      <w:r w:rsidRPr="00296606">
        <w:rPr>
          <w:sz w:val="24"/>
          <w:szCs w:val="24"/>
        </w:rPr>
        <w:t xml:space="preserve">Den fortyndede </w:t>
      </w:r>
      <w:proofErr w:type="spellStart"/>
      <w:r>
        <w:rPr>
          <w:sz w:val="24"/>
          <w:szCs w:val="24"/>
        </w:rPr>
        <w:t>Atgam</w:t>
      </w:r>
      <w:proofErr w:type="spellEnd"/>
      <w:r>
        <w:rPr>
          <w:sz w:val="24"/>
          <w:szCs w:val="24"/>
        </w:rPr>
        <w:t>-</w:t>
      </w:r>
      <w:r w:rsidRPr="00296606">
        <w:rPr>
          <w:sz w:val="24"/>
          <w:szCs w:val="24"/>
        </w:rPr>
        <w:t>opløsning skal forsigtigt roteres for at opnå grundig blanding.</w:t>
      </w:r>
    </w:p>
    <w:p w14:paraId="62395E00" w14:textId="77777777" w:rsidR="002E0EA0" w:rsidRPr="00296606" w:rsidRDefault="002E0EA0" w:rsidP="002E0EA0">
      <w:pPr>
        <w:autoSpaceDE w:val="0"/>
        <w:autoSpaceDN w:val="0"/>
        <w:adjustRightInd w:val="0"/>
        <w:ind w:left="851"/>
        <w:rPr>
          <w:sz w:val="24"/>
          <w:szCs w:val="24"/>
        </w:rPr>
      </w:pPr>
    </w:p>
    <w:p w14:paraId="4DD805AF" w14:textId="77777777" w:rsidR="002E0EA0" w:rsidRPr="00182D0F" w:rsidRDefault="002E0EA0" w:rsidP="002E0EA0">
      <w:pPr>
        <w:autoSpaceDE w:val="0"/>
        <w:autoSpaceDN w:val="0"/>
        <w:adjustRightInd w:val="0"/>
        <w:ind w:firstLine="851"/>
        <w:rPr>
          <w:sz w:val="24"/>
          <w:szCs w:val="24"/>
        </w:rPr>
      </w:pPr>
      <w:r w:rsidRPr="00182D0F">
        <w:rPr>
          <w:sz w:val="24"/>
          <w:szCs w:val="24"/>
        </w:rPr>
        <w:t>Når lægemidlet er fortyndet, er det kun til intravenøs anvendelse.</w:t>
      </w:r>
    </w:p>
    <w:p w14:paraId="735EE2B0" w14:textId="77777777" w:rsidR="002E0EA0" w:rsidRDefault="002E0EA0" w:rsidP="002E0EA0">
      <w:pPr>
        <w:tabs>
          <w:tab w:val="left" w:pos="1304"/>
        </w:tabs>
        <w:ind w:left="851"/>
        <w:rPr>
          <w:sz w:val="24"/>
          <w:szCs w:val="24"/>
        </w:rPr>
      </w:pPr>
    </w:p>
    <w:p w14:paraId="1A2B6B28" w14:textId="77777777" w:rsidR="002E0EA0" w:rsidRPr="00296606" w:rsidRDefault="002E0EA0" w:rsidP="002E0EA0">
      <w:pPr>
        <w:tabs>
          <w:tab w:val="left" w:pos="1304"/>
        </w:tabs>
        <w:ind w:left="851"/>
        <w:rPr>
          <w:sz w:val="24"/>
          <w:szCs w:val="24"/>
        </w:rPr>
      </w:pPr>
      <w:r w:rsidRPr="00296606">
        <w:rPr>
          <w:sz w:val="24"/>
          <w:szCs w:val="24"/>
        </w:rPr>
        <w:t xml:space="preserve">Fortyndet </w:t>
      </w:r>
      <w:proofErr w:type="spellStart"/>
      <w:r w:rsidRPr="00296606">
        <w:rPr>
          <w:sz w:val="24"/>
          <w:szCs w:val="24"/>
        </w:rPr>
        <w:t>Atgam</w:t>
      </w:r>
      <w:proofErr w:type="spellEnd"/>
      <w:r w:rsidRPr="00296606">
        <w:rPr>
          <w:sz w:val="24"/>
          <w:szCs w:val="24"/>
        </w:rPr>
        <w:t xml:space="preserve"> skal have stuetemperatur (20°C – 25°C) inden infusion. Der kan anvendes infusionsmængder på 250 til 500 ml. </w:t>
      </w:r>
      <w:proofErr w:type="spellStart"/>
      <w:r w:rsidRPr="00296606">
        <w:rPr>
          <w:sz w:val="24"/>
          <w:szCs w:val="24"/>
        </w:rPr>
        <w:t>Atgam</w:t>
      </w:r>
      <w:proofErr w:type="spellEnd"/>
      <w:r w:rsidRPr="00296606">
        <w:rPr>
          <w:sz w:val="24"/>
          <w:szCs w:val="24"/>
        </w:rPr>
        <w:t xml:space="preserve"> skal administreres i en central vene med høj gennemstrømning via et in-line-filter (0,2</w:t>
      </w:r>
      <w:r w:rsidRPr="00296606">
        <w:rPr>
          <w:sz w:val="24"/>
          <w:szCs w:val="24"/>
        </w:rPr>
        <w:noBreakHyphen/>
        <w:t xml:space="preserve">1,0 mikrometer). </w:t>
      </w:r>
    </w:p>
    <w:p w14:paraId="0EBAA2B2" w14:textId="77777777" w:rsidR="002E0EA0" w:rsidRPr="00296606" w:rsidRDefault="002E0EA0" w:rsidP="002E0EA0">
      <w:pPr>
        <w:ind w:left="851"/>
        <w:rPr>
          <w:sz w:val="24"/>
          <w:szCs w:val="24"/>
        </w:rPr>
      </w:pPr>
    </w:p>
    <w:p w14:paraId="29002CE1" w14:textId="77777777" w:rsidR="002E0EA0" w:rsidRPr="00296606" w:rsidRDefault="002E0EA0" w:rsidP="002E0EA0">
      <w:pPr>
        <w:ind w:left="851"/>
        <w:rPr>
          <w:sz w:val="24"/>
          <w:szCs w:val="24"/>
        </w:rPr>
      </w:pPr>
      <w:r w:rsidRPr="00296606">
        <w:rPr>
          <w:sz w:val="24"/>
          <w:szCs w:val="24"/>
        </w:rPr>
        <w:t xml:space="preserve">Der skal anvendes et in-line-filter (medfølger ikke) ved alle infusioner af </w:t>
      </w:r>
      <w:proofErr w:type="spellStart"/>
      <w:r w:rsidRPr="00296606">
        <w:rPr>
          <w:sz w:val="24"/>
          <w:szCs w:val="24"/>
        </w:rPr>
        <w:t>Atgam</w:t>
      </w:r>
      <w:proofErr w:type="spellEnd"/>
      <w:r w:rsidRPr="00296606">
        <w:rPr>
          <w:sz w:val="24"/>
          <w:szCs w:val="24"/>
        </w:rPr>
        <w:t xml:space="preserve"> for at hindre administration af eventuelt uopløseligt materiale, der kan udvikles i lægemidlet under opbevaring.</w:t>
      </w:r>
    </w:p>
    <w:p w14:paraId="06C67FA5" w14:textId="77777777" w:rsidR="002E0EA0" w:rsidRPr="00296606" w:rsidRDefault="002E0EA0" w:rsidP="002E0EA0">
      <w:pPr>
        <w:ind w:left="851"/>
        <w:rPr>
          <w:sz w:val="24"/>
          <w:szCs w:val="24"/>
        </w:rPr>
      </w:pPr>
    </w:p>
    <w:p w14:paraId="081B907F" w14:textId="77777777" w:rsidR="002E0EA0" w:rsidRPr="00296606" w:rsidRDefault="002E0EA0" w:rsidP="002E0EA0">
      <w:pPr>
        <w:tabs>
          <w:tab w:val="left" w:pos="1304"/>
        </w:tabs>
        <w:ind w:left="851"/>
        <w:rPr>
          <w:sz w:val="24"/>
          <w:szCs w:val="24"/>
        </w:rPr>
      </w:pPr>
      <w:r w:rsidRPr="00296606">
        <w:rPr>
          <w:sz w:val="24"/>
          <w:szCs w:val="24"/>
        </w:rPr>
        <w:t xml:space="preserve">Det anbefales at anvende opløsningen straks, når den er blevet fortyndet. Fortyndet </w:t>
      </w:r>
      <w:proofErr w:type="spellStart"/>
      <w:r w:rsidRPr="00296606">
        <w:rPr>
          <w:sz w:val="24"/>
          <w:szCs w:val="24"/>
        </w:rPr>
        <w:t>Atgam</w:t>
      </w:r>
      <w:proofErr w:type="spellEnd"/>
      <w:r w:rsidRPr="00296606">
        <w:rPr>
          <w:sz w:val="24"/>
          <w:szCs w:val="24"/>
        </w:rPr>
        <w:t xml:space="preserve"> skal opbevares ved stuetemperatur (20</w:t>
      </w:r>
      <w:r>
        <w:rPr>
          <w:sz w:val="24"/>
          <w:szCs w:val="24"/>
        </w:rPr>
        <w:t xml:space="preserve"> </w:t>
      </w:r>
      <w:r w:rsidRPr="00296606">
        <w:rPr>
          <w:sz w:val="24"/>
          <w:szCs w:val="24"/>
        </w:rPr>
        <w:t>°C – 25</w:t>
      </w:r>
      <w:r>
        <w:rPr>
          <w:sz w:val="24"/>
          <w:szCs w:val="24"/>
        </w:rPr>
        <w:t xml:space="preserve"> </w:t>
      </w:r>
      <w:r w:rsidRPr="00296606">
        <w:rPr>
          <w:sz w:val="24"/>
          <w:szCs w:val="24"/>
        </w:rPr>
        <w:t>°C), hvis det ikke skal anvendes straks. Den samlede tid efter opløsning må ikke overstige 24 timer (inklusive infusionstiden).</w:t>
      </w:r>
    </w:p>
    <w:p w14:paraId="24830A6A" w14:textId="77777777" w:rsidR="002E0EA0" w:rsidRPr="00296606" w:rsidRDefault="002E0EA0" w:rsidP="002E0EA0">
      <w:pPr>
        <w:ind w:left="851"/>
        <w:rPr>
          <w:sz w:val="24"/>
          <w:szCs w:val="24"/>
        </w:rPr>
      </w:pPr>
    </w:p>
    <w:p w14:paraId="523359C7" w14:textId="77777777" w:rsidR="002E0EA0" w:rsidRPr="00296606" w:rsidRDefault="002E0EA0" w:rsidP="002E0EA0">
      <w:pPr>
        <w:ind w:left="851"/>
        <w:rPr>
          <w:sz w:val="24"/>
          <w:szCs w:val="24"/>
        </w:rPr>
      </w:pPr>
      <w:r w:rsidRPr="00296606">
        <w:rPr>
          <w:sz w:val="24"/>
          <w:szCs w:val="24"/>
        </w:rPr>
        <w:t>Medmindre åbnings- og fortyndingsmetoden udelukker risikoen for mikrobiel kontaminering, skal lægemidlet set fra et mikrobiologisk synspunkt anvendes straks.</w:t>
      </w:r>
    </w:p>
    <w:p w14:paraId="1707F5E5" w14:textId="77777777" w:rsidR="002E0EA0" w:rsidRPr="00296606" w:rsidRDefault="002E0EA0" w:rsidP="002E0EA0">
      <w:pPr>
        <w:ind w:left="851"/>
        <w:rPr>
          <w:noProof/>
          <w:sz w:val="24"/>
          <w:szCs w:val="24"/>
        </w:rPr>
      </w:pPr>
    </w:p>
    <w:p w14:paraId="27711A6D" w14:textId="77777777" w:rsidR="002E0EA0" w:rsidRPr="00296606" w:rsidRDefault="002E0EA0" w:rsidP="002E0EA0">
      <w:pPr>
        <w:ind w:left="851"/>
        <w:rPr>
          <w:noProof/>
          <w:sz w:val="24"/>
          <w:szCs w:val="24"/>
        </w:rPr>
      </w:pPr>
      <w:r w:rsidRPr="00296606">
        <w:rPr>
          <w:sz w:val="24"/>
          <w:szCs w:val="24"/>
        </w:rPr>
        <w:t>Ikke anvendt lægemiddel samt affald heraf skal bortskaffes i henhold til lokale retningslinjer.</w:t>
      </w:r>
      <w:r w:rsidRPr="00296606">
        <w:rPr>
          <w:noProof/>
          <w:sz w:val="24"/>
          <w:szCs w:val="24"/>
        </w:rPr>
        <w:t xml:space="preserve"> </w:t>
      </w:r>
    </w:p>
    <w:p w14:paraId="5D260F38" w14:textId="77777777" w:rsidR="009260DE" w:rsidRPr="00296606" w:rsidRDefault="009260DE" w:rsidP="000730CA">
      <w:pPr>
        <w:tabs>
          <w:tab w:val="left" w:pos="851"/>
        </w:tabs>
        <w:ind w:left="851"/>
        <w:rPr>
          <w:sz w:val="24"/>
          <w:szCs w:val="24"/>
        </w:rPr>
      </w:pPr>
    </w:p>
    <w:p w14:paraId="1822BBFA" w14:textId="77777777" w:rsidR="009260DE" w:rsidRPr="00296606" w:rsidRDefault="009260DE" w:rsidP="009260DE">
      <w:pPr>
        <w:tabs>
          <w:tab w:val="left" w:pos="851"/>
        </w:tabs>
        <w:ind w:left="851" w:hanging="851"/>
        <w:rPr>
          <w:b/>
          <w:sz w:val="24"/>
          <w:szCs w:val="24"/>
        </w:rPr>
      </w:pPr>
      <w:r w:rsidRPr="00296606">
        <w:rPr>
          <w:b/>
          <w:sz w:val="24"/>
          <w:szCs w:val="24"/>
        </w:rPr>
        <w:t>7.</w:t>
      </w:r>
      <w:r w:rsidRPr="00296606">
        <w:rPr>
          <w:b/>
          <w:sz w:val="24"/>
          <w:szCs w:val="24"/>
        </w:rPr>
        <w:tab/>
        <w:t>INDEHAVER AF MARKEDSFØRINGSTILLADELSEN</w:t>
      </w:r>
    </w:p>
    <w:p w14:paraId="69692386" w14:textId="77777777" w:rsidR="00AB54AB" w:rsidRPr="00DC51F7" w:rsidRDefault="00AB54AB" w:rsidP="00DC51F7">
      <w:pPr>
        <w:ind w:left="851"/>
        <w:rPr>
          <w:sz w:val="24"/>
          <w:szCs w:val="24"/>
        </w:rPr>
      </w:pPr>
      <w:r w:rsidRPr="00DC51F7">
        <w:rPr>
          <w:sz w:val="24"/>
          <w:szCs w:val="24"/>
        </w:rPr>
        <w:t>Pfizer ApS</w:t>
      </w:r>
    </w:p>
    <w:p w14:paraId="0184B03D" w14:textId="77777777" w:rsidR="00AB54AB" w:rsidRPr="00DC51F7" w:rsidRDefault="00AB54AB" w:rsidP="00DC51F7">
      <w:pPr>
        <w:ind w:left="851"/>
        <w:rPr>
          <w:sz w:val="24"/>
          <w:szCs w:val="24"/>
        </w:rPr>
      </w:pPr>
      <w:r w:rsidRPr="00DC51F7">
        <w:rPr>
          <w:sz w:val="24"/>
          <w:szCs w:val="24"/>
        </w:rPr>
        <w:t>Lautrupvang 8</w:t>
      </w:r>
    </w:p>
    <w:p w14:paraId="5A69BE7E" w14:textId="77777777" w:rsidR="00AB54AB" w:rsidRPr="00DC51F7" w:rsidRDefault="00AB54AB" w:rsidP="00DC51F7">
      <w:pPr>
        <w:ind w:left="851"/>
        <w:rPr>
          <w:sz w:val="24"/>
          <w:szCs w:val="24"/>
        </w:rPr>
      </w:pPr>
      <w:r w:rsidRPr="00DC51F7">
        <w:rPr>
          <w:sz w:val="24"/>
          <w:szCs w:val="24"/>
        </w:rPr>
        <w:t>2750 Ballerup</w:t>
      </w:r>
    </w:p>
    <w:p w14:paraId="0A8DEE09" w14:textId="77777777" w:rsidR="009260DE" w:rsidRPr="00296606" w:rsidRDefault="009260DE" w:rsidP="009260DE">
      <w:pPr>
        <w:tabs>
          <w:tab w:val="left" w:pos="851"/>
        </w:tabs>
        <w:ind w:left="851"/>
        <w:rPr>
          <w:sz w:val="24"/>
          <w:szCs w:val="24"/>
        </w:rPr>
      </w:pPr>
    </w:p>
    <w:p w14:paraId="01F186B8" w14:textId="6970F77A" w:rsidR="009260DE" w:rsidRPr="00296606" w:rsidRDefault="009260DE" w:rsidP="009260DE">
      <w:pPr>
        <w:tabs>
          <w:tab w:val="left" w:pos="851"/>
        </w:tabs>
        <w:ind w:left="851" w:hanging="851"/>
        <w:rPr>
          <w:b/>
          <w:sz w:val="24"/>
          <w:szCs w:val="24"/>
        </w:rPr>
      </w:pPr>
      <w:r w:rsidRPr="00296606">
        <w:rPr>
          <w:b/>
          <w:sz w:val="24"/>
          <w:szCs w:val="24"/>
        </w:rPr>
        <w:t>8.</w:t>
      </w:r>
      <w:r w:rsidRPr="00296606">
        <w:rPr>
          <w:b/>
          <w:sz w:val="24"/>
          <w:szCs w:val="24"/>
        </w:rPr>
        <w:tab/>
        <w:t>MARKEDSFØRINGSTILLADELSESNUMMER (</w:t>
      </w:r>
      <w:r w:rsidR="00FA1740">
        <w:rPr>
          <w:b/>
          <w:sz w:val="24"/>
          <w:szCs w:val="24"/>
        </w:rPr>
        <w:t>-</w:t>
      </w:r>
      <w:r w:rsidRPr="00296606">
        <w:rPr>
          <w:b/>
          <w:sz w:val="24"/>
          <w:szCs w:val="24"/>
        </w:rPr>
        <w:t>NUMRE)</w:t>
      </w:r>
    </w:p>
    <w:p w14:paraId="29CA0435" w14:textId="13D4B153" w:rsidR="009260DE" w:rsidRPr="00296606" w:rsidRDefault="008345F9" w:rsidP="009260DE">
      <w:pPr>
        <w:tabs>
          <w:tab w:val="left" w:pos="851"/>
        </w:tabs>
        <w:ind w:left="851"/>
        <w:rPr>
          <w:sz w:val="24"/>
          <w:szCs w:val="24"/>
        </w:rPr>
      </w:pPr>
      <w:r w:rsidRPr="00296606">
        <w:rPr>
          <w:sz w:val="24"/>
          <w:szCs w:val="24"/>
        </w:rPr>
        <w:t>64005</w:t>
      </w:r>
    </w:p>
    <w:p w14:paraId="4610240C" w14:textId="77777777" w:rsidR="009260DE" w:rsidRPr="00296606" w:rsidRDefault="009260DE" w:rsidP="009260DE">
      <w:pPr>
        <w:tabs>
          <w:tab w:val="left" w:pos="851"/>
        </w:tabs>
        <w:ind w:left="851"/>
        <w:jc w:val="both"/>
        <w:rPr>
          <w:sz w:val="24"/>
          <w:szCs w:val="24"/>
        </w:rPr>
      </w:pPr>
    </w:p>
    <w:p w14:paraId="7443B314" w14:textId="77777777" w:rsidR="009260DE" w:rsidRPr="00296606" w:rsidRDefault="009260DE" w:rsidP="009260DE">
      <w:pPr>
        <w:tabs>
          <w:tab w:val="left" w:pos="851"/>
        </w:tabs>
        <w:ind w:left="851" w:hanging="851"/>
        <w:rPr>
          <w:b/>
          <w:sz w:val="24"/>
          <w:szCs w:val="24"/>
        </w:rPr>
      </w:pPr>
      <w:r w:rsidRPr="00296606">
        <w:rPr>
          <w:b/>
          <w:sz w:val="24"/>
          <w:szCs w:val="24"/>
        </w:rPr>
        <w:t>9.</w:t>
      </w:r>
      <w:r w:rsidRPr="00296606">
        <w:rPr>
          <w:b/>
          <w:sz w:val="24"/>
          <w:szCs w:val="24"/>
        </w:rPr>
        <w:tab/>
        <w:t>DATO FOR FØRSTE MARKEDSFØRINGSTILLADELSE</w:t>
      </w:r>
    </w:p>
    <w:p w14:paraId="6439F47C" w14:textId="5BDF49A8" w:rsidR="009260DE" w:rsidRPr="00296606" w:rsidRDefault="00171D5E" w:rsidP="009260DE">
      <w:pPr>
        <w:tabs>
          <w:tab w:val="left" w:pos="851"/>
        </w:tabs>
        <w:ind w:left="851"/>
        <w:rPr>
          <w:sz w:val="24"/>
          <w:szCs w:val="24"/>
        </w:rPr>
      </w:pPr>
      <w:r>
        <w:rPr>
          <w:sz w:val="24"/>
          <w:szCs w:val="24"/>
        </w:rPr>
        <w:t>7. januar 2022</w:t>
      </w:r>
    </w:p>
    <w:p w14:paraId="1E651A62" w14:textId="77777777" w:rsidR="009260DE" w:rsidRPr="00296606" w:rsidRDefault="009260DE" w:rsidP="009260DE">
      <w:pPr>
        <w:tabs>
          <w:tab w:val="left" w:pos="851"/>
        </w:tabs>
        <w:ind w:left="851"/>
        <w:rPr>
          <w:sz w:val="24"/>
          <w:szCs w:val="24"/>
        </w:rPr>
      </w:pPr>
    </w:p>
    <w:p w14:paraId="27B1D335" w14:textId="77777777" w:rsidR="009260DE" w:rsidRPr="00296606" w:rsidRDefault="009260DE" w:rsidP="009260DE">
      <w:pPr>
        <w:tabs>
          <w:tab w:val="left" w:pos="851"/>
        </w:tabs>
        <w:ind w:left="851" w:hanging="851"/>
        <w:rPr>
          <w:b/>
          <w:sz w:val="24"/>
          <w:szCs w:val="24"/>
        </w:rPr>
      </w:pPr>
      <w:r w:rsidRPr="00296606">
        <w:rPr>
          <w:b/>
          <w:sz w:val="24"/>
          <w:szCs w:val="24"/>
        </w:rPr>
        <w:t>10.</w:t>
      </w:r>
      <w:r w:rsidRPr="00296606">
        <w:rPr>
          <w:b/>
          <w:sz w:val="24"/>
          <w:szCs w:val="24"/>
        </w:rPr>
        <w:tab/>
        <w:t>DATO FOR ÆNDRING AF TEKSTEN</w:t>
      </w:r>
    </w:p>
    <w:p w14:paraId="6C00552B" w14:textId="2FD7DA21" w:rsidR="009260DE" w:rsidRPr="00296606" w:rsidRDefault="002E0EA0" w:rsidP="009260DE">
      <w:pPr>
        <w:tabs>
          <w:tab w:val="left" w:pos="851"/>
        </w:tabs>
        <w:ind w:left="851"/>
        <w:rPr>
          <w:sz w:val="24"/>
          <w:szCs w:val="24"/>
        </w:rPr>
      </w:pPr>
      <w:r>
        <w:rPr>
          <w:sz w:val="24"/>
          <w:szCs w:val="24"/>
        </w:rPr>
        <w:t>19. marts 2024</w:t>
      </w:r>
    </w:p>
    <w:sectPr w:rsidR="009260DE" w:rsidRPr="0029660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85EF" w14:textId="77777777" w:rsidR="001D5EE6" w:rsidRDefault="001D5EE6">
      <w:r>
        <w:separator/>
      </w:r>
    </w:p>
  </w:endnote>
  <w:endnote w:type="continuationSeparator" w:id="0">
    <w:p w14:paraId="4423458D" w14:textId="77777777" w:rsidR="001D5EE6" w:rsidRDefault="001D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047C" w14:textId="77777777" w:rsidR="001D5EE6" w:rsidRDefault="001D5EE6">
    <w:pPr>
      <w:pStyle w:val="Sidefod"/>
      <w:pBdr>
        <w:bottom w:val="single" w:sz="6" w:space="1" w:color="auto"/>
      </w:pBdr>
    </w:pPr>
  </w:p>
  <w:p w14:paraId="144DD0C2" w14:textId="77777777" w:rsidR="001D5EE6" w:rsidRDefault="001D5EE6" w:rsidP="00C42586">
    <w:pPr>
      <w:pStyle w:val="Sidefod"/>
      <w:tabs>
        <w:tab w:val="clear" w:pos="4819"/>
        <w:tab w:val="left" w:pos="8505"/>
      </w:tabs>
      <w:rPr>
        <w:i/>
        <w:sz w:val="18"/>
        <w:szCs w:val="18"/>
      </w:rPr>
    </w:pPr>
  </w:p>
  <w:p w14:paraId="084E4F70" w14:textId="1096BEAC" w:rsidR="001D5EE6" w:rsidRPr="00B373D7" w:rsidRDefault="001D5EE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Atgam, koncentrat til infusionsvæske, opløsning 50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97C3" w14:textId="77777777" w:rsidR="001D5EE6" w:rsidRDefault="001D5EE6">
      <w:r>
        <w:separator/>
      </w:r>
    </w:p>
  </w:footnote>
  <w:footnote w:type="continuationSeparator" w:id="0">
    <w:p w14:paraId="285EACF6" w14:textId="77777777" w:rsidR="001D5EE6" w:rsidRDefault="001D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F37BE3"/>
    <w:multiLevelType w:val="singleLevel"/>
    <w:tmpl w:val="661E16DC"/>
    <w:name w:val="dtNM List Number"/>
    <w:lvl w:ilvl="0">
      <w:start w:val="1"/>
      <w:numFmt w:val="decimal"/>
      <w:pStyle w:val="Opstilling-talellerbogst"/>
      <w:lvlText w:val="%1."/>
      <w:lvlJc w:val="left"/>
      <w:pPr>
        <w:tabs>
          <w:tab w:val="num" w:pos="360"/>
        </w:tabs>
        <w:ind w:left="360" w:hanging="360"/>
      </w:pPr>
      <w:rPr>
        <w:rFonts w:cs="Times New Roman"/>
        <w:caps w:val="0"/>
        <w:strike w:val="0"/>
        <w:dstrike w:val="0"/>
        <w:u w:val="none"/>
        <w:effect w:val="none"/>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222A11"/>
    <w:multiLevelType w:val="hybridMultilevel"/>
    <w:tmpl w:val="F42CDF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4AB68A4"/>
    <w:multiLevelType w:val="hybridMultilevel"/>
    <w:tmpl w:val="3FDE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83"/>
    <w:rsid w:val="000259B9"/>
    <w:rsid w:val="00032351"/>
    <w:rsid w:val="00041491"/>
    <w:rsid w:val="00050D16"/>
    <w:rsid w:val="00060F1A"/>
    <w:rsid w:val="000730CA"/>
    <w:rsid w:val="00074F2A"/>
    <w:rsid w:val="000779D3"/>
    <w:rsid w:val="000A1CA8"/>
    <w:rsid w:val="000A466B"/>
    <w:rsid w:val="000B058C"/>
    <w:rsid w:val="000E1E29"/>
    <w:rsid w:val="000E4EE6"/>
    <w:rsid w:val="001454E2"/>
    <w:rsid w:val="00150C30"/>
    <w:rsid w:val="001711EF"/>
    <w:rsid w:val="00171D5E"/>
    <w:rsid w:val="00181434"/>
    <w:rsid w:val="001D5EE6"/>
    <w:rsid w:val="00206CE8"/>
    <w:rsid w:val="0021526C"/>
    <w:rsid w:val="0027090D"/>
    <w:rsid w:val="002741B0"/>
    <w:rsid w:val="00283A2B"/>
    <w:rsid w:val="00296606"/>
    <w:rsid w:val="002B30AD"/>
    <w:rsid w:val="002C2C01"/>
    <w:rsid w:val="002E0EA0"/>
    <w:rsid w:val="003021FD"/>
    <w:rsid w:val="003A29AE"/>
    <w:rsid w:val="003A32D7"/>
    <w:rsid w:val="003B4074"/>
    <w:rsid w:val="003C769A"/>
    <w:rsid w:val="003F1838"/>
    <w:rsid w:val="003F3D07"/>
    <w:rsid w:val="00416F61"/>
    <w:rsid w:val="00434C25"/>
    <w:rsid w:val="0045746C"/>
    <w:rsid w:val="0049104B"/>
    <w:rsid w:val="004E0D1A"/>
    <w:rsid w:val="004E3B12"/>
    <w:rsid w:val="00532310"/>
    <w:rsid w:val="00552486"/>
    <w:rsid w:val="00565ADE"/>
    <w:rsid w:val="00565F0F"/>
    <w:rsid w:val="00594A86"/>
    <w:rsid w:val="00596D86"/>
    <w:rsid w:val="00637F5A"/>
    <w:rsid w:val="006560B1"/>
    <w:rsid w:val="006636D2"/>
    <w:rsid w:val="006756DD"/>
    <w:rsid w:val="00702CD3"/>
    <w:rsid w:val="00737275"/>
    <w:rsid w:val="00740EEC"/>
    <w:rsid w:val="0078011A"/>
    <w:rsid w:val="00782AF4"/>
    <w:rsid w:val="00790EE7"/>
    <w:rsid w:val="007B6649"/>
    <w:rsid w:val="0082576E"/>
    <w:rsid w:val="008326C5"/>
    <w:rsid w:val="008345F9"/>
    <w:rsid w:val="00860C83"/>
    <w:rsid w:val="00907F75"/>
    <w:rsid w:val="009260DE"/>
    <w:rsid w:val="0093258A"/>
    <w:rsid w:val="00953259"/>
    <w:rsid w:val="009C7BA3"/>
    <w:rsid w:val="009D1F5A"/>
    <w:rsid w:val="00A10294"/>
    <w:rsid w:val="00AB54AB"/>
    <w:rsid w:val="00AD6ECC"/>
    <w:rsid w:val="00B003BF"/>
    <w:rsid w:val="00B373D7"/>
    <w:rsid w:val="00B82ABA"/>
    <w:rsid w:val="00BE6FE3"/>
    <w:rsid w:val="00C36276"/>
    <w:rsid w:val="00C42586"/>
    <w:rsid w:val="00C60CCD"/>
    <w:rsid w:val="00C84483"/>
    <w:rsid w:val="00C95551"/>
    <w:rsid w:val="00CB20D7"/>
    <w:rsid w:val="00D020B0"/>
    <w:rsid w:val="00D11748"/>
    <w:rsid w:val="00D366CF"/>
    <w:rsid w:val="00DC51F7"/>
    <w:rsid w:val="00E108AA"/>
    <w:rsid w:val="00E3749A"/>
    <w:rsid w:val="00E7437F"/>
    <w:rsid w:val="00E865B8"/>
    <w:rsid w:val="00EC0B9B"/>
    <w:rsid w:val="00ED5E9F"/>
    <w:rsid w:val="00EE2E2A"/>
    <w:rsid w:val="00F64589"/>
    <w:rsid w:val="00F66D4F"/>
    <w:rsid w:val="00F76F9D"/>
    <w:rsid w:val="00FA1740"/>
    <w:rsid w:val="00FB2EA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475CC"/>
  <w15:chartTrackingRefBased/>
  <w15:docId w15:val="{B969DA6E-6CEC-4FE9-A55A-77838713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Opstilling-talellerbogst">
    <w:name w:val="List Number"/>
    <w:basedOn w:val="Normal"/>
    <w:uiPriority w:val="99"/>
    <w:semiHidden/>
    <w:unhideWhenUsed/>
    <w:rsid w:val="00032351"/>
    <w:pPr>
      <w:numPr>
        <w:numId w:val="6"/>
      </w:numPr>
      <w:spacing w:after="240"/>
    </w:pPr>
    <w:rPr>
      <w:rFonts w:eastAsia="SimSun"/>
      <w:sz w:val="24"/>
      <w:szCs w:val="24"/>
      <w:lang w:val="en-US"/>
    </w:rPr>
  </w:style>
  <w:style w:type="character" w:customStyle="1" w:styleId="ParagraphChar">
    <w:name w:val="Paragraph Char"/>
    <w:link w:val="Paragraph"/>
    <w:locked/>
    <w:rsid w:val="00032351"/>
    <w:rPr>
      <w:sz w:val="24"/>
      <w:szCs w:val="24"/>
      <w:lang w:val="en-US" w:eastAsia="en-US"/>
    </w:rPr>
  </w:style>
  <w:style w:type="paragraph" w:customStyle="1" w:styleId="Paragraph">
    <w:name w:val="Paragraph"/>
    <w:link w:val="ParagraphChar"/>
    <w:qFormat/>
    <w:rsid w:val="00032351"/>
    <w:pPr>
      <w:spacing w:after="240"/>
    </w:pPr>
    <w:rPr>
      <w:sz w:val="24"/>
      <w:szCs w:val="24"/>
      <w:lang w:val="en-US" w:eastAsia="en-US"/>
    </w:rPr>
  </w:style>
  <w:style w:type="paragraph" w:customStyle="1" w:styleId="Default">
    <w:name w:val="Default"/>
    <w:basedOn w:val="Normal"/>
    <w:rsid w:val="00032351"/>
    <w:pPr>
      <w:autoSpaceDE w:val="0"/>
      <w:autoSpaceDN w:val="0"/>
    </w:pPr>
    <w:rPr>
      <w:color w:val="000000"/>
      <w:sz w:val="24"/>
      <w:szCs w:val="24"/>
      <w:lang w:val="en-GB" w:eastAsia="en-GB"/>
    </w:rPr>
  </w:style>
  <w:style w:type="character" w:customStyle="1" w:styleId="Instructions">
    <w:name w:val="Instructions"/>
    <w:rsid w:val="00032351"/>
    <w:rPr>
      <w:i/>
      <w:iCs w:val="0"/>
      <w:color w:val="008000"/>
    </w:rPr>
  </w:style>
  <w:style w:type="character" w:styleId="Hyperlink">
    <w:name w:val="Hyperlink"/>
    <w:uiPriority w:val="99"/>
    <w:semiHidden/>
    <w:unhideWhenUsed/>
    <w:rsid w:val="00032351"/>
    <w:rPr>
      <w:color w:val="0000FF"/>
      <w:u w:val="single"/>
    </w:rPr>
  </w:style>
  <w:style w:type="character" w:customStyle="1" w:styleId="TableTextChar">
    <w:name w:val="TableText Char"/>
    <w:link w:val="TableText"/>
    <w:locked/>
    <w:rsid w:val="00032351"/>
    <w:rPr>
      <w:rFonts w:ascii="Arial" w:hAnsi="Arial" w:cs="Arial"/>
      <w:lang w:val="en-US" w:eastAsia="en-US"/>
    </w:rPr>
  </w:style>
  <w:style w:type="paragraph" w:customStyle="1" w:styleId="TableText">
    <w:name w:val="TableText"/>
    <w:link w:val="TableTextChar"/>
    <w:rsid w:val="00032351"/>
    <w:rPr>
      <w:rFonts w:ascii="Arial" w:hAnsi="Arial" w:cs="Arial"/>
      <w:lang w:val="en-US" w:eastAsia="en-US"/>
    </w:rPr>
  </w:style>
  <w:style w:type="paragraph" w:customStyle="1" w:styleId="TableTextColHead">
    <w:name w:val="TableText Col Head"/>
    <w:rsid w:val="00032351"/>
    <w:pPr>
      <w:jc w:val="center"/>
    </w:pPr>
    <w:rPr>
      <w:rFonts w:eastAsia="SimSun"/>
      <w:b/>
      <w:lang w:val="en-US" w:eastAsia="en-US"/>
    </w:rPr>
  </w:style>
  <w:style w:type="paragraph" w:customStyle="1" w:styleId="TableTextCentered">
    <w:name w:val="TableText Centered"/>
    <w:rsid w:val="00032351"/>
    <w:pPr>
      <w:jc w:val="center"/>
    </w:pPr>
    <w:rPr>
      <w:rFonts w:eastAsia="SimSun"/>
      <w:lang w:val="en-US" w:eastAsia="en-US"/>
    </w:rPr>
  </w:style>
  <w:style w:type="character" w:customStyle="1" w:styleId="TableText9">
    <w:name w:val="TableText 9"/>
    <w:rsid w:val="00032351"/>
    <w:rPr>
      <w:rFonts w:ascii="Times New Roman" w:hAnsi="Times New Roman" w:cs="Times New Roman" w:hint="default"/>
      <w:sz w:val="18"/>
    </w:rPr>
  </w:style>
  <w:style w:type="paragraph" w:styleId="Billedtekst">
    <w:name w:val="caption"/>
    <w:basedOn w:val="Normal"/>
    <w:next w:val="Normal"/>
    <w:uiPriority w:val="35"/>
    <w:semiHidden/>
    <w:unhideWhenUsed/>
    <w:qFormat/>
    <w:rsid w:val="00032351"/>
    <w:pPr>
      <w:tabs>
        <w:tab w:val="left" w:pos="567"/>
      </w:tabs>
      <w:spacing w:line="260" w:lineRule="exact"/>
    </w:pPr>
    <w:rPr>
      <w:rFonts w:eastAsia="SimSun"/>
      <w:b/>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9940">
      <w:bodyDiv w:val="1"/>
      <w:marLeft w:val="0"/>
      <w:marRight w:val="0"/>
      <w:marTop w:val="0"/>
      <w:marBottom w:val="0"/>
      <w:divBdr>
        <w:top w:val="none" w:sz="0" w:space="0" w:color="auto"/>
        <w:left w:val="none" w:sz="0" w:space="0" w:color="auto"/>
        <w:bottom w:val="none" w:sz="0" w:space="0" w:color="auto"/>
        <w:right w:val="none" w:sz="0" w:space="0" w:color="auto"/>
      </w:divBdr>
    </w:div>
    <w:div w:id="103617528">
      <w:bodyDiv w:val="1"/>
      <w:marLeft w:val="0"/>
      <w:marRight w:val="0"/>
      <w:marTop w:val="0"/>
      <w:marBottom w:val="0"/>
      <w:divBdr>
        <w:top w:val="none" w:sz="0" w:space="0" w:color="auto"/>
        <w:left w:val="none" w:sz="0" w:space="0" w:color="auto"/>
        <w:bottom w:val="none" w:sz="0" w:space="0" w:color="auto"/>
        <w:right w:val="none" w:sz="0" w:space="0" w:color="auto"/>
      </w:divBdr>
    </w:div>
    <w:div w:id="124930524">
      <w:bodyDiv w:val="1"/>
      <w:marLeft w:val="0"/>
      <w:marRight w:val="0"/>
      <w:marTop w:val="0"/>
      <w:marBottom w:val="0"/>
      <w:divBdr>
        <w:top w:val="none" w:sz="0" w:space="0" w:color="auto"/>
        <w:left w:val="none" w:sz="0" w:space="0" w:color="auto"/>
        <w:bottom w:val="none" w:sz="0" w:space="0" w:color="auto"/>
        <w:right w:val="none" w:sz="0" w:space="0" w:color="auto"/>
      </w:divBdr>
    </w:div>
    <w:div w:id="1526427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2760834">
      <w:bodyDiv w:val="1"/>
      <w:marLeft w:val="0"/>
      <w:marRight w:val="0"/>
      <w:marTop w:val="0"/>
      <w:marBottom w:val="0"/>
      <w:divBdr>
        <w:top w:val="none" w:sz="0" w:space="0" w:color="auto"/>
        <w:left w:val="none" w:sz="0" w:space="0" w:color="auto"/>
        <w:bottom w:val="none" w:sz="0" w:space="0" w:color="auto"/>
        <w:right w:val="none" w:sz="0" w:space="0" w:color="auto"/>
      </w:divBdr>
    </w:div>
    <w:div w:id="322704227">
      <w:bodyDiv w:val="1"/>
      <w:marLeft w:val="0"/>
      <w:marRight w:val="0"/>
      <w:marTop w:val="0"/>
      <w:marBottom w:val="0"/>
      <w:divBdr>
        <w:top w:val="none" w:sz="0" w:space="0" w:color="auto"/>
        <w:left w:val="none" w:sz="0" w:space="0" w:color="auto"/>
        <w:bottom w:val="none" w:sz="0" w:space="0" w:color="auto"/>
        <w:right w:val="none" w:sz="0" w:space="0" w:color="auto"/>
      </w:divBdr>
    </w:div>
    <w:div w:id="324170590">
      <w:bodyDiv w:val="1"/>
      <w:marLeft w:val="0"/>
      <w:marRight w:val="0"/>
      <w:marTop w:val="0"/>
      <w:marBottom w:val="0"/>
      <w:divBdr>
        <w:top w:val="none" w:sz="0" w:space="0" w:color="auto"/>
        <w:left w:val="none" w:sz="0" w:space="0" w:color="auto"/>
        <w:bottom w:val="none" w:sz="0" w:space="0" w:color="auto"/>
        <w:right w:val="none" w:sz="0" w:space="0" w:color="auto"/>
      </w:divBdr>
    </w:div>
    <w:div w:id="458954771">
      <w:bodyDiv w:val="1"/>
      <w:marLeft w:val="0"/>
      <w:marRight w:val="0"/>
      <w:marTop w:val="0"/>
      <w:marBottom w:val="0"/>
      <w:divBdr>
        <w:top w:val="none" w:sz="0" w:space="0" w:color="auto"/>
        <w:left w:val="none" w:sz="0" w:space="0" w:color="auto"/>
        <w:bottom w:val="none" w:sz="0" w:space="0" w:color="auto"/>
        <w:right w:val="none" w:sz="0" w:space="0" w:color="auto"/>
      </w:divBdr>
    </w:div>
    <w:div w:id="614750305">
      <w:bodyDiv w:val="1"/>
      <w:marLeft w:val="0"/>
      <w:marRight w:val="0"/>
      <w:marTop w:val="0"/>
      <w:marBottom w:val="0"/>
      <w:divBdr>
        <w:top w:val="none" w:sz="0" w:space="0" w:color="auto"/>
        <w:left w:val="none" w:sz="0" w:space="0" w:color="auto"/>
        <w:bottom w:val="none" w:sz="0" w:space="0" w:color="auto"/>
        <w:right w:val="none" w:sz="0" w:space="0" w:color="auto"/>
      </w:divBdr>
    </w:div>
    <w:div w:id="685136744">
      <w:bodyDiv w:val="1"/>
      <w:marLeft w:val="0"/>
      <w:marRight w:val="0"/>
      <w:marTop w:val="0"/>
      <w:marBottom w:val="0"/>
      <w:divBdr>
        <w:top w:val="none" w:sz="0" w:space="0" w:color="auto"/>
        <w:left w:val="none" w:sz="0" w:space="0" w:color="auto"/>
        <w:bottom w:val="none" w:sz="0" w:space="0" w:color="auto"/>
        <w:right w:val="none" w:sz="0" w:space="0" w:color="auto"/>
      </w:divBdr>
    </w:div>
    <w:div w:id="796684423">
      <w:bodyDiv w:val="1"/>
      <w:marLeft w:val="0"/>
      <w:marRight w:val="0"/>
      <w:marTop w:val="0"/>
      <w:marBottom w:val="0"/>
      <w:divBdr>
        <w:top w:val="none" w:sz="0" w:space="0" w:color="auto"/>
        <w:left w:val="none" w:sz="0" w:space="0" w:color="auto"/>
        <w:bottom w:val="none" w:sz="0" w:space="0" w:color="auto"/>
        <w:right w:val="none" w:sz="0" w:space="0" w:color="auto"/>
      </w:divBdr>
    </w:div>
    <w:div w:id="893661615">
      <w:bodyDiv w:val="1"/>
      <w:marLeft w:val="0"/>
      <w:marRight w:val="0"/>
      <w:marTop w:val="0"/>
      <w:marBottom w:val="0"/>
      <w:divBdr>
        <w:top w:val="none" w:sz="0" w:space="0" w:color="auto"/>
        <w:left w:val="none" w:sz="0" w:space="0" w:color="auto"/>
        <w:bottom w:val="none" w:sz="0" w:space="0" w:color="auto"/>
        <w:right w:val="none" w:sz="0" w:space="0" w:color="auto"/>
      </w:divBdr>
    </w:div>
    <w:div w:id="1010450709">
      <w:bodyDiv w:val="1"/>
      <w:marLeft w:val="0"/>
      <w:marRight w:val="0"/>
      <w:marTop w:val="0"/>
      <w:marBottom w:val="0"/>
      <w:divBdr>
        <w:top w:val="none" w:sz="0" w:space="0" w:color="auto"/>
        <w:left w:val="none" w:sz="0" w:space="0" w:color="auto"/>
        <w:bottom w:val="none" w:sz="0" w:space="0" w:color="auto"/>
        <w:right w:val="none" w:sz="0" w:space="0" w:color="auto"/>
      </w:divBdr>
    </w:div>
    <w:div w:id="1267157362">
      <w:bodyDiv w:val="1"/>
      <w:marLeft w:val="0"/>
      <w:marRight w:val="0"/>
      <w:marTop w:val="0"/>
      <w:marBottom w:val="0"/>
      <w:divBdr>
        <w:top w:val="none" w:sz="0" w:space="0" w:color="auto"/>
        <w:left w:val="none" w:sz="0" w:space="0" w:color="auto"/>
        <w:bottom w:val="none" w:sz="0" w:space="0" w:color="auto"/>
        <w:right w:val="none" w:sz="0" w:space="0" w:color="auto"/>
      </w:divBdr>
    </w:div>
    <w:div w:id="1612861919">
      <w:bodyDiv w:val="1"/>
      <w:marLeft w:val="0"/>
      <w:marRight w:val="0"/>
      <w:marTop w:val="0"/>
      <w:marBottom w:val="0"/>
      <w:divBdr>
        <w:top w:val="none" w:sz="0" w:space="0" w:color="auto"/>
        <w:left w:val="none" w:sz="0" w:space="0" w:color="auto"/>
        <w:bottom w:val="none" w:sz="0" w:space="0" w:color="auto"/>
        <w:right w:val="none" w:sz="0" w:space="0" w:color="auto"/>
      </w:divBdr>
    </w:div>
    <w:div w:id="1727875497">
      <w:bodyDiv w:val="1"/>
      <w:marLeft w:val="0"/>
      <w:marRight w:val="0"/>
      <w:marTop w:val="0"/>
      <w:marBottom w:val="0"/>
      <w:divBdr>
        <w:top w:val="none" w:sz="0" w:space="0" w:color="auto"/>
        <w:left w:val="none" w:sz="0" w:space="0" w:color="auto"/>
        <w:bottom w:val="none" w:sz="0" w:space="0" w:color="auto"/>
        <w:right w:val="none" w:sz="0" w:space="0" w:color="auto"/>
      </w:divBdr>
    </w:div>
    <w:div w:id="1772622872">
      <w:bodyDiv w:val="1"/>
      <w:marLeft w:val="0"/>
      <w:marRight w:val="0"/>
      <w:marTop w:val="0"/>
      <w:marBottom w:val="0"/>
      <w:divBdr>
        <w:top w:val="none" w:sz="0" w:space="0" w:color="auto"/>
        <w:left w:val="none" w:sz="0" w:space="0" w:color="auto"/>
        <w:bottom w:val="none" w:sz="0" w:space="0" w:color="auto"/>
        <w:right w:val="none" w:sz="0" w:space="0" w:color="auto"/>
      </w:divBdr>
    </w:div>
    <w:div w:id="1806191916">
      <w:bodyDiv w:val="1"/>
      <w:marLeft w:val="0"/>
      <w:marRight w:val="0"/>
      <w:marTop w:val="0"/>
      <w:marBottom w:val="0"/>
      <w:divBdr>
        <w:top w:val="none" w:sz="0" w:space="0" w:color="auto"/>
        <w:left w:val="none" w:sz="0" w:space="0" w:color="auto"/>
        <w:bottom w:val="none" w:sz="0" w:space="0" w:color="auto"/>
        <w:right w:val="none" w:sz="0" w:space="0" w:color="auto"/>
      </w:divBdr>
    </w:div>
    <w:div w:id="1868056539">
      <w:bodyDiv w:val="1"/>
      <w:marLeft w:val="0"/>
      <w:marRight w:val="0"/>
      <w:marTop w:val="0"/>
      <w:marBottom w:val="0"/>
      <w:divBdr>
        <w:top w:val="none" w:sz="0" w:space="0" w:color="auto"/>
        <w:left w:val="none" w:sz="0" w:space="0" w:color="auto"/>
        <w:bottom w:val="none" w:sz="0" w:space="0" w:color="auto"/>
        <w:right w:val="none" w:sz="0" w:space="0" w:color="auto"/>
      </w:divBdr>
    </w:div>
    <w:div w:id="2043674693">
      <w:bodyDiv w:val="1"/>
      <w:marLeft w:val="0"/>
      <w:marRight w:val="0"/>
      <w:marTop w:val="0"/>
      <w:marBottom w:val="0"/>
      <w:divBdr>
        <w:top w:val="none" w:sz="0" w:space="0" w:color="auto"/>
        <w:left w:val="none" w:sz="0" w:space="0" w:color="auto"/>
        <w:bottom w:val="none" w:sz="0" w:space="0" w:color="auto"/>
        <w:right w:val="none" w:sz="0" w:space="0" w:color="auto"/>
      </w:divBdr>
    </w:div>
    <w:div w:id="2046129834">
      <w:bodyDiv w:val="1"/>
      <w:marLeft w:val="0"/>
      <w:marRight w:val="0"/>
      <w:marTop w:val="0"/>
      <w:marBottom w:val="0"/>
      <w:divBdr>
        <w:top w:val="none" w:sz="0" w:space="0" w:color="auto"/>
        <w:left w:val="none" w:sz="0" w:space="0" w:color="auto"/>
        <w:bottom w:val="none" w:sz="0" w:space="0" w:color="auto"/>
        <w:right w:val="none" w:sz="0" w:space="0" w:color="auto"/>
      </w:divBdr>
    </w:div>
    <w:div w:id="2067680948">
      <w:bodyDiv w:val="1"/>
      <w:marLeft w:val="0"/>
      <w:marRight w:val="0"/>
      <w:marTop w:val="0"/>
      <w:marBottom w:val="0"/>
      <w:divBdr>
        <w:top w:val="none" w:sz="0" w:space="0" w:color="auto"/>
        <w:left w:val="none" w:sz="0" w:space="0" w:color="auto"/>
        <w:bottom w:val="none" w:sz="0" w:space="0" w:color="auto"/>
        <w:right w:val="none" w:sz="0" w:space="0" w:color="auto"/>
      </w:divBdr>
    </w:div>
    <w:div w:id="20687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4330</Words>
  <Characters>27346</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2023042458_x000d_
SPC pkt. 4.8</dc:description>
  <cp:lastModifiedBy>Iman El Kadiri</cp:lastModifiedBy>
  <cp:revision>4</cp:revision>
  <cp:lastPrinted>2012-08-22T08:53:00Z</cp:lastPrinted>
  <dcterms:created xsi:type="dcterms:W3CDTF">2024-04-01T18:21:00Z</dcterms:created>
  <dcterms:modified xsi:type="dcterms:W3CDTF">2024-04-01T18:24:00Z</dcterms:modified>
</cp:coreProperties>
</file>