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784" w:rsidRPr="008F49E1" w:rsidRDefault="001A1784" w:rsidP="001A1784">
      <w:pPr>
        <w:rPr>
          <w:sz w:val="24"/>
          <w:szCs w:val="24"/>
        </w:rPr>
      </w:pPr>
      <w:r w:rsidRPr="009260DE">
        <w:rPr>
          <w:noProof/>
          <w:sz w:val="24"/>
          <w:szCs w:val="24"/>
          <w:lang w:eastAsia="da-DK"/>
        </w:rPr>
        <w:drawing>
          <wp:anchor distT="0" distB="0" distL="114300" distR="114300" simplePos="0" relativeHeight="251659264" behindDoc="0" locked="0" layoutInCell="1" allowOverlap="1" wp14:anchorId="34357D6E" wp14:editId="0319B71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A1784" w:rsidRPr="00C84483" w:rsidRDefault="001A1784" w:rsidP="001A1784">
      <w:pPr>
        <w:pStyle w:val="Titel"/>
        <w:tabs>
          <w:tab w:val="right" w:pos="9356"/>
        </w:tabs>
        <w:jc w:val="left"/>
        <w:rPr>
          <w:b w:val="0"/>
          <w:szCs w:val="24"/>
          <w:lang w:eastAsia="en-US"/>
        </w:rPr>
      </w:pPr>
      <w:r w:rsidRPr="00C84483">
        <w:rPr>
          <w:b w:val="0"/>
          <w:szCs w:val="24"/>
          <w:lang w:eastAsia="en-US"/>
        </w:rPr>
        <w:tab/>
      </w:r>
      <w:r w:rsidR="00F160D6">
        <w:rPr>
          <w:szCs w:val="24"/>
          <w:lang w:eastAsia="en-US"/>
        </w:rPr>
        <w:t>17</w:t>
      </w:r>
      <w:r w:rsidR="007954A0">
        <w:rPr>
          <w:szCs w:val="24"/>
          <w:lang w:eastAsia="en-US"/>
        </w:rPr>
        <w:t xml:space="preserve">. </w:t>
      </w:r>
      <w:r w:rsidR="00F160D6">
        <w:rPr>
          <w:szCs w:val="24"/>
          <w:lang w:eastAsia="en-US"/>
        </w:rPr>
        <w:t>marts</w:t>
      </w:r>
      <w:r w:rsidR="001D352D">
        <w:rPr>
          <w:szCs w:val="24"/>
          <w:lang w:eastAsia="en-US"/>
        </w:rPr>
        <w:t xml:space="preserve"> </w:t>
      </w:r>
      <w:r w:rsidR="007954A0">
        <w:rPr>
          <w:szCs w:val="24"/>
          <w:lang w:eastAsia="en-US"/>
        </w:rPr>
        <w:t>202</w:t>
      </w:r>
      <w:r w:rsidR="001D352D">
        <w:rPr>
          <w:szCs w:val="24"/>
          <w:lang w:eastAsia="en-US"/>
        </w:rPr>
        <w:t>5</w:t>
      </w:r>
    </w:p>
    <w:p w:rsidR="001A1784" w:rsidRPr="00C84483" w:rsidRDefault="001A1784" w:rsidP="001A1784">
      <w:pPr>
        <w:pStyle w:val="Titel"/>
        <w:tabs>
          <w:tab w:val="left" w:pos="8222"/>
        </w:tabs>
        <w:jc w:val="left"/>
        <w:rPr>
          <w:b w:val="0"/>
          <w:szCs w:val="24"/>
        </w:rPr>
      </w:pPr>
    </w:p>
    <w:p w:rsidR="001A1784" w:rsidRPr="00C84483" w:rsidRDefault="001A1784" w:rsidP="00AA0ED9">
      <w:pPr>
        <w:pStyle w:val="Titel"/>
        <w:jc w:val="left"/>
        <w:rPr>
          <w:b w:val="0"/>
          <w:szCs w:val="24"/>
        </w:rPr>
      </w:pPr>
    </w:p>
    <w:p w:rsidR="001A1784" w:rsidRPr="00C84483" w:rsidRDefault="001A1784" w:rsidP="001A1784">
      <w:pPr>
        <w:pStyle w:val="Titel"/>
        <w:jc w:val="left"/>
        <w:rPr>
          <w:b w:val="0"/>
          <w:szCs w:val="24"/>
        </w:rPr>
      </w:pPr>
    </w:p>
    <w:p w:rsidR="001A1784" w:rsidRPr="00C84483" w:rsidRDefault="001A1784" w:rsidP="001A1784">
      <w:pPr>
        <w:jc w:val="center"/>
        <w:rPr>
          <w:b/>
          <w:sz w:val="24"/>
          <w:szCs w:val="24"/>
        </w:rPr>
      </w:pPr>
      <w:r w:rsidRPr="00C84483">
        <w:rPr>
          <w:b/>
          <w:sz w:val="24"/>
          <w:szCs w:val="24"/>
        </w:rPr>
        <w:t>PRODUKTRESUMÉ</w:t>
      </w:r>
    </w:p>
    <w:p w:rsidR="001A1784" w:rsidRPr="00C84483" w:rsidRDefault="001A1784" w:rsidP="001A1784">
      <w:pPr>
        <w:jc w:val="center"/>
        <w:rPr>
          <w:b/>
          <w:sz w:val="24"/>
          <w:szCs w:val="24"/>
        </w:rPr>
      </w:pPr>
    </w:p>
    <w:p w:rsidR="001A1784" w:rsidRDefault="001A1784" w:rsidP="001A1784">
      <w:pPr>
        <w:jc w:val="center"/>
        <w:rPr>
          <w:b/>
          <w:sz w:val="24"/>
          <w:szCs w:val="24"/>
        </w:rPr>
      </w:pPr>
      <w:r w:rsidRPr="00C84483">
        <w:rPr>
          <w:b/>
          <w:sz w:val="24"/>
          <w:szCs w:val="24"/>
        </w:rPr>
        <w:t>for</w:t>
      </w:r>
    </w:p>
    <w:p w:rsidR="001A1784" w:rsidRPr="00C84483" w:rsidRDefault="001A1784" w:rsidP="001A1784">
      <w:pPr>
        <w:jc w:val="center"/>
        <w:rPr>
          <w:b/>
          <w:sz w:val="24"/>
          <w:szCs w:val="24"/>
        </w:rPr>
      </w:pPr>
    </w:p>
    <w:p w:rsidR="001A1784" w:rsidRPr="00C84483" w:rsidRDefault="001A1784" w:rsidP="001A1784">
      <w:pPr>
        <w:jc w:val="center"/>
        <w:rPr>
          <w:b/>
          <w:sz w:val="24"/>
          <w:szCs w:val="24"/>
        </w:rPr>
      </w:pPr>
      <w:r w:rsidRPr="005D36C6">
        <w:rPr>
          <w:b/>
          <w:sz w:val="24"/>
          <w:szCs w:val="24"/>
        </w:rPr>
        <w:t xml:space="preserve">Atorvastatin </w:t>
      </w:r>
      <w:r>
        <w:rPr>
          <w:b/>
          <w:sz w:val="24"/>
          <w:szCs w:val="24"/>
        </w:rPr>
        <w:t>"</w:t>
      </w:r>
      <w:r w:rsidRPr="005D36C6">
        <w:rPr>
          <w:b/>
          <w:sz w:val="24"/>
          <w:szCs w:val="24"/>
        </w:rPr>
        <w:t>Accord</w:t>
      </w:r>
      <w:r>
        <w:rPr>
          <w:b/>
          <w:sz w:val="24"/>
          <w:szCs w:val="24"/>
        </w:rPr>
        <w:t>"</w:t>
      </w:r>
      <w:r w:rsidRPr="005D36C6">
        <w:rPr>
          <w:b/>
          <w:sz w:val="24"/>
          <w:szCs w:val="24"/>
        </w:rPr>
        <w:t>, filmovertrukne tablet</w:t>
      </w:r>
      <w:r>
        <w:rPr>
          <w:b/>
          <w:sz w:val="24"/>
          <w:szCs w:val="24"/>
        </w:rPr>
        <w:t>ter</w:t>
      </w:r>
    </w:p>
    <w:p w:rsidR="001A1784" w:rsidRPr="00C84483" w:rsidRDefault="001A1784" w:rsidP="001A1784">
      <w:pPr>
        <w:jc w:val="both"/>
        <w:rPr>
          <w:sz w:val="24"/>
          <w:szCs w:val="24"/>
        </w:rPr>
      </w:pPr>
    </w:p>
    <w:p w:rsidR="001A1784" w:rsidRPr="00C84483" w:rsidRDefault="001A1784" w:rsidP="001A1784">
      <w:pPr>
        <w:jc w:val="both"/>
        <w:rPr>
          <w:sz w:val="24"/>
          <w:szCs w:val="24"/>
        </w:rPr>
      </w:pPr>
    </w:p>
    <w:p w:rsidR="001A1784" w:rsidRPr="00C84483" w:rsidRDefault="001A1784" w:rsidP="001A1784">
      <w:pPr>
        <w:tabs>
          <w:tab w:val="left" w:pos="851"/>
        </w:tabs>
        <w:ind w:left="851" w:hanging="851"/>
        <w:rPr>
          <w:b/>
          <w:sz w:val="24"/>
          <w:szCs w:val="24"/>
        </w:rPr>
      </w:pPr>
      <w:r w:rsidRPr="00C84483">
        <w:rPr>
          <w:b/>
          <w:sz w:val="24"/>
          <w:szCs w:val="24"/>
        </w:rPr>
        <w:t>0.</w:t>
      </w:r>
      <w:r w:rsidRPr="00C84483">
        <w:rPr>
          <w:b/>
          <w:sz w:val="24"/>
          <w:szCs w:val="24"/>
        </w:rPr>
        <w:tab/>
        <w:t>D.SP.NR.</w:t>
      </w:r>
    </w:p>
    <w:p w:rsidR="001A1784" w:rsidRPr="00C84483" w:rsidRDefault="001A1784" w:rsidP="001A1784">
      <w:pPr>
        <w:tabs>
          <w:tab w:val="left" w:pos="851"/>
        </w:tabs>
        <w:ind w:left="851"/>
        <w:rPr>
          <w:sz w:val="24"/>
          <w:szCs w:val="24"/>
        </w:rPr>
      </w:pPr>
      <w:r>
        <w:rPr>
          <w:sz w:val="24"/>
          <w:szCs w:val="24"/>
        </w:rPr>
        <w:t>30147</w:t>
      </w:r>
    </w:p>
    <w:p w:rsidR="001A1784" w:rsidRPr="00C84483" w:rsidRDefault="001A1784" w:rsidP="001A1784">
      <w:pPr>
        <w:tabs>
          <w:tab w:val="left" w:pos="851"/>
        </w:tabs>
        <w:ind w:left="851"/>
        <w:rPr>
          <w:sz w:val="24"/>
          <w:szCs w:val="24"/>
        </w:rPr>
      </w:pPr>
    </w:p>
    <w:p w:rsidR="001A1784" w:rsidRPr="00C84483" w:rsidRDefault="001A1784" w:rsidP="001A1784">
      <w:pPr>
        <w:tabs>
          <w:tab w:val="left" w:pos="851"/>
        </w:tabs>
        <w:ind w:left="851" w:hanging="851"/>
        <w:rPr>
          <w:b/>
          <w:sz w:val="24"/>
          <w:szCs w:val="24"/>
        </w:rPr>
      </w:pPr>
      <w:r w:rsidRPr="00C84483">
        <w:rPr>
          <w:b/>
          <w:sz w:val="24"/>
          <w:szCs w:val="24"/>
        </w:rPr>
        <w:t>1.</w:t>
      </w:r>
      <w:r w:rsidRPr="00C84483">
        <w:rPr>
          <w:b/>
          <w:sz w:val="24"/>
          <w:szCs w:val="24"/>
        </w:rPr>
        <w:tab/>
        <w:t>LÆGEMIDLETS NAVN</w:t>
      </w:r>
    </w:p>
    <w:p w:rsidR="001A1784" w:rsidRPr="00C84483" w:rsidRDefault="001A1784" w:rsidP="001A1784">
      <w:pPr>
        <w:tabs>
          <w:tab w:val="left" w:pos="851"/>
        </w:tabs>
        <w:ind w:left="851"/>
        <w:rPr>
          <w:sz w:val="24"/>
          <w:szCs w:val="24"/>
        </w:rPr>
      </w:pPr>
      <w:r w:rsidRPr="005D36C6">
        <w:rPr>
          <w:sz w:val="24"/>
          <w:szCs w:val="24"/>
        </w:rPr>
        <w:t>Atorvastat</w:t>
      </w:r>
      <w:r>
        <w:rPr>
          <w:sz w:val="24"/>
          <w:szCs w:val="24"/>
        </w:rPr>
        <w:t>in "Accord"</w:t>
      </w:r>
    </w:p>
    <w:p w:rsidR="001A1784" w:rsidRPr="00C84483" w:rsidRDefault="001A1784" w:rsidP="001A1784">
      <w:pPr>
        <w:tabs>
          <w:tab w:val="left" w:pos="851"/>
        </w:tabs>
        <w:ind w:left="851"/>
        <w:rPr>
          <w:sz w:val="24"/>
          <w:szCs w:val="24"/>
        </w:rPr>
      </w:pPr>
    </w:p>
    <w:p w:rsidR="001A1784" w:rsidRPr="00F63265" w:rsidRDefault="001A1784" w:rsidP="00F6326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A1784" w:rsidRPr="008D3C48"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u w:val="single"/>
          <w:lang w:eastAsia="da-DK"/>
        </w:rPr>
      </w:pPr>
      <w:r w:rsidRPr="008D3C48">
        <w:rPr>
          <w:spacing w:val="-3"/>
          <w:sz w:val="24"/>
          <w:szCs w:val="24"/>
          <w:u w:val="single"/>
          <w:lang w:eastAsia="da-DK"/>
        </w:rPr>
        <w:t>10 mg</w:t>
      </w:r>
    </w:p>
    <w:p w:rsidR="001A1784" w:rsidRPr="005D36C6"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r w:rsidRPr="005D36C6">
        <w:rPr>
          <w:spacing w:val="-3"/>
          <w:sz w:val="24"/>
          <w:szCs w:val="24"/>
          <w:lang w:eastAsia="da-DK"/>
        </w:rPr>
        <w:t>1 filmovertrukke</w:t>
      </w:r>
      <w:r>
        <w:rPr>
          <w:spacing w:val="-3"/>
          <w:sz w:val="24"/>
          <w:szCs w:val="24"/>
          <w:lang w:eastAsia="da-DK"/>
        </w:rPr>
        <w:t>t</w:t>
      </w:r>
      <w:r w:rsidRPr="005D36C6">
        <w:rPr>
          <w:spacing w:val="-3"/>
          <w:sz w:val="24"/>
          <w:szCs w:val="24"/>
          <w:lang w:eastAsia="da-DK"/>
        </w:rPr>
        <w:t xml:space="preserve"> tablet indeholder 10 mg atorvastatin (som atorvastatincalciumtrihydrat).</w:t>
      </w:r>
    </w:p>
    <w:p w:rsidR="001A1784"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p>
    <w:p w:rsidR="001A1784" w:rsidRPr="008D3C48"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u w:val="single"/>
          <w:lang w:eastAsia="da-DK"/>
        </w:rPr>
      </w:pPr>
      <w:r w:rsidRPr="008D3C48">
        <w:rPr>
          <w:spacing w:val="-3"/>
          <w:sz w:val="24"/>
          <w:szCs w:val="24"/>
          <w:u w:val="single"/>
          <w:lang w:eastAsia="da-DK"/>
        </w:rPr>
        <w:t>20 mg</w:t>
      </w:r>
    </w:p>
    <w:p w:rsidR="001A1784" w:rsidRPr="005D36C6"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r>
        <w:rPr>
          <w:spacing w:val="-3"/>
          <w:sz w:val="24"/>
          <w:szCs w:val="24"/>
          <w:lang w:eastAsia="da-DK"/>
        </w:rPr>
        <w:t>1 filmovertrukket</w:t>
      </w:r>
      <w:r w:rsidRPr="005D36C6">
        <w:rPr>
          <w:spacing w:val="-3"/>
          <w:sz w:val="24"/>
          <w:szCs w:val="24"/>
          <w:lang w:eastAsia="da-DK"/>
        </w:rPr>
        <w:t xml:space="preserve"> tablet indeholder 20 mg atorvastatin (som atorvastatincalciumtrihydrat).</w:t>
      </w:r>
    </w:p>
    <w:p w:rsidR="001A1784"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p>
    <w:p w:rsidR="001A1784" w:rsidRPr="008D3C48"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u w:val="single"/>
          <w:lang w:eastAsia="da-DK"/>
        </w:rPr>
      </w:pPr>
      <w:r w:rsidRPr="008D3C48">
        <w:rPr>
          <w:spacing w:val="-3"/>
          <w:sz w:val="24"/>
          <w:szCs w:val="24"/>
          <w:u w:val="single"/>
          <w:lang w:eastAsia="da-DK"/>
        </w:rPr>
        <w:t>40 mg</w:t>
      </w:r>
    </w:p>
    <w:p w:rsidR="001A1784" w:rsidRPr="005D36C6"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r>
        <w:rPr>
          <w:spacing w:val="-3"/>
          <w:sz w:val="24"/>
          <w:szCs w:val="24"/>
          <w:lang w:eastAsia="da-DK"/>
        </w:rPr>
        <w:t>1 filmovertrukket</w:t>
      </w:r>
      <w:r w:rsidRPr="005D36C6">
        <w:rPr>
          <w:spacing w:val="-3"/>
          <w:sz w:val="24"/>
          <w:szCs w:val="24"/>
          <w:lang w:eastAsia="da-DK"/>
        </w:rPr>
        <w:t xml:space="preserve"> tablet indeholder 40 mg atorvastatin (som atorvastatincalciumtrihydrat).</w:t>
      </w:r>
    </w:p>
    <w:p w:rsidR="001A1784"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p>
    <w:p w:rsidR="001A1784" w:rsidRPr="008D3C48"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u w:val="single"/>
          <w:lang w:eastAsia="da-DK"/>
        </w:rPr>
      </w:pPr>
      <w:r w:rsidRPr="008D3C48">
        <w:rPr>
          <w:spacing w:val="-3"/>
          <w:sz w:val="24"/>
          <w:szCs w:val="24"/>
          <w:u w:val="single"/>
          <w:lang w:eastAsia="da-DK"/>
        </w:rPr>
        <w:t>80 mg</w:t>
      </w:r>
    </w:p>
    <w:p w:rsidR="001A1784" w:rsidRPr="005D36C6"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r>
        <w:rPr>
          <w:spacing w:val="-3"/>
          <w:sz w:val="24"/>
          <w:szCs w:val="24"/>
          <w:lang w:eastAsia="da-DK"/>
        </w:rPr>
        <w:t>1 filmovertrukket</w:t>
      </w:r>
      <w:r w:rsidRPr="005D36C6">
        <w:rPr>
          <w:spacing w:val="-3"/>
          <w:sz w:val="24"/>
          <w:szCs w:val="24"/>
          <w:lang w:eastAsia="da-DK"/>
        </w:rPr>
        <w:t xml:space="preserve"> tablet indeholder 80 mg atorvastatin (som atorvastatincalciumtrihydrat).</w:t>
      </w:r>
    </w:p>
    <w:p w:rsidR="001A1784" w:rsidRPr="005D36C6"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p>
    <w:p w:rsidR="001A1784" w:rsidRPr="005D36C6"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u w:val="single"/>
          <w:lang w:eastAsia="da-DK"/>
        </w:rPr>
      </w:pPr>
      <w:r w:rsidRPr="005D36C6">
        <w:rPr>
          <w:spacing w:val="-3"/>
          <w:sz w:val="24"/>
          <w:szCs w:val="24"/>
          <w:u w:val="single"/>
          <w:lang w:eastAsia="da-DK"/>
        </w:rPr>
        <w:t>Hjælpestoffer, som behandleren skal være opmærksom på</w:t>
      </w:r>
    </w:p>
    <w:p w:rsidR="001A1784" w:rsidRPr="005D36C6"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r>
        <w:rPr>
          <w:spacing w:val="-3"/>
          <w:sz w:val="24"/>
          <w:szCs w:val="24"/>
          <w:lang w:eastAsia="da-DK"/>
        </w:rPr>
        <w:t>En 10 mg filmovertrukket</w:t>
      </w:r>
      <w:r w:rsidRPr="005D36C6">
        <w:rPr>
          <w:spacing w:val="-3"/>
          <w:sz w:val="24"/>
          <w:szCs w:val="24"/>
          <w:lang w:eastAsia="da-DK"/>
        </w:rPr>
        <w:t xml:space="preserve"> tablet indeholder 23,38 mg lactosemonohydrat.</w:t>
      </w:r>
    </w:p>
    <w:p w:rsidR="001A1784" w:rsidRPr="005D36C6"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r>
        <w:rPr>
          <w:spacing w:val="-3"/>
          <w:sz w:val="24"/>
          <w:szCs w:val="24"/>
          <w:lang w:eastAsia="da-DK"/>
        </w:rPr>
        <w:t xml:space="preserve">En </w:t>
      </w:r>
      <w:r w:rsidRPr="005D36C6">
        <w:rPr>
          <w:spacing w:val="-3"/>
          <w:sz w:val="24"/>
          <w:szCs w:val="24"/>
          <w:lang w:eastAsia="da-DK"/>
        </w:rPr>
        <w:t>20 mg filmovertrukke</w:t>
      </w:r>
      <w:r>
        <w:rPr>
          <w:spacing w:val="-3"/>
          <w:sz w:val="24"/>
          <w:szCs w:val="24"/>
          <w:lang w:eastAsia="da-DK"/>
        </w:rPr>
        <w:t>t</w:t>
      </w:r>
      <w:r w:rsidRPr="005D36C6">
        <w:rPr>
          <w:spacing w:val="-3"/>
          <w:sz w:val="24"/>
          <w:szCs w:val="24"/>
          <w:lang w:eastAsia="da-DK"/>
        </w:rPr>
        <w:t xml:space="preserve"> tablet indeholder 46,76 mg lactosemonohydrat.</w:t>
      </w:r>
    </w:p>
    <w:p w:rsidR="001A1784" w:rsidRPr="005D36C6"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r>
        <w:rPr>
          <w:spacing w:val="-3"/>
          <w:sz w:val="24"/>
          <w:szCs w:val="24"/>
          <w:lang w:eastAsia="da-DK"/>
        </w:rPr>
        <w:t>En 40 mg filmovertrukket</w:t>
      </w:r>
      <w:r w:rsidRPr="005D36C6">
        <w:rPr>
          <w:spacing w:val="-3"/>
          <w:sz w:val="24"/>
          <w:szCs w:val="24"/>
          <w:lang w:eastAsia="da-DK"/>
        </w:rPr>
        <w:t xml:space="preserve"> tablet indeholder 93,52 mg lactosemonohydrat.</w:t>
      </w:r>
    </w:p>
    <w:p w:rsidR="001A1784" w:rsidRPr="005D36C6"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r>
        <w:rPr>
          <w:spacing w:val="-3"/>
          <w:sz w:val="24"/>
          <w:szCs w:val="24"/>
          <w:lang w:eastAsia="da-DK"/>
        </w:rPr>
        <w:t xml:space="preserve">En </w:t>
      </w:r>
      <w:r w:rsidRPr="005D36C6">
        <w:rPr>
          <w:spacing w:val="-3"/>
          <w:sz w:val="24"/>
          <w:szCs w:val="24"/>
          <w:lang w:eastAsia="da-DK"/>
        </w:rPr>
        <w:t>80 mg filmovertrukke</w:t>
      </w:r>
      <w:r>
        <w:rPr>
          <w:spacing w:val="-3"/>
          <w:sz w:val="24"/>
          <w:szCs w:val="24"/>
          <w:lang w:eastAsia="da-DK"/>
        </w:rPr>
        <w:t>t</w:t>
      </w:r>
      <w:r w:rsidRPr="005D36C6">
        <w:rPr>
          <w:spacing w:val="-3"/>
          <w:sz w:val="24"/>
          <w:szCs w:val="24"/>
          <w:lang w:eastAsia="da-DK"/>
        </w:rPr>
        <w:t xml:space="preserve"> tablet indeholder 187,04 mg lactosemonohydrat.</w:t>
      </w:r>
    </w:p>
    <w:p w:rsidR="001A1784" w:rsidRPr="005D36C6"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p>
    <w:p w:rsidR="001A1784" w:rsidRPr="005D36C6" w:rsidRDefault="001A1784" w:rsidP="001A1784">
      <w:pPr>
        <w:tabs>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r w:rsidRPr="005D36C6">
        <w:rPr>
          <w:spacing w:val="-3"/>
          <w:sz w:val="24"/>
          <w:szCs w:val="24"/>
          <w:lang w:eastAsia="da-DK"/>
        </w:rPr>
        <w:t>Alle hjælpestoffer er anført under pkt. 6.1.</w:t>
      </w:r>
    </w:p>
    <w:p w:rsidR="001A1784" w:rsidRPr="00C84483" w:rsidRDefault="001A1784" w:rsidP="001A1784">
      <w:pPr>
        <w:tabs>
          <w:tab w:val="left" w:pos="851"/>
        </w:tabs>
        <w:ind w:left="851"/>
        <w:rPr>
          <w:sz w:val="24"/>
          <w:szCs w:val="24"/>
        </w:rPr>
      </w:pPr>
    </w:p>
    <w:p w:rsidR="001A1784" w:rsidRPr="00C84483" w:rsidRDefault="001A1784" w:rsidP="001A1784">
      <w:pPr>
        <w:tabs>
          <w:tab w:val="left" w:pos="851"/>
        </w:tabs>
        <w:ind w:left="851" w:hanging="851"/>
        <w:rPr>
          <w:b/>
          <w:sz w:val="24"/>
          <w:szCs w:val="24"/>
        </w:rPr>
      </w:pPr>
      <w:r w:rsidRPr="00C84483">
        <w:rPr>
          <w:b/>
          <w:sz w:val="24"/>
          <w:szCs w:val="24"/>
        </w:rPr>
        <w:t>3.</w:t>
      </w:r>
      <w:r w:rsidRPr="00C84483">
        <w:rPr>
          <w:b/>
          <w:sz w:val="24"/>
          <w:szCs w:val="24"/>
        </w:rPr>
        <w:tab/>
        <w:t>LÆGEMIDDELFORM</w:t>
      </w:r>
    </w:p>
    <w:p w:rsidR="001A1784" w:rsidRPr="008D3C48" w:rsidRDefault="001A1784" w:rsidP="001A1784">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r w:rsidRPr="008D3C48">
        <w:rPr>
          <w:spacing w:val="-3"/>
          <w:sz w:val="24"/>
          <w:szCs w:val="24"/>
          <w:lang w:eastAsia="da-DK"/>
        </w:rPr>
        <w:t>Filmovertrukne tabletter</w:t>
      </w:r>
    </w:p>
    <w:p w:rsidR="001A1784" w:rsidRDefault="001A1784" w:rsidP="001A1784">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p>
    <w:p w:rsidR="001A1784" w:rsidRPr="008D3C48" w:rsidRDefault="001A1784" w:rsidP="001A1784">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u w:val="single"/>
          <w:lang w:eastAsia="da-DK"/>
        </w:rPr>
      </w:pPr>
      <w:r w:rsidRPr="008D3C48">
        <w:rPr>
          <w:spacing w:val="-3"/>
          <w:sz w:val="24"/>
          <w:szCs w:val="24"/>
          <w:u w:val="single"/>
          <w:lang w:eastAsia="da-DK"/>
        </w:rPr>
        <w:t>10 mg</w:t>
      </w:r>
    </w:p>
    <w:p w:rsidR="001A1784" w:rsidRDefault="001A1784" w:rsidP="001A1784">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r w:rsidRPr="008D3C48">
        <w:rPr>
          <w:spacing w:val="-3"/>
          <w:sz w:val="24"/>
          <w:szCs w:val="24"/>
          <w:lang w:eastAsia="da-DK"/>
        </w:rPr>
        <w:t>Hvid til råhvid, rund, bikonveks, filmovertrukket tablet, ca. 5,6 mm i diameter, præget med ”FU1” på den ene side og glat på den anden side.</w:t>
      </w:r>
    </w:p>
    <w:p w:rsidR="001A1784" w:rsidRPr="008D3C48" w:rsidRDefault="001A1784" w:rsidP="001A1784">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p>
    <w:p w:rsidR="001A1784" w:rsidRPr="008D3C48" w:rsidRDefault="001A1784" w:rsidP="001A1784">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u w:val="single"/>
          <w:lang w:eastAsia="da-DK"/>
        </w:rPr>
      </w:pPr>
      <w:r w:rsidRPr="008D3C48">
        <w:rPr>
          <w:spacing w:val="-3"/>
          <w:sz w:val="24"/>
          <w:szCs w:val="24"/>
          <w:u w:val="single"/>
          <w:lang w:eastAsia="da-DK"/>
        </w:rPr>
        <w:t>20 mg</w:t>
      </w:r>
    </w:p>
    <w:p w:rsidR="001A1784" w:rsidRDefault="001A1784" w:rsidP="001A1784">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r w:rsidRPr="008D3C48">
        <w:rPr>
          <w:spacing w:val="-3"/>
          <w:sz w:val="24"/>
          <w:szCs w:val="24"/>
          <w:lang w:eastAsia="da-DK"/>
        </w:rPr>
        <w:lastRenderedPageBreak/>
        <w:t>Hvid til råhvid, rund, bikonveks, filmovertrukket tablet, ca. 7,1 mm i diameter, præget med ”FU2” på den ene side og glat på den anden side.</w:t>
      </w:r>
    </w:p>
    <w:p w:rsidR="001A1784" w:rsidRPr="008D3C48" w:rsidRDefault="001A1784" w:rsidP="001A1784">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p>
    <w:p w:rsidR="001A1784" w:rsidRPr="008D3C48" w:rsidRDefault="001A1784" w:rsidP="001A1784">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u w:val="single"/>
          <w:lang w:eastAsia="da-DK"/>
        </w:rPr>
      </w:pPr>
      <w:r w:rsidRPr="008D3C48">
        <w:rPr>
          <w:spacing w:val="-3"/>
          <w:sz w:val="24"/>
          <w:szCs w:val="24"/>
          <w:u w:val="single"/>
          <w:lang w:eastAsia="da-DK"/>
        </w:rPr>
        <w:t>40 mg</w:t>
      </w:r>
    </w:p>
    <w:p w:rsidR="001A1784" w:rsidRDefault="001A1784" w:rsidP="001A1784">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r w:rsidRPr="008D3C48">
        <w:rPr>
          <w:spacing w:val="-3"/>
          <w:sz w:val="24"/>
          <w:szCs w:val="24"/>
          <w:lang w:eastAsia="da-DK"/>
        </w:rPr>
        <w:t>Hvid til råhvid, rund, bikonveks, filmovertrukket tablet, ca. 9,6 mm i diameter, præget med ”FU3” på den ene side og glat på den anden side.</w:t>
      </w:r>
    </w:p>
    <w:p w:rsidR="001A1784" w:rsidRPr="008D3C48" w:rsidRDefault="001A1784" w:rsidP="001A1784">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p>
    <w:p w:rsidR="001A1784" w:rsidRPr="008D3C48" w:rsidRDefault="001A1784" w:rsidP="001A1784">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u w:val="single"/>
          <w:lang w:eastAsia="da-DK"/>
        </w:rPr>
      </w:pPr>
      <w:r w:rsidRPr="008D3C48">
        <w:rPr>
          <w:spacing w:val="-3"/>
          <w:sz w:val="24"/>
          <w:szCs w:val="24"/>
          <w:u w:val="single"/>
          <w:lang w:eastAsia="da-DK"/>
        </w:rPr>
        <w:t>80 mg</w:t>
      </w:r>
    </w:p>
    <w:p w:rsidR="001A1784" w:rsidRPr="008D3C48" w:rsidRDefault="001A1784" w:rsidP="001A1784">
      <w:pPr>
        <w:tabs>
          <w:tab w:val="left" w:pos="0"/>
          <w:tab w:val="left" w:pos="851"/>
          <w:tab w:val="left" w:pos="1701"/>
          <w:tab w:val="left" w:pos="2552"/>
          <w:tab w:val="left" w:pos="3403"/>
          <w:tab w:val="left" w:pos="4254"/>
          <w:tab w:val="left" w:pos="5105"/>
          <w:tab w:val="left" w:pos="5955"/>
          <w:tab w:val="left" w:pos="6806"/>
          <w:tab w:val="left" w:pos="7657"/>
          <w:tab w:val="left" w:pos="8508"/>
        </w:tabs>
        <w:spacing w:line="240" w:lineRule="atLeast"/>
        <w:ind w:left="851"/>
        <w:rPr>
          <w:spacing w:val="-3"/>
          <w:sz w:val="24"/>
          <w:szCs w:val="24"/>
          <w:lang w:eastAsia="da-DK"/>
        </w:rPr>
      </w:pPr>
      <w:r w:rsidRPr="008D3C48">
        <w:rPr>
          <w:spacing w:val="-3"/>
          <w:sz w:val="24"/>
          <w:szCs w:val="24"/>
          <w:lang w:eastAsia="da-DK"/>
        </w:rPr>
        <w:t>Hvid til råhvid, rund, bikonveks, filmovertrukket tablet, ca. 12,1 mm i diameter, præget med ”FU4” på den ene side og glat på den anden side</w:t>
      </w:r>
      <w:r>
        <w:rPr>
          <w:spacing w:val="-3"/>
          <w:sz w:val="24"/>
          <w:szCs w:val="24"/>
          <w:lang w:eastAsia="da-DK"/>
        </w:rPr>
        <w:t>.</w:t>
      </w:r>
    </w:p>
    <w:p w:rsidR="001A1784" w:rsidRPr="00C84483" w:rsidRDefault="001A1784" w:rsidP="001A1784">
      <w:pPr>
        <w:tabs>
          <w:tab w:val="left" w:pos="851"/>
        </w:tabs>
        <w:ind w:left="851"/>
        <w:rPr>
          <w:sz w:val="24"/>
          <w:szCs w:val="24"/>
        </w:rPr>
      </w:pPr>
    </w:p>
    <w:p w:rsidR="001A1784" w:rsidRPr="00C84483" w:rsidRDefault="001A1784" w:rsidP="001A1784">
      <w:pPr>
        <w:tabs>
          <w:tab w:val="left" w:pos="851"/>
        </w:tabs>
        <w:ind w:left="851"/>
        <w:rPr>
          <w:sz w:val="24"/>
          <w:szCs w:val="24"/>
        </w:rPr>
      </w:pPr>
    </w:p>
    <w:p w:rsidR="001A1784" w:rsidRPr="00C84483" w:rsidRDefault="001A1784" w:rsidP="001A1784">
      <w:pPr>
        <w:tabs>
          <w:tab w:val="left" w:pos="851"/>
        </w:tabs>
        <w:ind w:left="851" w:hanging="851"/>
        <w:rPr>
          <w:b/>
          <w:sz w:val="24"/>
          <w:szCs w:val="24"/>
        </w:rPr>
      </w:pPr>
      <w:r w:rsidRPr="00C84483">
        <w:rPr>
          <w:b/>
          <w:sz w:val="24"/>
          <w:szCs w:val="24"/>
        </w:rPr>
        <w:t>4.</w:t>
      </w:r>
      <w:r w:rsidRPr="00C84483">
        <w:rPr>
          <w:b/>
          <w:sz w:val="24"/>
          <w:szCs w:val="24"/>
        </w:rPr>
        <w:tab/>
        <w:t>KLINISKE OPLYSNINGER</w:t>
      </w:r>
    </w:p>
    <w:p w:rsidR="001A1784" w:rsidRPr="00C84483" w:rsidRDefault="001A1784" w:rsidP="001A1784">
      <w:pPr>
        <w:tabs>
          <w:tab w:val="left" w:pos="851"/>
        </w:tabs>
        <w:ind w:left="851"/>
        <w:rPr>
          <w:b/>
          <w:sz w:val="24"/>
          <w:szCs w:val="24"/>
        </w:rPr>
      </w:pPr>
    </w:p>
    <w:p w:rsidR="001A1784" w:rsidRPr="00F63265" w:rsidRDefault="001A1784" w:rsidP="00F6326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A1784" w:rsidRPr="008B64F1" w:rsidRDefault="001A1784" w:rsidP="001A1784">
      <w:pPr>
        <w:tabs>
          <w:tab w:val="left" w:pos="851"/>
        </w:tabs>
        <w:ind w:left="851"/>
        <w:rPr>
          <w:sz w:val="24"/>
          <w:szCs w:val="24"/>
          <w:u w:val="single"/>
        </w:rPr>
      </w:pPr>
      <w:r w:rsidRPr="008B64F1">
        <w:rPr>
          <w:iCs/>
          <w:sz w:val="24"/>
          <w:szCs w:val="24"/>
          <w:u w:val="single"/>
        </w:rPr>
        <w:t>Hyperkolesterolæmi</w:t>
      </w:r>
    </w:p>
    <w:p w:rsidR="001A1784" w:rsidRPr="008B64F1" w:rsidRDefault="001A1784" w:rsidP="001A1784">
      <w:pPr>
        <w:tabs>
          <w:tab w:val="left" w:pos="851"/>
        </w:tabs>
        <w:ind w:left="851"/>
        <w:rPr>
          <w:sz w:val="24"/>
          <w:szCs w:val="24"/>
        </w:rPr>
      </w:pPr>
      <w:r w:rsidRPr="008B64F1">
        <w:rPr>
          <w:sz w:val="24"/>
          <w:szCs w:val="24"/>
        </w:rPr>
        <w:t>Atorvastatin "Accord" er indiceret som supplement til diæt ved forhøjet total-kolesterol, LDL-kolesterol, apolipoprotein B og forhøjede triglycerider hos voksne, unge samt børn over 10 år med primær hyperkolesterolæmi inklusive familiær hyperkolesterolæmi (heterozygot variant) eller kombineret hyperlipidæmi (svarende til type IIa og IIb i Fredricksons klassifikation), hvor diæt og andre ikke farmakologiske foranstaltninger er utilstrækkelige.</w:t>
      </w:r>
    </w:p>
    <w:p w:rsidR="001A1784" w:rsidRPr="008B64F1" w:rsidRDefault="001A1784" w:rsidP="001A1784">
      <w:pPr>
        <w:tabs>
          <w:tab w:val="left" w:pos="851"/>
        </w:tabs>
        <w:ind w:left="851"/>
        <w:rPr>
          <w:sz w:val="24"/>
          <w:szCs w:val="24"/>
        </w:rPr>
      </w:pPr>
    </w:p>
    <w:p w:rsidR="001A1784" w:rsidRPr="008B64F1" w:rsidRDefault="001A1784" w:rsidP="001A1784">
      <w:pPr>
        <w:tabs>
          <w:tab w:val="left" w:pos="851"/>
        </w:tabs>
        <w:ind w:left="851"/>
        <w:rPr>
          <w:sz w:val="24"/>
          <w:szCs w:val="24"/>
        </w:rPr>
      </w:pPr>
      <w:r w:rsidRPr="008B64F1">
        <w:rPr>
          <w:sz w:val="24"/>
          <w:szCs w:val="24"/>
        </w:rPr>
        <w:t>Atorvastatin "Accord" er også indiceret til at nedsætte total-kolesterol og LDL-kolesterol hos voksne med homozygot familiær hyperkolesterolæmi som supplement til anden lipidsænkende behandling, f.eks. LDL-aferese, eller hvis anden behandling ikke er tilgængelig.</w:t>
      </w:r>
    </w:p>
    <w:p w:rsidR="001A1784" w:rsidRPr="008B64F1" w:rsidRDefault="001A1784" w:rsidP="001A1784">
      <w:pPr>
        <w:tabs>
          <w:tab w:val="left" w:pos="851"/>
        </w:tabs>
        <w:ind w:left="851"/>
        <w:rPr>
          <w:sz w:val="24"/>
          <w:szCs w:val="24"/>
        </w:rPr>
      </w:pPr>
    </w:p>
    <w:p w:rsidR="001A1784" w:rsidRPr="008B64F1" w:rsidRDefault="001A1784" w:rsidP="001A1784">
      <w:pPr>
        <w:tabs>
          <w:tab w:val="left" w:pos="851"/>
        </w:tabs>
        <w:ind w:left="851"/>
        <w:rPr>
          <w:iCs/>
          <w:sz w:val="24"/>
          <w:szCs w:val="24"/>
          <w:u w:val="single"/>
        </w:rPr>
      </w:pPr>
      <w:r w:rsidRPr="008B64F1">
        <w:rPr>
          <w:iCs/>
          <w:sz w:val="24"/>
          <w:szCs w:val="24"/>
          <w:u w:val="single"/>
        </w:rPr>
        <w:t>Forebyggelse af kardiovaskulær sygdom</w:t>
      </w:r>
    </w:p>
    <w:p w:rsidR="001A1784" w:rsidRPr="008B64F1" w:rsidRDefault="001A1784" w:rsidP="001A1784">
      <w:pPr>
        <w:tabs>
          <w:tab w:val="left" w:pos="851"/>
        </w:tabs>
        <w:ind w:left="851"/>
        <w:rPr>
          <w:sz w:val="24"/>
          <w:szCs w:val="24"/>
        </w:rPr>
      </w:pPr>
      <w:r w:rsidRPr="008B64F1">
        <w:rPr>
          <w:iCs/>
          <w:sz w:val="24"/>
          <w:szCs w:val="24"/>
        </w:rPr>
        <w:t>Forebyggelse af kardiovaskulære hændelser hos voksne patienter, som har en h</w:t>
      </w:r>
      <w:r w:rsidRPr="008B64F1">
        <w:rPr>
          <w:sz w:val="24"/>
          <w:szCs w:val="24"/>
        </w:rPr>
        <w:t xml:space="preserve">øj risiko for debut af en </w:t>
      </w:r>
      <w:r w:rsidRPr="008B64F1">
        <w:rPr>
          <w:iCs/>
          <w:sz w:val="24"/>
          <w:szCs w:val="24"/>
        </w:rPr>
        <w:t>kardiovaskulær hændelse (se pkt. 5.1), som supplement til afhjælpning af andre risiko</w:t>
      </w:r>
      <w:r w:rsidRPr="008B64F1">
        <w:rPr>
          <w:iCs/>
          <w:sz w:val="24"/>
          <w:szCs w:val="24"/>
        </w:rPr>
        <w:softHyphen/>
        <w:t>faktorer.</w:t>
      </w:r>
    </w:p>
    <w:p w:rsidR="001A1784" w:rsidRPr="00C84483" w:rsidRDefault="001A1784" w:rsidP="001A1784">
      <w:pPr>
        <w:tabs>
          <w:tab w:val="left" w:pos="851"/>
        </w:tabs>
        <w:ind w:left="851"/>
        <w:rPr>
          <w:sz w:val="24"/>
          <w:szCs w:val="24"/>
        </w:rPr>
      </w:pPr>
    </w:p>
    <w:p w:rsidR="001A1784" w:rsidRPr="00F63265" w:rsidRDefault="001A1784" w:rsidP="00F6326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7954A0">
        <w:rPr>
          <w:b/>
          <w:sz w:val="24"/>
          <w:szCs w:val="24"/>
        </w:rPr>
        <w:t>administration</w:t>
      </w: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b/>
          <w:spacing w:val="-3"/>
          <w:sz w:val="24"/>
          <w:szCs w:val="24"/>
          <w:lang w:eastAsia="da-DK"/>
        </w:rPr>
      </w:pPr>
      <w:r w:rsidRPr="008B64F1">
        <w:rPr>
          <w:b/>
          <w:spacing w:val="-3"/>
          <w:sz w:val="24"/>
          <w:szCs w:val="24"/>
          <w:lang w:eastAsia="da-DK"/>
        </w:rPr>
        <w:t xml:space="preserve">Dosering </w:t>
      </w: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B64F1">
        <w:rPr>
          <w:spacing w:val="-3"/>
          <w:sz w:val="24"/>
          <w:szCs w:val="24"/>
          <w:lang w:eastAsia="da-DK"/>
        </w:rPr>
        <w:t>Patienten bør sættes på en standard kolesterolsænkende diæt, inden der gives Atorvastatin "Accord". Der bør fortsættes med denne diæt under behandling med Atorvastatin "Accord".</w:t>
      </w: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B64F1">
        <w:rPr>
          <w:spacing w:val="-3"/>
          <w:sz w:val="24"/>
          <w:szCs w:val="24"/>
          <w:lang w:eastAsia="da-DK"/>
        </w:rPr>
        <w:t xml:space="preserve">Dosis bør individualiseres i henhold til basisniveau for LDL-kolesterol, mål for behandlingen og behandlingseffekt. </w:t>
      </w: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Default="001A1784" w:rsidP="00F63265">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B64F1">
        <w:rPr>
          <w:spacing w:val="-3"/>
          <w:sz w:val="24"/>
          <w:szCs w:val="24"/>
          <w:lang w:eastAsia="da-DK"/>
        </w:rPr>
        <w:t xml:space="preserve">Startdosis er sædvanligvis 10 mg 1 gang daglig. Dosis skal justeres med intervaller på 4 uger eller mere. Den maksimale dosis er 80 mg én gang daglig. </w:t>
      </w:r>
    </w:p>
    <w:p w:rsidR="00F63265" w:rsidRPr="008B64F1" w:rsidRDefault="00F63265" w:rsidP="00F63265">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8B64F1">
        <w:rPr>
          <w:spacing w:val="-3"/>
          <w:sz w:val="24"/>
          <w:szCs w:val="24"/>
          <w:u w:val="single"/>
          <w:lang w:eastAsia="da-DK"/>
        </w:rPr>
        <w:t>Primær hyperkolesterol</w:t>
      </w:r>
      <w:r>
        <w:rPr>
          <w:spacing w:val="-3"/>
          <w:sz w:val="24"/>
          <w:szCs w:val="24"/>
          <w:u w:val="single"/>
          <w:lang w:eastAsia="da-DK"/>
        </w:rPr>
        <w:t>æmi og kombineret hyperlipidæmi</w:t>
      </w: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B64F1">
        <w:rPr>
          <w:spacing w:val="-3"/>
          <w:sz w:val="24"/>
          <w:szCs w:val="24"/>
          <w:lang w:eastAsia="da-DK"/>
        </w:rPr>
        <w:t>Størstedelen af patienterne er velkontrollerede på 10 mg Atorvastatin "Accord" 1 gang daglig. Terapeutisk virkning ses inden for 2 uger, og maksimalt respons opnås normalt inden for 4 uger. Virkningen opretholdes under vedvarende behandling.</w:t>
      </w: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B64F1" w:rsidRDefault="001A1784" w:rsidP="00F63265">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8B64F1">
        <w:rPr>
          <w:spacing w:val="-3"/>
          <w:sz w:val="24"/>
          <w:szCs w:val="24"/>
          <w:u w:val="single"/>
          <w:lang w:eastAsia="da-DK"/>
        </w:rPr>
        <w:lastRenderedPageBreak/>
        <w:t>Heterozygot familiær hyperkolesterolæmi</w:t>
      </w: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B64F1">
        <w:rPr>
          <w:spacing w:val="-3"/>
          <w:sz w:val="24"/>
          <w:szCs w:val="24"/>
          <w:lang w:eastAsia="da-DK"/>
        </w:rPr>
        <w:t>Patienter bør starte med 10 mg Atorvastatin "Accord" daglig. Dosis skal individualiseres og justeres hver 4. uge til 40 mg daglig. Derefter kan dosis enten øges til maksimalt 80 mg daglig, eller en galdesyrebinder kan kombineres med 40 mg atorvastatin 1 gang daglig.</w:t>
      </w: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8B64F1">
        <w:rPr>
          <w:spacing w:val="-3"/>
          <w:sz w:val="24"/>
          <w:szCs w:val="24"/>
          <w:u w:val="single"/>
          <w:lang w:eastAsia="da-DK"/>
        </w:rPr>
        <w:t>Homozygot familiær hyperkolesterolæmi</w:t>
      </w: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B64F1">
        <w:rPr>
          <w:spacing w:val="-3"/>
          <w:sz w:val="24"/>
          <w:szCs w:val="24"/>
          <w:lang w:eastAsia="da-DK"/>
        </w:rPr>
        <w:t>Kun begrænsede data er tilgængelige (se pkt. 5.1).</w:t>
      </w: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B64F1">
        <w:rPr>
          <w:spacing w:val="-3"/>
          <w:sz w:val="24"/>
          <w:szCs w:val="24"/>
          <w:lang w:eastAsia="da-DK"/>
        </w:rPr>
        <w:t>Dosis af atorvastatin til patienter med homozygot familiær hyperkolesterolæmi er 10</w:t>
      </w:r>
      <w:r w:rsidRPr="008B64F1">
        <w:rPr>
          <w:spacing w:val="-3"/>
          <w:sz w:val="24"/>
          <w:szCs w:val="24"/>
          <w:lang w:eastAsia="da-DK"/>
        </w:rPr>
        <w:noBreakHyphen/>
        <w:t>80 mg daglig (se pkt. 5.1). Atorvastatin skal gives som supplement til anden lipid</w:t>
      </w:r>
      <w:r w:rsidRPr="008B64F1">
        <w:rPr>
          <w:spacing w:val="-3"/>
          <w:sz w:val="24"/>
          <w:szCs w:val="24"/>
          <w:lang w:eastAsia="da-DK"/>
        </w:rPr>
        <w:softHyphen/>
        <w:t>sænkende behandling (f.eks. LDL-aferese), eller hvis sådan behandling ikke er tilgængelig.</w:t>
      </w:r>
    </w:p>
    <w:p w:rsidR="001A1784"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bCs/>
          <w:spacing w:val="-3"/>
          <w:sz w:val="24"/>
          <w:szCs w:val="24"/>
          <w:u w:val="single"/>
          <w:lang w:eastAsia="da-DK"/>
        </w:rPr>
      </w:pP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bCs/>
          <w:spacing w:val="-3"/>
          <w:sz w:val="24"/>
          <w:szCs w:val="24"/>
          <w:u w:val="single"/>
          <w:lang w:eastAsia="da-DK"/>
        </w:rPr>
      </w:pPr>
      <w:r w:rsidRPr="008B64F1">
        <w:rPr>
          <w:bCs/>
          <w:spacing w:val="-3"/>
          <w:sz w:val="24"/>
          <w:szCs w:val="24"/>
          <w:u w:val="single"/>
          <w:lang w:eastAsia="da-DK"/>
        </w:rPr>
        <w:t>Forebyggelse af kardiovaskulær sygdom</w:t>
      </w: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B64F1">
        <w:rPr>
          <w:spacing w:val="-3"/>
          <w:sz w:val="24"/>
          <w:szCs w:val="24"/>
          <w:lang w:eastAsia="da-DK"/>
        </w:rPr>
        <w:t>I de primære forebyggelsesstudier var dosis 10 mg daglig. Højere doser kan være nødvendige for at opnå LDL-kolesterolniveauer i henhold til gældende guidelines.</w:t>
      </w: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8B64F1">
        <w:rPr>
          <w:spacing w:val="-3"/>
          <w:sz w:val="24"/>
          <w:szCs w:val="24"/>
          <w:u w:val="single"/>
          <w:lang w:eastAsia="da-DK"/>
        </w:rPr>
        <w:t>Nedsat nyrefunktion</w:t>
      </w: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B64F1">
        <w:rPr>
          <w:spacing w:val="-3"/>
          <w:sz w:val="24"/>
          <w:szCs w:val="24"/>
          <w:lang w:eastAsia="da-DK"/>
        </w:rPr>
        <w:t>Dosisjustering er ikke nødvendig (se pkt. 4.4).</w:t>
      </w:r>
    </w:p>
    <w:p w:rsidR="001A1784"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u w:val="single"/>
          <w:lang w:eastAsia="da-DK"/>
        </w:rPr>
      </w:pPr>
      <w:r w:rsidRPr="008B64F1">
        <w:rPr>
          <w:spacing w:val="-3"/>
          <w:sz w:val="24"/>
          <w:szCs w:val="24"/>
          <w:u w:val="single"/>
          <w:lang w:eastAsia="da-DK"/>
        </w:rPr>
        <w:t>Nedsat leverfunktion</w:t>
      </w: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8B64F1">
        <w:rPr>
          <w:spacing w:val="-3"/>
          <w:sz w:val="24"/>
          <w:szCs w:val="24"/>
          <w:lang w:eastAsia="da-DK"/>
        </w:rPr>
        <w:t>Atorvastatin "Accord" skal anvendes med forsigtighed hos patienter med leverinsufficiens (se pkt. 4.4 og 5.2). Atorvastatin "Accord" er kontraindiceret hos patienter med aktiv leversygdom (se pkt. 4.3).</w:t>
      </w:r>
    </w:p>
    <w:p w:rsidR="001A1784"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F63265" w:rsidRDefault="00F63265" w:rsidP="00F63265">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Pr>
          <w:spacing w:val="-3"/>
          <w:sz w:val="24"/>
          <w:szCs w:val="24"/>
          <w:u w:val="single"/>
          <w:lang w:eastAsia="da-DK"/>
        </w:rPr>
        <w:t>Samtidig administration med andre lægemidler</w:t>
      </w:r>
    </w:p>
    <w:p w:rsidR="00F63265" w:rsidRDefault="00F63265" w:rsidP="00F63265">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Pr>
          <w:spacing w:val="-3"/>
          <w:sz w:val="24"/>
          <w:szCs w:val="24"/>
          <w:lang w:eastAsia="da-DK"/>
        </w:rPr>
        <w:t>Hos patienter, der tager de antivirale midler elbasvir/grazoprevir mod hepatitis C eller letermovir som profylakse mod cytomegalovirus-infektion samtidig med atorvastatin, må dosis af atorvastatin ikke overstige 20 mg/dag (se pkt. 4.4 og 4.5).</w:t>
      </w:r>
    </w:p>
    <w:p w:rsidR="00F63265" w:rsidRDefault="00F63265" w:rsidP="00F63265">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p>
    <w:p w:rsidR="00F63265" w:rsidRDefault="00F63265" w:rsidP="00F63265">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Pr>
          <w:bCs/>
          <w:spacing w:val="-3"/>
          <w:sz w:val="24"/>
          <w:szCs w:val="24"/>
          <w:lang w:eastAsia="da-DK"/>
        </w:rPr>
        <w:t>Atorvastatin anbefales ikke til patienter, der er i behandling med letermovir samtidigt med ciclosporin (se pkt. 4.4 og 4.5).</w:t>
      </w:r>
    </w:p>
    <w:p w:rsidR="001A1784" w:rsidRPr="00081FA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8B64F1">
        <w:rPr>
          <w:spacing w:val="-3"/>
          <w:sz w:val="24"/>
          <w:szCs w:val="24"/>
          <w:u w:val="single"/>
          <w:lang w:eastAsia="da-DK"/>
        </w:rPr>
        <w:t>Ældre</w:t>
      </w: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B64F1">
        <w:rPr>
          <w:spacing w:val="-3"/>
          <w:sz w:val="24"/>
          <w:szCs w:val="24"/>
          <w:lang w:eastAsia="da-DK"/>
        </w:rPr>
        <w:t>Virkning og sikkerhed af de anbefalede doser til ældre patienter over 70 år svarer til det, som ses hos den almindelige befolkning.</w:t>
      </w: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8B64F1">
        <w:rPr>
          <w:spacing w:val="-3"/>
          <w:sz w:val="24"/>
          <w:szCs w:val="24"/>
          <w:u w:val="single"/>
          <w:lang w:eastAsia="da-DK"/>
        </w:rPr>
        <w:t>Pædiatrisk population</w:t>
      </w:r>
    </w:p>
    <w:p w:rsidR="001A1784" w:rsidRDefault="001A1784" w:rsidP="001A1784">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i/>
          <w:spacing w:val="-3"/>
          <w:sz w:val="24"/>
          <w:szCs w:val="24"/>
          <w:lang w:eastAsia="da-DK"/>
        </w:rPr>
      </w:pPr>
    </w:p>
    <w:p w:rsidR="001A1784" w:rsidRPr="008B64F1" w:rsidRDefault="001A1784" w:rsidP="001A1784">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i/>
          <w:spacing w:val="-3"/>
          <w:sz w:val="24"/>
          <w:szCs w:val="24"/>
          <w:lang w:eastAsia="da-DK"/>
        </w:rPr>
      </w:pPr>
      <w:r>
        <w:rPr>
          <w:i/>
          <w:spacing w:val="-3"/>
          <w:sz w:val="24"/>
          <w:szCs w:val="24"/>
          <w:lang w:eastAsia="da-DK"/>
        </w:rPr>
        <w:t>Hyperkolesterolæmi</w:t>
      </w:r>
    </w:p>
    <w:p w:rsidR="001A1784" w:rsidRPr="008B64F1" w:rsidRDefault="001A1784" w:rsidP="001A1784">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8B64F1">
        <w:rPr>
          <w:spacing w:val="-3"/>
          <w:sz w:val="24"/>
          <w:szCs w:val="24"/>
          <w:lang w:eastAsia="da-DK"/>
        </w:rPr>
        <w:t>Børn og unge bør kun behandles af specialister inden for pædiatrisk hyperlipidæmi, og patienterne bør regelmæssigt revurderes for at vurdere virkningen af behandlingen.</w:t>
      </w:r>
    </w:p>
    <w:p w:rsidR="001A1784" w:rsidRPr="008B64F1" w:rsidRDefault="001A1784" w:rsidP="001A1784">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p>
    <w:p w:rsidR="001A1784" w:rsidRPr="008B64F1" w:rsidRDefault="001A1784" w:rsidP="001A1784">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8B64F1">
        <w:rPr>
          <w:spacing w:val="-3"/>
          <w:sz w:val="24"/>
          <w:szCs w:val="24"/>
          <w:lang w:eastAsia="da-DK"/>
        </w:rPr>
        <w:t xml:space="preserve">Anbefalet startdosis til patienter over 10 år med heterocygot familiær hyperkolesterolæmi er 10 mg </w:t>
      </w:r>
      <w:r>
        <w:rPr>
          <w:spacing w:val="-3"/>
          <w:sz w:val="24"/>
          <w:szCs w:val="24"/>
          <w:lang w:eastAsia="da-DK"/>
        </w:rPr>
        <w:t>daglig</w:t>
      </w:r>
      <w:r w:rsidRPr="008B64F1">
        <w:rPr>
          <w:spacing w:val="-3"/>
          <w:sz w:val="24"/>
          <w:szCs w:val="24"/>
          <w:lang w:eastAsia="da-DK"/>
        </w:rPr>
        <w:t xml:space="preserve"> (se pkt. 5.1). Denne dosis kan øges til 80 mg </w:t>
      </w:r>
      <w:r>
        <w:rPr>
          <w:spacing w:val="-3"/>
          <w:sz w:val="24"/>
          <w:szCs w:val="24"/>
          <w:lang w:eastAsia="da-DK"/>
        </w:rPr>
        <w:t>daglig</w:t>
      </w:r>
      <w:r w:rsidRPr="008B64F1">
        <w:rPr>
          <w:spacing w:val="-3"/>
          <w:sz w:val="24"/>
          <w:szCs w:val="24"/>
          <w:lang w:eastAsia="da-DK"/>
        </w:rPr>
        <w:t xml:space="preserve"> alt efter respons og tolerabilitet. Dosis bør tilpasses den enkelte alt efter behandlingsmål. Dosisjusteringer bør foretages med intervaller på 4 uger eller mere. Dosistitrering til 80 mg </w:t>
      </w:r>
      <w:r>
        <w:rPr>
          <w:spacing w:val="-3"/>
          <w:sz w:val="24"/>
          <w:szCs w:val="24"/>
          <w:lang w:eastAsia="da-DK"/>
        </w:rPr>
        <w:t>daglig</w:t>
      </w:r>
      <w:r w:rsidRPr="008B64F1">
        <w:rPr>
          <w:spacing w:val="-3"/>
          <w:sz w:val="24"/>
          <w:szCs w:val="24"/>
          <w:lang w:eastAsia="da-DK"/>
        </w:rPr>
        <w:t xml:space="preserve"> understøttes af kliniske data hos voksne og i begrænset omfang hos børn med heterocygot familiær hyperkolesterolæmi (se pkt. 4.8 og 5.1).</w:t>
      </w:r>
    </w:p>
    <w:p w:rsidR="001A1784" w:rsidRPr="008B64F1" w:rsidRDefault="001A1784" w:rsidP="001A1784">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p>
    <w:p w:rsidR="001A1784" w:rsidRPr="008B64F1" w:rsidRDefault="001A1784" w:rsidP="001A1784">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8B64F1">
        <w:rPr>
          <w:spacing w:val="-3"/>
          <w:sz w:val="24"/>
          <w:szCs w:val="24"/>
          <w:lang w:eastAsia="da-DK"/>
        </w:rPr>
        <w:t xml:space="preserve">Der er begrænset sikkerheds- og effektdata fra </w:t>
      </w:r>
      <w:r w:rsidRPr="008B64F1">
        <w:rPr>
          <w:i/>
          <w:spacing w:val="-3"/>
          <w:sz w:val="24"/>
          <w:szCs w:val="24"/>
          <w:lang w:eastAsia="da-DK"/>
        </w:rPr>
        <w:t>open-label</w:t>
      </w:r>
      <w:r w:rsidRPr="008B64F1">
        <w:rPr>
          <w:spacing w:val="-3"/>
          <w:sz w:val="24"/>
          <w:szCs w:val="24"/>
          <w:lang w:eastAsia="da-DK"/>
        </w:rPr>
        <w:t xml:space="preserve"> kliniske forsøg med børn med heterocygot familiær hyperkolesterolæmi i alderen 6-10 år. Atorvastatin er ikke indiceret til </w:t>
      </w:r>
      <w:r w:rsidRPr="008B64F1">
        <w:rPr>
          <w:spacing w:val="-3"/>
          <w:sz w:val="24"/>
          <w:szCs w:val="24"/>
          <w:lang w:eastAsia="da-DK"/>
        </w:rPr>
        <w:lastRenderedPageBreak/>
        <w:t>anvendelse hos børn under 10 år. De tilgængelige data er beskrevet i pkt. 4.8, 5.1 og 5.2, men der kan ikke gives en dosisrekommandation.</w:t>
      </w:r>
    </w:p>
    <w:p w:rsidR="001A1784" w:rsidRPr="008B64F1" w:rsidRDefault="001A1784" w:rsidP="001A1784">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8B64F1">
        <w:rPr>
          <w:spacing w:val="-3"/>
          <w:sz w:val="24"/>
          <w:szCs w:val="24"/>
          <w:lang w:eastAsia="da-DK"/>
        </w:rPr>
        <w:t>Andre lægemiddelformer og -styrker kan være mere velegnede til denne population.</w:t>
      </w: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B64F1"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b/>
          <w:spacing w:val="-3"/>
          <w:sz w:val="24"/>
          <w:szCs w:val="24"/>
          <w:lang w:eastAsia="da-DK"/>
        </w:rPr>
      </w:pPr>
      <w:r w:rsidRPr="008B64F1">
        <w:rPr>
          <w:b/>
          <w:spacing w:val="-3"/>
          <w:sz w:val="24"/>
          <w:szCs w:val="24"/>
          <w:lang w:eastAsia="da-DK"/>
        </w:rPr>
        <w:t>Administration</w:t>
      </w:r>
    </w:p>
    <w:p w:rsidR="001A1784" w:rsidRPr="00394578"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B64F1">
        <w:rPr>
          <w:spacing w:val="-3"/>
          <w:sz w:val="24"/>
          <w:szCs w:val="24"/>
          <w:lang w:eastAsia="da-DK"/>
        </w:rPr>
        <w:t>Atorvastatin "Accord" er til oral anvendelse. Den daglige dosis af atorvastatin gives som engangsdosis. Dosis kan gives på et hvilket som helst tidspunkt af døgnet med eller uden føde.</w:t>
      </w:r>
    </w:p>
    <w:p w:rsidR="001A1784" w:rsidRPr="00C84483" w:rsidRDefault="001A1784" w:rsidP="001A1784">
      <w:pPr>
        <w:tabs>
          <w:tab w:val="left" w:pos="851"/>
        </w:tabs>
        <w:ind w:left="851"/>
        <w:rPr>
          <w:sz w:val="24"/>
          <w:szCs w:val="24"/>
        </w:rPr>
      </w:pPr>
    </w:p>
    <w:p w:rsidR="001A1784" w:rsidRPr="00C84483" w:rsidRDefault="001A1784" w:rsidP="001A1784">
      <w:pPr>
        <w:tabs>
          <w:tab w:val="left" w:pos="851"/>
        </w:tabs>
        <w:ind w:left="851" w:hanging="851"/>
        <w:rPr>
          <w:b/>
          <w:sz w:val="24"/>
          <w:szCs w:val="24"/>
        </w:rPr>
      </w:pPr>
      <w:r w:rsidRPr="00C84483">
        <w:rPr>
          <w:b/>
          <w:sz w:val="24"/>
          <w:szCs w:val="24"/>
        </w:rPr>
        <w:t>4.3</w:t>
      </w:r>
      <w:r w:rsidRPr="00C84483">
        <w:rPr>
          <w:b/>
          <w:sz w:val="24"/>
          <w:szCs w:val="24"/>
        </w:rPr>
        <w:tab/>
        <w:t>Kontraindikationer</w:t>
      </w:r>
    </w:p>
    <w:p w:rsidR="001A1784" w:rsidRPr="00285EA2" w:rsidRDefault="001A1784" w:rsidP="001A1784">
      <w:pPr>
        <w:tabs>
          <w:tab w:val="left" w:pos="0"/>
          <w:tab w:val="left" w:pos="1134"/>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134" w:hanging="283"/>
        <w:rPr>
          <w:spacing w:val="-3"/>
          <w:sz w:val="24"/>
          <w:szCs w:val="24"/>
          <w:lang w:eastAsia="da-DK"/>
        </w:rPr>
      </w:pPr>
      <w:r w:rsidRPr="00285EA2">
        <w:rPr>
          <w:spacing w:val="-3"/>
          <w:sz w:val="24"/>
          <w:szCs w:val="24"/>
          <w:lang w:eastAsia="da-DK"/>
        </w:rPr>
        <w:t>Atorvastatin "Accord" e</w:t>
      </w:r>
      <w:r>
        <w:rPr>
          <w:spacing w:val="-3"/>
          <w:sz w:val="24"/>
          <w:szCs w:val="24"/>
          <w:lang w:eastAsia="da-DK"/>
        </w:rPr>
        <w:t>r kontraindiceret hos patienter</w:t>
      </w:r>
    </w:p>
    <w:p w:rsidR="001A1784" w:rsidRDefault="001A1784" w:rsidP="001A1784">
      <w:pPr>
        <w:numPr>
          <w:ilvl w:val="0"/>
          <w:numId w:val="9"/>
        </w:numPr>
        <w:tabs>
          <w:tab w:val="left" w:pos="1134"/>
        </w:tabs>
        <w:spacing w:line="240" w:lineRule="atLeast"/>
        <w:ind w:left="1134" w:hanging="283"/>
        <w:rPr>
          <w:spacing w:val="-3"/>
          <w:sz w:val="24"/>
          <w:szCs w:val="24"/>
          <w:lang w:eastAsia="da-DK"/>
        </w:rPr>
      </w:pPr>
      <w:r>
        <w:rPr>
          <w:spacing w:val="-3"/>
          <w:sz w:val="24"/>
          <w:szCs w:val="24"/>
          <w:lang w:eastAsia="da-DK"/>
        </w:rPr>
        <w:t>med overfølsomhed over for det aktive stof eller over for et eller flere af hjælpestofferne anført i pkt. 6.1</w:t>
      </w:r>
    </w:p>
    <w:p w:rsidR="001A1784" w:rsidRDefault="001A1784" w:rsidP="001A1784">
      <w:pPr>
        <w:numPr>
          <w:ilvl w:val="0"/>
          <w:numId w:val="9"/>
        </w:numPr>
        <w:tabs>
          <w:tab w:val="left" w:pos="1134"/>
        </w:tabs>
        <w:spacing w:line="240" w:lineRule="atLeast"/>
        <w:ind w:left="1134" w:hanging="283"/>
        <w:rPr>
          <w:spacing w:val="-3"/>
          <w:sz w:val="24"/>
          <w:szCs w:val="24"/>
          <w:lang w:eastAsia="da-DK"/>
        </w:rPr>
      </w:pPr>
      <w:r>
        <w:rPr>
          <w:spacing w:val="-3"/>
          <w:sz w:val="24"/>
          <w:szCs w:val="24"/>
          <w:lang w:eastAsia="da-DK"/>
        </w:rPr>
        <w:t>med aktiv leversygdom eller uforklarlig, vedvarende stigning i serum-transaminaserne svarende til mere end 3 gange den øvre referenceværdi</w:t>
      </w:r>
    </w:p>
    <w:p w:rsidR="001A1784" w:rsidRDefault="001A1784" w:rsidP="001A1784">
      <w:pPr>
        <w:numPr>
          <w:ilvl w:val="0"/>
          <w:numId w:val="9"/>
        </w:numPr>
        <w:tabs>
          <w:tab w:val="left" w:pos="1134"/>
        </w:tabs>
        <w:spacing w:line="240" w:lineRule="atLeast"/>
        <w:ind w:left="1134" w:hanging="283"/>
        <w:rPr>
          <w:spacing w:val="-3"/>
          <w:sz w:val="24"/>
          <w:szCs w:val="24"/>
          <w:lang w:eastAsia="da-DK"/>
        </w:rPr>
      </w:pPr>
      <w:r>
        <w:rPr>
          <w:spacing w:val="-3"/>
          <w:sz w:val="24"/>
          <w:szCs w:val="24"/>
          <w:lang w:eastAsia="da-DK"/>
        </w:rPr>
        <w:t>behandlet med de antivirale midler glecaprevir/pibrentasvir mod hepatitis C</w:t>
      </w:r>
    </w:p>
    <w:p w:rsidR="001A1784" w:rsidRDefault="001A1784" w:rsidP="001A1784">
      <w:pPr>
        <w:numPr>
          <w:ilvl w:val="0"/>
          <w:numId w:val="9"/>
        </w:numPr>
        <w:tabs>
          <w:tab w:val="left" w:pos="1134"/>
        </w:tabs>
        <w:spacing w:line="240" w:lineRule="atLeast"/>
        <w:ind w:left="1134" w:hanging="283"/>
        <w:rPr>
          <w:spacing w:val="-3"/>
          <w:sz w:val="24"/>
          <w:szCs w:val="24"/>
          <w:lang w:eastAsia="da-DK"/>
        </w:rPr>
      </w:pPr>
      <w:r>
        <w:rPr>
          <w:spacing w:val="-3"/>
          <w:sz w:val="24"/>
          <w:szCs w:val="24"/>
          <w:lang w:eastAsia="da-DK"/>
        </w:rPr>
        <w:t>under graviditet, i ammeperioden samt hos kvinder i den fertile alder, som ikke benytter sikker kontraception (se pkt. 4.6).</w:t>
      </w:r>
    </w:p>
    <w:p w:rsidR="001A1784" w:rsidRPr="00C84483" w:rsidRDefault="001A1784" w:rsidP="001A1784">
      <w:pPr>
        <w:tabs>
          <w:tab w:val="left" w:pos="851"/>
        </w:tabs>
        <w:ind w:left="851"/>
        <w:rPr>
          <w:sz w:val="24"/>
          <w:szCs w:val="24"/>
        </w:rPr>
      </w:pPr>
    </w:p>
    <w:p w:rsidR="001A1784" w:rsidRPr="00F63265" w:rsidRDefault="001A1784" w:rsidP="00F6326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954A0" w:rsidRDefault="007954A0"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Pr>
          <w:spacing w:val="-3"/>
          <w:sz w:val="24"/>
          <w:szCs w:val="24"/>
          <w:lang w:eastAsia="da-DK"/>
        </w:rPr>
        <w:t xml:space="preserve">Der er indberettet enkelte tilfælde, hvor statiner inducerer de novo eller forværrer allerede eksisterende myasthenia gravis eller okulær myasteni (se pkt. 4.8). </w:t>
      </w:r>
      <w:r>
        <w:rPr>
          <w:sz w:val="24"/>
          <w:szCs w:val="24"/>
        </w:rPr>
        <w:t>Atorvastatin "Accord"</w:t>
      </w:r>
      <w:r>
        <w:rPr>
          <w:spacing w:val="-3"/>
          <w:sz w:val="24"/>
          <w:szCs w:val="24"/>
          <w:lang w:eastAsia="da-DK"/>
        </w:rPr>
        <w:t xml:space="preserve"> bør seponeres i tilfælde af forværring af symptomer. Der er indberettet recidiver, når det samme eller et andet statin blev administreret (igen).</w:t>
      </w:r>
    </w:p>
    <w:p w:rsidR="007954A0" w:rsidRDefault="007954A0"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p>
    <w:p w:rsidR="001A1784" w:rsidRPr="00845C60" w:rsidRDefault="00F160D6"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Pr>
          <w:spacing w:val="-3"/>
          <w:sz w:val="24"/>
          <w:szCs w:val="24"/>
          <w:u w:val="single"/>
          <w:lang w:eastAsia="da-DK"/>
        </w:rPr>
        <w:t>Nedsat leverfunktion</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45C60">
        <w:rPr>
          <w:spacing w:val="-3"/>
          <w:sz w:val="24"/>
          <w:szCs w:val="24"/>
          <w:lang w:eastAsia="da-DK"/>
        </w:rPr>
        <w:t>Der bør tages leverprøver før behandlingens start og periodisk under behandlingen. Patienter, som udvikler tegn eller symptomer på leverskade, skal have taget leverprøver. Patienter, som får forhøjede transaminaseniveauer, skal monitoreres, indtil tallene er normaliserede. Ved vedvarende transaminasestigning til mere end 3 gange den øvre referenceværdi anbefales dosisreduktion eller seponering af Atorvastatin "Accord" (se pkt. 4.8).</w:t>
      </w:r>
    </w:p>
    <w:p w:rsidR="001A1784" w:rsidRPr="00081FA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081FA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081FA0">
        <w:rPr>
          <w:spacing w:val="-3"/>
          <w:sz w:val="24"/>
          <w:szCs w:val="24"/>
          <w:lang w:eastAsia="da-DK"/>
        </w:rPr>
        <w:t>Atorvastatin "Accord" bør bruges med forsigtighed hos patienter, som indtager store mængder alkohol og/eller med leversygdom i anamnesen.</w:t>
      </w:r>
    </w:p>
    <w:p w:rsidR="001A1784" w:rsidRPr="00081FA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bCs/>
          <w:spacing w:val="-3"/>
          <w:sz w:val="24"/>
          <w:szCs w:val="24"/>
          <w:u w:val="single"/>
          <w:lang w:eastAsia="da-DK"/>
        </w:rPr>
      </w:pPr>
    </w:p>
    <w:p w:rsidR="001A1784" w:rsidRPr="00081FA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bCs/>
          <w:spacing w:val="-3"/>
          <w:sz w:val="24"/>
          <w:szCs w:val="24"/>
          <w:u w:val="single"/>
          <w:lang w:eastAsia="da-DK"/>
        </w:rPr>
      </w:pPr>
      <w:r w:rsidRPr="00081FA0">
        <w:rPr>
          <w:bCs/>
          <w:spacing w:val="-3"/>
          <w:sz w:val="24"/>
          <w:szCs w:val="24"/>
          <w:u w:val="single"/>
          <w:lang w:eastAsia="da-DK"/>
        </w:rPr>
        <w:t>Forebyggelse af apopleksi ved aggresiv reduktion af kolesterolniveauerne (Stroke Prevention by Aggressive Reduction in Cholesterol Levels (SPARCL))</w:t>
      </w:r>
    </w:p>
    <w:p w:rsidR="001A1784" w:rsidRPr="00081FA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081FA0">
        <w:rPr>
          <w:spacing w:val="-3"/>
          <w:sz w:val="24"/>
          <w:szCs w:val="24"/>
          <w:lang w:eastAsia="da-DK"/>
        </w:rPr>
        <w:t>I en post-hoc analyse af apopleksi subgrupper hos patienter uden koronar hjertesygdom (CHD), som for nylig havde apopleksi eller transitorisk cerebral iskæmi (TCI), var der en større incidens af hæmoragisk apopleksi hos patienter, der fik atorvastatin 80 mg, sammen</w:t>
      </w:r>
      <w:r w:rsidRPr="00081FA0">
        <w:rPr>
          <w:spacing w:val="-3"/>
          <w:sz w:val="24"/>
          <w:szCs w:val="24"/>
          <w:lang w:eastAsia="da-DK"/>
        </w:rPr>
        <w:softHyphen/>
        <w:t>lignet med placebo. Den øgede risiko blev især noteret hos patienter, der havde hæmoragisk apopleksi i anamnesen eller lakunært infarkt ved forsøgets start. Hos patienter med hæmoragisk apo</w:t>
      </w:r>
      <w:r w:rsidRPr="00081FA0">
        <w:rPr>
          <w:spacing w:val="-3"/>
          <w:sz w:val="24"/>
          <w:szCs w:val="24"/>
          <w:lang w:eastAsia="da-DK"/>
        </w:rPr>
        <w:softHyphen/>
        <w:t>pleksi eller lakunært infarkt i anamnesen var risiko/benefit ratio for atorvastatin 80 mg usikker, og den potentielle risiko for hæmoragisk apopleksi skal omhyggeligt overvejes før initiering af behandling (se pkt. 5.1).</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845C60">
        <w:rPr>
          <w:spacing w:val="-3"/>
          <w:sz w:val="24"/>
          <w:szCs w:val="24"/>
          <w:u w:val="single"/>
          <w:lang w:eastAsia="da-DK"/>
        </w:rPr>
        <w:t>Påvirkning af skeletmuskulaturen</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45C60">
        <w:rPr>
          <w:spacing w:val="-3"/>
          <w:sz w:val="24"/>
          <w:szCs w:val="24"/>
          <w:lang w:eastAsia="da-DK"/>
        </w:rPr>
        <w:t>Atorvastatin kan som andre HMG-CoA-reduktasehæmmere i sjældne tilfælde påvirke skelet</w:t>
      </w:r>
      <w:r w:rsidRPr="00845C60">
        <w:rPr>
          <w:spacing w:val="-3"/>
          <w:sz w:val="24"/>
          <w:szCs w:val="24"/>
          <w:lang w:eastAsia="da-DK"/>
        </w:rPr>
        <w:softHyphen/>
        <w:t xml:space="preserve">muskulaturen og forårsage myalgi, myositis, og myopati, som kan udvikle sig til rabdomyolyse, en potentielt livstruende tilstand, som kendetegnes ved markant forhøjet </w:t>
      </w:r>
      <w:r w:rsidRPr="00845C60">
        <w:rPr>
          <w:spacing w:val="-3"/>
          <w:sz w:val="24"/>
          <w:szCs w:val="24"/>
          <w:lang w:eastAsia="da-DK"/>
        </w:rPr>
        <w:lastRenderedPageBreak/>
        <w:t>kreatinkinase (CK)-værdi (&gt;10 gange den øvre referenceværdi), myoglobinæmi og myoglobinuri, som kan medføre nyresvigt.</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45C60" w:rsidRDefault="001A1784" w:rsidP="00F160D6">
      <w:pPr>
        <w:ind w:left="851"/>
        <w:rPr>
          <w:spacing w:val="-3"/>
          <w:sz w:val="24"/>
          <w:szCs w:val="24"/>
          <w:lang w:eastAsia="da-DK"/>
        </w:rPr>
      </w:pPr>
      <w:r w:rsidRPr="00845C60">
        <w:rPr>
          <w:spacing w:val="-3"/>
          <w:sz w:val="24"/>
          <w:szCs w:val="24"/>
          <w:lang w:eastAsia="da-DK"/>
        </w:rPr>
        <w:t>I meget sjældne tilfælde er der beskrevet immunmedieret nekrotiserende myopati (IMNM) under eller efter behandling med visse statiner. Klinisk er IMNM karakteriseret ved vedvarende proksimal muskelsvaghed og forhøjet serum-kreatininkinase, som vedvarer trods seponering af statinbehandlingen</w:t>
      </w:r>
      <w:r w:rsidR="00F160D6">
        <w:rPr>
          <w:spacing w:val="-3"/>
          <w:sz w:val="24"/>
          <w:szCs w:val="24"/>
          <w:lang w:eastAsia="da-DK"/>
        </w:rPr>
        <w:t xml:space="preserve">, </w:t>
      </w:r>
      <w:r w:rsidR="00F160D6">
        <w:rPr>
          <w:color w:val="000000"/>
          <w:sz w:val="24"/>
          <w:szCs w:val="24"/>
        </w:rPr>
        <w:t>positiv anti-HMG-CoA reduktase-antistof og forbedring med immunosuppressive midler</w:t>
      </w:r>
      <w:r w:rsidR="00F160D6">
        <w:rPr>
          <w:spacing w:val="-3"/>
          <w:sz w:val="24"/>
          <w:szCs w:val="24"/>
          <w:lang w:eastAsia="da-DK"/>
        </w:rPr>
        <w:t>.</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i/>
          <w:spacing w:val="-3"/>
          <w:sz w:val="24"/>
          <w:szCs w:val="24"/>
          <w:lang w:eastAsia="da-DK"/>
        </w:rPr>
      </w:pPr>
      <w:r w:rsidRPr="00845C60">
        <w:rPr>
          <w:i/>
          <w:spacing w:val="-3"/>
          <w:sz w:val="24"/>
          <w:szCs w:val="24"/>
          <w:lang w:eastAsia="da-DK"/>
        </w:rPr>
        <w:t>Før behandling</w:t>
      </w:r>
      <w:r>
        <w:rPr>
          <w:i/>
          <w:spacing w:val="-3"/>
          <w:sz w:val="24"/>
          <w:szCs w:val="24"/>
          <w:lang w:eastAsia="da-DK"/>
        </w:rPr>
        <w:t>en</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45C60">
        <w:rPr>
          <w:spacing w:val="-3"/>
          <w:sz w:val="24"/>
          <w:szCs w:val="24"/>
          <w:lang w:eastAsia="da-DK"/>
        </w:rPr>
        <w:t>Atorvastatin bør gives med forsigtighed til patienter med prædisponerede faktorer for rabdomyolyse. Kreatinkinase (CK)værdien bør måles før initiering af behandling med statiner, i følgende situationer:</w:t>
      </w:r>
    </w:p>
    <w:p w:rsidR="001A1784" w:rsidRPr="00845C60" w:rsidRDefault="001A1784" w:rsidP="001A1784">
      <w:pPr>
        <w:numPr>
          <w:ilvl w:val="0"/>
          <w:numId w:val="10"/>
        </w:numPr>
        <w:tabs>
          <w:tab w:val="clear" w:pos="2550"/>
          <w:tab w:val="left" w:pos="1134"/>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134" w:hanging="283"/>
        <w:rPr>
          <w:spacing w:val="-3"/>
          <w:sz w:val="24"/>
          <w:szCs w:val="24"/>
          <w:lang w:eastAsia="da-DK"/>
        </w:rPr>
      </w:pPr>
      <w:r w:rsidRPr="00845C60">
        <w:rPr>
          <w:spacing w:val="-3"/>
          <w:sz w:val="24"/>
          <w:szCs w:val="24"/>
          <w:lang w:eastAsia="da-DK"/>
        </w:rPr>
        <w:t>nedsat nyrefunktion</w:t>
      </w:r>
    </w:p>
    <w:p w:rsidR="001A1784" w:rsidRPr="00845C60" w:rsidRDefault="001A1784" w:rsidP="001A1784">
      <w:pPr>
        <w:numPr>
          <w:ilvl w:val="0"/>
          <w:numId w:val="10"/>
        </w:numPr>
        <w:tabs>
          <w:tab w:val="clear" w:pos="2550"/>
          <w:tab w:val="left" w:pos="1134"/>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134" w:hanging="283"/>
        <w:rPr>
          <w:spacing w:val="-3"/>
          <w:sz w:val="24"/>
          <w:szCs w:val="24"/>
          <w:lang w:eastAsia="da-DK"/>
        </w:rPr>
      </w:pPr>
      <w:r w:rsidRPr="00845C60">
        <w:rPr>
          <w:spacing w:val="-3"/>
          <w:sz w:val="24"/>
          <w:szCs w:val="24"/>
          <w:lang w:eastAsia="da-DK"/>
        </w:rPr>
        <w:t>hypotyreoidisme</w:t>
      </w:r>
    </w:p>
    <w:p w:rsidR="001A1784" w:rsidRPr="00845C60" w:rsidRDefault="001A1784" w:rsidP="001A1784">
      <w:pPr>
        <w:numPr>
          <w:ilvl w:val="0"/>
          <w:numId w:val="10"/>
        </w:numPr>
        <w:tabs>
          <w:tab w:val="clear" w:pos="2550"/>
          <w:tab w:val="left" w:pos="1134"/>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134" w:hanging="283"/>
        <w:rPr>
          <w:spacing w:val="-3"/>
          <w:sz w:val="24"/>
          <w:szCs w:val="24"/>
          <w:lang w:eastAsia="da-DK"/>
        </w:rPr>
      </w:pPr>
      <w:r w:rsidRPr="00845C60">
        <w:rPr>
          <w:spacing w:val="-3"/>
          <w:sz w:val="24"/>
          <w:szCs w:val="24"/>
          <w:lang w:eastAsia="da-DK"/>
        </w:rPr>
        <w:t>personlig eller familiær anamnese med arvelige muskelsygdomme</w:t>
      </w:r>
    </w:p>
    <w:p w:rsidR="001A1784" w:rsidRPr="00845C60" w:rsidRDefault="001A1784" w:rsidP="001A1784">
      <w:pPr>
        <w:numPr>
          <w:ilvl w:val="0"/>
          <w:numId w:val="10"/>
        </w:numPr>
        <w:tabs>
          <w:tab w:val="clear" w:pos="2550"/>
          <w:tab w:val="left" w:pos="1134"/>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134" w:hanging="283"/>
        <w:rPr>
          <w:spacing w:val="-3"/>
          <w:sz w:val="24"/>
          <w:szCs w:val="24"/>
          <w:lang w:eastAsia="da-DK"/>
        </w:rPr>
      </w:pPr>
      <w:r w:rsidRPr="00845C60">
        <w:rPr>
          <w:spacing w:val="-3"/>
          <w:sz w:val="24"/>
          <w:szCs w:val="24"/>
          <w:lang w:eastAsia="da-DK"/>
        </w:rPr>
        <w:t>tidligere muskeltoksicitet med statin eller fibrat</w:t>
      </w:r>
    </w:p>
    <w:p w:rsidR="001A1784" w:rsidRPr="00845C60" w:rsidRDefault="001A1784" w:rsidP="001A1784">
      <w:pPr>
        <w:numPr>
          <w:ilvl w:val="0"/>
          <w:numId w:val="10"/>
        </w:numPr>
        <w:tabs>
          <w:tab w:val="clear" w:pos="2550"/>
          <w:tab w:val="left" w:pos="1134"/>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134" w:hanging="283"/>
        <w:rPr>
          <w:spacing w:val="-3"/>
          <w:sz w:val="24"/>
          <w:szCs w:val="24"/>
          <w:lang w:eastAsia="da-DK"/>
        </w:rPr>
      </w:pPr>
      <w:r w:rsidRPr="00845C60">
        <w:rPr>
          <w:spacing w:val="-3"/>
          <w:sz w:val="24"/>
          <w:szCs w:val="24"/>
          <w:lang w:eastAsia="da-DK"/>
        </w:rPr>
        <w:t>leversygdom i anamnesen og/eller indtagelse af store mængder alkohol</w:t>
      </w:r>
    </w:p>
    <w:p w:rsidR="001A1784" w:rsidRPr="00845C60" w:rsidRDefault="001A1784" w:rsidP="001A1784">
      <w:pPr>
        <w:numPr>
          <w:ilvl w:val="0"/>
          <w:numId w:val="10"/>
        </w:numPr>
        <w:tabs>
          <w:tab w:val="clear" w:pos="2550"/>
          <w:tab w:val="left" w:pos="1134"/>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134" w:hanging="283"/>
        <w:rPr>
          <w:spacing w:val="-3"/>
          <w:sz w:val="24"/>
          <w:szCs w:val="24"/>
          <w:lang w:eastAsia="da-DK"/>
        </w:rPr>
      </w:pPr>
      <w:r w:rsidRPr="00845C60">
        <w:rPr>
          <w:spacing w:val="-3"/>
          <w:sz w:val="24"/>
          <w:szCs w:val="24"/>
          <w:lang w:eastAsia="da-DK"/>
        </w:rPr>
        <w:t>hos ældre (alder &gt;70 år), skal nødvendigheden af en sådan måling overvejes alt efter tilstedeværelse af andre prædisponerende faktorer for rabdomyolyse.</w:t>
      </w:r>
    </w:p>
    <w:p w:rsidR="001A1784" w:rsidRPr="00845C60" w:rsidRDefault="001A1784" w:rsidP="001A1784">
      <w:pPr>
        <w:numPr>
          <w:ilvl w:val="0"/>
          <w:numId w:val="10"/>
        </w:numPr>
        <w:tabs>
          <w:tab w:val="clear" w:pos="2550"/>
          <w:tab w:val="left" w:pos="1134"/>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134" w:hanging="283"/>
        <w:rPr>
          <w:spacing w:val="-3"/>
          <w:sz w:val="24"/>
          <w:szCs w:val="24"/>
          <w:lang w:eastAsia="da-DK"/>
        </w:rPr>
      </w:pPr>
      <w:r w:rsidRPr="00845C60">
        <w:rPr>
          <w:spacing w:val="-3"/>
          <w:sz w:val="24"/>
          <w:szCs w:val="24"/>
          <w:lang w:eastAsia="da-DK"/>
        </w:rPr>
        <w:t>tilstande hvor en øgning af plasmakoncentrationen kan forekomme, f.eks. ved risiko for interaktioner (se pkt. 4.5) og hos særlige populationer, herunder genetiske subpopulationer (se pkt. 5.2).</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45C60">
        <w:rPr>
          <w:spacing w:val="-3"/>
          <w:sz w:val="24"/>
          <w:szCs w:val="24"/>
          <w:lang w:eastAsia="da-DK"/>
        </w:rPr>
        <w:t>I sådanne tilfælde skal risikoen ved behandlingen vurderes i forhold til den mulige fordel, og klinisk monitorering anbefales.</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45C60">
        <w:rPr>
          <w:spacing w:val="-3"/>
          <w:sz w:val="24"/>
          <w:szCs w:val="24"/>
          <w:lang w:eastAsia="da-DK"/>
        </w:rPr>
        <w:t>Hvis CK-værdien er signifikant forhøjet (&gt;5 gange den øvre referenceværdi) ved baseline, bør behandlingen ikke startes.</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i/>
          <w:spacing w:val="-3"/>
          <w:sz w:val="24"/>
          <w:szCs w:val="24"/>
          <w:lang w:eastAsia="da-DK"/>
        </w:rPr>
      </w:pPr>
      <w:r w:rsidRPr="00845C60">
        <w:rPr>
          <w:i/>
          <w:spacing w:val="-3"/>
          <w:sz w:val="24"/>
          <w:szCs w:val="24"/>
          <w:lang w:eastAsia="da-DK"/>
        </w:rPr>
        <w:t>Kreatinkinase (CK-måling)</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45C60">
        <w:rPr>
          <w:spacing w:val="-3"/>
          <w:sz w:val="24"/>
          <w:szCs w:val="24"/>
          <w:lang w:eastAsia="da-DK"/>
        </w:rPr>
        <w:t>CK bør ikke måles efter kraftig, fysisk anstrengelse, eller hvis der er en anden grund til, at CK kan være forhøjet, da det vanskeliggør fortolkningen af værdien. Hvis CK-værdien er signifikant forhøjet ved baseline (&gt;5 gange den øvre referenceværdi), bør den måles igen inden for 5-7 dage for at bekræfte resultatet.</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i/>
          <w:spacing w:val="-3"/>
          <w:sz w:val="24"/>
          <w:szCs w:val="24"/>
          <w:lang w:eastAsia="da-DK"/>
        </w:rPr>
      </w:pPr>
      <w:r w:rsidRPr="00845C60">
        <w:rPr>
          <w:i/>
          <w:spacing w:val="-3"/>
          <w:sz w:val="24"/>
          <w:szCs w:val="24"/>
          <w:lang w:eastAsia="da-DK"/>
        </w:rPr>
        <w:tab/>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845C60">
        <w:rPr>
          <w:i/>
          <w:spacing w:val="-3"/>
          <w:sz w:val="24"/>
          <w:szCs w:val="24"/>
          <w:lang w:eastAsia="da-DK"/>
        </w:rPr>
        <w:t>Under behandlingen</w:t>
      </w:r>
    </w:p>
    <w:p w:rsidR="001A1784" w:rsidRPr="00845C60" w:rsidRDefault="001A1784" w:rsidP="001A1784">
      <w:pPr>
        <w:numPr>
          <w:ilvl w:val="0"/>
          <w:numId w:val="11"/>
        </w:numPr>
        <w:tabs>
          <w:tab w:val="left" w:pos="1134"/>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134" w:hanging="283"/>
        <w:outlineLvl w:val="0"/>
        <w:rPr>
          <w:spacing w:val="-3"/>
          <w:sz w:val="24"/>
          <w:szCs w:val="24"/>
          <w:lang w:eastAsia="da-DK"/>
        </w:rPr>
      </w:pPr>
      <w:r w:rsidRPr="00845C60">
        <w:rPr>
          <w:spacing w:val="-3"/>
          <w:sz w:val="24"/>
          <w:szCs w:val="24"/>
          <w:lang w:eastAsia="da-DK"/>
        </w:rPr>
        <w:t xml:space="preserve">Patienter skal opfordres til omgående at rapportere muskelsmerter, -kramper eller </w:t>
      </w:r>
      <w:r w:rsidRPr="00845C60">
        <w:rPr>
          <w:spacing w:val="-3"/>
          <w:sz w:val="24"/>
          <w:szCs w:val="24"/>
          <w:lang w:eastAsia="da-DK"/>
        </w:rPr>
        <w:noBreakHyphen/>
        <w:t>svaghed, især hvis disse er ledsaget af utilpashed eller feber.</w:t>
      </w:r>
    </w:p>
    <w:p w:rsidR="001A1784" w:rsidRPr="00845C60" w:rsidRDefault="001A1784" w:rsidP="001A1784">
      <w:pPr>
        <w:numPr>
          <w:ilvl w:val="0"/>
          <w:numId w:val="11"/>
        </w:numPr>
        <w:tabs>
          <w:tab w:val="left" w:pos="1134"/>
          <w:tab w:val="left" w:pos="1701"/>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134" w:hanging="283"/>
        <w:rPr>
          <w:spacing w:val="-3"/>
          <w:sz w:val="24"/>
          <w:szCs w:val="24"/>
          <w:lang w:eastAsia="da-DK"/>
        </w:rPr>
      </w:pPr>
      <w:r w:rsidRPr="00845C60">
        <w:rPr>
          <w:spacing w:val="-3"/>
          <w:sz w:val="24"/>
          <w:szCs w:val="24"/>
          <w:lang w:eastAsia="da-DK"/>
        </w:rPr>
        <w:t>Hvis sådanne symptomer opstår under behandling med atorvastatin, skal CK-værdien måles. Hvis denne værdi er signifikant forhøjet (&gt;5 gange den øvre referenceværdi), bør behandlingen stoppes.</w:t>
      </w:r>
    </w:p>
    <w:p w:rsidR="001A1784" w:rsidRPr="00845C60" w:rsidRDefault="001A1784" w:rsidP="001A1784">
      <w:pPr>
        <w:numPr>
          <w:ilvl w:val="0"/>
          <w:numId w:val="11"/>
        </w:numPr>
        <w:tabs>
          <w:tab w:val="left" w:pos="1134"/>
          <w:tab w:val="left" w:pos="1701"/>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134" w:hanging="283"/>
        <w:rPr>
          <w:spacing w:val="-3"/>
          <w:sz w:val="24"/>
          <w:szCs w:val="24"/>
          <w:lang w:eastAsia="da-DK"/>
        </w:rPr>
      </w:pPr>
      <w:r w:rsidRPr="00845C60">
        <w:rPr>
          <w:spacing w:val="-3"/>
          <w:sz w:val="24"/>
          <w:szCs w:val="24"/>
          <w:lang w:eastAsia="da-DK"/>
        </w:rPr>
        <w:t xml:space="preserve">Hvis muskelsymptomer er svære og foranlediger daglig ubehag, bør seponering af behandlingen overvejes, selvom CK-værdien er forhøjet til </w:t>
      </w:r>
      <w:r w:rsidRPr="00845C60">
        <w:rPr>
          <w:spacing w:val="-3"/>
          <w:sz w:val="24"/>
          <w:szCs w:val="24"/>
          <w:lang w:eastAsia="da-DK"/>
        </w:rPr>
        <w:sym w:font="Symbol" w:char="F0A3"/>
      </w:r>
      <w:r w:rsidRPr="00845C60">
        <w:rPr>
          <w:spacing w:val="-3"/>
          <w:sz w:val="24"/>
          <w:szCs w:val="24"/>
          <w:lang w:eastAsia="da-DK"/>
        </w:rPr>
        <w:t>5 gange den øvre referenceværdi.</w:t>
      </w:r>
    </w:p>
    <w:p w:rsidR="001A1784" w:rsidRPr="00845C60" w:rsidRDefault="001A1784" w:rsidP="001A1784">
      <w:pPr>
        <w:numPr>
          <w:ilvl w:val="0"/>
          <w:numId w:val="11"/>
        </w:numPr>
        <w:tabs>
          <w:tab w:val="left" w:pos="1134"/>
          <w:tab w:val="left" w:pos="1701"/>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134" w:hanging="283"/>
        <w:rPr>
          <w:spacing w:val="-3"/>
          <w:sz w:val="24"/>
          <w:szCs w:val="24"/>
          <w:lang w:eastAsia="da-DK"/>
        </w:rPr>
      </w:pPr>
      <w:r w:rsidRPr="00845C60">
        <w:rPr>
          <w:spacing w:val="-3"/>
          <w:sz w:val="24"/>
          <w:szCs w:val="24"/>
          <w:lang w:eastAsia="da-DK"/>
        </w:rPr>
        <w:t>Hvis symptomerne forsvinder, og CK-værdien normaliseres, bør re-introduktion af atorvastatin eller introduktion af anden statinbehandling overvejes, idet der gives laveste dosis og monitoreres tæt.</w:t>
      </w:r>
    </w:p>
    <w:p w:rsidR="001A1784" w:rsidRPr="00845C60" w:rsidRDefault="001A1784" w:rsidP="001A1784">
      <w:pPr>
        <w:numPr>
          <w:ilvl w:val="0"/>
          <w:numId w:val="11"/>
        </w:numPr>
        <w:tabs>
          <w:tab w:val="left" w:pos="1134"/>
          <w:tab w:val="left" w:pos="1701"/>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134" w:hanging="283"/>
        <w:rPr>
          <w:spacing w:val="-3"/>
          <w:sz w:val="24"/>
          <w:szCs w:val="24"/>
          <w:lang w:eastAsia="da-DK"/>
        </w:rPr>
      </w:pPr>
      <w:r w:rsidRPr="00845C60">
        <w:rPr>
          <w:spacing w:val="-3"/>
          <w:sz w:val="24"/>
          <w:szCs w:val="24"/>
          <w:lang w:eastAsia="da-DK"/>
        </w:rPr>
        <w:t>Atorvastatin skal seponeres ved klinisk signifikant stigning i CK-værdien (&gt;10 gange den øvre referenceværdi), hvis der er mistanke om rabdomyolyse, eller hvis rabdomyolyse diagnosticeres.</w:t>
      </w:r>
    </w:p>
    <w:p w:rsidR="001A1784" w:rsidRPr="00845C60" w:rsidRDefault="001A1784" w:rsidP="001A1784">
      <w:pPr>
        <w:tabs>
          <w:tab w:val="left" w:pos="851"/>
          <w:tab w:val="left" w:pos="1701"/>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45C60"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u w:val="single"/>
          <w:lang w:eastAsia="da-DK"/>
        </w:rPr>
      </w:pPr>
      <w:r w:rsidRPr="00845C60">
        <w:rPr>
          <w:spacing w:val="-3"/>
          <w:sz w:val="24"/>
          <w:szCs w:val="24"/>
          <w:u w:val="single"/>
          <w:lang w:eastAsia="da-DK"/>
        </w:rPr>
        <w:lastRenderedPageBreak/>
        <w:t>Samtidig behandling med andre lægemidler</w:t>
      </w:r>
    </w:p>
    <w:p w:rsidR="00F63265" w:rsidRDefault="00F63265" w:rsidP="00F63265">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Pr>
          <w:spacing w:val="-3"/>
          <w:sz w:val="24"/>
          <w:szCs w:val="24"/>
          <w:lang w:eastAsia="da-DK"/>
        </w:rPr>
        <w:t>Risikoen for rabdomyolyse er øget, hvis atorvastatin gives samtidig med visse lægemidler, som kan øge atorvastatins plasmakoncentration, såsom potente CYP3A4-hæmmere eller transportproteiner (f.eks. ciclosporin, telithromycin, clarithromycin, delavirdin, stiripentol, ketoconazol, voriconazol, itraconazol, posaconazol, letermovir og hiv-protease</w:t>
      </w:r>
      <w:r>
        <w:rPr>
          <w:spacing w:val="-3"/>
          <w:sz w:val="24"/>
          <w:szCs w:val="24"/>
          <w:lang w:eastAsia="da-DK"/>
        </w:rPr>
        <w:softHyphen/>
        <w:t>hæmmere, herunder ritonavir, lopinavir, atazanavir, indinavir og darunavir, tipranavir/ritonavir osv.). Risikoen for myopati kan også øges ved samtidig administration af gemfibrozil og andre fibrater, antivirale midler til behandling af hepatitis C (HCV) (</w:t>
      </w:r>
      <w:r w:rsidR="00F160D6">
        <w:rPr>
          <w:spacing w:val="-3"/>
          <w:sz w:val="24"/>
          <w:szCs w:val="24"/>
          <w:lang w:eastAsia="da-DK"/>
        </w:rPr>
        <w:t xml:space="preserve">f.eks. </w:t>
      </w:r>
      <w:r>
        <w:rPr>
          <w:spacing w:val="-3"/>
          <w:sz w:val="24"/>
          <w:szCs w:val="24"/>
          <w:lang w:eastAsia="da-DK"/>
        </w:rPr>
        <w:t>boceprevir, telaprevir, elbasvir/grazoprevir</w:t>
      </w:r>
      <w:r w:rsidR="00F160D6">
        <w:rPr>
          <w:spacing w:val="-3"/>
          <w:sz w:val="24"/>
          <w:szCs w:val="24"/>
          <w:lang w:eastAsia="da-DK"/>
        </w:rPr>
        <w:t>, ledipasvir/sofosbusvir</w:t>
      </w:r>
      <w:r>
        <w:rPr>
          <w:spacing w:val="-3"/>
          <w:sz w:val="24"/>
          <w:szCs w:val="24"/>
          <w:lang w:eastAsia="da-DK"/>
        </w:rPr>
        <w:t xml:space="preserve">) eryhtromycin, niacin eller ezetimibe. Alternative behandlinger (uden interaktion) bør overvejes i stedet for disse lægemidler, hvis det er muligt. </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45C60">
        <w:rPr>
          <w:spacing w:val="-3"/>
          <w:sz w:val="24"/>
          <w:szCs w:val="24"/>
          <w:lang w:eastAsia="da-DK"/>
        </w:rPr>
        <w:t>Hvis samtidig anvendelse af denne type medicin er nødvendig, skal fordele og risici ved samtidig behandling nøje overvejes. Der anbefales en lavere maksimaldosis af atorvastatin hos patienter, der får medicin, der øger atorvastatins plasmakoncentration. Derudover bør det overvejes at nedsætte initialdosis af atorvastatin, hvis der behandles samtidig med en potent CYP3A4-hæmmer, og passende klinisk monitorering af disse patienter anbefales (se pkt. 4.5).</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45C60">
        <w:rPr>
          <w:spacing w:val="-3"/>
          <w:sz w:val="24"/>
          <w:szCs w:val="24"/>
          <w:lang w:eastAsia="da-DK"/>
        </w:rPr>
        <w:t>Atorvastatin må ikke anvendes samtidig med systemiske formuleringer af fucidinsyre, eller inden for 7 dage efter endt behandling med fucidinsyre. Hos patienter, hvor systemisk behandling med fucidinsyre er nødvendig, skal statinbehandlingen seponeres under hele fucidinsyre</w:t>
      </w:r>
      <w:r w:rsidRPr="00845C60">
        <w:rPr>
          <w:spacing w:val="-3"/>
          <w:sz w:val="24"/>
          <w:szCs w:val="24"/>
          <w:lang w:eastAsia="da-DK"/>
        </w:rPr>
        <w:softHyphen/>
        <w:t>behandlingen. Der er set tilfælde af rabdomyolyse (nogle af disse fatale) hos patienter, der fik fucidinsyre og statiner samtidig (se pkt. 4.5). Patienter skal informeres om, at de øjeblikkeligt skal søge læge, hvis de oplever symptomer på muskelsvaghed, -smerte eller -ømhed.</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45C60">
        <w:rPr>
          <w:spacing w:val="-3"/>
          <w:sz w:val="24"/>
          <w:szCs w:val="24"/>
          <w:lang w:eastAsia="da-DK"/>
        </w:rPr>
        <w:t>Statinbehandling kan genoptages 7 dage efter den sidste dosis af fucidinsyre.</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D352D" w:rsidRDefault="001D352D" w:rsidP="001D352D">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845C60">
        <w:rPr>
          <w:spacing w:val="-3"/>
          <w:sz w:val="24"/>
          <w:szCs w:val="24"/>
          <w:lang w:eastAsia="da-DK"/>
        </w:rPr>
        <w:t>I særlige situationer, hvor forlænget systemisk behandling med fucidinsyre er nødvendig, f.eks. til behandling af svære infektioner, skal behovet for samtidig behandling med atorvastatin og fucidinsyre kun overvejes fra sag til sag og under tæt medicinsk overvågning.</w:t>
      </w:r>
    </w:p>
    <w:p w:rsidR="001D352D" w:rsidRDefault="001D352D" w:rsidP="001D352D">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D352D" w:rsidRPr="00845C60" w:rsidRDefault="001D352D" w:rsidP="001D352D">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015BEE">
        <w:rPr>
          <w:spacing w:val="-3"/>
          <w:sz w:val="24"/>
          <w:szCs w:val="24"/>
          <w:lang w:eastAsia="da-DK"/>
        </w:rPr>
        <w:t>Risikoen for myopati og/eller rabdomyolyse kan øges ved samtidig administration af HMG</w:t>
      </w:r>
      <w:r>
        <w:rPr>
          <w:spacing w:val="-3"/>
          <w:sz w:val="24"/>
          <w:szCs w:val="24"/>
          <w:lang w:eastAsia="da-DK"/>
        </w:rPr>
        <w:t>-</w:t>
      </w:r>
      <w:r w:rsidRPr="00015BEE">
        <w:rPr>
          <w:spacing w:val="-3"/>
          <w:sz w:val="24"/>
          <w:szCs w:val="24"/>
          <w:lang w:eastAsia="da-DK"/>
        </w:rPr>
        <w:t>CoA-reduktasehæmmere (f.eks. atorvastatin) og daptomycin (se pkt. 4.5). Det bør overvejes at seponere</w:t>
      </w:r>
      <w:r>
        <w:rPr>
          <w:spacing w:val="-3"/>
          <w:sz w:val="24"/>
          <w:szCs w:val="24"/>
          <w:lang w:eastAsia="da-DK"/>
        </w:rPr>
        <w:t xml:space="preserve"> Atorvastatin Accord</w:t>
      </w:r>
      <w:r w:rsidRPr="00015BEE">
        <w:rPr>
          <w:spacing w:val="-3"/>
          <w:sz w:val="24"/>
          <w:szCs w:val="24"/>
          <w:lang w:eastAsia="da-DK"/>
        </w:rPr>
        <w:t xml:space="preserve"> midlertidigt hos patienter, som tager daptomycin, medmindre fordelene ved samtidig administration opvejer risikoen. Hvis samtidig administration ikke kan undgås, skal CK-niveauer måles 2-3 gange om ugen, og patienterne skal overvåges nøje for tegn eller symptomer, der kan repræsentere myopati.</w:t>
      </w:r>
    </w:p>
    <w:p w:rsidR="001A1784" w:rsidRPr="00845C60" w:rsidRDefault="001A1784" w:rsidP="001A1784">
      <w:pPr>
        <w:suppressAutoHyphens/>
        <w:ind w:left="851"/>
        <w:rPr>
          <w:noProof/>
          <w:sz w:val="24"/>
          <w:szCs w:val="24"/>
          <w:u w:val="single"/>
          <w:lang w:eastAsia="da-DK"/>
        </w:rPr>
      </w:pPr>
    </w:p>
    <w:p w:rsidR="001A1784" w:rsidRPr="00845C60" w:rsidRDefault="001A1784" w:rsidP="001A1784">
      <w:pPr>
        <w:ind w:left="851"/>
        <w:rPr>
          <w:sz w:val="24"/>
          <w:szCs w:val="24"/>
          <w:u w:val="single"/>
          <w:lang w:eastAsia="da-DK"/>
        </w:rPr>
      </w:pPr>
      <w:r w:rsidRPr="00845C60">
        <w:rPr>
          <w:sz w:val="24"/>
          <w:szCs w:val="24"/>
          <w:u w:val="single"/>
          <w:lang w:eastAsia="da-DK"/>
        </w:rPr>
        <w:t>Interstitiel lungesygdom</w:t>
      </w:r>
    </w:p>
    <w:p w:rsidR="001A1784" w:rsidRPr="00845C60" w:rsidRDefault="001A1784" w:rsidP="001A1784">
      <w:pPr>
        <w:ind w:left="851"/>
        <w:rPr>
          <w:sz w:val="24"/>
          <w:szCs w:val="24"/>
          <w:lang w:eastAsia="da-DK"/>
        </w:rPr>
      </w:pPr>
      <w:r w:rsidRPr="00845C60">
        <w:rPr>
          <w:sz w:val="24"/>
          <w:szCs w:val="24"/>
          <w:lang w:eastAsia="da-DK"/>
        </w:rPr>
        <w:t>Meget sjældne tilfælde af interstitiel lungesygdom er blevet rapporteret ved brug af nogle statiner, særlig ved langtidsbrug (se pkt. 4.8). Symptomer kan inkludere dyspnø, tør hoste og forværring af den generelle helbredstilstand (træthed, vægttab og feber). Hvis der er mistanke om, at en patient har udviklet interstitiel lungesygdom, skal statinbehandlingen afbrydes.</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z w:val="24"/>
          <w:szCs w:val="24"/>
          <w:u w:val="single"/>
          <w:lang w:eastAsia="da-DK"/>
        </w:rPr>
      </w:pP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z w:val="24"/>
          <w:szCs w:val="24"/>
          <w:lang w:eastAsia="da-DK"/>
        </w:rPr>
      </w:pPr>
      <w:r w:rsidRPr="00845C60">
        <w:rPr>
          <w:sz w:val="24"/>
          <w:szCs w:val="24"/>
          <w:u w:val="single"/>
          <w:lang w:eastAsia="da-DK"/>
        </w:rPr>
        <w:t>Diabetes mellitus</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z w:val="24"/>
          <w:szCs w:val="24"/>
          <w:lang w:eastAsia="da-DK"/>
        </w:rPr>
      </w:pPr>
      <w:r w:rsidRPr="00845C60">
        <w:rPr>
          <w:sz w:val="24"/>
          <w:szCs w:val="24"/>
          <w:lang w:eastAsia="da-DK"/>
        </w:rPr>
        <w:t>Der er tegn på, at statiner kan øge blodsukkeret og hos nogle patienter med høj risiko for udvikling af diabetes, kan medføre en grad af hyperglykæmi, hvor egentlig diabetesbehandling er relevant. Denne risiko opvejes dog af statiners reduktion af den vaskulære risiko og bør derfor ikke være grund til seponering af statinbehandlingen. Risikopatienter (fasteglukose 5,6 til 6,9 mmol/l, BMI&gt; 30 kg/m</w:t>
      </w:r>
      <w:r w:rsidRPr="00845C60">
        <w:rPr>
          <w:sz w:val="24"/>
          <w:szCs w:val="24"/>
          <w:vertAlign w:val="superscript"/>
          <w:lang w:eastAsia="da-DK"/>
        </w:rPr>
        <w:t>2</w:t>
      </w:r>
      <w:r w:rsidRPr="00845C60">
        <w:rPr>
          <w:sz w:val="24"/>
          <w:szCs w:val="24"/>
          <w:lang w:eastAsia="da-DK"/>
        </w:rPr>
        <w:t xml:space="preserve">, forhøjede triglycerider, </w:t>
      </w:r>
      <w:r w:rsidRPr="00845C60">
        <w:rPr>
          <w:sz w:val="24"/>
          <w:szCs w:val="24"/>
          <w:lang w:eastAsia="da-DK"/>
        </w:rPr>
        <w:lastRenderedPageBreak/>
        <w:t>forhøjet blodtryk i anamnesen) bør monitoreres både klinisk og biokemisk i henhold til nationale retningslin</w:t>
      </w:r>
      <w:r w:rsidR="00F160D6">
        <w:rPr>
          <w:sz w:val="24"/>
          <w:szCs w:val="24"/>
          <w:lang w:eastAsia="da-DK"/>
        </w:rPr>
        <w:t>je</w:t>
      </w:r>
      <w:r w:rsidRPr="00845C60">
        <w:rPr>
          <w:sz w:val="24"/>
          <w:szCs w:val="24"/>
          <w:lang w:eastAsia="da-DK"/>
        </w:rPr>
        <w:t>r.</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z w:val="24"/>
          <w:szCs w:val="24"/>
          <w:lang w:eastAsia="da-DK"/>
        </w:rPr>
      </w:pPr>
    </w:p>
    <w:p w:rsidR="001A1784" w:rsidRPr="00845C60" w:rsidRDefault="001A1784" w:rsidP="001A1784">
      <w:pPr>
        <w:suppressAutoHyphens/>
        <w:ind w:left="851"/>
        <w:rPr>
          <w:noProof/>
          <w:sz w:val="24"/>
          <w:szCs w:val="24"/>
          <w:u w:val="single"/>
          <w:lang w:eastAsia="da-DK"/>
        </w:rPr>
      </w:pPr>
      <w:r w:rsidRPr="00845C60">
        <w:rPr>
          <w:noProof/>
          <w:sz w:val="24"/>
          <w:szCs w:val="24"/>
          <w:u w:val="single"/>
          <w:lang w:eastAsia="da-DK"/>
        </w:rPr>
        <w:t>Pædiatrisk population</w:t>
      </w:r>
    </w:p>
    <w:p w:rsidR="001A1784" w:rsidRPr="00845C60" w:rsidRDefault="001A1784" w:rsidP="001A1784">
      <w:pPr>
        <w:suppressAutoHyphens/>
        <w:ind w:left="851"/>
        <w:rPr>
          <w:spacing w:val="-3"/>
          <w:sz w:val="24"/>
          <w:szCs w:val="24"/>
          <w:lang w:eastAsia="da-DK"/>
        </w:rPr>
      </w:pPr>
      <w:r w:rsidRPr="00845C60">
        <w:rPr>
          <w:noProof/>
          <w:sz w:val="24"/>
          <w:szCs w:val="24"/>
          <w:lang w:eastAsia="da-DK"/>
        </w:rPr>
        <w:t>I et 3-årigt klinisk forsøg, der vurderede den overordnede modning og udvikling, Tanner stadie samt måling af højde og vægt, blev der ikke set nogen klinisk signifikant indvirken på vækst og seksuel modning (se pkt. 4.8).</w:t>
      </w:r>
    </w:p>
    <w:p w:rsidR="001A1784" w:rsidRPr="00845C60"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607969" w:rsidRPr="00607969" w:rsidRDefault="00607969" w:rsidP="00607969">
      <w:pPr>
        <w:tabs>
          <w:tab w:val="left" w:pos="851"/>
        </w:tabs>
        <w:ind w:left="851"/>
        <w:rPr>
          <w:spacing w:val="-3"/>
          <w:sz w:val="24"/>
          <w:szCs w:val="24"/>
          <w:u w:val="single"/>
          <w:lang w:eastAsia="da-DK"/>
        </w:rPr>
      </w:pPr>
      <w:r w:rsidRPr="00607969">
        <w:rPr>
          <w:spacing w:val="-3"/>
          <w:sz w:val="24"/>
          <w:szCs w:val="24"/>
          <w:u w:val="single"/>
          <w:lang w:eastAsia="da-DK"/>
        </w:rPr>
        <w:t>Hjælpestoffer</w:t>
      </w:r>
    </w:p>
    <w:p w:rsidR="00607969" w:rsidRPr="00607969" w:rsidRDefault="00607969" w:rsidP="00607969">
      <w:pPr>
        <w:tabs>
          <w:tab w:val="left" w:pos="851"/>
        </w:tabs>
        <w:ind w:left="851"/>
        <w:rPr>
          <w:b/>
          <w:bCs/>
          <w:spacing w:val="-3"/>
          <w:sz w:val="24"/>
          <w:szCs w:val="24"/>
          <w:lang w:eastAsia="da-DK"/>
        </w:rPr>
      </w:pPr>
      <w:r w:rsidRPr="00607969">
        <w:rPr>
          <w:b/>
          <w:bCs/>
          <w:spacing w:val="-3"/>
          <w:sz w:val="24"/>
          <w:szCs w:val="24"/>
          <w:lang w:eastAsia="da-DK"/>
        </w:rPr>
        <w:t>Atorvastatin "Accord" indeholder lactose.</w:t>
      </w:r>
      <w:bookmarkStart w:id="0" w:name="_GoBack"/>
      <w:bookmarkEnd w:id="0"/>
    </w:p>
    <w:p w:rsidR="00607969" w:rsidRPr="00607969" w:rsidRDefault="00607969" w:rsidP="00607969">
      <w:pPr>
        <w:tabs>
          <w:tab w:val="left" w:pos="851"/>
        </w:tabs>
        <w:ind w:left="851"/>
        <w:rPr>
          <w:spacing w:val="-3"/>
          <w:sz w:val="24"/>
          <w:szCs w:val="24"/>
          <w:lang w:eastAsia="da-DK"/>
        </w:rPr>
      </w:pPr>
      <w:r w:rsidRPr="00607969">
        <w:rPr>
          <w:spacing w:val="-3"/>
          <w:sz w:val="24"/>
          <w:szCs w:val="24"/>
          <w:lang w:eastAsia="da-DK"/>
        </w:rPr>
        <w:t>Bør ikke anvendes til patienter med hereditær galactoseintolerans, total lactasemangel eller glucose/galactosemalabsorption.</w:t>
      </w:r>
    </w:p>
    <w:p w:rsidR="00607969" w:rsidRPr="00607969" w:rsidRDefault="00607969" w:rsidP="00607969">
      <w:pPr>
        <w:tabs>
          <w:tab w:val="left" w:pos="851"/>
        </w:tabs>
        <w:ind w:left="851"/>
        <w:rPr>
          <w:spacing w:val="-3"/>
          <w:sz w:val="24"/>
          <w:szCs w:val="24"/>
          <w:lang w:eastAsia="da-DK"/>
        </w:rPr>
      </w:pPr>
    </w:p>
    <w:p w:rsidR="00607969" w:rsidRPr="00607969" w:rsidRDefault="00607969" w:rsidP="00607969">
      <w:pPr>
        <w:tabs>
          <w:tab w:val="left" w:pos="851"/>
        </w:tabs>
        <w:ind w:left="851"/>
        <w:rPr>
          <w:b/>
          <w:bCs/>
          <w:spacing w:val="-3"/>
          <w:sz w:val="24"/>
          <w:szCs w:val="24"/>
          <w:u w:val="single"/>
          <w:lang w:eastAsia="da-DK"/>
        </w:rPr>
      </w:pPr>
      <w:r w:rsidRPr="00607969">
        <w:rPr>
          <w:b/>
          <w:bCs/>
          <w:spacing w:val="-3"/>
          <w:sz w:val="24"/>
          <w:szCs w:val="24"/>
          <w:u w:val="single"/>
          <w:lang w:eastAsia="da-DK"/>
        </w:rPr>
        <w:t>Atorvastatin "Accord" indeholder natrium</w:t>
      </w:r>
    </w:p>
    <w:p w:rsidR="00607969" w:rsidRPr="00607969" w:rsidRDefault="00607969" w:rsidP="00607969">
      <w:pPr>
        <w:tabs>
          <w:tab w:val="left" w:pos="851"/>
        </w:tabs>
        <w:ind w:left="851"/>
        <w:rPr>
          <w:spacing w:val="-3"/>
          <w:sz w:val="24"/>
          <w:szCs w:val="24"/>
          <w:lang w:eastAsia="da-DK"/>
        </w:rPr>
      </w:pPr>
      <w:r w:rsidRPr="00607969">
        <w:rPr>
          <w:spacing w:val="-3"/>
          <w:sz w:val="24"/>
          <w:szCs w:val="24"/>
          <w:lang w:eastAsia="da-DK"/>
        </w:rPr>
        <w:t>Dette lægemiddel indeholder mindre end 1 mmol (23 mg) natrium pr. tablet, dvs. det er i det væsentlige natriumfrit.</w:t>
      </w:r>
    </w:p>
    <w:p w:rsidR="007F5EA7" w:rsidRPr="00C84483" w:rsidRDefault="007F5EA7" w:rsidP="007F5EA7">
      <w:pPr>
        <w:tabs>
          <w:tab w:val="left" w:pos="851"/>
        </w:tabs>
        <w:ind w:left="851"/>
        <w:rPr>
          <w:sz w:val="24"/>
          <w:szCs w:val="24"/>
        </w:rPr>
      </w:pPr>
    </w:p>
    <w:p w:rsidR="001A1784" w:rsidRPr="00F63265" w:rsidRDefault="001A1784" w:rsidP="00F6326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A1784" w:rsidRDefault="001A1784" w:rsidP="001A1784">
      <w:pPr>
        <w:tabs>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Pr>
          <w:spacing w:val="-3"/>
          <w:sz w:val="24"/>
          <w:szCs w:val="24"/>
          <w:u w:val="single"/>
          <w:lang w:eastAsia="da-DK"/>
        </w:rPr>
        <w:t>Andre lægemidlers påvirkning af atorvastatin</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Pr>
          <w:spacing w:val="-3"/>
          <w:sz w:val="24"/>
          <w:szCs w:val="24"/>
          <w:lang w:eastAsia="da-DK"/>
        </w:rPr>
        <w:t>Atorvastatin metaboliseres via cytokrom P450 3A4 (CYP3A4) og er et substrat for levertransportørerne, det organiske aniontransporterende polypeptid 1B1 (OATP1B1) og 1B3 (OATP1B</w:t>
      </w:r>
      <w:proofErr w:type="gramStart"/>
      <w:r>
        <w:rPr>
          <w:spacing w:val="-3"/>
          <w:sz w:val="24"/>
          <w:szCs w:val="24"/>
          <w:lang w:eastAsia="da-DK"/>
        </w:rPr>
        <w:t>3)-</w:t>
      </w:r>
      <w:proofErr w:type="gramEnd"/>
      <w:r>
        <w:rPr>
          <w:spacing w:val="-3"/>
          <w:sz w:val="24"/>
          <w:szCs w:val="24"/>
          <w:lang w:eastAsia="da-DK"/>
        </w:rPr>
        <w:t xml:space="preserve">transportøren. Metabolitter af atorvastatin er substrater for OATP1B1. Atorvastatin er også identificeret som et substrat for </w:t>
      </w:r>
      <w:r w:rsidR="00F160D6">
        <w:rPr>
          <w:spacing w:val="-3"/>
          <w:sz w:val="24"/>
          <w:szCs w:val="24"/>
          <w:lang w:eastAsia="da-DK"/>
        </w:rPr>
        <w:t xml:space="preserve">efflux-transportørerne P-glycoprotein (P-gp) </w:t>
      </w:r>
      <w:r>
        <w:rPr>
          <w:spacing w:val="-3"/>
          <w:sz w:val="24"/>
          <w:szCs w:val="24"/>
          <w:lang w:eastAsia="da-DK"/>
        </w:rPr>
        <w:t>og BCRP (</w:t>
      </w:r>
      <w:r>
        <w:rPr>
          <w:i/>
          <w:spacing w:val="-3"/>
          <w:sz w:val="24"/>
          <w:szCs w:val="24"/>
          <w:lang w:eastAsia="da-DK"/>
        </w:rPr>
        <w:t>breast cancer resistance protein 1</w:t>
      </w:r>
      <w:r>
        <w:rPr>
          <w:spacing w:val="-3"/>
          <w:sz w:val="24"/>
          <w:szCs w:val="24"/>
          <w:lang w:eastAsia="da-DK"/>
        </w:rPr>
        <w:t>), der kan begrænse den intestinale absorption og den biliære clearance af atorvastatin (se pkt. 5.2). Samtidig indgift af lægemidler, der hæmmer CYP3A4 eller transportproteiner, kan medføre forhøjede plasmakoncentrationer af atorva</w:t>
      </w:r>
      <w:r>
        <w:rPr>
          <w:spacing w:val="-3"/>
          <w:sz w:val="24"/>
          <w:szCs w:val="24"/>
          <w:lang w:eastAsia="da-DK"/>
        </w:rPr>
        <w:softHyphen/>
        <w:t xml:space="preserve">statin og øget risiko for myopati. Denne risiko kan også være øget ved samtidig behandling med atorvastatin og andre lægemidler, der kan forårsage myopati, f.eks. fibrater og ezetimibe (se pkt. </w:t>
      </w:r>
      <w:r w:rsidR="00F160D6">
        <w:rPr>
          <w:spacing w:val="-3"/>
          <w:sz w:val="24"/>
          <w:szCs w:val="24"/>
          <w:lang w:eastAsia="da-DK"/>
        </w:rPr>
        <w:t xml:space="preserve">4.3 og </w:t>
      </w:r>
      <w:r>
        <w:rPr>
          <w:spacing w:val="-3"/>
          <w:sz w:val="24"/>
          <w:szCs w:val="24"/>
          <w:lang w:eastAsia="da-DK"/>
        </w:rPr>
        <w:t>4.4).</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i/>
          <w:spacing w:val="-3"/>
          <w:sz w:val="24"/>
          <w:szCs w:val="24"/>
          <w:lang w:eastAsia="da-DK"/>
        </w:rPr>
      </w:pPr>
      <w:r>
        <w:rPr>
          <w:i/>
          <w:spacing w:val="-3"/>
          <w:sz w:val="24"/>
          <w:szCs w:val="24"/>
          <w:lang w:eastAsia="da-DK"/>
        </w:rPr>
        <w:t xml:space="preserve">CYP3A4-hæmmere </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Pr>
          <w:spacing w:val="-3"/>
          <w:sz w:val="24"/>
          <w:szCs w:val="24"/>
          <w:lang w:eastAsia="da-DK"/>
        </w:rPr>
        <w:t>Det er påvist, at potente CYP3A4-hæmmere kan medføre kraftigt forøgede koncentrationer af atorvastatin (se tabel 1 samt specifik information nedenfor). Samtidig behandling med potente CYP3A4-hæmmere (f.eks. ciclosporin, telithromycin, clarithromycin, delavirdin, stiripentol, ketoconazol, voriconazol, itraconazol, posaconazol visse antivirale midler, der anvendes i behandlingen af HCV (f.eks. elbasvir/grazoprevir), samt hiv-proteasehæmmere, herunder ritonavir, lopinavir, atanazavir, indinavir og darunavir m.fl.) bør så vidt muligt undgås. I tilfælde, hvor samtidig behandling med disse lægemidler og atorvastatin ikke kan undgås, skal lavere initial- og maksimaldoser af atorvastatin overvejes. Det anbefales desuden, at der foretages passende klinisk monitorering af patienten (se tabel 1).</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Pr>
          <w:spacing w:val="-3"/>
          <w:sz w:val="24"/>
          <w:szCs w:val="24"/>
          <w:lang w:eastAsia="da-DK"/>
        </w:rPr>
        <w:t>Moderate CYP3A4-hæmmere (f.eks. erythromycin, diltiazem, verapamil og fluconazol) kan øge plasmakoncentrationen af atorvastatin (se tabel 1). Der er set en øget risiko for myopati ved samtidig brug af erythromycin og statiner. Der er ikke udført interaktionsstudier, der vurderes virkningen af amiodaron eller verapamil på atorvastatin. Det er kendt, at både amiodaron og verapamil hæmmer CYP3A4, og samtidig indgift af atorvastatin kan resultere i forhøjede koncentrationer af atorvastatin. Ved samtidig behandling med moderate CYP3A4-hæmmere bør en lavere maksimaldosis af atorvastatin derfor overvejes, og passende klinisk monitorering af patienten anbefales. Passende klinisk monitorering anbefales efter initiering af behandling eller efter dosisjustering af en CYP3A4-hæmmer.</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i/>
          <w:spacing w:val="-3"/>
          <w:sz w:val="24"/>
          <w:szCs w:val="24"/>
          <w:u w:val="single"/>
          <w:lang w:eastAsia="da-DK"/>
        </w:rPr>
      </w:pP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i/>
          <w:spacing w:val="-3"/>
          <w:sz w:val="24"/>
          <w:szCs w:val="24"/>
          <w:lang w:eastAsia="da-DK"/>
        </w:rPr>
      </w:pPr>
      <w:r>
        <w:rPr>
          <w:i/>
          <w:spacing w:val="-3"/>
          <w:sz w:val="24"/>
          <w:szCs w:val="24"/>
          <w:lang w:eastAsia="da-DK"/>
        </w:rPr>
        <w:lastRenderedPageBreak/>
        <w:t xml:space="preserve">CYP3A4-induktorer </w:t>
      </w:r>
    </w:p>
    <w:p w:rsidR="001A1784" w:rsidRDefault="001A1784" w:rsidP="001A1784">
      <w:pPr>
        <w:ind w:left="851"/>
        <w:rPr>
          <w:bCs/>
          <w:sz w:val="24"/>
          <w:szCs w:val="24"/>
          <w:lang w:eastAsia="da-DK"/>
        </w:rPr>
      </w:pPr>
      <w:r>
        <w:rPr>
          <w:sz w:val="24"/>
          <w:szCs w:val="24"/>
          <w:lang w:eastAsia="da-DK"/>
        </w:rPr>
        <w:t>Samtidig anvendelse af atorvastatin og cytokrom P450 3A-induktorer (f.eks. efavirenz, rifampicin, perikon) kan medføre variable reduktioner i atorvastatins plasmakoncentration. På grund af rifampicins dualinteraktionsmekanisme (cytochrom P450 3A-induktion og hæmning af transportproteinet OATP1B1 i leveren) anbefales indtagelse af atorvastatin og rifampicin på samme tid, da udskudt administration af atorvastatin i forhold til admini</w:t>
      </w:r>
      <w:r>
        <w:rPr>
          <w:sz w:val="24"/>
          <w:szCs w:val="24"/>
          <w:lang w:eastAsia="da-DK"/>
        </w:rPr>
        <w:softHyphen/>
        <w:t>stration af rifampicin har været forbundet med en signifikant reduktion i atorvastatins plasma</w:t>
      </w:r>
      <w:r>
        <w:rPr>
          <w:sz w:val="24"/>
          <w:szCs w:val="24"/>
          <w:lang w:eastAsia="da-DK"/>
        </w:rPr>
        <w:softHyphen/>
        <w:t>koncentration. Virkningen af rifampicin på atorvastatinkoncentrationen i hepato</w:t>
      </w:r>
      <w:r>
        <w:rPr>
          <w:sz w:val="24"/>
          <w:szCs w:val="24"/>
          <w:lang w:eastAsia="da-DK"/>
        </w:rPr>
        <w:softHyphen/>
        <w:t>cytter er derimod ukendt, og hvis samtidig behandling ikke kan undgås, bør patienterne monitoreres nøje for effekt.</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b/>
          <w:spacing w:val="-3"/>
          <w:sz w:val="24"/>
          <w:szCs w:val="24"/>
          <w:lang w:eastAsia="da-DK"/>
        </w:rPr>
      </w:pPr>
    </w:p>
    <w:p w:rsidR="00F160D6" w:rsidRDefault="00F160D6" w:rsidP="00F160D6">
      <w:pPr>
        <w:keepNext/>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i/>
          <w:spacing w:val="-3"/>
          <w:sz w:val="24"/>
          <w:szCs w:val="24"/>
          <w:lang w:eastAsia="da-DK"/>
        </w:rPr>
      </w:pPr>
      <w:r>
        <w:rPr>
          <w:i/>
          <w:spacing w:val="-3"/>
          <w:sz w:val="24"/>
          <w:szCs w:val="24"/>
          <w:lang w:eastAsia="da-DK"/>
        </w:rPr>
        <w:t xml:space="preserve">Transporter-hæmmere </w:t>
      </w:r>
    </w:p>
    <w:p w:rsidR="00F160D6" w:rsidRDefault="00F160D6" w:rsidP="00F160D6">
      <w:pPr>
        <w:ind w:left="851"/>
        <w:rPr>
          <w:spacing w:val="-3"/>
          <w:sz w:val="24"/>
          <w:szCs w:val="24"/>
          <w:lang w:eastAsia="da-DK"/>
        </w:rPr>
      </w:pPr>
      <w:r>
        <w:rPr>
          <w:spacing w:val="-3"/>
          <w:sz w:val="24"/>
          <w:szCs w:val="24"/>
          <w:lang w:eastAsia="da-DK"/>
        </w:rPr>
        <w:t>Hæmmere af transportproteiner kan øge den systemiske atorvastatineksponering. Ciclosporin og letermovir er begge hæmmere af de transportproteiner, der sørger for fordelingen af atorvastatin, f.eks. OATP1B1/1B3, P-gp og BCRP, hvilket fører til en øget systemisk eksponering af atorvastatin (se tabel 1). Det er ukendt, hvordan hæmning af transportproteiner i leveren påvirker eksponeringen for atorvastatin i hepatocytter. Hvis samtidig behandling ikke kan undgås, anbefales dosisreduktion og klinisk monitorering for effekt (se tabel 1).</w:t>
      </w:r>
    </w:p>
    <w:p w:rsidR="00F63265" w:rsidRDefault="00F63265" w:rsidP="00F63265">
      <w:pPr>
        <w:ind w:left="851"/>
        <w:rPr>
          <w:spacing w:val="-3"/>
          <w:sz w:val="24"/>
          <w:szCs w:val="24"/>
          <w:lang w:eastAsia="da-DK"/>
        </w:rPr>
      </w:pPr>
    </w:p>
    <w:p w:rsidR="00F63265" w:rsidRDefault="00F63265" w:rsidP="00F63265">
      <w:pPr>
        <w:ind w:left="851"/>
        <w:rPr>
          <w:spacing w:val="-3"/>
          <w:sz w:val="24"/>
          <w:szCs w:val="24"/>
          <w:lang w:eastAsia="da-DK"/>
        </w:rPr>
      </w:pPr>
      <w:r>
        <w:rPr>
          <w:spacing w:val="-3"/>
          <w:sz w:val="24"/>
          <w:szCs w:val="24"/>
          <w:lang w:eastAsia="da-DK"/>
        </w:rPr>
        <w:t>Atorvastatin anbefales ikke til patienter, der er i behandling med letermovir samtidigt med ciclosporin (se pkt. 4.4).</w:t>
      </w:r>
    </w:p>
    <w:p w:rsidR="001A1784" w:rsidRDefault="001A1784" w:rsidP="001A1784">
      <w:pPr>
        <w:ind w:left="851"/>
        <w:rPr>
          <w:spacing w:val="-3"/>
          <w:sz w:val="24"/>
          <w:szCs w:val="24"/>
          <w:lang w:eastAsia="da-DK"/>
        </w:rPr>
      </w:pPr>
    </w:p>
    <w:p w:rsidR="001A1784" w:rsidRDefault="001A1784" w:rsidP="001A1784">
      <w:pPr>
        <w:ind w:left="851"/>
        <w:rPr>
          <w:i/>
          <w:spacing w:val="-3"/>
          <w:sz w:val="24"/>
          <w:szCs w:val="24"/>
          <w:lang w:eastAsia="da-DK"/>
        </w:rPr>
      </w:pPr>
      <w:r>
        <w:rPr>
          <w:i/>
          <w:spacing w:val="-3"/>
          <w:sz w:val="24"/>
          <w:szCs w:val="24"/>
          <w:lang w:eastAsia="da-DK"/>
        </w:rPr>
        <w:t xml:space="preserve">Gemfibrozil/fibrater </w:t>
      </w:r>
    </w:p>
    <w:p w:rsidR="001A1784" w:rsidRDefault="001A1784" w:rsidP="001A1784">
      <w:pPr>
        <w:ind w:left="851"/>
        <w:rPr>
          <w:sz w:val="24"/>
          <w:szCs w:val="24"/>
          <w:u w:val="single"/>
          <w:lang w:eastAsia="da-DK"/>
        </w:rPr>
      </w:pPr>
      <w:r>
        <w:rPr>
          <w:spacing w:val="-3"/>
          <w:sz w:val="24"/>
          <w:szCs w:val="24"/>
          <w:lang w:eastAsia="da-DK"/>
        </w:rPr>
        <w:t xml:space="preserve">Monoterapi med fibrater kan i sjældne tilfælde være forbundet med muskelrelaterede </w:t>
      </w:r>
      <w:r>
        <w:rPr>
          <w:sz w:val="24"/>
          <w:szCs w:val="24"/>
          <w:u w:val="single"/>
          <w:lang w:eastAsia="da-DK"/>
        </w:rPr>
        <w:t>bivirkninger, herunder rabdomyolyse. Risikoen for disse bivirkninger kan øges ved samtidig brug af fibrater og atorvastatin. Hvis samtidig behandling ikke kan undgås, skal den lavest mulig atorvastatindosis anvendes, og patienten bør monitoreres passende (se pkt. 4.4).</w:t>
      </w:r>
    </w:p>
    <w:p w:rsidR="001A1784" w:rsidRDefault="001A1784" w:rsidP="001A1784">
      <w:pPr>
        <w:ind w:left="851"/>
        <w:rPr>
          <w:sz w:val="24"/>
          <w:szCs w:val="24"/>
          <w:u w:val="single"/>
          <w:lang w:eastAsia="da-DK"/>
        </w:rPr>
      </w:pPr>
    </w:p>
    <w:p w:rsidR="001A1784" w:rsidRDefault="001A1784" w:rsidP="001A1784">
      <w:pPr>
        <w:ind w:left="851"/>
        <w:outlineLvl w:val="0"/>
        <w:rPr>
          <w:i/>
          <w:sz w:val="24"/>
          <w:szCs w:val="24"/>
          <w:lang w:eastAsia="da-DK"/>
        </w:rPr>
      </w:pPr>
      <w:r>
        <w:rPr>
          <w:i/>
          <w:sz w:val="24"/>
          <w:szCs w:val="24"/>
          <w:lang w:eastAsia="da-DK"/>
        </w:rPr>
        <w:t>Ezetimibe</w:t>
      </w:r>
    </w:p>
    <w:p w:rsidR="001A1784" w:rsidRDefault="001A1784" w:rsidP="001A1784">
      <w:pPr>
        <w:ind w:left="851"/>
        <w:rPr>
          <w:spacing w:val="-3"/>
          <w:sz w:val="24"/>
          <w:szCs w:val="24"/>
          <w:lang w:eastAsia="da-DK"/>
        </w:rPr>
      </w:pPr>
      <w:r>
        <w:rPr>
          <w:sz w:val="24"/>
          <w:szCs w:val="24"/>
          <w:lang w:eastAsia="da-DK"/>
        </w:rPr>
        <w:t xml:space="preserve">Monoterapi med ezetimibe er forbundet med </w:t>
      </w:r>
      <w:r>
        <w:rPr>
          <w:spacing w:val="-3"/>
          <w:sz w:val="24"/>
          <w:szCs w:val="24"/>
          <w:lang w:eastAsia="da-DK"/>
        </w:rPr>
        <w:t>muskelrelaterede bivirkninger, herunder rabdomyolyse. Risikoen for disse bivirkninger kan øges ved samtidig brug af ezetimibe og atorvastatin. Passende klinisk monitorering af disse patienter anbefales.</w:t>
      </w:r>
    </w:p>
    <w:p w:rsidR="001A1784" w:rsidRDefault="001A1784" w:rsidP="001A1784">
      <w:pPr>
        <w:ind w:left="851"/>
        <w:rPr>
          <w:spacing w:val="-3"/>
          <w:sz w:val="24"/>
          <w:szCs w:val="24"/>
          <w:lang w:eastAsia="da-DK"/>
        </w:rPr>
      </w:pPr>
    </w:p>
    <w:p w:rsidR="001A1784" w:rsidRDefault="001A1784" w:rsidP="001A1784">
      <w:pPr>
        <w:ind w:left="851"/>
        <w:rPr>
          <w:i/>
          <w:spacing w:val="-3"/>
          <w:sz w:val="24"/>
          <w:szCs w:val="24"/>
          <w:lang w:eastAsia="da-DK"/>
        </w:rPr>
      </w:pPr>
      <w:r>
        <w:rPr>
          <w:i/>
          <w:spacing w:val="-3"/>
          <w:sz w:val="24"/>
          <w:szCs w:val="24"/>
          <w:lang w:eastAsia="da-DK"/>
        </w:rPr>
        <w:t xml:space="preserve">Colestipol </w:t>
      </w:r>
    </w:p>
    <w:p w:rsidR="001A1784" w:rsidRDefault="001A1784" w:rsidP="001A1784">
      <w:pPr>
        <w:ind w:left="851"/>
        <w:rPr>
          <w:spacing w:val="-3"/>
          <w:sz w:val="24"/>
          <w:szCs w:val="24"/>
          <w:lang w:eastAsia="da-DK"/>
        </w:rPr>
      </w:pPr>
      <w:r>
        <w:rPr>
          <w:spacing w:val="-3"/>
          <w:sz w:val="24"/>
          <w:szCs w:val="24"/>
          <w:lang w:eastAsia="da-DK"/>
        </w:rPr>
        <w:t>Plasmakoncentrationerne af atorvastatin og dets aktive metabolitter var lavere (andel af atorvastatinkoncentrationen: 0,74), når colestipol blev indgivet sammen med atorvastatin.</w:t>
      </w:r>
    </w:p>
    <w:p w:rsidR="001A1784" w:rsidRDefault="001A1784" w:rsidP="001A1784">
      <w:pPr>
        <w:ind w:left="851"/>
        <w:rPr>
          <w:i/>
          <w:spacing w:val="-3"/>
          <w:sz w:val="24"/>
          <w:szCs w:val="24"/>
          <w:lang w:eastAsia="da-DK"/>
        </w:rPr>
      </w:pPr>
      <w:r>
        <w:rPr>
          <w:i/>
          <w:spacing w:val="-3"/>
          <w:sz w:val="24"/>
          <w:szCs w:val="24"/>
          <w:lang w:eastAsia="da-DK"/>
        </w:rPr>
        <w:t>Effekten på lipiderne var imidlertid større, når atorvastatin og colestipol blev indgivet samtidig, end hvis stofferne blev givet hver for sig.</w:t>
      </w:r>
    </w:p>
    <w:p w:rsidR="001A1784" w:rsidRDefault="001A1784" w:rsidP="001A1784">
      <w:pPr>
        <w:ind w:left="851"/>
        <w:rPr>
          <w:i/>
          <w:spacing w:val="-3"/>
          <w:sz w:val="24"/>
          <w:szCs w:val="24"/>
          <w:lang w:eastAsia="da-DK"/>
        </w:rPr>
      </w:pPr>
    </w:p>
    <w:p w:rsidR="001A1784" w:rsidRDefault="001A1784" w:rsidP="001A1784">
      <w:pPr>
        <w:ind w:left="851"/>
        <w:rPr>
          <w:i/>
          <w:spacing w:val="-3"/>
          <w:sz w:val="24"/>
          <w:szCs w:val="24"/>
          <w:lang w:eastAsia="da-DK"/>
        </w:rPr>
      </w:pPr>
      <w:r>
        <w:rPr>
          <w:i/>
          <w:spacing w:val="-3"/>
          <w:sz w:val="24"/>
          <w:szCs w:val="24"/>
          <w:lang w:eastAsia="da-DK"/>
        </w:rPr>
        <w:t>Fusidinsyre</w:t>
      </w:r>
    </w:p>
    <w:p w:rsidR="001A1784" w:rsidRDefault="001A1784" w:rsidP="001A1784">
      <w:pPr>
        <w:ind w:left="851"/>
        <w:rPr>
          <w:sz w:val="24"/>
          <w:szCs w:val="24"/>
          <w:lang w:eastAsia="da-DK"/>
        </w:rPr>
      </w:pPr>
      <w:r>
        <w:rPr>
          <w:spacing w:val="-3"/>
          <w:sz w:val="24"/>
          <w:szCs w:val="24"/>
          <w:lang w:eastAsia="da-DK"/>
        </w:rPr>
        <w:t>Der kan være forøget risiko for myopati, herunder rabdomyolyse, ved samtidig behandling med systemisk fucidinsyre og statiner. Mekanismen for denne interaktion (hvad enten det gælder farmakodynamik, farmakokinetik eller begge) er ukendt. Der er set tilfælde af rabdomyolyse (nogle af disse fatale) hos patienter, der fik denne kombination.</w:t>
      </w:r>
    </w:p>
    <w:p w:rsidR="001A1784" w:rsidRDefault="001A1784" w:rsidP="001A1784">
      <w:pPr>
        <w:ind w:left="851"/>
        <w:rPr>
          <w:spacing w:val="-3"/>
          <w:sz w:val="24"/>
          <w:szCs w:val="24"/>
          <w:lang w:eastAsia="da-DK"/>
        </w:rPr>
      </w:pPr>
      <w:r>
        <w:rPr>
          <w:sz w:val="24"/>
          <w:szCs w:val="24"/>
          <w:lang w:eastAsia="da-DK"/>
        </w:rPr>
        <w:t>Hvis behandling med systemisk fucidinsyre er nødvendig, skal behandling med atorvastatin seponeres under hele behandlingen med fucidinsyre (se pkt. 4.4).</w:t>
      </w:r>
    </w:p>
    <w:p w:rsidR="001A1784" w:rsidRDefault="001A1784" w:rsidP="001A1784">
      <w:pPr>
        <w:ind w:left="851"/>
        <w:rPr>
          <w:spacing w:val="-3"/>
          <w:sz w:val="24"/>
          <w:szCs w:val="24"/>
          <w:lang w:eastAsia="da-DK"/>
        </w:rPr>
      </w:pPr>
    </w:p>
    <w:p w:rsidR="001D352D" w:rsidRDefault="001D352D" w:rsidP="00F160D6">
      <w:pPr>
        <w:keepNext/>
        <w:ind w:left="851"/>
        <w:rPr>
          <w:i/>
          <w:spacing w:val="-3"/>
          <w:sz w:val="24"/>
          <w:szCs w:val="24"/>
          <w:lang w:eastAsia="da-DK"/>
        </w:rPr>
      </w:pPr>
      <w:r>
        <w:rPr>
          <w:i/>
          <w:spacing w:val="-3"/>
          <w:sz w:val="24"/>
          <w:szCs w:val="24"/>
          <w:lang w:eastAsia="da-DK"/>
        </w:rPr>
        <w:lastRenderedPageBreak/>
        <w:t>Colchicin</w:t>
      </w:r>
    </w:p>
    <w:p w:rsidR="001D352D" w:rsidRDefault="001D352D" w:rsidP="001D352D">
      <w:pPr>
        <w:ind w:left="851"/>
        <w:rPr>
          <w:spacing w:val="-3"/>
          <w:sz w:val="24"/>
          <w:szCs w:val="24"/>
          <w:lang w:eastAsia="da-DK"/>
        </w:rPr>
      </w:pPr>
      <w:r>
        <w:rPr>
          <w:spacing w:val="-3"/>
          <w:sz w:val="24"/>
          <w:szCs w:val="24"/>
          <w:lang w:eastAsia="da-DK"/>
        </w:rPr>
        <w:t>Selv om der ikke er udført interaktionsstudier med atorvastatin og colchicin, er der blevet rapporteret om tilfælde af myopati ved samtidig administration af atorvastatin og colchicin, og der skal udvises forsigtighed ved ordination af atorvastatin sammen med colchicin.</w:t>
      </w:r>
    </w:p>
    <w:p w:rsidR="001D352D" w:rsidRDefault="001D352D" w:rsidP="001D352D">
      <w:pPr>
        <w:ind w:left="851"/>
        <w:rPr>
          <w:spacing w:val="-3"/>
          <w:sz w:val="24"/>
          <w:szCs w:val="24"/>
          <w:lang w:eastAsia="da-DK"/>
        </w:rPr>
      </w:pPr>
    </w:p>
    <w:p w:rsidR="001D352D" w:rsidRDefault="001D352D" w:rsidP="001D352D">
      <w:pPr>
        <w:ind w:left="851"/>
        <w:rPr>
          <w:sz w:val="24"/>
          <w:szCs w:val="24"/>
          <w:lang w:eastAsia="da-DK"/>
        </w:rPr>
      </w:pPr>
      <w:r w:rsidRPr="00BC24C4">
        <w:rPr>
          <w:i/>
          <w:iCs/>
          <w:sz w:val="24"/>
          <w:szCs w:val="24"/>
          <w:lang w:eastAsia="da-DK"/>
        </w:rPr>
        <w:t>Daptomycin</w:t>
      </w:r>
      <w:r w:rsidRPr="00D008FA">
        <w:rPr>
          <w:sz w:val="24"/>
          <w:szCs w:val="24"/>
          <w:lang w:eastAsia="da-DK"/>
        </w:rPr>
        <w:t xml:space="preserve"> </w:t>
      </w:r>
      <w:r>
        <w:rPr>
          <w:sz w:val="24"/>
          <w:szCs w:val="24"/>
          <w:lang w:eastAsia="da-DK"/>
        </w:rPr>
        <w:br/>
      </w:r>
      <w:r w:rsidRPr="00D008FA">
        <w:rPr>
          <w:sz w:val="24"/>
          <w:szCs w:val="24"/>
          <w:lang w:eastAsia="da-DK"/>
        </w:rPr>
        <w:t>Der er blevet rapporteret om tilfælde af myopati og/eller rabdomyolyse ved samtidig administration af HMG-CoA-reduktasehæmmere (f.eks. atorvastatin) og daptomycin. Hvis samtidig administration ikke kan undgås, anbefales passende klinisk overvågning (se pkt. 4.4).</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b/>
          <w:spacing w:val="-3"/>
          <w:sz w:val="24"/>
          <w:szCs w:val="24"/>
          <w:lang w:eastAsia="da-DK"/>
        </w:rPr>
      </w:pP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Pr>
          <w:spacing w:val="-3"/>
          <w:sz w:val="24"/>
          <w:szCs w:val="24"/>
          <w:u w:val="single"/>
          <w:lang w:eastAsia="da-DK"/>
        </w:rPr>
        <w:t>Atorvastatins virkning på andre lægemidler</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i/>
          <w:spacing w:val="-3"/>
          <w:sz w:val="24"/>
          <w:szCs w:val="24"/>
          <w:lang w:eastAsia="da-DK"/>
        </w:rPr>
      </w:pP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i/>
          <w:spacing w:val="-3"/>
          <w:sz w:val="24"/>
          <w:szCs w:val="24"/>
          <w:lang w:eastAsia="da-DK"/>
        </w:rPr>
      </w:pPr>
      <w:r>
        <w:rPr>
          <w:i/>
          <w:spacing w:val="-3"/>
          <w:sz w:val="24"/>
          <w:szCs w:val="24"/>
          <w:lang w:eastAsia="da-DK"/>
        </w:rPr>
        <w:t xml:space="preserve">Digoxin </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Pr>
          <w:spacing w:val="-3"/>
          <w:sz w:val="24"/>
          <w:szCs w:val="24"/>
          <w:lang w:eastAsia="da-DK"/>
        </w:rPr>
        <w:t xml:space="preserve">Når multiple doser af digoxin og 10 mg atorvastatin blev givet samtidigt, blev </w:t>
      </w:r>
      <w:r>
        <w:rPr>
          <w:i/>
          <w:spacing w:val="-3"/>
          <w:sz w:val="24"/>
          <w:szCs w:val="24"/>
          <w:lang w:eastAsia="da-DK"/>
        </w:rPr>
        <w:t>steady state</w:t>
      </w:r>
      <w:r>
        <w:rPr>
          <w:spacing w:val="-3"/>
          <w:sz w:val="24"/>
          <w:szCs w:val="24"/>
          <w:lang w:eastAsia="da-DK"/>
        </w:rPr>
        <w:t xml:space="preserve"> plasmakoncentrationen af digoxin øget en smule. Patienter i digoxinbehandling bør monitoreres passende.</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b/>
          <w:spacing w:val="-3"/>
          <w:sz w:val="24"/>
          <w:szCs w:val="24"/>
          <w:lang w:eastAsia="da-DK"/>
        </w:rPr>
      </w:pP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i/>
          <w:spacing w:val="-3"/>
          <w:sz w:val="24"/>
          <w:szCs w:val="24"/>
          <w:lang w:eastAsia="da-DK"/>
        </w:rPr>
      </w:pPr>
      <w:r>
        <w:rPr>
          <w:i/>
          <w:spacing w:val="-3"/>
          <w:sz w:val="24"/>
          <w:szCs w:val="24"/>
          <w:lang w:eastAsia="da-DK"/>
        </w:rPr>
        <w:t xml:space="preserve">Orale kontraceptiva </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Pr>
          <w:spacing w:val="-3"/>
          <w:sz w:val="24"/>
          <w:szCs w:val="24"/>
          <w:lang w:eastAsia="da-DK"/>
        </w:rPr>
        <w:t>Samtidig anvendelse af atorvastatin og et oralt kontraceptivum medførte forhøjede plasma</w:t>
      </w:r>
      <w:r>
        <w:rPr>
          <w:spacing w:val="-3"/>
          <w:sz w:val="24"/>
          <w:szCs w:val="24"/>
          <w:lang w:eastAsia="da-DK"/>
        </w:rPr>
        <w:softHyphen/>
        <w:t xml:space="preserve">koncentrationer af norethisteron og ethinylestradiol. </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b/>
          <w:spacing w:val="-3"/>
          <w:sz w:val="24"/>
          <w:szCs w:val="24"/>
          <w:lang w:eastAsia="da-DK"/>
        </w:rPr>
      </w:pP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i/>
          <w:spacing w:val="-3"/>
          <w:sz w:val="24"/>
          <w:szCs w:val="24"/>
          <w:lang w:eastAsia="da-DK"/>
        </w:rPr>
      </w:pPr>
      <w:r>
        <w:rPr>
          <w:i/>
          <w:spacing w:val="-3"/>
          <w:sz w:val="24"/>
          <w:szCs w:val="24"/>
          <w:lang w:eastAsia="da-DK"/>
        </w:rPr>
        <w:t xml:space="preserve">Warfarin </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Pr>
          <w:spacing w:val="-3"/>
          <w:sz w:val="24"/>
          <w:szCs w:val="24"/>
          <w:lang w:eastAsia="da-DK"/>
        </w:rPr>
        <w:t>I et klinisk studie med patienter i kronisk warfarinbehandling forårsagede samtidig behandling med 80 mg atorvastatin daglig en lille stigning på omkring 1,7 sekunder i protrombintid i løbet af de første 4 dage af behandlingen. Protrombintid blev normal igen inden for 15 dage af atorvastatinbehandlingen. Selvom der kun er set meget sjældne tilfælde af klinisk signifikante interaktioner med antikoagulantia, bør protrombintid bestemmes inden atorvastatinbehandling igangsættes hos patienter, der tager coumarin-antikoagulantia, samt tilstrækkeligt hyppigt i starten af behandlingen til at sikre, at der ikke forekommer signifikant ændring i protrombintid. Når der er opnået en stabil protrombintid, kan protrombintiden måles med de intervaller, der normalt anbefales for patienter på coumarin-antikoagulantia. Hvis atorvastatindosis ændres, eller behandlingen seponeres, bør samme procedure gentages. Atorvastatin</w:t>
      </w:r>
      <w:r>
        <w:rPr>
          <w:spacing w:val="-3"/>
          <w:sz w:val="24"/>
          <w:szCs w:val="24"/>
          <w:lang w:eastAsia="da-DK"/>
        </w:rPr>
        <w:softHyphen/>
        <w:t>behandling er ikke blevet forbundet med blødning eller med ændringer i protrombintid hos patienter, der ikke tager antikoagulantia.</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noProof/>
          <w:sz w:val="24"/>
          <w:szCs w:val="24"/>
          <w:u w:val="single"/>
          <w:lang w:eastAsia="da-DK"/>
        </w:rPr>
      </w:pPr>
      <w:r>
        <w:rPr>
          <w:noProof/>
          <w:sz w:val="24"/>
          <w:szCs w:val="24"/>
          <w:u w:val="single"/>
          <w:lang w:eastAsia="da-DK"/>
        </w:rPr>
        <w:t>Pædiatrisk population</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noProof/>
          <w:sz w:val="24"/>
          <w:szCs w:val="24"/>
          <w:lang w:eastAsia="da-DK"/>
        </w:rPr>
      </w:pPr>
      <w:r>
        <w:rPr>
          <w:noProof/>
          <w:sz w:val="24"/>
          <w:szCs w:val="24"/>
          <w:lang w:eastAsia="da-DK"/>
        </w:rPr>
        <w:t>Interaktionsundersøgelser er kun udført hos voksne. Omfanget af interaktioner i den pædiatriske population er ikke kendt. Ved behandling af børn og unge skal der tages højde for de oven for nævnte interaktioner for voksne og for advarslerne i pkt. 4.4.</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noProof/>
          <w:sz w:val="24"/>
          <w:szCs w:val="24"/>
          <w:lang w:eastAsia="da-DK"/>
        </w:rPr>
      </w:pP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noProof/>
          <w:sz w:val="24"/>
          <w:szCs w:val="24"/>
          <w:u w:val="single"/>
          <w:lang w:eastAsia="da-DK"/>
        </w:rPr>
      </w:pPr>
      <w:r>
        <w:rPr>
          <w:noProof/>
          <w:sz w:val="24"/>
          <w:szCs w:val="24"/>
          <w:u w:val="single"/>
          <w:lang w:eastAsia="da-DK"/>
        </w:rPr>
        <w:t>Lægemiddelinteraktioner</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noProof/>
          <w:sz w:val="24"/>
          <w:szCs w:val="24"/>
          <w:lang w:eastAsia="da-DK"/>
        </w:rPr>
      </w:pP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42"/>
        <w:rPr>
          <w:rFonts w:eastAsia="MS Mincho"/>
          <w:sz w:val="24"/>
          <w:szCs w:val="24"/>
          <w:lang w:eastAsia="ja-JP" w:bidi="te-IN"/>
        </w:rPr>
      </w:pPr>
      <w:r>
        <w:rPr>
          <w:rFonts w:eastAsia="MS Mincho"/>
          <w:sz w:val="24"/>
          <w:szCs w:val="24"/>
          <w:lang w:eastAsia="ja-JP" w:bidi="te-IN"/>
        </w:rPr>
        <w:t>Tabel 1: Effekt af samtidigt administrerede lægemidler på atorvastatins farmakokinetik</w:t>
      </w:r>
    </w:p>
    <w:p w:rsidR="001A1784" w:rsidRDefault="001A1784" w:rsidP="001A1784">
      <w:pPr>
        <w:tabs>
          <w:tab w:val="left" w:pos="1418"/>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rFonts w:eastAsia="MS Mincho"/>
          <w:sz w:val="24"/>
          <w:szCs w:val="24"/>
          <w:u w:val="single"/>
          <w:lang w:eastAsia="ja-JP" w:bidi="te-IN"/>
        </w:rPr>
      </w:pPr>
    </w:p>
    <w:tbl>
      <w:tblPr>
        <w:tblpPr w:leftFromText="180" w:rightFromText="180" w:vertAnchor="text" w:tblpXSpec="center" w:tblpY="1"/>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1991"/>
        <w:gridCol w:w="66"/>
        <w:gridCol w:w="2143"/>
        <w:gridCol w:w="28"/>
        <w:gridCol w:w="2924"/>
        <w:gridCol w:w="19"/>
      </w:tblGrid>
      <w:tr w:rsidR="001A1784" w:rsidTr="009726B8">
        <w:trPr>
          <w:gridAfter w:val="1"/>
          <w:wAfter w:w="19" w:type="dxa"/>
          <w:tblHeader/>
        </w:trPr>
        <w:tc>
          <w:tcPr>
            <w:tcW w:w="2686" w:type="dxa"/>
            <w:vMerge w:val="restart"/>
            <w:tcBorders>
              <w:top w:val="single" w:sz="4" w:space="0" w:color="auto"/>
              <w:left w:val="single" w:sz="4" w:space="0" w:color="auto"/>
              <w:bottom w:val="single" w:sz="4" w:space="0" w:color="auto"/>
              <w:right w:val="single" w:sz="4" w:space="0" w:color="auto"/>
            </w:tcBorders>
            <w:hideMark/>
          </w:tcPr>
          <w:p w:rsidR="001A1784" w:rsidRDefault="001A1784" w:rsidP="009726B8">
            <w:pPr>
              <w:keepNext/>
              <w:ind w:left="171"/>
              <w:rPr>
                <w:b/>
                <w:color w:val="000000"/>
                <w:sz w:val="22"/>
                <w:szCs w:val="22"/>
                <w:lang w:eastAsia="da-DK"/>
              </w:rPr>
            </w:pPr>
            <w:r>
              <w:rPr>
                <w:b/>
                <w:color w:val="000000"/>
                <w:sz w:val="22"/>
                <w:szCs w:val="22"/>
                <w:lang w:eastAsia="da-DK"/>
              </w:rPr>
              <w:t>Samtidigt administreret lægemiddel og dosisregime</w:t>
            </w:r>
          </w:p>
        </w:tc>
        <w:tc>
          <w:tcPr>
            <w:tcW w:w="7152" w:type="dxa"/>
            <w:gridSpan w:val="5"/>
            <w:tcBorders>
              <w:top w:val="single" w:sz="4" w:space="0" w:color="auto"/>
              <w:left w:val="single" w:sz="4" w:space="0" w:color="auto"/>
              <w:bottom w:val="single" w:sz="4" w:space="0" w:color="auto"/>
              <w:right w:val="single" w:sz="4" w:space="0" w:color="auto"/>
            </w:tcBorders>
            <w:hideMark/>
          </w:tcPr>
          <w:p w:rsidR="001A1784" w:rsidRDefault="001A1784" w:rsidP="009726B8">
            <w:pPr>
              <w:keepNext/>
              <w:ind w:left="171"/>
              <w:jc w:val="center"/>
              <w:rPr>
                <w:b/>
                <w:color w:val="000000"/>
                <w:sz w:val="22"/>
                <w:szCs w:val="22"/>
                <w:lang w:eastAsia="da-DK"/>
              </w:rPr>
            </w:pPr>
            <w:r>
              <w:rPr>
                <w:b/>
                <w:color w:val="000000"/>
                <w:sz w:val="22"/>
                <w:szCs w:val="22"/>
                <w:lang w:eastAsia="da-DK"/>
              </w:rPr>
              <w:t>Atorvastatin</w:t>
            </w:r>
          </w:p>
        </w:tc>
      </w:tr>
      <w:tr w:rsidR="001A1784" w:rsidTr="009726B8">
        <w:trPr>
          <w:gridAfter w:val="1"/>
          <w:wAfter w:w="19" w:type="dxa"/>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1784" w:rsidRDefault="001A1784" w:rsidP="009726B8">
            <w:pPr>
              <w:rPr>
                <w:b/>
                <w:color w:val="000000"/>
                <w:sz w:val="22"/>
                <w:szCs w:val="22"/>
                <w:lang w:eastAsia="da-DK"/>
              </w:rPr>
            </w:pPr>
          </w:p>
        </w:tc>
        <w:tc>
          <w:tcPr>
            <w:tcW w:w="1991"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b/>
                <w:color w:val="000000"/>
                <w:sz w:val="22"/>
                <w:szCs w:val="22"/>
                <w:lang w:eastAsia="da-DK"/>
              </w:rPr>
            </w:pPr>
            <w:r>
              <w:rPr>
                <w:b/>
                <w:color w:val="000000"/>
                <w:sz w:val="22"/>
                <w:szCs w:val="22"/>
                <w:lang w:eastAsia="da-DK"/>
              </w:rPr>
              <w:t>Dosisregime (mg)</w:t>
            </w:r>
          </w:p>
        </w:tc>
        <w:tc>
          <w:tcPr>
            <w:tcW w:w="2209"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b/>
                <w:color w:val="000000"/>
                <w:sz w:val="22"/>
                <w:szCs w:val="22"/>
                <w:lang w:eastAsia="da-DK" w:bidi="te-IN"/>
              </w:rPr>
            </w:pPr>
            <w:r>
              <w:rPr>
                <w:b/>
                <w:color w:val="000000"/>
                <w:sz w:val="22"/>
                <w:szCs w:val="22"/>
                <w:lang w:eastAsia="da-DK"/>
              </w:rPr>
              <w:t>AUC-ratio</w:t>
            </w:r>
            <w:r>
              <w:rPr>
                <w:b/>
                <w:color w:val="000000"/>
                <w:sz w:val="22"/>
                <w:szCs w:val="22"/>
                <w:vertAlign w:val="superscript"/>
                <w:lang w:eastAsia="da-DK"/>
              </w:rPr>
              <w:t>&amp;</w:t>
            </w:r>
          </w:p>
        </w:tc>
        <w:tc>
          <w:tcPr>
            <w:tcW w:w="2952"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b/>
                <w:color w:val="000000"/>
                <w:sz w:val="22"/>
                <w:szCs w:val="22"/>
                <w:lang w:eastAsia="da-DK"/>
              </w:rPr>
            </w:pPr>
            <w:r>
              <w:rPr>
                <w:b/>
                <w:color w:val="000000"/>
                <w:sz w:val="22"/>
                <w:szCs w:val="22"/>
                <w:lang w:eastAsia="da-DK"/>
              </w:rPr>
              <w:t>Klinisk rekommandation</w:t>
            </w:r>
            <w:r>
              <w:rPr>
                <w:b/>
                <w:color w:val="000000"/>
                <w:sz w:val="22"/>
                <w:szCs w:val="22"/>
                <w:vertAlign w:val="superscript"/>
                <w:lang w:eastAsia="da-DK"/>
              </w:rPr>
              <w:t>#</w:t>
            </w:r>
          </w:p>
        </w:tc>
      </w:tr>
      <w:tr w:rsidR="001A1784" w:rsidTr="009726B8">
        <w:trPr>
          <w:gridAfter w:val="1"/>
          <w:wAfter w:w="19" w:type="dxa"/>
          <w:trHeight w:val="468"/>
        </w:trPr>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ind w:left="171"/>
              <w:rPr>
                <w:color w:val="000000"/>
                <w:sz w:val="22"/>
                <w:szCs w:val="22"/>
                <w:lang w:eastAsia="da-DK"/>
              </w:rPr>
            </w:pPr>
            <w:r>
              <w:rPr>
                <w:color w:val="000000"/>
                <w:sz w:val="22"/>
                <w:szCs w:val="22"/>
                <w:lang w:eastAsia="da-DK"/>
              </w:rPr>
              <w:t>Tipranavir 500 mg×2/ Ritonavir 200 mg×2, 8 dage (dag 14 til 21)</w:t>
            </w:r>
          </w:p>
        </w:tc>
        <w:tc>
          <w:tcPr>
            <w:tcW w:w="1991"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rPr>
            </w:pPr>
            <w:r>
              <w:rPr>
                <w:color w:val="000000"/>
                <w:sz w:val="22"/>
                <w:szCs w:val="22"/>
                <w:lang w:eastAsia="da-DK"/>
              </w:rPr>
              <w:t>40 mg på dag 1,</w:t>
            </w:r>
          </w:p>
          <w:p w:rsidR="001A1784" w:rsidRDefault="001A1784" w:rsidP="009726B8">
            <w:pPr>
              <w:rPr>
                <w:color w:val="000000"/>
                <w:sz w:val="22"/>
                <w:szCs w:val="22"/>
                <w:lang w:eastAsia="da-DK"/>
              </w:rPr>
            </w:pPr>
            <w:r>
              <w:rPr>
                <w:color w:val="000000"/>
                <w:sz w:val="22"/>
                <w:szCs w:val="22"/>
                <w:lang w:eastAsia="da-DK"/>
              </w:rPr>
              <w:t>10 mg på dag 20</w:t>
            </w:r>
          </w:p>
        </w:tc>
        <w:tc>
          <w:tcPr>
            <w:tcW w:w="2209"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keepNext/>
              <w:ind w:left="171"/>
              <w:rPr>
                <w:color w:val="000000"/>
                <w:sz w:val="22"/>
                <w:szCs w:val="22"/>
                <w:lang w:eastAsia="da-DK" w:bidi="te-IN"/>
              </w:rPr>
            </w:pPr>
            <w:r>
              <w:rPr>
                <w:color w:val="000000"/>
                <w:sz w:val="22"/>
                <w:szCs w:val="22"/>
                <w:lang w:eastAsia="da-DK" w:bidi="te-IN"/>
              </w:rPr>
              <w:t>9,4</w:t>
            </w:r>
          </w:p>
        </w:tc>
        <w:tc>
          <w:tcPr>
            <w:tcW w:w="2952" w:type="dxa"/>
            <w:gridSpan w:val="2"/>
            <w:vMerge w:val="restart"/>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rPr>
            </w:pPr>
            <w:r>
              <w:rPr>
                <w:color w:val="000000"/>
                <w:sz w:val="22"/>
                <w:szCs w:val="22"/>
                <w:lang w:eastAsia="da-DK"/>
              </w:rPr>
              <w:t xml:space="preserve">Hvis samtidig behandling med atorvastatin er nødvendig, må atorvastatindosis ikke </w:t>
            </w:r>
            <w:r>
              <w:rPr>
                <w:color w:val="000000"/>
                <w:sz w:val="22"/>
                <w:szCs w:val="22"/>
                <w:lang w:eastAsia="da-DK"/>
              </w:rPr>
              <w:lastRenderedPageBreak/>
              <w:t>overskride 10 mg/dag. Klinisk monitorering anbefales.</w:t>
            </w:r>
          </w:p>
        </w:tc>
      </w:tr>
      <w:tr w:rsidR="001A1784" w:rsidTr="009726B8">
        <w:trPr>
          <w:gridAfter w:val="1"/>
          <w:wAfter w:w="19" w:type="dxa"/>
        </w:trPr>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ind w:left="171"/>
              <w:rPr>
                <w:color w:val="000000"/>
                <w:sz w:val="22"/>
                <w:szCs w:val="22"/>
                <w:lang w:eastAsia="da-DK"/>
              </w:rPr>
            </w:pPr>
            <w:r>
              <w:rPr>
                <w:color w:val="000000"/>
                <w:sz w:val="22"/>
                <w:szCs w:val="22"/>
                <w:lang w:eastAsia="da-DK"/>
              </w:rPr>
              <w:lastRenderedPageBreak/>
              <w:t>Telaprevir 750 mg hver 8. time, 10 dage</w:t>
            </w:r>
          </w:p>
        </w:tc>
        <w:tc>
          <w:tcPr>
            <w:tcW w:w="1991"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rPr>
            </w:pPr>
            <w:r>
              <w:rPr>
                <w:color w:val="000000"/>
                <w:sz w:val="22"/>
                <w:szCs w:val="22"/>
                <w:lang w:eastAsia="da-DK"/>
              </w:rPr>
              <w:t>20 mg enkeltdosis</w:t>
            </w:r>
          </w:p>
        </w:tc>
        <w:tc>
          <w:tcPr>
            <w:tcW w:w="2209"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bidi="te-IN"/>
              </w:rPr>
            </w:pPr>
            <w:r>
              <w:rPr>
                <w:color w:val="000000"/>
                <w:sz w:val="22"/>
                <w:szCs w:val="22"/>
                <w:lang w:eastAsia="da-DK"/>
              </w:rPr>
              <w:t>7,9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1784" w:rsidRDefault="001A1784" w:rsidP="009726B8">
            <w:pPr>
              <w:rPr>
                <w:color w:val="000000"/>
                <w:sz w:val="22"/>
                <w:szCs w:val="22"/>
                <w:lang w:eastAsia="da-DK"/>
              </w:rPr>
            </w:pPr>
          </w:p>
        </w:tc>
      </w:tr>
      <w:tr w:rsidR="001A1784" w:rsidTr="009726B8">
        <w:trPr>
          <w:gridAfter w:val="1"/>
          <w:wAfter w:w="19" w:type="dxa"/>
        </w:trPr>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ind w:left="171"/>
              <w:rPr>
                <w:color w:val="000000"/>
                <w:sz w:val="22"/>
                <w:szCs w:val="22"/>
                <w:lang w:eastAsia="da-DK"/>
              </w:rPr>
            </w:pPr>
            <w:r>
              <w:rPr>
                <w:color w:val="000000"/>
                <w:sz w:val="22"/>
                <w:szCs w:val="22"/>
                <w:lang w:eastAsia="da-DK"/>
              </w:rPr>
              <w:t xml:space="preserve">Ciclosporin 5,2 mg/kg/dag, stabil dosering </w:t>
            </w:r>
          </w:p>
        </w:tc>
        <w:tc>
          <w:tcPr>
            <w:tcW w:w="1991"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rPr>
            </w:pPr>
            <w:r>
              <w:rPr>
                <w:color w:val="000000"/>
                <w:sz w:val="22"/>
                <w:szCs w:val="22"/>
                <w:lang w:eastAsia="da-DK"/>
              </w:rPr>
              <w:t>10 mg×1 i 28 dage</w:t>
            </w:r>
          </w:p>
        </w:tc>
        <w:tc>
          <w:tcPr>
            <w:tcW w:w="2209"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bidi="te-IN"/>
              </w:rPr>
            </w:pPr>
            <w:r>
              <w:rPr>
                <w:color w:val="000000"/>
                <w:sz w:val="22"/>
                <w:szCs w:val="22"/>
                <w:lang w:eastAsia="da-DK" w:bidi="te-IN"/>
              </w:rPr>
              <w:t>8,7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1784" w:rsidRDefault="001A1784" w:rsidP="009726B8">
            <w:pPr>
              <w:rPr>
                <w:color w:val="000000"/>
                <w:sz w:val="22"/>
                <w:szCs w:val="22"/>
                <w:lang w:eastAsia="da-DK"/>
              </w:rPr>
            </w:pPr>
          </w:p>
        </w:tc>
      </w:tr>
      <w:tr w:rsidR="001A1784" w:rsidTr="009726B8">
        <w:trPr>
          <w:gridAfter w:val="1"/>
          <w:wAfter w:w="19" w:type="dxa"/>
        </w:trPr>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ind w:left="171"/>
              <w:rPr>
                <w:color w:val="000000"/>
                <w:sz w:val="22"/>
                <w:szCs w:val="22"/>
                <w:lang w:val="sv-SE" w:eastAsia="da-DK"/>
              </w:rPr>
            </w:pPr>
            <w:r>
              <w:rPr>
                <w:color w:val="000000"/>
                <w:sz w:val="22"/>
                <w:szCs w:val="22"/>
                <w:lang w:val="sv-SE" w:eastAsia="da-DK"/>
              </w:rPr>
              <w:t>Lopinavir 400 mg×2/ Ritonavir 100 mg×2, 14 dage</w:t>
            </w:r>
          </w:p>
        </w:tc>
        <w:tc>
          <w:tcPr>
            <w:tcW w:w="1991"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rPr>
            </w:pPr>
            <w:r>
              <w:rPr>
                <w:color w:val="000000"/>
                <w:sz w:val="22"/>
                <w:szCs w:val="22"/>
                <w:lang w:eastAsia="da-DK"/>
              </w:rPr>
              <w:t>20 mg×1 i 4 dage</w:t>
            </w:r>
          </w:p>
        </w:tc>
        <w:tc>
          <w:tcPr>
            <w:tcW w:w="2209"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bidi="te-IN"/>
              </w:rPr>
            </w:pPr>
            <w:r>
              <w:rPr>
                <w:color w:val="000000"/>
                <w:sz w:val="22"/>
                <w:szCs w:val="22"/>
                <w:lang w:eastAsia="da-DK" w:bidi="te-IN"/>
              </w:rPr>
              <w:t>5,9</w:t>
            </w:r>
          </w:p>
        </w:tc>
        <w:tc>
          <w:tcPr>
            <w:tcW w:w="2952" w:type="dxa"/>
            <w:gridSpan w:val="2"/>
            <w:vMerge w:val="restart"/>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rPr>
            </w:pPr>
            <w:r>
              <w:rPr>
                <w:color w:val="000000"/>
                <w:sz w:val="22"/>
                <w:szCs w:val="22"/>
                <w:lang w:eastAsia="da-DK"/>
              </w:rPr>
              <w:t>Hvis samtidig behandling med atorvastatin er nødvendig, anbefales en lavere vedligeholdelsesdosis af atorvastatin. Ved atorvastatindoser over 20 mg anbefales klinisk monitorering.</w:t>
            </w:r>
          </w:p>
        </w:tc>
      </w:tr>
      <w:tr w:rsidR="001A1784" w:rsidTr="009726B8">
        <w:trPr>
          <w:gridAfter w:val="1"/>
          <w:wAfter w:w="19" w:type="dxa"/>
        </w:trPr>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ind w:left="171"/>
              <w:rPr>
                <w:color w:val="000000"/>
                <w:sz w:val="22"/>
                <w:szCs w:val="22"/>
                <w:lang w:eastAsia="da-DK"/>
              </w:rPr>
            </w:pPr>
            <w:r>
              <w:rPr>
                <w:color w:val="000000"/>
                <w:sz w:val="22"/>
                <w:szCs w:val="22"/>
                <w:lang w:eastAsia="da-DK"/>
              </w:rPr>
              <w:t xml:space="preserve">Clarithromycin 500 mg×2, 9 dage </w:t>
            </w:r>
          </w:p>
        </w:tc>
        <w:tc>
          <w:tcPr>
            <w:tcW w:w="1991"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rPr>
            </w:pPr>
            <w:r>
              <w:rPr>
                <w:color w:val="000000"/>
                <w:sz w:val="22"/>
                <w:szCs w:val="22"/>
                <w:lang w:eastAsia="da-DK"/>
              </w:rPr>
              <w:t>80 mg×1 i 8 dage</w:t>
            </w:r>
          </w:p>
        </w:tc>
        <w:tc>
          <w:tcPr>
            <w:tcW w:w="2209"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bidi="te-IN"/>
              </w:rPr>
            </w:pPr>
            <w:r>
              <w:rPr>
                <w:color w:val="000000"/>
                <w:sz w:val="22"/>
                <w:szCs w:val="22"/>
                <w:lang w:eastAsia="da-DK" w:bidi="te-IN"/>
              </w:rPr>
              <w:t>4,5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1784" w:rsidRDefault="001A1784" w:rsidP="009726B8">
            <w:pPr>
              <w:rPr>
                <w:color w:val="000000"/>
                <w:sz w:val="22"/>
                <w:szCs w:val="22"/>
                <w:lang w:eastAsia="da-DK"/>
              </w:rPr>
            </w:pPr>
          </w:p>
        </w:tc>
      </w:tr>
      <w:tr w:rsidR="001A1784" w:rsidTr="009726B8">
        <w:trPr>
          <w:gridAfter w:val="1"/>
          <w:wAfter w:w="19" w:type="dxa"/>
        </w:trPr>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ind w:left="171"/>
              <w:rPr>
                <w:sz w:val="22"/>
                <w:szCs w:val="22"/>
                <w:lang w:eastAsia="da-DK"/>
              </w:rPr>
            </w:pPr>
            <w:r>
              <w:rPr>
                <w:sz w:val="22"/>
                <w:szCs w:val="22"/>
                <w:lang w:eastAsia="da-DK"/>
              </w:rPr>
              <w:t>Saquinavir 400 mg×2/ Ritonavir (300 mg×2 fra dag 5-7, øget til 400 mg×2 på dag 8), dag 5-18, 30 minutter efter atorvastatindosis</w:t>
            </w:r>
          </w:p>
        </w:tc>
        <w:tc>
          <w:tcPr>
            <w:tcW w:w="1991"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rPr>
            </w:pPr>
            <w:r>
              <w:rPr>
                <w:color w:val="000000"/>
                <w:sz w:val="22"/>
                <w:szCs w:val="22"/>
                <w:lang w:eastAsia="da-DK"/>
              </w:rPr>
              <w:t>40 mg×1 i 4 dage</w:t>
            </w:r>
          </w:p>
        </w:tc>
        <w:tc>
          <w:tcPr>
            <w:tcW w:w="2209"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bidi="te-IN"/>
              </w:rPr>
            </w:pPr>
            <w:r>
              <w:rPr>
                <w:color w:val="000000"/>
                <w:sz w:val="22"/>
                <w:szCs w:val="22"/>
                <w:lang w:eastAsia="da-DK" w:bidi="te-IN"/>
              </w:rPr>
              <w:t>3,9</w:t>
            </w:r>
          </w:p>
        </w:tc>
        <w:tc>
          <w:tcPr>
            <w:tcW w:w="2952" w:type="dxa"/>
            <w:gridSpan w:val="2"/>
            <w:vMerge w:val="restart"/>
            <w:tcBorders>
              <w:top w:val="single" w:sz="4" w:space="0" w:color="auto"/>
              <w:left w:val="single" w:sz="4" w:space="0" w:color="auto"/>
              <w:bottom w:val="single" w:sz="4" w:space="0" w:color="auto"/>
              <w:right w:val="single" w:sz="4" w:space="0" w:color="auto"/>
            </w:tcBorders>
          </w:tcPr>
          <w:p w:rsidR="001A1784" w:rsidRDefault="001A1784" w:rsidP="009726B8">
            <w:pPr>
              <w:rPr>
                <w:color w:val="000000"/>
                <w:sz w:val="22"/>
                <w:szCs w:val="22"/>
                <w:lang w:eastAsia="da-DK"/>
              </w:rPr>
            </w:pPr>
            <w:r>
              <w:rPr>
                <w:color w:val="000000"/>
                <w:sz w:val="22"/>
                <w:szCs w:val="22"/>
                <w:lang w:eastAsia="da-DK"/>
              </w:rPr>
              <w:t>Hvis samtidig behandling med atorvastatin er nødvendig, anbefales en lavere vedligeholdelsesdosis af atorvastatin. Ved atorvastatindoser over 40 mg anbefales klinisk monitorering.</w:t>
            </w:r>
          </w:p>
          <w:p w:rsidR="001A1784" w:rsidRDefault="001A1784" w:rsidP="009726B8">
            <w:pPr>
              <w:rPr>
                <w:color w:val="000000"/>
                <w:sz w:val="22"/>
                <w:szCs w:val="22"/>
                <w:lang w:eastAsia="da-DK"/>
              </w:rPr>
            </w:pPr>
          </w:p>
        </w:tc>
      </w:tr>
      <w:tr w:rsidR="001A1784" w:rsidTr="009726B8">
        <w:trPr>
          <w:gridAfter w:val="1"/>
          <w:wAfter w:w="19" w:type="dxa"/>
        </w:trPr>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ind w:left="171"/>
              <w:rPr>
                <w:color w:val="000000"/>
                <w:sz w:val="22"/>
                <w:szCs w:val="22"/>
                <w:lang w:val="sv-SE" w:eastAsia="da-DK"/>
              </w:rPr>
            </w:pPr>
            <w:r>
              <w:rPr>
                <w:color w:val="000000"/>
                <w:sz w:val="22"/>
                <w:szCs w:val="22"/>
                <w:lang w:val="sv-SE" w:eastAsia="da-DK"/>
              </w:rPr>
              <w:t>Darunavir 300 mg×2/</w:t>
            </w:r>
          </w:p>
          <w:p w:rsidR="001A1784" w:rsidRDefault="001A1784" w:rsidP="009726B8">
            <w:pPr>
              <w:ind w:left="171"/>
              <w:rPr>
                <w:color w:val="000000"/>
                <w:sz w:val="22"/>
                <w:szCs w:val="22"/>
                <w:lang w:val="sv-SE" w:eastAsia="da-DK"/>
              </w:rPr>
            </w:pPr>
            <w:r>
              <w:rPr>
                <w:color w:val="000000"/>
                <w:sz w:val="22"/>
                <w:szCs w:val="22"/>
                <w:lang w:val="sv-SE" w:eastAsia="da-DK"/>
              </w:rPr>
              <w:t xml:space="preserve">Ritonavir 100 mg×2, 9 dage </w:t>
            </w:r>
          </w:p>
        </w:tc>
        <w:tc>
          <w:tcPr>
            <w:tcW w:w="1991"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rPr>
            </w:pPr>
            <w:r>
              <w:rPr>
                <w:color w:val="000000"/>
                <w:sz w:val="22"/>
                <w:szCs w:val="22"/>
                <w:lang w:eastAsia="da-DK"/>
              </w:rPr>
              <w:t>10 mg×1 i 4 dage</w:t>
            </w:r>
          </w:p>
        </w:tc>
        <w:tc>
          <w:tcPr>
            <w:tcW w:w="2209"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bidi="te-IN"/>
              </w:rPr>
            </w:pPr>
            <w:r>
              <w:rPr>
                <w:color w:val="000000"/>
                <w:sz w:val="22"/>
                <w:szCs w:val="22"/>
                <w:lang w:eastAsia="da-DK" w:bidi="te-IN"/>
              </w:rPr>
              <w:t>3,4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1784" w:rsidRDefault="001A1784" w:rsidP="009726B8">
            <w:pPr>
              <w:rPr>
                <w:color w:val="000000"/>
                <w:sz w:val="22"/>
                <w:szCs w:val="22"/>
                <w:lang w:eastAsia="da-DK"/>
              </w:rPr>
            </w:pPr>
          </w:p>
        </w:tc>
      </w:tr>
      <w:tr w:rsidR="001A1784" w:rsidTr="009726B8">
        <w:trPr>
          <w:gridAfter w:val="1"/>
          <w:wAfter w:w="19" w:type="dxa"/>
        </w:trPr>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ind w:left="171"/>
              <w:rPr>
                <w:color w:val="000000"/>
                <w:sz w:val="22"/>
                <w:szCs w:val="22"/>
                <w:lang w:eastAsia="da-DK"/>
              </w:rPr>
            </w:pPr>
            <w:r>
              <w:rPr>
                <w:color w:val="000000"/>
                <w:sz w:val="22"/>
                <w:szCs w:val="22"/>
                <w:lang w:eastAsia="da-DK"/>
              </w:rPr>
              <w:t xml:space="preserve">Itraconazol 200 mg×1, 4 dage </w:t>
            </w:r>
          </w:p>
        </w:tc>
        <w:tc>
          <w:tcPr>
            <w:tcW w:w="1991"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rPr>
            </w:pPr>
            <w:r>
              <w:rPr>
                <w:color w:val="000000"/>
                <w:sz w:val="22"/>
                <w:szCs w:val="22"/>
                <w:lang w:eastAsia="da-DK"/>
              </w:rPr>
              <w:t>40 mg enkeltdosis</w:t>
            </w:r>
          </w:p>
        </w:tc>
        <w:tc>
          <w:tcPr>
            <w:tcW w:w="2209"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bidi="te-IN"/>
              </w:rPr>
            </w:pPr>
            <w:r>
              <w:rPr>
                <w:color w:val="000000"/>
                <w:sz w:val="22"/>
                <w:szCs w:val="22"/>
                <w:lang w:eastAsia="da-DK" w:bidi="te-IN"/>
              </w:rPr>
              <w:t>3,3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1784" w:rsidRDefault="001A1784" w:rsidP="009726B8">
            <w:pPr>
              <w:rPr>
                <w:color w:val="000000"/>
                <w:sz w:val="22"/>
                <w:szCs w:val="22"/>
                <w:lang w:eastAsia="da-DK"/>
              </w:rPr>
            </w:pPr>
          </w:p>
        </w:tc>
      </w:tr>
      <w:tr w:rsidR="001A1784" w:rsidTr="009726B8">
        <w:trPr>
          <w:gridAfter w:val="1"/>
          <w:wAfter w:w="19" w:type="dxa"/>
        </w:trPr>
        <w:tc>
          <w:tcPr>
            <w:tcW w:w="2686" w:type="dxa"/>
            <w:tcBorders>
              <w:top w:val="single" w:sz="4" w:space="0" w:color="auto"/>
              <w:left w:val="single" w:sz="4" w:space="0" w:color="auto"/>
              <w:bottom w:val="single" w:sz="4" w:space="0" w:color="auto"/>
              <w:right w:val="single" w:sz="4" w:space="0" w:color="auto"/>
            </w:tcBorders>
            <w:hideMark/>
          </w:tcPr>
          <w:p w:rsidR="001A1784" w:rsidRPr="0000022C" w:rsidRDefault="001A1784" w:rsidP="009726B8">
            <w:pPr>
              <w:ind w:left="171"/>
              <w:rPr>
                <w:color w:val="000000"/>
                <w:sz w:val="22"/>
                <w:szCs w:val="22"/>
                <w:lang w:val="sv-SE" w:eastAsia="da-DK"/>
              </w:rPr>
            </w:pPr>
            <w:r w:rsidRPr="0000022C">
              <w:rPr>
                <w:color w:val="000000"/>
                <w:sz w:val="22"/>
                <w:szCs w:val="22"/>
                <w:lang w:val="sv-SE" w:eastAsia="da-DK"/>
              </w:rPr>
              <w:t xml:space="preserve">Fosamprenavir 700 mg×2/ Ritonavir 100 mg×2, 14 dage </w:t>
            </w:r>
          </w:p>
        </w:tc>
        <w:tc>
          <w:tcPr>
            <w:tcW w:w="1991"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rPr>
            </w:pPr>
            <w:r>
              <w:rPr>
                <w:color w:val="000000"/>
                <w:sz w:val="22"/>
                <w:szCs w:val="22"/>
                <w:lang w:eastAsia="da-DK"/>
              </w:rPr>
              <w:t>10 mg×1 i 4 dage</w:t>
            </w:r>
          </w:p>
        </w:tc>
        <w:tc>
          <w:tcPr>
            <w:tcW w:w="2209"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bidi="te-IN"/>
              </w:rPr>
            </w:pPr>
            <w:r>
              <w:rPr>
                <w:color w:val="000000"/>
                <w:sz w:val="22"/>
                <w:szCs w:val="22"/>
                <w:lang w:eastAsia="da-DK" w:bidi="te-IN"/>
              </w:rPr>
              <w:t>2,5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1784" w:rsidRDefault="001A1784" w:rsidP="009726B8">
            <w:pPr>
              <w:rPr>
                <w:color w:val="000000"/>
                <w:sz w:val="22"/>
                <w:szCs w:val="22"/>
                <w:lang w:eastAsia="da-DK"/>
              </w:rPr>
            </w:pPr>
          </w:p>
        </w:tc>
      </w:tr>
      <w:tr w:rsidR="001A1784" w:rsidTr="009726B8">
        <w:trPr>
          <w:gridAfter w:val="1"/>
          <w:wAfter w:w="19" w:type="dxa"/>
        </w:trPr>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ind w:left="171"/>
              <w:rPr>
                <w:color w:val="000000"/>
                <w:sz w:val="22"/>
                <w:szCs w:val="22"/>
                <w:lang w:eastAsia="da-DK"/>
              </w:rPr>
            </w:pPr>
            <w:r>
              <w:rPr>
                <w:color w:val="000000"/>
                <w:sz w:val="22"/>
                <w:szCs w:val="22"/>
                <w:lang w:eastAsia="da-DK"/>
              </w:rPr>
              <w:t xml:space="preserve">Fosamprenavir 1.400 mg×2, 14 dage </w:t>
            </w:r>
          </w:p>
        </w:tc>
        <w:tc>
          <w:tcPr>
            <w:tcW w:w="1991"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rPr>
            </w:pPr>
            <w:r>
              <w:rPr>
                <w:color w:val="000000"/>
                <w:sz w:val="22"/>
                <w:szCs w:val="22"/>
                <w:lang w:eastAsia="da-DK"/>
              </w:rPr>
              <w:t>10 mg×1 i 4 dage</w:t>
            </w:r>
          </w:p>
        </w:tc>
        <w:tc>
          <w:tcPr>
            <w:tcW w:w="2209"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bidi="te-IN"/>
              </w:rPr>
            </w:pPr>
            <w:r>
              <w:rPr>
                <w:color w:val="000000"/>
                <w:sz w:val="22"/>
                <w:szCs w:val="22"/>
                <w:lang w:eastAsia="da-DK" w:bidi="te-IN"/>
              </w:rPr>
              <w:t>2,3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1784" w:rsidRDefault="001A1784" w:rsidP="009726B8">
            <w:pPr>
              <w:rPr>
                <w:color w:val="000000"/>
                <w:sz w:val="22"/>
                <w:szCs w:val="22"/>
                <w:lang w:eastAsia="da-DK"/>
              </w:rPr>
            </w:pPr>
          </w:p>
        </w:tc>
      </w:tr>
      <w:tr w:rsidR="001A1784" w:rsidTr="009726B8">
        <w:trPr>
          <w:gridAfter w:val="1"/>
          <w:wAfter w:w="19" w:type="dxa"/>
        </w:trPr>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ind w:left="171"/>
              <w:rPr>
                <w:color w:val="000000"/>
                <w:sz w:val="22"/>
                <w:szCs w:val="22"/>
                <w:lang w:eastAsia="da-DK"/>
              </w:rPr>
            </w:pPr>
            <w:r>
              <w:rPr>
                <w:bCs/>
                <w:color w:val="000000"/>
                <w:sz w:val="22"/>
                <w:szCs w:val="22"/>
                <w:lang w:eastAsia="da-DK"/>
              </w:rPr>
              <w:t xml:space="preserve">Nelfinavir </w:t>
            </w:r>
            <w:r>
              <w:rPr>
                <w:color w:val="000000"/>
                <w:sz w:val="22"/>
                <w:szCs w:val="22"/>
                <w:lang w:eastAsia="da-DK"/>
              </w:rPr>
              <w:t>1.250 mg×2, 14 dage</w:t>
            </w:r>
          </w:p>
        </w:tc>
        <w:tc>
          <w:tcPr>
            <w:tcW w:w="1991"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rPr>
            </w:pPr>
            <w:r>
              <w:rPr>
                <w:color w:val="000000"/>
                <w:sz w:val="22"/>
                <w:szCs w:val="22"/>
                <w:lang w:eastAsia="da-DK"/>
              </w:rPr>
              <w:t>10 mg×1 i 28 dage</w:t>
            </w:r>
          </w:p>
        </w:tc>
        <w:tc>
          <w:tcPr>
            <w:tcW w:w="2209"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bidi="te-IN"/>
              </w:rPr>
            </w:pPr>
            <w:r>
              <w:rPr>
                <w:color w:val="000000"/>
                <w:sz w:val="22"/>
                <w:szCs w:val="22"/>
                <w:lang w:eastAsia="da-DK" w:bidi="te-IN"/>
              </w:rPr>
              <w:t>1,74</w:t>
            </w:r>
          </w:p>
        </w:tc>
        <w:tc>
          <w:tcPr>
            <w:tcW w:w="2952"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rPr>
            </w:pPr>
            <w:r>
              <w:rPr>
                <w:color w:val="000000"/>
                <w:sz w:val="22"/>
                <w:szCs w:val="22"/>
                <w:lang w:eastAsia="da-DK"/>
              </w:rPr>
              <w:t>Ingen særlig rekommandation.</w:t>
            </w:r>
          </w:p>
        </w:tc>
      </w:tr>
      <w:tr w:rsidR="001A1784" w:rsidTr="009726B8">
        <w:trPr>
          <w:gridAfter w:val="1"/>
          <w:wAfter w:w="19" w:type="dxa"/>
        </w:trPr>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ind w:left="171"/>
              <w:rPr>
                <w:sz w:val="22"/>
                <w:szCs w:val="22"/>
                <w:lang w:eastAsia="da-DK"/>
              </w:rPr>
            </w:pPr>
            <w:r>
              <w:rPr>
                <w:sz w:val="22"/>
                <w:szCs w:val="22"/>
                <w:lang w:eastAsia="da-DK"/>
              </w:rPr>
              <w:t>Grapefrugtjuice, 240 ml×1*</w:t>
            </w:r>
          </w:p>
        </w:tc>
        <w:tc>
          <w:tcPr>
            <w:tcW w:w="1991"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 xml:space="preserve">40 mg </w:t>
            </w:r>
            <w:r>
              <w:rPr>
                <w:color w:val="000000"/>
                <w:sz w:val="22"/>
                <w:szCs w:val="22"/>
                <w:lang w:eastAsia="da-DK"/>
              </w:rPr>
              <w:t>enkeltdosis</w:t>
            </w:r>
          </w:p>
        </w:tc>
        <w:tc>
          <w:tcPr>
            <w:tcW w:w="2209"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bidi="te-IN"/>
              </w:rPr>
            </w:pPr>
            <w:r>
              <w:rPr>
                <w:sz w:val="22"/>
                <w:szCs w:val="22"/>
                <w:lang w:eastAsia="da-DK" w:bidi="te-IN"/>
              </w:rPr>
              <w:t>1,37</w:t>
            </w:r>
          </w:p>
        </w:tc>
        <w:tc>
          <w:tcPr>
            <w:tcW w:w="2952"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Samtidig indtagelse af store mængder grapefrugtjuice og atorvastatin kan ikke anbefales.</w:t>
            </w:r>
          </w:p>
        </w:tc>
      </w:tr>
      <w:tr w:rsidR="001A1784" w:rsidTr="009726B8">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 xml:space="preserve">Diltiazem 240 mg×1, 28 dage </w:t>
            </w:r>
          </w:p>
        </w:tc>
        <w:tc>
          <w:tcPr>
            <w:tcW w:w="2057"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 xml:space="preserve">40 mg </w:t>
            </w:r>
            <w:r>
              <w:rPr>
                <w:color w:val="000000"/>
                <w:sz w:val="22"/>
                <w:szCs w:val="22"/>
                <w:lang w:eastAsia="da-DK"/>
              </w:rPr>
              <w:t>enkeltdosis</w:t>
            </w:r>
          </w:p>
        </w:tc>
        <w:tc>
          <w:tcPr>
            <w:tcW w:w="2171"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bidi="te-IN"/>
              </w:rPr>
            </w:pPr>
            <w:r>
              <w:rPr>
                <w:sz w:val="22"/>
                <w:szCs w:val="22"/>
                <w:lang w:eastAsia="da-DK" w:bidi="te-IN"/>
              </w:rPr>
              <w:t>1,51</w:t>
            </w:r>
          </w:p>
        </w:tc>
        <w:tc>
          <w:tcPr>
            <w:tcW w:w="2943"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Efter initiering af behandling eller efter dosisjustering af diltiazem anbefales passende klinisk monitorering.</w:t>
            </w:r>
          </w:p>
        </w:tc>
      </w:tr>
      <w:tr w:rsidR="001A1784" w:rsidTr="009726B8">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Erythromycin 500 mg×4, 7 dage</w:t>
            </w:r>
          </w:p>
        </w:tc>
        <w:tc>
          <w:tcPr>
            <w:tcW w:w="2057"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 xml:space="preserve">10 mg </w:t>
            </w:r>
            <w:r>
              <w:rPr>
                <w:color w:val="000000"/>
                <w:sz w:val="22"/>
                <w:szCs w:val="22"/>
                <w:lang w:eastAsia="da-DK"/>
              </w:rPr>
              <w:t>enkeltdosis</w:t>
            </w:r>
          </w:p>
        </w:tc>
        <w:tc>
          <w:tcPr>
            <w:tcW w:w="2171"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bidi="te-IN"/>
              </w:rPr>
            </w:pPr>
            <w:r>
              <w:rPr>
                <w:sz w:val="22"/>
                <w:szCs w:val="22"/>
                <w:lang w:eastAsia="da-DK" w:bidi="te-IN"/>
              </w:rPr>
              <w:t>1,33</w:t>
            </w:r>
          </w:p>
        </w:tc>
        <w:tc>
          <w:tcPr>
            <w:tcW w:w="2943"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Nedsat maksimaldosis samt klinisk monitorering anbefales.</w:t>
            </w:r>
          </w:p>
        </w:tc>
      </w:tr>
      <w:tr w:rsidR="001A1784" w:rsidTr="009726B8">
        <w:trPr>
          <w:trHeight w:val="218"/>
        </w:trPr>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 xml:space="preserve">Amlodipin 10 mg </w:t>
            </w:r>
            <w:r>
              <w:rPr>
                <w:color w:val="000000"/>
                <w:sz w:val="22"/>
                <w:szCs w:val="22"/>
                <w:lang w:eastAsia="da-DK"/>
              </w:rPr>
              <w:t>enkeltdosis</w:t>
            </w:r>
          </w:p>
        </w:tc>
        <w:tc>
          <w:tcPr>
            <w:tcW w:w="2057"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 xml:space="preserve">80 mg </w:t>
            </w:r>
            <w:r>
              <w:rPr>
                <w:color w:val="000000"/>
                <w:sz w:val="22"/>
                <w:szCs w:val="22"/>
                <w:lang w:eastAsia="da-DK"/>
              </w:rPr>
              <w:t>enkeltdosis</w:t>
            </w:r>
          </w:p>
        </w:tc>
        <w:tc>
          <w:tcPr>
            <w:tcW w:w="2171"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bidi="te-IN"/>
              </w:rPr>
            </w:pPr>
            <w:r>
              <w:rPr>
                <w:sz w:val="22"/>
                <w:szCs w:val="22"/>
                <w:lang w:eastAsia="da-DK" w:bidi="te-IN"/>
              </w:rPr>
              <w:t>1,18</w:t>
            </w:r>
          </w:p>
        </w:tc>
        <w:tc>
          <w:tcPr>
            <w:tcW w:w="2943"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color w:val="000000"/>
                <w:sz w:val="22"/>
                <w:szCs w:val="22"/>
                <w:lang w:eastAsia="da-DK"/>
              </w:rPr>
              <w:t>Ingen særlig rekommandation.</w:t>
            </w:r>
          </w:p>
        </w:tc>
      </w:tr>
      <w:tr w:rsidR="001A1784" w:rsidTr="009726B8">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Cimetidin 300 mg×4, 2 uger</w:t>
            </w:r>
          </w:p>
        </w:tc>
        <w:tc>
          <w:tcPr>
            <w:tcW w:w="2057"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10 mg×1 i 2 uger</w:t>
            </w:r>
          </w:p>
        </w:tc>
        <w:tc>
          <w:tcPr>
            <w:tcW w:w="2171"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bidi="te-IN"/>
              </w:rPr>
            </w:pPr>
            <w:r>
              <w:rPr>
                <w:sz w:val="22"/>
                <w:szCs w:val="22"/>
                <w:lang w:eastAsia="da-DK" w:bidi="te-IN"/>
              </w:rPr>
              <w:t>1,00</w:t>
            </w:r>
          </w:p>
        </w:tc>
        <w:tc>
          <w:tcPr>
            <w:tcW w:w="2943"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color w:val="000000"/>
                <w:sz w:val="22"/>
                <w:szCs w:val="22"/>
                <w:lang w:eastAsia="da-DK"/>
              </w:rPr>
              <w:t>Ingen særlig rekommandation.</w:t>
            </w:r>
          </w:p>
        </w:tc>
      </w:tr>
      <w:tr w:rsidR="001A1784" w:rsidTr="009726B8">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keepNext/>
              <w:rPr>
                <w:sz w:val="22"/>
                <w:szCs w:val="22"/>
                <w:lang w:eastAsia="da-DK"/>
              </w:rPr>
            </w:pPr>
            <w:r>
              <w:rPr>
                <w:sz w:val="22"/>
                <w:szCs w:val="22"/>
                <w:lang w:eastAsia="da-DK"/>
              </w:rPr>
              <w:t>Colestipol 10 g×2, 24 uger</w:t>
            </w:r>
          </w:p>
        </w:tc>
        <w:tc>
          <w:tcPr>
            <w:tcW w:w="2057"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40 mg×1 i 8 uger</w:t>
            </w:r>
          </w:p>
        </w:tc>
        <w:tc>
          <w:tcPr>
            <w:tcW w:w="2171"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bidi="te-IN"/>
              </w:rPr>
            </w:pPr>
            <w:r>
              <w:rPr>
                <w:sz w:val="22"/>
                <w:szCs w:val="22"/>
                <w:lang w:eastAsia="da-DK" w:bidi="te-IN"/>
              </w:rPr>
              <w:t>0,74**</w:t>
            </w:r>
          </w:p>
        </w:tc>
        <w:tc>
          <w:tcPr>
            <w:tcW w:w="2943"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color w:val="000000"/>
                <w:sz w:val="22"/>
                <w:szCs w:val="22"/>
                <w:lang w:eastAsia="da-DK"/>
              </w:rPr>
            </w:pPr>
            <w:r>
              <w:rPr>
                <w:color w:val="000000"/>
                <w:sz w:val="22"/>
                <w:szCs w:val="22"/>
                <w:lang w:eastAsia="da-DK"/>
              </w:rPr>
              <w:t>Ingen særlig rekommandation.</w:t>
            </w:r>
          </w:p>
        </w:tc>
      </w:tr>
      <w:tr w:rsidR="001A1784" w:rsidTr="009726B8">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keepNext/>
              <w:rPr>
                <w:sz w:val="22"/>
                <w:szCs w:val="22"/>
                <w:lang w:eastAsia="da-DK"/>
              </w:rPr>
            </w:pPr>
            <w:r>
              <w:rPr>
                <w:sz w:val="22"/>
                <w:szCs w:val="22"/>
                <w:lang w:eastAsia="da-DK"/>
              </w:rPr>
              <w:t>Antacida (suspension med magnesium- og aluminium</w:t>
            </w:r>
            <w:r>
              <w:rPr>
                <w:sz w:val="22"/>
                <w:szCs w:val="22"/>
                <w:lang w:eastAsia="da-DK"/>
              </w:rPr>
              <w:softHyphen/>
              <w:t>hydroxid), 30 ml×4, 17 dage</w:t>
            </w:r>
          </w:p>
        </w:tc>
        <w:tc>
          <w:tcPr>
            <w:tcW w:w="2057"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10 mg×1 i 15 dage</w:t>
            </w:r>
          </w:p>
        </w:tc>
        <w:tc>
          <w:tcPr>
            <w:tcW w:w="2171"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bidi="te-IN"/>
              </w:rPr>
            </w:pPr>
            <w:r>
              <w:rPr>
                <w:sz w:val="22"/>
                <w:szCs w:val="22"/>
                <w:lang w:eastAsia="da-DK" w:bidi="te-IN"/>
              </w:rPr>
              <w:t>0,66</w:t>
            </w:r>
          </w:p>
        </w:tc>
        <w:tc>
          <w:tcPr>
            <w:tcW w:w="2943"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color w:val="000000"/>
                <w:sz w:val="22"/>
                <w:szCs w:val="22"/>
                <w:lang w:eastAsia="da-DK"/>
              </w:rPr>
              <w:t>Ingen særlig rekommandation.</w:t>
            </w:r>
          </w:p>
        </w:tc>
      </w:tr>
      <w:tr w:rsidR="001A1784" w:rsidTr="009726B8">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 xml:space="preserve">Efavirenz 600 mg×1, 14 dage </w:t>
            </w:r>
          </w:p>
        </w:tc>
        <w:tc>
          <w:tcPr>
            <w:tcW w:w="2057"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10 mg i 3 dage</w:t>
            </w:r>
          </w:p>
        </w:tc>
        <w:tc>
          <w:tcPr>
            <w:tcW w:w="2171"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bidi="te-IN"/>
              </w:rPr>
            </w:pPr>
            <w:r>
              <w:rPr>
                <w:sz w:val="22"/>
                <w:szCs w:val="22"/>
                <w:lang w:eastAsia="da-DK" w:bidi="te-IN"/>
              </w:rPr>
              <w:t>0,59</w:t>
            </w:r>
          </w:p>
        </w:tc>
        <w:tc>
          <w:tcPr>
            <w:tcW w:w="2943"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color w:val="000000"/>
                <w:sz w:val="22"/>
                <w:szCs w:val="22"/>
                <w:lang w:eastAsia="da-DK"/>
              </w:rPr>
              <w:t>Ingen særlig rekommandation.</w:t>
            </w:r>
          </w:p>
        </w:tc>
      </w:tr>
      <w:tr w:rsidR="001A1784" w:rsidTr="009726B8">
        <w:trPr>
          <w:trHeight w:val="254"/>
        </w:trPr>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 xml:space="preserve">Rifampicin 600 mg×1, 7 dage (samtidig indgift) </w:t>
            </w:r>
          </w:p>
        </w:tc>
        <w:tc>
          <w:tcPr>
            <w:tcW w:w="2057"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 xml:space="preserve">40 mg </w:t>
            </w:r>
            <w:r>
              <w:rPr>
                <w:color w:val="000000"/>
                <w:sz w:val="22"/>
                <w:szCs w:val="22"/>
                <w:lang w:eastAsia="da-DK"/>
              </w:rPr>
              <w:t>enkeltdosis</w:t>
            </w:r>
          </w:p>
        </w:tc>
        <w:tc>
          <w:tcPr>
            <w:tcW w:w="2171"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bidi="te-IN"/>
              </w:rPr>
            </w:pPr>
            <w:r>
              <w:rPr>
                <w:sz w:val="22"/>
                <w:szCs w:val="22"/>
                <w:lang w:eastAsia="da-DK" w:bidi="te-IN"/>
              </w:rPr>
              <w:t>1,12</w:t>
            </w:r>
          </w:p>
        </w:tc>
        <w:tc>
          <w:tcPr>
            <w:tcW w:w="2943" w:type="dxa"/>
            <w:gridSpan w:val="2"/>
            <w:vMerge w:val="restart"/>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 xml:space="preserve">Hvis samtidig behandling ikke kan undgås, anbefales </w:t>
            </w:r>
            <w:r>
              <w:rPr>
                <w:sz w:val="22"/>
                <w:szCs w:val="22"/>
                <w:lang w:eastAsia="da-DK"/>
              </w:rPr>
              <w:lastRenderedPageBreak/>
              <w:t xml:space="preserve">samtidig indgift af </w:t>
            </w:r>
            <w:r>
              <w:rPr>
                <w:bCs/>
                <w:sz w:val="22"/>
                <w:szCs w:val="22"/>
                <w:lang w:eastAsia="da-DK"/>
              </w:rPr>
              <w:t>atorvastatin og rifampicin samt klinisk monitorering.</w:t>
            </w:r>
          </w:p>
        </w:tc>
      </w:tr>
      <w:tr w:rsidR="001A1784" w:rsidTr="009726B8">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lastRenderedPageBreak/>
              <w:t>Rifampicin 600 mg×1, 5 dage (adskilt indgift)</w:t>
            </w:r>
          </w:p>
        </w:tc>
        <w:tc>
          <w:tcPr>
            <w:tcW w:w="2057"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 xml:space="preserve">40 mg </w:t>
            </w:r>
            <w:r>
              <w:rPr>
                <w:color w:val="000000"/>
                <w:sz w:val="22"/>
                <w:szCs w:val="22"/>
                <w:lang w:eastAsia="da-DK"/>
              </w:rPr>
              <w:t>enkeltdosis</w:t>
            </w:r>
          </w:p>
        </w:tc>
        <w:tc>
          <w:tcPr>
            <w:tcW w:w="2171"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bidi="te-IN"/>
              </w:rPr>
            </w:pPr>
            <w:r>
              <w:rPr>
                <w:sz w:val="22"/>
                <w:szCs w:val="22"/>
                <w:lang w:eastAsia="da-DK" w:bidi="te-IN"/>
              </w:rPr>
              <w:t>0,20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A1784" w:rsidRDefault="001A1784" w:rsidP="009726B8">
            <w:pPr>
              <w:rPr>
                <w:sz w:val="22"/>
                <w:szCs w:val="22"/>
                <w:lang w:eastAsia="da-DK"/>
              </w:rPr>
            </w:pPr>
          </w:p>
        </w:tc>
      </w:tr>
      <w:tr w:rsidR="001A1784" w:rsidTr="009726B8">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 xml:space="preserve">Gemfibrozil 600 mg×2, 7 dage </w:t>
            </w:r>
          </w:p>
        </w:tc>
        <w:tc>
          <w:tcPr>
            <w:tcW w:w="2057"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 xml:space="preserve">40 mg </w:t>
            </w:r>
            <w:r>
              <w:rPr>
                <w:color w:val="000000"/>
                <w:sz w:val="22"/>
                <w:szCs w:val="22"/>
                <w:lang w:eastAsia="da-DK"/>
              </w:rPr>
              <w:t>enkeltdosis</w:t>
            </w:r>
          </w:p>
        </w:tc>
        <w:tc>
          <w:tcPr>
            <w:tcW w:w="2171"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bidi="te-IN"/>
              </w:rPr>
            </w:pPr>
            <w:r>
              <w:rPr>
                <w:sz w:val="22"/>
                <w:szCs w:val="22"/>
                <w:lang w:eastAsia="da-DK"/>
              </w:rPr>
              <w:t>1,35</w:t>
            </w:r>
          </w:p>
        </w:tc>
        <w:tc>
          <w:tcPr>
            <w:tcW w:w="2943"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Nedsat initialdosis samt klinisk monitorering anbefales.</w:t>
            </w:r>
          </w:p>
        </w:tc>
      </w:tr>
      <w:tr w:rsidR="001A1784" w:rsidTr="009726B8">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Fenofibrat 160 mg×1, 7 dage</w:t>
            </w:r>
          </w:p>
        </w:tc>
        <w:tc>
          <w:tcPr>
            <w:tcW w:w="2057"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 xml:space="preserve">40 mg </w:t>
            </w:r>
            <w:r>
              <w:rPr>
                <w:color w:val="000000"/>
                <w:sz w:val="22"/>
                <w:szCs w:val="22"/>
                <w:lang w:eastAsia="da-DK"/>
              </w:rPr>
              <w:t>enkeltdosis</w:t>
            </w:r>
            <w:r>
              <w:rPr>
                <w:sz w:val="22"/>
                <w:szCs w:val="22"/>
                <w:lang w:eastAsia="da-DK"/>
              </w:rPr>
              <w:t xml:space="preserve"> </w:t>
            </w:r>
          </w:p>
        </w:tc>
        <w:tc>
          <w:tcPr>
            <w:tcW w:w="2171"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bidi="te-IN"/>
              </w:rPr>
            </w:pPr>
            <w:r>
              <w:rPr>
                <w:sz w:val="22"/>
                <w:szCs w:val="22"/>
                <w:lang w:eastAsia="da-DK"/>
              </w:rPr>
              <w:t>1,03</w:t>
            </w:r>
          </w:p>
        </w:tc>
        <w:tc>
          <w:tcPr>
            <w:tcW w:w="2943"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Nedsat initialdosis samt klinisk monitorering anbefales.</w:t>
            </w:r>
          </w:p>
        </w:tc>
      </w:tr>
      <w:tr w:rsidR="001A1784" w:rsidTr="009726B8">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Boceprevir 800 mg×3, 7 dage</w:t>
            </w:r>
          </w:p>
        </w:tc>
        <w:tc>
          <w:tcPr>
            <w:tcW w:w="2057"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 xml:space="preserve">40 mg </w:t>
            </w:r>
            <w:r>
              <w:rPr>
                <w:color w:val="000000"/>
                <w:sz w:val="22"/>
                <w:szCs w:val="22"/>
                <w:lang w:eastAsia="da-DK"/>
              </w:rPr>
              <w:t>enkeltdosis</w:t>
            </w:r>
            <w:r>
              <w:rPr>
                <w:sz w:val="22"/>
                <w:szCs w:val="22"/>
                <w:lang w:eastAsia="da-DK"/>
              </w:rPr>
              <w:t xml:space="preserve"> </w:t>
            </w:r>
          </w:p>
        </w:tc>
        <w:tc>
          <w:tcPr>
            <w:tcW w:w="2171"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2,3</w:t>
            </w:r>
          </w:p>
        </w:tc>
        <w:tc>
          <w:tcPr>
            <w:tcW w:w="2943"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eastAsia="da-DK"/>
              </w:rPr>
              <w:t>Nedsat initialdosis samt klinisk monitorering anbefales. Daglig atorvastatin</w:t>
            </w:r>
            <w:r>
              <w:rPr>
                <w:sz w:val="22"/>
                <w:szCs w:val="22"/>
                <w:lang w:eastAsia="da-DK"/>
              </w:rPr>
              <w:softHyphen/>
              <w:t>dosis bør ikke overstige 20 mg, når det administreres sammen med boceprevir.</w:t>
            </w:r>
          </w:p>
        </w:tc>
      </w:tr>
      <w:tr w:rsidR="001A1784" w:rsidTr="009726B8">
        <w:tc>
          <w:tcPr>
            <w:tcW w:w="2686" w:type="dxa"/>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sidRPr="00204C24">
              <w:rPr>
                <w:sz w:val="22"/>
                <w:szCs w:val="22"/>
                <w:lang w:eastAsia="en-GB"/>
              </w:rPr>
              <w:t>Glecaprevir 400 mg 1 gang dagligt/ Pibrentasvir 120 mg 1 gang dagligt, 7 dage</w:t>
            </w:r>
          </w:p>
        </w:tc>
        <w:tc>
          <w:tcPr>
            <w:tcW w:w="2057"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sidRPr="00204C24">
              <w:rPr>
                <w:sz w:val="22"/>
                <w:szCs w:val="22"/>
                <w:lang w:eastAsia="en-GB"/>
              </w:rPr>
              <w:t>10 mg 1 gang dagligt i 7 dage</w:t>
            </w:r>
          </w:p>
        </w:tc>
        <w:tc>
          <w:tcPr>
            <w:tcW w:w="2171"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val="en-GB" w:eastAsia="en-GB"/>
              </w:rPr>
              <w:t>8,3</w:t>
            </w:r>
          </w:p>
        </w:tc>
        <w:tc>
          <w:tcPr>
            <w:tcW w:w="2943"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eastAsia="da-DK"/>
              </w:rPr>
            </w:pPr>
            <w:r>
              <w:rPr>
                <w:sz w:val="22"/>
                <w:szCs w:val="22"/>
                <w:lang w:val="nb-NO" w:eastAsia="en-GB"/>
              </w:rPr>
              <w:t>Samtidig administration med produkter, der indeholder glecaprevir eller pibrentasvir, er kontraindiceret (se pkt. 4.3).</w:t>
            </w:r>
          </w:p>
        </w:tc>
      </w:tr>
      <w:tr w:rsidR="001A1784" w:rsidTr="009726B8">
        <w:tc>
          <w:tcPr>
            <w:tcW w:w="2686" w:type="dxa"/>
            <w:tcBorders>
              <w:top w:val="single" w:sz="4" w:space="0" w:color="auto"/>
              <w:left w:val="single" w:sz="4" w:space="0" w:color="auto"/>
              <w:bottom w:val="single" w:sz="4" w:space="0" w:color="auto"/>
              <w:right w:val="single" w:sz="4" w:space="0" w:color="auto"/>
            </w:tcBorders>
            <w:hideMark/>
          </w:tcPr>
          <w:p w:rsidR="001A1784" w:rsidRPr="00204C24" w:rsidRDefault="001A1784" w:rsidP="009726B8">
            <w:pPr>
              <w:rPr>
                <w:sz w:val="22"/>
                <w:szCs w:val="22"/>
                <w:lang w:eastAsia="en-GB"/>
              </w:rPr>
            </w:pPr>
            <w:r w:rsidRPr="00204C24">
              <w:rPr>
                <w:sz w:val="22"/>
                <w:szCs w:val="22"/>
                <w:lang w:eastAsia="en-GB"/>
              </w:rPr>
              <w:t>Elbasvir 50 mg 1 gang dagligt/ Grazoprevir 200 mg 1 gang dagligt, 13 dage</w:t>
            </w:r>
          </w:p>
        </w:tc>
        <w:tc>
          <w:tcPr>
            <w:tcW w:w="2057"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val="nb-NO" w:eastAsia="en-GB"/>
              </w:rPr>
            </w:pPr>
            <w:r>
              <w:rPr>
                <w:sz w:val="22"/>
                <w:szCs w:val="22"/>
                <w:lang w:val="en-GB" w:eastAsia="en-GB"/>
              </w:rPr>
              <w:t>10 mg enkeltdosis</w:t>
            </w:r>
          </w:p>
        </w:tc>
        <w:tc>
          <w:tcPr>
            <w:tcW w:w="2171"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val="en-GB" w:eastAsia="en-GB"/>
              </w:rPr>
            </w:pPr>
            <w:r>
              <w:rPr>
                <w:sz w:val="22"/>
                <w:szCs w:val="22"/>
                <w:lang w:val="en-GB" w:eastAsia="en-GB"/>
              </w:rPr>
              <w:t>1,95</w:t>
            </w:r>
          </w:p>
        </w:tc>
        <w:tc>
          <w:tcPr>
            <w:tcW w:w="2943" w:type="dxa"/>
            <w:gridSpan w:val="2"/>
            <w:tcBorders>
              <w:top w:val="single" w:sz="4" w:space="0" w:color="auto"/>
              <w:left w:val="single" w:sz="4" w:space="0" w:color="auto"/>
              <w:bottom w:val="single" w:sz="4" w:space="0" w:color="auto"/>
              <w:right w:val="single" w:sz="4" w:space="0" w:color="auto"/>
            </w:tcBorders>
            <w:hideMark/>
          </w:tcPr>
          <w:p w:rsidR="001A1784" w:rsidRDefault="001A1784" w:rsidP="009726B8">
            <w:pPr>
              <w:rPr>
                <w:sz w:val="22"/>
                <w:szCs w:val="22"/>
                <w:lang w:val="nb-NO" w:eastAsia="en-GB"/>
              </w:rPr>
            </w:pPr>
            <w:r>
              <w:rPr>
                <w:sz w:val="22"/>
                <w:szCs w:val="22"/>
                <w:lang w:val="nb-NO" w:eastAsia="en-GB"/>
              </w:rPr>
              <w:t>Daglig atorvastatindosis må ikke overstige 20 mg, når det administreres sammen med produkter, der indeholder elbasvir eller grazoprevir.</w:t>
            </w:r>
          </w:p>
        </w:tc>
      </w:tr>
      <w:tr w:rsidR="00F63265" w:rsidTr="009726B8">
        <w:tc>
          <w:tcPr>
            <w:tcW w:w="2686" w:type="dxa"/>
            <w:tcBorders>
              <w:top w:val="single" w:sz="4" w:space="0" w:color="auto"/>
              <w:left w:val="single" w:sz="4" w:space="0" w:color="auto"/>
              <w:bottom w:val="single" w:sz="4" w:space="0" w:color="auto"/>
              <w:right w:val="single" w:sz="4" w:space="0" w:color="auto"/>
            </w:tcBorders>
          </w:tcPr>
          <w:p w:rsidR="00F63265" w:rsidRDefault="00F63265" w:rsidP="00F63265">
            <w:pPr>
              <w:rPr>
                <w:sz w:val="22"/>
                <w:szCs w:val="22"/>
                <w:lang w:eastAsia="en-GB"/>
              </w:rPr>
            </w:pPr>
            <w:r>
              <w:rPr>
                <w:sz w:val="22"/>
                <w:szCs w:val="22"/>
                <w:lang w:eastAsia="en-GB"/>
              </w:rPr>
              <w:t>Letermovir 480 mg 1 gang dagligt, 10 dage</w:t>
            </w:r>
          </w:p>
        </w:tc>
        <w:tc>
          <w:tcPr>
            <w:tcW w:w="2057" w:type="dxa"/>
            <w:gridSpan w:val="2"/>
            <w:tcBorders>
              <w:top w:val="single" w:sz="4" w:space="0" w:color="auto"/>
              <w:left w:val="single" w:sz="4" w:space="0" w:color="auto"/>
              <w:bottom w:val="single" w:sz="4" w:space="0" w:color="auto"/>
              <w:right w:val="single" w:sz="4" w:space="0" w:color="auto"/>
            </w:tcBorders>
          </w:tcPr>
          <w:p w:rsidR="00F63265" w:rsidRDefault="00F63265" w:rsidP="00F63265">
            <w:pPr>
              <w:rPr>
                <w:sz w:val="22"/>
                <w:szCs w:val="22"/>
                <w:lang w:eastAsia="en-GB"/>
              </w:rPr>
            </w:pPr>
            <w:r>
              <w:rPr>
                <w:sz w:val="22"/>
                <w:szCs w:val="22"/>
                <w:lang w:eastAsia="en-GB"/>
              </w:rPr>
              <w:t>20 mg enkeltdosis</w:t>
            </w:r>
          </w:p>
        </w:tc>
        <w:tc>
          <w:tcPr>
            <w:tcW w:w="2171" w:type="dxa"/>
            <w:gridSpan w:val="2"/>
            <w:tcBorders>
              <w:top w:val="single" w:sz="4" w:space="0" w:color="auto"/>
              <w:left w:val="single" w:sz="4" w:space="0" w:color="auto"/>
              <w:bottom w:val="single" w:sz="4" w:space="0" w:color="auto"/>
              <w:right w:val="single" w:sz="4" w:space="0" w:color="auto"/>
            </w:tcBorders>
          </w:tcPr>
          <w:p w:rsidR="00F63265" w:rsidRDefault="00F63265" w:rsidP="00F63265">
            <w:pPr>
              <w:rPr>
                <w:sz w:val="22"/>
                <w:szCs w:val="22"/>
                <w:lang w:eastAsia="en-GB"/>
              </w:rPr>
            </w:pPr>
            <w:r>
              <w:rPr>
                <w:sz w:val="22"/>
                <w:szCs w:val="22"/>
                <w:lang w:eastAsia="en-GB"/>
              </w:rPr>
              <w:t>3,29</w:t>
            </w:r>
          </w:p>
        </w:tc>
        <w:tc>
          <w:tcPr>
            <w:tcW w:w="2943" w:type="dxa"/>
            <w:gridSpan w:val="2"/>
            <w:tcBorders>
              <w:top w:val="single" w:sz="4" w:space="0" w:color="auto"/>
              <w:left w:val="single" w:sz="4" w:space="0" w:color="auto"/>
              <w:bottom w:val="single" w:sz="4" w:space="0" w:color="auto"/>
              <w:right w:val="single" w:sz="4" w:space="0" w:color="auto"/>
            </w:tcBorders>
          </w:tcPr>
          <w:p w:rsidR="00F63265" w:rsidRDefault="00F63265" w:rsidP="00F63265">
            <w:pPr>
              <w:rPr>
                <w:sz w:val="22"/>
                <w:szCs w:val="22"/>
                <w:lang w:eastAsia="en-GB"/>
              </w:rPr>
            </w:pPr>
            <w:r>
              <w:rPr>
                <w:sz w:val="22"/>
                <w:szCs w:val="22"/>
                <w:lang w:eastAsia="en-GB"/>
              </w:rPr>
              <w:t>Daglig atorvastatindosis må ikke overstige 20 mg, når det administreres sammen med produkter, der indeholder letermovir</w:t>
            </w:r>
          </w:p>
        </w:tc>
      </w:tr>
    </w:tbl>
    <w:p w:rsidR="001A1784" w:rsidRDefault="001A1784" w:rsidP="001A1784">
      <w:pPr>
        <w:autoSpaceDE w:val="0"/>
        <w:autoSpaceDN w:val="0"/>
        <w:adjustRightInd w:val="0"/>
        <w:ind w:left="851"/>
        <w:rPr>
          <w:sz w:val="24"/>
          <w:szCs w:val="24"/>
          <w:lang w:eastAsia="da-DK" w:bidi="te-IN"/>
        </w:rPr>
      </w:pPr>
      <w:r>
        <w:rPr>
          <w:sz w:val="24"/>
          <w:szCs w:val="24"/>
          <w:vertAlign w:val="superscript"/>
          <w:lang w:eastAsia="da-DK" w:bidi="te-IN"/>
        </w:rPr>
        <w:t>&amp;</w:t>
      </w:r>
      <w:r>
        <w:rPr>
          <w:sz w:val="24"/>
          <w:szCs w:val="24"/>
          <w:lang w:eastAsia="da-DK" w:bidi="te-IN"/>
        </w:rPr>
        <w:tab/>
      </w:r>
      <w:r>
        <w:rPr>
          <w:sz w:val="24"/>
          <w:szCs w:val="24"/>
          <w:lang w:eastAsia="da-DK"/>
        </w:rPr>
        <w:t>Repræsenterer behandlingsratio (samtidigt behandlet lægemiddel samt atorvastatin overfor atorvastatin alene).</w:t>
      </w:r>
      <w:r>
        <w:rPr>
          <w:sz w:val="24"/>
          <w:szCs w:val="24"/>
          <w:lang w:eastAsia="da-DK" w:bidi="te-IN"/>
        </w:rPr>
        <w:t xml:space="preserve"> </w:t>
      </w:r>
    </w:p>
    <w:p w:rsidR="001A1784" w:rsidRDefault="001A1784" w:rsidP="001A1784">
      <w:pPr>
        <w:ind w:left="851" w:right="966"/>
        <w:rPr>
          <w:sz w:val="24"/>
          <w:szCs w:val="24"/>
          <w:lang w:eastAsia="da-DK" w:bidi="te-IN"/>
        </w:rPr>
      </w:pPr>
      <w:r>
        <w:rPr>
          <w:sz w:val="24"/>
          <w:szCs w:val="24"/>
          <w:vertAlign w:val="superscript"/>
          <w:lang w:eastAsia="da-DK"/>
        </w:rPr>
        <w:t>#</w:t>
      </w:r>
      <w:r>
        <w:rPr>
          <w:sz w:val="24"/>
          <w:szCs w:val="24"/>
          <w:lang w:eastAsia="da-DK" w:bidi="te-IN"/>
        </w:rPr>
        <w:t xml:space="preserve"> </w:t>
      </w:r>
      <w:r>
        <w:rPr>
          <w:sz w:val="24"/>
          <w:szCs w:val="24"/>
          <w:lang w:eastAsia="da-DK" w:bidi="te-IN"/>
        </w:rPr>
        <w:tab/>
        <w:t xml:space="preserve">Se pkt. 4.4 og 4.5 for klinisk signifikans. </w:t>
      </w:r>
    </w:p>
    <w:p w:rsidR="001A1784" w:rsidRDefault="001A1784" w:rsidP="001A1784">
      <w:pPr>
        <w:ind w:left="851" w:right="966"/>
        <w:rPr>
          <w:sz w:val="24"/>
          <w:szCs w:val="24"/>
          <w:lang w:eastAsia="da-DK"/>
        </w:rPr>
      </w:pPr>
      <w:r>
        <w:rPr>
          <w:sz w:val="24"/>
          <w:szCs w:val="24"/>
          <w:lang w:eastAsia="da-DK" w:bidi="te-IN"/>
        </w:rPr>
        <w:t xml:space="preserve">* </w:t>
      </w:r>
      <w:r>
        <w:rPr>
          <w:sz w:val="24"/>
          <w:szCs w:val="24"/>
          <w:lang w:eastAsia="da-DK" w:bidi="te-IN"/>
        </w:rPr>
        <w:tab/>
        <w:t xml:space="preserve">Indeholder et eller flere komponenter, der hæmmer CYP3A4, og kan øge plasmakoncentrationen af lægemidler, der metaboliseres via </w:t>
      </w:r>
      <w:r>
        <w:rPr>
          <w:sz w:val="24"/>
          <w:szCs w:val="24"/>
          <w:lang w:eastAsia="da-DK"/>
        </w:rPr>
        <w:t>CYP3A4. Indtagelse af et glas (240 ml) grapefruitjuice resulterede også i en reduktion af AUC på 20,4% for den aktive orthohydroxy-metabolit. Store mængder grapefruitjuice (over 1,2 l daglig i 5 dage) øgede AUC for atorvastatin 2,5 gange og AUC for aktive (atorvastatin og metabolitter). HMG-CoA reduktasehæmmere 1,3 gange.</w:t>
      </w:r>
    </w:p>
    <w:p w:rsidR="001A1784" w:rsidRDefault="001A1784" w:rsidP="001A1784">
      <w:pPr>
        <w:ind w:left="851" w:right="966"/>
        <w:rPr>
          <w:sz w:val="24"/>
          <w:szCs w:val="24"/>
        </w:rPr>
      </w:pPr>
      <w:r>
        <w:rPr>
          <w:sz w:val="24"/>
          <w:szCs w:val="24"/>
        </w:rPr>
        <w:t>**</w:t>
      </w:r>
      <w:r>
        <w:rPr>
          <w:sz w:val="24"/>
          <w:szCs w:val="24"/>
        </w:rPr>
        <w:tab/>
        <w:t>Ratio er baseret på en enkelt prøve taget 8-16 timer efter indtagelse.</w:t>
      </w:r>
    </w:p>
    <w:p w:rsidR="001A1784" w:rsidRDefault="001A1784" w:rsidP="001A1784">
      <w:pPr>
        <w:ind w:left="851" w:right="966"/>
        <w:rPr>
          <w:sz w:val="24"/>
          <w:szCs w:val="24"/>
          <w:u w:val="single"/>
        </w:rPr>
      </w:pPr>
    </w:p>
    <w:p w:rsidR="00F63265" w:rsidRDefault="00F63265" w:rsidP="00F63265">
      <w:pPr>
        <w:ind w:left="142" w:right="966"/>
        <w:rPr>
          <w:sz w:val="24"/>
          <w:szCs w:val="24"/>
        </w:rPr>
      </w:pPr>
      <w:r>
        <w:rPr>
          <w:sz w:val="24"/>
          <w:szCs w:val="24"/>
        </w:rPr>
        <w:t>Tabel 2: Atorvastatins virkning på farmakokinetikken af samtidigt administrerede lægemidler</w:t>
      </w:r>
    </w:p>
    <w:p w:rsidR="00F63265" w:rsidRDefault="00F63265" w:rsidP="00F63265">
      <w:pPr>
        <w:ind w:right="966"/>
        <w:rPr>
          <w:sz w:val="24"/>
          <w:szCs w:val="24"/>
        </w:rPr>
      </w:pPr>
    </w:p>
    <w:tbl>
      <w:tblPr>
        <w:tblW w:w="94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976"/>
        <w:gridCol w:w="1500"/>
        <w:gridCol w:w="2692"/>
      </w:tblGrid>
      <w:tr w:rsidR="00F63265" w:rsidTr="00F63265">
        <w:tc>
          <w:tcPr>
            <w:tcW w:w="2268" w:type="dxa"/>
            <w:vMerge w:val="restart"/>
            <w:tcBorders>
              <w:top w:val="single" w:sz="4" w:space="0" w:color="auto"/>
              <w:left w:val="single" w:sz="4" w:space="0" w:color="auto"/>
              <w:bottom w:val="single" w:sz="4" w:space="0" w:color="auto"/>
              <w:right w:val="single" w:sz="4" w:space="0" w:color="auto"/>
            </w:tcBorders>
            <w:hideMark/>
          </w:tcPr>
          <w:p w:rsidR="00F63265" w:rsidRDefault="00F63265">
            <w:pPr>
              <w:ind w:left="34" w:right="176"/>
              <w:rPr>
                <w:b/>
                <w:sz w:val="22"/>
                <w:szCs w:val="22"/>
              </w:rPr>
            </w:pPr>
            <w:r>
              <w:rPr>
                <w:b/>
                <w:bCs/>
                <w:sz w:val="22"/>
                <w:szCs w:val="22"/>
              </w:rPr>
              <w:t>Atorvastatin-</w:t>
            </w:r>
            <w:r>
              <w:rPr>
                <w:b/>
                <w:sz w:val="22"/>
                <w:szCs w:val="22"/>
              </w:rPr>
              <w:t>dosisregime</w:t>
            </w:r>
          </w:p>
        </w:tc>
        <w:tc>
          <w:tcPr>
            <w:tcW w:w="7170" w:type="dxa"/>
            <w:gridSpan w:val="3"/>
            <w:tcBorders>
              <w:top w:val="single" w:sz="4" w:space="0" w:color="auto"/>
              <w:left w:val="single" w:sz="4" w:space="0" w:color="auto"/>
              <w:bottom w:val="single" w:sz="4" w:space="0" w:color="auto"/>
              <w:right w:val="single" w:sz="4" w:space="0" w:color="auto"/>
            </w:tcBorders>
            <w:hideMark/>
          </w:tcPr>
          <w:p w:rsidR="00F63265" w:rsidRDefault="00F63265">
            <w:pPr>
              <w:ind w:left="85" w:right="966"/>
              <w:rPr>
                <w:b/>
                <w:bCs/>
                <w:sz w:val="22"/>
                <w:szCs w:val="22"/>
              </w:rPr>
            </w:pPr>
            <w:r>
              <w:rPr>
                <w:b/>
                <w:bCs/>
                <w:sz w:val="22"/>
                <w:szCs w:val="22"/>
              </w:rPr>
              <w:t xml:space="preserve">Samtidigt administreret lægemiddel </w:t>
            </w:r>
          </w:p>
        </w:tc>
      </w:tr>
      <w:tr w:rsidR="00F63265" w:rsidTr="00F63265">
        <w:tc>
          <w:tcPr>
            <w:tcW w:w="2268" w:type="dxa"/>
            <w:vMerge/>
            <w:tcBorders>
              <w:top w:val="single" w:sz="4" w:space="0" w:color="auto"/>
              <w:left w:val="single" w:sz="4" w:space="0" w:color="auto"/>
              <w:bottom w:val="single" w:sz="4" w:space="0" w:color="auto"/>
              <w:right w:val="single" w:sz="4" w:space="0" w:color="auto"/>
            </w:tcBorders>
            <w:vAlign w:val="center"/>
            <w:hideMark/>
          </w:tcPr>
          <w:p w:rsidR="00F63265" w:rsidRDefault="00F63265">
            <w:pPr>
              <w:rPr>
                <w:b/>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rsidR="00F63265" w:rsidRDefault="00F63265">
            <w:pPr>
              <w:ind w:left="85" w:right="235"/>
              <w:rPr>
                <w:b/>
                <w:bCs/>
                <w:sz w:val="22"/>
                <w:szCs w:val="22"/>
              </w:rPr>
            </w:pPr>
            <w:r>
              <w:rPr>
                <w:b/>
                <w:bCs/>
                <w:sz w:val="22"/>
                <w:szCs w:val="22"/>
              </w:rPr>
              <w:t>Lægemiddel/dosisregime (mg)</w:t>
            </w:r>
          </w:p>
        </w:tc>
        <w:tc>
          <w:tcPr>
            <w:tcW w:w="1500" w:type="dxa"/>
            <w:tcBorders>
              <w:top w:val="single" w:sz="4" w:space="0" w:color="auto"/>
              <w:left w:val="single" w:sz="4" w:space="0" w:color="auto"/>
              <w:bottom w:val="single" w:sz="4" w:space="0" w:color="auto"/>
              <w:right w:val="single" w:sz="4" w:space="0" w:color="auto"/>
            </w:tcBorders>
            <w:hideMark/>
          </w:tcPr>
          <w:p w:rsidR="00F63265" w:rsidRDefault="00F63265">
            <w:pPr>
              <w:ind w:left="85" w:right="258"/>
              <w:rPr>
                <w:b/>
                <w:bCs/>
                <w:sz w:val="22"/>
                <w:szCs w:val="22"/>
                <w:vertAlign w:val="superscript"/>
              </w:rPr>
            </w:pPr>
            <w:r>
              <w:rPr>
                <w:b/>
                <w:bCs/>
                <w:sz w:val="22"/>
                <w:szCs w:val="22"/>
              </w:rPr>
              <w:t>AUC-ratio</w:t>
            </w:r>
            <w:r>
              <w:rPr>
                <w:b/>
                <w:bCs/>
                <w:sz w:val="22"/>
                <w:szCs w:val="22"/>
                <w:vertAlign w:val="superscript"/>
              </w:rPr>
              <w:t>&amp;</w:t>
            </w:r>
          </w:p>
        </w:tc>
        <w:tc>
          <w:tcPr>
            <w:tcW w:w="2693" w:type="dxa"/>
            <w:tcBorders>
              <w:top w:val="single" w:sz="4" w:space="0" w:color="auto"/>
              <w:left w:val="single" w:sz="4" w:space="0" w:color="auto"/>
              <w:bottom w:val="single" w:sz="4" w:space="0" w:color="auto"/>
              <w:right w:val="single" w:sz="4" w:space="0" w:color="auto"/>
            </w:tcBorders>
            <w:hideMark/>
          </w:tcPr>
          <w:p w:rsidR="00F63265" w:rsidRDefault="00F63265">
            <w:pPr>
              <w:ind w:left="85" w:right="116"/>
              <w:rPr>
                <w:b/>
                <w:bCs/>
                <w:sz w:val="22"/>
                <w:szCs w:val="22"/>
              </w:rPr>
            </w:pPr>
            <w:r>
              <w:rPr>
                <w:b/>
                <w:bCs/>
                <w:sz w:val="22"/>
                <w:szCs w:val="22"/>
              </w:rPr>
              <w:t>Klinisk rekommandation</w:t>
            </w:r>
          </w:p>
        </w:tc>
      </w:tr>
      <w:tr w:rsidR="00F63265" w:rsidTr="00F63265">
        <w:tc>
          <w:tcPr>
            <w:tcW w:w="2268" w:type="dxa"/>
            <w:tcBorders>
              <w:top w:val="single" w:sz="4" w:space="0" w:color="auto"/>
              <w:left w:val="single" w:sz="4" w:space="0" w:color="auto"/>
              <w:bottom w:val="single" w:sz="4" w:space="0" w:color="auto"/>
              <w:right w:val="single" w:sz="4" w:space="0" w:color="auto"/>
            </w:tcBorders>
            <w:hideMark/>
          </w:tcPr>
          <w:p w:rsidR="00F63265" w:rsidRDefault="00F63265">
            <w:pPr>
              <w:ind w:left="34" w:right="176"/>
              <w:rPr>
                <w:sz w:val="22"/>
                <w:szCs w:val="22"/>
              </w:rPr>
            </w:pPr>
            <w:r>
              <w:rPr>
                <w:sz w:val="22"/>
                <w:szCs w:val="22"/>
              </w:rPr>
              <w:t>80 mg×1 i 10 dage</w:t>
            </w:r>
          </w:p>
        </w:tc>
        <w:tc>
          <w:tcPr>
            <w:tcW w:w="2977" w:type="dxa"/>
            <w:tcBorders>
              <w:top w:val="single" w:sz="4" w:space="0" w:color="auto"/>
              <w:left w:val="single" w:sz="4" w:space="0" w:color="auto"/>
              <w:bottom w:val="single" w:sz="4" w:space="0" w:color="auto"/>
              <w:right w:val="single" w:sz="4" w:space="0" w:color="auto"/>
            </w:tcBorders>
            <w:hideMark/>
          </w:tcPr>
          <w:p w:rsidR="00F63265" w:rsidRDefault="00F63265">
            <w:pPr>
              <w:ind w:left="85" w:right="93"/>
              <w:rPr>
                <w:sz w:val="22"/>
                <w:szCs w:val="22"/>
              </w:rPr>
            </w:pPr>
            <w:r>
              <w:rPr>
                <w:sz w:val="22"/>
                <w:szCs w:val="22"/>
              </w:rPr>
              <w:t>Digoxin 0,25 mg×1, 20 dage</w:t>
            </w:r>
          </w:p>
        </w:tc>
        <w:tc>
          <w:tcPr>
            <w:tcW w:w="1500" w:type="dxa"/>
            <w:tcBorders>
              <w:top w:val="single" w:sz="4" w:space="0" w:color="auto"/>
              <w:left w:val="single" w:sz="4" w:space="0" w:color="auto"/>
              <w:bottom w:val="single" w:sz="4" w:space="0" w:color="auto"/>
              <w:right w:val="single" w:sz="4" w:space="0" w:color="auto"/>
            </w:tcBorders>
            <w:hideMark/>
          </w:tcPr>
          <w:p w:rsidR="00F63265" w:rsidRDefault="00F63265">
            <w:pPr>
              <w:ind w:left="85" w:right="258"/>
              <w:rPr>
                <w:sz w:val="22"/>
                <w:szCs w:val="22"/>
              </w:rPr>
            </w:pPr>
            <w:r>
              <w:rPr>
                <w:sz w:val="22"/>
                <w:szCs w:val="22"/>
              </w:rPr>
              <w:t>1,15</w:t>
            </w:r>
          </w:p>
        </w:tc>
        <w:tc>
          <w:tcPr>
            <w:tcW w:w="2693" w:type="dxa"/>
            <w:tcBorders>
              <w:top w:val="single" w:sz="4" w:space="0" w:color="auto"/>
              <w:left w:val="single" w:sz="4" w:space="0" w:color="auto"/>
              <w:bottom w:val="single" w:sz="4" w:space="0" w:color="auto"/>
              <w:right w:val="single" w:sz="4" w:space="0" w:color="auto"/>
            </w:tcBorders>
            <w:hideMark/>
          </w:tcPr>
          <w:p w:rsidR="00F63265" w:rsidRDefault="00F63265">
            <w:pPr>
              <w:ind w:left="85" w:right="116"/>
              <w:rPr>
                <w:sz w:val="22"/>
                <w:szCs w:val="22"/>
              </w:rPr>
            </w:pPr>
            <w:r>
              <w:rPr>
                <w:sz w:val="22"/>
                <w:szCs w:val="22"/>
              </w:rPr>
              <w:t>Patienter, der tager digoxin, skal monitoreres passende.</w:t>
            </w:r>
          </w:p>
        </w:tc>
      </w:tr>
      <w:tr w:rsidR="00F63265" w:rsidTr="00F63265">
        <w:tc>
          <w:tcPr>
            <w:tcW w:w="2268" w:type="dxa"/>
            <w:tcBorders>
              <w:top w:val="single" w:sz="4" w:space="0" w:color="auto"/>
              <w:left w:val="single" w:sz="4" w:space="0" w:color="auto"/>
              <w:bottom w:val="single" w:sz="4" w:space="0" w:color="auto"/>
              <w:right w:val="single" w:sz="4" w:space="0" w:color="auto"/>
            </w:tcBorders>
            <w:hideMark/>
          </w:tcPr>
          <w:p w:rsidR="00F63265" w:rsidRDefault="00F63265">
            <w:pPr>
              <w:ind w:left="34" w:right="176"/>
              <w:rPr>
                <w:sz w:val="22"/>
                <w:szCs w:val="22"/>
              </w:rPr>
            </w:pPr>
            <w:r>
              <w:rPr>
                <w:sz w:val="22"/>
                <w:szCs w:val="22"/>
              </w:rPr>
              <w:t xml:space="preserve">40 mg×1 i 22 dage </w:t>
            </w:r>
          </w:p>
        </w:tc>
        <w:tc>
          <w:tcPr>
            <w:tcW w:w="2977" w:type="dxa"/>
            <w:tcBorders>
              <w:top w:val="single" w:sz="4" w:space="0" w:color="auto"/>
              <w:left w:val="single" w:sz="4" w:space="0" w:color="auto"/>
              <w:bottom w:val="single" w:sz="4" w:space="0" w:color="auto"/>
              <w:right w:val="single" w:sz="4" w:space="0" w:color="auto"/>
            </w:tcBorders>
            <w:hideMark/>
          </w:tcPr>
          <w:p w:rsidR="00F63265" w:rsidRDefault="00F63265">
            <w:pPr>
              <w:ind w:left="85" w:right="93"/>
              <w:rPr>
                <w:sz w:val="22"/>
                <w:szCs w:val="22"/>
                <w:vertAlign w:val="superscript"/>
              </w:rPr>
            </w:pPr>
            <w:r>
              <w:rPr>
                <w:sz w:val="22"/>
                <w:szCs w:val="22"/>
              </w:rPr>
              <w:t>Orale kontraceptiva×1, 2 måneder</w:t>
            </w:r>
          </w:p>
          <w:p w:rsidR="00F63265" w:rsidRDefault="00F63265">
            <w:pPr>
              <w:ind w:left="85" w:right="176"/>
              <w:rPr>
                <w:sz w:val="22"/>
                <w:szCs w:val="22"/>
              </w:rPr>
            </w:pPr>
            <w:r>
              <w:rPr>
                <w:sz w:val="22"/>
                <w:szCs w:val="22"/>
              </w:rPr>
              <w:t>- norethisteron 1 mg</w:t>
            </w:r>
          </w:p>
          <w:p w:rsidR="00F63265" w:rsidRDefault="00F63265">
            <w:pPr>
              <w:ind w:left="85" w:right="317"/>
              <w:rPr>
                <w:sz w:val="22"/>
                <w:szCs w:val="22"/>
              </w:rPr>
            </w:pPr>
            <w:r>
              <w:rPr>
                <w:sz w:val="22"/>
                <w:szCs w:val="22"/>
              </w:rPr>
              <w:t>- ethinylestradiol 35 µg</w:t>
            </w:r>
          </w:p>
        </w:tc>
        <w:tc>
          <w:tcPr>
            <w:tcW w:w="1500" w:type="dxa"/>
            <w:tcBorders>
              <w:top w:val="single" w:sz="4" w:space="0" w:color="auto"/>
              <w:left w:val="single" w:sz="4" w:space="0" w:color="auto"/>
              <w:bottom w:val="single" w:sz="4" w:space="0" w:color="auto"/>
              <w:right w:val="single" w:sz="4" w:space="0" w:color="auto"/>
            </w:tcBorders>
            <w:hideMark/>
          </w:tcPr>
          <w:p w:rsidR="00F63265" w:rsidRDefault="00F63265">
            <w:pPr>
              <w:ind w:left="85" w:right="258"/>
              <w:rPr>
                <w:sz w:val="22"/>
                <w:szCs w:val="22"/>
              </w:rPr>
            </w:pPr>
            <w:r>
              <w:rPr>
                <w:sz w:val="22"/>
                <w:szCs w:val="22"/>
              </w:rPr>
              <w:t>1,28</w:t>
            </w:r>
          </w:p>
          <w:p w:rsidR="00F63265" w:rsidRDefault="00F63265">
            <w:pPr>
              <w:ind w:left="85" w:right="258"/>
              <w:rPr>
                <w:sz w:val="22"/>
                <w:szCs w:val="22"/>
              </w:rPr>
            </w:pPr>
            <w:r>
              <w:rPr>
                <w:sz w:val="22"/>
                <w:szCs w:val="22"/>
              </w:rPr>
              <w:t>1,19</w:t>
            </w:r>
          </w:p>
        </w:tc>
        <w:tc>
          <w:tcPr>
            <w:tcW w:w="2693" w:type="dxa"/>
            <w:tcBorders>
              <w:top w:val="single" w:sz="4" w:space="0" w:color="auto"/>
              <w:left w:val="single" w:sz="4" w:space="0" w:color="auto"/>
              <w:bottom w:val="single" w:sz="4" w:space="0" w:color="auto"/>
              <w:right w:val="single" w:sz="4" w:space="0" w:color="auto"/>
            </w:tcBorders>
            <w:hideMark/>
          </w:tcPr>
          <w:p w:rsidR="00F63265" w:rsidRDefault="00F63265">
            <w:pPr>
              <w:ind w:left="85" w:right="116"/>
              <w:rPr>
                <w:sz w:val="22"/>
                <w:szCs w:val="22"/>
              </w:rPr>
            </w:pPr>
            <w:r>
              <w:rPr>
                <w:sz w:val="22"/>
                <w:szCs w:val="22"/>
              </w:rPr>
              <w:t>Ingen særlig rekommandation.</w:t>
            </w:r>
          </w:p>
        </w:tc>
      </w:tr>
      <w:tr w:rsidR="00F63265" w:rsidTr="00F63265">
        <w:tc>
          <w:tcPr>
            <w:tcW w:w="2268" w:type="dxa"/>
            <w:tcBorders>
              <w:top w:val="single" w:sz="4" w:space="0" w:color="auto"/>
              <w:left w:val="single" w:sz="4" w:space="0" w:color="auto"/>
              <w:bottom w:val="single" w:sz="4" w:space="0" w:color="auto"/>
              <w:right w:val="single" w:sz="4" w:space="0" w:color="auto"/>
            </w:tcBorders>
            <w:hideMark/>
          </w:tcPr>
          <w:p w:rsidR="00F63265" w:rsidRDefault="00F63265">
            <w:pPr>
              <w:ind w:left="34" w:right="176"/>
              <w:rPr>
                <w:sz w:val="22"/>
                <w:szCs w:val="22"/>
              </w:rPr>
            </w:pPr>
            <w:r>
              <w:rPr>
                <w:sz w:val="22"/>
                <w:szCs w:val="22"/>
              </w:rPr>
              <w:lastRenderedPageBreak/>
              <w:t>80 mg×1 i 15 dage</w:t>
            </w:r>
          </w:p>
        </w:tc>
        <w:tc>
          <w:tcPr>
            <w:tcW w:w="2977" w:type="dxa"/>
            <w:tcBorders>
              <w:top w:val="single" w:sz="4" w:space="0" w:color="auto"/>
              <w:left w:val="single" w:sz="4" w:space="0" w:color="auto"/>
              <w:bottom w:val="single" w:sz="4" w:space="0" w:color="auto"/>
              <w:right w:val="single" w:sz="4" w:space="0" w:color="auto"/>
            </w:tcBorders>
            <w:hideMark/>
          </w:tcPr>
          <w:p w:rsidR="00F63265" w:rsidRDefault="00F63265">
            <w:pPr>
              <w:ind w:left="85" w:right="176"/>
              <w:rPr>
                <w:sz w:val="22"/>
                <w:szCs w:val="22"/>
              </w:rPr>
            </w:pPr>
            <w:r>
              <w:rPr>
                <w:sz w:val="22"/>
                <w:szCs w:val="22"/>
              </w:rPr>
              <w:t>* Phenazon, 600 mg enkeltdosis</w:t>
            </w:r>
          </w:p>
        </w:tc>
        <w:tc>
          <w:tcPr>
            <w:tcW w:w="1500" w:type="dxa"/>
            <w:tcBorders>
              <w:top w:val="single" w:sz="4" w:space="0" w:color="auto"/>
              <w:left w:val="single" w:sz="4" w:space="0" w:color="auto"/>
              <w:bottom w:val="single" w:sz="4" w:space="0" w:color="auto"/>
              <w:right w:val="single" w:sz="4" w:space="0" w:color="auto"/>
            </w:tcBorders>
            <w:hideMark/>
          </w:tcPr>
          <w:p w:rsidR="00F63265" w:rsidRDefault="00F63265">
            <w:pPr>
              <w:ind w:left="85" w:right="258"/>
              <w:rPr>
                <w:sz w:val="22"/>
                <w:szCs w:val="22"/>
              </w:rPr>
            </w:pPr>
            <w:r>
              <w:rPr>
                <w:sz w:val="22"/>
                <w:szCs w:val="22"/>
              </w:rPr>
              <w:t>1,03</w:t>
            </w:r>
          </w:p>
        </w:tc>
        <w:tc>
          <w:tcPr>
            <w:tcW w:w="2693" w:type="dxa"/>
            <w:tcBorders>
              <w:top w:val="single" w:sz="4" w:space="0" w:color="auto"/>
              <w:left w:val="single" w:sz="4" w:space="0" w:color="auto"/>
              <w:bottom w:val="single" w:sz="4" w:space="0" w:color="auto"/>
              <w:right w:val="single" w:sz="4" w:space="0" w:color="auto"/>
            </w:tcBorders>
            <w:hideMark/>
          </w:tcPr>
          <w:p w:rsidR="00F63265" w:rsidRDefault="00F63265">
            <w:pPr>
              <w:ind w:left="85" w:right="116"/>
              <w:rPr>
                <w:sz w:val="22"/>
                <w:szCs w:val="22"/>
              </w:rPr>
            </w:pPr>
            <w:r>
              <w:rPr>
                <w:sz w:val="22"/>
                <w:szCs w:val="22"/>
              </w:rPr>
              <w:t>Ingen særlig rekommandation.</w:t>
            </w:r>
          </w:p>
        </w:tc>
      </w:tr>
      <w:tr w:rsidR="00F63265" w:rsidTr="00F63265">
        <w:tc>
          <w:tcPr>
            <w:tcW w:w="2268" w:type="dxa"/>
            <w:tcBorders>
              <w:top w:val="single" w:sz="4" w:space="0" w:color="auto"/>
              <w:left w:val="single" w:sz="4" w:space="0" w:color="auto"/>
              <w:bottom w:val="single" w:sz="4" w:space="0" w:color="auto"/>
              <w:right w:val="single" w:sz="4" w:space="0" w:color="auto"/>
            </w:tcBorders>
            <w:hideMark/>
          </w:tcPr>
          <w:p w:rsidR="00F63265" w:rsidRDefault="00F63265">
            <w:pPr>
              <w:ind w:left="34" w:right="176"/>
              <w:rPr>
                <w:sz w:val="22"/>
                <w:szCs w:val="22"/>
              </w:rPr>
            </w:pPr>
            <w:r>
              <w:rPr>
                <w:sz w:val="22"/>
                <w:szCs w:val="22"/>
              </w:rPr>
              <w:t>10 mg enkeltdosis</w:t>
            </w:r>
          </w:p>
        </w:tc>
        <w:tc>
          <w:tcPr>
            <w:tcW w:w="2977" w:type="dxa"/>
            <w:tcBorders>
              <w:top w:val="single" w:sz="4" w:space="0" w:color="auto"/>
              <w:left w:val="single" w:sz="4" w:space="0" w:color="auto"/>
              <w:bottom w:val="single" w:sz="4" w:space="0" w:color="auto"/>
              <w:right w:val="single" w:sz="4" w:space="0" w:color="auto"/>
            </w:tcBorders>
            <w:hideMark/>
          </w:tcPr>
          <w:p w:rsidR="00F63265" w:rsidRDefault="00F63265">
            <w:pPr>
              <w:ind w:left="85" w:right="176"/>
              <w:rPr>
                <w:sz w:val="22"/>
                <w:szCs w:val="22"/>
                <w:lang w:val="sv-SE"/>
              </w:rPr>
            </w:pPr>
            <w:r>
              <w:rPr>
                <w:sz w:val="22"/>
                <w:szCs w:val="22"/>
                <w:lang w:val="sv-SE"/>
              </w:rPr>
              <w:t>Tipranavir 500 mg×2/ritonavir 200 mg×2, 7 dage</w:t>
            </w:r>
          </w:p>
        </w:tc>
        <w:tc>
          <w:tcPr>
            <w:tcW w:w="1500" w:type="dxa"/>
            <w:tcBorders>
              <w:top w:val="single" w:sz="4" w:space="0" w:color="auto"/>
              <w:left w:val="single" w:sz="4" w:space="0" w:color="auto"/>
              <w:bottom w:val="single" w:sz="4" w:space="0" w:color="auto"/>
              <w:right w:val="single" w:sz="4" w:space="0" w:color="auto"/>
            </w:tcBorders>
            <w:hideMark/>
          </w:tcPr>
          <w:p w:rsidR="00F63265" w:rsidRDefault="00F63265">
            <w:pPr>
              <w:ind w:left="85" w:right="258"/>
              <w:rPr>
                <w:sz w:val="22"/>
                <w:szCs w:val="22"/>
              </w:rPr>
            </w:pPr>
            <w:r>
              <w:rPr>
                <w:sz w:val="22"/>
                <w:szCs w:val="22"/>
              </w:rPr>
              <w:t>1,08</w:t>
            </w:r>
          </w:p>
        </w:tc>
        <w:tc>
          <w:tcPr>
            <w:tcW w:w="2693" w:type="dxa"/>
            <w:tcBorders>
              <w:top w:val="single" w:sz="4" w:space="0" w:color="auto"/>
              <w:left w:val="single" w:sz="4" w:space="0" w:color="auto"/>
              <w:bottom w:val="single" w:sz="4" w:space="0" w:color="auto"/>
              <w:right w:val="single" w:sz="4" w:space="0" w:color="auto"/>
            </w:tcBorders>
            <w:hideMark/>
          </w:tcPr>
          <w:p w:rsidR="00F63265" w:rsidRDefault="00F63265">
            <w:pPr>
              <w:ind w:left="85" w:right="116"/>
              <w:rPr>
                <w:sz w:val="22"/>
                <w:szCs w:val="22"/>
              </w:rPr>
            </w:pPr>
            <w:r>
              <w:rPr>
                <w:sz w:val="22"/>
                <w:szCs w:val="22"/>
              </w:rPr>
              <w:t>Ingen særlig rekommandation.</w:t>
            </w:r>
          </w:p>
        </w:tc>
      </w:tr>
      <w:tr w:rsidR="00F63265" w:rsidTr="00F63265">
        <w:tc>
          <w:tcPr>
            <w:tcW w:w="2268" w:type="dxa"/>
            <w:tcBorders>
              <w:top w:val="single" w:sz="4" w:space="0" w:color="auto"/>
              <w:left w:val="single" w:sz="4" w:space="0" w:color="auto"/>
              <w:bottom w:val="single" w:sz="4" w:space="0" w:color="auto"/>
              <w:right w:val="single" w:sz="4" w:space="0" w:color="auto"/>
            </w:tcBorders>
            <w:hideMark/>
          </w:tcPr>
          <w:p w:rsidR="00F63265" w:rsidRDefault="00F63265">
            <w:pPr>
              <w:ind w:left="34" w:right="176"/>
              <w:rPr>
                <w:sz w:val="22"/>
                <w:szCs w:val="22"/>
              </w:rPr>
            </w:pPr>
            <w:r>
              <w:rPr>
                <w:sz w:val="22"/>
                <w:szCs w:val="22"/>
              </w:rPr>
              <w:t>10 mg×1 i 4 dage</w:t>
            </w:r>
          </w:p>
        </w:tc>
        <w:tc>
          <w:tcPr>
            <w:tcW w:w="2977" w:type="dxa"/>
            <w:tcBorders>
              <w:top w:val="single" w:sz="4" w:space="0" w:color="auto"/>
              <w:left w:val="single" w:sz="4" w:space="0" w:color="auto"/>
              <w:bottom w:val="single" w:sz="4" w:space="0" w:color="auto"/>
              <w:right w:val="single" w:sz="4" w:space="0" w:color="auto"/>
            </w:tcBorders>
            <w:hideMark/>
          </w:tcPr>
          <w:p w:rsidR="00F63265" w:rsidRDefault="00F63265">
            <w:pPr>
              <w:ind w:left="85" w:right="176"/>
              <w:rPr>
                <w:sz w:val="22"/>
                <w:szCs w:val="22"/>
              </w:rPr>
            </w:pPr>
            <w:r>
              <w:rPr>
                <w:sz w:val="22"/>
                <w:szCs w:val="22"/>
              </w:rPr>
              <w:t>Fosamprenavir 1400 mg×2, 14 dage</w:t>
            </w:r>
          </w:p>
        </w:tc>
        <w:tc>
          <w:tcPr>
            <w:tcW w:w="1500" w:type="dxa"/>
            <w:tcBorders>
              <w:top w:val="single" w:sz="4" w:space="0" w:color="auto"/>
              <w:left w:val="single" w:sz="4" w:space="0" w:color="auto"/>
              <w:bottom w:val="single" w:sz="4" w:space="0" w:color="auto"/>
              <w:right w:val="single" w:sz="4" w:space="0" w:color="auto"/>
            </w:tcBorders>
            <w:hideMark/>
          </w:tcPr>
          <w:p w:rsidR="00F63265" w:rsidRDefault="00F63265">
            <w:pPr>
              <w:ind w:left="85" w:right="258"/>
              <w:rPr>
                <w:sz w:val="22"/>
                <w:szCs w:val="22"/>
              </w:rPr>
            </w:pPr>
            <w:r>
              <w:rPr>
                <w:sz w:val="22"/>
                <w:szCs w:val="22"/>
              </w:rPr>
              <w:t>0,73</w:t>
            </w:r>
          </w:p>
        </w:tc>
        <w:tc>
          <w:tcPr>
            <w:tcW w:w="2693" w:type="dxa"/>
            <w:tcBorders>
              <w:top w:val="single" w:sz="4" w:space="0" w:color="auto"/>
              <w:left w:val="single" w:sz="4" w:space="0" w:color="auto"/>
              <w:bottom w:val="single" w:sz="4" w:space="0" w:color="auto"/>
              <w:right w:val="single" w:sz="4" w:space="0" w:color="auto"/>
            </w:tcBorders>
            <w:hideMark/>
          </w:tcPr>
          <w:p w:rsidR="00F63265" w:rsidRDefault="00F63265">
            <w:pPr>
              <w:ind w:left="85" w:right="116"/>
              <w:rPr>
                <w:sz w:val="22"/>
                <w:szCs w:val="22"/>
              </w:rPr>
            </w:pPr>
            <w:r>
              <w:rPr>
                <w:sz w:val="22"/>
                <w:szCs w:val="22"/>
              </w:rPr>
              <w:t>Ingen særlig rekommandation.</w:t>
            </w:r>
          </w:p>
        </w:tc>
      </w:tr>
      <w:tr w:rsidR="00F63265" w:rsidTr="00F63265">
        <w:tc>
          <w:tcPr>
            <w:tcW w:w="2268" w:type="dxa"/>
            <w:tcBorders>
              <w:top w:val="single" w:sz="4" w:space="0" w:color="auto"/>
              <w:left w:val="single" w:sz="4" w:space="0" w:color="auto"/>
              <w:bottom w:val="single" w:sz="4" w:space="0" w:color="auto"/>
              <w:right w:val="single" w:sz="4" w:space="0" w:color="auto"/>
            </w:tcBorders>
            <w:hideMark/>
          </w:tcPr>
          <w:p w:rsidR="00F63265" w:rsidRDefault="00F63265">
            <w:pPr>
              <w:ind w:left="34" w:right="176"/>
              <w:rPr>
                <w:sz w:val="22"/>
                <w:szCs w:val="22"/>
              </w:rPr>
            </w:pPr>
            <w:r>
              <w:rPr>
                <w:sz w:val="22"/>
                <w:szCs w:val="22"/>
              </w:rPr>
              <w:t>10 mg×1 i 4 dage</w:t>
            </w:r>
          </w:p>
        </w:tc>
        <w:tc>
          <w:tcPr>
            <w:tcW w:w="2977" w:type="dxa"/>
            <w:tcBorders>
              <w:top w:val="single" w:sz="4" w:space="0" w:color="auto"/>
              <w:left w:val="single" w:sz="4" w:space="0" w:color="auto"/>
              <w:bottom w:val="single" w:sz="4" w:space="0" w:color="auto"/>
              <w:right w:val="single" w:sz="4" w:space="0" w:color="auto"/>
            </w:tcBorders>
            <w:hideMark/>
          </w:tcPr>
          <w:p w:rsidR="00F63265" w:rsidRPr="0000022C" w:rsidRDefault="00F63265">
            <w:pPr>
              <w:ind w:left="85" w:right="176"/>
              <w:rPr>
                <w:sz w:val="22"/>
                <w:szCs w:val="22"/>
                <w:lang w:val="sv-SE"/>
              </w:rPr>
            </w:pPr>
            <w:r w:rsidRPr="0000022C">
              <w:rPr>
                <w:sz w:val="22"/>
                <w:szCs w:val="22"/>
                <w:lang w:val="sv-SE"/>
              </w:rPr>
              <w:t>Fosamprenavir 700 mg×2/ritonavir 100 mg×2, 14 dage</w:t>
            </w:r>
          </w:p>
        </w:tc>
        <w:tc>
          <w:tcPr>
            <w:tcW w:w="1500" w:type="dxa"/>
            <w:tcBorders>
              <w:top w:val="single" w:sz="4" w:space="0" w:color="auto"/>
              <w:left w:val="single" w:sz="4" w:space="0" w:color="auto"/>
              <w:bottom w:val="single" w:sz="4" w:space="0" w:color="auto"/>
              <w:right w:val="single" w:sz="4" w:space="0" w:color="auto"/>
            </w:tcBorders>
            <w:hideMark/>
          </w:tcPr>
          <w:p w:rsidR="00F63265" w:rsidRDefault="00F63265">
            <w:pPr>
              <w:ind w:left="85" w:right="258"/>
              <w:rPr>
                <w:sz w:val="22"/>
                <w:szCs w:val="22"/>
              </w:rPr>
            </w:pPr>
            <w:r>
              <w:rPr>
                <w:sz w:val="22"/>
                <w:szCs w:val="22"/>
              </w:rPr>
              <w:t>0,99</w:t>
            </w:r>
          </w:p>
        </w:tc>
        <w:tc>
          <w:tcPr>
            <w:tcW w:w="2693" w:type="dxa"/>
            <w:tcBorders>
              <w:top w:val="single" w:sz="4" w:space="0" w:color="auto"/>
              <w:left w:val="single" w:sz="4" w:space="0" w:color="auto"/>
              <w:bottom w:val="single" w:sz="4" w:space="0" w:color="auto"/>
              <w:right w:val="single" w:sz="4" w:space="0" w:color="auto"/>
            </w:tcBorders>
            <w:hideMark/>
          </w:tcPr>
          <w:p w:rsidR="00F63265" w:rsidRDefault="00F63265">
            <w:pPr>
              <w:ind w:left="85" w:right="116"/>
              <w:rPr>
                <w:sz w:val="22"/>
                <w:szCs w:val="22"/>
              </w:rPr>
            </w:pPr>
            <w:r>
              <w:rPr>
                <w:sz w:val="22"/>
                <w:szCs w:val="22"/>
              </w:rPr>
              <w:t>Ingen særlig rekommandation.</w:t>
            </w:r>
          </w:p>
        </w:tc>
      </w:tr>
    </w:tbl>
    <w:p w:rsidR="00F63265" w:rsidRDefault="00F63265" w:rsidP="00F63265">
      <w:pPr>
        <w:ind w:left="1134" w:right="966" w:hanging="283"/>
        <w:rPr>
          <w:sz w:val="24"/>
          <w:szCs w:val="24"/>
        </w:rPr>
      </w:pPr>
      <w:r>
        <w:rPr>
          <w:sz w:val="24"/>
          <w:szCs w:val="24"/>
          <w:vertAlign w:val="superscript"/>
        </w:rPr>
        <w:t>&amp;</w:t>
      </w:r>
      <w:r>
        <w:rPr>
          <w:sz w:val="24"/>
          <w:szCs w:val="24"/>
          <w:vertAlign w:val="superscript"/>
        </w:rPr>
        <w:tab/>
      </w:r>
      <w:r>
        <w:rPr>
          <w:sz w:val="24"/>
          <w:szCs w:val="24"/>
        </w:rPr>
        <w:t>Repræsenterer behandlingsratio (samtidigt behandlet lægemiddel samt atorvastatin overfor atorvastatin alene).</w:t>
      </w:r>
    </w:p>
    <w:p w:rsidR="001A1784" w:rsidRDefault="001A1784" w:rsidP="001A1784">
      <w:pPr>
        <w:ind w:left="1134" w:right="966" w:hanging="283"/>
        <w:rPr>
          <w:sz w:val="24"/>
          <w:szCs w:val="24"/>
        </w:rPr>
      </w:pPr>
      <w:r>
        <w:rPr>
          <w:sz w:val="24"/>
          <w:szCs w:val="24"/>
        </w:rPr>
        <w:t>*</w:t>
      </w:r>
      <w:r>
        <w:rPr>
          <w:sz w:val="24"/>
          <w:szCs w:val="24"/>
        </w:rPr>
        <w:tab/>
        <w:t>Samtidig indgift af multiple doser af atorvastatin og phenazon viste en lille eller ingen målbar virkning på phenazons clearance.</w:t>
      </w:r>
    </w:p>
    <w:p w:rsidR="001A1784" w:rsidRPr="00C84483" w:rsidRDefault="001A1784" w:rsidP="001A1784">
      <w:pPr>
        <w:tabs>
          <w:tab w:val="left" w:pos="851"/>
        </w:tabs>
        <w:ind w:left="851"/>
        <w:rPr>
          <w:sz w:val="24"/>
          <w:szCs w:val="24"/>
        </w:rPr>
      </w:pPr>
    </w:p>
    <w:p w:rsidR="001A1784" w:rsidRPr="00F63265" w:rsidRDefault="001A1784" w:rsidP="00F63265">
      <w:pPr>
        <w:tabs>
          <w:tab w:val="left" w:pos="851"/>
        </w:tabs>
        <w:ind w:left="851" w:hanging="851"/>
        <w:rPr>
          <w:b/>
          <w:sz w:val="24"/>
          <w:szCs w:val="24"/>
        </w:rPr>
      </w:pPr>
      <w:r w:rsidRPr="00C84483">
        <w:rPr>
          <w:b/>
          <w:sz w:val="24"/>
          <w:szCs w:val="24"/>
        </w:rPr>
        <w:t>4.6</w:t>
      </w:r>
      <w:r w:rsidRPr="00C84483">
        <w:rPr>
          <w:b/>
          <w:sz w:val="24"/>
          <w:szCs w:val="24"/>
        </w:rPr>
        <w:tab/>
      </w:r>
      <w:r w:rsidR="007954A0">
        <w:rPr>
          <w:b/>
          <w:sz w:val="24"/>
          <w:szCs w:val="24"/>
        </w:rPr>
        <w:t>Fertilitet, g</w:t>
      </w:r>
      <w:r w:rsidRPr="00C84483">
        <w:rPr>
          <w:b/>
          <w:sz w:val="24"/>
          <w:szCs w:val="24"/>
        </w:rPr>
        <w:t>raviditet og amning</w:t>
      </w:r>
    </w:p>
    <w:p w:rsidR="001A1784" w:rsidRPr="007778C6"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u w:val="single"/>
          <w:lang w:eastAsia="da-DK"/>
        </w:rPr>
      </w:pPr>
      <w:r w:rsidRPr="007778C6">
        <w:rPr>
          <w:spacing w:val="-3"/>
          <w:sz w:val="24"/>
          <w:szCs w:val="24"/>
          <w:u w:val="single"/>
          <w:lang w:eastAsia="da-DK"/>
        </w:rPr>
        <w:t>Kvinder i den fertile alder</w:t>
      </w:r>
    </w:p>
    <w:p w:rsidR="001A1784" w:rsidRPr="007778C6"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7778C6">
        <w:rPr>
          <w:spacing w:val="-3"/>
          <w:sz w:val="24"/>
          <w:szCs w:val="24"/>
          <w:lang w:eastAsia="da-DK"/>
        </w:rPr>
        <w:t>Kvinder i den fertile alder skal anvende sikker kontraception under behandlingen (se pkt. 4.3).</w:t>
      </w:r>
    </w:p>
    <w:p w:rsidR="001A1784" w:rsidRPr="007778C6"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7778C6"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u w:val="single"/>
          <w:lang w:eastAsia="da-DK"/>
        </w:rPr>
      </w:pPr>
      <w:r w:rsidRPr="007778C6">
        <w:rPr>
          <w:spacing w:val="-3"/>
          <w:sz w:val="24"/>
          <w:szCs w:val="24"/>
          <w:u w:val="single"/>
          <w:lang w:eastAsia="da-DK"/>
        </w:rPr>
        <w:t>Graviditet</w:t>
      </w:r>
    </w:p>
    <w:p w:rsidR="001A1784" w:rsidRPr="007778C6"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7778C6">
        <w:rPr>
          <w:spacing w:val="-3"/>
          <w:sz w:val="24"/>
          <w:szCs w:val="24"/>
          <w:lang w:eastAsia="da-DK"/>
        </w:rPr>
        <w:t>Atorvastatin "Accord" er kontraindiceret under graviditet (se pkt. 4.3). Sikkerheden ved anvendelse af atorvastatin under graviditet er ikke fastslået. Der er ikke udført kontrollerede kliniske forsøg med atorvastatin hos gravide kvinder. Sjældne rapporter om medfødte anomalier efter intrauterin påvirkning af HMG-CoA-reduktasehæmmere er set. Dyreforsøg har vist reproduktionstoksicitet (se pkt. 5.3).</w:t>
      </w:r>
    </w:p>
    <w:p w:rsidR="001A1784" w:rsidRPr="007778C6"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7778C6"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7778C6">
        <w:rPr>
          <w:spacing w:val="-3"/>
          <w:sz w:val="24"/>
          <w:szCs w:val="24"/>
          <w:lang w:eastAsia="da-DK"/>
        </w:rPr>
        <w:t>Behandling af gravide med atorvastatin kan nedsætte koncentrationen af mevalonat (et forstadium i kolesterolbiosyntesen) hos fostret. Aterosklerose er en kronisk proces, og sædvanligvis vil seponering af kolesterolsænkende medicin under graviditet kun have en lille indflydelse på den langsigtede risiko forbundet med primær hyperkolesterolæmi.</w:t>
      </w:r>
    </w:p>
    <w:p w:rsidR="001A1784" w:rsidRPr="007778C6"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7778C6" w:rsidRDefault="001A1784" w:rsidP="001A1784">
      <w:pPr>
        <w:tabs>
          <w:tab w:val="left" w:pos="840"/>
        </w:tabs>
        <w:ind w:left="851"/>
        <w:rPr>
          <w:noProof/>
          <w:sz w:val="24"/>
          <w:szCs w:val="24"/>
          <w:lang w:eastAsia="da-DK"/>
        </w:rPr>
      </w:pPr>
      <w:r w:rsidRPr="007778C6">
        <w:rPr>
          <w:noProof/>
          <w:sz w:val="24"/>
          <w:szCs w:val="24"/>
          <w:lang w:eastAsia="da-DK"/>
        </w:rPr>
        <w:t>Af disse årsager må Atorvastatin "Accord" ikke anvendes til kvinder, der er gravide, prøver at blive det eller formoder, at de er det. Behandling med Atorvastatin "Accord" skal seponeres under graviditet, eller indtil det er blevet afklaret, at kvinden ikke er gravid (se pkt. 4.3).</w:t>
      </w:r>
    </w:p>
    <w:p w:rsidR="001A1784" w:rsidRPr="007778C6" w:rsidRDefault="001A1784" w:rsidP="001A1784">
      <w:pPr>
        <w:tabs>
          <w:tab w:val="left" w:pos="840"/>
        </w:tabs>
        <w:ind w:left="851"/>
        <w:rPr>
          <w:noProof/>
          <w:sz w:val="24"/>
          <w:szCs w:val="24"/>
          <w:u w:val="single"/>
          <w:lang w:eastAsia="da-DK"/>
        </w:rPr>
      </w:pPr>
    </w:p>
    <w:p w:rsidR="001A1784" w:rsidRPr="007778C6" w:rsidRDefault="001A1784" w:rsidP="001A1784">
      <w:pPr>
        <w:keepNext/>
        <w:tabs>
          <w:tab w:val="left" w:pos="840"/>
        </w:tabs>
        <w:ind w:left="851"/>
        <w:rPr>
          <w:noProof/>
          <w:sz w:val="24"/>
          <w:szCs w:val="24"/>
          <w:u w:val="single"/>
          <w:lang w:eastAsia="da-DK"/>
        </w:rPr>
      </w:pPr>
      <w:r w:rsidRPr="007778C6">
        <w:rPr>
          <w:noProof/>
          <w:sz w:val="24"/>
          <w:szCs w:val="24"/>
          <w:u w:val="single"/>
          <w:lang w:eastAsia="da-DK"/>
        </w:rPr>
        <w:t>Amning</w:t>
      </w:r>
    </w:p>
    <w:p w:rsidR="001A1784" w:rsidRPr="007778C6" w:rsidRDefault="001A1784" w:rsidP="001A1784">
      <w:pPr>
        <w:tabs>
          <w:tab w:val="left" w:pos="840"/>
        </w:tabs>
        <w:ind w:left="851"/>
        <w:rPr>
          <w:noProof/>
          <w:sz w:val="24"/>
          <w:szCs w:val="24"/>
          <w:lang w:eastAsia="da-DK"/>
        </w:rPr>
      </w:pPr>
      <w:r w:rsidRPr="007778C6">
        <w:rPr>
          <w:noProof/>
          <w:sz w:val="24"/>
          <w:szCs w:val="24"/>
          <w:lang w:eastAsia="da-DK"/>
        </w:rPr>
        <w:t>Det er ukendt, om atorvastatin eller dets metabolitter udskilles i human mælk. Hos rotter svarer koncentrationerne af atorvastatin og dets aktive metabolitter i plasma til koncen</w:t>
      </w:r>
      <w:r w:rsidRPr="007778C6">
        <w:rPr>
          <w:noProof/>
          <w:sz w:val="24"/>
          <w:szCs w:val="24"/>
          <w:lang w:eastAsia="da-DK"/>
        </w:rPr>
        <w:softHyphen/>
        <w:t>trationerne i mælken (se pkt. 5.3). På grund af risko for alvorlige bivirkninger må kvinder, der tager Atorvastatin "Accord", ikke amme deres børn (se pkt. 4.3). Atorvastatin er kontraindiceret under amning (se pkt. 4.3).</w:t>
      </w:r>
    </w:p>
    <w:p w:rsidR="001A1784" w:rsidRPr="007778C6" w:rsidRDefault="001A1784" w:rsidP="001A1784">
      <w:pPr>
        <w:tabs>
          <w:tab w:val="left" w:pos="840"/>
        </w:tabs>
        <w:ind w:left="851"/>
        <w:rPr>
          <w:noProof/>
          <w:sz w:val="24"/>
          <w:szCs w:val="24"/>
          <w:lang w:eastAsia="da-DK"/>
        </w:rPr>
      </w:pPr>
    </w:p>
    <w:p w:rsidR="001A1784" w:rsidRPr="007778C6" w:rsidRDefault="001A1784" w:rsidP="001A1784">
      <w:pPr>
        <w:keepNext/>
        <w:tabs>
          <w:tab w:val="left" w:pos="840"/>
        </w:tabs>
        <w:ind w:left="851"/>
        <w:rPr>
          <w:noProof/>
          <w:sz w:val="24"/>
          <w:szCs w:val="24"/>
          <w:u w:val="single"/>
          <w:lang w:eastAsia="da-DK"/>
        </w:rPr>
      </w:pPr>
      <w:r w:rsidRPr="007778C6">
        <w:rPr>
          <w:noProof/>
          <w:sz w:val="24"/>
          <w:szCs w:val="24"/>
          <w:u w:val="single"/>
          <w:lang w:eastAsia="da-DK"/>
        </w:rPr>
        <w:t>Fertilitet</w:t>
      </w:r>
    </w:p>
    <w:p w:rsidR="001A1784" w:rsidRDefault="001A1784" w:rsidP="001A1784">
      <w:pPr>
        <w:keepNext/>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7778C6">
        <w:rPr>
          <w:noProof/>
          <w:sz w:val="24"/>
          <w:szCs w:val="24"/>
          <w:lang w:eastAsia="da-DK"/>
        </w:rPr>
        <w:t>I dyreforsøg havde atorvastatin ingen indvirkning på fertiliteten hos hverken hanner eller hunner (se pkt. 5.3).</w:t>
      </w:r>
    </w:p>
    <w:p w:rsidR="001A1784" w:rsidRPr="007778C6" w:rsidRDefault="001A1784" w:rsidP="001A1784">
      <w:pPr>
        <w:keepNext/>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C84483" w:rsidRDefault="001A1784" w:rsidP="001A1784">
      <w:pPr>
        <w:tabs>
          <w:tab w:val="left" w:pos="851"/>
        </w:tabs>
        <w:ind w:left="851" w:hanging="851"/>
        <w:rPr>
          <w:b/>
          <w:sz w:val="24"/>
          <w:szCs w:val="24"/>
        </w:rPr>
      </w:pPr>
      <w:r w:rsidRPr="00C84483">
        <w:rPr>
          <w:b/>
          <w:sz w:val="24"/>
          <w:szCs w:val="24"/>
        </w:rPr>
        <w:t>4.7</w:t>
      </w:r>
      <w:r w:rsidRPr="00C84483">
        <w:rPr>
          <w:b/>
          <w:sz w:val="24"/>
          <w:szCs w:val="24"/>
        </w:rPr>
        <w:tab/>
        <w:t>Virkning</w:t>
      </w:r>
      <w:r w:rsidR="007954A0">
        <w:rPr>
          <w:b/>
          <w:sz w:val="24"/>
          <w:szCs w:val="24"/>
        </w:rPr>
        <w:t xml:space="preserve"> </w:t>
      </w:r>
      <w:r w:rsidRPr="00C84483">
        <w:rPr>
          <w:b/>
          <w:sz w:val="24"/>
          <w:szCs w:val="24"/>
        </w:rPr>
        <w:t xml:space="preserve">på evnen til at føre motorkøretøj </w:t>
      </w:r>
      <w:r w:rsidR="007954A0">
        <w:rPr>
          <w:b/>
          <w:sz w:val="24"/>
          <w:szCs w:val="24"/>
        </w:rPr>
        <w:t>og</w:t>
      </w:r>
      <w:r w:rsidRPr="00C84483">
        <w:rPr>
          <w:b/>
          <w:sz w:val="24"/>
          <w:szCs w:val="24"/>
        </w:rPr>
        <w:t xml:space="preserve"> betjene maskiner</w:t>
      </w:r>
    </w:p>
    <w:p w:rsidR="001A1784" w:rsidRPr="00634CCC"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Ikke mærkning.</w:t>
      </w:r>
    </w:p>
    <w:p w:rsidR="001A1784" w:rsidRPr="00634CCC"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Atorvastatin "Accord" påvirker ikke eller kun i ubetydelig grad evnen til at føre bil eller betjene maskiner.</w:t>
      </w:r>
    </w:p>
    <w:p w:rsidR="001A1784" w:rsidRDefault="001A1784" w:rsidP="001A1784">
      <w:pPr>
        <w:tabs>
          <w:tab w:val="left" w:pos="851"/>
        </w:tabs>
        <w:ind w:left="851"/>
        <w:rPr>
          <w:sz w:val="24"/>
          <w:szCs w:val="24"/>
        </w:rPr>
      </w:pPr>
    </w:p>
    <w:p w:rsidR="001D352D" w:rsidRDefault="001D352D" w:rsidP="001A1784">
      <w:pPr>
        <w:tabs>
          <w:tab w:val="left" w:pos="851"/>
        </w:tabs>
        <w:ind w:left="851"/>
        <w:rPr>
          <w:sz w:val="24"/>
          <w:szCs w:val="24"/>
        </w:rPr>
      </w:pPr>
    </w:p>
    <w:p w:rsidR="001D352D" w:rsidRPr="00C84483" w:rsidRDefault="001D352D" w:rsidP="001A1784">
      <w:pPr>
        <w:tabs>
          <w:tab w:val="left" w:pos="851"/>
        </w:tabs>
        <w:ind w:left="851"/>
        <w:rPr>
          <w:sz w:val="24"/>
          <w:szCs w:val="24"/>
        </w:rPr>
      </w:pPr>
    </w:p>
    <w:p w:rsidR="001A1784" w:rsidRPr="00C84483" w:rsidRDefault="001A1784" w:rsidP="001A1784">
      <w:pPr>
        <w:tabs>
          <w:tab w:val="left" w:pos="851"/>
        </w:tabs>
        <w:ind w:left="851" w:hanging="851"/>
        <w:rPr>
          <w:b/>
          <w:sz w:val="24"/>
          <w:szCs w:val="24"/>
        </w:rPr>
      </w:pPr>
      <w:r w:rsidRPr="00C84483">
        <w:rPr>
          <w:b/>
          <w:sz w:val="24"/>
          <w:szCs w:val="24"/>
        </w:rPr>
        <w:t>4.8</w:t>
      </w:r>
      <w:r w:rsidRPr="00C84483">
        <w:rPr>
          <w:b/>
          <w:sz w:val="24"/>
          <w:szCs w:val="24"/>
        </w:rPr>
        <w:tab/>
        <w:t>Bivirkninger</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Ifølge databasen over placebo-kontrollerede kliniske forsøg med atorvastatin hos 16.066 patienter (8.755 fik atorvastatin og 7.311 placebo), der blev behandlet i gennemsnitligt 53 uger, seponerede 5,2</w:t>
      </w:r>
      <w:r>
        <w:rPr>
          <w:spacing w:val="-3"/>
          <w:sz w:val="24"/>
          <w:szCs w:val="24"/>
          <w:lang w:eastAsia="da-DK"/>
        </w:rPr>
        <w:t xml:space="preserve"> </w:t>
      </w:r>
      <w:r w:rsidRPr="00634CCC">
        <w:rPr>
          <w:spacing w:val="-3"/>
          <w:sz w:val="24"/>
          <w:szCs w:val="24"/>
          <w:lang w:eastAsia="da-DK"/>
        </w:rPr>
        <w:t>% af de patienter, der fik atorvastatin, behandlingen pga. bivirkninger sammenlignet med 4,0</w:t>
      </w:r>
      <w:r>
        <w:rPr>
          <w:spacing w:val="-3"/>
          <w:sz w:val="24"/>
          <w:szCs w:val="24"/>
          <w:lang w:eastAsia="da-DK"/>
        </w:rPr>
        <w:t xml:space="preserve"> </w:t>
      </w:r>
      <w:r w:rsidRPr="00634CCC">
        <w:rPr>
          <w:spacing w:val="-3"/>
          <w:sz w:val="24"/>
          <w:szCs w:val="24"/>
          <w:lang w:eastAsia="da-DK"/>
        </w:rPr>
        <w:t>% af de patienter, der fik placebo.</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Atorvastatins sikkerhedsprofil, baseret på data fra kliniske studier og omfattende erfaring efter markedsføring fremgår af nedennævnte tabel.</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De estimerede bivirkningsfrekvenser er opstillet i henhold til følgende: Almindelig (</w:t>
      </w:r>
      <w:r w:rsidRPr="00634CCC">
        <w:rPr>
          <w:spacing w:val="-3"/>
          <w:sz w:val="24"/>
          <w:szCs w:val="24"/>
          <w:lang w:eastAsia="da-DK"/>
        </w:rPr>
        <w:sym w:font="Symbol" w:char="F0B3"/>
      </w:r>
      <w:r w:rsidRPr="00634CCC">
        <w:rPr>
          <w:spacing w:val="-3"/>
          <w:sz w:val="24"/>
          <w:szCs w:val="24"/>
          <w:lang w:eastAsia="da-DK"/>
        </w:rPr>
        <w:t>1/100, &lt;1/10); ikke almindelig (</w:t>
      </w:r>
      <w:r w:rsidRPr="00634CCC">
        <w:rPr>
          <w:spacing w:val="-3"/>
          <w:sz w:val="24"/>
          <w:szCs w:val="24"/>
          <w:lang w:eastAsia="da-DK"/>
        </w:rPr>
        <w:sym w:font="Symbol" w:char="F0B3"/>
      </w:r>
      <w:r w:rsidRPr="00634CCC">
        <w:rPr>
          <w:spacing w:val="-3"/>
          <w:sz w:val="24"/>
          <w:szCs w:val="24"/>
          <w:lang w:eastAsia="da-DK"/>
        </w:rPr>
        <w:t>1/1000 og &lt;1/100); sjælden (</w:t>
      </w:r>
      <w:r w:rsidRPr="00634CCC">
        <w:rPr>
          <w:spacing w:val="-3"/>
          <w:sz w:val="24"/>
          <w:szCs w:val="24"/>
          <w:lang w:eastAsia="da-DK"/>
        </w:rPr>
        <w:sym w:font="Symbol" w:char="F0B3"/>
      </w:r>
      <w:r w:rsidRPr="00634CCC">
        <w:rPr>
          <w:spacing w:val="-3"/>
          <w:sz w:val="24"/>
          <w:szCs w:val="24"/>
          <w:lang w:eastAsia="da-DK"/>
        </w:rPr>
        <w:t>1/10.000 og &lt;1/1000); meget sjælden (</w:t>
      </w:r>
      <w:r w:rsidRPr="00634CCC">
        <w:rPr>
          <w:color w:val="000000"/>
          <w:sz w:val="24"/>
          <w:lang w:eastAsia="da-DK"/>
        </w:rPr>
        <w:t>≤</w:t>
      </w:r>
      <w:r w:rsidRPr="00634CCC">
        <w:rPr>
          <w:spacing w:val="-3"/>
          <w:sz w:val="24"/>
          <w:szCs w:val="24"/>
          <w:lang w:eastAsia="da-DK"/>
        </w:rPr>
        <w:t>1/10.000), ikke kendt (kan ikke estimeres ud fra forhåndenværende data).</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u w:val="single"/>
          <w:lang w:eastAsia="da-DK"/>
        </w:rPr>
      </w:pP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634CCC">
        <w:rPr>
          <w:spacing w:val="-3"/>
          <w:sz w:val="24"/>
          <w:szCs w:val="24"/>
          <w:u w:val="single"/>
          <w:lang w:eastAsia="da-DK"/>
        </w:rPr>
        <w:t>Infektioner og parasitære sygdomme</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634CCC">
        <w:rPr>
          <w:spacing w:val="-3"/>
          <w:sz w:val="24"/>
          <w:szCs w:val="24"/>
          <w:lang w:eastAsia="da-DK"/>
        </w:rPr>
        <w:t>Almindelig: Nasopharyngitis.</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634CCC">
        <w:rPr>
          <w:spacing w:val="-3"/>
          <w:sz w:val="24"/>
          <w:szCs w:val="24"/>
          <w:u w:val="single"/>
          <w:lang w:eastAsia="da-DK"/>
        </w:rPr>
        <w:t>Blod- og lymfesystem</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634CCC">
        <w:rPr>
          <w:spacing w:val="-3"/>
          <w:sz w:val="24"/>
          <w:szCs w:val="24"/>
          <w:lang w:eastAsia="da-DK"/>
        </w:rPr>
        <w:t>Sjælden: Trombocytopeni.</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634CCC">
        <w:rPr>
          <w:spacing w:val="-3"/>
          <w:sz w:val="24"/>
          <w:szCs w:val="24"/>
          <w:u w:val="single"/>
          <w:lang w:eastAsia="da-DK"/>
        </w:rPr>
        <w:t>Immunsystemet</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Almindelig: Allergiske reaktioner.</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Meget sjælden: Anafylaksi.</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634CCC">
        <w:rPr>
          <w:spacing w:val="-3"/>
          <w:sz w:val="24"/>
          <w:szCs w:val="24"/>
          <w:u w:val="single"/>
          <w:lang w:eastAsia="da-DK"/>
        </w:rPr>
        <w:t>Metabolisme og ernæring</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634CCC">
        <w:rPr>
          <w:spacing w:val="-3"/>
          <w:sz w:val="24"/>
          <w:szCs w:val="24"/>
          <w:lang w:eastAsia="da-DK"/>
        </w:rPr>
        <w:t>Almindelig: Hyperglykæmi.</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Pr>
          <w:spacing w:val="-3"/>
          <w:sz w:val="24"/>
          <w:szCs w:val="24"/>
          <w:lang w:eastAsia="da-DK"/>
        </w:rPr>
        <w:t>Ikke almindelig</w:t>
      </w:r>
      <w:r w:rsidRPr="00634CCC">
        <w:rPr>
          <w:spacing w:val="-3"/>
          <w:sz w:val="24"/>
          <w:szCs w:val="24"/>
          <w:lang w:eastAsia="da-DK"/>
        </w:rPr>
        <w:t>: Hypoglykæmi, vægstigning, vægttab.</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634CCC">
        <w:rPr>
          <w:spacing w:val="-3"/>
          <w:sz w:val="24"/>
          <w:szCs w:val="24"/>
          <w:u w:val="single"/>
          <w:lang w:eastAsia="da-DK"/>
        </w:rPr>
        <w:t>Psykiske forstyrrelser</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Ikke almindelig: Mareridt, søvnløshed.</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634CCC">
        <w:rPr>
          <w:spacing w:val="-3"/>
          <w:sz w:val="24"/>
          <w:szCs w:val="24"/>
          <w:u w:val="single"/>
          <w:lang w:eastAsia="da-DK"/>
        </w:rPr>
        <w:t>Nervesystemet</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634CCC">
        <w:rPr>
          <w:spacing w:val="-3"/>
          <w:sz w:val="24"/>
          <w:szCs w:val="24"/>
          <w:lang w:eastAsia="da-DK"/>
        </w:rPr>
        <w:t>Almindelig: Hovedpine.</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Ikke almindelig: Svimmelhed, paræstesi, hypæstesi, d</w:t>
      </w:r>
      <w:r w:rsidRPr="00634CCC">
        <w:rPr>
          <w:sz w:val="24"/>
          <w:szCs w:val="24"/>
          <w:lang w:eastAsia="da-DK"/>
        </w:rPr>
        <w:t>ysgeusi, amnesi.</w:t>
      </w:r>
      <w:r w:rsidRPr="00634CCC" w:rsidDel="00C22BD7">
        <w:rPr>
          <w:spacing w:val="-3"/>
          <w:sz w:val="24"/>
          <w:szCs w:val="24"/>
          <w:lang w:eastAsia="da-DK"/>
        </w:rPr>
        <w:t xml:space="preserve"> </w:t>
      </w:r>
    </w:p>
    <w:p w:rsidR="001A1784"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Sjælden: Perifer neuropati.</w:t>
      </w:r>
    </w:p>
    <w:p w:rsidR="007954A0" w:rsidRPr="00634CCC" w:rsidRDefault="007954A0"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Pr>
          <w:spacing w:val="-3"/>
          <w:sz w:val="24"/>
          <w:szCs w:val="24"/>
          <w:lang w:eastAsia="da-DK"/>
        </w:rPr>
        <w:t>Hyppighed ikke kendt: Myasthenia gravis</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p>
    <w:p w:rsidR="001A1784" w:rsidRPr="00634CCC" w:rsidRDefault="001A1784" w:rsidP="001A1784">
      <w:pPr>
        <w:ind w:left="851"/>
        <w:outlineLvl w:val="0"/>
        <w:rPr>
          <w:sz w:val="24"/>
          <w:szCs w:val="24"/>
          <w:lang w:eastAsia="da-DK"/>
        </w:rPr>
      </w:pPr>
      <w:r w:rsidRPr="00634CCC">
        <w:rPr>
          <w:sz w:val="24"/>
          <w:szCs w:val="24"/>
          <w:u w:val="single"/>
          <w:lang w:eastAsia="da-DK"/>
        </w:rPr>
        <w:t>Øjne</w:t>
      </w:r>
    </w:p>
    <w:p w:rsidR="001A1784" w:rsidRPr="00634CCC" w:rsidRDefault="001A1784" w:rsidP="001A1784">
      <w:pPr>
        <w:ind w:left="851"/>
        <w:outlineLvl w:val="0"/>
        <w:rPr>
          <w:sz w:val="24"/>
          <w:szCs w:val="24"/>
          <w:lang w:eastAsia="da-DK"/>
        </w:rPr>
      </w:pPr>
      <w:r w:rsidRPr="00634CCC">
        <w:rPr>
          <w:sz w:val="24"/>
          <w:szCs w:val="24"/>
          <w:lang w:eastAsia="da-DK"/>
        </w:rPr>
        <w:t>Ikke almindelig: Uskarpt syn.</w:t>
      </w:r>
    </w:p>
    <w:p w:rsidR="001A1784" w:rsidRDefault="001A1784" w:rsidP="001A1784">
      <w:pPr>
        <w:ind w:left="851"/>
        <w:outlineLvl w:val="0"/>
        <w:rPr>
          <w:sz w:val="24"/>
          <w:szCs w:val="24"/>
          <w:lang w:eastAsia="da-DK"/>
        </w:rPr>
      </w:pPr>
      <w:r w:rsidRPr="00634CCC">
        <w:rPr>
          <w:sz w:val="24"/>
          <w:szCs w:val="24"/>
          <w:lang w:eastAsia="da-DK"/>
        </w:rPr>
        <w:t>Sjælden: Synsforstyrrelser.</w:t>
      </w:r>
    </w:p>
    <w:p w:rsidR="007954A0" w:rsidRPr="00634CCC" w:rsidRDefault="007954A0" w:rsidP="001A1784">
      <w:pPr>
        <w:ind w:left="851"/>
        <w:outlineLvl w:val="0"/>
        <w:rPr>
          <w:sz w:val="24"/>
          <w:szCs w:val="24"/>
          <w:lang w:eastAsia="da-DK"/>
        </w:rPr>
      </w:pPr>
      <w:r>
        <w:rPr>
          <w:sz w:val="24"/>
          <w:szCs w:val="24"/>
          <w:lang w:eastAsia="da-DK"/>
        </w:rPr>
        <w:t>Hyppighed ikke kendt: Okulær myasteni</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634CCC" w:rsidRDefault="001A1784" w:rsidP="001A1784">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634CCC">
        <w:rPr>
          <w:spacing w:val="-3"/>
          <w:sz w:val="24"/>
          <w:szCs w:val="24"/>
          <w:u w:val="single"/>
          <w:lang w:eastAsia="da-DK"/>
        </w:rPr>
        <w:t>Øre og labyrint</w:t>
      </w:r>
    </w:p>
    <w:p w:rsidR="001A1784" w:rsidRPr="00634CCC" w:rsidRDefault="001A1784" w:rsidP="001A1784">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634CCC">
        <w:rPr>
          <w:spacing w:val="-3"/>
          <w:sz w:val="24"/>
          <w:szCs w:val="24"/>
          <w:lang w:eastAsia="da-DK"/>
        </w:rPr>
        <w:t>Ikke almindelig: Tinnitus.</w:t>
      </w:r>
    </w:p>
    <w:p w:rsidR="001A1784" w:rsidRPr="00634CCC" w:rsidRDefault="001A1784" w:rsidP="001A1784">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634CCC">
        <w:rPr>
          <w:sz w:val="24"/>
          <w:szCs w:val="24"/>
          <w:lang w:eastAsia="da-DK"/>
        </w:rPr>
        <w:t>Meget sjælden: Høretab.</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634CCC">
        <w:rPr>
          <w:spacing w:val="-3"/>
          <w:sz w:val="24"/>
          <w:szCs w:val="24"/>
          <w:u w:val="single"/>
          <w:lang w:eastAsia="da-DK"/>
        </w:rPr>
        <w:t>Luftveje, thorax og mediastinum</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634CCC">
        <w:rPr>
          <w:spacing w:val="-3"/>
          <w:sz w:val="24"/>
          <w:szCs w:val="24"/>
          <w:lang w:eastAsia="da-DK"/>
        </w:rPr>
        <w:t>Almindelig: Faryngolaryngeale smerter, epistaxis.</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634CCC">
        <w:rPr>
          <w:spacing w:val="-3"/>
          <w:sz w:val="24"/>
          <w:szCs w:val="24"/>
          <w:u w:val="single"/>
          <w:lang w:eastAsia="da-DK"/>
        </w:rPr>
        <w:t>Mave-tarmkanalen</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lastRenderedPageBreak/>
        <w:t>Almindelig: Obstipation, flatulens, dyspepsi, kvalme, diarré.</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Ikke almindelig: Opkastning, abdominalsmerter, ructus, pancreatitis.</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D352D" w:rsidRPr="00634CCC" w:rsidRDefault="001D352D" w:rsidP="001D352D">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634CCC">
        <w:rPr>
          <w:spacing w:val="-3"/>
          <w:sz w:val="24"/>
          <w:szCs w:val="24"/>
          <w:u w:val="single"/>
          <w:lang w:eastAsia="da-DK"/>
        </w:rPr>
        <w:t>Lever- og galdeveje</w:t>
      </w:r>
    </w:p>
    <w:p w:rsidR="001D352D" w:rsidRPr="00634CCC" w:rsidRDefault="001D352D" w:rsidP="001D352D">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Ikke almindelig: Hepatitis.</w:t>
      </w:r>
    </w:p>
    <w:p w:rsidR="001D352D" w:rsidRPr="00634CCC" w:rsidRDefault="001D352D" w:rsidP="001D352D">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Sjælden: Kolestase.</w:t>
      </w:r>
    </w:p>
    <w:p w:rsidR="001D352D" w:rsidRDefault="001D352D" w:rsidP="001D352D">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634CCC">
        <w:rPr>
          <w:spacing w:val="-3"/>
          <w:sz w:val="24"/>
          <w:szCs w:val="24"/>
          <w:lang w:eastAsia="da-DK"/>
        </w:rPr>
        <w:t>Meget sjælden: Leversvigt.</w:t>
      </w:r>
    </w:p>
    <w:p w:rsidR="001D352D" w:rsidRDefault="001D352D" w:rsidP="001D352D">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p>
    <w:p w:rsidR="001D352D" w:rsidRPr="00634CCC" w:rsidRDefault="001D352D" w:rsidP="001D352D">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164DFA">
        <w:rPr>
          <w:spacing w:val="-3"/>
          <w:sz w:val="24"/>
          <w:szCs w:val="24"/>
          <w:u w:val="single"/>
          <w:lang w:eastAsia="da-DK"/>
        </w:rPr>
        <w:t>Vaskulære sygdomme</w:t>
      </w:r>
      <w:r>
        <w:rPr>
          <w:spacing w:val="-3"/>
          <w:sz w:val="24"/>
          <w:szCs w:val="24"/>
          <w:u w:val="single"/>
          <w:lang w:eastAsia="da-DK"/>
        </w:rPr>
        <w:br/>
      </w:r>
      <w:r w:rsidRPr="00634CCC">
        <w:rPr>
          <w:spacing w:val="-3"/>
          <w:sz w:val="24"/>
          <w:szCs w:val="24"/>
          <w:lang w:eastAsia="da-DK"/>
        </w:rPr>
        <w:t>Sjælden:</w:t>
      </w:r>
      <w:r>
        <w:rPr>
          <w:spacing w:val="-3"/>
          <w:sz w:val="24"/>
          <w:szCs w:val="24"/>
          <w:lang w:eastAsia="da-DK"/>
        </w:rPr>
        <w:t xml:space="preserve"> </w:t>
      </w:r>
      <w:r w:rsidRPr="00CB6437">
        <w:rPr>
          <w:spacing w:val="-3"/>
          <w:sz w:val="24"/>
          <w:szCs w:val="24"/>
          <w:lang w:eastAsia="da-DK"/>
        </w:rPr>
        <w:t>Vaskulitis</w:t>
      </w:r>
      <w:r>
        <w:rPr>
          <w:spacing w:val="-3"/>
          <w:sz w:val="24"/>
          <w:szCs w:val="24"/>
          <w:lang w:eastAsia="da-DK"/>
        </w:rPr>
        <w:t>.</w:t>
      </w:r>
    </w:p>
    <w:p w:rsidR="001D352D" w:rsidRPr="00634CCC" w:rsidRDefault="001D352D" w:rsidP="001D352D">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p>
    <w:p w:rsidR="001D352D" w:rsidRPr="00634CCC" w:rsidRDefault="001D352D" w:rsidP="001D352D">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634CCC">
        <w:rPr>
          <w:spacing w:val="-3"/>
          <w:sz w:val="24"/>
          <w:szCs w:val="24"/>
          <w:u w:val="single"/>
          <w:lang w:eastAsia="da-DK"/>
        </w:rPr>
        <w:t>Hud og subkutane væv</w:t>
      </w:r>
    </w:p>
    <w:p w:rsidR="001D352D" w:rsidRPr="00634CCC" w:rsidRDefault="001D352D" w:rsidP="001D352D">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Ikke almindelig: Urticaria, hududslæt, kløe, alopeci.</w:t>
      </w:r>
    </w:p>
    <w:p w:rsidR="001D352D" w:rsidRPr="00634CCC" w:rsidRDefault="001D352D" w:rsidP="001D352D">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Sjælden: Angioødem, bulløs dermatitis (herunder erythema multiforme, Stevens-Johnson syndrom og toksisk epidermal nekrolyse)</w:t>
      </w:r>
      <w:r>
        <w:rPr>
          <w:spacing w:val="-3"/>
          <w:sz w:val="24"/>
          <w:szCs w:val="24"/>
          <w:lang w:eastAsia="da-DK"/>
        </w:rPr>
        <w:t>, l</w:t>
      </w:r>
      <w:r w:rsidRPr="000A3481">
        <w:rPr>
          <w:spacing w:val="-3"/>
          <w:sz w:val="24"/>
          <w:szCs w:val="24"/>
          <w:lang w:eastAsia="da-DK"/>
        </w:rPr>
        <w:t>ichenoid lægemiddelreaktion</w:t>
      </w:r>
      <w:r w:rsidRPr="00634CCC">
        <w:rPr>
          <w:spacing w:val="-3"/>
          <w:sz w:val="24"/>
          <w:szCs w:val="24"/>
          <w:lang w:eastAsia="da-DK"/>
        </w:rPr>
        <w:t>.</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634CCC">
        <w:rPr>
          <w:spacing w:val="-3"/>
          <w:sz w:val="24"/>
          <w:szCs w:val="24"/>
          <w:u w:val="single"/>
          <w:lang w:eastAsia="da-DK"/>
        </w:rPr>
        <w:t>Knogler, led, muskler og bindevæv</w:t>
      </w:r>
    </w:p>
    <w:p w:rsidR="001A1784"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Pr>
          <w:spacing w:val="-3"/>
          <w:sz w:val="24"/>
          <w:szCs w:val="24"/>
          <w:lang w:eastAsia="da-DK"/>
        </w:rPr>
        <w:t>Almindelig: Myalgi, artralgi, ekstremitetssmerter, muskelspasmer, hævede led, rygsmerter.</w:t>
      </w:r>
    </w:p>
    <w:p w:rsidR="001A1784"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Pr>
          <w:spacing w:val="-3"/>
          <w:sz w:val="24"/>
          <w:szCs w:val="24"/>
          <w:lang w:eastAsia="da-DK"/>
        </w:rPr>
        <w:t>Ikke almindelig: Nakkesmerter, muskelsvaghed.</w:t>
      </w:r>
    </w:p>
    <w:p w:rsidR="001A1784" w:rsidRDefault="001A1784" w:rsidP="001A1784">
      <w:pPr>
        <w:ind w:left="851"/>
        <w:outlineLvl w:val="0"/>
        <w:rPr>
          <w:spacing w:val="-3"/>
          <w:sz w:val="24"/>
          <w:szCs w:val="24"/>
          <w:lang w:eastAsia="da-DK"/>
        </w:rPr>
      </w:pPr>
      <w:r>
        <w:rPr>
          <w:spacing w:val="-3"/>
          <w:sz w:val="24"/>
          <w:szCs w:val="24"/>
          <w:lang w:eastAsia="da-DK"/>
        </w:rPr>
        <w:t>Sjælden: Myopati, myositis, rabdomyolyse, muskelruptur, senelidelser herunder</w:t>
      </w:r>
      <w:r>
        <w:rPr>
          <w:sz w:val="24"/>
          <w:szCs w:val="24"/>
          <w:lang w:eastAsia="da-DK"/>
        </w:rPr>
        <w:t xml:space="preserve"> seneruptur. </w:t>
      </w:r>
    </w:p>
    <w:p w:rsidR="001A1784" w:rsidRDefault="001A1784" w:rsidP="001A1784">
      <w:pPr>
        <w:ind w:left="851"/>
        <w:outlineLvl w:val="0"/>
        <w:rPr>
          <w:sz w:val="24"/>
          <w:szCs w:val="24"/>
          <w:lang w:eastAsia="da-DK"/>
        </w:rPr>
      </w:pPr>
      <w:r>
        <w:rPr>
          <w:sz w:val="24"/>
          <w:szCs w:val="24"/>
          <w:lang w:eastAsia="da-DK"/>
        </w:rPr>
        <w:t>Ikke kendt: Immunmedieret nekrotiserende myopati (se pkt. 4.4).</w:t>
      </w:r>
    </w:p>
    <w:p w:rsidR="001A1784" w:rsidRDefault="001A1784" w:rsidP="001A1784">
      <w:pPr>
        <w:ind w:left="851"/>
        <w:outlineLvl w:val="0"/>
        <w:rPr>
          <w:spacing w:val="-3"/>
          <w:sz w:val="24"/>
          <w:szCs w:val="24"/>
          <w:lang w:eastAsia="da-DK"/>
        </w:rPr>
      </w:pPr>
      <w:r>
        <w:rPr>
          <w:sz w:val="24"/>
          <w:szCs w:val="24"/>
          <w:lang w:eastAsia="da-DK"/>
        </w:rPr>
        <w:t>Meget sjælden: Lupuslignende syndrom</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634CCC">
        <w:rPr>
          <w:spacing w:val="-3"/>
          <w:sz w:val="24"/>
          <w:szCs w:val="24"/>
          <w:u w:val="single"/>
          <w:lang w:eastAsia="da-DK"/>
        </w:rPr>
        <w:t>Det reproduktive system og mammae</w:t>
      </w:r>
    </w:p>
    <w:p w:rsidR="001A1784" w:rsidRPr="00634CCC" w:rsidRDefault="001A1784" w:rsidP="001A1784">
      <w:pPr>
        <w:ind w:left="851"/>
        <w:outlineLvl w:val="0"/>
        <w:rPr>
          <w:sz w:val="24"/>
          <w:szCs w:val="24"/>
          <w:lang w:eastAsia="da-DK"/>
        </w:rPr>
      </w:pPr>
      <w:r w:rsidRPr="00634CCC">
        <w:rPr>
          <w:sz w:val="24"/>
          <w:szCs w:val="24"/>
          <w:lang w:eastAsia="da-DK"/>
        </w:rPr>
        <w:t>Meget sjælden: Gynækomasti.</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634CCC">
        <w:rPr>
          <w:spacing w:val="-3"/>
          <w:sz w:val="24"/>
          <w:szCs w:val="24"/>
          <w:u w:val="single"/>
          <w:lang w:eastAsia="da-DK"/>
        </w:rPr>
        <w:t>Almene symptomer og reaktioner på administrationsstedet</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Ikke almindelig: Utilpashed, asteni, brystsmerter, perifært ødem, træthed, feber.</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b/>
          <w:spacing w:val="-3"/>
          <w:sz w:val="24"/>
          <w:szCs w:val="24"/>
          <w:lang w:eastAsia="da-DK"/>
        </w:rPr>
      </w:pP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u w:val="single"/>
          <w:lang w:eastAsia="da-DK"/>
        </w:rPr>
      </w:pPr>
      <w:r w:rsidRPr="00634CCC">
        <w:rPr>
          <w:spacing w:val="-3"/>
          <w:sz w:val="24"/>
          <w:szCs w:val="24"/>
          <w:u w:val="single"/>
          <w:lang w:eastAsia="da-DK"/>
        </w:rPr>
        <w:t>Undersøgelser</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Almindelig: Unormale leverfunktionsprøver, forhøjet kreatinkinase i blodet.</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Ikke almindelig: Leukocyturi.</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Som for andre HMG-CoA-reduktasehæmmere er der blevet rapporteret om forhøjede serum-transaminaser hos patienter, der behandles med atorvastatin. Disse ændringer er sædvanligvis milde og forbigående og fører ikke til afbrydelse af behandlingen. Klinisk relevante (&gt;3 gange den øvre referenceværdi) forhøjelser i serum-transaminaser er set hos 0,8 % af de patienter, som behandles med atorvastatin. Disse forhøjelser var dosisafhængige og var reversible hos alle patienter.</w:t>
      </w: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634CCC"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34CCC">
        <w:rPr>
          <w:spacing w:val="-3"/>
          <w:sz w:val="24"/>
          <w:szCs w:val="24"/>
          <w:lang w:eastAsia="da-DK"/>
        </w:rPr>
        <w:t>Forhøjet serum-kreatinkinase (CK)-niveau på mere end 3 gange den øvre referenceværdi er set hos 2,5 % af de patienter, som behandles med atorvastatin, hvilket svarer til andre HMG-CoA-reduktasehæmmere i kliniske studier. Niveauer på mere end 10 gange den øvre reference</w:t>
      </w:r>
      <w:r w:rsidRPr="00634CCC">
        <w:rPr>
          <w:spacing w:val="-3"/>
          <w:sz w:val="24"/>
          <w:szCs w:val="24"/>
          <w:lang w:eastAsia="da-DK"/>
        </w:rPr>
        <w:softHyphen/>
        <w:t>værdi er set hos 0,4 % af de atorvastatin-behandlede patienter (se pkt. 4.4).</w:t>
      </w:r>
    </w:p>
    <w:p w:rsidR="001A1784" w:rsidRPr="00634CCC" w:rsidRDefault="001A1784" w:rsidP="001A1784">
      <w:pPr>
        <w:ind w:left="851"/>
        <w:rPr>
          <w:noProof/>
          <w:sz w:val="24"/>
          <w:szCs w:val="24"/>
          <w:u w:val="single"/>
          <w:lang w:eastAsia="da-DK"/>
        </w:rPr>
      </w:pPr>
    </w:p>
    <w:p w:rsidR="001A1784" w:rsidRPr="00634CCC" w:rsidRDefault="001A1784" w:rsidP="001A1784">
      <w:pPr>
        <w:keepNext/>
        <w:ind w:left="851"/>
        <w:rPr>
          <w:noProof/>
          <w:sz w:val="24"/>
          <w:szCs w:val="24"/>
          <w:u w:val="single"/>
          <w:lang w:eastAsia="da-DK"/>
        </w:rPr>
      </w:pPr>
      <w:r w:rsidRPr="00634CCC">
        <w:rPr>
          <w:noProof/>
          <w:sz w:val="24"/>
          <w:szCs w:val="24"/>
          <w:u w:val="single"/>
          <w:lang w:eastAsia="da-DK"/>
        </w:rPr>
        <w:t>Pædiatrisk population</w:t>
      </w:r>
    </w:p>
    <w:p w:rsidR="001A1784" w:rsidRPr="00634CCC" w:rsidRDefault="001A1784" w:rsidP="001A1784">
      <w:pPr>
        <w:keepNext/>
        <w:ind w:left="851"/>
        <w:rPr>
          <w:noProof/>
          <w:sz w:val="24"/>
          <w:szCs w:val="24"/>
          <w:lang w:eastAsia="da-DK"/>
        </w:rPr>
      </w:pPr>
      <w:r w:rsidRPr="00634CCC">
        <w:rPr>
          <w:noProof/>
          <w:sz w:val="24"/>
          <w:szCs w:val="24"/>
          <w:lang w:eastAsia="da-DK"/>
        </w:rPr>
        <w:t xml:space="preserve">Pædiatriske patienter i alderen 10-17 år, der blev behandlet med atorvastatin havde en bivirkningsprofil lignende den, som blev set hos patienter, der fik placebo. Den hyppigste bivirkning i begge grupper uanset kausalitetsvurdering var infektion. I et 3-årigt klinisk forsøg, der vurderede den overordnede modning og udvikling, Tanner stadie samt måling af højde og vægt, blev der ikke set nogen klinisk signifikant indvirken på vækst og seksuel </w:t>
      </w:r>
      <w:r w:rsidRPr="00634CCC">
        <w:rPr>
          <w:noProof/>
          <w:sz w:val="24"/>
          <w:szCs w:val="24"/>
          <w:lang w:eastAsia="da-DK"/>
        </w:rPr>
        <w:lastRenderedPageBreak/>
        <w:t>modning. Sikkerheds- og tolerabilitetsprofilen hos pædiatriske patienter var tilsvarende den kendte sikkerhedsprofil for atorvastatin hos voksne patienter.</w:t>
      </w:r>
    </w:p>
    <w:p w:rsidR="001A1784" w:rsidRPr="00634CCC" w:rsidRDefault="001A1784" w:rsidP="001A1784">
      <w:pPr>
        <w:keepNext/>
        <w:ind w:left="851"/>
        <w:rPr>
          <w:noProof/>
          <w:sz w:val="24"/>
          <w:szCs w:val="24"/>
          <w:lang w:eastAsia="da-DK"/>
        </w:rPr>
      </w:pPr>
    </w:p>
    <w:p w:rsidR="001A1784" w:rsidRPr="00634CCC" w:rsidRDefault="001A1784" w:rsidP="001A1784">
      <w:pPr>
        <w:keepNext/>
        <w:ind w:left="851"/>
        <w:rPr>
          <w:noProof/>
          <w:sz w:val="24"/>
          <w:szCs w:val="24"/>
          <w:lang w:eastAsia="da-DK"/>
        </w:rPr>
      </w:pPr>
      <w:r w:rsidRPr="00634CCC">
        <w:rPr>
          <w:noProof/>
          <w:sz w:val="24"/>
          <w:szCs w:val="24"/>
          <w:lang w:eastAsia="da-DK"/>
        </w:rPr>
        <w:t>Den kliniske sikkerhedsdatabase indeholder data for 520 pædiatriske patienter, der fik atorvastatin. Heriblandt var 7 patienter &lt; 6 år, 121 patienter var mellem 6 og 9 år og 392 patienter var mellem 10 og 17 år.</w:t>
      </w:r>
      <w:r w:rsidRPr="00634CCC">
        <w:rPr>
          <w:spacing w:val="-3"/>
          <w:sz w:val="24"/>
          <w:szCs w:val="24"/>
          <w:lang w:eastAsia="da-DK"/>
        </w:rPr>
        <w:t xml:space="preserve"> Ud fra de tilgængelige data er frekvens, type og alvorlighed af bivirkningerne hos børn de samme som hos voksne.</w:t>
      </w:r>
    </w:p>
    <w:p w:rsidR="001A1784" w:rsidRPr="00634CCC" w:rsidRDefault="001A1784" w:rsidP="001A1784">
      <w:pPr>
        <w:ind w:left="851"/>
        <w:rPr>
          <w:noProof/>
          <w:sz w:val="24"/>
          <w:szCs w:val="24"/>
          <w:lang w:eastAsia="da-DK"/>
        </w:rPr>
      </w:pPr>
    </w:p>
    <w:p w:rsidR="001A1784" w:rsidRPr="00634CCC" w:rsidRDefault="001A1784" w:rsidP="001A1784">
      <w:pPr>
        <w:autoSpaceDE w:val="0"/>
        <w:autoSpaceDN w:val="0"/>
        <w:adjustRightInd w:val="0"/>
        <w:ind w:left="851"/>
        <w:rPr>
          <w:rFonts w:eastAsia="TimesNewRoman"/>
          <w:sz w:val="24"/>
          <w:szCs w:val="24"/>
          <w:u w:val="single"/>
          <w:lang w:eastAsia="en-GB"/>
        </w:rPr>
      </w:pPr>
      <w:r w:rsidRPr="00634CCC">
        <w:rPr>
          <w:rFonts w:eastAsia="TimesNewRoman"/>
          <w:sz w:val="24"/>
          <w:szCs w:val="24"/>
          <w:u w:val="single"/>
          <w:lang w:eastAsia="en-GB"/>
        </w:rPr>
        <w:t>Følgende bivirkninger er rapport</w:t>
      </w:r>
      <w:r>
        <w:rPr>
          <w:rFonts w:eastAsia="TimesNewRoman"/>
          <w:sz w:val="24"/>
          <w:szCs w:val="24"/>
          <w:u w:val="single"/>
          <w:lang w:eastAsia="en-GB"/>
        </w:rPr>
        <w:t>eret ved brug af nogle statiner</w:t>
      </w:r>
    </w:p>
    <w:p w:rsidR="001A1784" w:rsidRPr="00634CCC" w:rsidRDefault="001A1784" w:rsidP="001A1784">
      <w:pPr>
        <w:numPr>
          <w:ilvl w:val="0"/>
          <w:numId w:val="12"/>
        </w:numPr>
        <w:tabs>
          <w:tab w:val="clear" w:pos="720"/>
          <w:tab w:val="num" w:pos="1571"/>
        </w:tabs>
        <w:autoSpaceDE w:val="0"/>
        <w:autoSpaceDN w:val="0"/>
        <w:adjustRightInd w:val="0"/>
        <w:ind w:left="1134" w:hanging="283"/>
        <w:rPr>
          <w:rFonts w:eastAsia="TimesNewRoman"/>
          <w:sz w:val="24"/>
          <w:szCs w:val="24"/>
          <w:lang w:eastAsia="en-GB"/>
        </w:rPr>
      </w:pPr>
      <w:r w:rsidRPr="00634CCC">
        <w:rPr>
          <w:rFonts w:eastAsia="TimesNewRoman"/>
          <w:sz w:val="24"/>
          <w:szCs w:val="24"/>
          <w:lang w:eastAsia="en-GB"/>
        </w:rPr>
        <w:t>Seksuel dysfunktion</w:t>
      </w:r>
    </w:p>
    <w:p w:rsidR="001A1784" w:rsidRPr="00634CCC" w:rsidRDefault="001A1784" w:rsidP="001A1784">
      <w:pPr>
        <w:numPr>
          <w:ilvl w:val="0"/>
          <w:numId w:val="12"/>
        </w:numPr>
        <w:tabs>
          <w:tab w:val="clear" w:pos="720"/>
          <w:tab w:val="num" w:pos="1571"/>
        </w:tabs>
        <w:autoSpaceDE w:val="0"/>
        <w:autoSpaceDN w:val="0"/>
        <w:adjustRightInd w:val="0"/>
        <w:ind w:left="1134" w:hanging="283"/>
        <w:rPr>
          <w:rFonts w:eastAsia="TimesNewRoman"/>
          <w:sz w:val="24"/>
          <w:szCs w:val="24"/>
          <w:lang w:eastAsia="en-GB"/>
        </w:rPr>
      </w:pPr>
      <w:r w:rsidRPr="00634CCC">
        <w:rPr>
          <w:rFonts w:eastAsia="TimesNewRoman"/>
          <w:sz w:val="24"/>
          <w:szCs w:val="24"/>
          <w:lang w:eastAsia="en-GB"/>
        </w:rPr>
        <w:t>Depression</w:t>
      </w:r>
    </w:p>
    <w:p w:rsidR="001A1784" w:rsidRPr="00634CCC" w:rsidRDefault="001A1784" w:rsidP="001A1784">
      <w:pPr>
        <w:numPr>
          <w:ilvl w:val="0"/>
          <w:numId w:val="12"/>
        </w:numPr>
        <w:tabs>
          <w:tab w:val="clear" w:pos="720"/>
          <w:tab w:val="num" w:pos="1571"/>
        </w:tabs>
        <w:autoSpaceDE w:val="0"/>
        <w:autoSpaceDN w:val="0"/>
        <w:adjustRightInd w:val="0"/>
        <w:ind w:left="1134" w:hanging="283"/>
        <w:rPr>
          <w:rFonts w:eastAsia="TimesNewRoman"/>
          <w:sz w:val="24"/>
          <w:szCs w:val="24"/>
          <w:lang w:eastAsia="en-GB"/>
        </w:rPr>
      </w:pPr>
      <w:r w:rsidRPr="00634CCC">
        <w:rPr>
          <w:rFonts w:eastAsia="TimesNewRoman"/>
          <w:sz w:val="24"/>
          <w:szCs w:val="24"/>
          <w:lang w:eastAsia="en-GB"/>
        </w:rPr>
        <w:t>Sjældne tilfælde af interstitiel lungesygdom, særligt ved langtidsbrug (se pkt. 4.4)</w:t>
      </w:r>
    </w:p>
    <w:p w:rsidR="001A1784" w:rsidRPr="00634CCC" w:rsidRDefault="001A1784" w:rsidP="001A1784">
      <w:pPr>
        <w:numPr>
          <w:ilvl w:val="0"/>
          <w:numId w:val="12"/>
        </w:numPr>
        <w:tabs>
          <w:tab w:val="clear" w:pos="720"/>
          <w:tab w:val="num" w:pos="1571"/>
        </w:tabs>
        <w:autoSpaceDE w:val="0"/>
        <w:autoSpaceDN w:val="0"/>
        <w:adjustRightInd w:val="0"/>
        <w:ind w:left="1134" w:hanging="283"/>
        <w:rPr>
          <w:rFonts w:eastAsia="TimesNewRoman"/>
          <w:sz w:val="24"/>
          <w:szCs w:val="24"/>
          <w:lang w:eastAsia="en-GB"/>
        </w:rPr>
      </w:pPr>
      <w:r w:rsidRPr="00634CCC">
        <w:rPr>
          <w:color w:val="000000"/>
          <w:sz w:val="24"/>
          <w:szCs w:val="24"/>
          <w:lang w:eastAsia="da-DK"/>
        </w:rPr>
        <w:t>Diabetes mellitus: Frekvensen vil afhænge af tilstedeværelse eller fravær af risikofaktorer (fasteglukose ≥ 5,6 mmol/l, BMI&gt; 30 kg/m</w:t>
      </w:r>
      <w:r w:rsidRPr="00634CCC">
        <w:rPr>
          <w:color w:val="000000"/>
          <w:sz w:val="24"/>
          <w:szCs w:val="24"/>
          <w:vertAlign w:val="superscript"/>
          <w:lang w:eastAsia="da-DK"/>
        </w:rPr>
        <w:t>2</w:t>
      </w:r>
      <w:r w:rsidRPr="00634CCC">
        <w:rPr>
          <w:color w:val="000000"/>
          <w:sz w:val="24"/>
          <w:szCs w:val="24"/>
          <w:lang w:eastAsia="da-DK"/>
        </w:rPr>
        <w:t xml:space="preserve">, forhøjede triglycerider, forhøjet blodtryk i anamnesen) </w:t>
      </w:r>
    </w:p>
    <w:p w:rsidR="001A1784" w:rsidRPr="00634CCC"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634CCC" w:rsidRDefault="001A1784" w:rsidP="001A1784">
      <w:pPr>
        <w:ind w:left="851"/>
        <w:rPr>
          <w:sz w:val="24"/>
          <w:szCs w:val="24"/>
          <w:u w:val="single"/>
          <w:lang w:eastAsia="da-DK"/>
        </w:rPr>
      </w:pPr>
      <w:r w:rsidRPr="00634CCC">
        <w:rPr>
          <w:sz w:val="24"/>
          <w:szCs w:val="24"/>
          <w:u w:val="single"/>
          <w:lang w:eastAsia="da-DK"/>
        </w:rPr>
        <w:t>Indberetning af formodede bivirkninger</w:t>
      </w:r>
    </w:p>
    <w:p w:rsidR="001A1784" w:rsidRPr="00634CCC" w:rsidRDefault="001A1784" w:rsidP="001A1784">
      <w:pPr>
        <w:autoSpaceDE w:val="0"/>
        <w:autoSpaceDN w:val="0"/>
        <w:ind w:left="851"/>
        <w:rPr>
          <w:sz w:val="24"/>
          <w:szCs w:val="24"/>
          <w:lang w:eastAsia="da-DK"/>
        </w:rPr>
      </w:pPr>
      <w:r w:rsidRPr="00634CCC">
        <w:rPr>
          <w:sz w:val="24"/>
          <w:szCs w:val="24"/>
          <w:lang w:eastAsia="da-DK"/>
        </w:rPr>
        <w:t xml:space="preserve">Når lægemidlet er godkendt, er indberetning af formodede bivirkninger vigtig. Det muliggør løbende overvågning af benefit/risk-forholdet for lægemidlet. </w:t>
      </w:r>
      <w:r w:rsidR="00F63265">
        <w:rPr>
          <w:sz w:val="24"/>
          <w:szCs w:val="24"/>
          <w:lang w:eastAsia="da-DK"/>
        </w:rPr>
        <w:t>S</w:t>
      </w:r>
      <w:r w:rsidRPr="00634CCC">
        <w:rPr>
          <w:sz w:val="24"/>
          <w:szCs w:val="24"/>
          <w:lang w:eastAsia="da-DK"/>
        </w:rPr>
        <w:t>undhedsperson</w:t>
      </w:r>
      <w:r w:rsidR="00F63265">
        <w:rPr>
          <w:sz w:val="24"/>
          <w:szCs w:val="24"/>
          <w:lang w:eastAsia="da-DK"/>
        </w:rPr>
        <w:t>er</w:t>
      </w:r>
      <w:r w:rsidRPr="00634CCC">
        <w:rPr>
          <w:sz w:val="24"/>
          <w:szCs w:val="24"/>
          <w:lang w:eastAsia="da-DK"/>
        </w:rPr>
        <w:t xml:space="preserve"> anmodes om at indberette alle formodede bivirkninger via det nationale rapporteringssystem: </w:t>
      </w:r>
    </w:p>
    <w:p w:rsidR="001A1784" w:rsidRPr="00634CCC" w:rsidRDefault="001A1784" w:rsidP="001A1784">
      <w:pPr>
        <w:autoSpaceDE w:val="0"/>
        <w:autoSpaceDN w:val="0"/>
        <w:ind w:left="851"/>
        <w:rPr>
          <w:sz w:val="24"/>
          <w:szCs w:val="24"/>
          <w:lang w:eastAsia="da-DK"/>
        </w:rPr>
      </w:pPr>
    </w:p>
    <w:p w:rsidR="001A1784" w:rsidRPr="00634CCC" w:rsidRDefault="001A1784" w:rsidP="009203BA">
      <w:pPr>
        <w:keepNext/>
        <w:autoSpaceDE w:val="0"/>
        <w:autoSpaceDN w:val="0"/>
        <w:ind w:left="851"/>
        <w:rPr>
          <w:sz w:val="24"/>
          <w:szCs w:val="24"/>
          <w:lang w:eastAsia="da-DK"/>
        </w:rPr>
      </w:pPr>
      <w:r w:rsidRPr="00634CCC">
        <w:rPr>
          <w:sz w:val="24"/>
          <w:szCs w:val="24"/>
          <w:lang w:eastAsia="da-DK"/>
        </w:rPr>
        <w:t>Lægemiddelstyrelsen</w:t>
      </w:r>
    </w:p>
    <w:p w:rsidR="001A1784" w:rsidRPr="00634CCC" w:rsidRDefault="001A1784" w:rsidP="001A1784">
      <w:pPr>
        <w:autoSpaceDE w:val="0"/>
        <w:autoSpaceDN w:val="0"/>
        <w:ind w:left="851"/>
        <w:rPr>
          <w:sz w:val="24"/>
          <w:szCs w:val="24"/>
          <w:lang w:eastAsia="da-DK"/>
        </w:rPr>
      </w:pPr>
      <w:r w:rsidRPr="00634CCC">
        <w:rPr>
          <w:sz w:val="24"/>
          <w:szCs w:val="24"/>
          <w:lang w:eastAsia="da-DK"/>
        </w:rPr>
        <w:t xml:space="preserve">Axel Heides Gade 1 </w:t>
      </w:r>
    </w:p>
    <w:p w:rsidR="001A1784" w:rsidRPr="00634CCC" w:rsidRDefault="001A1784" w:rsidP="001A1784">
      <w:pPr>
        <w:autoSpaceDE w:val="0"/>
        <w:autoSpaceDN w:val="0"/>
        <w:ind w:left="851"/>
        <w:rPr>
          <w:sz w:val="24"/>
          <w:szCs w:val="24"/>
          <w:lang w:eastAsia="da-DK"/>
        </w:rPr>
      </w:pPr>
      <w:r w:rsidRPr="00634CCC">
        <w:rPr>
          <w:sz w:val="24"/>
          <w:szCs w:val="24"/>
          <w:lang w:eastAsia="da-DK"/>
        </w:rPr>
        <w:t xml:space="preserve">2300 København S </w:t>
      </w:r>
    </w:p>
    <w:p w:rsidR="001A1784" w:rsidRPr="00A3138A" w:rsidRDefault="001A1784" w:rsidP="001A1784">
      <w:pPr>
        <w:autoSpaceDE w:val="0"/>
        <w:autoSpaceDN w:val="0"/>
        <w:ind w:left="851"/>
        <w:rPr>
          <w:sz w:val="24"/>
          <w:szCs w:val="24"/>
          <w:lang w:eastAsia="da-DK"/>
        </w:rPr>
      </w:pPr>
      <w:r w:rsidRPr="00A3138A">
        <w:rPr>
          <w:sz w:val="24"/>
          <w:szCs w:val="24"/>
          <w:lang w:eastAsia="da-DK"/>
        </w:rPr>
        <w:t xml:space="preserve">Websted: </w:t>
      </w:r>
      <w:hyperlink r:id="rId8" w:history="1">
        <w:r w:rsidRPr="00A3138A">
          <w:rPr>
            <w:color w:val="0000FF"/>
            <w:sz w:val="24"/>
            <w:szCs w:val="24"/>
            <w:u w:val="single"/>
            <w:lang w:eastAsia="da-DK"/>
          </w:rPr>
          <w:t>www.meldenbivirkning.dk</w:t>
        </w:r>
      </w:hyperlink>
      <w:r w:rsidRPr="00A3138A">
        <w:rPr>
          <w:sz w:val="24"/>
          <w:szCs w:val="24"/>
          <w:lang w:eastAsia="da-DK"/>
        </w:rPr>
        <w:t xml:space="preserve"> </w:t>
      </w:r>
    </w:p>
    <w:p w:rsidR="001A1784" w:rsidRPr="00A3138A" w:rsidRDefault="001A1784" w:rsidP="001A1784">
      <w:pPr>
        <w:pStyle w:val="Sidehoved"/>
        <w:tabs>
          <w:tab w:val="left" w:pos="851"/>
        </w:tabs>
        <w:ind w:left="851"/>
        <w:rPr>
          <w:szCs w:val="24"/>
        </w:rPr>
      </w:pPr>
    </w:p>
    <w:p w:rsidR="001A1784" w:rsidRPr="00C84483" w:rsidRDefault="001A1784" w:rsidP="00BC049C">
      <w:pPr>
        <w:keepNext/>
        <w:tabs>
          <w:tab w:val="left" w:pos="851"/>
        </w:tabs>
        <w:ind w:left="851" w:hanging="851"/>
        <w:rPr>
          <w:b/>
          <w:sz w:val="24"/>
          <w:szCs w:val="24"/>
        </w:rPr>
      </w:pPr>
      <w:r w:rsidRPr="00C84483">
        <w:rPr>
          <w:b/>
          <w:sz w:val="24"/>
          <w:szCs w:val="24"/>
        </w:rPr>
        <w:t>4.9</w:t>
      </w:r>
      <w:r w:rsidRPr="00C84483">
        <w:rPr>
          <w:b/>
          <w:sz w:val="24"/>
          <w:szCs w:val="24"/>
        </w:rPr>
        <w:tab/>
        <w:t>Overdosering</w:t>
      </w:r>
    </w:p>
    <w:p w:rsidR="001A1784" w:rsidRPr="00A8524E"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A8524E">
        <w:rPr>
          <w:spacing w:val="-3"/>
          <w:sz w:val="24"/>
          <w:szCs w:val="24"/>
          <w:lang w:eastAsia="da-DK"/>
        </w:rPr>
        <w:t>Der findes ingen specifik behandling af overdosering med atorvastatin. I tilfælde af overdosering skal patienten behandles symptomatisk, og de nødvendige understøttende forholdsregler institueres. Leverfunktionsmålinger og serum-CK-niveauet bør monitoreres. På grund af udpræget binding af atorvastatin til plasmaproteiner forventes hæmodialyse ikke at forhøje atorvastatins clearance signifikant.</w:t>
      </w:r>
    </w:p>
    <w:p w:rsidR="001A1784" w:rsidRPr="00C84483" w:rsidRDefault="001A1784" w:rsidP="001A1784">
      <w:pPr>
        <w:tabs>
          <w:tab w:val="left" w:pos="851"/>
        </w:tabs>
        <w:ind w:left="851"/>
        <w:rPr>
          <w:sz w:val="24"/>
          <w:szCs w:val="24"/>
        </w:rPr>
      </w:pPr>
    </w:p>
    <w:p w:rsidR="001A1784" w:rsidRPr="00C84483" w:rsidRDefault="001A1784" w:rsidP="001A1784">
      <w:pPr>
        <w:tabs>
          <w:tab w:val="left" w:pos="851"/>
        </w:tabs>
        <w:ind w:left="851" w:hanging="851"/>
        <w:rPr>
          <w:b/>
          <w:sz w:val="24"/>
          <w:szCs w:val="24"/>
        </w:rPr>
      </w:pPr>
      <w:r w:rsidRPr="00C84483">
        <w:rPr>
          <w:b/>
          <w:sz w:val="24"/>
          <w:szCs w:val="24"/>
        </w:rPr>
        <w:t>4.10</w:t>
      </w:r>
      <w:r w:rsidRPr="00C84483">
        <w:rPr>
          <w:b/>
          <w:sz w:val="24"/>
          <w:szCs w:val="24"/>
        </w:rPr>
        <w:tab/>
        <w:t>Udlevering</w:t>
      </w:r>
    </w:p>
    <w:p w:rsidR="001A1784" w:rsidRPr="00C84483" w:rsidRDefault="001A1784" w:rsidP="001A1784">
      <w:pPr>
        <w:tabs>
          <w:tab w:val="left" w:pos="851"/>
        </w:tabs>
        <w:ind w:left="851"/>
        <w:rPr>
          <w:sz w:val="24"/>
          <w:szCs w:val="24"/>
        </w:rPr>
      </w:pPr>
      <w:r>
        <w:rPr>
          <w:sz w:val="24"/>
          <w:szCs w:val="24"/>
        </w:rPr>
        <w:t>B</w:t>
      </w:r>
    </w:p>
    <w:p w:rsidR="001A1784" w:rsidRPr="00C84483" w:rsidRDefault="001A1784" w:rsidP="001A1784">
      <w:pPr>
        <w:tabs>
          <w:tab w:val="left" w:pos="851"/>
        </w:tabs>
        <w:ind w:left="851"/>
        <w:rPr>
          <w:sz w:val="24"/>
          <w:szCs w:val="24"/>
        </w:rPr>
      </w:pPr>
    </w:p>
    <w:p w:rsidR="001A1784" w:rsidRPr="00C84483" w:rsidRDefault="001A1784" w:rsidP="001A1784">
      <w:pPr>
        <w:tabs>
          <w:tab w:val="left" w:pos="851"/>
        </w:tabs>
        <w:ind w:left="851"/>
        <w:rPr>
          <w:sz w:val="24"/>
          <w:szCs w:val="24"/>
        </w:rPr>
      </w:pPr>
    </w:p>
    <w:p w:rsidR="001A1784" w:rsidRPr="00C84483" w:rsidRDefault="001A1784" w:rsidP="001A178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A1784" w:rsidRPr="00C84483" w:rsidRDefault="001A1784" w:rsidP="001A1784">
      <w:pPr>
        <w:tabs>
          <w:tab w:val="left" w:pos="851"/>
        </w:tabs>
        <w:ind w:left="851"/>
        <w:rPr>
          <w:sz w:val="24"/>
          <w:szCs w:val="24"/>
        </w:rPr>
      </w:pPr>
    </w:p>
    <w:p w:rsidR="001A1784" w:rsidRPr="00C84483" w:rsidRDefault="001A1784" w:rsidP="001A1784">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7954A0" w:rsidRPr="00A8524E" w:rsidRDefault="007954A0" w:rsidP="007954A0">
      <w:pPr>
        <w:tabs>
          <w:tab w:val="left" w:pos="851"/>
        </w:tabs>
        <w:ind w:left="851" w:hanging="851"/>
        <w:rPr>
          <w:spacing w:val="-3"/>
          <w:sz w:val="24"/>
          <w:szCs w:val="24"/>
          <w:lang w:eastAsia="da-DK"/>
        </w:rPr>
      </w:pPr>
      <w:r w:rsidRPr="007954A0">
        <w:rPr>
          <w:sz w:val="24"/>
          <w:szCs w:val="24"/>
        </w:rPr>
        <w:tab/>
        <w:t>Farmakoterapeutisk klassifikation</w:t>
      </w:r>
      <w:r>
        <w:rPr>
          <w:sz w:val="24"/>
          <w:szCs w:val="24"/>
        </w:rPr>
        <w:t xml:space="preserve">: </w:t>
      </w:r>
      <w:r w:rsidRPr="00A8524E">
        <w:rPr>
          <w:spacing w:val="-3"/>
          <w:sz w:val="24"/>
          <w:szCs w:val="24"/>
          <w:lang w:eastAsia="da-DK"/>
        </w:rPr>
        <w:t>Lipid-modificerende midler, HMG-CoA reduktasehæmmere.</w:t>
      </w:r>
      <w:r>
        <w:rPr>
          <w:spacing w:val="-3"/>
          <w:sz w:val="24"/>
          <w:szCs w:val="24"/>
          <w:lang w:eastAsia="da-DK"/>
        </w:rPr>
        <w:t xml:space="preserve"> </w:t>
      </w:r>
      <w:r w:rsidRPr="00A8524E">
        <w:rPr>
          <w:spacing w:val="-3"/>
          <w:sz w:val="24"/>
          <w:szCs w:val="24"/>
          <w:lang w:eastAsia="da-DK"/>
        </w:rPr>
        <w:t>ATC</w:t>
      </w:r>
      <w:r>
        <w:rPr>
          <w:spacing w:val="-3"/>
          <w:sz w:val="24"/>
          <w:szCs w:val="24"/>
          <w:lang w:eastAsia="da-DK"/>
        </w:rPr>
        <w:t>-</w:t>
      </w:r>
      <w:r w:rsidRPr="00A8524E">
        <w:rPr>
          <w:spacing w:val="-3"/>
          <w:sz w:val="24"/>
          <w:szCs w:val="24"/>
          <w:lang w:eastAsia="da-DK"/>
        </w:rPr>
        <w:t>kode</w:t>
      </w:r>
      <w:r>
        <w:rPr>
          <w:spacing w:val="-3"/>
          <w:sz w:val="24"/>
          <w:szCs w:val="24"/>
          <w:lang w:eastAsia="da-DK"/>
        </w:rPr>
        <w:t xml:space="preserve">: </w:t>
      </w:r>
      <w:r w:rsidRPr="00A8524E">
        <w:rPr>
          <w:spacing w:val="-3"/>
          <w:sz w:val="24"/>
          <w:szCs w:val="24"/>
          <w:lang w:eastAsia="da-DK"/>
        </w:rPr>
        <w:t>C 10 AA 05.</w:t>
      </w:r>
    </w:p>
    <w:p w:rsidR="007954A0" w:rsidRDefault="007954A0"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 xml:space="preserve">Atorvastatin er en selektiv, kompetitiv hæmmer af HMG-CoA-reduktase, det hastighedsbegrænsende enzym, som er ansvarlig for omdannelsen af 3-hydroxy-3-methyl-glutaryl-coenzym A til mevalonat, et forstadium til steroler, herunder kolesterol. Triglycerider og kolesterol i leveren inkorporeres i </w:t>
      </w:r>
      <w:r w:rsidRPr="005C338B">
        <w:rPr>
          <w:i/>
          <w:spacing w:val="-3"/>
          <w:sz w:val="24"/>
          <w:szCs w:val="24"/>
          <w:lang w:eastAsia="da-DK"/>
        </w:rPr>
        <w:t>very low-density</w:t>
      </w:r>
      <w:r w:rsidRPr="005C338B">
        <w:rPr>
          <w:spacing w:val="-3"/>
          <w:sz w:val="24"/>
          <w:szCs w:val="24"/>
          <w:lang w:eastAsia="da-DK"/>
        </w:rPr>
        <w:t xml:space="preserve"> lipoproteiner (VLDL) og frigøres til plasma med henblik på frigivelse til perifere væv. </w:t>
      </w:r>
      <w:r w:rsidRPr="005C338B">
        <w:rPr>
          <w:i/>
          <w:spacing w:val="-3"/>
          <w:sz w:val="24"/>
          <w:szCs w:val="24"/>
          <w:lang w:eastAsia="da-DK"/>
        </w:rPr>
        <w:t>Low-density</w:t>
      </w:r>
      <w:r w:rsidRPr="005C338B">
        <w:rPr>
          <w:spacing w:val="-3"/>
          <w:sz w:val="24"/>
          <w:szCs w:val="24"/>
          <w:lang w:eastAsia="da-DK"/>
        </w:rPr>
        <w:t xml:space="preserve"> lipoprotein (LDL) dannes fra VLDL og kataboliseres primært ved hjælp af receptorer med høj affinitet til LDL (LDL-receptorer).</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Atorvastatin sænker plasma-kolesterol- og serum-lipoprotein-koncentrationen ved at hæmme HMG-CoA-reduktase og som følge deraf kolesterolbiosyntesen i leveren og øger antallet af hepatiske LDL-receptorer på celleoverfladen, hvilket fører til øget optagelse og katabolisering af LDL.</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Atorvastatin reducerer LDL-produktionen og antallet af LDL-partikler. Atorvastatin giver en væsentlig og vedvarende forøgelse af LDL-receptoraktiviteten koblet med en fordelagtig ændring i kvaliteten af de cirkulerende LDL-partikler. Atorvastatin reducerer effektivt LDL-kolesterol hos patienter med homozygot familiær hyperkolesterolæmi, en patientgruppe, som sædvanligvis ikke har responderet på lipidsænkende behandling.</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I et dosis-respons-studie reducerede atorvastatin koncentrationen af total-kolesterol (30-46 %), LDL-kolesterol (41-61 %), apolipoprotein B (34-50 %) og triglycerider (14-33 %), og forårsagede variable stigninger i HDL-kolesterol og apolipoprotein A1. Disse resultater er konsistente hos patienter med heterozygot familiær hyperkolesterolæmi, nonfamiliære former for hyperkolesterolæmi og kombineret hyperlipidæmi, herunder patienter med ikke-insulinkrævende diabetes mellitus.</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 xml:space="preserve">Der er vist, at reduktion i total-kolesterol, LDL-kolesterol og apolipoprotein B nedsætter risikoen for kardiovaskulære hændelser og kardiovaskulær mortalitet. </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u w:val="single"/>
          <w:lang w:eastAsia="da-DK"/>
        </w:rPr>
        <w:t>Homozygot familiær hyperkolesterolæmi</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I et multicenter 8-ugers open-label compassionate-use klinisk forsøg med valgfri forlæng</w:t>
      </w:r>
      <w:r w:rsidRPr="005C338B">
        <w:rPr>
          <w:spacing w:val="-3"/>
          <w:sz w:val="24"/>
          <w:szCs w:val="24"/>
          <w:lang w:eastAsia="da-DK"/>
        </w:rPr>
        <w:softHyphen/>
        <w:t>elsesfase af variable længde blev 335 patienter indrulleret. Heraf havde 89 patienter homo</w:t>
      </w:r>
      <w:r w:rsidRPr="005C338B">
        <w:rPr>
          <w:spacing w:val="-3"/>
          <w:sz w:val="24"/>
          <w:szCs w:val="24"/>
          <w:lang w:eastAsia="da-DK"/>
        </w:rPr>
        <w:softHyphen/>
        <w:t>zygot familiær hyperkolesterolæmi. Hos disse patienter var den gennemsnitlige procentvise reduktion i LDL-kolesterol ca. 20%. Atorvastatin blev administreret i doser op til 80 mg/dag.</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u w:val="single"/>
          <w:lang w:eastAsia="da-DK"/>
        </w:rPr>
      </w:pPr>
      <w:r w:rsidRPr="005C338B">
        <w:rPr>
          <w:spacing w:val="-3"/>
          <w:sz w:val="24"/>
          <w:szCs w:val="24"/>
          <w:u w:val="single"/>
          <w:lang w:eastAsia="da-DK"/>
        </w:rPr>
        <w:t>Aterosklerose</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 xml:space="preserve">I ”Reversing Atherosclerosis with Aggressive Lipid-Lovering Study” (REVERSAL) blev effekten af intensiv lipidsænkning med atorvastatin 80 mg og standard lipidsænkning med pravastatin 40 mg på koronar aterosklerose vurderet ved hjælp af intravaskulær ultralyd (IVUS) under angiografi hos patienter med koronar hjertesygdom. I dette randomiserede, dobbelt-blinde, multicenter, kontrollerede kliniske studie blev IVUS udført ved baseline og ved 18 måneder hos 502 patienter. I atorvastatingruppen (n=253) var der ingen progression af aterosklerose. </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 xml:space="preserve">Den mediane ændring i total ateromavolumen (det primære studiekriterie) i procent fra baseline var -0,4 % (p=0,98) i atorvastatingruppen, og +2,7 % (p=0,001) i pravastatingruppen (n=249). Effekten af atorvastatin er statistisk signifikant (p=0,02) ved sammenligning med pravastatin. Effekten af intensiv lipidsænkning på kardiovaskulære endepunkter (dvs. behov for revaskularisering, ikke-letalt myokardieinfarkt (MI), koronardød) blev ikke undersøgt i dette studie. </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 xml:space="preserve">I atorvastatingruppen blev LDL-kolesterol reduceret til et gennemsnit på 2,04 mmol/l </w:t>
      </w:r>
      <w:r w:rsidRPr="005C338B">
        <w:rPr>
          <w:spacing w:val="-3"/>
          <w:sz w:val="24"/>
          <w:szCs w:val="24"/>
          <w:lang w:eastAsia="da-DK"/>
        </w:rPr>
        <w:sym w:font="Symbol" w:char="F0B1"/>
      </w:r>
      <w:r w:rsidRPr="005C338B">
        <w:rPr>
          <w:spacing w:val="-3"/>
          <w:sz w:val="24"/>
          <w:szCs w:val="24"/>
          <w:lang w:eastAsia="da-DK"/>
        </w:rPr>
        <w:t xml:space="preserve">0,8 (78,9 mg/dl </w:t>
      </w:r>
      <w:r w:rsidRPr="005C338B">
        <w:rPr>
          <w:spacing w:val="-3"/>
          <w:sz w:val="24"/>
          <w:szCs w:val="24"/>
          <w:lang w:eastAsia="da-DK"/>
        </w:rPr>
        <w:sym w:font="Symbol" w:char="F0B1"/>
      </w:r>
      <w:r w:rsidRPr="005C338B">
        <w:rPr>
          <w:spacing w:val="-3"/>
          <w:sz w:val="24"/>
          <w:szCs w:val="24"/>
          <w:lang w:eastAsia="da-DK"/>
        </w:rPr>
        <w:t xml:space="preserve">30) fra baseline 3,98 mmol/l </w:t>
      </w:r>
      <w:r w:rsidRPr="005C338B">
        <w:rPr>
          <w:spacing w:val="-3"/>
          <w:sz w:val="24"/>
          <w:szCs w:val="24"/>
          <w:lang w:eastAsia="da-DK"/>
        </w:rPr>
        <w:sym w:font="Symbol" w:char="F0B1"/>
      </w:r>
      <w:r w:rsidRPr="005C338B">
        <w:rPr>
          <w:spacing w:val="-3"/>
          <w:sz w:val="24"/>
          <w:szCs w:val="24"/>
          <w:lang w:eastAsia="da-DK"/>
        </w:rPr>
        <w:t xml:space="preserve">0,7 (150 mg/dl </w:t>
      </w:r>
      <w:r w:rsidRPr="005C338B">
        <w:rPr>
          <w:spacing w:val="-3"/>
          <w:sz w:val="24"/>
          <w:szCs w:val="24"/>
          <w:lang w:eastAsia="da-DK"/>
        </w:rPr>
        <w:sym w:font="Symbol" w:char="F0B1"/>
      </w:r>
      <w:r w:rsidRPr="005C338B">
        <w:rPr>
          <w:spacing w:val="-3"/>
          <w:sz w:val="24"/>
          <w:szCs w:val="24"/>
          <w:lang w:eastAsia="da-DK"/>
        </w:rPr>
        <w:t xml:space="preserve">28) og i pravastatingruppen til et gennemsnit på 2,85 mmol/l </w:t>
      </w:r>
      <w:r w:rsidRPr="005C338B">
        <w:rPr>
          <w:spacing w:val="-3"/>
          <w:sz w:val="24"/>
          <w:szCs w:val="24"/>
          <w:lang w:eastAsia="da-DK"/>
        </w:rPr>
        <w:sym w:font="Symbol" w:char="F0B1"/>
      </w:r>
      <w:r w:rsidRPr="005C338B">
        <w:rPr>
          <w:spacing w:val="-3"/>
          <w:sz w:val="24"/>
          <w:szCs w:val="24"/>
          <w:lang w:eastAsia="da-DK"/>
        </w:rPr>
        <w:t xml:space="preserve"> 0,7 (110 mg/dl </w:t>
      </w:r>
      <w:r w:rsidRPr="005C338B">
        <w:rPr>
          <w:spacing w:val="-3"/>
          <w:sz w:val="24"/>
          <w:szCs w:val="24"/>
          <w:lang w:eastAsia="da-DK"/>
        </w:rPr>
        <w:sym w:font="Symbol" w:char="F0B1"/>
      </w:r>
      <w:r w:rsidRPr="005C338B">
        <w:rPr>
          <w:spacing w:val="-3"/>
          <w:sz w:val="24"/>
          <w:szCs w:val="24"/>
          <w:lang w:eastAsia="da-DK"/>
        </w:rPr>
        <w:t xml:space="preserve">26) fra baseline 3,89 mmol/l </w:t>
      </w:r>
      <w:r w:rsidRPr="005C338B">
        <w:rPr>
          <w:spacing w:val="-3"/>
          <w:sz w:val="24"/>
          <w:szCs w:val="24"/>
          <w:lang w:eastAsia="da-DK"/>
        </w:rPr>
        <w:sym w:font="Symbol" w:char="F0B1"/>
      </w:r>
      <w:r w:rsidRPr="005C338B">
        <w:rPr>
          <w:spacing w:val="-3"/>
          <w:sz w:val="24"/>
          <w:szCs w:val="24"/>
          <w:lang w:eastAsia="da-DK"/>
        </w:rPr>
        <w:t xml:space="preserve"> 0,7 (150 mg/dl </w:t>
      </w:r>
      <w:r w:rsidRPr="005C338B">
        <w:rPr>
          <w:spacing w:val="-3"/>
          <w:sz w:val="24"/>
          <w:szCs w:val="24"/>
          <w:lang w:eastAsia="da-DK"/>
        </w:rPr>
        <w:sym w:font="Symbol" w:char="F0B1"/>
      </w:r>
      <w:r w:rsidRPr="005C338B">
        <w:rPr>
          <w:spacing w:val="-3"/>
          <w:sz w:val="24"/>
          <w:szCs w:val="24"/>
          <w:lang w:eastAsia="da-DK"/>
        </w:rPr>
        <w:t xml:space="preserve">26) (p&lt;0,0001). Atorvastatin reducerede også signifikant det gennemsnitlige total-kolesterol (TC) med 34,1 % (pravastatin: -18,4 %; p&lt;0,0001), de gennemsnitlige </w:t>
      </w:r>
      <w:proofErr w:type="gramStart"/>
      <w:r w:rsidRPr="005C338B">
        <w:rPr>
          <w:spacing w:val="-3"/>
          <w:sz w:val="24"/>
          <w:szCs w:val="24"/>
          <w:lang w:eastAsia="da-DK"/>
        </w:rPr>
        <w:t>triglycerid</w:t>
      </w:r>
      <w:proofErr w:type="gramEnd"/>
      <w:r w:rsidRPr="005C338B">
        <w:rPr>
          <w:spacing w:val="-3"/>
          <w:sz w:val="24"/>
          <w:szCs w:val="24"/>
          <w:lang w:eastAsia="da-DK"/>
        </w:rPr>
        <w:t xml:space="preserve"> (TG)-niveauer med 20 % (pravastatin: -6,8 %; p&lt;0,0009), og det gennemsnitlige apolipoprotein B med 39,1 % pravastatin: -22,0 %; p&lt;0,0001). Atorvastatin øgede det gennemsnitlige HDL-kolesterol med 2,9 % (pravastatin: +5,6 %; p=NS). Der var 36,4 % gennemsnitsreduktion i C-</w:t>
      </w:r>
      <w:r w:rsidRPr="005C338B">
        <w:rPr>
          <w:spacing w:val="-3"/>
          <w:sz w:val="24"/>
          <w:szCs w:val="24"/>
          <w:lang w:eastAsia="da-DK"/>
        </w:rPr>
        <w:lastRenderedPageBreak/>
        <w:t>reaktivt protein (CRP) i atorvastatin</w:t>
      </w:r>
      <w:r w:rsidRPr="005C338B">
        <w:rPr>
          <w:spacing w:val="-3"/>
          <w:sz w:val="24"/>
          <w:szCs w:val="24"/>
          <w:lang w:eastAsia="da-DK"/>
        </w:rPr>
        <w:softHyphen/>
        <w:t>gruppen sammenlignet med 5,2 % reduktion i pravastatingruppen (p&lt;0,0001).</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 xml:space="preserve">Studieresultaterne blev opnået for styrken 80 mg. Derfor kan de ikke ekstrapoleres til de lavere doser. </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Sikkerheds- og tolerabilitetsprofilen var sammenlignelig i de 2 grupper.</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Effekten af den intensive lipidsænkning på de primære kardiovaskulære endepunkter blev ikke undersøgt i dette studie. Derfor er den kliniske relevans af disse resultater med hensyn til primær og sekundær fore</w:t>
      </w:r>
      <w:r w:rsidRPr="005C338B">
        <w:rPr>
          <w:spacing w:val="-3"/>
          <w:sz w:val="24"/>
          <w:szCs w:val="24"/>
          <w:lang w:eastAsia="da-DK"/>
        </w:rPr>
        <w:softHyphen/>
        <w:t>byggelse af kardiovaskulære hændelser ikke kendt.</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204C24"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iCs/>
          <w:spacing w:val="-3"/>
          <w:sz w:val="24"/>
          <w:szCs w:val="24"/>
          <w:u w:val="single"/>
          <w:lang w:val="sv-SE" w:eastAsia="da-DK"/>
        </w:rPr>
      </w:pPr>
      <w:r w:rsidRPr="00204C24">
        <w:rPr>
          <w:iCs/>
          <w:spacing w:val="-3"/>
          <w:sz w:val="24"/>
          <w:szCs w:val="24"/>
          <w:u w:val="single"/>
          <w:lang w:val="sv-SE" w:eastAsia="da-DK"/>
        </w:rPr>
        <w:t>Akut koronarsyndrom</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204C24">
        <w:rPr>
          <w:spacing w:val="-3"/>
          <w:sz w:val="24"/>
          <w:szCs w:val="24"/>
          <w:lang w:val="sv-SE" w:eastAsia="da-DK"/>
        </w:rPr>
        <w:t xml:space="preserve">I MIRACL-studiet blev atorvastatin 80 mg vurderet hos </w:t>
      </w:r>
      <w:proofErr w:type="gramStart"/>
      <w:r w:rsidRPr="00204C24">
        <w:rPr>
          <w:spacing w:val="-3"/>
          <w:sz w:val="24"/>
          <w:szCs w:val="24"/>
          <w:lang w:val="sv-SE" w:eastAsia="da-DK"/>
        </w:rPr>
        <w:t>3.086</w:t>
      </w:r>
      <w:proofErr w:type="gramEnd"/>
      <w:r w:rsidRPr="00204C24">
        <w:rPr>
          <w:spacing w:val="-3"/>
          <w:sz w:val="24"/>
          <w:szCs w:val="24"/>
          <w:lang w:val="sv-SE" w:eastAsia="da-DK"/>
        </w:rPr>
        <w:t xml:space="preserve"> patienter (atorvastatin n=1.538; placebo n=1.548) med akut koronarsyndrom (non-Q-tak MI eller ustabil angina). </w:t>
      </w:r>
      <w:r w:rsidRPr="005C338B">
        <w:rPr>
          <w:spacing w:val="-3"/>
          <w:sz w:val="24"/>
          <w:szCs w:val="24"/>
          <w:lang w:eastAsia="da-DK"/>
        </w:rPr>
        <w:t xml:space="preserve">Behandling blev initieret i den akutte fase under hospitalindlæggelse og blev fortsat i 16 uger. Behandling med 80 mg atorvastatin </w:t>
      </w:r>
      <w:r>
        <w:rPr>
          <w:spacing w:val="-3"/>
          <w:sz w:val="24"/>
          <w:szCs w:val="24"/>
          <w:lang w:eastAsia="da-DK"/>
        </w:rPr>
        <w:t>daglig</w:t>
      </w:r>
      <w:r w:rsidRPr="005C338B">
        <w:rPr>
          <w:spacing w:val="-3"/>
          <w:sz w:val="24"/>
          <w:szCs w:val="24"/>
          <w:lang w:eastAsia="da-DK"/>
        </w:rPr>
        <w:t xml:space="preserve"> forlængede tiden til forekomst af det kombinerede primære endepunkt, defineret som død af enhver årsag, ikke-letalt MI, genoplivet efter hjertestop eller angina pectoris med tegn på myokardieiskæmi, der kræver hospitalsindlæggelse, og indikerede en risikoreduktion på 16 % (p=0,048). Dette skyldes primært en risikoreduktion på 26 % i genindlæggelse for angina pectoris med tegn på myokardieiskæmi (p=0,018). De øvrige sekundære endepunkter var ikke selvstændigt signifikante (samlet: placebo: 22,2 %, atorvastatin: 22,4 %).</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Sikkerhedsprofilen af atorvastatin i MIRACL-studiet var i overens</w:t>
      </w:r>
      <w:r>
        <w:rPr>
          <w:spacing w:val="-3"/>
          <w:sz w:val="24"/>
          <w:szCs w:val="24"/>
          <w:lang w:eastAsia="da-DK"/>
        </w:rPr>
        <w:t>s</w:t>
      </w:r>
      <w:r w:rsidRPr="005C338B">
        <w:rPr>
          <w:spacing w:val="-3"/>
          <w:sz w:val="24"/>
          <w:szCs w:val="24"/>
          <w:lang w:eastAsia="da-DK"/>
        </w:rPr>
        <w:t xml:space="preserve">temmelse med det, der er beskrevet i pkt. 4.8. </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iCs/>
          <w:spacing w:val="-3"/>
          <w:sz w:val="24"/>
          <w:szCs w:val="24"/>
          <w:u w:val="single"/>
          <w:lang w:eastAsia="da-DK"/>
        </w:rPr>
      </w:pPr>
      <w:r w:rsidRPr="005C338B">
        <w:rPr>
          <w:iCs/>
          <w:spacing w:val="-3"/>
          <w:sz w:val="24"/>
          <w:szCs w:val="24"/>
          <w:u w:val="single"/>
          <w:lang w:eastAsia="da-DK"/>
        </w:rPr>
        <w:t>Forebyggelse af kardiovaskulær sygdom</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 xml:space="preserve">I et randomiseret, dobbelt-blindt, placebokontrolleret studie, Anglo-Scandinavian Cardiac Outcomes Trial Lipid Lowering Arm (ASCOT-LLA) blev effekten af atorvastatin på letal og ikke-letal koronar hjertesygdom undersøgt. Patienterne var hypertensive, i alderen 40-79 år, uden tidligere myokardieinfarkt eller behandling for angina og havde total-kolesterol på </w:t>
      </w:r>
      <w:r w:rsidRPr="005C338B">
        <w:rPr>
          <w:spacing w:val="-3"/>
          <w:sz w:val="24"/>
          <w:szCs w:val="24"/>
          <w:lang w:eastAsia="da-DK"/>
        </w:rPr>
        <w:sym w:font="Symbol" w:char="F0A3"/>
      </w:r>
      <w:r w:rsidRPr="005C338B">
        <w:rPr>
          <w:spacing w:val="-3"/>
          <w:sz w:val="24"/>
          <w:szCs w:val="24"/>
          <w:lang w:eastAsia="da-DK"/>
        </w:rPr>
        <w:t xml:space="preserve">6,5 mmol/l (251 mg/dl). Alle patienter havde mindst 3 af de foruddefinerede kardiovaskulære risikofaktorer: mand, alder </w:t>
      </w:r>
      <w:r w:rsidRPr="005C338B">
        <w:rPr>
          <w:spacing w:val="-3"/>
          <w:sz w:val="24"/>
          <w:szCs w:val="24"/>
          <w:lang w:eastAsia="da-DK"/>
        </w:rPr>
        <w:sym w:font="Symbol" w:char="F0B3"/>
      </w:r>
      <w:r w:rsidRPr="005C338B">
        <w:rPr>
          <w:spacing w:val="-3"/>
          <w:sz w:val="24"/>
          <w:szCs w:val="24"/>
          <w:lang w:eastAsia="da-DK"/>
        </w:rPr>
        <w:t>55 år, ryger, diabetes, koronar hjertesygdom hos 1. grads slægtning, total-kolesterol: HDL &gt;6, perifer vaskulær sygdom, venstre ventrikel-hypertrofi, tidligere cerebrovaskulær hændelse, specifikke ekg-forandringer, proteinuri/albuminuri. Ikke alle inkluderede patienter blev vurderet til at have en høj risiko for debut af kardiovaskulær hændelse.</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 xml:space="preserve">Patienterne fik antihypertensiv behandling (enten amlodipin- eller atenolol-baseret regime) og enten atorvastatin 10 mg </w:t>
      </w:r>
      <w:r>
        <w:rPr>
          <w:spacing w:val="-3"/>
          <w:sz w:val="24"/>
          <w:szCs w:val="24"/>
          <w:lang w:eastAsia="da-DK"/>
        </w:rPr>
        <w:t>daglig</w:t>
      </w:r>
      <w:r w:rsidRPr="005C338B">
        <w:rPr>
          <w:spacing w:val="-3"/>
          <w:sz w:val="24"/>
          <w:szCs w:val="24"/>
          <w:lang w:eastAsia="da-DK"/>
        </w:rPr>
        <w:t xml:space="preserve"> (n=5.168) eller placebo (n=5.137). </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Den absolutte og relative risikoreduktion i atorvastatingruppen var følgende:</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tbl>
      <w:tblPr>
        <w:tblW w:w="8930" w:type="dxa"/>
        <w:tblInd w:w="959" w:type="dxa"/>
        <w:tblLook w:val="0000" w:firstRow="0" w:lastRow="0" w:firstColumn="0" w:lastColumn="0" w:noHBand="0" w:noVBand="0"/>
      </w:tblPr>
      <w:tblGrid>
        <w:gridCol w:w="2126"/>
        <w:gridCol w:w="1604"/>
        <w:gridCol w:w="2082"/>
        <w:gridCol w:w="1842"/>
        <w:gridCol w:w="1276"/>
      </w:tblGrid>
      <w:tr w:rsidR="001A1784" w:rsidRPr="005C338B" w:rsidTr="009726B8">
        <w:tc>
          <w:tcPr>
            <w:tcW w:w="2126" w:type="dxa"/>
            <w:tcBorders>
              <w:top w:val="single" w:sz="4" w:space="0" w:color="auto"/>
              <w:bottom w:val="single" w:sz="4" w:space="0" w:color="auto"/>
            </w:tcBorders>
          </w:tcPr>
          <w:p w:rsidR="001A1784" w:rsidRPr="005C338B" w:rsidRDefault="001A1784" w:rsidP="009726B8">
            <w:pPr>
              <w:keepNext/>
              <w:tabs>
                <w:tab w:val="left" w:pos="6806"/>
                <w:tab w:val="left" w:pos="7283"/>
                <w:tab w:val="left" w:pos="7657"/>
                <w:tab w:val="left" w:pos="8245"/>
                <w:tab w:val="left" w:pos="8508"/>
              </w:tabs>
              <w:spacing w:line="240" w:lineRule="atLeast"/>
              <w:ind w:left="67"/>
              <w:rPr>
                <w:spacing w:val="-3"/>
                <w:sz w:val="24"/>
                <w:szCs w:val="24"/>
                <w:lang w:eastAsia="da-DK"/>
              </w:rPr>
            </w:pPr>
            <w:r w:rsidRPr="005C338B">
              <w:rPr>
                <w:spacing w:val="-3"/>
                <w:sz w:val="24"/>
                <w:szCs w:val="24"/>
                <w:lang w:eastAsia="da-DK"/>
              </w:rPr>
              <w:lastRenderedPageBreak/>
              <w:t>Hændelse</w:t>
            </w:r>
          </w:p>
        </w:tc>
        <w:tc>
          <w:tcPr>
            <w:tcW w:w="1604" w:type="dxa"/>
            <w:tcBorders>
              <w:top w:val="single" w:sz="4" w:space="0" w:color="auto"/>
              <w:bottom w:val="single" w:sz="4" w:space="0" w:color="auto"/>
            </w:tcBorders>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
              <w:rPr>
                <w:bCs/>
                <w:spacing w:val="-3"/>
                <w:sz w:val="24"/>
                <w:szCs w:val="24"/>
                <w:lang w:eastAsia="da-DK"/>
              </w:rPr>
            </w:pPr>
            <w:r w:rsidRPr="005C338B">
              <w:rPr>
                <w:bCs/>
                <w:spacing w:val="-3"/>
                <w:sz w:val="24"/>
                <w:szCs w:val="24"/>
                <w:lang w:eastAsia="da-DK"/>
              </w:rPr>
              <w:t>Relativ risiko-</w:t>
            </w:r>
          </w:p>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
              <w:rPr>
                <w:bCs/>
                <w:spacing w:val="-3"/>
                <w:sz w:val="24"/>
                <w:szCs w:val="24"/>
                <w:lang w:eastAsia="da-DK"/>
              </w:rPr>
            </w:pPr>
            <w:r w:rsidRPr="005C338B">
              <w:rPr>
                <w:bCs/>
                <w:spacing w:val="-3"/>
                <w:sz w:val="24"/>
                <w:szCs w:val="24"/>
                <w:lang w:eastAsia="da-DK"/>
              </w:rPr>
              <w:t>reduktion (%)</w:t>
            </w:r>
          </w:p>
        </w:tc>
        <w:tc>
          <w:tcPr>
            <w:tcW w:w="2082" w:type="dxa"/>
            <w:tcBorders>
              <w:top w:val="single" w:sz="4" w:space="0" w:color="auto"/>
              <w:bottom w:val="single" w:sz="4" w:space="0" w:color="auto"/>
            </w:tcBorders>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67"/>
              <w:rPr>
                <w:bCs/>
                <w:spacing w:val="-3"/>
                <w:sz w:val="24"/>
                <w:szCs w:val="24"/>
                <w:lang w:eastAsia="da-DK"/>
              </w:rPr>
            </w:pPr>
            <w:r w:rsidRPr="005C338B">
              <w:rPr>
                <w:bCs/>
                <w:spacing w:val="-3"/>
                <w:sz w:val="24"/>
                <w:szCs w:val="24"/>
                <w:lang w:eastAsia="da-DK"/>
              </w:rPr>
              <w:t>Antal hændelser</w:t>
            </w:r>
          </w:p>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67"/>
              <w:rPr>
                <w:bCs/>
                <w:spacing w:val="-3"/>
                <w:sz w:val="24"/>
                <w:szCs w:val="24"/>
                <w:lang w:eastAsia="da-DK"/>
              </w:rPr>
            </w:pPr>
            <w:r w:rsidRPr="005C338B">
              <w:rPr>
                <w:bCs/>
                <w:spacing w:val="-3"/>
                <w:sz w:val="24"/>
                <w:szCs w:val="24"/>
                <w:lang w:eastAsia="da-DK"/>
              </w:rPr>
              <w:t xml:space="preserve">(Atorvastatin </w:t>
            </w:r>
            <w:r w:rsidRPr="005C338B">
              <w:rPr>
                <w:bCs/>
                <w:i/>
                <w:spacing w:val="-3"/>
                <w:sz w:val="24"/>
                <w:szCs w:val="24"/>
                <w:lang w:eastAsia="da-DK"/>
              </w:rPr>
              <w:t>vs</w:t>
            </w:r>
            <w:r w:rsidRPr="005C338B">
              <w:rPr>
                <w:bCs/>
                <w:spacing w:val="-3"/>
                <w:sz w:val="24"/>
                <w:szCs w:val="24"/>
                <w:lang w:eastAsia="da-DK"/>
              </w:rPr>
              <w:t>. placebo)</w:t>
            </w:r>
          </w:p>
        </w:tc>
        <w:tc>
          <w:tcPr>
            <w:tcW w:w="1842" w:type="dxa"/>
            <w:tcBorders>
              <w:top w:val="single" w:sz="4" w:space="0" w:color="auto"/>
              <w:bottom w:val="single" w:sz="4" w:space="0" w:color="auto"/>
            </w:tcBorders>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bCs/>
                <w:spacing w:val="-3"/>
                <w:sz w:val="24"/>
                <w:szCs w:val="24"/>
                <w:lang w:eastAsia="da-DK"/>
              </w:rPr>
            </w:pPr>
            <w:r w:rsidRPr="005C338B">
              <w:rPr>
                <w:bCs/>
                <w:spacing w:val="-3"/>
                <w:sz w:val="24"/>
                <w:szCs w:val="24"/>
                <w:lang w:eastAsia="da-DK"/>
              </w:rPr>
              <w:t>Absolut risiko-</w:t>
            </w:r>
          </w:p>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bCs/>
                <w:spacing w:val="-3"/>
                <w:sz w:val="24"/>
                <w:szCs w:val="24"/>
                <w:lang w:eastAsia="da-DK"/>
              </w:rPr>
            </w:pPr>
            <w:r w:rsidRPr="005C338B">
              <w:rPr>
                <w:bCs/>
                <w:spacing w:val="-3"/>
                <w:sz w:val="24"/>
                <w:szCs w:val="24"/>
                <w:lang w:eastAsia="da-DK"/>
              </w:rPr>
              <w:t>reduktion</w:t>
            </w:r>
            <w:r w:rsidRPr="005C338B">
              <w:rPr>
                <w:bCs/>
                <w:spacing w:val="-3"/>
                <w:sz w:val="24"/>
                <w:szCs w:val="24"/>
                <w:vertAlign w:val="superscript"/>
                <w:lang w:eastAsia="da-DK"/>
              </w:rPr>
              <w:t>1</w:t>
            </w:r>
            <w:r w:rsidRPr="005C338B">
              <w:rPr>
                <w:bCs/>
                <w:spacing w:val="-3"/>
                <w:sz w:val="24"/>
                <w:szCs w:val="24"/>
                <w:lang w:eastAsia="da-DK"/>
              </w:rPr>
              <w:t xml:space="preserve"> (%)</w:t>
            </w:r>
          </w:p>
        </w:tc>
        <w:tc>
          <w:tcPr>
            <w:tcW w:w="1276" w:type="dxa"/>
            <w:tcBorders>
              <w:top w:val="single" w:sz="4" w:space="0" w:color="auto"/>
              <w:bottom w:val="single" w:sz="4" w:space="0" w:color="auto"/>
            </w:tcBorders>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bCs/>
                <w:spacing w:val="-3"/>
                <w:sz w:val="24"/>
                <w:szCs w:val="24"/>
                <w:lang w:eastAsia="da-DK"/>
              </w:rPr>
            </w:pPr>
            <w:r w:rsidRPr="005C338B">
              <w:rPr>
                <w:bCs/>
                <w:spacing w:val="-3"/>
                <w:sz w:val="24"/>
                <w:szCs w:val="24"/>
                <w:lang w:eastAsia="da-DK"/>
              </w:rPr>
              <w:t>p-værdi</w:t>
            </w:r>
          </w:p>
        </w:tc>
      </w:tr>
      <w:tr w:rsidR="001A1784" w:rsidRPr="005C338B" w:rsidTr="009726B8">
        <w:tc>
          <w:tcPr>
            <w:tcW w:w="2126" w:type="dxa"/>
            <w:tcBorders>
              <w:top w:val="single" w:sz="4" w:space="0" w:color="auto"/>
            </w:tcBorders>
          </w:tcPr>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67"/>
              <w:rPr>
                <w:spacing w:val="-3"/>
                <w:sz w:val="24"/>
                <w:szCs w:val="24"/>
                <w:lang w:eastAsia="da-DK"/>
              </w:rPr>
            </w:pPr>
            <w:r w:rsidRPr="005C338B">
              <w:rPr>
                <w:spacing w:val="-3"/>
                <w:sz w:val="24"/>
                <w:szCs w:val="24"/>
                <w:lang w:eastAsia="da-DK"/>
              </w:rPr>
              <w:t>Letal koronar hjertesygdom og ikke-letalt myokardieinfarkt</w:t>
            </w:r>
          </w:p>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67"/>
              <w:rPr>
                <w:spacing w:val="-3"/>
                <w:sz w:val="24"/>
                <w:szCs w:val="24"/>
                <w:lang w:eastAsia="da-DK"/>
              </w:rPr>
            </w:pPr>
          </w:p>
        </w:tc>
        <w:tc>
          <w:tcPr>
            <w:tcW w:w="1604" w:type="dxa"/>
            <w:tcBorders>
              <w:top w:val="single" w:sz="4" w:space="0" w:color="auto"/>
            </w:tcBorders>
            <w:vAlign w:val="center"/>
          </w:tcPr>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
              <w:jc w:val="center"/>
              <w:rPr>
                <w:spacing w:val="-3"/>
                <w:sz w:val="24"/>
                <w:szCs w:val="24"/>
                <w:lang w:eastAsia="da-DK"/>
              </w:rPr>
            </w:pPr>
            <w:r w:rsidRPr="005C338B">
              <w:rPr>
                <w:spacing w:val="-3"/>
                <w:sz w:val="24"/>
                <w:szCs w:val="24"/>
                <w:lang w:eastAsia="da-DK"/>
              </w:rPr>
              <w:t>36 %</w:t>
            </w:r>
          </w:p>
        </w:tc>
        <w:tc>
          <w:tcPr>
            <w:tcW w:w="2082" w:type="dxa"/>
            <w:tcBorders>
              <w:top w:val="single" w:sz="4" w:space="0" w:color="auto"/>
            </w:tcBorders>
            <w:vAlign w:val="center"/>
          </w:tcPr>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67"/>
              <w:rPr>
                <w:spacing w:val="-3"/>
                <w:sz w:val="24"/>
                <w:szCs w:val="24"/>
                <w:lang w:eastAsia="da-DK"/>
              </w:rPr>
            </w:pPr>
            <w:r w:rsidRPr="005C338B">
              <w:rPr>
                <w:spacing w:val="-3"/>
                <w:sz w:val="24"/>
                <w:szCs w:val="24"/>
                <w:lang w:eastAsia="da-DK"/>
              </w:rPr>
              <w:t xml:space="preserve">100 </w:t>
            </w:r>
            <w:r w:rsidRPr="005C338B">
              <w:rPr>
                <w:i/>
                <w:spacing w:val="-3"/>
                <w:sz w:val="24"/>
                <w:szCs w:val="24"/>
                <w:lang w:eastAsia="da-DK"/>
              </w:rPr>
              <w:t>vs</w:t>
            </w:r>
            <w:r w:rsidRPr="005C338B">
              <w:rPr>
                <w:spacing w:val="-3"/>
                <w:sz w:val="24"/>
                <w:szCs w:val="24"/>
                <w:lang w:eastAsia="da-DK"/>
              </w:rPr>
              <w:t>. 154</w:t>
            </w:r>
          </w:p>
        </w:tc>
        <w:tc>
          <w:tcPr>
            <w:tcW w:w="1842" w:type="dxa"/>
            <w:tcBorders>
              <w:top w:val="single" w:sz="4" w:space="0" w:color="auto"/>
            </w:tcBorders>
            <w:vAlign w:val="center"/>
          </w:tcPr>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jc w:val="center"/>
              <w:rPr>
                <w:spacing w:val="-3"/>
                <w:sz w:val="24"/>
                <w:szCs w:val="24"/>
                <w:lang w:eastAsia="da-DK"/>
              </w:rPr>
            </w:pPr>
            <w:r w:rsidRPr="005C338B">
              <w:rPr>
                <w:spacing w:val="-3"/>
                <w:sz w:val="24"/>
                <w:szCs w:val="24"/>
                <w:lang w:eastAsia="da-DK"/>
              </w:rPr>
              <w:t>1,1 %</w:t>
            </w:r>
          </w:p>
        </w:tc>
        <w:tc>
          <w:tcPr>
            <w:tcW w:w="1276" w:type="dxa"/>
            <w:tcBorders>
              <w:top w:val="single" w:sz="4" w:space="0" w:color="auto"/>
            </w:tcBorders>
            <w:vAlign w:val="center"/>
          </w:tcPr>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spacing w:val="-3"/>
                <w:sz w:val="24"/>
                <w:szCs w:val="24"/>
                <w:lang w:eastAsia="da-DK"/>
              </w:rPr>
            </w:pPr>
            <w:r w:rsidRPr="005C338B">
              <w:rPr>
                <w:spacing w:val="-3"/>
                <w:sz w:val="24"/>
                <w:szCs w:val="24"/>
                <w:lang w:eastAsia="da-DK"/>
              </w:rPr>
              <w:t>0,0005</w:t>
            </w:r>
          </w:p>
        </w:tc>
      </w:tr>
      <w:tr w:rsidR="001A1784" w:rsidRPr="005C338B" w:rsidTr="009726B8">
        <w:tc>
          <w:tcPr>
            <w:tcW w:w="2126" w:type="dxa"/>
          </w:tcPr>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67"/>
              <w:rPr>
                <w:spacing w:val="-3"/>
                <w:sz w:val="24"/>
                <w:szCs w:val="24"/>
                <w:lang w:eastAsia="da-DK"/>
              </w:rPr>
            </w:pPr>
            <w:r w:rsidRPr="005C338B">
              <w:rPr>
                <w:spacing w:val="-3"/>
                <w:sz w:val="24"/>
                <w:szCs w:val="24"/>
                <w:lang w:eastAsia="da-DK"/>
              </w:rPr>
              <w:t>Totale kardiovaskulære hændelser og revaskulariserings-indgreb</w:t>
            </w:r>
          </w:p>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67"/>
              <w:rPr>
                <w:spacing w:val="-3"/>
                <w:sz w:val="24"/>
                <w:szCs w:val="24"/>
                <w:lang w:eastAsia="da-DK"/>
              </w:rPr>
            </w:pPr>
          </w:p>
        </w:tc>
        <w:tc>
          <w:tcPr>
            <w:tcW w:w="1604" w:type="dxa"/>
            <w:vAlign w:val="center"/>
          </w:tcPr>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
              <w:jc w:val="center"/>
              <w:rPr>
                <w:spacing w:val="-3"/>
                <w:sz w:val="24"/>
                <w:szCs w:val="24"/>
                <w:lang w:eastAsia="da-DK"/>
              </w:rPr>
            </w:pPr>
            <w:r w:rsidRPr="005C338B">
              <w:rPr>
                <w:spacing w:val="-3"/>
                <w:sz w:val="24"/>
                <w:szCs w:val="24"/>
                <w:lang w:eastAsia="da-DK"/>
              </w:rPr>
              <w:t>20 %</w:t>
            </w:r>
          </w:p>
        </w:tc>
        <w:tc>
          <w:tcPr>
            <w:tcW w:w="2082" w:type="dxa"/>
            <w:vAlign w:val="center"/>
          </w:tcPr>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67"/>
              <w:rPr>
                <w:spacing w:val="-3"/>
                <w:sz w:val="24"/>
                <w:szCs w:val="24"/>
                <w:lang w:eastAsia="da-DK"/>
              </w:rPr>
            </w:pPr>
            <w:r w:rsidRPr="005C338B">
              <w:rPr>
                <w:spacing w:val="-3"/>
                <w:sz w:val="24"/>
                <w:szCs w:val="24"/>
                <w:lang w:eastAsia="da-DK"/>
              </w:rPr>
              <w:t xml:space="preserve">389 </w:t>
            </w:r>
            <w:r w:rsidRPr="005C338B">
              <w:rPr>
                <w:i/>
                <w:spacing w:val="-3"/>
                <w:sz w:val="24"/>
                <w:szCs w:val="24"/>
                <w:lang w:eastAsia="da-DK"/>
              </w:rPr>
              <w:t>vs</w:t>
            </w:r>
            <w:r w:rsidRPr="005C338B">
              <w:rPr>
                <w:spacing w:val="-3"/>
                <w:sz w:val="24"/>
                <w:szCs w:val="24"/>
                <w:lang w:eastAsia="da-DK"/>
              </w:rPr>
              <w:t>. 483</w:t>
            </w:r>
          </w:p>
        </w:tc>
        <w:tc>
          <w:tcPr>
            <w:tcW w:w="1842" w:type="dxa"/>
            <w:vAlign w:val="center"/>
          </w:tcPr>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jc w:val="center"/>
              <w:rPr>
                <w:spacing w:val="-3"/>
                <w:sz w:val="24"/>
                <w:szCs w:val="24"/>
                <w:lang w:eastAsia="da-DK"/>
              </w:rPr>
            </w:pPr>
            <w:r w:rsidRPr="005C338B">
              <w:rPr>
                <w:spacing w:val="-3"/>
                <w:sz w:val="24"/>
                <w:szCs w:val="24"/>
                <w:lang w:eastAsia="da-DK"/>
              </w:rPr>
              <w:t>1,9 %</w:t>
            </w:r>
          </w:p>
        </w:tc>
        <w:tc>
          <w:tcPr>
            <w:tcW w:w="1276" w:type="dxa"/>
            <w:vAlign w:val="center"/>
          </w:tcPr>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spacing w:val="-3"/>
                <w:sz w:val="24"/>
                <w:szCs w:val="24"/>
                <w:lang w:eastAsia="da-DK"/>
              </w:rPr>
            </w:pPr>
            <w:r w:rsidRPr="005C338B">
              <w:rPr>
                <w:spacing w:val="-3"/>
                <w:sz w:val="24"/>
                <w:szCs w:val="24"/>
                <w:lang w:eastAsia="da-DK"/>
              </w:rPr>
              <w:t>0,0008</w:t>
            </w:r>
          </w:p>
        </w:tc>
      </w:tr>
      <w:tr w:rsidR="001A1784" w:rsidRPr="005C338B" w:rsidTr="009726B8">
        <w:tc>
          <w:tcPr>
            <w:tcW w:w="2126" w:type="dxa"/>
            <w:tcBorders>
              <w:bottom w:val="single" w:sz="4" w:space="0" w:color="auto"/>
            </w:tcBorders>
          </w:tcPr>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67"/>
              <w:rPr>
                <w:spacing w:val="-3"/>
                <w:sz w:val="24"/>
                <w:szCs w:val="24"/>
                <w:lang w:eastAsia="da-DK"/>
              </w:rPr>
            </w:pPr>
            <w:r w:rsidRPr="005C338B">
              <w:rPr>
                <w:spacing w:val="-3"/>
                <w:sz w:val="24"/>
                <w:szCs w:val="24"/>
                <w:lang w:eastAsia="da-DK"/>
              </w:rPr>
              <w:t>Totale koronare hændelser</w:t>
            </w:r>
          </w:p>
        </w:tc>
        <w:tc>
          <w:tcPr>
            <w:tcW w:w="1604" w:type="dxa"/>
            <w:tcBorders>
              <w:bottom w:val="single" w:sz="4" w:space="0" w:color="auto"/>
            </w:tcBorders>
            <w:vAlign w:val="center"/>
          </w:tcPr>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
              <w:jc w:val="center"/>
              <w:rPr>
                <w:spacing w:val="-3"/>
                <w:sz w:val="24"/>
                <w:szCs w:val="24"/>
                <w:lang w:eastAsia="da-DK"/>
              </w:rPr>
            </w:pPr>
            <w:r w:rsidRPr="005C338B">
              <w:rPr>
                <w:spacing w:val="-3"/>
                <w:sz w:val="24"/>
                <w:szCs w:val="24"/>
                <w:lang w:eastAsia="da-DK"/>
              </w:rPr>
              <w:t>29 %</w:t>
            </w:r>
          </w:p>
        </w:tc>
        <w:tc>
          <w:tcPr>
            <w:tcW w:w="2082" w:type="dxa"/>
            <w:tcBorders>
              <w:bottom w:val="single" w:sz="4" w:space="0" w:color="auto"/>
            </w:tcBorders>
            <w:vAlign w:val="center"/>
          </w:tcPr>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67"/>
              <w:rPr>
                <w:spacing w:val="-3"/>
                <w:sz w:val="24"/>
                <w:szCs w:val="24"/>
                <w:lang w:eastAsia="da-DK"/>
              </w:rPr>
            </w:pPr>
            <w:r w:rsidRPr="005C338B">
              <w:rPr>
                <w:spacing w:val="-3"/>
                <w:sz w:val="24"/>
                <w:szCs w:val="24"/>
                <w:lang w:eastAsia="da-DK"/>
              </w:rPr>
              <w:t xml:space="preserve">178 </w:t>
            </w:r>
            <w:r w:rsidRPr="005C338B">
              <w:rPr>
                <w:i/>
                <w:spacing w:val="-3"/>
                <w:sz w:val="24"/>
                <w:szCs w:val="24"/>
                <w:lang w:eastAsia="da-DK"/>
              </w:rPr>
              <w:t>vs</w:t>
            </w:r>
            <w:r w:rsidRPr="005C338B">
              <w:rPr>
                <w:spacing w:val="-3"/>
                <w:sz w:val="24"/>
                <w:szCs w:val="24"/>
                <w:lang w:eastAsia="da-DK"/>
              </w:rPr>
              <w:t>. 247</w:t>
            </w:r>
          </w:p>
        </w:tc>
        <w:tc>
          <w:tcPr>
            <w:tcW w:w="1842" w:type="dxa"/>
            <w:tcBorders>
              <w:bottom w:val="single" w:sz="4" w:space="0" w:color="auto"/>
            </w:tcBorders>
            <w:vAlign w:val="center"/>
          </w:tcPr>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jc w:val="center"/>
              <w:rPr>
                <w:spacing w:val="-3"/>
                <w:sz w:val="24"/>
                <w:szCs w:val="24"/>
                <w:lang w:eastAsia="da-DK"/>
              </w:rPr>
            </w:pPr>
            <w:r w:rsidRPr="005C338B">
              <w:rPr>
                <w:spacing w:val="-3"/>
                <w:sz w:val="24"/>
                <w:szCs w:val="24"/>
                <w:lang w:eastAsia="da-DK"/>
              </w:rPr>
              <w:t>1,4 %</w:t>
            </w:r>
          </w:p>
        </w:tc>
        <w:tc>
          <w:tcPr>
            <w:tcW w:w="1276" w:type="dxa"/>
            <w:tcBorders>
              <w:bottom w:val="single" w:sz="4" w:space="0" w:color="auto"/>
            </w:tcBorders>
            <w:vAlign w:val="center"/>
          </w:tcPr>
          <w:p w:rsidR="001A1784" w:rsidRPr="005C338B" w:rsidRDefault="001A1784" w:rsidP="009726B8">
            <w:pPr>
              <w:keepNext/>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spacing w:val="-3"/>
                <w:sz w:val="24"/>
                <w:szCs w:val="24"/>
                <w:lang w:eastAsia="da-DK"/>
              </w:rPr>
            </w:pPr>
            <w:r w:rsidRPr="005C338B">
              <w:rPr>
                <w:spacing w:val="-3"/>
                <w:sz w:val="24"/>
                <w:szCs w:val="24"/>
                <w:lang w:eastAsia="da-DK"/>
              </w:rPr>
              <w:t>0,0006</w:t>
            </w:r>
          </w:p>
        </w:tc>
      </w:tr>
    </w:tbl>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vertAlign w:val="superscript"/>
          <w:lang w:eastAsia="da-DK"/>
        </w:rPr>
        <w:t>1</w:t>
      </w:r>
      <w:bookmarkStart w:id="1" w:name="OLE_LINK1"/>
      <w:r w:rsidRPr="005C338B">
        <w:rPr>
          <w:spacing w:val="-3"/>
          <w:sz w:val="24"/>
          <w:szCs w:val="24"/>
          <w:lang w:eastAsia="da-DK"/>
        </w:rPr>
        <w:t>På baggrund af forskelle i det samlede antal hændelser opstået over en middelopfølgningsperiode på</w:t>
      </w:r>
      <w:bookmarkEnd w:id="1"/>
      <w:r w:rsidRPr="005C338B">
        <w:rPr>
          <w:spacing w:val="-3"/>
          <w:sz w:val="24"/>
          <w:szCs w:val="24"/>
          <w:lang w:eastAsia="da-DK"/>
        </w:rPr>
        <w:t xml:space="preserve"> 3,3 år</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 xml:space="preserve">Den totale mortalitet og den kardiovaskulære mortalitet blev ikke signifikant nedsat (185 </w:t>
      </w:r>
      <w:r w:rsidRPr="005C338B">
        <w:rPr>
          <w:i/>
          <w:spacing w:val="-3"/>
          <w:sz w:val="24"/>
          <w:szCs w:val="24"/>
          <w:lang w:eastAsia="da-DK"/>
        </w:rPr>
        <w:t>vs</w:t>
      </w:r>
      <w:r w:rsidRPr="005C338B">
        <w:rPr>
          <w:spacing w:val="-3"/>
          <w:sz w:val="24"/>
          <w:szCs w:val="24"/>
          <w:lang w:eastAsia="da-DK"/>
        </w:rPr>
        <w:t xml:space="preserve">. 212 hændelser; p=0,17 og 74 </w:t>
      </w:r>
      <w:r w:rsidRPr="005C338B">
        <w:rPr>
          <w:i/>
          <w:spacing w:val="-3"/>
          <w:sz w:val="24"/>
          <w:szCs w:val="24"/>
          <w:lang w:eastAsia="da-DK"/>
        </w:rPr>
        <w:t>vs</w:t>
      </w:r>
      <w:r w:rsidRPr="005C338B">
        <w:rPr>
          <w:spacing w:val="-3"/>
          <w:sz w:val="24"/>
          <w:szCs w:val="24"/>
          <w:lang w:eastAsia="da-DK"/>
        </w:rPr>
        <w:t xml:space="preserve">. 82 hændelser; p=0,51). I subgruppeanalyserne af køn (81 % mænd, 19 % kvinder) blev atorvastatins gavnlige effekt bekræftet blandt mænd, men ikke blandt kvinder, muligvis på grund af det lille antal observerede hændelser hos kvinder i subgruppen. Total mortalitet og kardiovaskulær mortalitet var numerisk højere hos kvinder (38 </w:t>
      </w:r>
      <w:r w:rsidRPr="005C338B">
        <w:rPr>
          <w:i/>
          <w:spacing w:val="-3"/>
          <w:sz w:val="24"/>
          <w:szCs w:val="24"/>
          <w:lang w:eastAsia="da-DK"/>
        </w:rPr>
        <w:t>vs</w:t>
      </w:r>
      <w:r w:rsidRPr="005C338B">
        <w:rPr>
          <w:spacing w:val="-3"/>
          <w:sz w:val="24"/>
          <w:szCs w:val="24"/>
          <w:lang w:eastAsia="da-DK"/>
        </w:rPr>
        <w:t xml:space="preserve">. 30 og 17 </w:t>
      </w:r>
      <w:r w:rsidRPr="005C338B">
        <w:rPr>
          <w:i/>
          <w:spacing w:val="-3"/>
          <w:sz w:val="24"/>
          <w:szCs w:val="24"/>
          <w:lang w:eastAsia="da-DK"/>
        </w:rPr>
        <w:t>vs</w:t>
      </w:r>
      <w:r w:rsidRPr="005C338B">
        <w:rPr>
          <w:spacing w:val="-3"/>
          <w:sz w:val="24"/>
          <w:szCs w:val="24"/>
          <w:lang w:eastAsia="da-DK"/>
        </w:rPr>
        <w:t>. 12), men det var ikke statistisk signifikant. Der var en signifikant behandlings</w:t>
      </w:r>
      <w:r w:rsidRPr="005C338B">
        <w:rPr>
          <w:spacing w:val="-3"/>
          <w:sz w:val="24"/>
          <w:szCs w:val="24"/>
          <w:lang w:eastAsia="da-DK"/>
        </w:rPr>
        <w:softHyphen/>
        <w:t>interaktion ved antihypertensiv baseline behandling. Det primære endepunkt (letal koronar hjertesygdom samt ikke-letalt myokardieinfarkt) blev signifikant nedsat af atorvastatin hos patienter behandlet med amlodipin (hazard ratio (HR) 0,47 (0,32-0,69); p=0,00008), men ikke hos atenololbehandlede (HR 0,83 (0,59-1,17); p=0,287).</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 xml:space="preserve">I et randomiseret, dobbelt-blindt, multicenter, placebokontrolleret studie, Collaborative Atorvastatin Diabetes Study (CARDS) blev effekten af atorvastatin på letal og ikke-letal kardiovaskulær sygdom også vurderet hos patienter med type 2-diabetes i alderen 40-75 år, uden kardiovaskulær sygdom i anamnesen og med LDL-kolesterol </w:t>
      </w:r>
      <w:r w:rsidRPr="005C338B">
        <w:rPr>
          <w:spacing w:val="-3"/>
          <w:sz w:val="24"/>
          <w:szCs w:val="24"/>
          <w:lang w:eastAsia="da-DK"/>
        </w:rPr>
        <w:sym w:font="Symbol" w:char="F0A3"/>
      </w:r>
      <w:r w:rsidRPr="005C338B">
        <w:rPr>
          <w:spacing w:val="-3"/>
          <w:sz w:val="24"/>
          <w:szCs w:val="24"/>
          <w:lang w:eastAsia="da-DK"/>
        </w:rPr>
        <w:t xml:space="preserve">4,14 mmol/l (160 mg/dl) og triglycerid </w:t>
      </w:r>
      <w:r w:rsidRPr="005C338B">
        <w:rPr>
          <w:spacing w:val="-3"/>
          <w:sz w:val="24"/>
          <w:szCs w:val="24"/>
          <w:lang w:eastAsia="da-DK"/>
        </w:rPr>
        <w:sym w:font="Symbol" w:char="F0A3"/>
      </w:r>
      <w:r w:rsidRPr="005C338B">
        <w:rPr>
          <w:spacing w:val="-3"/>
          <w:sz w:val="24"/>
          <w:szCs w:val="24"/>
          <w:lang w:eastAsia="da-DK"/>
        </w:rPr>
        <w:t>6,78 mmol/l (600 mg/dl). Alle patienter havde mindst 1 af følgende risikofaktorer: hypertension, ryger, retinopati, mikroalbuminuri eller makroalbuminuri.</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 xml:space="preserve">Patienterne blev behandlet med enten atorvastatin 10 mg </w:t>
      </w:r>
      <w:r>
        <w:rPr>
          <w:spacing w:val="-3"/>
          <w:sz w:val="24"/>
          <w:szCs w:val="24"/>
          <w:lang w:eastAsia="da-DK"/>
        </w:rPr>
        <w:t>daglig</w:t>
      </w:r>
      <w:r w:rsidRPr="005C338B">
        <w:rPr>
          <w:spacing w:val="-3"/>
          <w:sz w:val="24"/>
          <w:szCs w:val="24"/>
          <w:lang w:eastAsia="da-DK"/>
        </w:rPr>
        <w:t xml:space="preserve"> (n=1.428) eller placebo (n=1.410) med en middelopfølgningsperiode på 3,9 år. </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Den absolutte og relative risikoreduktion i atorvastatingruppen var følgende:</w:t>
      </w: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59"/>
        <w:gridCol w:w="1843"/>
        <w:gridCol w:w="1559"/>
        <w:gridCol w:w="1417"/>
      </w:tblGrid>
      <w:tr w:rsidR="001A1784" w:rsidRPr="005C338B" w:rsidTr="009726B8">
        <w:tc>
          <w:tcPr>
            <w:tcW w:w="2410" w:type="dxa"/>
            <w:tcBorders>
              <w:left w:val="nil"/>
              <w:right w:val="nil"/>
            </w:tcBorders>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spacing w:val="-3"/>
                <w:sz w:val="24"/>
                <w:szCs w:val="24"/>
                <w:lang w:eastAsia="da-DK"/>
              </w:rPr>
            </w:pPr>
            <w:r w:rsidRPr="005C338B">
              <w:rPr>
                <w:spacing w:val="-3"/>
                <w:sz w:val="24"/>
                <w:szCs w:val="24"/>
                <w:lang w:eastAsia="da-DK"/>
              </w:rPr>
              <w:lastRenderedPageBreak/>
              <w:t>Hændelse</w:t>
            </w:r>
          </w:p>
        </w:tc>
        <w:tc>
          <w:tcPr>
            <w:tcW w:w="1559" w:type="dxa"/>
            <w:tcBorders>
              <w:left w:val="nil"/>
              <w:right w:val="nil"/>
            </w:tcBorders>
          </w:tcPr>
          <w:p w:rsidR="001A1784" w:rsidRPr="005C338B" w:rsidRDefault="001A1784" w:rsidP="009726B8">
            <w:pPr>
              <w:keepNext/>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bCs/>
                <w:spacing w:val="-3"/>
                <w:sz w:val="24"/>
                <w:szCs w:val="24"/>
                <w:lang w:eastAsia="da-DK"/>
              </w:rPr>
            </w:pPr>
            <w:r w:rsidRPr="005C338B">
              <w:rPr>
                <w:bCs/>
                <w:spacing w:val="-3"/>
                <w:sz w:val="24"/>
                <w:szCs w:val="24"/>
                <w:lang w:eastAsia="da-DK"/>
              </w:rPr>
              <w:t>Relativ risiko-</w:t>
            </w:r>
          </w:p>
          <w:p w:rsidR="001A1784" w:rsidRPr="005C338B" w:rsidRDefault="001A1784" w:rsidP="009726B8">
            <w:pPr>
              <w:keepNext/>
              <w:tabs>
                <w:tab w:val="left" w:pos="34"/>
                <w:tab w:val="left" w:pos="1701"/>
                <w:tab w:val="left" w:pos="2552"/>
                <w:tab w:val="left" w:pos="3403"/>
                <w:tab w:val="left" w:pos="4254"/>
                <w:tab w:val="left" w:pos="5105"/>
                <w:tab w:val="left" w:pos="5955"/>
                <w:tab w:val="left" w:pos="6413"/>
                <w:tab w:val="left" w:pos="6806"/>
                <w:tab w:val="left" w:pos="7283"/>
                <w:tab w:val="left" w:pos="7657"/>
                <w:tab w:val="left" w:pos="8245"/>
                <w:tab w:val="left" w:pos="8508"/>
              </w:tabs>
              <w:spacing w:line="240" w:lineRule="atLeast"/>
              <w:rPr>
                <w:bCs/>
                <w:spacing w:val="-3"/>
                <w:sz w:val="24"/>
                <w:szCs w:val="24"/>
                <w:lang w:eastAsia="da-DK"/>
              </w:rPr>
            </w:pPr>
            <w:r w:rsidRPr="005C338B">
              <w:rPr>
                <w:bCs/>
                <w:spacing w:val="-3"/>
                <w:sz w:val="24"/>
                <w:szCs w:val="24"/>
                <w:lang w:eastAsia="da-DK"/>
              </w:rPr>
              <w:t>reduktion (%)</w:t>
            </w:r>
          </w:p>
        </w:tc>
        <w:tc>
          <w:tcPr>
            <w:tcW w:w="1843" w:type="dxa"/>
            <w:tcBorders>
              <w:left w:val="nil"/>
              <w:right w:val="nil"/>
            </w:tcBorders>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bCs/>
                <w:spacing w:val="-3"/>
                <w:sz w:val="24"/>
                <w:szCs w:val="24"/>
                <w:lang w:eastAsia="da-DK"/>
              </w:rPr>
            </w:pPr>
            <w:r w:rsidRPr="005C338B">
              <w:rPr>
                <w:bCs/>
                <w:spacing w:val="-3"/>
                <w:sz w:val="24"/>
                <w:szCs w:val="24"/>
                <w:lang w:eastAsia="da-DK"/>
              </w:rPr>
              <w:t>Antal hændelser</w:t>
            </w:r>
          </w:p>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bCs/>
                <w:spacing w:val="-3"/>
                <w:sz w:val="24"/>
                <w:szCs w:val="24"/>
                <w:lang w:eastAsia="da-DK"/>
              </w:rPr>
            </w:pPr>
            <w:r w:rsidRPr="005C338B">
              <w:rPr>
                <w:bCs/>
                <w:spacing w:val="-3"/>
                <w:sz w:val="24"/>
                <w:szCs w:val="24"/>
                <w:lang w:eastAsia="da-DK"/>
              </w:rPr>
              <w:t>(Atorvastatin vs. placebo)</w:t>
            </w:r>
          </w:p>
        </w:tc>
        <w:tc>
          <w:tcPr>
            <w:tcW w:w="1559" w:type="dxa"/>
            <w:tcBorders>
              <w:left w:val="nil"/>
              <w:right w:val="nil"/>
            </w:tcBorders>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67"/>
              <w:rPr>
                <w:spacing w:val="-3"/>
                <w:sz w:val="24"/>
                <w:szCs w:val="24"/>
                <w:lang w:eastAsia="da-DK"/>
              </w:rPr>
            </w:pPr>
            <w:r w:rsidRPr="005C338B">
              <w:rPr>
                <w:spacing w:val="-3"/>
                <w:sz w:val="24"/>
                <w:szCs w:val="24"/>
                <w:lang w:eastAsia="da-DK"/>
              </w:rPr>
              <w:t>Absolut risiko-</w:t>
            </w:r>
          </w:p>
          <w:p w:rsidR="001A1784" w:rsidRPr="005C338B" w:rsidRDefault="001A1784" w:rsidP="009726B8">
            <w:pPr>
              <w:keepNext/>
              <w:tabs>
                <w:tab w:val="left" w:pos="34"/>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67"/>
              <w:rPr>
                <w:bCs/>
                <w:spacing w:val="-3"/>
                <w:sz w:val="24"/>
                <w:szCs w:val="24"/>
                <w:lang w:eastAsia="da-DK"/>
              </w:rPr>
            </w:pPr>
            <w:r w:rsidRPr="005C338B">
              <w:rPr>
                <w:bCs/>
                <w:spacing w:val="-3"/>
                <w:sz w:val="24"/>
                <w:szCs w:val="24"/>
                <w:lang w:eastAsia="da-DK"/>
              </w:rPr>
              <w:t>reduktion</w:t>
            </w:r>
            <w:r w:rsidRPr="005C338B">
              <w:rPr>
                <w:bCs/>
                <w:spacing w:val="-3"/>
                <w:sz w:val="24"/>
                <w:szCs w:val="24"/>
                <w:vertAlign w:val="superscript"/>
                <w:lang w:eastAsia="da-DK"/>
              </w:rPr>
              <w:t>1</w:t>
            </w:r>
            <w:r w:rsidRPr="005C338B">
              <w:rPr>
                <w:bCs/>
                <w:spacing w:val="-3"/>
                <w:sz w:val="24"/>
                <w:szCs w:val="24"/>
                <w:lang w:eastAsia="da-DK"/>
              </w:rPr>
              <w:t xml:space="preserve"> (%)</w:t>
            </w:r>
          </w:p>
        </w:tc>
        <w:tc>
          <w:tcPr>
            <w:tcW w:w="1417" w:type="dxa"/>
            <w:tcBorders>
              <w:left w:val="nil"/>
              <w:right w:val="nil"/>
            </w:tcBorders>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bCs/>
                <w:spacing w:val="-3"/>
                <w:sz w:val="24"/>
                <w:szCs w:val="24"/>
                <w:lang w:val="en-GB" w:eastAsia="da-DK"/>
              </w:rPr>
            </w:pPr>
            <w:r w:rsidRPr="005C338B">
              <w:rPr>
                <w:bCs/>
                <w:spacing w:val="-3"/>
                <w:sz w:val="24"/>
                <w:szCs w:val="24"/>
                <w:lang w:val="en-GB" w:eastAsia="da-DK"/>
              </w:rPr>
              <w:t>p-værdi</w:t>
            </w:r>
          </w:p>
        </w:tc>
      </w:tr>
      <w:tr w:rsidR="001A1784" w:rsidRPr="005C338B" w:rsidTr="009726B8">
        <w:tc>
          <w:tcPr>
            <w:tcW w:w="2410" w:type="dxa"/>
            <w:tcBorders>
              <w:left w:val="nil"/>
              <w:bottom w:val="nil"/>
              <w:right w:val="nil"/>
            </w:tcBorders>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spacing w:val="-3"/>
                <w:sz w:val="24"/>
                <w:szCs w:val="24"/>
                <w:lang w:eastAsia="da-DK"/>
              </w:rPr>
            </w:pPr>
            <w:r w:rsidRPr="005C338B">
              <w:rPr>
                <w:spacing w:val="-3"/>
                <w:sz w:val="24"/>
                <w:szCs w:val="24"/>
                <w:lang w:eastAsia="da-DK"/>
              </w:rPr>
              <w:t>Større kardiovaskulære hændelser (letalt og ikke-letalt AMI, tavst MI, akut dødelig CHD, ustabil angina, CABG, PTCA, revaskularisering, apopleksi)</w:t>
            </w:r>
          </w:p>
        </w:tc>
        <w:tc>
          <w:tcPr>
            <w:tcW w:w="1559" w:type="dxa"/>
            <w:tcBorders>
              <w:left w:val="nil"/>
              <w:bottom w:val="nil"/>
              <w:right w:val="nil"/>
            </w:tcBorders>
            <w:vAlign w:val="center"/>
          </w:tcPr>
          <w:p w:rsidR="001A1784" w:rsidRPr="005C338B" w:rsidRDefault="001A1784" w:rsidP="009726B8">
            <w:pPr>
              <w:keepNext/>
              <w:tabs>
                <w:tab w:val="left" w:pos="3403"/>
                <w:tab w:val="left" w:pos="4254"/>
                <w:tab w:val="left" w:pos="5105"/>
                <w:tab w:val="left" w:pos="5577"/>
                <w:tab w:val="left" w:pos="5955"/>
                <w:tab w:val="left" w:pos="6806"/>
                <w:tab w:val="left" w:pos="7283"/>
                <w:tab w:val="left" w:pos="7657"/>
                <w:tab w:val="left" w:pos="8245"/>
                <w:tab w:val="left" w:pos="8508"/>
              </w:tabs>
              <w:spacing w:line="240" w:lineRule="atLeast"/>
              <w:jc w:val="center"/>
              <w:rPr>
                <w:spacing w:val="-3"/>
                <w:sz w:val="24"/>
                <w:szCs w:val="24"/>
                <w:lang w:val="en-GB" w:eastAsia="da-DK"/>
              </w:rPr>
            </w:pPr>
            <w:r w:rsidRPr="005C338B">
              <w:rPr>
                <w:spacing w:val="-3"/>
                <w:sz w:val="24"/>
                <w:szCs w:val="24"/>
                <w:lang w:val="en-GB" w:eastAsia="da-DK"/>
              </w:rPr>
              <w:t>37 %</w:t>
            </w:r>
          </w:p>
        </w:tc>
        <w:tc>
          <w:tcPr>
            <w:tcW w:w="1843" w:type="dxa"/>
            <w:tcBorders>
              <w:left w:val="nil"/>
              <w:bottom w:val="nil"/>
              <w:right w:val="nil"/>
            </w:tcBorders>
            <w:vAlign w:val="center"/>
          </w:tcPr>
          <w:p w:rsidR="001A1784" w:rsidRPr="005C338B" w:rsidRDefault="001A1784" w:rsidP="009726B8">
            <w:pPr>
              <w:keepNext/>
              <w:tabs>
                <w:tab w:val="left" w:pos="4254"/>
                <w:tab w:val="left" w:pos="5105"/>
                <w:tab w:val="left" w:pos="5577"/>
                <w:tab w:val="left" w:pos="5955"/>
                <w:tab w:val="left" w:pos="6806"/>
                <w:tab w:val="left" w:pos="7283"/>
                <w:tab w:val="left" w:pos="7657"/>
                <w:tab w:val="left" w:pos="8245"/>
                <w:tab w:val="left" w:pos="8508"/>
              </w:tabs>
              <w:spacing w:line="240" w:lineRule="atLeast"/>
              <w:rPr>
                <w:spacing w:val="-3"/>
                <w:sz w:val="24"/>
                <w:szCs w:val="24"/>
                <w:lang w:val="en-GB" w:eastAsia="da-DK"/>
              </w:rPr>
            </w:pPr>
            <w:r w:rsidRPr="005C338B">
              <w:rPr>
                <w:spacing w:val="-3"/>
                <w:sz w:val="24"/>
                <w:szCs w:val="24"/>
                <w:lang w:val="en-GB" w:eastAsia="da-DK"/>
              </w:rPr>
              <w:t xml:space="preserve">83 </w:t>
            </w:r>
            <w:r w:rsidRPr="005C338B">
              <w:rPr>
                <w:i/>
                <w:spacing w:val="-3"/>
                <w:sz w:val="24"/>
                <w:szCs w:val="24"/>
                <w:lang w:val="en-GB" w:eastAsia="da-DK"/>
              </w:rPr>
              <w:t>vs</w:t>
            </w:r>
            <w:r w:rsidRPr="005C338B">
              <w:rPr>
                <w:spacing w:val="-3"/>
                <w:sz w:val="24"/>
                <w:szCs w:val="24"/>
                <w:lang w:val="en-GB" w:eastAsia="da-DK"/>
              </w:rPr>
              <w:t>. 127</w:t>
            </w:r>
          </w:p>
        </w:tc>
        <w:tc>
          <w:tcPr>
            <w:tcW w:w="1559" w:type="dxa"/>
            <w:tcBorders>
              <w:left w:val="nil"/>
              <w:bottom w:val="nil"/>
              <w:right w:val="nil"/>
            </w:tcBorders>
            <w:vAlign w:val="center"/>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67"/>
              <w:jc w:val="center"/>
              <w:rPr>
                <w:spacing w:val="-3"/>
                <w:sz w:val="24"/>
                <w:szCs w:val="24"/>
                <w:lang w:eastAsia="da-DK"/>
              </w:rPr>
            </w:pPr>
            <w:r w:rsidRPr="005C338B">
              <w:rPr>
                <w:spacing w:val="-3"/>
                <w:sz w:val="24"/>
                <w:szCs w:val="24"/>
                <w:lang w:eastAsia="da-DK"/>
              </w:rPr>
              <w:t>3,2 %</w:t>
            </w:r>
          </w:p>
        </w:tc>
        <w:tc>
          <w:tcPr>
            <w:tcW w:w="1417" w:type="dxa"/>
            <w:tcBorders>
              <w:left w:val="nil"/>
              <w:bottom w:val="nil"/>
              <w:right w:val="nil"/>
            </w:tcBorders>
            <w:vAlign w:val="center"/>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spacing w:val="-3"/>
                <w:sz w:val="24"/>
                <w:szCs w:val="24"/>
                <w:lang w:eastAsia="da-DK"/>
              </w:rPr>
            </w:pPr>
            <w:r w:rsidRPr="005C338B">
              <w:rPr>
                <w:spacing w:val="-3"/>
                <w:sz w:val="24"/>
                <w:szCs w:val="24"/>
                <w:lang w:eastAsia="da-DK"/>
              </w:rPr>
              <w:t>0,0010</w:t>
            </w:r>
          </w:p>
        </w:tc>
      </w:tr>
      <w:tr w:rsidR="001A1784" w:rsidRPr="005C338B" w:rsidTr="009726B8">
        <w:tc>
          <w:tcPr>
            <w:tcW w:w="2410" w:type="dxa"/>
            <w:tcBorders>
              <w:top w:val="nil"/>
              <w:left w:val="nil"/>
              <w:bottom w:val="nil"/>
              <w:right w:val="nil"/>
            </w:tcBorders>
          </w:tcPr>
          <w:p w:rsidR="001A1784" w:rsidRPr="005C338B" w:rsidRDefault="001A1784" w:rsidP="009726B8">
            <w:pPr>
              <w:keepNext/>
              <w:tabs>
                <w:tab w:val="left" w:pos="459"/>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spacing w:val="-3"/>
                <w:sz w:val="24"/>
                <w:szCs w:val="24"/>
                <w:lang w:eastAsia="da-DK"/>
              </w:rPr>
            </w:pPr>
            <w:r w:rsidRPr="005C338B">
              <w:rPr>
                <w:spacing w:val="-3"/>
                <w:sz w:val="24"/>
                <w:szCs w:val="24"/>
                <w:lang w:eastAsia="da-DK"/>
              </w:rPr>
              <w:t>MI (letalt og ikke-letalt AMI, tavst MI)</w:t>
            </w:r>
          </w:p>
        </w:tc>
        <w:tc>
          <w:tcPr>
            <w:tcW w:w="1559" w:type="dxa"/>
            <w:tcBorders>
              <w:top w:val="nil"/>
              <w:left w:val="nil"/>
              <w:bottom w:val="nil"/>
              <w:right w:val="nil"/>
            </w:tcBorders>
            <w:vAlign w:val="center"/>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jc w:val="center"/>
              <w:rPr>
                <w:spacing w:val="-3"/>
                <w:sz w:val="24"/>
                <w:szCs w:val="24"/>
                <w:lang w:eastAsia="da-DK"/>
              </w:rPr>
            </w:pPr>
          </w:p>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jc w:val="center"/>
              <w:rPr>
                <w:spacing w:val="-3"/>
                <w:sz w:val="24"/>
                <w:szCs w:val="24"/>
                <w:lang w:val="en-GB" w:eastAsia="da-DK"/>
              </w:rPr>
            </w:pPr>
            <w:r w:rsidRPr="005C338B">
              <w:rPr>
                <w:spacing w:val="-3"/>
                <w:sz w:val="24"/>
                <w:szCs w:val="24"/>
                <w:lang w:val="en-GB" w:eastAsia="da-DK"/>
              </w:rPr>
              <w:t>42 %</w:t>
            </w:r>
          </w:p>
        </w:tc>
        <w:tc>
          <w:tcPr>
            <w:tcW w:w="1843" w:type="dxa"/>
            <w:tcBorders>
              <w:top w:val="nil"/>
              <w:left w:val="nil"/>
              <w:bottom w:val="nil"/>
              <w:right w:val="nil"/>
            </w:tcBorders>
            <w:vAlign w:val="center"/>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spacing w:val="-3"/>
                <w:sz w:val="24"/>
                <w:szCs w:val="24"/>
                <w:lang w:val="en-GB" w:eastAsia="da-DK"/>
              </w:rPr>
            </w:pPr>
          </w:p>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spacing w:val="-3"/>
                <w:sz w:val="24"/>
                <w:szCs w:val="24"/>
                <w:lang w:val="en-GB" w:eastAsia="da-DK"/>
              </w:rPr>
            </w:pPr>
            <w:r w:rsidRPr="005C338B">
              <w:rPr>
                <w:spacing w:val="-3"/>
                <w:sz w:val="24"/>
                <w:szCs w:val="24"/>
                <w:lang w:val="en-GB" w:eastAsia="da-DK"/>
              </w:rPr>
              <w:t xml:space="preserve">38 </w:t>
            </w:r>
            <w:r w:rsidRPr="005C338B">
              <w:rPr>
                <w:i/>
                <w:spacing w:val="-3"/>
                <w:sz w:val="24"/>
                <w:szCs w:val="24"/>
                <w:lang w:val="en-GB" w:eastAsia="da-DK"/>
              </w:rPr>
              <w:t>vs</w:t>
            </w:r>
            <w:r w:rsidRPr="005C338B">
              <w:rPr>
                <w:spacing w:val="-3"/>
                <w:sz w:val="24"/>
                <w:szCs w:val="24"/>
                <w:lang w:val="en-GB" w:eastAsia="da-DK"/>
              </w:rPr>
              <w:t>. 64</w:t>
            </w:r>
          </w:p>
        </w:tc>
        <w:tc>
          <w:tcPr>
            <w:tcW w:w="1559" w:type="dxa"/>
            <w:tcBorders>
              <w:top w:val="nil"/>
              <w:left w:val="nil"/>
              <w:bottom w:val="nil"/>
              <w:right w:val="nil"/>
            </w:tcBorders>
            <w:vAlign w:val="center"/>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67"/>
              <w:jc w:val="center"/>
              <w:rPr>
                <w:spacing w:val="-3"/>
                <w:sz w:val="24"/>
                <w:szCs w:val="24"/>
                <w:lang w:eastAsia="da-DK"/>
              </w:rPr>
            </w:pPr>
          </w:p>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67"/>
              <w:jc w:val="center"/>
              <w:rPr>
                <w:spacing w:val="-3"/>
                <w:sz w:val="24"/>
                <w:szCs w:val="24"/>
                <w:lang w:eastAsia="da-DK"/>
              </w:rPr>
            </w:pPr>
            <w:r w:rsidRPr="005C338B">
              <w:rPr>
                <w:spacing w:val="-3"/>
                <w:sz w:val="24"/>
                <w:szCs w:val="24"/>
                <w:lang w:eastAsia="da-DK"/>
              </w:rPr>
              <w:t>1,9 %</w:t>
            </w:r>
          </w:p>
        </w:tc>
        <w:tc>
          <w:tcPr>
            <w:tcW w:w="1417" w:type="dxa"/>
            <w:tcBorders>
              <w:top w:val="nil"/>
              <w:left w:val="nil"/>
              <w:bottom w:val="nil"/>
              <w:right w:val="nil"/>
            </w:tcBorders>
            <w:vAlign w:val="center"/>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spacing w:val="-3"/>
                <w:sz w:val="24"/>
                <w:szCs w:val="24"/>
                <w:lang w:eastAsia="da-DK"/>
              </w:rPr>
            </w:pPr>
          </w:p>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spacing w:val="-3"/>
                <w:sz w:val="24"/>
                <w:szCs w:val="24"/>
                <w:lang w:eastAsia="da-DK"/>
              </w:rPr>
            </w:pPr>
            <w:r w:rsidRPr="005C338B">
              <w:rPr>
                <w:spacing w:val="-3"/>
                <w:sz w:val="24"/>
                <w:szCs w:val="24"/>
                <w:lang w:eastAsia="da-DK"/>
              </w:rPr>
              <w:t>0,0070</w:t>
            </w:r>
          </w:p>
        </w:tc>
      </w:tr>
      <w:tr w:rsidR="001A1784" w:rsidRPr="005C338B" w:rsidTr="009726B8">
        <w:tc>
          <w:tcPr>
            <w:tcW w:w="2410" w:type="dxa"/>
            <w:tcBorders>
              <w:top w:val="nil"/>
              <w:left w:val="nil"/>
              <w:right w:val="nil"/>
            </w:tcBorders>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spacing w:val="-3"/>
                <w:sz w:val="24"/>
                <w:szCs w:val="24"/>
                <w:lang w:eastAsia="da-DK"/>
              </w:rPr>
            </w:pPr>
            <w:r w:rsidRPr="005C338B">
              <w:rPr>
                <w:spacing w:val="-3"/>
                <w:sz w:val="24"/>
                <w:szCs w:val="24"/>
                <w:lang w:eastAsia="da-DK"/>
              </w:rPr>
              <w:t>Apopleksi (letal og ikke-letal)</w:t>
            </w:r>
          </w:p>
        </w:tc>
        <w:tc>
          <w:tcPr>
            <w:tcW w:w="1559" w:type="dxa"/>
            <w:tcBorders>
              <w:top w:val="nil"/>
              <w:left w:val="nil"/>
              <w:right w:val="nil"/>
            </w:tcBorders>
            <w:vAlign w:val="center"/>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jc w:val="center"/>
              <w:rPr>
                <w:spacing w:val="-3"/>
                <w:sz w:val="24"/>
                <w:szCs w:val="24"/>
                <w:lang w:eastAsia="da-DK"/>
              </w:rPr>
            </w:pPr>
          </w:p>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jc w:val="center"/>
              <w:rPr>
                <w:spacing w:val="-3"/>
                <w:sz w:val="24"/>
                <w:szCs w:val="24"/>
                <w:lang w:val="en-GB" w:eastAsia="da-DK"/>
              </w:rPr>
            </w:pPr>
            <w:r w:rsidRPr="005C338B">
              <w:rPr>
                <w:spacing w:val="-3"/>
                <w:sz w:val="24"/>
                <w:szCs w:val="24"/>
                <w:lang w:val="en-GB" w:eastAsia="da-DK"/>
              </w:rPr>
              <w:t>48 %</w:t>
            </w:r>
          </w:p>
        </w:tc>
        <w:tc>
          <w:tcPr>
            <w:tcW w:w="1843" w:type="dxa"/>
            <w:tcBorders>
              <w:top w:val="nil"/>
              <w:left w:val="nil"/>
              <w:right w:val="nil"/>
            </w:tcBorders>
            <w:vAlign w:val="center"/>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spacing w:val="-3"/>
                <w:sz w:val="24"/>
                <w:szCs w:val="24"/>
                <w:lang w:val="en-GB" w:eastAsia="da-DK"/>
              </w:rPr>
            </w:pPr>
          </w:p>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spacing w:val="-3"/>
                <w:sz w:val="24"/>
                <w:szCs w:val="24"/>
                <w:lang w:val="en-GB" w:eastAsia="da-DK"/>
              </w:rPr>
            </w:pPr>
            <w:r w:rsidRPr="005C338B">
              <w:rPr>
                <w:spacing w:val="-3"/>
                <w:sz w:val="24"/>
                <w:szCs w:val="24"/>
                <w:lang w:val="en-GB" w:eastAsia="da-DK"/>
              </w:rPr>
              <w:t xml:space="preserve">21 </w:t>
            </w:r>
            <w:r w:rsidRPr="005C338B">
              <w:rPr>
                <w:i/>
                <w:spacing w:val="-3"/>
                <w:sz w:val="24"/>
                <w:szCs w:val="24"/>
                <w:lang w:val="en-GB" w:eastAsia="da-DK"/>
              </w:rPr>
              <w:t>vs</w:t>
            </w:r>
            <w:r w:rsidRPr="005C338B">
              <w:rPr>
                <w:spacing w:val="-3"/>
                <w:sz w:val="24"/>
                <w:szCs w:val="24"/>
                <w:lang w:val="en-GB" w:eastAsia="da-DK"/>
              </w:rPr>
              <w:t>. 39</w:t>
            </w:r>
          </w:p>
        </w:tc>
        <w:tc>
          <w:tcPr>
            <w:tcW w:w="1559" w:type="dxa"/>
            <w:tcBorders>
              <w:top w:val="nil"/>
              <w:left w:val="nil"/>
              <w:right w:val="nil"/>
            </w:tcBorders>
            <w:vAlign w:val="center"/>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67"/>
              <w:jc w:val="center"/>
              <w:rPr>
                <w:spacing w:val="-3"/>
                <w:sz w:val="24"/>
                <w:szCs w:val="24"/>
                <w:lang w:eastAsia="da-DK"/>
              </w:rPr>
            </w:pPr>
          </w:p>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67"/>
              <w:jc w:val="center"/>
              <w:rPr>
                <w:spacing w:val="-3"/>
                <w:sz w:val="24"/>
                <w:szCs w:val="24"/>
                <w:lang w:eastAsia="da-DK"/>
              </w:rPr>
            </w:pPr>
            <w:r w:rsidRPr="005C338B">
              <w:rPr>
                <w:spacing w:val="-3"/>
                <w:sz w:val="24"/>
                <w:szCs w:val="24"/>
                <w:lang w:eastAsia="da-DK"/>
              </w:rPr>
              <w:t>1,3 %</w:t>
            </w:r>
          </w:p>
        </w:tc>
        <w:tc>
          <w:tcPr>
            <w:tcW w:w="1417" w:type="dxa"/>
            <w:tcBorders>
              <w:top w:val="nil"/>
              <w:left w:val="nil"/>
              <w:right w:val="nil"/>
            </w:tcBorders>
            <w:vAlign w:val="center"/>
          </w:tcPr>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spacing w:val="-3"/>
                <w:sz w:val="24"/>
                <w:szCs w:val="24"/>
                <w:lang w:eastAsia="da-DK"/>
              </w:rPr>
            </w:pPr>
          </w:p>
          <w:p w:rsidR="001A1784" w:rsidRPr="005C338B" w:rsidRDefault="001A1784" w:rsidP="009726B8">
            <w:pPr>
              <w:keepNext/>
              <w:tabs>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rPr>
                <w:spacing w:val="-3"/>
                <w:sz w:val="24"/>
                <w:szCs w:val="24"/>
                <w:lang w:eastAsia="da-DK"/>
              </w:rPr>
            </w:pPr>
            <w:r w:rsidRPr="005C338B">
              <w:rPr>
                <w:spacing w:val="-3"/>
                <w:sz w:val="24"/>
                <w:szCs w:val="24"/>
                <w:lang w:eastAsia="da-DK"/>
              </w:rPr>
              <w:t>0,0163</w:t>
            </w:r>
          </w:p>
        </w:tc>
      </w:tr>
    </w:tbl>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vertAlign w:val="superscript"/>
          <w:lang w:eastAsia="da-DK"/>
        </w:rPr>
        <w:t>1</w:t>
      </w:r>
      <w:r w:rsidRPr="005C338B">
        <w:rPr>
          <w:spacing w:val="-3"/>
          <w:sz w:val="24"/>
          <w:szCs w:val="24"/>
          <w:lang w:eastAsia="da-DK"/>
        </w:rPr>
        <w:t xml:space="preserve"> På baggrund af forskelle i de samlede hændelseshyppigheder opstået over en middelopfølgningsperiode på 3,9 år.</w:t>
      </w:r>
    </w:p>
    <w:p w:rsidR="001A1784" w:rsidRPr="004541ED"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val="de-DE" w:eastAsia="da-DK"/>
        </w:rPr>
      </w:pPr>
      <w:r w:rsidRPr="004541ED">
        <w:rPr>
          <w:spacing w:val="-3"/>
          <w:sz w:val="24"/>
          <w:szCs w:val="24"/>
          <w:lang w:val="de-DE" w:eastAsia="da-DK"/>
        </w:rPr>
        <w:t xml:space="preserve">AMI = akut myokardieinfarkt; CABG = koronararterie bypass graft operation; </w:t>
      </w:r>
    </w:p>
    <w:p w:rsidR="001A1784" w:rsidRPr="00204C24"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val="sv-SE" w:eastAsia="da-DK"/>
        </w:rPr>
      </w:pPr>
      <w:r w:rsidRPr="00204C24">
        <w:rPr>
          <w:spacing w:val="-3"/>
          <w:sz w:val="24"/>
          <w:szCs w:val="24"/>
          <w:lang w:val="sv-SE" w:eastAsia="da-DK"/>
        </w:rPr>
        <w:t>CHD = koronar hjertesygdom; MI = myokardieinfarkt; PTCA = perkutan transluminal koronar angioplastik.</w:t>
      </w:r>
    </w:p>
    <w:p w:rsidR="001A1784" w:rsidRPr="00204C24"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val="sv-SE" w:eastAsia="da-DK"/>
        </w:rPr>
      </w:pPr>
    </w:p>
    <w:p w:rsidR="001A1784" w:rsidRPr="005C338B"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C338B">
        <w:rPr>
          <w:spacing w:val="-3"/>
          <w:sz w:val="24"/>
          <w:szCs w:val="24"/>
          <w:lang w:eastAsia="da-DK"/>
        </w:rPr>
        <w:t xml:space="preserve">Der var ikke bevis for en forskel i behandlingseffekten på grund af patienternes køn, alder eller baseline-værdien for LDL-kolesterol. Der blev set en favorabel tendens med hensyn til mortalitetsrate (82 dødsfald i placebogruppen </w:t>
      </w:r>
      <w:r w:rsidRPr="005C338B">
        <w:rPr>
          <w:i/>
          <w:spacing w:val="-3"/>
          <w:sz w:val="24"/>
          <w:szCs w:val="24"/>
          <w:lang w:eastAsia="da-DK"/>
        </w:rPr>
        <w:t>vs</w:t>
      </w:r>
      <w:r w:rsidRPr="005C338B">
        <w:rPr>
          <w:spacing w:val="-3"/>
          <w:sz w:val="24"/>
          <w:szCs w:val="24"/>
          <w:lang w:eastAsia="da-DK"/>
        </w:rPr>
        <w:t xml:space="preserve">. 61 dødsfald i atorvastatingruppen, p=0,0592). </w:t>
      </w:r>
    </w:p>
    <w:p w:rsidR="001A1784" w:rsidRPr="005C338B"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5C338B" w:rsidRDefault="001A1784" w:rsidP="001A1784">
      <w:pPr>
        <w:ind w:left="851"/>
        <w:jc w:val="both"/>
        <w:outlineLvl w:val="0"/>
        <w:rPr>
          <w:iCs/>
          <w:sz w:val="24"/>
          <w:szCs w:val="24"/>
          <w:u w:val="single"/>
          <w:lang w:eastAsia="da-DK"/>
        </w:rPr>
      </w:pPr>
      <w:r w:rsidRPr="005C338B">
        <w:rPr>
          <w:iCs/>
          <w:sz w:val="24"/>
          <w:szCs w:val="24"/>
          <w:u w:val="single"/>
          <w:lang w:eastAsia="da-DK"/>
        </w:rPr>
        <w:t>Tilbagevendende apopleksi</w:t>
      </w:r>
    </w:p>
    <w:p w:rsidR="001A1784" w:rsidRPr="005C338B" w:rsidRDefault="001A1784" w:rsidP="001A1784">
      <w:pPr>
        <w:ind w:left="851"/>
        <w:rPr>
          <w:iCs/>
          <w:sz w:val="24"/>
          <w:szCs w:val="24"/>
          <w:lang w:eastAsia="da-DK"/>
        </w:rPr>
      </w:pPr>
      <w:r w:rsidRPr="005C338B">
        <w:rPr>
          <w:iCs/>
          <w:sz w:val="24"/>
          <w:szCs w:val="24"/>
          <w:lang w:eastAsia="da-DK"/>
        </w:rPr>
        <w:t xml:space="preserve">I studiet Stroke Prevention by Aggressive Reduction in Cholesterol Levels (SPARCL) blev effekten af atorvastatin 80 mg </w:t>
      </w:r>
      <w:r>
        <w:rPr>
          <w:iCs/>
          <w:sz w:val="24"/>
          <w:szCs w:val="24"/>
          <w:lang w:eastAsia="da-DK"/>
        </w:rPr>
        <w:t>daglig</w:t>
      </w:r>
      <w:r w:rsidRPr="005C338B">
        <w:rPr>
          <w:iCs/>
          <w:sz w:val="24"/>
          <w:szCs w:val="24"/>
          <w:lang w:eastAsia="da-DK"/>
        </w:rPr>
        <w:t xml:space="preserve"> eller placebo på apopleksi evalueret hos 4.731 patienter med apopleksi eller transitorisk cerebral iskæmi (TCI) inden for de forudgående 6 måneder og uden koronar hjertesygdom (CHD) i anamnesen. 60 % af patienterne var mænd, aldersintervallet 21-92 år (gennemsnitsalder 63 år) og LDL-kolesterol 3,4 mmol/l (133 mg/d</w:t>
      </w:r>
      <w:r>
        <w:rPr>
          <w:iCs/>
          <w:sz w:val="24"/>
          <w:szCs w:val="24"/>
          <w:lang w:eastAsia="da-DK"/>
        </w:rPr>
        <w:t>l) ved baseline. Det gennemsnit</w:t>
      </w:r>
      <w:r w:rsidRPr="005C338B">
        <w:rPr>
          <w:iCs/>
          <w:sz w:val="24"/>
          <w:szCs w:val="24"/>
          <w:lang w:eastAsia="da-DK"/>
        </w:rPr>
        <w:t>lige LDL-kolesterol var 1,9 mmol/l (73 mg/dl) under behandling med atorvastatin og 3,3 mmol/l (129 mg/dl) under behandling med placebo. Middelopfølgningsperioden var 4,9 år.</w:t>
      </w:r>
    </w:p>
    <w:p w:rsidR="001A1784" w:rsidRPr="005C338B" w:rsidRDefault="001A1784" w:rsidP="001A1784">
      <w:pPr>
        <w:ind w:left="851"/>
        <w:rPr>
          <w:iCs/>
          <w:sz w:val="24"/>
          <w:szCs w:val="24"/>
          <w:lang w:eastAsia="da-DK"/>
        </w:rPr>
      </w:pPr>
    </w:p>
    <w:p w:rsidR="001A1784" w:rsidRPr="005C338B" w:rsidRDefault="001A1784" w:rsidP="001A1784">
      <w:pPr>
        <w:ind w:left="851"/>
        <w:rPr>
          <w:iCs/>
          <w:sz w:val="24"/>
          <w:szCs w:val="24"/>
          <w:lang w:eastAsia="da-DK"/>
        </w:rPr>
      </w:pPr>
      <w:r w:rsidRPr="005C338B">
        <w:rPr>
          <w:iCs/>
          <w:sz w:val="24"/>
          <w:szCs w:val="24"/>
          <w:lang w:eastAsia="da-DK"/>
        </w:rPr>
        <w:t xml:space="preserve">Atorvastatin 80 mg reducerede risikoen for det primære endepunkt (letal eller ikke-letal apopleksi) med 15 % (HR 0,85; 95 % CI, 0,72-1,00; p=0,05 – eller HR 0,84; 95% CI, 0,71-0,99; p=0.03 efter justering for baseline-faktorer) sammenlignet med placebo. Død uanset årsag var 9,1 (216/2.365) atorvastatingruppen </w:t>
      </w:r>
      <w:r w:rsidRPr="005C338B">
        <w:rPr>
          <w:i/>
          <w:iCs/>
          <w:sz w:val="24"/>
          <w:szCs w:val="24"/>
          <w:lang w:eastAsia="da-DK"/>
        </w:rPr>
        <w:t>vs</w:t>
      </w:r>
      <w:r w:rsidRPr="005C338B">
        <w:rPr>
          <w:iCs/>
          <w:sz w:val="24"/>
          <w:szCs w:val="24"/>
          <w:lang w:eastAsia="da-DK"/>
        </w:rPr>
        <w:t>. 8,9% (211/2.366) i placebogruppen.</w:t>
      </w:r>
    </w:p>
    <w:p w:rsidR="001A1784" w:rsidRPr="005C338B" w:rsidRDefault="001A1784" w:rsidP="001A1784">
      <w:pPr>
        <w:ind w:left="851"/>
        <w:rPr>
          <w:iCs/>
          <w:sz w:val="24"/>
          <w:szCs w:val="24"/>
          <w:lang w:eastAsia="da-DK"/>
        </w:rPr>
      </w:pPr>
    </w:p>
    <w:p w:rsidR="001A1784" w:rsidRPr="005C338B" w:rsidRDefault="001A1784" w:rsidP="001A1784">
      <w:pPr>
        <w:ind w:left="851"/>
        <w:rPr>
          <w:iCs/>
          <w:sz w:val="24"/>
          <w:szCs w:val="24"/>
          <w:lang w:eastAsia="da-DK"/>
        </w:rPr>
      </w:pPr>
      <w:r w:rsidRPr="005C338B">
        <w:rPr>
          <w:iCs/>
          <w:sz w:val="24"/>
          <w:szCs w:val="24"/>
          <w:lang w:eastAsia="da-DK"/>
        </w:rPr>
        <w:t xml:space="preserve">I en post-hoc analyse reducerede atorvastatin 80 mg incidensen af koronar apopleksi (218/2.365, 9,2% </w:t>
      </w:r>
      <w:r w:rsidRPr="005C338B">
        <w:rPr>
          <w:i/>
          <w:iCs/>
          <w:sz w:val="24"/>
          <w:szCs w:val="24"/>
          <w:lang w:eastAsia="da-DK"/>
        </w:rPr>
        <w:t>vs</w:t>
      </w:r>
      <w:r w:rsidRPr="005C338B">
        <w:rPr>
          <w:iCs/>
          <w:sz w:val="24"/>
          <w:szCs w:val="24"/>
          <w:lang w:eastAsia="da-DK"/>
        </w:rPr>
        <w:t xml:space="preserve">. 274/2.366, 11,6%; p=0,01) og øgede incidensen af hæmoragisk apopleksi (55/2.365, 2,3% </w:t>
      </w:r>
      <w:r w:rsidRPr="005C338B">
        <w:rPr>
          <w:i/>
          <w:iCs/>
          <w:sz w:val="24"/>
          <w:szCs w:val="24"/>
          <w:lang w:eastAsia="da-DK"/>
        </w:rPr>
        <w:t>vs</w:t>
      </w:r>
      <w:r w:rsidRPr="005C338B">
        <w:rPr>
          <w:iCs/>
          <w:sz w:val="24"/>
          <w:szCs w:val="24"/>
          <w:lang w:eastAsia="da-DK"/>
        </w:rPr>
        <w:t>. 33/2.366, 1,4%; p=0,02) sammenlignet med placebo.</w:t>
      </w:r>
    </w:p>
    <w:p w:rsidR="001A1784" w:rsidRPr="005C338B" w:rsidRDefault="001A1784" w:rsidP="001A1784">
      <w:pPr>
        <w:ind w:left="851"/>
        <w:rPr>
          <w:iCs/>
          <w:sz w:val="24"/>
          <w:szCs w:val="24"/>
          <w:lang w:eastAsia="da-DK"/>
        </w:rPr>
      </w:pPr>
    </w:p>
    <w:p w:rsidR="001A1784" w:rsidRPr="005C338B" w:rsidRDefault="001A1784" w:rsidP="001A1784">
      <w:pPr>
        <w:numPr>
          <w:ilvl w:val="0"/>
          <w:numId w:val="13"/>
        </w:numPr>
        <w:tabs>
          <w:tab w:val="clear" w:pos="-58"/>
          <w:tab w:val="num" w:pos="1571"/>
          <w:tab w:val="left" w:pos="1920"/>
        </w:tabs>
        <w:autoSpaceDE w:val="0"/>
        <w:autoSpaceDN w:val="0"/>
        <w:adjustRightInd w:val="0"/>
        <w:ind w:left="1134" w:hanging="283"/>
        <w:rPr>
          <w:bCs/>
          <w:sz w:val="24"/>
          <w:szCs w:val="24"/>
          <w:u w:val="single"/>
          <w:lang w:val="ar-SA" w:eastAsia="da-DK"/>
        </w:rPr>
      </w:pPr>
      <w:r w:rsidRPr="005C338B">
        <w:rPr>
          <w:sz w:val="24"/>
          <w:szCs w:val="24"/>
          <w:lang w:val="ar-SA" w:eastAsia="da-DK"/>
        </w:rPr>
        <w:t xml:space="preserve">Risikoen for </w:t>
      </w:r>
      <w:r w:rsidRPr="005C338B">
        <w:rPr>
          <w:iCs/>
          <w:sz w:val="24"/>
          <w:szCs w:val="24"/>
          <w:lang w:eastAsia="da-DK"/>
        </w:rPr>
        <w:t>hæmoragisk apopleksi</w:t>
      </w:r>
      <w:r w:rsidRPr="005C338B">
        <w:rPr>
          <w:sz w:val="24"/>
          <w:szCs w:val="24"/>
          <w:lang w:val="ar-SA" w:eastAsia="da-DK"/>
        </w:rPr>
        <w:t xml:space="preserve"> var øget hos patienter, som før forsøgets start havde haft </w:t>
      </w:r>
      <w:r w:rsidRPr="005C338B">
        <w:rPr>
          <w:iCs/>
          <w:sz w:val="24"/>
          <w:szCs w:val="24"/>
          <w:lang w:eastAsia="da-DK"/>
        </w:rPr>
        <w:t>hæmoragisk apopleksi</w:t>
      </w:r>
      <w:r w:rsidRPr="005C338B">
        <w:rPr>
          <w:sz w:val="24"/>
          <w:szCs w:val="24"/>
          <w:lang w:val="ar-SA" w:eastAsia="da-DK"/>
        </w:rPr>
        <w:t xml:space="preserve"> (7/45 i atorvastatingruppen </w:t>
      </w:r>
      <w:r w:rsidRPr="005C338B">
        <w:rPr>
          <w:i/>
          <w:sz w:val="24"/>
          <w:szCs w:val="24"/>
          <w:lang w:val="ar-SA" w:eastAsia="da-DK"/>
        </w:rPr>
        <w:t>vs</w:t>
      </w:r>
      <w:r w:rsidRPr="005C338B">
        <w:rPr>
          <w:sz w:val="24"/>
          <w:szCs w:val="24"/>
          <w:lang w:val="ar-SA" w:eastAsia="da-DK"/>
        </w:rPr>
        <w:t>. 2/48 i placebogruppen; HR 4,06; 95% CI: 0,84-19,57). Risikoen for koronar apopleksi var sammenlignelig mellem grupperne (</w:t>
      </w:r>
      <w:r w:rsidRPr="005C338B">
        <w:rPr>
          <w:bCs/>
          <w:sz w:val="24"/>
          <w:szCs w:val="24"/>
          <w:lang w:val="ar-SA" w:eastAsia="da-DK"/>
        </w:rPr>
        <w:t xml:space="preserve">3/45 for atorvastatin </w:t>
      </w:r>
      <w:r w:rsidRPr="005C338B">
        <w:rPr>
          <w:bCs/>
          <w:i/>
          <w:sz w:val="24"/>
          <w:szCs w:val="24"/>
          <w:lang w:val="ar-SA" w:eastAsia="da-DK"/>
        </w:rPr>
        <w:t>vs</w:t>
      </w:r>
      <w:r w:rsidRPr="005C338B">
        <w:rPr>
          <w:bCs/>
          <w:sz w:val="24"/>
          <w:szCs w:val="24"/>
          <w:lang w:val="ar-SA" w:eastAsia="da-DK"/>
        </w:rPr>
        <w:t>. 2/48 for placebo; HR 1,64; 95% CI: 0,27-9,82).</w:t>
      </w:r>
    </w:p>
    <w:p w:rsidR="001A1784" w:rsidRPr="005C338B" w:rsidRDefault="001A1784" w:rsidP="001A1784">
      <w:pPr>
        <w:ind w:left="1134" w:hanging="283"/>
        <w:rPr>
          <w:sz w:val="24"/>
          <w:szCs w:val="24"/>
          <w:lang w:val="ar-SA" w:eastAsia="da-DK"/>
        </w:rPr>
      </w:pPr>
    </w:p>
    <w:p w:rsidR="001A1784" w:rsidRPr="005C338B" w:rsidRDefault="001A1784" w:rsidP="001A1784">
      <w:pPr>
        <w:numPr>
          <w:ilvl w:val="0"/>
          <w:numId w:val="13"/>
        </w:numPr>
        <w:tabs>
          <w:tab w:val="clear" w:pos="-58"/>
          <w:tab w:val="num" w:pos="1571"/>
        </w:tabs>
        <w:autoSpaceDE w:val="0"/>
        <w:autoSpaceDN w:val="0"/>
        <w:adjustRightInd w:val="0"/>
        <w:ind w:left="1134" w:hanging="283"/>
        <w:rPr>
          <w:sz w:val="24"/>
          <w:szCs w:val="24"/>
          <w:u w:val="single"/>
          <w:lang w:val="ar-SA" w:eastAsia="da-DK"/>
        </w:rPr>
      </w:pPr>
      <w:r w:rsidRPr="005C338B">
        <w:rPr>
          <w:sz w:val="24"/>
          <w:szCs w:val="24"/>
          <w:lang w:val="ar-SA" w:eastAsia="da-DK"/>
        </w:rPr>
        <w:lastRenderedPageBreak/>
        <w:t xml:space="preserve">Risikoen for </w:t>
      </w:r>
      <w:r w:rsidRPr="005C338B">
        <w:rPr>
          <w:iCs/>
          <w:sz w:val="24"/>
          <w:szCs w:val="24"/>
          <w:lang w:eastAsia="da-DK"/>
        </w:rPr>
        <w:t>hæmoragisk apopleksi</w:t>
      </w:r>
      <w:r w:rsidRPr="005C338B">
        <w:rPr>
          <w:sz w:val="24"/>
          <w:szCs w:val="24"/>
          <w:lang w:val="ar-SA" w:eastAsia="da-DK"/>
        </w:rPr>
        <w:t xml:space="preserve"> var øget hos patienter, som før forsøgets start havde haft lakunært infarkt (20/708 for atorvastatin </w:t>
      </w:r>
      <w:r w:rsidRPr="005C338B">
        <w:rPr>
          <w:i/>
          <w:sz w:val="24"/>
          <w:szCs w:val="24"/>
          <w:lang w:val="ar-SA" w:eastAsia="da-DK"/>
        </w:rPr>
        <w:t>vs</w:t>
      </w:r>
      <w:r w:rsidRPr="005C338B">
        <w:rPr>
          <w:sz w:val="24"/>
          <w:szCs w:val="24"/>
          <w:lang w:val="ar-SA" w:eastAsia="da-DK"/>
        </w:rPr>
        <w:t xml:space="preserve">. 4/701 for placebo; HR 4,99; 95% CI: 1,71-14,61), men risikoen for koronar apopleksi faldt også hos disse patienter </w:t>
      </w:r>
      <w:r w:rsidRPr="005C338B">
        <w:rPr>
          <w:bCs/>
          <w:sz w:val="24"/>
          <w:szCs w:val="24"/>
          <w:lang w:val="ar-SA" w:eastAsia="da-DK"/>
        </w:rPr>
        <w:t xml:space="preserve">(79/708 for atorvastatin </w:t>
      </w:r>
      <w:r w:rsidRPr="005C338B">
        <w:rPr>
          <w:bCs/>
          <w:i/>
          <w:sz w:val="24"/>
          <w:szCs w:val="24"/>
          <w:lang w:val="ar-SA" w:eastAsia="da-DK"/>
        </w:rPr>
        <w:t>vs</w:t>
      </w:r>
      <w:r w:rsidRPr="005C338B">
        <w:rPr>
          <w:bCs/>
          <w:sz w:val="24"/>
          <w:szCs w:val="24"/>
          <w:lang w:val="ar-SA" w:eastAsia="da-DK"/>
        </w:rPr>
        <w:t xml:space="preserve">. 102/701 for placebo; HR 0,76; 95% CI: 0,57-1,02). Det er muligt, at den absolutte risiko for apopleksi er øget hos patienter med tidligere lakunært infarkt, som får 80 mg atorvastatin </w:t>
      </w:r>
      <w:r>
        <w:rPr>
          <w:bCs/>
          <w:sz w:val="24"/>
          <w:szCs w:val="24"/>
          <w:lang w:val="ar-SA" w:eastAsia="da-DK"/>
        </w:rPr>
        <w:t>daglig</w:t>
      </w:r>
      <w:r w:rsidRPr="005C338B">
        <w:rPr>
          <w:bCs/>
          <w:sz w:val="24"/>
          <w:szCs w:val="24"/>
          <w:lang w:val="ar-SA" w:eastAsia="da-DK"/>
        </w:rPr>
        <w:t>.</w:t>
      </w:r>
    </w:p>
    <w:p w:rsidR="001A1784" w:rsidRPr="005C338B" w:rsidRDefault="001A1784" w:rsidP="001A1784">
      <w:pPr>
        <w:ind w:left="851"/>
        <w:rPr>
          <w:sz w:val="24"/>
          <w:szCs w:val="24"/>
          <w:lang w:val="ar-SA" w:eastAsia="da-DK"/>
        </w:rPr>
      </w:pPr>
    </w:p>
    <w:p w:rsidR="001A1784" w:rsidRPr="005C338B" w:rsidRDefault="001A1784" w:rsidP="001A1784">
      <w:pPr>
        <w:ind w:left="851"/>
        <w:rPr>
          <w:sz w:val="24"/>
          <w:szCs w:val="24"/>
          <w:lang w:val="ar-SA" w:eastAsia="da-DK"/>
        </w:rPr>
      </w:pPr>
      <w:r w:rsidRPr="005C338B">
        <w:rPr>
          <w:sz w:val="24"/>
          <w:szCs w:val="24"/>
          <w:lang w:val="ar-SA" w:eastAsia="da-DK"/>
        </w:rPr>
        <w:t xml:space="preserve">Død uanset årsag var 15,6 % (7/45) for atorvastatin </w:t>
      </w:r>
      <w:r w:rsidRPr="005C338B">
        <w:rPr>
          <w:i/>
          <w:sz w:val="24"/>
          <w:szCs w:val="24"/>
          <w:lang w:val="ar-SA" w:eastAsia="da-DK"/>
        </w:rPr>
        <w:t>vs</w:t>
      </w:r>
      <w:r w:rsidRPr="005C338B">
        <w:rPr>
          <w:sz w:val="24"/>
          <w:szCs w:val="24"/>
          <w:lang w:val="ar-SA" w:eastAsia="da-DK"/>
        </w:rPr>
        <w:t xml:space="preserve">. 10,4 % (5/48) for placebo i subgruppen af patienter, der tidligere havde haft </w:t>
      </w:r>
      <w:r w:rsidRPr="005C338B">
        <w:rPr>
          <w:iCs/>
          <w:sz w:val="24"/>
          <w:szCs w:val="24"/>
          <w:lang w:eastAsia="da-DK"/>
        </w:rPr>
        <w:t>hæmoragisk apopleksi</w:t>
      </w:r>
      <w:r w:rsidRPr="005C338B">
        <w:rPr>
          <w:sz w:val="24"/>
          <w:szCs w:val="24"/>
          <w:lang w:val="ar-SA" w:eastAsia="da-DK"/>
        </w:rPr>
        <w:t xml:space="preserve">. Død uanset årsag var 10,9 % (77/708) for atorvastatin </w:t>
      </w:r>
      <w:r w:rsidRPr="005C338B">
        <w:rPr>
          <w:i/>
          <w:sz w:val="24"/>
          <w:szCs w:val="24"/>
          <w:lang w:val="ar-SA" w:eastAsia="da-DK"/>
        </w:rPr>
        <w:t>vs</w:t>
      </w:r>
      <w:r w:rsidRPr="005C338B">
        <w:rPr>
          <w:sz w:val="24"/>
          <w:szCs w:val="24"/>
          <w:lang w:val="ar-SA" w:eastAsia="da-DK"/>
        </w:rPr>
        <w:t>.9,1 % (64/701) for placebo i subgruppen af patienter, der tidligere havde haft lakunært infarkt.</w:t>
      </w:r>
      <w:r w:rsidRPr="005C338B" w:rsidDel="001E2D3C">
        <w:rPr>
          <w:sz w:val="24"/>
          <w:szCs w:val="24"/>
          <w:lang w:val="ar-SA" w:eastAsia="da-DK"/>
        </w:rPr>
        <w:t xml:space="preserve"> </w:t>
      </w:r>
    </w:p>
    <w:p w:rsidR="001A1784" w:rsidRPr="005C338B" w:rsidRDefault="001A1784" w:rsidP="001A1784">
      <w:pPr>
        <w:ind w:left="851"/>
        <w:rPr>
          <w:sz w:val="24"/>
          <w:szCs w:val="24"/>
          <w:lang w:val="ar-SA" w:eastAsia="da-DK"/>
        </w:rPr>
      </w:pPr>
    </w:p>
    <w:p w:rsidR="001A1784" w:rsidRPr="005C338B" w:rsidRDefault="001A1784" w:rsidP="001A1784">
      <w:pPr>
        <w:suppressAutoHyphens/>
        <w:ind w:left="851"/>
        <w:rPr>
          <w:bCs/>
          <w:noProof/>
          <w:sz w:val="24"/>
          <w:szCs w:val="24"/>
          <w:u w:val="single"/>
          <w:lang w:eastAsia="da-DK"/>
        </w:rPr>
      </w:pPr>
      <w:r w:rsidRPr="005C338B">
        <w:rPr>
          <w:bCs/>
          <w:noProof/>
          <w:sz w:val="24"/>
          <w:szCs w:val="24"/>
          <w:u w:val="single"/>
          <w:lang w:eastAsia="da-DK"/>
        </w:rPr>
        <w:t>Pædiatrisk population</w:t>
      </w:r>
    </w:p>
    <w:p w:rsidR="001A1784"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i/>
          <w:spacing w:val="-3"/>
          <w:sz w:val="24"/>
          <w:szCs w:val="24"/>
          <w:u w:val="single"/>
          <w:lang w:eastAsia="da-DK"/>
        </w:rPr>
      </w:pPr>
    </w:p>
    <w:p w:rsidR="001A1784" w:rsidRPr="005C338B"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i/>
          <w:spacing w:val="-3"/>
          <w:sz w:val="24"/>
          <w:szCs w:val="24"/>
          <w:lang w:eastAsia="da-DK"/>
        </w:rPr>
      </w:pPr>
      <w:r w:rsidRPr="005C338B">
        <w:rPr>
          <w:i/>
          <w:spacing w:val="-3"/>
          <w:sz w:val="24"/>
          <w:szCs w:val="24"/>
          <w:lang w:eastAsia="da-DK"/>
        </w:rPr>
        <w:t>Heterozygot familiær hyperkolesterolæmi hos pædiatriske patienter i alderen 6-17 år</w:t>
      </w:r>
    </w:p>
    <w:p w:rsidR="001A1784" w:rsidRPr="005C338B"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5C338B">
        <w:rPr>
          <w:noProof/>
          <w:sz w:val="24"/>
          <w:szCs w:val="24"/>
          <w:lang w:eastAsia="da-DK"/>
        </w:rPr>
        <w:t>Et 8-ugers, open-label klinisk forsøg til evaluering af farmakokinetik, farmakodynamik samt sikkerhed og tolerabilitet af atorvastatin blev udført med børn og unge med genetisk bekræftet h</w:t>
      </w:r>
      <w:r w:rsidRPr="005C338B">
        <w:rPr>
          <w:spacing w:val="-3"/>
          <w:sz w:val="24"/>
          <w:szCs w:val="24"/>
          <w:lang w:eastAsia="da-DK"/>
        </w:rPr>
        <w:t>eterozygot familiær hyperkolesterolæmi og baseline LDL-kolesterol ≥ 4 mmol/l. Der deltog i alt 39 børn og unge i alderen 6-17 år. Kohorte A omfattede 15 børn i alderen 6-12 år i Tanner-stadie 1. Kohorte B omfattede 24 børn i alderen 10-17 år i Tanner-stadie ≥ 2.</w:t>
      </w:r>
    </w:p>
    <w:p w:rsidR="001A1784" w:rsidRPr="005C338B"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p>
    <w:p w:rsidR="001A1784" w:rsidRPr="005C338B"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5C338B">
        <w:rPr>
          <w:spacing w:val="-3"/>
          <w:sz w:val="24"/>
          <w:szCs w:val="24"/>
          <w:lang w:eastAsia="da-DK"/>
        </w:rPr>
        <w:t xml:space="preserve">Startdosis i kohorte A var 5 mg atorvastatin </w:t>
      </w:r>
      <w:r>
        <w:rPr>
          <w:spacing w:val="-3"/>
          <w:sz w:val="24"/>
          <w:szCs w:val="24"/>
          <w:lang w:eastAsia="da-DK"/>
        </w:rPr>
        <w:t>daglig</w:t>
      </w:r>
      <w:r w:rsidRPr="005C338B">
        <w:rPr>
          <w:spacing w:val="-3"/>
          <w:sz w:val="24"/>
          <w:szCs w:val="24"/>
          <w:lang w:eastAsia="da-DK"/>
        </w:rPr>
        <w:t xml:space="preserve"> i form af en tyggetablet og i kohorte B 10 mg </w:t>
      </w:r>
      <w:r>
        <w:rPr>
          <w:spacing w:val="-3"/>
          <w:sz w:val="24"/>
          <w:szCs w:val="24"/>
          <w:lang w:eastAsia="da-DK"/>
        </w:rPr>
        <w:t>daglig</w:t>
      </w:r>
      <w:r w:rsidRPr="005C338B">
        <w:rPr>
          <w:spacing w:val="-3"/>
          <w:sz w:val="24"/>
          <w:szCs w:val="24"/>
          <w:lang w:eastAsia="da-DK"/>
        </w:rPr>
        <w:t xml:space="preserve"> i form af en konventionel tablet. Atorvastatindosis kunne fordobles, hvis patienten ikke havde nået target-LDL-kolesterol på &lt; 3,35 mmol/l i uge 4, og hvis atorvastatin var veltolereret.</w:t>
      </w:r>
    </w:p>
    <w:p w:rsidR="001A1784" w:rsidRPr="005C338B"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p>
    <w:p w:rsidR="001A1784" w:rsidRPr="005C338B"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5C338B">
        <w:rPr>
          <w:spacing w:val="-3"/>
          <w:sz w:val="24"/>
          <w:szCs w:val="24"/>
          <w:lang w:eastAsia="da-DK"/>
        </w:rPr>
        <w:t>Gennemsnitsværdier for LDL-kolesterol, total-kolesterol, VLDL-kolesterol og apolipoprotein B faldt ved uge 2 hos alle forsøgspersoner. Hos de patienter, hvor dosis blev fordoblet, sås yderligere fald så tidligt som ved første evaluering 2 uger efter dosisøgning. Det gennemsnitlige procentvise fald i lipidparametre var ens for begge kohorter, uanset om forsøgspersonerne fik uændret initialdosis eller fik fordoblet initialdosis. Ved uge 8 var den gennemsnitlige procentvise ændring fra baseline i LDL-kolesterol og total-kolesterol hhv. ca. 40 % og 30 % over hele gruppen.</w:t>
      </w:r>
    </w:p>
    <w:p w:rsidR="001A1784" w:rsidRPr="005C338B"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p>
    <w:p w:rsidR="001A1784" w:rsidRPr="005C338B" w:rsidRDefault="001A1784" w:rsidP="001A1784">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5C338B">
        <w:rPr>
          <w:spacing w:val="-3"/>
          <w:sz w:val="24"/>
          <w:szCs w:val="24"/>
          <w:lang w:eastAsia="da-DK"/>
        </w:rPr>
        <w:t>I et andet open-label, enkeltarm klinisk forsøg, blev 271 piger og drenge i alderen 6-15 år med heterocygot familiær hyperkolesterolæmi behandlet med atorvastatin i op til 3 år. Inklusions</w:t>
      </w:r>
      <w:r w:rsidRPr="005C338B">
        <w:rPr>
          <w:spacing w:val="-3"/>
          <w:sz w:val="24"/>
          <w:szCs w:val="24"/>
          <w:lang w:eastAsia="da-DK"/>
        </w:rPr>
        <w:softHyphen/>
        <w:t xml:space="preserve">kriterier var bekræftet heterocygot familiær hyperkolesterolæmi og LDL-kolesterol ≥ 4 mmol/l (ca. 152 mg/dl) ved baseline. Det kliniske forsøg omfattede 139 børn i Tanner udviklingsstadie 1 (generelt i alderen 6-10 år). Initial atorvastatindosis var 5 mg (som tyggetablet) 1 gang </w:t>
      </w:r>
      <w:r>
        <w:rPr>
          <w:spacing w:val="-3"/>
          <w:sz w:val="24"/>
          <w:szCs w:val="24"/>
          <w:lang w:eastAsia="da-DK"/>
        </w:rPr>
        <w:t>daglig</w:t>
      </w:r>
      <w:r w:rsidRPr="005C338B">
        <w:rPr>
          <w:spacing w:val="-3"/>
          <w:sz w:val="24"/>
          <w:szCs w:val="24"/>
          <w:lang w:eastAsia="da-DK"/>
        </w:rPr>
        <w:t xml:space="preserve"> til børn under 10 år. Initial dosis til børn på 10 år eller derover var 10 mg atorvastatin 1 gang </w:t>
      </w:r>
      <w:r>
        <w:rPr>
          <w:spacing w:val="-3"/>
          <w:sz w:val="24"/>
          <w:szCs w:val="24"/>
          <w:lang w:eastAsia="da-DK"/>
        </w:rPr>
        <w:t>daglig</w:t>
      </w:r>
      <w:r w:rsidRPr="005C338B">
        <w:rPr>
          <w:spacing w:val="-3"/>
          <w:sz w:val="24"/>
          <w:szCs w:val="24"/>
          <w:lang w:eastAsia="da-DK"/>
        </w:rPr>
        <w:t>. Alle børn kunne optitreres til højere doser for at opnå et mål på &lt; 3,35 mmol/l LDL-kolesterol. Det vægtede gennemsnit for børn i alderen 6-9 år var 19,6 mg mens det for børn på 10 år og derover var 23,9 mg.</w:t>
      </w:r>
    </w:p>
    <w:p w:rsidR="001A1784" w:rsidRPr="005C338B" w:rsidRDefault="001A1784" w:rsidP="001A1784">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p>
    <w:p w:rsidR="001A1784" w:rsidRPr="005C338B" w:rsidRDefault="001A1784" w:rsidP="001A1784">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5C338B">
        <w:rPr>
          <w:spacing w:val="-3"/>
          <w:sz w:val="24"/>
          <w:szCs w:val="24"/>
          <w:lang w:eastAsia="da-DK"/>
        </w:rPr>
        <w:t>Den gennemsnitlige LDL-kolesterol ved baseline (+/- standardafvigelse) var 6,12 (1,26) mmol/l, hvilket svarer til ca. 233 (48) mg/dl. Se Tabel 3 herunder for alle resultater.</w:t>
      </w:r>
    </w:p>
    <w:p w:rsidR="001A1784" w:rsidRPr="005C338B" w:rsidRDefault="001A1784" w:rsidP="001A1784">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p>
    <w:p w:rsidR="001A1784" w:rsidRPr="005C338B" w:rsidRDefault="001A1784" w:rsidP="001A1784">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5C338B">
        <w:rPr>
          <w:spacing w:val="-3"/>
          <w:sz w:val="24"/>
          <w:szCs w:val="24"/>
          <w:lang w:eastAsia="da-DK"/>
        </w:rPr>
        <w:t xml:space="preserve">Data viste ingen virkning af atorvastatin på nogen af vækst- eller udviklingsparametrene (f.eks. højde, vægt, BMI, Tanner stadie og investigators vurdering af overordnet modning og udvikling) hos pædiatriske patienter med heterocygot familiær hyperkolesterolæmi, der blev </w:t>
      </w:r>
      <w:r w:rsidRPr="005C338B">
        <w:rPr>
          <w:spacing w:val="-3"/>
          <w:sz w:val="24"/>
          <w:szCs w:val="24"/>
          <w:lang w:eastAsia="da-DK"/>
        </w:rPr>
        <w:lastRenderedPageBreak/>
        <w:t>behandlet med atorvastatin i de 3 år det kliniske forsøg varede. Investigator fandt heller ingen påvirkning af højde, vægt, BMI i forhold til alder eller køn.</w:t>
      </w:r>
    </w:p>
    <w:p w:rsidR="001A1784" w:rsidRPr="005C338B" w:rsidRDefault="001A1784" w:rsidP="001A1784">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p>
    <w:p w:rsidR="001A1784" w:rsidRDefault="001A1784" w:rsidP="001A1784">
      <w:pPr>
        <w:keepNext/>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142"/>
        <w:outlineLvl w:val="0"/>
        <w:rPr>
          <w:spacing w:val="-3"/>
          <w:sz w:val="24"/>
          <w:szCs w:val="24"/>
          <w:lang w:eastAsia="da-DK"/>
        </w:rPr>
      </w:pPr>
      <w:r w:rsidRPr="005C338B">
        <w:rPr>
          <w:spacing w:val="-3"/>
          <w:sz w:val="24"/>
          <w:szCs w:val="24"/>
          <w:lang w:eastAsia="da-DK"/>
        </w:rPr>
        <w:t>Tabel 3. Lipidsænkende virkning af atorvastatin hos unge drenge og piger med heterocygot familiær hyperkolesterolæmi (mmol/l)</w:t>
      </w:r>
    </w:p>
    <w:p w:rsidR="001A1784" w:rsidRPr="005C338B" w:rsidRDefault="001A1784" w:rsidP="001A1784">
      <w:pPr>
        <w:keepNext/>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809"/>
        <w:gridCol w:w="1350"/>
        <w:gridCol w:w="1619"/>
        <w:gridCol w:w="1674"/>
        <w:gridCol w:w="1385"/>
        <w:gridCol w:w="1910"/>
      </w:tblGrid>
      <w:tr w:rsidR="001A1784" w:rsidRPr="00204C24" w:rsidTr="009726B8">
        <w:tc>
          <w:tcPr>
            <w:tcW w:w="1313" w:type="dxa"/>
            <w:hideMark/>
          </w:tcPr>
          <w:p w:rsidR="001A1784" w:rsidRPr="005C338B" w:rsidRDefault="001A1784" w:rsidP="009726B8">
            <w:pPr>
              <w:keepNext/>
              <w:ind w:left="29"/>
              <w:rPr>
                <w:b/>
                <w:i/>
                <w:sz w:val="22"/>
                <w:szCs w:val="22"/>
                <w:lang w:val="en-US"/>
              </w:rPr>
            </w:pPr>
            <w:r w:rsidRPr="005C338B">
              <w:rPr>
                <w:i/>
                <w:sz w:val="22"/>
                <w:szCs w:val="22"/>
                <w:lang w:val="en-US"/>
              </w:rPr>
              <w:t>Timepoint</w:t>
            </w:r>
          </w:p>
        </w:tc>
        <w:tc>
          <w:tcPr>
            <w:tcW w:w="809" w:type="dxa"/>
            <w:hideMark/>
          </w:tcPr>
          <w:p w:rsidR="001A1784" w:rsidRPr="005C338B" w:rsidRDefault="001A1784" w:rsidP="009726B8">
            <w:pPr>
              <w:keepNext/>
              <w:rPr>
                <w:b/>
                <w:sz w:val="22"/>
                <w:szCs w:val="22"/>
                <w:lang w:val="en-US"/>
              </w:rPr>
            </w:pPr>
            <w:r w:rsidRPr="005C338B">
              <w:rPr>
                <w:sz w:val="22"/>
                <w:szCs w:val="22"/>
                <w:lang w:val="en-US"/>
              </w:rPr>
              <w:t>N</w:t>
            </w:r>
          </w:p>
        </w:tc>
        <w:tc>
          <w:tcPr>
            <w:tcW w:w="1350" w:type="dxa"/>
            <w:hideMark/>
          </w:tcPr>
          <w:p w:rsidR="001A1784" w:rsidRPr="005C338B" w:rsidRDefault="001A1784" w:rsidP="009726B8">
            <w:pPr>
              <w:keepNext/>
              <w:rPr>
                <w:sz w:val="22"/>
                <w:szCs w:val="22"/>
                <w:lang w:val="en-US"/>
              </w:rPr>
            </w:pPr>
            <w:r w:rsidRPr="005C338B">
              <w:rPr>
                <w:sz w:val="22"/>
                <w:szCs w:val="22"/>
                <w:lang w:val="en-US"/>
              </w:rPr>
              <w:t>Total-kolesterol</w:t>
            </w:r>
          </w:p>
          <w:p w:rsidR="001A1784" w:rsidRPr="005C338B" w:rsidRDefault="001A1784" w:rsidP="009726B8">
            <w:pPr>
              <w:keepNext/>
              <w:rPr>
                <w:b/>
                <w:sz w:val="22"/>
                <w:szCs w:val="22"/>
                <w:lang w:val="en-US"/>
              </w:rPr>
            </w:pPr>
            <w:r w:rsidRPr="005C338B">
              <w:rPr>
                <w:sz w:val="22"/>
                <w:szCs w:val="22"/>
                <w:lang w:val="en-US"/>
              </w:rPr>
              <w:t>(enkelt dosis)</w:t>
            </w:r>
          </w:p>
        </w:tc>
        <w:tc>
          <w:tcPr>
            <w:tcW w:w="1619" w:type="dxa"/>
            <w:hideMark/>
          </w:tcPr>
          <w:p w:rsidR="001A1784" w:rsidRPr="005C338B" w:rsidRDefault="001A1784" w:rsidP="009726B8">
            <w:pPr>
              <w:keepNext/>
              <w:ind w:left="101"/>
              <w:rPr>
                <w:sz w:val="22"/>
                <w:szCs w:val="22"/>
                <w:lang w:val="en-US"/>
              </w:rPr>
            </w:pPr>
            <w:r w:rsidRPr="005C338B">
              <w:rPr>
                <w:sz w:val="22"/>
                <w:szCs w:val="22"/>
                <w:lang w:val="en-US"/>
              </w:rPr>
              <w:t>LDL-C</w:t>
            </w:r>
          </w:p>
          <w:p w:rsidR="001A1784" w:rsidRPr="005C338B" w:rsidRDefault="001A1784" w:rsidP="009726B8">
            <w:pPr>
              <w:keepNext/>
              <w:ind w:left="101"/>
              <w:rPr>
                <w:b/>
                <w:sz w:val="22"/>
                <w:szCs w:val="22"/>
                <w:lang w:val="en-US"/>
              </w:rPr>
            </w:pPr>
            <w:r w:rsidRPr="005C338B">
              <w:rPr>
                <w:sz w:val="22"/>
                <w:szCs w:val="22"/>
                <w:lang w:val="en-US"/>
              </w:rPr>
              <w:t>(enkelt dosis)</w:t>
            </w:r>
          </w:p>
        </w:tc>
        <w:tc>
          <w:tcPr>
            <w:tcW w:w="1674" w:type="dxa"/>
            <w:hideMark/>
          </w:tcPr>
          <w:p w:rsidR="001A1784" w:rsidRPr="005C338B" w:rsidRDefault="001A1784" w:rsidP="009726B8">
            <w:pPr>
              <w:keepNext/>
              <w:ind w:left="41"/>
              <w:rPr>
                <w:sz w:val="22"/>
                <w:szCs w:val="22"/>
                <w:lang w:val="en-US"/>
              </w:rPr>
            </w:pPr>
            <w:r w:rsidRPr="005C338B">
              <w:rPr>
                <w:sz w:val="22"/>
                <w:szCs w:val="22"/>
                <w:lang w:val="en-US"/>
              </w:rPr>
              <w:t>HDL-C</w:t>
            </w:r>
          </w:p>
          <w:p w:rsidR="001A1784" w:rsidRPr="005C338B" w:rsidRDefault="001A1784" w:rsidP="009726B8">
            <w:pPr>
              <w:keepNext/>
              <w:ind w:left="41"/>
              <w:rPr>
                <w:b/>
                <w:sz w:val="22"/>
                <w:szCs w:val="22"/>
                <w:lang w:val="en-US"/>
              </w:rPr>
            </w:pPr>
            <w:r w:rsidRPr="005C338B">
              <w:rPr>
                <w:sz w:val="22"/>
                <w:szCs w:val="22"/>
                <w:lang w:val="en-US"/>
              </w:rPr>
              <w:t>(enkelt dosis)</w:t>
            </w:r>
          </w:p>
        </w:tc>
        <w:tc>
          <w:tcPr>
            <w:tcW w:w="1385" w:type="dxa"/>
            <w:hideMark/>
          </w:tcPr>
          <w:p w:rsidR="001A1784" w:rsidRPr="005C338B" w:rsidRDefault="001A1784" w:rsidP="009726B8">
            <w:pPr>
              <w:keepNext/>
              <w:rPr>
                <w:b/>
                <w:sz w:val="22"/>
                <w:szCs w:val="22"/>
                <w:lang w:val="en-US"/>
              </w:rPr>
            </w:pPr>
            <w:proofErr w:type="gramStart"/>
            <w:r w:rsidRPr="005C338B">
              <w:rPr>
                <w:sz w:val="22"/>
                <w:szCs w:val="22"/>
                <w:lang w:val="en-US"/>
              </w:rPr>
              <w:t>Triglycerider(</w:t>
            </w:r>
            <w:proofErr w:type="gramEnd"/>
            <w:r w:rsidRPr="005C338B">
              <w:rPr>
                <w:sz w:val="22"/>
                <w:szCs w:val="22"/>
                <w:lang w:val="en-US"/>
              </w:rPr>
              <w:t>enkelt dosis)</w:t>
            </w:r>
          </w:p>
        </w:tc>
        <w:tc>
          <w:tcPr>
            <w:tcW w:w="1910" w:type="dxa"/>
            <w:hideMark/>
          </w:tcPr>
          <w:p w:rsidR="001A1784" w:rsidRPr="004541ED" w:rsidRDefault="001A1784" w:rsidP="009726B8">
            <w:pPr>
              <w:keepNext/>
              <w:ind w:left="-41"/>
              <w:rPr>
                <w:sz w:val="22"/>
                <w:szCs w:val="22"/>
                <w:lang w:val="de-DE"/>
              </w:rPr>
            </w:pPr>
            <w:r w:rsidRPr="004541ED">
              <w:rPr>
                <w:sz w:val="22"/>
                <w:szCs w:val="22"/>
                <w:lang w:val="de-DE"/>
              </w:rPr>
              <w:t>Apo</w:t>
            </w:r>
            <w:r w:rsidRPr="004541ED">
              <w:rPr>
                <w:sz w:val="22"/>
                <w:szCs w:val="22"/>
                <w:lang w:val="de-DE"/>
              </w:rPr>
              <w:softHyphen/>
              <w:t>lipo</w:t>
            </w:r>
            <w:r w:rsidRPr="004541ED">
              <w:rPr>
                <w:sz w:val="22"/>
                <w:szCs w:val="22"/>
                <w:lang w:val="de-DE"/>
              </w:rPr>
              <w:softHyphen/>
              <w:t xml:space="preserve">protein- B </w:t>
            </w:r>
          </w:p>
          <w:p w:rsidR="001A1784" w:rsidRPr="004541ED" w:rsidRDefault="001A1784" w:rsidP="009726B8">
            <w:pPr>
              <w:keepNext/>
              <w:ind w:left="-41"/>
              <w:rPr>
                <w:sz w:val="22"/>
                <w:szCs w:val="22"/>
                <w:lang w:val="de-DE"/>
              </w:rPr>
            </w:pPr>
            <w:r w:rsidRPr="004541ED">
              <w:rPr>
                <w:sz w:val="22"/>
                <w:szCs w:val="22"/>
                <w:lang w:val="de-DE"/>
              </w:rPr>
              <w:t>(enkelt dosis)</w:t>
            </w:r>
          </w:p>
          <w:p w:rsidR="001A1784" w:rsidRPr="004541ED" w:rsidRDefault="001A1784" w:rsidP="009726B8">
            <w:pPr>
              <w:keepNext/>
              <w:ind w:left="-41"/>
              <w:rPr>
                <w:sz w:val="22"/>
                <w:szCs w:val="22"/>
                <w:lang w:val="de-DE"/>
              </w:rPr>
            </w:pPr>
            <w:r w:rsidRPr="004541ED">
              <w:rPr>
                <w:sz w:val="22"/>
                <w:szCs w:val="22"/>
                <w:lang w:val="de-DE"/>
              </w:rPr>
              <w:t>g/l</w:t>
            </w:r>
          </w:p>
        </w:tc>
      </w:tr>
      <w:tr w:rsidR="001A1784" w:rsidRPr="005C338B" w:rsidTr="009726B8">
        <w:tc>
          <w:tcPr>
            <w:tcW w:w="1313" w:type="dxa"/>
            <w:hideMark/>
          </w:tcPr>
          <w:p w:rsidR="001A1784" w:rsidRPr="005C338B" w:rsidRDefault="001A1784" w:rsidP="009726B8">
            <w:pPr>
              <w:keepNext/>
              <w:ind w:left="29"/>
              <w:rPr>
                <w:b/>
                <w:i/>
                <w:sz w:val="22"/>
                <w:szCs w:val="22"/>
                <w:lang w:val="en-US"/>
              </w:rPr>
            </w:pPr>
            <w:r w:rsidRPr="005C338B">
              <w:rPr>
                <w:i/>
                <w:sz w:val="22"/>
                <w:szCs w:val="22"/>
                <w:lang w:val="en-US"/>
              </w:rPr>
              <w:t>Baseline</w:t>
            </w:r>
          </w:p>
        </w:tc>
        <w:tc>
          <w:tcPr>
            <w:tcW w:w="809" w:type="dxa"/>
            <w:hideMark/>
          </w:tcPr>
          <w:p w:rsidR="001A1784" w:rsidRPr="005C338B" w:rsidRDefault="001A1784" w:rsidP="009726B8">
            <w:pPr>
              <w:keepNext/>
              <w:ind w:left="851"/>
              <w:rPr>
                <w:b/>
                <w:sz w:val="22"/>
                <w:szCs w:val="22"/>
                <w:lang w:val="en-US"/>
              </w:rPr>
            </w:pPr>
            <w:r w:rsidRPr="005C338B">
              <w:rPr>
                <w:sz w:val="22"/>
                <w:szCs w:val="22"/>
                <w:lang w:val="en-US"/>
              </w:rPr>
              <w:t>271</w:t>
            </w:r>
          </w:p>
        </w:tc>
        <w:tc>
          <w:tcPr>
            <w:tcW w:w="1350" w:type="dxa"/>
            <w:hideMark/>
          </w:tcPr>
          <w:p w:rsidR="001A1784" w:rsidRPr="005C338B" w:rsidRDefault="001A1784" w:rsidP="009726B8">
            <w:pPr>
              <w:keepNext/>
              <w:rPr>
                <w:b/>
                <w:sz w:val="22"/>
                <w:szCs w:val="22"/>
                <w:lang w:val="en-US"/>
              </w:rPr>
            </w:pPr>
            <w:r w:rsidRPr="005C338B">
              <w:rPr>
                <w:sz w:val="22"/>
                <w:szCs w:val="22"/>
                <w:lang w:val="en-US"/>
              </w:rPr>
              <w:t>7,86 (1,30)</w:t>
            </w:r>
          </w:p>
        </w:tc>
        <w:tc>
          <w:tcPr>
            <w:tcW w:w="1619" w:type="dxa"/>
            <w:hideMark/>
          </w:tcPr>
          <w:p w:rsidR="001A1784" w:rsidRPr="005C338B" w:rsidRDefault="001A1784" w:rsidP="009726B8">
            <w:pPr>
              <w:keepNext/>
              <w:ind w:left="101"/>
              <w:rPr>
                <w:b/>
                <w:sz w:val="22"/>
                <w:szCs w:val="22"/>
                <w:lang w:val="en-US"/>
              </w:rPr>
            </w:pPr>
            <w:r w:rsidRPr="005C338B">
              <w:rPr>
                <w:sz w:val="22"/>
                <w:szCs w:val="22"/>
                <w:lang w:val="en-US"/>
              </w:rPr>
              <w:t>6,12 (1,26)</w:t>
            </w:r>
          </w:p>
        </w:tc>
        <w:tc>
          <w:tcPr>
            <w:tcW w:w="1674" w:type="dxa"/>
            <w:hideMark/>
          </w:tcPr>
          <w:p w:rsidR="001A1784" w:rsidRPr="005C338B" w:rsidRDefault="001A1784" w:rsidP="009726B8">
            <w:pPr>
              <w:keepNext/>
              <w:ind w:left="41"/>
              <w:rPr>
                <w:b/>
                <w:sz w:val="22"/>
                <w:szCs w:val="22"/>
                <w:lang w:val="en-US"/>
              </w:rPr>
            </w:pPr>
            <w:r w:rsidRPr="005C338B">
              <w:rPr>
                <w:sz w:val="22"/>
                <w:szCs w:val="22"/>
                <w:lang w:val="en-US"/>
              </w:rPr>
              <w:t>1,314 (0,2663)</w:t>
            </w:r>
          </w:p>
        </w:tc>
        <w:tc>
          <w:tcPr>
            <w:tcW w:w="1385" w:type="dxa"/>
            <w:hideMark/>
          </w:tcPr>
          <w:p w:rsidR="001A1784" w:rsidRPr="005C338B" w:rsidRDefault="001A1784" w:rsidP="009726B8">
            <w:pPr>
              <w:keepNext/>
              <w:rPr>
                <w:b/>
                <w:sz w:val="22"/>
                <w:szCs w:val="22"/>
                <w:lang w:val="en-US"/>
              </w:rPr>
            </w:pPr>
            <w:r w:rsidRPr="005C338B">
              <w:rPr>
                <w:sz w:val="22"/>
                <w:szCs w:val="22"/>
                <w:lang w:val="en-US"/>
              </w:rPr>
              <w:t>0,93 (0,47)</w:t>
            </w:r>
          </w:p>
        </w:tc>
        <w:tc>
          <w:tcPr>
            <w:tcW w:w="1910" w:type="dxa"/>
            <w:hideMark/>
          </w:tcPr>
          <w:p w:rsidR="001A1784" w:rsidRPr="005C338B" w:rsidRDefault="001A1784" w:rsidP="009726B8">
            <w:pPr>
              <w:keepNext/>
              <w:ind w:left="-41"/>
              <w:rPr>
                <w:b/>
                <w:sz w:val="22"/>
                <w:szCs w:val="22"/>
                <w:lang w:val="en-US"/>
              </w:rPr>
            </w:pPr>
            <w:r w:rsidRPr="005C338B">
              <w:rPr>
                <w:sz w:val="22"/>
                <w:szCs w:val="22"/>
                <w:lang w:val="en-US"/>
              </w:rPr>
              <w:t>1,42 (0,</w:t>
            </w:r>
            <w:proofErr w:type="gramStart"/>
            <w:r w:rsidRPr="005C338B">
              <w:rPr>
                <w:sz w:val="22"/>
                <w:szCs w:val="22"/>
                <w:lang w:val="en-US"/>
              </w:rPr>
              <w:t>28)*</w:t>
            </w:r>
            <w:proofErr w:type="gramEnd"/>
            <w:r w:rsidRPr="005C338B">
              <w:rPr>
                <w:sz w:val="22"/>
                <w:szCs w:val="22"/>
                <w:lang w:val="en-US"/>
              </w:rPr>
              <w:t>*</w:t>
            </w:r>
          </w:p>
        </w:tc>
      </w:tr>
      <w:tr w:rsidR="001A1784" w:rsidRPr="005C338B" w:rsidTr="009726B8">
        <w:tc>
          <w:tcPr>
            <w:tcW w:w="1313" w:type="dxa"/>
            <w:hideMark/>
          </w:tcPr>
          <w:p w:rsidR="001A1784" w:rsidRPr="005C338B" w:rsidRDefault="001A1784" w:rsidP="009726B8">
            <w:pPr>
              <w:keepNext/>
              <w:ind w:left="29"/>
              <w:rPr>
                <w:b/>
                <w:sz w:val="22"/>
                <w:szCs w:val="22"/>
                <w:lang w:val="en-US"/>
              </w:rPr>
            </w:pPr>
            <w:r w:rsidRPr="005C338B">
              <w:rPr>
                <w:sz w:val="22"/>
                <w:szCs w:val="22"/>
                <w:lang w:val="en-US"/>
              </w:rPr>
              <w:t>Måned 30</w:t>
            </w:r>
          </w:p>
        </w:tc>
        <w:tc>
          <w:tcPr>
            <w:tcW w:w="809" w:type="dxa"/>
            <w:hideMark/>
          </w:tcPr>
          <w:p w:rsidR="001A1784" w:rsidRPr="005C338B" w:rsidRDefault="001A1784" w:rsidP="009726B8">
            <w:pPr>
              <w:keepNext/>
              <w:ind w:left="851"/>
              <w:rPr>
                <w:b/>
                <w:sz w:val="22"/>
                <w:szCs w:val="22"/>
                <w:lang w:val="en-US"/>
              </w:rPr>
            </w:pPr>
            <w:r w:rsidRPr="005C338B">
              <w:rPr>
                <w:sz w:val="22"/>
                <w:szCs w:val="22"/>
                <w:lang w:val="en-US"/>
              </w:rPr>
              <w:t>206</w:t>
            </w:r>
          </w:p>
        </w:tc>
        <w:tc>
          <w:tcPr>
            <w:tcW w:w="1350" w:type="dxa"/>
            <w:hideMark/>
          </w:tcPr>
          <w:p w:rsidR="001A1784" w:rsidRPr="005C338B" w:rsidRDefault="001A1784" w:rsidP="009726B8">
            <w:pPr>
              <w:keepNext/>
              <w:rPr>
                <w:b/>
                <w:sz w:val="22"/>
                <w:szCs w:val="22"/>
                <w:lang w:val="en-US"/>
              </w:rPr>
            </w:pPr>
            <w:r w:rsidRPr="005C338B">
              <w:rPr>
                <w:sz w:val="22"/>
                <w:szCs w:val="22"/>
                <w:lang w:val="en-US"/>
              </w:rPr>
              <w:t>4,95 (0,</w:t>
            </w:r>
            <w:proofErr w:type="gramStart"/>
            <w:r w:rsidRPr="005C338B">
              <w:rPr>
                <w:sz w:val="22"/>
                <w:szCs w:val="22"/>
                <w:lang w:val="en-US"/>
              </w:rPr>
              <w:t>77)*</w:t>
            </w:r>
            <w:proofErr w:type="gramEnd"/>
          </w:p>
        </w:tc>
        <w:tc>
          <w:tcPr>
            <w:tcW w:w="1619" w:type="dxa"/>
            <w:hideMark/>
          </w:tcPr>
          <w:p w:rsidR="001A1784" w:rsidRPr="005C338B" w:rsidRDefault="001A1784" w:rsidP="009726B8">
            <w:pPr>
              <w:keepNext/>
              <w:ind w:left="101"/>
              <w:rPr>
                <w:b/>
                <w:sz w:val="22"/>
                <w:szCs w:val="22"/>
                <w:lang w:val="en-US"/>
              </w:rPr>
            </w:pPr>
            <w:r w:rsidRPr="005C338B">
              <w:rPr>
                <w:sz w:val="22"/>
                <w:szCs w:val="22"/>
                <w:lang w:val="en-US"/>
              </w:rPr>
              <w:t>3,25 (0,67)</w:t>
            </w:r>
          </w:p>
        </w:tc>
        <w:tc>
          <w:tcPr>
            <w:tcW w:w="1674" w:type="dxa"/>
            <w:hideMark/>
          </w:tcPr>
          <w:p w:rsidR="001A1784" w:rsidRPr="005C338B" w:rsidRDefault="001A1784" w:rsidP="009726B8">
            <w:pPr>
              <w:keepNext/>
              <w:ind w:left="41"/>
              <w:rPr>
                <w:b/>
                <w:sz w:val="22"/>
                <w:szCs w:val="22"/>
                <w:lang w:val="en-US"/>
              </w:rPr>
            </w:pPr>
            <w:r w:rsidRPr="005C338B">
              <w:rPr>
                <w:sz w:val="22"/>
                <w:szCs w:val="22"/>
                <w:lang w:val="en-US"/>
              </w:rPr>
              <w:t>1,327 (0,2796)</w:t>
            </w:r>
          </w:p>
        </w:tc>
        <w:tc>
          <w:tcPr>
            <w:tcW w:w="1385" w:type="dxa"/>
            <w:hideMark/>
          </w:tcPr>
          <w:p w:rsidR="001A1784" w:rsidRPr="005C338B" w:rsidRDefault="001A1784" w:rsidP="009726B8">
            <w:pPr>
              <w:keepNext/>
              <w:rPr>
                <w:b/>
                <w:sz w:val="22"/>
                <w:szCs w:val="22"/>
                <w:lang w:val="en-US"/>
              </w:rPr>
            </w:pPr>
            <w:r w:rsidRPr="005C338B">
              <w:rPr>
                <w:sz w:val="22"/>
                <w:szCs w:val="22"/>
                <w:lang w:val="en-US"/>
              </w:rPr>
              <w:t>0,79 (0,</w:t>
            </w:r>
            <w:proofErr w:type="gramStart"/>
            <w:r w:rsidRPr="005C338B">
              <w:rPr>
                <w:sz w:val="22"/>
                <w:szCs w:val="22"/>
                <w:lang w:val="en-US"/>
              </w:rPr>
              <w:t>38)*</w:t>
            </w:r>
            <w:proofErr w:type="gramEnd"/>
          </w:p>
        </w:tc>
        <w:tc>
          <w:tcPr>
            <w:tcW w:w="1910" w:type="dxa"/>
            <w:hideMark/>
          </w:tcPr>
          <w:p w:rsidR="001A1784" w:rsidRPr="005C338B" w:rsidRDefault="001A1784" w:rsidP="009726B8">
            <w:pPr>
              <w:keepNext/>
              <w:ind w:left="-41"/>
              <w:rPr>
                <w:b/>
                <w:sz w:val="22"/>
                <w:szCs w:val="22"/>
                <w:lang w:val="en-US"/>
              </w:rPr>
            </w:pPr>
            <w:r w:rsidRPr="005C338B">
              <w:rPr>
                <w:sz w:val="22"/>
                <w:szCs w:val="22"/>
                <w:lang w:val="en-US"/>
              </w:rPr>
              <w:t>0,90 (0,</w:t>
            </w:r>
            <w:proofErr w:type="gramStart"/>
            <w:r w:rsidRPr="005C338B">
              <w:rPr>
                <w:sz w:val="22"/>
                <w:szCs w:val="22"/>
                <w:lang w:val="en-US"/>
              </w:rPr>
              <w:t>17)*</w:t>
            </w:r>
            <w:proofErr w:type="gramEnd"/>
          </w:p>
        </w:tc>
      </w:tr>
      <w:tr w:rsidR="001A1784" w:rsidRPr="005C338B" w:rsidTr="009726B8">
        <w:tc>
          <w:tcPr>
            <w:tcW w:w="1313" w:type="dxa"/>
            <w:hideMark/>
          </w:tcPr>
          <w:p w:rsidR="001A1784" w:rsidRPr="005C338B" w:rsidRDefault="001A1784" w:rsidP="009726B8">
            <w:pPr>
              <w:keepNext/>
              <w:ind w:left="29"/>
              <w:rPr>
                <w:b/>
                <w:sz w:val="22"/>
                <w:szCs w:val="22"/>
                <w:lang w:val="en-US"/>
              </w:rPr>
            </w:pPr>
            <w:r w:rsidRPr="005C338B">
              <w:rPr>
                <w:sz w:val="22"/>
                <w:szCs w:val="22"/>
                <w:lang w:val="en-US"/>
              </w:rPr>
              <w:t>Måned 36/ET</w:t>
            </w:r>
          </w:p>
        </w:tc>
        <w:tc>
          <w:tcPr>
            <w:tcW w:w="809" w:type="dxa"/>
            <w:hideMark/>
          </w:tcPr>
          <w:p w:rsidR="001A1784" w:rsidRPr="005C338B" w:rsidRDefault="001A1784" w:rsidP="009726B8">
            <w:pPr>
              <w:keepNext/>
              <w:ind w:left="851"/>
              <w:rPr>
                <w:b/>
                <w:sz w:val="22"/>
                <w:szCs w:val="22"/>
                <w:lang w:val="en-US"/>
              </w:rPr>
            </w:pPr>
            <w:r w:rsidRPr="005C338B">
              <w:rPr>
                <w:sz w:val="22"/>
                <w:szCs w:val="22"/>
                <w:lang w:val="en-US"/>
              </w:rPr>
              <w:t>240</w:t>
            </w:r>
          </w:p>
        </w:tc>
        <w:tc>
          <w:tcPr>
            <w:tcW w:w="1350" w:type="dxa"/>
            <w:hideMark/>
          </w:tcPr>
          <w:p w:rsidR="001A1784" w:rsidRPr="005C338B" w:rsidRDefault="001A1784" w:rsidP="009726B8">
            <w:pPr>
              <w:keepNext/>
              <w:rPr>
                <w:b/>
                <w:sz w:val="22"/>
                <w:szCs w:val="22"/>
                <w:lang w:val="en-US"/>
              </w:rPr>
            </w:pPr>
            <w:r w:rsidRPr="005C338B">
              <w:rPr>
                <w:sz w:val="22"/>
                <w:szCs w:val="22"/>
                <w:lang w:val="en-US"/>
              </w:rPr>
              <w:t>5,12 (0,86)</w:t>
            </w:r>
          </w:p>
        </w:tc>
        <w:tc>
          <w:tcPr>
            <w:tcW w:w="1619" w:type="dxa"/>
            <w:hideMark/>
          </w:tcPr>
          <w:p w:rsidR="001A1784" w:rsidRPr="005C338B" w:rsidRDefault="001A1784" w:rsidP="009726B8">
            <w:pPr>
              <w:keepNext/>
              <w:ind w:left="101"/>
              <w:rPr>
                <w:b/>
                <w:sz w:val="22"/>
                <w:szCs w:val="22"/>
                <w:lang w:val="en-US"/>
              </w:rPr>
            </w:pPr>
            <w:r w:rsidRPr="005C338B">
              <w:rPr>
                <w:sz w:val="22"/>
                <w:szCs w:val="22"/>
                <w:lang w:val="en-US"/>
              </w:rPr>
              <w:t>3,45 (0,81)</w:t>
            </w:r>
          </w:p>
        </w:tc>
        <w:tc>
          <w:tcPr>
            <w:tcW w:w="1674" w:type="dxa"/>
            <w:hideMark/>
          </w:tcPr>
          <w:p w:rsidR="001A1784" w:rsidRPr="005C338B" w:rsidRDefault="001A1784" w:rsidP="009726B8">
            <w:pPr>
              <w:keepNext/>
              <w:ind w:left="41"/>
              <w:rPr>
                <w:b/>
                <w:sz w:val="22"/>
                <w:szCs w:val="22"/>
                <w:lang w:val="en-US"/>
              </w:rPr>
            </w:pPr>
            <w:r w:rsidRPr="005C338B">
              <w:rPr>
                <w:sz w:val="22"/>
                <w:szCs w:val="22"/>
                <w:lang w:val="en-US"/>
              </w:rPr>
              <w:t>1,308 (0,2739)</w:t>
            </w:r>
          </w:p>
        </w:tc>
        <w:tc>
          <w:tcPr>
            <w:tcW w:w="1385" w:type="dxa"/>
            <w:hideMark/>
          </w:tcPr>
          <w:p w:rsidR="001A1784" w:rsidRPr="005C338B" w:rsidRDefault="001A1784" w:rsidP="009726B8">
            <w:pPr>
              <w:keepNext/>
              <w:rPr>
                <w:b/>
                <w:sz w:val="22"/>
                <w:szCs w:val="22"/>
                <w:lang w:val="en-US"/>
              </w:rPr>
            </w:pPr>
            <w:r w:rsidRPr="005C338B">
              <w:rPr>
                <w:sz w:val="22"/>
                <w:szCs w:val="22"/>
                <w:lang w:val="en-US"/>
              </w:rPr>
              <w:t>0,78 (0,41)</w:t>
            </w:r>
          </w:p>
        </w:tc>
        <w:tc>
          <w:tcPr>
            <w:tcW w:w="1910" w:type="dxa"/>
            <w:hideMark/>
          </w:tcPr>
          <w:p w:rsidR="001A1784" w:rsidRPr="005C338B" w:rsidRDefault="001A1784" w:rsidP="009726B8">
            <w:pPr>
              <w:keepNext/>
              <w:ind w:left="-41"/>
              <w:rPr>
                <w:b/>
                <w:sz w:val="22"/>
                <w:szCs w:val="22"/>
                <w:lang w:val="en-US"/>
              </w:rPr>
            </w:pPr>
            <w:r w:rsidRPr="005C338B">
              <w:rPr>
                <w:sz w:val="22"/>
                <w:szCs w:val="22"/>
                <w:lang w:val="en-US"/>
              </w:rPr>
              <w:t>0,93 (0,</w:t>
            </w:r>
            <w:proofErr w:type="gramStart"/>
            <w:r w:rsidRPr="005C338B">
              <w:rPr>
                <w:sz w:val="22"/>
                <w:szCs w:val="22"/>
                <w:lang w:val="en-US"/>
              </w:rPr>
              <w:t>20)*</w:t>
            </w:r>
            <w:proofErr w:type="gramEnd"/>
            <w:r w:rsidRPr="005C338B">
              <w:rPr>
                <w:sz w:val="22"/>
                <w:szCs w:val="22"/>
                <w:lang w:val="en-US"/>
              </w:rPr>
              <w:t>**</w:t>
            </w:r>
          </w:p>
        </w:tc>
      </w:tr>
      <w:tr w:rsidR="001A1784" w:rsidRPr="005C338B" w:rsidTr="009726B8">
        <w:tc>
          <w:tcPr>
            <w:tcW w:w="10060" w:type="dxa"/>
            <w:gridSpan w:val="7"/>
            <w:hideMark/>
          </w:tcPr>
          <w:p w:rsidR="001A1784" w:rsidRPr="005C338B" w:rsidRDefault="00F160D6" w:rsidP="009726B8">
            <w:pPr>
              <w:keepNext/>
              <w:ind w:left="29"/>
              <w:rPr>
                <w:sz w:val="18"/>
                <w:szCs w:val="18"/>
              </w:rPr>
            </w:pPr>
            <w:r>
              <w:t>LDL-C=low density lipoprotein cholesterol-C; HDL-C=High density lipoprotein cholesterol-C;</w:t>
            </w:r>
            <w:r>
              <w:rPr>
                <w:sz w:val="18"/>
                <w:szCs w:val="18"/>
              </w:rPr>
              <w:t xml:space="preserve"> </w:t>
            </w:r>
            <w:r w:rsidR="001A1784" w:rsidRPr="005C338B">
              <w:rPr>
                <w:sz w:val="18"/>
                <w:szCs w:val="18"/>
              </w:rPr>
              <w:t xml:space="preserve">Måned 36/ET= omfatter data for sidste besøg for patienter, der stoppede inden de planlagte 36 måneder såvel som data for patienter, der deltog i alle 36 måneder af det kliniske forsøg. </w:t>
            </w:r>
          </w:p>
          <w:p w:rsidR="001A1784" w:rsidRPr="005C338B" w:rsidRDefault="001A1784" w:rsidP="009726B8">
            <w:pPr>
              <w:keepNext/>
              <w:ind w:left="29"/>
              <w:rPr>
                <w:sz w:val="18"/>
                <w:szCs w:val="18"/>
              </w:rPr>
            </w:pPr>
            <w:r w:rsidRPr="005C338B">
              <w:rPr>
                <w:sz w:val="18"/>
                <w:szCs w:val="18"/>
              </w:rPr>
              <w:t>* N for denne parameter var 207</w:t>
            </w:r>
          </w:p>
          <w:p w:rsidR="001A1784" w:rsidRPr="005C338B" w:rsidRDefault="001A1784" w:rsidP="009726B8">
            <w:pPr>
              <w:keepNext/>
              <w:ind w:left="29"/>
              <w:rPr>
                <w:sz w:val="18"/>
                <w:szCs w:val="18"/>
              </w:rPr>
            </w:pPr>
            <w:r w:rsidRPr="005C338B">
              <w:rPr>
                <w:sz w:val="18"/>
                <w:szCs w:val="18"/>
              </w:rPr>
              <w:t>** N for denne parameter var 270</w:t>
            </w:r>
          </w:p>
          <w:p w:rsidR="001A1784" w:rsidRPr="005C338B" w:rsidRDefault="001A1784" w:rsidP="009726B8">
            <w:pPr>
              <w:keepNext/>
              <w:ind w:left="29"/>
              <w:rPr>
                <w:b/>
                <w:sz w:val="18"/>
                <w:szCs w:val="18"/>
              </w:rPr>
            </w:pPr>
            <w:r w:rsidRPr="005C338B">
              <w:rPr>
                <w:sz w:val="18"/>
                <w:szCs w:val="18"/>
              </w:rPr>
              <w:t>*** N for denne parameter var 243</w:t>
            </w:r>
          </w:p>
        </w:tc>
      </w:tr>
    </w:tbl>
    <w:p w:rsidR="001A1784" w:rsidRPr="005C338B"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p>
    <w:p w:rsidR="001A1784" w:rsidRPr="005C338B"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i/>
          <w:spacing w:val="-3"/>
          <w:sz w:val="24"/>
          <w:szCs w:val="24"/>
          <w:lang w:eastAsia="da-DK"/>
        </w:rPr>
      </w:pPr>
      <w:r w:rsidRPr="005C338B">
        <w:rPr>
          <w:i/>
          <w:spacing w:val="-3"/>
          <w:sz w:val="24"/>
          <w:szCs w:val="24"/>
          <w:lang w:eastAsia="da-DK"/>
        </w:rPr>
        <w:t>Heterozygot familiær hyperkolesterolæmi hos pædiatriske patienter i alderen 10-17 år</w:t>
      </w:r>
    </w:p>
    <w:p w:rsidR="001A1784" w:rsidRPr="005C338B"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5C338B">
        <w:rPr>
          <w:spacing w:val="-3"/>
          <w:sz w:val="24"/>
          <w:szCs w:val="24"/>
          <w:lang w:eastAsia="da-DK"/>
        </w:rPr>
        <w:t xml:space="preserve">I et dobbelt-blindet, placebokontrolleret klinisk forsøg efterfulgt af en periode med open-label blev 187 drenge og piger (der havde fået første menstruation) i alderen 10-17 år (gennemsnit 14,1 år) med heterozygot familiær hyperkolesterolæmi eller svær hyperkolesterolæmi randomiseret til enten atorvastatin (n=140) eller placebo (n=47) i 26 uger, hvorefter alle fik atorvastatin i 26 uger. Atorvastatin-dosis var 10 mg 1 gang </w:t>
      </w:r>
      <w:r>
        <w:rPr>
          <w:spacing w:val="-3"/>
          <w:sz w:val="24"/>
          <w:szCs w:val="24"/>
          <w:lang w:eastAsia="da-DK"/>
        </w:rPr>
        <w:t>daglig</w:t>
      </w:r>
      <w:r w:rsidRPr="005C338B">
        <w:rPr>
          <w:spacing w:val="-3"/>
          <w:sz w:val="24"/>
          <w:szCs w:val="24"/>
          <w:lang w:eastAsia="da-DK"/>
        </w:rPr>
        <w:t xml:space="preserve"> i de første 4 uger og derefter titreret til 20 mg, hvis LDL-kolesterol var &gt; 3,36 mmol/l. Atorvastatin sænkede signifikant total-kolesterol, LDL-kolesterol, triglycerider og apolipoprotein B i de første 26 uger (dobbelt-blindede fase). Gennemsnitlig LDL-kolesterol på 3,38 mmol/l (1,81-6,26 mmol/l) i atorvastatingruppen sammenlignet med 5,91 mmol/l (3,93-9,96 mmol/l) i placebogruppen blev nået i løbet af de første 26 uger (dobbelt-blindede fase).</w:t>
      </w:r>
    </w:p>
    <w:p w:rsidR="001A1784" w:rsidRPr="005C338B"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5C338B">
        <w:rPr>
          <w:spacing w:val="-3"/>
          <w:sz w:val="24"/>
          <w:szCs w:val="24"/>
          <w:lang w:eastAsia="da-DK"/>
        </w:rPr>
        <w:t>Yderligere et pædiatrisk forsøg sammenlignede atorvastatin med colestipol hos patienter i alderen 10-18 år med hyperkolesterolæmi. Dette forsøg viste, at atorvastatin (n=25) gav en singnifikant reduktion af LDL-kolesterol ved uge 26 (p&lt;0,05) sammenlignet med colestipol (n=31).</w:t>
      </w:r>
    </w:p>
    <w:p w:rsidR="001A1784" w:rsidRPr="005C338B" w:rsidRDefault="001A1784" w:rsidP="001A1784">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p>
    <w:p w:rsidR="001A1784" w:rsidRPr="005C338B" w:rsidRDefault="001A1784" w:rsidP="001A1784">
      <w:pPr>
        <w:ind w:left="851"/>
        <w:rPr>
          <w:sz w:val="24"/>
          <w:szCs w:val="24"/>
          <w:lang w:eastAsia="da-DK"/>
        </w:rPr>
      </w:pPr>
      <w:r w:rsidRPr="005C338B">
        <w:rPr>
          <w:sz w:val="24"/>
          <w:szCs w:val="24"/>
          <w:lang w:eastAsia="da-DK"/>
        </w:rPr>
        <w:t>Et særligt klinisk program (”</w:t>
      </w:r>
      <w:r w:rsidRPr="005C338B">
        <w:rPr>
          <w:bCs/>
          <w:sz w:val="24"/>
          <w:szCs w:val="24"/>
          <w:lang w:eastAsia="da-DK"/>
        </w:rPr>
        <w:t>compassionate</w:t>
      </w:r>
      <w:r w:rsidRPr="005C338B">
        <w:rPr>
          <w:sz w:val="24"/>
          <w:szCs w:val="24"/>
          <w:lang w:eastAsia="da-DK"/>
        </w:rPr>
        <w:t xml:space="preserve"> </w:t>
      </w:r>
      <w:r w:rsidRPr="005C338B">
        <w:rPr>
          <w:bCs/>
          <w:sz w:val="24"/>
          <w:szCs w:val="24"/>
          <w:lang w:eastAsia="da-DK"/>
        </w:rPr>
        <w:t>use</w:t>
      </w:r>
      <w:r w:rsidRPr="005C338B">
        <w:rPr>
          <w:sz w:val="24"/>
          <w:szCs w:val="24"/>
          <w:lang w:eastAsia="da-DK"/>
        </w:rPr>
        <w:t xml:space="preserve">”) med patienter med svær hyperkolesterolæmi (inklusive homozygot hyperkolesterolæmi) omfattede 46 pædiatriske patienter behandlet med atorvastatin titreret til respons (nogle patienter fik 80 mg atorvastatin </w:t>
      </w:r>
      <w:r>
        <w:rPr>
          <w:sz w:val="24"/>
          <w:szCs w:val="24"/>
          <w:lang w:eastAsia="da-DK"/>
        </w:rPr>
        <w:t>daglig</w:t>
      </w:r>
      <w:r w:rsidRPr="005C338B">
        <w:rPr>
          <w:sz w:val="24"/>
          <w:szCs w:val="24"/>
          <w:lang w:eastAsia="da-DK"/>
        </w:rPr>
        <w:t>). Programmet kørte over 3 år. LDL-kolesterol blev sænket med 36 %.</w:t>
      </w:r>
    </w:p>
    <w:p w:rsidR="001A1784" w:rsidRPr="005C338B" w:rsidRDefault="001A1784" w:rsidP="001A1784">
      <w:pPr>
        <w:ind w:left="851"/>
        <w:rPr>
          <w:sz w:val="24"/>
          <w:szCs w:val="24"/>
          <w:lang w:eastAsia="da-DK"/>
        </w:rPr>
      </w:pPr>
    </w:p>
    <w:p w:rsidR="001A1784" w:rsidRPr="005C338B" w:rsidRDefault="001A1784" w:rsidP="001A1784">
      <w:pPr>
        <w:ind w:left="851"/>
        <w:rPr>
          <w:sz w:val="24"/>
          <w:szCs w:val="24"/>
          <w:lang w:eastAsia="da-DK"/>
        </w:rPr>
      </w:pPr>
      <w:r w:rsidRPr="005C338B">
        <w:rPr>
          <w:sz w:val="24"/>
          <w:szCs w:val="24"/>
          <w:lang w:eastAsia="da-DK"/>
        </w:rPr>
        <w:t>Langtidsvirkninger af atorvastatinbehandling hos børn og unge til reduktion af morbiditet og mortalitet i voksenalderen er ikke undersøgt.</w:t>
      </w:r>
    </w:p>
    <w:p w:rsidR="001A1784" w:rsidRPr="005C338B" w:rsidRDefault="001A1784" w:rsidP="001A1784">
      <w:pPr>
        <w:ind w:left="851"/>
        <w:rPr>
          <w:sz w:val="24"/>
          <w:szCs w:val="24"/>
          <w:lang w:eastAsia="da-DK"/>
        </w:rPr>
      </w:pPr>
    </w:p>
    <w:p w:rsidR="001A1784" w:rsidRPr="00F60275" w:rsidRDefault="001A1784" w:rsidP="001A1784">
      <w:pPr>
        <w:ind w:left="851"/>
        <w:rPr>
          <w:spacing w:val="-3"/>
          <w:sz w:val="24"/>
          <w:szCs w:val="24"/>
          <w:lang w:eastAsia="da-DK"/>
        </w:rPr>
      </w:pPr>
      <w:r w:rsidRPr="005C338B">
        <w:rPr>
          <w:noProof/>
          <w:sz w:val="24"/>
          <w:szCs w:val="24"/>
          <w:lang w:eastAsia="da-DK"/>
        </w:rPr>
        <w:t xml:space="preserve">Det europæiske Lægemiddelagentur (EMA) </w:t>
      </w:r>
      <w:r w:rsidRPr="005C338B">
        <w:rPr>
          <w:rFonts w:eastAsia="SimSun"/>
          <w:sz w:val="24"/>
          <w:szCs w:val="24"/>
          <w:lang w:eastAsia="zh-CN"/>
        </w:rPr>
        <w:t xml:space="preserve">har dispenseret fra kravet om fremlæggelse af resultaterne fra studier med atorvastatin hos børn i alderen 0-6 år til behandling af heterozygot hyperkolesterolæmi og hos børn i alderen 0-18 år til behandling af homozygot </w:t>
      </w:r>
      <w:r w:rsidRPr="005C338B">
        <w:rPr>
          <w:rFonts w:eastAsia="SimSun"/>
          <w:sz w:val="24"/>
          <w:szCs w:val="24"/>
          <w:lang w:eastAsia="zh-CN"/>
        </w:rPr>
        <w:lastRenderedPageBreak/>
        <w:t>familiær hyperkolesterolæmi, kombineret hyperkolesterolæmi, primær hyperkolesterolæmi og til forebyggelse af kardiovaskulære hændelser (se pkt. 4.2 for information om pædiatrisk anvendelse).</w:t>
      </w:r>
    </w:p>
    <w:p w:rsidR="001A1784" w:rsidRPr="00C84483" w:rsidRDefault="001A1784" w:rsidP="001A1784">
      <w:pPr>
        <w:tabs>
          <w:tab w:val="left" w:pos="851"/>
        </w:tabs>
        <w:ind w:left="851"/>
        <w:rPr>
          <w:sz w:val="24"/>
          <w:szCs w:val="24"/>
        </w:rPr>
      </w:pPr>
    </w:p>
    <w:p w:rsidR="001A1784" w:rsidRPr="00F63265" w:rsidRDefault="001A1784" w:rsidP="00F63265">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1A1784" w:rsidRPr="006E2DEA"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u w:val="single"/>
          <w:lang w:eastAsia="da-DK"/>
        </w:rPr>
      </w:pPr>
      <w:r w:rsidRPr="006E2DEA">
        <w:rPr>
          <w:spacing w:val="-3"/>
          <w:sz w:val="24"/>
          <w:szCs w:val="24"/>
          <w:u w:val="single"/>
          <w:lang w:eastAsia="da-DK"/>
        </w:rPr>
        <w:t xml:space="preserve">Absorption </w:t>
      </w:r>
    </w:p>
    <w:p w:rsidR="001A1784" w:rsidRPr="006E2DEA"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E2DEA">
        <w:rPr>
          <w:spacing w:val="-3"/>
          <w:sz w:val="24"/>
          <w:szCs w:val="24"/>
          <w:lang w:eastAsia="da-DK"/>
        </w:rPr>
        <w:t>Atorvastatin absorberes hurtigt efter oral indgift; maksimal plamakoncentration (C</w:t>
      </w:r>
      <w:r w:rsidRPr="006E2DEA">
        <w:rPr>
          <w:spacing w:val="-3"/>
          <w:sz w:val="24"/>
          <w:szCs w:val="24"/>
          <w:vertAlign w:val="subscript"/>
          <w:lang w:eastAsia="da-DK"/>
        </w:rPr>
        <w:t>max</w:t>
      </w:r>
      <w:r w:rsidRPr="006E2DEA">
        <w:rPr>
          <w:spacing w:val="-3"/>
          <w:sz w:val="24"/>
          <w:szCs w:val="24"/>
          <w:lang w:eastAsia="da-DK"/>
        </w:rPr>
        <w:t>) nås inden for 1-2 timer. Mængden, der absorberes, øges proportionalt med atorvastatindosis. Biotilgængeligheden af atorvastatin filmovertrukne tabletter er 95-99 % sammenlignet med oral opløsning. Den absolutte biotilgængelighed af atorvastatin er ca. 12 %, og den systemiske tilgængelighed af den HMG-CoA-reduktasehæmmende aktivitet er ca. 30 %. Den lave systemiske tilgængelighed tilskrives præsystemisk clearance i gastro</w:t>
      </w:r>
      <w:r w:rsidRPr="006E2DEA">
        <w:rPr>
          <w:spacing w:val="-3"/>
          <w:sz w:val="24"/>
          <w:szCs w:val="24"/>
          <w:lang w:eastAsia="da-DK"/>
        </w:rPr>
        <w:softHyphen/>
        <w:t>intestinalslimhinden og/eller first-pass metabolisme i leveren.</w:t>
      </w:r>
    </w:p>
    <w:p w:rsidR="001A1784" w:rsidRPr="006E2DEA"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b/>
          <w:spacing w:val="-3"/>
          <w:sz w:val="24"/>
          <w:szCs w:val="24"/>
          <w:lang w:eastAsia="da-DK"/>
        </w:rPr>
      </w:pPr>
    </w:p>
    <w:p w:rsidR="001A1784" w:rsidRPr="006E2DEA"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u w:val="single"/>
          <w:lang w:eastAsia="da-DK"/>
        </w:rPr>
      </w:pPr>
      <w:r w:rsidRPr="006E2DEA">
        <w:rPr>
          <w:spacing w:val="-3"/>
          <w:sz w:val="24"/>
          <w:szCs w:val="24"/>
          <w:u w:val="single"/>
          <w:lang w:eastAsia="da-DK"/>
        </w:rPr>
        <w:t xml:space="preserve">Fordeling </w:t>
      </w:r>
    </w:p>
    <w:p w:rsidR="001A1784" w:rsidRPr="006E2DEA"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E2DEA">
        <w:rPr>
          <w:spacing w:val="-3"/>
          <w:sz w:val="24"/>
          <w:szCs w:val="24"/>
          <w:lang w:eastAsia="da-DK"/>
        </w:rPr>
        <w:t xml:space="preserve">Atorvastatins gennemsnitlige fordelingsvolumen er ca. 381 l. Atorvastatin er bundet </w:t>
      </w:r>
      <w:r w:rsidRPr="006E2DEA">
        <w:rPr>
          <w:spacing w:val="-3"/>
          <w:sz w:val="24"/>
          <w:szCs w:val="24"/>
          <w:lang w:eastAsia="da-DK"/>
        </w:rPr>
        <w:sym w:font="Symbol" w:char="F0B3"/>
      </w:r>
      <w:r w:rsidRPr="006E2DEA">
        <w:rPr>
          <w:spacing w:val="-3"/>
          <w:sz w:val="24"/>
          <w:szCs w:val="24"/>
          <w:lang w:eastAsia="da-DK"/>
        </w:rPr>
        <w:t>98 % til plasmaproteiner.</w:t>
      </w:r>
    </w:p>
    <w:p w:rsidR="001A1784" w:rsidRPr="006E2DEA"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b/>
          <w:spacing w:val="-3"/>
          <w:sz w:val="24"/>
          <w:szCs w:val="24"/>
          <w:lang w:eastAsia="da-DK"/>
        </w:rPr>
      </w:pPr>
    </w:p>
    <w:p w:rsidR="001A1784" w:rsidRPr="006E2DEA"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b/>
          <w:spacing w:val="-3"/>
          <w:sz w:val="24"/>
          <w:szCs w:val="24"/>
          <w:u w:val="single"/>
          <w:lang w:eastAsia="da-DK"/>
        </w:rPr>
      </w:pPr>
      <w:r w:rsidRPr="006E2DEA">
        <w:rPr>
          <w:spacing w:val="-3"/>
          <w:sz w:val="24"/>
          <w:szCs w:val="24"/>
          <w:u w:val="single"/>
          <w:lang w:eastAsia="da-DK"/>
        </w:rPr>
        <w:t>Biotransformation</w:t>
      </w:r>
    </w:p>
    <w:p w:rsidR="001A1784" w:rsidRPr="006E2DEA"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E2DEA">
        <w:rPr>
          <w:spacing w:val="-3"/>
          <w:sz w:val="24"/>
          <w:szCs w:val="24"/>
          <w:lang w:eastAsia="da-DK"/>
        </w:rPr>
        <w:t xml:space="preserve">Atorvastatin metaboliseres via cytokrom P450 3A4 til ortho- og parahydroxylerede derivater og forskellige beta-oxidationsprodukter. Uafhængigt af andre omsætningsveje metaboliseres disse produkter yderligere via glucuronidering. </w:t>
      </w:r>
      <w:r w:rsidRPr="006E2DEA">
        <w:rPr>
          <w:i/>
          <w:spacing w:val="-3"/>
          <w:sz w:val="24"/>
          <w:szCs w:val="24"/>
          <w:lang w:eastAsia="da-DK"/>
        </w:rPr>
        <w:t>In vitro</w:t>
      </w:r>
      <w:r w:rsidRPr="006E2DEA">
        <w:rPr>
          <w:spacing w:val="-3"/>
          <w:sz w:val="24"/>
          <w:szCs w:val="24"/>
          <w:lang w:eastAsia="da-DK"/>
        </w:rPr>
        <w:t xml:space="preserve"> hæmmer ortho- og parahydroxylerede metabolitter HMG-CoA-reduktase i samme grad som atorvastatin. Ca. 70 % af hæmningen af HMG-CoA-reduktase tilskrives aktive metabolitter.</w:t>
      </w:r>
    </w:p>
    <w:p w:rsidR="001A1784" w:rsidRPr="006E2DEA"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b/>
          <w:spacing w:val="-3"/>
          <w:sz w:val="24"/>
          <w:szCs w:val="24"/>
          <w:lang w:eastAsia="da-DK"/>
        </w:rPr>
      </w:pPr>
    </w:p>
    <w:p w:rsidR="001A1784" w:rsidRPr="006E2DEA" w:rsidRDefault="001A1784" w:rsidP="001A1784">
      <w:pPr>
        <w:keepNext/>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b/>
          <w:spacing w:val="-3"/>
          <w:sz w:val="24"/>
          <w:szCs w:val="24"/>
          <w:u w:val="single"/>
          <w:lang w:eastAsia="da-DK"/>
        </w:rPr>
      </w:pPr>
      <w:r w:rsidRPr="006E2DEA">
        <w:rPr>
          <w:spacing w:val="-3"/>
          <w:sz w:val="24"/>
          <w:szCs w:val="24"/>
          <w:u w:val="single"/>
          <w:lang w:eastAsia="da-DK"/>
        </w:rPr>
        <w:t>Elimination</w:t>
      </w:r>
    </w:p>
    <w:p w:rsidR="001A1784" w:rsidRDefault="001A1784" w:rsidP="001A1784">
      <w:pPr>
        <w:keepNext/>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Pr>
          <w:spacing w:val="-3"/>
          <w:sz w:val="24"/>
          <w:szCs w:val="24"/>
          <w:lang w:eastAsia="da-DK"/>
        </w:rPr>
        <w:t>Atorvastatin er substrat for levertransportørerne, det organiske aniontransporterende polypeptid 1B1 (OATP1B1) og 1B3 (OATP1B</w:t>
      </w:r>
      <w:proofErr w:type="gramStart"/>
      <w:r>
        <w:rPr>
          <w:spacing w:val="-3"/>
          <w:sz w:val="24"/>
          <w:szCs w:val="24"/>
          <w:lang w:eastAsia="da-DK"/>
        </w:rPr>
        <w:t>3)-</w:t>
      </w:r>
      <w:proofErr w:type="gramEnd"/>
      <w:r>
        <w:rPr>
          <w:spacing w:val="-3"/>
          <w:sz w:val="24"/>
          <w:szCs w:val="24"/>
          <w:lang w:eastAsia="da-DK"/>
        </w:rPr>
        <w:t>transportøren. Metabolitter af atorvastatin er substrater for OATP1B1. Atorvastatin er også identificeret som substrat for effluxtransportører</w:t>
      </w:r>
      <w:r w:rsidR="00F160D6">
        <w:rPr>
          <w:spacing w:val="-3"/>
          <w:sz w:val="24"/>
          <w:szCs w:val="24"/>
          <w:lang w:eastAsia="da-DK"/>
        </w:rPr>
        <w:t xml:space="preserve"> P-glycoprotein (P-gp) </w:t>
      </w:r>
      <w:r>
        <w:rPr>
          <w:spacing w:val="-3"/>
          <w:sz w:val="24"/>
          <w:szCs w:val="24"/>
          <w:lang w:eastAsia="da-DK"/>
        </w:rPr>
        <w:t>og BCRP (</w:t>
      </w:r>
      <w:r>
        <w:rPr>
          <w:i/>
          <w:spacing w:val="-3"/>
          <w:sz w:val="24"/>
          <w:szCs w:val="24"/>
          <w:lang w:eastAsia="da-DK"/>
        </w:rPr>
        <w:t>breast cancer resistance protein</w:t>
      </w:r>
      <w:r>
        <w:rPr>
          <w:spacing w:val="-3"/>
          <w:sz w:val="24"/>
          <w:szCs w:val="24"/>
          <w:lang w:eastAsia="da-DK"/>
        </w:rPr>
        <w:t>), der kan begrænse den intestinale absorption og den biliære clearance af atorvastatin.</w:t>
      </w:r>
    </w:p>
    <w:p w:rsidR="001A1784" w:rsidRDefault="001A1784" w:rsidP="001A1784">
      <w:pPr>
        <w:keepNext/>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6E2DEA" w:rsidRDefault="001A1784" w:rsidP="001A1784">
      <w:pPr>
        <w:keepNext/>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E2DEA">
        <w:rPr>
          <w:spacing w:val="-3"/>
          <w:sz w:val="24"/>
          <w:szCs w:val="24"/>
          <w:lang w:eastAsia="da-DK"/>
        </w:rPr>
        <w:t>Atorvastatin udskilles primært i galden efter metabolisering i eller uden for leveren. Lægemidlet undergår imidlertid ikke signifikant enterohepatisk recirkulation. Den gennemsnitlige plasma-halveringstid hos mennesker er ca. 14 timer. Halveringstiden for hæmmende aktivitet over for HMG-CoA-reduktase er ca. 20-30 timer på grund af aktive metabolitter.</w:t>
      </w:r>
    </w:p>
    <w:p w:rsidR="001A1784" w:rsidRPr="006E2DEA"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b/>
          <w:spacing w:val="-3"/>
          <w:sz w:val="24"/>
          <w:szCs w:val="24"/>
          <w:lang w:eastAsia="da-DK"/>
        </w:rPr>
      </w:pPr>
    </w:p>
    <w:p w:rsidR="001A1784" w:rsidRPr="006E2DEA" w:rsidRDefault="001A1784" w:rsidP="001A1784">
      <w:pPr>
        <w:keepNext/>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u w:val="single"/>
          <w:lang w:eastAsia="da-DK"/>
        </w:rPr>
      </w:pPr>
      <w:r w:rsidRPr="006E2DEA">
        <w:rPr>
          <w:spacing w:val="-3"/>
          <w:sz w:val="24"/>
          <w:szCs w:val="24"/>
          <w:u w:val="single"/>
          <w:lang w:eastAsia="da-DK"/>
        </w:rPr>
        <w:t>Særlige patientgrupper</w:t>
      </w:r>
    </w:p>
    <w:p w:rsidR="001A1784" w:rsidRPr="006E2DEA" w:rsidRDefault="001A1784" w:rsidP="001A1784">
      <w:pPr>
        <w:keepNext/>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u w:val="single"/>
          <w:lang w:eastAsia="da-DK"/>
        </w:rPr>
      </w:pPr>
    </w:p>
    <w:p w:rsidR="001A1784" w:rsidRPr="00FB5273" w:rsidRDefault="001A1784" w:rsidP="001A1784">
      <w:pPr>
        <w:keepNext/>
        <w:tabs>
          <w:tab w:val="left" w:pos="0"/>
          <w:tab w:val="left" w:pos="840"/>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FB5273">
        <w:rPr>
          <w:i/>
          <w:spacing w:val="-3"/>
          <w:sz w:val="24"/>
          <w:szCs w:val="24"/>
          <w:lang w:eastAsia="da-DK"/>
        </w:rPr>
        <w:t>Ældre</w:t>
      </w:r>
    </w:p>
    <w:p w:rsidR="001A1784" w:rsidRPr="006E2DEA" w:rsidRDefault="001A1784" w:rsidP="001A1784">
      <w:pPr>
        <w:keepNext/>
        <w:tabs>
          <w:tab w:val="left" w:pos="0"/>
          <w:tab w:val="left" w:pos="840"/>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E2DEA">
        <w:rPr>
          <w:spacing w:val="-3"/>
          <w:sz w:val="24"/>
          <w:szCs w:val="24"/>
          <w:lang w:eastAsia="da-DK"/>
        </w:rPr>
        <w:t>Plasmakoncentrationerne af atorvastatin og dets aktive metabolitter er højere hos raske ældre end hos yngre, mens virkningen på lipiderne er sammenlignelige med den, som ses hos yngre patientgrupper.</w:t>
      </w:r>
    </w:p>
    <w:p w:rsidR="001A1784" w:rsidRPr="006E2DEA" w:rsidRDefault="001A1784" w:rsidP="001A1784">
      <w:pPr>
        <w:tabs>
          <w:tab w:val="left" w:pos="0"/>
          <w:tab w:val="left" w:pos="851"/>
          <w:tab w:val="left" w:pos="1276"/>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FB5273" w:rsidRDefault="001A1784" w:rsidP="001A1784">
      <w:pPr>
        <w:keepNext/>
        <w:tabs>
          <w:tab w:val="left" w:pos="0"/>
          <w:tab w:val="left" w:pos="840"/>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FB5273">
        <w:rPr>
          <w:i/>
          <w:spacing w:val="-3"/>
          <w:sz w:val="24"/>
          <w:szCs w:val="24"/>
          <w:lang w:eastAsia="da-DK"/>
        </w:rPr>
        <w:t>Pædiatrisk population</w:t>
      </w:r>
    </w:p>
    <w:p w:rsidR="001A1784" w:rsidRPr="006E2DEA" w:rsidRDefault="001A1784" w:rsidP="001A1784">
      <w:pPr>
        <w:tabs>
          <w:tab w:val="left" w:pos="0"/>
          <w:tab w:val="left" w:pos="840"/>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E2DEA">
        <w:rPr>
          <w:spacing w:val="-3"/>
          <w:sz w:val="24"/>
          <w:szCs w:val="24"/>
          <w:lang w:eastAsia="da-DK"/>
        </w:rPr>
        <w:t>I et 8-ugers, open-label klinisk forsøg blev børn i alderen 6-17 år og i Tanner-stadie 1 (n=15) eller Tanner-stadie ≥ 2 (n=24) med heterozygot familiær hyper</w:t>
      </w:r>
      <w:r w:rsidRPr="006E2DEA">
        <w:rPr>
          <w:spacing w:val="-3"/>
          <w:sz w:val="24"/>
          <w:szCs w:val="24"/>
          <w:lang w:eastAsia="da-DK"/>
        </w:rPr>
        <w:softHyphen/>
        <w:t>kolesterolæmi og baseline LDL-kolesterol ≥ 4 mmol/l behandlet med hhv. 5 mg eller 10 mg tyggetabletter eller 10 mg eller 20 mg filmovertrukne tabletter 1 gang dagligt. Legemsvægt var den eneste signifikante covariant i den farmakokinetiske model for atorvastatinpopula</w:t>
      </w:r>
      <w:r w:rsidRPr="006E2DEA">
        <w:rPr>
          <w:spacing w:val="-3"/>
          <w:sz w:val="24"/>
          <w:szCs w:val="24"/>
          <w:lang w:eastAsia="da-DK"/>
        </w:rPr>
        <w:softHyphen/>
        <w:t xml:space="preserve">tionen. Den tilsyneladende </w:t>
      </w:r>
      <w:r w:rsidRPr="006E2DEA">
        <w:rPr>
          <w:spacing w:val="-3"/>
          <w:sz w:val="24"/>
          <w:szCs w:val="24"/>
          <w:lang w:eastAsia="da-DK"/>
        </w:rPr>
        <w:lastRenderedPageBreak/>
        <w:t>clearance efter oral administration var sammenlignelig med voksnes efter korrektion for legemsvægt ved allometrisk skalering. Tilsvarende hermed sås fald i LDL-kolesterol og total-kolesterol i forhold til atorvastatin- og o-hydroxyatorvastatin-niveauer.</w:t>
      </w:r>
    </w:p>
    <w:p w:rsidR="001A1784" w:rsidRPr="006E2DEA" w:rsidRDefault="001A1784" w:rsidP="001A1784">
      <w:pPr>
        <w:tabs>
          <w:tab w:val="left" w:pos="0"/>
          <w:tab w:val="left" w:pos="840"/>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FB5273" w:rsidRDefault="001A1784" w:rsidP="001A1784">
      <w:pPr>
        <w:tabs>
          <w:tab w:val="left" w:pos="0"/>
          <w:tab w:val="left" w:pos="840"/>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i/>
          <w:spacing w:val="-3"/>
          <w:sz w:val="24"/>
          <w:szCs w:val="24"/>
          <w:lang w:eastAsia="da-DK"/>
        </w:rPr>
      </w:pPr>
      <w:r w:rsidRPr="00FB5273">
        <w:rPr>
          <w:i/>
          <w:spacing w:val="-3"/>
          <w:sz w:val="24"/>
          <w:szCs w:val="24"/>
          <w:lang w:eastAsia="da-DK"/>
        </w:rPr>
        <w:t>Køn</w:t>
      </w:r>
    </w:p>
    <w:p w:rsidR="001A1784" w:rsidRPr="006E2DEA" w:rsidRDefault="001A1784" w:rsidP="001A1784">
      <w:pPr>
        <w:tabs>
          <w:tab w:val="left" w:pos="0"/>
          <w:tab w:val="left" w:pos="840"/>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E2DEA">
        <w:rPr>
          <w:spacing w:val="-3"/>
          <w:sz w:val="24"/>
          <w:szCs w:val="24"/>
          <w:lang w:eastAsia="da-DK"/>
        </w:rPr>
        <w:t>Koncentrationen af atorvastatin og dets aktive metabolitter hos kvinder afviger (C</w:t>
      </w:r>
      <w:r w:rsidRPr="006E2DEA">
        <w:rPr>
          <w:spacing w:val="-3"/>
          <w:sz w:val="24"/>
          <w:szCs w:val="24"/>
          <w:vertAlign w:val="subscript"/>
          <w:lang w:eastAsia="da-DK"/>
        </w:rPr>
        <w:t>max</w:t>
      </w:r>
      <w:r w:rsidRPr="006E2DEA">
        <w:rPr>
          <w:spacing w:val="-3"/>
          <w:sz w:val="24"/>
          <w:szCs w:val="24"/>
          <w:lang w:eastAsia="da-DK"/>
        </w:rPr>
        <w:t xml:space="preserve"> ca. 20 % højere og AUC ca. 10 % lavere) fra koncentrationerne hos mænd. Disse forskelle havde ingen klinisk betydning og resulterede ikke i nogen klinisk signifikante forskelle i den lipidregulerende virkning mellem kønnene.</w:t>
      </w:r>
    </w:p>
    <w:p w:rsidR="001A1784" w:rsidRPr="006E2DEA" w:rsidRDefault="001A1784" w:rsidP="001A1784">
      <w:pPr>
        <w:tabs>
          <w:tab w:val="left" w:pos="0"/>
          <w:tab w:val="left" w:pos="840"/>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FB5273" w:rsidRDefault="001A1784" w:rsidP="001A1784">
      <w:pPr>
        <w:tabs>
          <w:tab w:val="left" w:pos="0"/>
          <w:tab w:val="left" w:pos="840"/>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FB5273">
        <w:rPr>
          <w:i/>
          <w:spacing w:val="-3"/>
          <w:sz w:val="24"/>
          <w:szCs w:val="24"/>
          <w:lang w:eastAsia="da-DK"/>
        </w:rPr>
        <w:t>Nedsat nyrefunktion</w:t>
      </w:r>
    </w:p>
    <w:p w:rsidR="001A1784" w:rsidRPr="006E2DEA" w:rsidRDefault="001A1784" w:rsidP="001A1784">
      <w:pPr>
        <w:tabs>
          <w:tab w:val="left" w:pos="0"/>
          <w:tab w:val="left" w:pos="840"/>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E2DEA">
        <w:rPr>
          <w:spacing w:val="-3"/>
          <w:sz w:val="24"/>
          <w:szCs w:val="24"/>
          <w:lang w:eastAsia="da-DK"/>
        </w:rPr>
        <w:t>Nyresygdomme har ingen indflydelse på plasmakoncentrationerne af atorvastatin eller dets aktive metabolitter eller på deres effekt på lipiderne.</w:t>
      </w:r>
    </w:p>
    <w:p w:rsidR="001A1784" w:rsidRPr="006E2DEA" w:rsidRDefault="001A1784" w:rsidP="001A1784">
      <w:pPr>
        <w:tabs>
          <w:tab w:val="left" w:pos="0"/>
          <w:tab w:val="left" w:pos="1276"/>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FB5273" w:rsidRDefault="001A1784" w:rsidP="001A1784">
      <w:pPr>
        <w:tabs>
          <w:tab w:val="left" w:pos="0"/>
          <w:tab w:val="left" w:pos="840"/>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i/>
          <w:spacing w:val="-3"/>
          <w:sz w:val="24"/>
          <w:szCs w:val="24"/>
          <w:lang w:eastAsia="da-DK"/>
        </w:rPr>
      </w:pPr>
      <w:r w:rsidRPr="00FB5273">
        <w:rPr>
          <w:i/>
          <w:spacing w:val="-3"/>
          <w:sz w:val="24"/>
          <w:szCs w:val="24"/>
          <w:lang w:eastAsia="da-DK"/>
        </w:rPr>
        <w:t>Nedsat leverfunktion</w:t>
      </w:r>
    </w:p>
    <w:p w:rsidR="001A1784" w:rsidRPr="006E2DEA" w:rsidRDefault="001A1784" w:rsidP="001A1784">
      <w:pPr>
        <w:tabs>
          <w:tab w:val="left" w:pos="0"/>
          <w:tab w:val="left" w:pos="840"/>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6E2DEA">
        <w:rPr>
          <w:spacing w:val="-3"/>
          <w:sz w:val="24"/>
          <w:szCs w:val="24"/>
          <w:lang w:eastAsia="da-DK"/>
        </w:rPr>
        <w:t>Plasmakoncentrationerne af atorvastatin og dets aktive metabolitter er markant forhøjede (C</w:t>
      </w:r>
      <w:r w:rsidRPr="006E2DEA">
        <w:rPr>
          <w:spacing w:val="-3"/>
          <w:sz w:val="24"/>
          <w:szCs w:val="24"/>
          <w:vertAlign w:val="subscript"/>
          <w:lang w:eastAsia="da-DK"/>
        </w:rPr>
        <w:t>max</w:t>
      </w:r>
      <w:r w:rsidRPr="006E2DEA">
        <w:rPr>
          <w:spacing w:val="-3"/>
          <w:sz w:val="24"/>
          <w:szCs w:val="24"/>
          <w:lang w:eastAsia="da-DK"/>
        </w:rPr>
        <w:t xml:space="preserve"> ca. 16 gange og AUC ca. 11 gange) hos patienter med kronisk alkoholisk leversygdom (Childs-Pugh B).</w:t>
      </w:r>
    </w:p>
    <w:p w:rsidR="001A1784" w:rsidRPr="006E2DEA" w:rsidRDefault="001A1784" w:rsidP="001A1784">
      <w:pPr>
        <w:tabs>
          <w:tab w:val="left" w:pos="0"/>
          <w:tab w:val="left" w:pos="840"/>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FB5273"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FB5273">
        <w:rPr>
          <w:i/>
          <w:spacing w:val="-3"/>
          <w:sz w:val="24"/>
          <w:szCs w:val="24"/>
          <w:lang w:eastAsia="da-DK"/>
        </w:rPr>
        <w:t xml:space="preserve">SLCO1B1-polymorfisme: </w:t>
      </w:r>
      <w:r w:rsidRPr="00FB5273">
        <w:rPr>
          <w:spacing w:val="-3"/>
          <w:sz w:val="24"/>
          <w:szCs w:val="24"/>
          <w:lang w:eastAsia="da-DK"/>
        </w:rPr>
        <w:t>Hepatisk optagelse af alle HMG-CoA-reduktasehæmmere,</w:t>
      </w:r>
      <w:r w:rsidRPr="006E2DEA">
        <w:rPr>
          <w:spacing w:val="-3"/>
          <w:sz w:val="24"/>
          <w:szCs w:val="24"/>
          <w:lang w:eastAsia="da-DK"/>
        </w:rPr>
        <w:t xml:space="preserve"> herunder atorvastatin, involverer OATP1B1-transportproteinet. Hos patienter med SLCO1B1-polymorfisme er der en risiko for forhøjede koncentrationer af atorvastatin, der kan medføre en øget risiko for rabdomyolyse (se pkt. 4.4). Polymorfisme i det gen, der koder for OATP1B1 (SLCO1B1 c.521CC), er forbundet med en 2,4-gange højere atorvastatin</w:t>
      </w:r>
      <w:r w:rsidRPr="006E2DEA">
        <w:rPr>
          <w:spacing w:val="-3"/>
          <w:sz w:val="24"/>
          <w:szCs w:val="24"/>
          <w:lang w:eastAsia="da-DK"/>
        </w:rPr>
        <w:softHyphen/>
        <w:t>eksponering (AUC) end hos individer uden denne genotype-variant (c.521TT). En genetisk forårsaget nedsat hepatisk optagelse af atorvastatin er også mulig hos disse patienter. De mulige konsekvenser for effekten er ukendte.</w:t>
      </w:r>
    </w:p>
    <w:p w:rsidR="001A1784" w:rsidRPr="00C84483" w:rsidRDefault="001A1784" w:rsidP="001A1784">
      <w:pPr>
        <w:tabs>
          <w:tab w:val="left" w:pos="851"/>
        </w:tabs>
        <w:ind w:left="851"/>
        <w:rPr>
          <w:sz w:val="24"/>
          <w:szCs w:val="24"/>
        </w:rPr>
      </w:pPr>
    </w:p>
    <w:p w:rsidR="001A1784" w:rsidRPr="00C84483" w:rsidRDefault="001A1784" w:rsidP="001A1784">
      <w:pPr>
        <w:tabs>
          <w:tab w:val="left" w:pos="851"/>
        </w:tabs>
        <w:ind w:left="851" w:hanging="851"/>
        <w:rPr>
          <w:b/>
          <w:sz w:val="24"/>
          <w:szCs w:val="24"/>
        </w:rPr>
      </w:pPr>
      <w:r w:rsidRPr="00C84483">
        <w:rPr>
          <w:b/>
          <w:sz w:val="24"/>
          <w:szCs w:val="24"/>
        </w:rPr>
        <w:t>5.3</w:t>
      </w:r>
      <w:r w:rsidRPr="00C84483">
        <w:rPr>
          <w:b/>
          <w:sz w:val="24"/>
          <w:szCs w:val="24"/>
        </w:rPr>
        <w:tab/>
      </w:r>
      <w:r w:rsidR="007954A0">
        <w:rPr>
          <w:b/>
          <w:sz w:val="24"/>
          <w:szCs w:val="24"/>
        </w:rPr>
        <w:t>Non-</w:t>
      </w:r>
      <w:r w:rsidRPr="00C84483">
        <w:rPr>
          <w:b/>
          <w:sz w:val="24"/>
          <w:szCs w:val="24"/>
        </w:rPr>
        <w:t>kliniske sikkerhedsdata</w:t>
      </w:r>
    </w:p>
    <w:p w:rsidR="001A1784" w:rsidRPr="00C50565" w:rsidRDefault="001A1784" w:rsidP="001A1784">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C50565">
        <w:rPr>
          <w:spacing w:val="-3"/>
          <w:sz w:val="24"/>
          <w:szCs w:val="24"/>
          <w:lang w:eastAsia="da-DK"/>
        </w:rPr>
        <w:t xml:space="preserve">Atorvastatin viste ikke mutagent eller klastogent potentiale i et batteri af 4 </w:t>
      </w:r>
      <w:r w:rsidRPr="00C50565">
        <w:rPr>
          <w:i/>
          <w:spacing w:val="-3"/>
          <w:sz w:val="24"/>
          <w:szCs w:val="24"/>
          <w:lang w:eastAsia="da-DK"/>
        </w:rPr>
        <w:t xml:space="preserve">in vitro </w:t>
      </w:r>
      <w:r w:rsidRPr="00C50565">
        <w:rPr>
          <w:spacing w:val="-3"/>
          <w:sz w:val="24"/>
          <w:szCs w:val="24"/>
          <w:lang w:eastAsia="da-DK"/>
        </w:rPr>
        <w:t xml:space="preserve">tests og 1 </w:t>
      </w:r>
      <w:r w:rsidRPr="00C50565">
        <w:rPr>
          <w:i/>
          <w:spacing w:val="-3"/>
          <w:sz w:val="24"/>
          <w:szCs w:val="24"/>
          <w:lang w:eastAsia="da-DK"/>
        </w:rPr>
        <w:t>in vivo</w:t>
      </w:r>
      <w:r w:rsidRPr="00C50565">
        <w:rPr>
          <w:spacing w:val="-3"/>
          <w:sz w:val="24"/>
          <w:szCs w:val="24"/>
          <w:lang w:eastAsia="da-DK"/>
        </w:rPr>
        <w:t xml:space="preserve"> undersøgelse. Atorvastatin var ikke karcinogent hos rotter, men høje doser hos mus (resulterende i en 6-11 gange så høj AUC</w:t>
      </w:r>
      <w:r w:rsidRPr="00C50565">
        <w:rPr>
          <w:spacing w:val="-3"/>
          <w:sz w:val="24"/>
          <w:szCs w:val="24"/>
          <w:vertAlign w:val="subscript"/>
          <w:lang w:eastAsia="da-DK"/>
        </w:rPr>
        <w:t>0-24t</w:t>
      </w:r>
      <w:r w:rsidRPr="00C50565">
        <w:rPr>
          <w:spacing w:val="-3"/>
          <w:sz w:val="24"/>
          <w:szCs w:val="24"/>
          <w:lang w:eastAsia="da-DK"/>
        </w:rPr>
        <w:t xml:space="preserve">, som der ses hos mennesker ved maksimale doser) viste hepatocellulære adenomer.hos hanner og hepatocellulære karcinomer hos hunner. </w:t>
      </w:r>
    </w:p>
    <w:p w:rsidR="001A1784" w:rsidRPr="00BC374D" w:rsidRDefault="001A1784" w:rsidP="001A1784">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C50565">
        <w:rPr>
          <w:spacing w:val="-3"/>
          <w:sz w:val="24"/>
          <w:szCs w:val="24"/>
          <w:lang w:eastAsia="da-DK"/>
        </w:rPr>
        <w:t>Dyreforsøg har vist, at HMG-CoA-reduktasehæmmere kan påvirke udviklingen af embryoner eller fostre. Hos rotter, kaniner og hunde havde atorvastatin ingen effekt på fertiliteten og var ikke teratogent, dog blev der set føtal toksicitet hos rotter og kaniner ved doser, der var toksiske for moderdyret. Rotteafkom udviste forsinket udvikling, og den post-natal</w:t>
      </w:r>
      <w:r>
        <w:rPr>
          <w:spacing w:val="-3"/>
          <w:sz w:val="24"/>
          <w:szCs w:val="24"/>
          <w:lang w:eastAsia="da-DK"/>
        </w:rPr>
        <w:t>e</w:t>
      </w:r>
      <w:r w:rsidRPr="00C50565">
        <w:rPr>
          <w:spacing w:val="-3"/>
          <w:sz w:val="24"/>
          <w:szCs w:val="24"/>
          <w:lang w:eastAsia="da-DK"/>
        </w:rPr>
        <w:t xml:space="preserve"> overlevelse var lavere, hvis moderdyrene havde været udsat for høje doser atorvastatin. Hos rotter er der tegn på, at atorvastatin krydser placenta. Hos rotter svarer koncentrationerne i plasma til koncentrationerne i mælk. Det vides ikke, om atorvastatin eller dets metabolitter udskilles i human mælk.</w:t>
      </w:r>
    </w:p>
    <w:p w:rsidR="001A1784" w:rsidRPr="00C84483" w:rsidRDefault="001A1784" w:rsidP="001A1784">
      <w:pPr>
        <w:tabs>
          <w:tab w:val="left" w:pos="851"/>
        </w:tabs>
        <w:ind w:left="851"/>
        <w:rPr>
          <w:sz w:val="24"/>
          <w:szCs w:val="24"/>
        </w:rPr>
      </w:pPr>
    </w:p>
    <w:p w:rsidR="001A1784" w:rsidRPr="00C84483" w:rsidRDefault="001A1784" w:rsidP="001A1784">
      <w:pPr>
        <w:tabs>
          <w:tab w:val="left" w:pos="851"/>
        </w:tabs>
        <w:ind w:left="851"/>
        <w:rPr>
          <w:sz w:val="24"/>
          <w:szCs w:val="24"/>
        </w:rPr>
      </w:pPr>
    </w:p>
    <w:p w:rsidR="001A1784" w:rsidRPr="00C84483" w:rsidRDefault="001A1784" w:rsidP="001A1784">
      <w:pPr>
        <w:keepNext/>
        <w:tabs>
          <w:tab w:val="left" w:pos="851"/>
        </w:tabs>
        <w:ind w:left="851" w:hanging="851"/>
        <w:rPr>
          <w:b/>
          <w:sz w:val="24"/>
          <w:szCs w:val="24"/>
        </w:rPr>
      </w:pPr>
      <w:r w:rsidRPr="00C84483">
        <w:rPr>
          <w:b/>
          <w:sz w:val="24"/>
          <w:szCs w:val="24"/>
        </w:rPr>
        <w:t>6.</w:t>
      </w:r>
      <w:r w:rsidRPr="00C84483">
        <w:rPr>
          <w:b/>
          <w:sz w:val="24"/>
          <w:szCs w:val="24"/>
        </w:rPr>
        <w:tab/>
        <w:t>FARMACEUTISKE OPLYSNINGER</w:t>
      </w:r>
    </w:p>
    <w:p w:rsidR="001A1784" w:rsidRPr="00BA09F1" w:rsidRDefault="001A1784" w:rsidP="001A1784">
      <w:pPr>
        <w:keepNext/>
        <w:tabs>
          <w:tab w:val="left" w:pos="851"/>
        </w:tabs>
        <w:ind w:left="851"/>
        <w:rPr>
          <w:sz w:val="24"/>
          <w:szCs w:val="24"/>
        </w:rPr>
      </w:pPr>
    </w:p>
    <w:p w:rsidR="001A1784" w:rsidRPr="00C84483" w:rsidRDefault="001A1784" w:rsidP="001A1784">
      <w:pPr>
        <w:tabs>
          <w:tab w:val="left" w:pos="851"/>
        </w:tabs>
        <w:ind w:left="851" w:hanging="851"/>
        <w:rPr>
          <w:b/>
          <w:sz w:val="24"/>
          <w:szCs w:val="24"/>
        </w:rPr>
      </w:pPr>
      <w:r w:rsidRPr="00C84483">
        <w:rPr>
          <w:b/>
          <w:sz w:val="24"/>
          <w:szCs w:val="24"/>
        </w:rPr>
        <w:t>6.1</w:t>
      </w:r>
      <w:r w:rsidRPr="00C84483">
        <w:rPr>
          <w:b/>
          <w:sz w:val="24"/>
          <w:szCs w:val="24"/>
        </w:rPr>
        <w:tab/>
        <w:t>Hjælpestoffer</w:t>
      </w:r>
    </w:p>
    <w:p w:rsidR="001A1784" w:rsidRPr="005A4C3D"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A4C3D">
        <w:rPr>
          <w:spacing w:val="-3"/>
          <w:sz w:val="24"/>
          <w:szCs w:val="24"/>
          <w:lang w:eastAsia="da-DK"/>
        </w:rPr>
        <w:t xml:space="preserve">Calciumcarbonat </w:t>
      </w:r>
    </w:p>
    <w:p w:rsidR="001A1784" w:rsidRPr="005A4C3D"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A4C3D">
        <w:rPr>
          <w:spacing w:val="-3"/>
          <w:sz w:val="24"/>
          <w:szCs w:val="24"/>
          <w:lang w:eastAsia="da-DK"/>
        </w:rPr>
        <w:t>Lactosemonohydrat</w:t>
      </w:r>
    </w:p>
    <w:p w:rsidR="001A1784" w:rsidRPr="005A4C3D"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A4C3D">
        <w:rPr>
          <w:spacing w:val="-3"/>
          <w:sz w:val="24"/>
          <w:szCs w:val="24"/>
          <w:lang w:eastAsia="da-DK"/>
        </w:rPr>
        <w:t>Cellulose, mikrokrystallinsk</w:t>
      </w:r>
    </w:p>
    <w:p w:rsidR="001A1784" w:rsidRPr="00204C24"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204C24">
        <w:rPr>
          <w:spacing w:val="-3"/>
          <w:sz w:val="24"/>
          <w:szCs w:val="24"/>
          <w:lang w:eastAsia="da-DK"/>
        </w:rPr>
        <w:t>Croscarmellosenatrium</w:t>
      </w:r>
    </w:p>
    <w:p w:rsidR="001A1784" w:rsidRPr="00204C24"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204C24">
        <w:rPr>
          <w:spacing w:val="-3"/>
          <w:sz w:val="24"/>
          <w:szCs w:val="24"/>
          <w:lang w:eastAsia="da-DK"/>
        </w:rPr>
        <w:t>Hydroxypropylcellulose</w:t>
      </w:r>
    </w:p>
    <w:p w:rsidR="001A1784" w:rsidRPr="00204C24"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204C24">
        <w:rPr>
          <w:spacing w:val="-3"/>
          <w:sz w:val="24"/>
          <w:szCs w:val="24"/>
          <w:lang w:eastAsia="da-DK"/>
        </w:rPr>
        <w:lastRenderedPageBreak/>
        <w:t>Polysorbat 80</w:t>
      </w:r>
    </w:p>
    <w:p w:rsidR="001A1784" w:rsidRPr="00204C24"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204C24">
        <w:rPr>
          <w:spacing w:val="-3"/>
          <w:sz w:val="24"/>
          <w:szCs w:val="24"/>
          <w:lang w:eastAsia="da-DK"/>
        </w:rPr>
        <w:t>Magnesiumstearat</w:t>
      </w:r>
    </w:p>
    <w:p w:rsidR="001A1784" w:rsidRPr="00204C24"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204C24"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u w:val="single"/>
          <w:lang w:eastAsia="da-DK"/>
        </w:rPr>
      </w:pPr>
      <w:r w:rsidRPr="00204C24">
        <w:rPr>
          <w:spacing w:val="-3"/>
          <w:sz w:val="24"/>
          <w:szCs w:val="24"/>
          <w:u w:val="single"/>
          <w:lang w:eastAsia="da-DK"/>
        </w:rPr>
        <w:t>Filmovertræk</w:t>
      </w:r>
    </w:p>
    <w:p w:rsidR="001A1784" w:rsidRPr="00204C24"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204C24">
        <w:rPr>
          <w:spacing w:val="-3"/>
          <w:sz w:val="24"/>
          <w:szCs w:val="24"/>
          <w:lang w:eastAsia="da-DK"/>
        </w:rPr>
        <w:t>Hypromellose</w:t>
      </w:r>
    </w:p>
    <w:p w:rsidR="001A1784" w:rsidRPr="00116DF3"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116DF3">
        <w:rPr>
          <w:spacing w:val="-3"/>
          <w:sz w:val="24"/>
          <w:szCs w:val="24"/>
          <w:lang w:eastAsia="da-DK"/>
        </w:rPr>
        <w:t>Macrogol 2910</w:t>
      </w:r>
    </w:p>
    <w:p w:rsidR="001A1784" w:rsidRPr="005A4C3D"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A4C3D">
        <w:rPr>
          <w:spacing w:val="-3"/>
          <w:sz w:val="24"/>
          <w:szCs w:val="24"/>
          <w:lang w:eastAsia="da-DK"/>
        </w:rPr>
        <w:t>Macrogol 8000</w:t>
      </w:r>
    </w:p>
    <w:p w:rsidR="001A1784"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5A4C3D">
        <w:rPr>
          <w:spacing w:val="-3"/>
          <w:sz w:val="24"/>
          <w:szCs w:val="24"/>
          <w:lang w:eastAsia="da-DK"/>
        </w:rPr>
        <w:t>Titandioxid (E171)</w:t>
      </w:r>
    </w:p>
    <w:p w:rsidR="001A1784" w:rsidRPr="005A4C3D"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Pr>
          <w:spacing w:val="-3"/>
          <w:sz w:val="24"/>
          <w:szCs w:val="24"/>
          <w:lang w:eastAsia="da-DK"/>
        </w:rPr>
        <w:t>T</w:t>
      </w:r>
      <w:r w:rsidRPr="005A4C3D">
        <w:rPr>
          <w:spacing w:val="-3"/>
          <w:sz w:val="24"/>
          <w:szCs w:val="24"/>
          <w:lang w:eastAsia="da-DK"/>
        </w:rPr>
        <w:t>alcum</w:t>
      </w:r>
    </w:p>
    <w:p w:rsidR="001A1784" w:rsidRPr="00C84483" w:rsidRDefault="001A1784" w:rsidP="001A1784">
      <w:pPr>
        <w:tabs>
          <w:tab w:val="left" w:pos="851"/>
        </w:tabs>
        <w:ind w:left="851"/>
        <w:rPr>
          <w:sz w:val="24"/>
          <w:szCs w:val="24"/>
        </w:rPr>
      </w:pPr>
    </w:p>
    <w:p w:rsidR="001A1784" w:rsidRPr="00C84483" w:rsidRDefault="001A1784" w:rsidP="001A1784">
      <w:pPr>
        <w:tabs>
          <w:tab w:val="left" w:pos="851"/>
        </w:tabs>
        <w:ind w:left="851" w:hanging="851"/>
        <w:rPr>
          <w:b/>
          <w:sz w:val="24"/>
          <w:szCs w:val="24"/>
        </w:rPr>
      </w:pPr>
      <w:r w:rsidRPr="00C84483">
        <w:rPr>
          <w:b/>
          <w:sz w:val="24"/>
          <w:szCs w:val="24"/>
        </w:rPr>
        <w:t>6.2</w:t>
      </w:r>
      <w:r w:rsidRPr="00C84483">
        <w:rPr>
          <w:b/>
          <w:sz w:val="24"/>
          <w:szCs w:val="24"/>
        </w:rPr>
        <w:tab/>
        <w:t>Uforligeligheder</w:t>
      </w:r>
    </w:p>
    <w:p w:rsidR="001A1784" w:rsidRPr="00C84483" w:rsidRDefault="001A1784" w:rsidP="001A1784">
      <w:pPr>
        <w:tabs>
          <w:tab w:val="left" w:pos="851"/>
        </w:tabs>
        <w:ind w:left="851"/>
        <w:rPr>
          <w:sz w:val="24"/>
          <w:szCs w:val="24"/>
        </w:rPr>
      </w:pPr>
      <w:r>
        <w:rPr>
          <w:sz w:val="24"/>
          <w:szCs w:val="24"/>
        </w:rPr>
        <w:t>Ikke relevant.</w:t>
      </w:r>
    </w:p>
    <w:p w:rsidR="001A1784" w:rsidRPr="00C84483" w:rsidRDefault="001A1784" w:rsidP="001A1784">
      <w:pPr>
        <w:tabs>
          <w:tab w:val="left" w:pos="851"/>
        </w:tabs>
        <w:ind w:left="851"/>
        <w:rPr>
          <w:sz w:val="24"/>
          <w:szCs w:val="24"/>
        </w:rPr>
      </w:pPr>
    </w:p>
    <w:p w:rsidR="001A1784" w:rsidRPr="00C84483" w:rsidRDefault="001A1784" w:rsidP="001A1784">
      <w:pPr>
        <w:tabs>
          <w:tab w:val="left" w:pos="851"/>
        </w:tabs>
        <w:ind w:left="851" w:hanging="851"/>
        <w:rPr>
          <w:b/>
          <w:sz w:val="24"/>
          <w:szCs w:val="24"/>
        </w:rPr>
      </w:pPr>
      <w:r w:rsidRPr="00C84483">
        <w:rPr>
          <w:b/>
          <w:sz w:val="24"/>
          <w:szCs w:val="24"/>
        </w:rPr>
        <w:t>6.3</w:t>
      </w:r>
      <w:r w:rsidRPr="00C84483">
        <w:rPr>
          <w:b/>
          <w:sz w:val="24"/>
          <w:szCs w:val="24"/>
        </w:rPr>
        <w:tab/>
        <w:t>Opbevaringstid</w:t>
      </w:r>
    </w:p>
    <w:p w:rsidR="001A1784" w:rsidRPr="00C84483" w:rsidRDefault="001A1784" w:rsidP="001A1784">
      <w:pPr>
        <w:tabs>
          <w:tab w:val="left" w:pos="851"/>
        </w:tabs>
        <w:ind w:left="851" w:hanging="851"/>
        <w:rPr>
          <w:sz w:val="24"/>
          <w:szCs w:val="24"/>
        </w:rPr>
      </w:pPr>
      <w:r w:rsidRPr="00C84483">
        <w:rPr>
          <w:sz w:val="24"/>
          <w:szCs w:val="24"/>
        </w:rPr>
        <w:tab/>
      </w:r>
      <w:r>
        <w:rPr>
          <w:sz w:val="24"/>
          <w:szCs w:val="24"/>
        </w:rPr>
        <w:t>36 måneder.</w:t>
      </w:r>
    </w:p>
    <w:p w:rsidR="001A1784" w:rsidRPr="00C84483" w:rsidRDefault="001A1784" w:rsidP="001A1784">
      <w:pPr>
        <w:tabs>
          <w:tab w:val="left" w:pos="851"/>
        </w:tabs>
        <w:ind w:left="851"/>
        <w:rPr>
          <w:sz w:val="24"/>
          <w:szCs w:val="24"/>
        </w:rPr>
      </w:pPr>
    </w:p>
    <w:p w:rsidR="001A1784" w:rsidRPr="00C84483" w:rsidRDefault="001A1784" w:rsidP="001A178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A1784" w:rsidRPr="00C84483" w:rsidRDefault="001A1784" w:rsidP="001A1784">
      <w:pPr>
        <w:tabs>
          <w:tab w:val="left" w:pos="851"/>
        </w:tabs>
        <w:ind w:left="851"/>
        <w:rPr>
          <w:sz w:val="24"/>
          <w:szCs w:val="24"/>
        </w:rPr>
      </w:pPr>
      <w:r>
        <w:rPr>
          <w:sz w:val="24"/>
          <w:szCs w:val="24"/>
        </w:rPr>
        <w:t>Opbevares ved temperaturer under 25 °C.</w:t>
      </w:r>
    </w:p>
    <w:p w:rsidR="001A1784" w:rsidRPr="00C84483" w:rsidRDefault="001A1784" w:rsidP="001A1784">
      <w:pPr>
        <w:tabs>
          <w:tab w:val="left" w:pos="851"/>
        </w:tabs>
        <w:ind w:left="851"/>
        <w:rPr>
          <w:sz w:val="24"/>
          <w:szCs w:val="24"/>
        </w:rPr>
      </w:pPr>
    </w:p>
    <w:p w:rsidR="001A1784" w:rsidRPr="00C84483" w:rsidRDefault="001A1784" w:rsidP="001A178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A1784"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954A68">
        <w:rPr>
          <w:spacing w:val="-3"/>
          <w:sz w:val="24"/>
          <w:szCs w:val="24"/>
          <w:lang w:eastAsia="da-DK"/>
        </w:rPr>
        <w:t>OPA/Alu/PVC-Alu b</w:t>
      </w:r>
      <w:r>
        <w:rPr>
          <w:spacing w:val="-3"/>
          <w:sz w:val="24"/>
          <w:szCs w:val="24"/>
          <w:lang w:eastAsia="da-DK"/>
        </w:rPr>
        <w:t>listerpakning</w:t>
      </w:r>
    </w:p>
    <w:p w:rsidR="001A1784"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54B07"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u w:val="single"/>
          <w:lang w:eastAsia="da-DK"/>
        </w:rPr>
      </w:pPr>
      <w:r w:rsidRPr="00854B07">
        <w:rPr>
          <w:spacing w:val="-3"/>
          <w:sz w:val="24"/>
          <w:szCs w:val="24"/>
          <w:u w:val="single"/>
          <w:lang w:eastAsia="da-DK"/>
        </w:rPr>
        <w:t>Pakningsstørrelser</w:t>
      </w:r>
    </w:p>
    <w:p w:rsidR="001A1784" w:rsidRPr="00954A68"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sidRPr="00954A68">
        <w:rPr>
          <w:spacing w:val="-3"/>
          <w:sz w:val="24"/>
          <w:szCs w:val="24"/>
          <w:lang w:eastAsia="da-DK"/>
        </w:rPr>
        <w:t xml:space="preserve">4, 7, 10, 14, 20, 28, 30, 50, 56, 60, 84, 90, 98 </w:t>
      </w:r>
      <w:r>
        <w:rPr>
          <w:spacing w:val="-3"/>
          <w:sz w:val="24"/>
          <w:szCs w:val="24"/>
          <w:lang w:eastAsia="da-DK"/>
        </w:rPr>
        <w:t>og</w:t>
      </w:r>
      <w:r w:rsidRPr="00954A68">
        <w:rPr>
          <w:spacing w:val="-3"/>
          <w:sz w:val="24"/>
          <w:szCs w:val="24"/>
          <w:lang w:eastAsia="da-DK"/>
        </w:rPr>
        <w:t xml:space="preserve"> 100 </w:t>
      </w:r>
      <w:r>
        <w:rPr>
          <w:spacing w:val="-3"/>
          <w:sz w:val="24"/>
          <w:szCs w:val="24"/>
          <w:lang w:eastAsia="da-DK"/>
        </w:rPr>
        <w:t>stk</w:t>
      </w:r>
      <w:r w:rsidRPr="00954A68">
        <w:rPr>
          <w:spacing w:val="-3"/>
          <w:sz w:val="24"/>
          <w:szCs w:val="24"/>
          <w:lang w:eastAsia="da-DK"/>
        </w:rPr>
        <w:t>.</w:t>
      </w:r>
    </w:p>
    <w:p w:rsidR="001A1784" w:rsidRPr="00954A68"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Pr>
          <w:spacing w:val="-3"/>
          <w:sz w:val="24"/>
          <w:szCs w:val="24"/>
          <w:lang w:eastAsia="da-DK"/>
        </w:rPr>
        <w:t>Hospitalspakning: 50, 84, 100, 200 (10×</w:t>
      </w:r>
      <w:r w:rsidRPr="00954A68">
        <w:rPr>
          <w:spacing w:val="-3"/>
          <w:sz w:val="24"/>
          <w:szCs w:val="24"/>
          <w:lang w:eastAsia="da-DK"/>
        </w:rPr>
        <w:t xml:space="preserve">20) </w:t>
      </w:r>
      <w:r>
        <w:rPr>
          <w:spacing w:val="-3"/>
          <w:sz w:val="24"/>
          <w:szCs w:val="24"/>
          <w:lang w:eastAsia="da-DK"/>
        </w:rPr>
        <w:t>og</w:t>
      </w:r>
      <w:r w:rsidRPr="00954A68">
        <w:rPr>
          <w:spacing w:val="-3"/>
          <w:sz w:val="24"/>
          <w:szCs w:val="24"/>
          <w:lang w:eastAsia="da-DK"/>
        </w:rPr>
        <w:t xml:space="preserve"> 500 </w:t>
      </w:r>
      <w:r>
        <w:rPr>
          <w:spacing w:val="-3"/>
          <w:sz w:val="24"/>
          <w:szCs w:val="24"/>
          <w:lang w:eastAsia="da-DK"/>
        </w:rPr>
        <w:t>stk</w:t>
      </w:r>
      <w:r w:rsidRPr="00954A68">
        <w:rPr>
          <w:spacing w:val="-3"/>
          <w:sz w:val="24"/>
          <w:szCs w:val="24"/>
          <w:lang w:eastAsia="da-DK"/>
        </w:rPr>
        <w:t>.</w:t>
      </w:r>
    </w:p>
    <w:p w:rsidR="001A1784" w:rsidRPr="00954A68"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p>
    <w:p w:rsidR="001A1784" w:rsidRPr="00854B07"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lang w:eastAsia="da-DK"/>
        </w:rPr>
      </w:pPr>
      <w:r w:rsidRPr="00954A68">
        <w:rPr>
          <w:spacing w:val="-3"/>
          <w:sz w:val="24"/>
          <w:szCs w:val="24"/>
          <w:lang w:eastAsia="da-DK"/>
        </w:rPr>
        <w:t>Ikke alle pakningsstørrelser er nødvendigvis markedsført.</w:t>
      </w:r>
    </w:p>
    <w:p w:rsidR="001A1784" w:rsidRPr="00C84483" w:rsidRDefault="001A1784" w:rsidP="001A1784">
      <w:pPr>
        <w:tabs>
          <w:tab w:val="left" w:pos="851"/>
        </w:tabs>
        <w:ind w:left="851"/>
        <w:rPr>
          <w:sz w:val="24"/>
          <w:szCs w:val="24"/>
        </w:rPr>
      </w:pPr>
    </w:p>
    <w:p w:rsidR="001A1784" w:rsidRPr="00C84483" w:rsidRDefault="001A1784" w:rsidP="001A1784">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7954A0">
        <w:rPr>
          <w:b/>
          <w:sz w:val="24"/>
          <w:szCs w:val="24"/>
        </w:rPr>
        <w:t>bortskaffelse</w:t>
      </w:r>
      <w:r w:rsidRPr="00C84483">
        <w:rPr>
          <w:b/>
          <w:sz w:val="24"/>
          <w:szCs w:val="24"/>
        </w:rPr>
        <w:t xml:space="preserve"> og anden håndtering</w:t>
      </w:r>
    </w:p>
    <w:p w:rsidR="001A1784" w:rsidRDefault="001A1784" w:rsidP="001A1784">
      <w:pPr>
        <w:tabs>
          <w:tab w:val="left" w:pos="0"/>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lang w:eastAsia="da-DK"/>
        </w:rPr>
      </w:pPr>
      <w:r>
        <w:rPr>
          <w:spacing w:val="-3"/>
          <w:sz w:val="24"/>
          <w:szCs w:val="24"/>
          <w:lang w:eastAsia="da-DK"/>
        </w:rPr>
        <w:t>Ingen særlige forholdsregler.</w:t>
      </w:r>
    </w:p>
    <w:p w:rsidR="001A1784" w:rsidRPr="00C84483" w:rsidRDefault="001A1784" w:rsidP="001A1784">
      <w:pPr>
        <w:tabs>
          <w:tab w:val="left" w:pos="851"/>
        </w:tabs>
        <w:ind w:left="851"/>
        <w:jc w:val="both"/>
        <w:rPr>
          <w:sz w:val="24"/>
          <w:szCs w:val="24"/>
        </w:rPr>
      </w:pPr>
    </w:p>
    <w:p w:rsidR="001A1784" w:rsidRPr="00C84483" w:rsidRDefault="001A1784" w:rsidP="009203BA">
      <w:pPr>
        <w:keepNext/>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90C0B" w:rsidRPr="003305BE" w:rsidRDefault="00C90C0B" w:rsidP="009203BA">
      <w:pPr>
        <w:keepNext/>
        <w:widowControl w:val="0"/>
        <w:autoSpaceDE w:val="0"/>
        <w:autoSpaceDN w:val="0"/>
        <w:adjustRightInd w:val="0"/>
        <w:ind w:left="851" w:right="-28"/>
        <w:rPr>
          <w:bCs/>
          <w:color w:val="231F20"/>
          <w:sz w:val="24"/>
          <w:szCs w:val="24"/>
          <w:lang w:val="en-US" w:eastAsia="da-DK"/>
        </w:rPr>
      </w:pPr>
      <w:r w:rsidRPr="003305BE">
        <w:rPr>
          <w:bCs/>
          <w:color w:val="231F20"/>
          <w:sz w:val="24"/>
          <w:szCs w:val="24"/>
          <w:lang w:val="en-US" w:eastAsia="da-DK"/>
        </w:rPr>
        <w:t>Accord Healthcare B.V.</w:t>
      </w:r>
    </w:p>
    <w:p w:rsidR="00C90C0B" w:rsidRPr="003305BE" w:rsidRDefault="00C90C0B" w:rsidP="009203BA">
      <w:pPr>
        <w:keepNext/>
        <w:widowControl w:val="0"/>
        <w:autoSpaceDE w:val="0"/>
        <w:autoSpaceDN w:val="0"/>
        <w:adjustRightInd w:val="0"/>
        <w:ind w:left="851" w:right="-28"/>
        <w:rPr>
          <w:bCs/>
          <w:color w:val="231F20"/>
          <w:sz w:val="24"/>
          <w:szCs w:val="24"/>
          <w:lang w:val="en-US" w:eastAsia="da-DK"/>
        </w:rPr>
      </w:pPr>
      <w:r w:rsidRPr="003305BE">
        <w:rPr>
          <w:bCs/>
          <w:color w:val="231F20"/>
          <w:sz w:val="24"/>
          <w:szCs w:val="24"/>
          <w:lang w:val="en-US" w:eastAsia="da-DK"/>
        </w:rPr>
        <w:t>Winthontlaan 200</w:t>
      </w:r>
    </w:p>
    <w:p w:rsidR="00C90C0B" w:rsidRPr="0000022C" w:rsidRDefault="00C90C0B" w:rsidP="009203BA">
      <w:pPr>
        <w:keepNext/>
        <w:widowControl w:val="0"/>
        <w:autoSpaceDE w:val="0"/>
        <w:autoSpaceDN w:val="0"/>
        <w:adjustRightInd w:val="0"/>
        <w:ind w:left="851" w:right="-28"/>
        <w:rPr>
          <w:bCs/>
          <w:color w:val="231F20"/>
          <w:sz w:val="24"/>
          <w:szCs w:val="24"/>
          <w:lang w:eastAsia="da-DK"/>
        </w:rPr>
      </w:pPr>
      <w:r w:rsidRPr="0000022C">
        <w:rPr>
          <w:bCs/>
          <w:color w:val="231F20"/>
          <w:sz w:val="24"/>
          <w:szCs w:val="24"/>
          <w:lang w:eastAsia="da-DK"/>
        </w:rPr>
        <w:t>3526KV Utrecht</w:t>
      </w:r>
    </w:p>
    <w:p w:rsidR="001A1784" w:rsidRPr="0000022C" w:rsidRDefault="00C90C0B" w:rsidP="00C90C0B">
      <w:pPr>
        <w:tabs>
          <w:tab w:val="left" w:pos="851"/>
        </w:tabs>
        <w:ind w:left="851"/>
        <w:rPr>
          <w:bCs/>
          <w:color w:val="231F20"/>
          <w:sz w:val="24"/>
          <w:szCs w:val="24"/>
          <w:lang w:eastAsia="da-DK"/>
        </w:rPr>
      </w:pPr>
      <w:r w:rsidRPr="0000022C">
        <w:rPr>
          <w:bCs/>
          <w:color w:val="231F20"/>
          <w:sz w:val="24"/>
          <w:szCs w:val="24"/>
          <w:lang w:eastAsia="da-DK"/>
        </w:rPr>
        <w:t>Holland</w:t>
      </w:r>
    </w:p>
    <w:p w:rsidR="00C90C0B" w:rsidRPr="0000022C" w:rsidRDefault="00C90C0B" w:rsidP="00C90C0B">
      <w:pPr>
        <w:tabs>
          <w:tab w:val="left" w:pos="851"/>
        </w:tabs>
        <w:ind w:left="851"/>
        <w:rPr>
          <w:sz w:val="24"/>
          <w:szCs w:val="24"/>
        </w:rPr>
      </w:pPr>
    </w:p>
    <w:p w:rsidR="001A1784" w:rsidRPr="0000022C" w:rsidRDefault="001A1784" w:rsidP="00BC049C">
      <w:pPr>
        <w:keepNext/>
        <w:tabs>
          <w:tab w:val="left" w:pos="851"/>
        </w:tabs>
        <w:ind w:left="851" w:hanging="851"/>
        <w:rPr>
          <w:b/>
          <w:sz w:val="24"/>
          <w:szCs w:val="24"/>
        </w:rPr>
      </w:pPr>
      <w:r w:rsidRPr="0000022C">
        <w:rPr>
          <w:b/>
          <w:sz w:val="24"/>
          <w:szCs w:val="24"/>
        </w:rPr>
        <w:t>8.</w:t>
      </w:r>
      <w:r w:rsidRPr="0000022C">
        <w:rPr>
          <w:b/>
          <w:sz w:val="24"/>
          <w:szCs w:val="24"/>
        </w:rPr>
        <w:tab/>
        <w:t>MARKEDSFØRINGSTILLADELSESNUMMER (</w:t>
      </w:r>
      <w:r w:rsidR="007954A0" w:rsidRPr="0000022C">
        <w:rPr>
          <w:b/>
          <w:sz w:val="24"/>
          <w:szCs w:val="24"/>
        </w:rPr>
        <w:t>-</w:t>
      </w:r>
      <w:r w:rsidRPr="0000022C">
        <w:rPr>
          <w:b/>
          <w:sz w:val="24"/>
          <w:szCs w:val="24"/>
        </w:rPr>
        <w:t>NUMRE)</w:t>
      </w:r>
    </w:p>
    <w:p w:rsidR="001A1784" w:rsidRPr="0000022C" w:rsidRDefault="001A1784" w:rsidP="001A1784">
      <w:pPr>
        <w:tabs>
          <w:tab w:val="left" w:pos="851"/>
          <w:tab w:val="left" w:pos="1701"/>
        </w:tabs>
        <w:ind w:left="851"/>
        <w:rPr>
          <w:sz w:val="24"/>
          <w:szCs w:val="24"/>
        </w:rPr>
      </w:pPr>
      <w:r w:rsidRPr="0000022C">
        <w:rPr>
          <w:sz w:val="24"/>
          <w:szCs w:val="24"/>
        </w:rPr>
        <w:t>10 mg:</w:t>
      </w:r>
      <w:r w:rsidRPr="0000022C">
        <w:rPr>
          <w:sz w:val="24"/>
          <w:szCs w:val="24"/>
        </w:rPr>
        <w:tab/>
        <w:t>57229</w:t>
      </w:r>
    </w:p>
    <w:p w:rsidR="001A1784" w:rsidRPr="0000022C" w:rsidRDefault="001A1784" w:rsidP="001A1784">
      <w:pPr>
        <w:tabs>
          <w:tab w:val="left" w:pos="851"/>
          <w:tab w:val="left" w:pos="1701"/>
        </w:tabs>
        <w:ind w:left="851"/>
        <w:rPr>
          <w:sz w:val="24"/>
          <w:szCs w:val="24"/>
        </w:rPr>
      </w:pPr>
      <w:r w:rsidRPr="0000022C">
        <w:rPr>
          <w:sz w:val="24"/>
          <w:szCs w:val="24"/>
        </w:rPr>
        <w:t>20 mg:</w:t>
      </w:r>
      <w:r w:rsidRPr="0000022C">
        <w:rPr>
          <w:sz w:val="24"/>
          <w:szCs w:val="24"/>
        </w:rPr>
        <w:tab/>
        <w:t>57230</w:t>
      </w:r>
    </w:p>
    <w:p w:rsidR="001A1784" w:rsidRPr="0000022C" w:rsidRDefault="001A1784" w:rsidP="001A1784">
      <w:pPr>
        <w:tabs>
          <w:tab w:val="left" w:pos="851"/>
          <w:tab w:val="left" w:pos="1701"/>
        </w:tabs>
        <w:ind w:left="851"/>
        <w:rPr>
          <w:sz w:val="24"/>
          <w:szCs w:val="24"/>
        </w:rPr>
      </w:pPr>
      <w:r w:rsidRPr="0000022C">
        <w:rPr>
          <w:sz w:val="24"/>
          <w:szCs w:val="24"/>
        </w:rPr>
        <w:t>40 mg:</w:t>
      </w:r>
      <w:r w:rsidRPr="0000022C">
        <w:rPr>
          <w:sz w:val="24"/>
          <w:szCs w:val="24"/>
        </w:rPr>
        <w:tab/>
        <w:t>57231</w:t>
      </w:r>
    </w:p>
    <w:p w:rsidR="001A1784" w:rsidRPr="0000022C" w:rsidRDefault="001A1784" w:rsidP="001A1784">
      <w:pPr>
        <w:tabs>
          <w:tab w:val="left" w:pos="851"/>
          <w:tab w:val="left" w:pos="1701"/>
        </w:tabs>
        <w:ind w:left="851"/>
        <w:rPr>
          <w:sz w:val="24"/>
          <w:szCs w:val="24"/>
        </w:rPr>
      </w:pPr>
      <w:r w:rsidRPr="0000022C">
        <w:rPr>
          <w:sz w:val="24"/>
          <w:szCs w:val="24"/>
        </w:rPr>
        <w:t>80 mg:</w:t>
      </w:r>
      <w:r w:rsidRPr="0000022C">
        <w:rPr>
          <w:sz w:val="24"/>
          <w:szCs w:val="24"/>
        </w:rPr>
        <w:tab/>
        <w:t>57232</w:t>
      </w:r>
    </w:p>
    <w:p w:rsidR="001A1784" w:rsidRPr="0000022C" w:rsidRDefault="001A1784" w:rsidP="001A1784">
      <w:pPr>
        <w:tabs>
          <w:tab w:val="left" w:pos="851"/>
        </w:tabs>
        <w:ind w:left="851"/>
        <w:jc w:val="both"/>
        <w:rPr>
          <w:sz w:val="24"/>
          <w:szCs w:val="24"/>
        </w:rPr>
      </w:pPr>
    </w:p>
    <w:p w:rsidR="001A1784" w:rsidRPr="0000022C" w:rsidRDefault="001A1784" w:rsidP="001A1784">
      <w:pPr>
        <w:tabs>
          <w:tab w:val="left" w:pos="851"/>
        </w:tabs>
        <w:ind w:left="851" w:hanging="851"/>
        <w:rPr>
          <w:b/>
          <w:sz w:val="24"/>
          <w:szCs w:val="24"/>
        </w:rPr>
      </w:pPr>
      <w:r w:rsidRPr="0000022C">
        <w:rPr>
          <w:b/>
          <w:sz w:val="24"/>
          <w:szCs w:val="24"/>
        </w:rPr>
        <w:t>9.</w:t>
      </w:r>
      <w:r w:rsidRPr="0000022C">
        <w:rPr>
          <w:b/>
          <w:sz w:val="24"/>
          <w:szCs w:val="24"/>
        </w:rPr>
        <w:tab/>
        <w:t>DATO FOR FØRSTE MARKEDSFØRINGSTILLADELSE</w:t>
      </w:r>
    </w:p>
    <w:p w:rsidR="001A1784" w:rsidRPr="0000022C" w:rsidRDefault="001A1784" w:rsidP="001A1784">
      <w:pPr>
        <w:tabs>
          <w:tab w:val="left" w:pos="851"/>
        </w:tabs>
        <w:ind w:left="851"/>
        <w:rPr>
          <w:sz w:val="24"/>
          <w:szCs w:val="24"/>
        </w:rPr>
      </w:pPr>
      <w:r w:rsidRPr="0000022C">
        <w:rPr>
          <w:sz w:val="24"/>
          <w:szCs w:val="24"/>
        </w:rPr>
        <w:t>27. juli 2017</w:t>
      </w:r>
    </w:p>
    <w:p w:rsidR="001A1784" w:rsidRPr="0000022C" w:rsidRDefault="001A1784" w:rsidP="001A1784">
      <w:pPr>
        <w:tabs>
          <w:tab w:val="left" w:pos="851"/>
        </w:tabs>
        <w:ind w:left="851"/>
        <w:rPr>
          <w:sz w:val="24"/>
          <w:szCs w:val="24"/>
        </w:rPr>
      </w:pPr>
    </w:p>
    <w:p w:rsidR="001A1784" w:rsidRPr="0000022C" w:rsidRDefault="001A1784" w:rsidP="001A1784">
      <w:pPr>
        <w:tabs>
          <w:tab w:val="left" w:pos="851"/>
        </w:tabs>
        <w:ind w:left="851" w:hanging="851"/>
        <w:rPr>
          <w:b/>
          <w:sz w:val="24"/>
          <w:szCs w:val="24"/>
        </w:rPr>
      </w:pPr>
      <w:r w:rsidRPr="0000022C">
        <w:rPr>
          <w:b/>
          <w:sz w:val="24"/>
          <w:szCs w:val="24"/>
        </w:rPr>
        <w:t>10.</w:t>
      </w:r>
      <w:r w:rsidRPr="0000022C">
        <w:rPr>
          <w:b/>
          <w:sz w:val="24"/>
          <w:szCs w:val="24"/>
        </w:rPr>
        <w:tab/>
        <w:t>DATO FOR ÆNDRING AF TEKSTEN</w:t>
      </w:r>
    </w:p>
    <w:p w:rsidR="001A1784" w:rsidRPr="00204C24" w:rsidRDefault="00F91F1E" w:rsidP="001A1784">
      <w:pPr>
        <w:tabs>
          <w:tab w:val="left" w:pos="851"/>
        </w:tabs>
        <w:ind w:left="851"/>
        <w:rPr>
          <w:sz w:val="24"/>
          <w:szCs w:val="24"/>
          <w:lang w:val="en-US"/>
        </w:rPr>
      </w:pPr>
      <w:r>
        <w:rPr>
          <w:sz w:val="24"/>
          <w:szCs w:val="24"/>
          <w:lang w:val="en-US"/>
        </w:rPr>
        <w:t>17</w:t>
      </w:r>
      <w:r w:rsidR="001D352D" w:rsidRPr="00204C24">
        <w:rPr>
          <w:sz w:val="24"/>
          <w:szCs w:val="24"/>
          <w:lang w:val="en-US"/>
        </w:rPr>
        <w:t xml:space="preserve">. </w:t>
      </w:r>
      <w:r>
        <w:rPr>
          <w:sz w:val="24"/>
          <w:szCs w:val="24"/>
          <w:lang w:val="en-US"/>
        </w:rPr>
        <w:t>marts</w:t>
      </w:r>
      <w:r w:rsidR="001D352D" w:rsidRPr="00204C24">
        <w:rPr>
          <w:sz w:val="24"/>
          <w:szCs w:val="24"/>
          <w:lang w:val="en-US"/>
        </w:rPr>
        <w:t xml:space="preserve"> 2025</w:t>
      </w:r>
    </w:p>
    <w:p w:rsidR="001A1784" w:rsidRPr="00204C24" w:rsidRDefault="001A1784" w:rsidP="001A1784">
      <w:pPr>
        <w:rPr>
          <w:lang w:val="en-US"/>
        </w:rPr>
      </w:pPr>
    </w:p>
    <w:p w:rsidR="001A1784" w:rsidRPr="00204C24" w:rsidRDefault="001A1784" w:rsidP="001A1784">
      <w:pPr>
        <w:rPr>
          <w:lang w:val="en-US"/>
        </w:rPr>
      </w:pPr>
    </w:p>
    <w:p w:rsidR="009260DE" w:rsidRPr="00204C24" w:rsidRDefault="009260DE" w:rsidP="001A1784">
      <w:pPr>
        <w:rPr>
          <w:lang w:val="en-US"/>
        </w:rPr>
      </w:pPr>
    </w:p>
    <w:sectPr w:rsidR="009260DE" w:rsidRPr="00204C2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0D6" w:rsidRDefault="00F160D6">
      <w:r>
        <w:separator/>
      </w:r>
    </w:p>
  </w:endnote>
  <w:endnote w:type="continuationSeparator" w:id="0">
    <w:p w:rsidR="00F160D6" w:rsidRDefault="00F1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0D6" w:rsidRDefault="00F160D6">
    <w:pPr>
      <w:pStyle w:val="Sidefod"/>
      <w:pBdr>
        <w:bottom w:val="single" w:sz="6" w:space="1" w:color="auto"/>
      </w:pBdr>
    </w:pPr>
  </w:p>
  <w:p w:rsidR="00F160D6" w:rsidRDefault="00F160D6" w:rsidP="00C42586">
    <w:pPr>
      <w:pStyle w:val="Sidefod"/>
      <w:tabs>
        <w:tab w:val="clear" w:pos="4819"/>
        <w:tab w:val="left" w:pos="8505"/>
      </w:tabs>
      <w:rPr>
        <w:i/>
        <w:sz w:val="18"/>
        <w:szCs w:val="18"/>
      </w:rPr>
    </w:pPr>
  </w:p>
  <w:p w:rsidR="00F160D6" w:rsidRPr="00B373D7" w:rsidRDefault="00F160D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Atorvastatin Accord, filmovertrukne tabletter 10 mg, 20 mg, 40 mg og 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0D6" w:rsidRDefault="00F160D6">
      <w:r>
        <w:separator/>
      </w:r>
    </w:p>
  </w:footnote>
  <w:footnote w:type="continuationSeparator" w:id="0">
    <w:p w:rsidR="00F160D6" w:rsidRDefault="00F16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5348"/>
    <w:multiLevelType w:val="hybridMultilevel"/>
    <w:tmpl w:val="9EE2E1B2"/>
    <w:lvl w:ilvl="0" w:tplc="EDE85C9E">
      <w:start w:val="1"/>
      <w:numFmt w:val="bullet"/>
      <w:lvlText w:val=""/>
      <w:lvlJc w:val="left"/>
      <w:pPr>
        <w:tabs>
          <w:tab w:val="num" w:pos="1211"/>
        </w:tabs>
        <w:ind w:left="1211" w:hanging="360"/>
      </w:pPr>
      <w:rPr>
        <w:rFonts w:ascii="Symbol" w:hAnsi="Symbol" w:hint="default"/>
        <w:color w:val="auto"/>
      </w:rPr>
    </w:lvl>
    <w:lvl w:ilvl="1" w:tplc="04060003" w:tentative="1">
      <w:start w:val="1"/>
      <w:numFmt w:val="bullet"/>
      <w:lvlText w:val="o"/>
      <w:lvlJc w:val="left"/>
      <w:pPr>
        <w:tabs>
          <w:tab w:val="num" w:pos="626"/>
        </w:tabs>
        <w:ind w:left="626" w:hanging="360"/>
      </w:pPr>
      <w:rPr>
        <w:rFonts w:ascii="Courier New" w:hAnsi="Courier New" w:hint="default"/>
      </w:rPr>
    </w:lvl>
    <w:lvl w:ilvl="2" w:tplc="04060005" w:tentative="1">
      <w:start w:val="1"/>
      <w:numFmt w:val="bullet"/>
      <w:lvlText w:val=""/>
      <w:lvlJc w:val="left"/>
      <w:pPr>
        <w:tabs>
          <w:tab w:val="num" w:pos="1346"/>
        </w:tabs>
        <w:ind w:left="1346" w:hanging="360"/>
      </w:pPr>
      <w:rPr>
        <w:rFonts w:ascii="Wingdings" w:hAnsi="Wingdings" w:hint="default"/>
      </w:rPr>
    </w:lvl>
    <w:lvl w:ilvl="3" w:tplc="04060001" w:tentative="1">
      <w:start w:val="1"/>
      <w:numFmt w:val="bullet"/>
      <w:lvlText w:val=""/>
      <w:lvlJc w:val="left"/>
      <w:pPr>
        <w:tabs>
          <w:tab w:val="num" w:pos="2066"/>
        </w:tabs>
        <w:ind w:left="2066" w:hanging="360"/>
      </w:pPr>
      <w:rPr>
        <w:rFonts w:ascii="Symbol" w:hAnsi="Symbol" w:hint="default"/>
      </w:rPr>
    </w:lvl>
    <w:lvl w:ilvl="4" w:tplc="04060003" w:tentative="1">
      <w:start w:val="1"/>
      <w:numFmt w:val="bullet"/>
      <w:lvlText w:val="o"/>
      <w:lvlJc w:val="left"/>
      <w:pPr>
        <w:tabs>
          <w:tab w:val="num" w:pos="2786"/>
        </w:tabs>
        <w:ind w:left="2786" w:hanging="360"/>
      </w:pPr>
      <w:rPr>
        <w:rFonts w:ascii="Courier New" w:hAnsi="Courier New" w:hint="default"/>
      </w:rPr>
    </w:lvl>
    <w:lvl w:ilvl="5" w:tplc="04060005" w:tentative="1">
      <w:start w:val="1"/>
      <w:numFmt w:val="bullet"/>
      <w:lvlText w:val=""/>
      <w:lvlJc w:val="left"/>
      <w:pPr>
        <w:tabs>
          <w:tab w:val="num" w:pos="3506"/>
        </w:tabs>
        <w:ind w:left="3506" w:hanging="360"/>
      </w:pPr>
      <w:rPr>
        <w:rFonts w:ascii="Wingdings" w:hAnsi="Wingdings" w:hint="default"/>
      </w:rPr>
    </w:lvl>
    <w:lvl w:ilvl="6" w:tplc="04060001" w:tentative="1">
      <w:start w:val="1"/>
      <w:numFmt w:val="bullet"/>
      <w:lvlText w:val=""/>
      <w:lvlJc w:val="left"/>
      <w:pPr>
        <w:tabs>
          <w:tab w:val="num" w:pos="4226"/>
        </w:tabs>
        <w:ind w:left="4226" w:hanging="360"/>
      </w:pPr>
      <w:rPr>
        <w:rFonts w:ascii="Symbol" w:hAnsi="Symbol" w:hint="default"/>
      </w:rPr>
    </w:lvl>
    <w:lvl w:ilvl="7" w:tplc="04060003" w:tentative="1">
      <w:start w:val="1"/>
      <w:numFmt w:val="bullet"/>
      <w:lvlText w:val="o"/>
      <w:lvlJc w:val="left"/>
      <w:pPr>
        <w:tabs>
          <w:tab w:val="num" w:pos="4946"/>
        </w:tabs>
        <w:ind w:left="4946" w:hanging="360"/>
      </w:pPr>
      <w:rPr>
        <w:rFonts w:ascii="Courier New" w:hAnsi="Courier New" w:hint="default"/>
      </w:rPr>
    </w:lvl>
    <w:lvl w:ilvl="8" w:tplc="04060005" w:tentative="1">
      <w:start w:val="1"/>
      <w:numFmt w:val="bullet"/>
      <w:lvlText w:val=""/>
      <w:lvlJc w:val="left"/>
      <w:pPr>
        <w:tabs>
          <w:tab w:val="num" w:pos="5666"/>
        </w:tabs>
        <w:ind w:left="5666" w:hanging="360"/>
      </w:pPr>
      <w:rPr>
        <w:rFonts w:ascii="Wingdings" w:hAnsi="Wingdings" w:hint="default"/>
      </w:rPr>
    </w:lvl>
  </w:abstractNum>
  <w:abstractNum w:abstractNumId="1" w15:restartNumberingAfterBreak="0">
    <w:nsid w:val="0D720371"/>
    <w:multiLevelType w:val="hybridMultilevel"/>
    <w:tmpl w:val="5B8A13C4"/>
    <w:lvl w:ilvl="0" w:tplc="04090001">
      <w:start w:val="1"/>
      <w:numFmt w:val="bullet"/>
      <w:lvlText w:val=""/>
      <w:lvlJc w:val="left"/>
      <w:pPr>
        <w:tabs>
          <w:tab w:val="num" w:pos="-58"/>
        </w:tabs>
        <w:ind w:left="-58" w:hanging="360"/>
      </w:pPr>
      <w:rPr>
        <w:rFonts w:ascii="Symbol" w:hAnsi="Symbol" w:hint="default"/>
      </w:rPr>
    </w:lvl>
    <w:lvl w:ilvl="1" w:tplc="04090003">
      <w:start w:val="1"/>
      <w:numFmt w:val="bullet"/>
      <w:lvlText w:val="o"/>
      <w:lvlJc w:val="left"/>
      <w:pPr>
        <w:tabs>
          <w:tab w:val="num" w:pos="662"/>
        </w:tabs>
        <w:ind w:left="662" w:hanging="360"/>
      </w:pPr>
      <w:rPr>
        <w:rFonts w:ascii="Courier New" w:hAnsi="Courier New" w:hint="default"/>
      </w:rPr>
    </w:lvl>
    <w:lvl w:ilvl="2" w:tplc="04090005" w:tentative="1">
      <w:start w:val="1"/>
      <w:numFmt w:val="bullet"/>
      <w:lvlText w:val=""/>
      <w:lvlJc w:val="left"/>
      <w:pPr>
        <w:tabs>
          <w:tab w:val="num" w:pos="1382"/>
        </w:tabs>
        <w:ind w:left="1382" w:hanging="360"/>
      </w:pPr>
      <w:rPr>
        <w:rFonts w:ascii="Wingdings" w:hAnsi="Wingdings" w:hint="default"/>
      </w:rPr>
    </w:lvl>
    <w:lvl w:ilvl="3" w:tplc="04090001" w:tentative="1">
      <w:start w:val="1"/>
      <w:numFmt w:val="bullet"/>
      <w:lvlText w:val=""/>
      <w:lvlJc w:val="left"/>
      <w:pPr>
        <w:tabs>
          <w:tab w:val="num" w:pos="2102"/>
        </w:tabs>
        <w:ind w:left="2102" w:hanging="360"/>
      </w:pPr>
      <w:rPr>
        <w:rFonts w:ascii="Symbol" w:hAnsi="Symbol" w:hint="default"/>
      </w:rPr>
    </w:lvl>
    <w:lvl w:ilvl="4" w:tplc="04090003" w:tentative="1">
      <w:start w:val="1"/>
      <w:numFmt w:val="bullet"/>
      <w:lvlText w:val="o"/>
      <w:lvlJc w:val="left"/>
      <w:pPr>
        <w:tabs>
          <w:tab w:val="num" w:pos="2822"/>
        </w:tabs>
        <w:ind w:left="2822" w:hanging="360"/>
      </w:pPr>
      <w:rPr>
        <w:rFonts w:ascii="Courier New" w:hAnsi="Courier New" w:hint="default"/>
      </w:rPr>
    </w:lvl>
    <w:lvl w:ilvl="5" w:tplc="04090005" w:tentative="1">
      <w:start w:val="1"/>
      <w:numFmt w:val="bullet"/>
      <w:lvlText w:val=""/>
      <w:lvlJc w:val="left"/>
      <w:pPr>
        <w:tabs>
          <w:tab w:val="num" w:pos="3542"/>
        </w:tabs>
        <w:ind w:left="3542" w:hanging="360"/>
      </w:pPr>
      <w:rPr>
        <w:rFonts w:ascii="Wingdings" w:hAnsi="Wingdings" w:hint="default"/>
      </w:rPr>
    </w:lvl>
    <w:lvl w:ilvl="6" w:tplc="04090001" w:tentative="1">
      <w:start w:val="1"/>
      <w:numFmt w:val="bullet"/>
      <w:lvlText w:val=""/>
      <w:lvlJc w:val="left"/>
      <w:pPr>
        <w:tabs>
          <w:tab w:val="num" w:pos="4262"/>
        </w:tabs>
        <w:ind w:left="4262" w:hanging="360"/>
      </w:pPr>
      <w:rPr>
        <w:rFonts w:ascii="Symbol" w:hAnsi="Symbol" w:hint="default"/>
      </w:rPr>
    </w:lvl>
    <w:lvl w:ilvl="7" w:tplc="04090003" w:tentative="1">
      <w:start w:val="1"/>
      <w:numFmt w:val="bullet"/>
      <w:lvlText w:val="o"/>
      <w:lvlJc w:val="left"/>
      <w:pPr>
        <w:tabs>
          <w:tab w:val="num" w:pos="4982"/>
        </w:tabs>
        <w:ind w:left="4982" w:hanging="360"/>
      </w:pPr>
      <w:rPr>
        <w:rFonts w:ascii="Courier New" w:hAnsi="Courier New" w:hint="default"/>
      </w:rPr>
    </w:lvl>
    <w:lvl w:ilvl="8" w:tplc="04090005" w:tentative="1">
      <w:start w:val="1"/>
      <w:numFmt w:val="bullet"/>
      <w:lvlText w:val=""/>
      <w:lvlJc w:val="left"/>
      <w:pPr>
        <w:tabs>
          <w:tab w:val="num" w:pos="5702"/>
        </w:tabs>
        <w:ind w:left="5702"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2F4357A"/>
    <w:multiLevelType w:val="hybridMultilevel"/>
    <w:tmpl w:val="9F305FAA"/>
    <w:lvl w:ilvl="0" w:tplc="FD2E90A6">
      <w:numFmt w:val="bullet"/>
      <w:lvlText w:val="-"/>
      <w:lvlJc w:val="left"/>
      <w:pPr>
        <w:tabs>
          <w:tab w:val="num" w:pos="1706"/>
        </w:tabs>
        <w:ind w:left="1706" w:hanging="360"/>
      </w:pPr>
      <w:rPr>
        <w:rFonts w:ascii="Times New Roman" w:eastAsia="Times New Roman" w:hAnsi="Times New Roman" w:hint="default"/>
      </w:rPr>
    </w:lvl>
    <w:lvl w:ilvl="1" w:tplc="04060003" w:tentative="1">
      <w:start w:val="1"/>
      <w:numFmt w:val="bullet"/>
      <w:lvlText w:val="o"/>
      <w:lvlJc w:val="left"/>
      <w:pPr>
        <w:tabs>
          <w:tab w:val="num" w:pos="1931"/>
        </w:tabs>
        <w:ind w:left="1931" w:hanging="360"/>
      </w:pPr>
      <w:rPr>
        <w:rFonts w:ascii="Courier New" w:hAnsi="Courier New" w:hint="default"/>
      </w:rPr>
    </w:lvl>
    <w:lvl w:ilvl="2" w:tplc="04060005" w:tentative="1">
      <w:start w:val="1"/>
      <w:numFmt w:val="bullet"/>
      <w:lvlText w:val=""/>
      <w:lvlJc w:val="left"/>
      <w:pPr>
        <w:tabs>
          <w:tab w:val="num" w:pos="2651"/>
        </w:tabs>
        <w:ind w:left="2651" w:hanging="360"/>
      </w:pPr>
      <w:rPr>
        <w:rFonts w:ascii="Wingdings" w:hAnsi="Wingdings" w:hint="default"/>
      </w:rPr>
    </w:lvl>
    <w:lvl w:ilvl="3" w:tplc="04060001" w:tentative="1">
      <w:start w:val="1"/>
      <w:numFmt w:val="bullet"/>
      <w:lvlText w:val=""/>
      <w:lvlJc w:val="left"/>
      <w:pPr>
        <w:tabs>
          <w:tab w:val="num" w:pos="3371"/>
        </w:tabs>
        <w:ind w:left="3371" w:hanging="360"/>
      </w:pPr>
      <w:rPr>
        <w:rFonts w:ascii="Symbol" w:hAnsi="Symbol" w:hint="default"/>
      </w:rPr>
    </w:lvl>
    <w:lvl w:ilvl="4" w:tplc="04060003" w:tentative="1">
      <w:start w:val="1"/>
      <w:numFmt w:val="bullet"/>
      <w:lvlText w:val="o"/>
      <w:lvlJc w:val="left"/>
      <w:pPr>
        <w:tabs>
          <w:tab w:val="num" w:pos="4091"/>
        </w:tabs>
        <w:ind w:left="4091" w:hanging="360"/>
      </w:pPr>
      <w:rPr>
        <w:rFonts w:ascii="Courier New" w:hAnsi="Courier New" w:hint="default"/>
      </w:rPr>
    </w:lvl>
    <w:lvl w:ilvl="5" w:tplc="04060005" w:tentative="1">
      <w:start w:val="1"/>
      <w:numFmt w:val="bullet"/>
      <w:lvlText w:val=""/>
      <w:lvlJc w:val="left"/>
      <w:pPr>
        <w:tabs>
          <w:tab w:val="num" w:pos="4811"/>
        </w:tabs>
        <w:ind w:left="4811" w:hanging="360"/>
      </w:pPr>
      <w:rPr>
        <w:rFonts w:ascii="Wingdings" w:hAnsi="Wingdings" w:hint="default"/>
      </w:rPr>
    </w:lvl>
    <w:lvl w:ilvl="6" w:tplc="04060001" w:tentative="1">
      <w:start w:val="1"/>
      <w:numFmt w:val="bullet"/>
      <w:lvlText w:val=""/>
      <w:lvlJc w:val="left"/>
      <w:pPr>
        <w:tabs>
          <w:tab w:val="num" w:pos="5531"/>
        </w:tabs>
        <w:ind w:left="5531" w:hanging="360"/>
      </w:pPr>
      <w:rPr>
        <w:rFonts w:ascii="Symbol" w:hAnsi="Symbol" w:hint="default"/>
      </w:rPr>
    </w:lvl>
    <w:lvl w:ilvl="7" w:tplc="04060003" w:tentative="1">
      <w:start w:val="1"/>
      <w:numFmt w:val="bullet"/>
      <w:lvlText w:val="o"/>
      <w:lvlJc w:val="left"/>
      <w:pPr>
        <w:tabs>
          <w:tab w:val="num" w:pos="6251"/>
        </w:tabs>
        <w:ind w:left="6251" w:hanging="360"/>
      </w:pPr>
      <w:rPr>
        <w:rFonts w:ascii="Courier New" w:hAnsi="Courier New" w:hint="default"/>
      </w:rPr>
    </w:lvl>
    <w:lvl w:ilvl="8" w:tplc="0406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3A44C1F"/>
    <w:multiLevelType w:val="multilevel"/>
    <w:tmpl w:val="0E064832"/>
    <w:lvl w:ilvl="0">
      <w:start w:val="15"/>
      <w:numFmt w:val="bullet"/>
      <w:lvlText w:val="-"/>
      <w:lvlJc w:val="left"/>
      <w:pPr>
        <w:tabs>
          <w:tab w:val="num" w:pos="2550"/>
        </w:tabs>
        <w:ind w:left="2550" w:hanging="840"/>
      </w:pPr>
      <w:rPr>
        <w:rFonts w:ascii="Times New Roman" w:eastAsia="Times New Roman" w:hAnsi="Times New Roman" w:hint="default"/>
      </w:rPr>
    </w:lvl>
    <w:lvl w:ilvl="1" w:tentative="1">
      <w:start w:val="1"/>
      <w:numFmt w:val="bullet"/>
      <w:lvlText w:val="o"/>
      <w:lvlJc w:val="left"/>
      <w:pPr>
        <w:tabs>
          <w:tab w:val="num" w:pos="2295"/>
        </w:tabs>
        <w:ind w:left="2295" w:hanging="360"/>
      </w:pPr>
      <w:rPr>
        <w:rFonts w:ascii="Courier New" w:hAnsi="Courier New" w:hint="default"/>
      </w:rPr>
    </w:lvl>
    <w:lvl w:ilvl="2" w:tentative="1">
      <w:start w:val="1"/>
      <w:numFmt w:val="bullet"/>
      <w:lvlText w:val=""/>
      <w:lvlJc w:val="left"/>
      <w:pPr>
        <w:tabs>
          <w:tab w:val="num" w:pos="3015"/>
        </w:tabs>
        <w:ind w:left="3015" w:hanging="360"/>
      </w:pPr>
      <w:rPr>
        <w:rFonts w:ascii="Wingdings" w:hAnsi="Wingdings" w:hint="default"/>
      </w:rPr>
    </w:lvl>
    <w:lvl w:ilvl="3" w:tentative="1">
      <w:start w:val="1"/>
      <w:numFmt w:val="bullet"/>
      <w:lvlText w:val=""/>
      <w:lvlJc w:val="left"/>
      <w:pPr>
        <w:tabs>
          <w:tab w:val="num" w:pos="3735"/>
        </w:tabs>
        <w:ind w:left="3735" w:hanging="360"/>
      </w:pPr>
      <w:rPr>
        <w:rFonts w:ascii="Symbol" w:hAnsi="Symbol" w:hint="default"/>
      </w:rPr>
    </w:lvl>
    <w:lvl w:ilvl="4" w:tentative="1">
      <w:start w:val="1"/>
      <w:numFmt w:val="bullet"/>
      <w:lvlText w:val="o"/>
      <w:lvlJc w:val="left"/>
      <w:pPr>
        <w:tabs>
          <w:tab w:val="num" w:pos="4455"/>
        </w:tabs>
        <w:ind w:left="4455" w:hanging="360"/>
      </w:pPr>
      <w:rPr>
        <w:rFonts w:ascii="Courier New" w:hAnsi="Courier New" w:hint="default"/>
      </w:rPr>
    </w:lvl>
    <w:lvl w:ilvl="5" w:tentative="1">
      <w:start w:val="1"/>
      <w:numFmt w:val="bullet"/>
      <w:lvlText w:val=""/>
      <w:lvlJc w:val="left"/>
      <w:pPr>
        <w:tabs>
          <w:tab w:val="num" w:pos="5175"/>
        </w:tabs>
        <w:ind w:left="5175" w:hanging="360"/>
      </w:pPr>
      <w:rPr>
        <w:rFonts w:ascii="Wingdings" w:hAnsi="Wingdings" w:hint="default"/>
      </w:rPr>
    </w:lvl>
    <w:lvl w:ilvl="6" w:tentative="1">
      <w:start w:val="1"/>
      <w:numFmt w:val="bullet"/>
      <w:lvlText w:val=""/>
      <w:lvlJc w:val="left"/>
      <w:pPr>
        <w:tabs>
          <w:tab w:val="num" w:pos="5895"/>
        </w:tabs>
        <w:ind w:left="5895" w:hanging="360"/>
      </w:pPr>
      <w:rPr>
        <w:rFonts w:ascii="Symbol" w:hAnsi="Symbol" w:hint="default"/>
      </w:rPr>
    </w:lvl>
    <w:lvl w:ilvl="7" w:tentative="1">
      <w:start w:val="1"/>
      <w:numFmt w:val="bullet"/>
      <w:lvlText w:val="o"/>
      <w:lvlJc w:val="left"/>
      <w:pPr>
        <w:tabs>
          <w:tab w:val="num" w:pos="6615"/>
        </w:tabs>
        <w:ind w:left="6615" w:hanging="360"/>
      </w:pPr>
      <w:rPr>
        <w:rFonts w:ascii="Courier New" w:hAnsi="Courier New" w:hint="default"/>
      </w:rPr>
    </w:lvl>
    <w:lvl w:ilvl="8" w:tentative="1">
      <w:start w:val="1"/>
      <w:numFmt w:val="bullet"/>
      <w:lvlText w:val=""/>
      <w:lvlJc w:val="left"/>
      <w:pPr>
        <w:tabs>
          <w:tab w:val="num" w:pos="7335"/>
        </w:tabs>
        <w:ind w:left="7335"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BD55DF2"/>
    <w:multiLevelType w:val="hybridMultilevel"/>
    <w:tmpl w:val="AF8AD2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9"/>
  </w:num>
  <w:num w:numId="9">
    <w:abstractNumId w:val="3"/>
  </w:num>
  <w:num w:numId="10">
    <w:abstractNumId w:val="5"/>
  </w:num>
  <w:num w:numId="11">
    <w:abstractNumId w:val="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84"/>
    <w:rsid w:val="0000022C"/>
    <w:rsid w:val="000259B9"/>
    <w:rsid w:val="000401F2"/>
    <w:rsid w:val="00041491"/>
    <w:rsid w:val="00050D16"/>
    <w:rsid w:val="00074F2A"/>
    <w:rsid w:val="000A1CA8"/>
    <w:rsid w:val="000A466B"/>
    <w:rsid w:val="000B058C"/>
    <w:rsid w:val="000E4EE6"/>
    <w:rsid w:val="001454E2"/>
    <w:rsid w:val="001A1784"/>
    <w:rsid w:val="001D352D"/>
    <w:rsid w:val="00204C24"/>
    <w:rsid w:val="00206CE8"/>
    <w:rsid w:val="0021526C"/>
    <w:rsid w:val="00283A2B"/>
    <w:rsid w:val="002B30AD"/>
    <w:rsid w:val="002C2C01"/>
    <w:rsid w:val="003A29AE"/>
    <w:rsid w:val="003A32D7"/>
    <w:rsid w:val="003B4074"/>
    <w:rsid w:val="003C769A"/>
    <w:rsid w:val="003F1838"/>
    <w:rsid w:val="004541ED"/>
    <w:rsid w:val="0045746C"/>
    <w:rsid w:val="0049104B"/>
    <w:rsid w:val="004E3B12"/>
    <w:rsid w:val="00532310"/>
    <w:rsid w:val="005360F3"/>
    <w:rsid w:val="00560ECC"/>
    <w:rsid w:val="00564811"/>
    <w:rsid w:val="00565F0F"/>
    <w:rsid w:val="00594A86"/>
    <w:rsid w:val="00596D86"/>
    <w:rsid w:val="00607969"/>
    <w:rsid w:val="006252FD"/>
    <w:rsid w:val="00633146"/>
    <w:rsid w:val="00637F5A"/>
    <w:rsid w:val="006560B1"/>
    <w:rsid w:val="006756DD"/>
    <w:rsid w:val="00737275"/>
    <w:rsid w:val="00740EEC"/>
    <w:rsid w:val="0075097E"/>
    <w:rsid w:val="0078011A"/>
    <w:rsid w:val="00782ADC"/>
    <w:rsid w:val="00782AF4"/>
    <w:rsid w:val="00790EE7"/>
    <w:rsid w:val="007954A0"/>
    <w:rsid w:val="007B6649"/>
    <w:rsid w:val="007F5EA7"/>
    <w:rsid w:val="0081546F"/>
    <w:rsid w:val="0082576E"/>
    <w:rsid w:val="00907F75"/>
    <w:rsid w:val="009203BA"/>
    <w:rsid w:val="009260DE"/>
    <w:rsid w:val="0093258A"/>
    <w:rsid w:val="00953CC4"/>
    <w:rsid w:val="009726B8"/>
    <w:rsid w:val="009C7BA3"/>
    <w:rsid w:val="009D1F5A"/>
    <w:rsid w:val="00AA0ED9"/>
    <w:rsid w:val="00AF1254"/>
    <w:rsid w:val="00B003BF"/>
    <w:rsid w:val="00B373D7"/>
    <w:rsid w:val="00BC049C"/>
    <w:rsid w:val="00C36276"/>
    <w:rsid w:val="00C42586"/>
    <w:rsid w:val="00C60CCD"/>
    <w:rsid w:val="00C84483"/>
    <w:rsid w:val="00C90C0B"/>
    <w:rsid w:val="00C95551"/>
    <w:rsid w:val="00CB20D7"/>
    <w:rsid w:val="00CB6DF4"/>
    <w:rsid w:val="00D020B0"/>
    <w:rsid w:val="00D11748"/>
    <w:rsid w:val="00D366CF"/>
    <w:rsid w:val="00D82A69"/>
    <w:rsid w:val="00D87CB3"/>
    <w:rsid w:val="00E108AA"/>
    <w:rsid w:val="00E31812"/>
    <w:rsid w:val="00E3749A"/>
    <w:rsid w:val="00E7437F"/>
    <w:rsid w:val="00E865B8"/>
    <w:rsid w:val="00EC0B9B"/>
    <w:rsid w:val="00ED5E9F"/>
    <w:rsid w:val="00F1273C"/>
    <w:rsid w:val="00F160D6"/>
    <w:rsid w:val="00F57ACF"/>
    <w:rsid w:val="00F6157B"/>
    <w:rsid w:val="00F63265"/>
    <w:rsid w:val="00F66D4F"/>
    <w:rsid w:val="00F91F1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243E7"/>
  <w15:chartTrackingRefBased/>
  <w15:docId w15:val="{FE0AA51F-C94E-4853-9BB2-CEC4A41F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A1784"/>
    <w:rPr>
      <w:color w:val="808080"/>
    </w:rPr>
  </w:style>
  <w:style w:type="paragraph" w:customStyle="1" w:styleId="Paragraph">
    <w:name w:val="Paragraph"/>
    <w:link w:val="ParagraphChar"/>
    <w:rsid w:val="001A1784"/>
    <w:pPr>
      <w:spacing w:after="240"/>
    </w:pPr>
    <w:rPr>
      <w:sz w:val="24"/>
      <w:szCs w:val="24"/>
      <w:lang w:val="en-US" w:eastAsia="en-US"/>
    </w:rPr>
  </w:style>
  <w:style w:type="character" w:customStyle="1" w:styleId="ParagraphChar">
    <w:name w:val="Paragraph Char"/>
    <w:link w:val="Paragraph"/>
    <w:locked/>
    <w:rsid w:val="001A1784"/>
    <w:rPr>
      <w:sz w:val="24"/>
      <w:szCs w:val="24"/>
      <w:lang w:val="en-US" w:eastAsia="en-US"/>
    </w:rPr>
  </w:style>
  <w:style w:type="character" w:styleId="Hyperlink">
    <w:name w:val="Hyperlink"/>
    <w:basedOn w:val="Standardskrifttypeiafsnit"/>
    <w:uiPriority w:val="99"/>
    <w:rsid w:val="001A17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7861">
      <w:bodyDiv w:val="1"/>
      <w:marLeft w:val="0"/>
      <w:marRight w:val="0"/>
      <w:marTop w:val="0"/>
      <w:marBottom w:val="0"/>
      <w:divBdr>
        <w:top w:val="none" w:sz="0" w:space="0" w:color="auto"/>
        <w:left w:val="none" w:sz="0" w:space="0" w:color="auto"/>
        <w:bottom w:val="none" w:sz="0" w:space="0" w:color="auto"/>
        <w:right w:val="none" w:sz="0" w:space="0" w:color="auto"/>
      </w:divBdr>
    </w:div>
    <w:div w:id="15507406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6438668">
      <w:bodyDiv w:val="1"/>
      <w:marLeft w:val="0"/>
      <w:marRight w:val="0"/>
      <w:marTop w:val="0"/>
      <w:marBottom w:val="0"/>
      <w:divBdr>
        <w:top w:val="none" w:sz="0" w:space="0" w:color="auto"/>
        <w:left w:val="none" w:sz="0" w:space="0" w:color="auto"/>
        <w:bottom w:val="none" w:sz="0" w:space="0" w:color="auto"/>
        <w:right w:val="none" w:sz="0" w:space="0" w:color="auto"/>
      </w:divBdr>
    </w:div>
    <w:div w:id="841506089">
      <w:bodyDiv w:val="1"/>
      <w:marLeft w:val="0"/>
      <w:marRight w:val="0"/>
      <w:marTop w:val="0"/>
      <w:marBottom w:val="0"/>
      <w:divBdr>
        <w:top w:val="none" w:sz="0" w:space="0" w:color="auto"/>
        <w:left w:val="none" w:sz="0" w:space="0" w:color="auto"/>
        <w:bottom w:val="none" w:sz="0" w:space="0" w:color="auto"/>
        <w:right w:val="none" w:sz="0" w:space="0" w:color="auto"/>
      </w:divBdr>
    </w:div>
    <w:div w:id="879435319">
      <w:bodyDiv w:val="1"/>
      <w:marLeft w:val="0"/>
      <w:marRight w:val="0"/>
      <w:marTop w:val="0"/>
      <w:marBottom w:val="0"/>
      <w:divBdr>
        <w:top w:val="none" w:sz="0" w:space="0" w:color="auto"/>
        <w:left w:val="none" w:sz="0" w:space="0" w:color="auto"/>
        <w:bottom w:val="none" w:sz="0" w:space="0" w:color="auto"/>
        <w:right w:val="none" w:sz="0" w:space="0" w:color="auto"/>
      </w:divBdr>
    </w:div>
    <w:div w:id="1190876216">
      <w:bodyDiv w:val="1"/>
      <w:marLeft w:val="0"/>
      <w:marRight w:val="0"/>
      <w:marTop w:val="0"/>
      <w:marBottom w:val="0"/>
      <w:divBdr>
        <w:top w:val="none" w:sz="0" w:space="0" w:color="auto"/>
        <w:left w:val="none" w:sz="0" w:space="0" w:color="auto"/>
        <w:bottom w:val="none" w:sz="0" w:space="0" w:color="auto"/>
        <w:right w:val="none" w:sz="0" w:space="0" w:color="auto"/>
      </w:divBdr>
    </w:div>
    <w:div w:id="1330865469">
      <w:bodyDiv w:val="1"/>
      <w:marLeft w:val="0"/>
      <w:marRight w:val="0"/>
      <w:marTop w:val="0"/>
      <w:marBottom w:val="0"/>
      <w:divBdr>
        <w:top w:val="none" w:sz="0" w:space="0" w:color="auto"/>
        <w:left w:val="none" w:sz="0" w:space="0" w:color="auto"/>
        <w:bottom w:val="none" w:sz="0" w:space="0" w:color="auto"/>
        <w:right w:val="none" w:sz="0" w:space="0" w:color="auto"/>
      </w:divBdr>
    </w:div>
    <w:div w:id="1379934720">
      <w:bodyDiv w:val="1"/>
      <w:marLeft w:val="0"/>
      <w:marRight w:val="0"/>
      <w:marTop w:val="0"/>
      <w:marBottom w:val="0"/>
      <w:divBdr>
        <w:top w:val="none" w:sz="0" w:space="0" w:color="auto"/>
        <w:left w:val="none" w:sz="0" w:space="0" w:color="auto"/>
        <w:bottom w:val="none" w:sz="0" w:space="0" w:color="auto"/>
        <w:right w:val="none" w:sz="0" w:space="0" w:color="auto"/>
      </w:divBdr>
    </w:div>
    <w:div w:id="1591042311">
      <w:bodyDiv w:val="1"/>
      <w:marLeft w:val="0"/>
      <w:marRight w:val="0"/>
      <w:marTop w:val="0"/>
      <w:marBottom w:val="0"/>
      <w:divBdr>
        <w:top w:val="none" w:sz="0" w:space="0" w:color="auto"/>
        <w:left w:val="none" w:sz="0" w:space="0" w:color="auto"/>
        <w:bottom w:val="none" w:sz="0" w:space="0" w:color="auto"/>
        <w:right w:val="none" w:sz="0" w:space="0" w:color="auto"/>
      </w:divBdr>
    </w:div>
    <w:div w:id="1802726846">
      <w:bodyDiv w:val="1"/>
      <w:marLeft w:val="0"/>
      <w:marRight w:val="0"/>
      <w:marTop w:val="0"/>
      <w:marBottom w:val="0"/>
      <w:divBdr>
        <w:top w:val="none" w:sz="0" w:space="0" w:color="auto"/>
        <w:left w:val="none" w:sz="0" w:space="0" w:color="auto"/>
        <w:bottom w:val="none" w:sz="0" w:space="0" w:color="auto"/>
        <w:right w:val="none" w:sz="0" w:space="0" w:color="auto"/>
      </w:divBdr>
    </w:div>
    <w:div w:id="181614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8235</Words>
  <Characters>53604</Characters>
  <Application>Microsoft Office Word</Application>
  <DocSecurity>0</DocSecurity>
  <Lines>446</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2024103343_x000d_
SPC pkt. 4.4, 4.5, 5.1, 5.2_x000d_
_x000d_
24. marts 2025_x000d_
Rettelse pkt 4.4._x000d_
_x000d_
Hjælpestoffer_x000d_
Atorvastatin "Accord" indeholder lactose._x000d_
Bør ikke anvendes til patienter med hereditær galactoseintolerans, total lactasemangel eller glucose/galactosemalabsorption._x000d_
_x000d_
Atorvastatin "Accord" indeholder natrium_x000d_
Dette lægemiddel indeholder mindre end 1 mmol (23 mg) natrium pr. tablet, dvs. det er i det væsentlige natriumfrit.</dc:description>
  <cp:lastModifiedBy>Gitte Ronnovius</cp:lastModifiedBy>
  <cp:revision>2</cp:revision>
  <cp:lastPrinted>2012-08-22T08:53:00Z</cp:lastPrinted>
  <dcterms:created xsi:type="dcterms:W3CDTF">2025-03-24T10:14:00Z</dcterms:created>
  <dcterms:modified xsi:type="dcterms:W3CDTF">2025-03-24T10:14:00Z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