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0A" w:rsidRPr="008F49E1" w:rsidRDefault="00767E0A" w:rsidP="00767E0A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B0112E3" wp14:editId="233E884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67E0A" w:rsidRPr="00C84483" w:rsidRDefault="00767E0A" w:rsidP="00767E0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7216C">
        <w:rPr>
          <w:szCs w:val="24"/>
        </w:rPr>
        <w:t>25. august 2022</w:t>
      </w:r>
    </w:p>
    <w:p w:rsidR="00767E0A" w:rsidRPr="00C84483" w:rsidRDefault="00767E0A" w:rsidP="00767E0A">
      <w:pPr>
        <w:pStyle w:val="Titel"/>
        <w:jc w:val="left"/>
        <w:rPr>
          <w:b w:val="0"/>
          <w:szCs w:val="24"/>
        </w:rPr>
      </w:pPr>
    </w:p>
    <w:p w:rsidR="00767E0A" w:rsidRPr="00C84483" w:rsidRDefault="00767E0A" w:rsidP="00767E0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767E0A" w:rsidRPr="00C84483" w:rsidRDefault="00767E0A" w:rsidP="00767E0A">
      <w:pPr>
        <w:jc w:val="center"/>
        <w:rPr>
          <w:b/>
          <w:sz w:val="24"/>
          <w:szCs w:val="24"/>
        </w:rPr>
      </w:pPr>
    </w:p>
    <w:p w:rsidR="00767E0A" w:rsidRDefault="00767E0A" w:rsidP="00767E0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767E0A" w:rsidRPr="00C84483" w:rsidRDefault="00767E0A" w:rsidP="00767E0A">
      <w:pPr>
        <w:jc w:val="center"/>
        <w:rPr>
          <w:b/>
          <w:sz w:val="24"/>
          <w:szCs w:val="24"/>
        </w:rPr>
      </w:pPr>
    </w:p>
    <w:p w:rsidR="00767E0A" w:rsidRPr="00C84483" w:rsidRDefault="00767E0A" w:rsidP="00767E0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Atovaquone</w:t>
      </w:r>
      <w:proofErr w:type="spellEnd"/>
      <w:r>
        <w:rPr>
          <w:b/>
          <w:sz w:val="24"/>
          <w:szCs w:val="24"/>
        </w:rPr>
        <w:t xml:space="preserve"> "Glenmark", oral suspension</w:t>
      </w:r>
    </w:p>
    <w:p w:rsidR="00767E0A" w:rsidRDefault="00767E0A" w:rsidP="00767E0A">
      <w:pPr>
        <w:jc w:val="both"/>
        <w:rPr>
          <w:sz w:val="24"/>
          <w:szCs w:val="24"/>
        </w:rPr>
      </w:pPr>
    </w:p>
    <w:p w:rsidR="00767E0A" w:rsidRPr="00C84483" w:rsidRDefault="00767E0A" w:rsidP="00767E0A">
      <w:pPr>
        <w:jc w:val="both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31560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767E0A" w:rsidRPr="00A76AC1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76AC1">
        <w:rPr>
          <w:sz w:val="24"/>
          <w:szCs w:val="24"/>
        </w:rPr>
        <w:t>Atovaquone</w:t>
      </w:r>
      <w:proofErr w:type="spellEnd"/>
      <w:r w:rsidRPr="00A76AC1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A76AC1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ml suspension indeholder 150 mg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>.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dosis á 5 ml indeholder 750 mg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>.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  <w:lang w:eastAsia="en-GB"/>
        </w:rPr>
      </w:pP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u w:val="single"/>
          <w:lang w:eastAsia="en-GB"/>
        </w:rPr>
        <w:t>Hjælpestof, som behandleren skal være opmærksom på:</w:t>
      </w:r>
      <w:r>
        <w:rPr>
          <w:sz w:val="24"/>
          <w:szCs w:val="24"/>
          <w:lang w:eastAsia="en-GB"/>
        </w:rPr>
        <w:t xml:space="preserve"> Hver 5 ml oral suspension indeholder 50,00 mg </w:t>
      </w:r>
      <w:proofErr w:type="spellStart"/>
      <w:r>
        <w:rPr>
          <w:sz w:val="24"/>
          <w:szCs w:val="24"/>
          <w:lang w:eastAsia="en-GB"/>
        </w:rPr>
        <w:t>benzylalkohol</w:t>
      </w:r>
      <w:proofErr w:type="spellEnd"/>
      <w:r>
        <w:rPr>
          <w:sz w:val="24"/>
          <w:szCs w:val="24"/>
          <w:lang w:eastAsia="en-GB"/>
        </w:rPr>
        <w:t xml:space="preserve">. 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 pkt. 6.1.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Oral suspension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</w:p>
    <w:p w:rsidR="00767E0A" w:rsidRPr="00C84483" w:rsidRDefault="00767E0A" w:rsidP="00767E0A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K</w:t>
      </w:r>
      <w:r w:rsidRPr="00010ACA">
        <w:rPr>
          <w:sz w:val="24"/>
          <w:szCs w:val="24"/>
        </w:rPr>
        <w:t>lar, gul væske.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767E0A" w:rsidRPr="00C84483" w:rsidRDefault="00767E0A" w:rsidP="00767E0A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8159B" w:rsidRDefault="0068159B" w:rsidP="0068159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"Glenmark" suspension er indiceret til:</w:t>
      </w:r>
    </w:p>
    <w:p w:rsidR="0068159B" w:rsidRDefault="0068159B" w:rsidP="0068159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Akut behandling af mild til moderat </w:t>
      </w:r>
      <w:proofErr w:type="spellStart"/>
      <w:r>
        <w:rPr>
          <w:sz w:val="24"/>
          <w:szCs w:val="24"/>
        </w:rPr>
        <w:t>Pneumocystis</w:t>
      </w:r>
      <w:proofErr w:type="spellEnd"/>
      <w:r>
        <w:rPr>
          <w:sz w:val="24"/>
          <w:szCs w:val="24"/>
        </w:rPr>
        <w:noBreakHyphen/>
        <w:t xml:space="preserve">pneumoni (PCP, forårsaget af </w:t>
      </w:r>
      <w:proofErr w:type="spellStart"/>
      <w:r>
        <w:rPr>
          <w:i/>
          <w:iCs/>
          <w:sz w:val="24"/>
          <w:szCs w:val="24"/>
        </w:rPr>
        <w:t>Pneumocystis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jiroveci</w:t>
      </w:r>
      <w:proofErr w:type="spellEnd"/>
      <w:r>
        <w:rPr>
          <w:sz w:val="24"/>
          <w:szCs w:val="24"/>
        </w:rPr>
        <w:t xml:space="preserve">, tidligere klassificeret som </w:t>
      </w:r>
      <w:r>
        <w:rPr>
          <w:i/>
          <w:iCs/>
          <w:sz w:val="24"/>
          <w:szCs w:val="24"/>
        </w:rPr>
        <w:t xml:space="preserve">P. </w:t>
      </w:r>
      <w:proofErr w:type="spellStart"/>
      <w:r>
        <w:rPr>
          <w:i/>
          <w:iCs/>
          <w:sz w:val="24"/>
          <w:szCs w:val="24"/>
        </w:rPr>
        <w:t>carinii</w:t>
      </w:r>
      <w:proofErr w:type="spellEnd"/>
      <w:r>
        <w:rPr>
          <w:sz w:val="24"/>
          <w:szCs w:val="24"/>
        </w:rPr>
        <w:t>) (alveolær-arteriel forskel i iltmætning [(</w:t>
      </w:r>
      <w:proofErr w:type="spellStart"/>
      <w:r>
        <w:rPr>
          <w:sz w:val="24"/>
          <w:szCs w:val="24"/>
        </w:rPr>
        <w:t>A-a</w:t>
      </w:r>
      <w:proofErr w:type="spellEnd"/>
      <w:r>
        <w:rPr>
          <w:sz w:val="24"/>
          <w:szCs w:val="24"/>
        </w:rPr>
        <w:t>) DO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≤ 45 mm Hg (6 kPa) og iltspænding i arterielt blod (PaO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≥ 60 mm Hg (8 kPa) ved anvendelse ved normalt tryk) hos patienter, som er intolerante over for behandling med </w:t>
      </w:r>
      <w:proofErr w:type="spellStart"/>
      <w:r>
        <w:rPr>
          <w:sz w:val="24"/>
          <w:szCs w:val="24"/>
        </w:rPr>
        <w:t>co</w:t>
      </w:r>
      <w:r>
        <w:rPr>
          <w:sz w:val="24"/>
          <w:szCs w:val="24"/>
        </w:rPr>
        <w:noBreakHyphen/>
        <w:t>trimoxazol</w:t>
      </w:r>
      <w:proofErr w:type="spellEnd"/>
      <w:r>
        <w:rPr>
          <w:sz w:val="24"/>
          <w:szCs w:val="24"/>
        </w:rPr>
        <w:t xml:space="preserve"> (se pkt. 4.4).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/>
          <w:sz w:val="24"/>
          <w:szCs w:val="24"/>
        </w:rPr>
      </w:pPr>
      <w:r w:rsidRPr="00793F46">
        <w:rPr>
          <w:b/>
          <w:sz w:val="24"/>
          <w:szCs w:val="24"/>
        </w:rPr>
        <w:t>Dosering</w:t>
      </w:r>
    </w:p>
    <w:p w:rsidR="00767E0A" w:rsidRDefault="00767E0A" w:rsidP="004C3126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Vigtigheden i at tage hele den ordinerede dosis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sammen med mad skal understreges over for patienten. Tilstedeværelsen af mad, især mad med højt fedtindhold, øger biotilgængeligheden 2</w:t>
      </w:r>
      <w:r w:rsidRPr="00010ACA">
        <w:rPr>
          <w:sz w:val="24"/>
          <w:szCs w:val="24"/>
        </w:rPr>
        <w:noBreakHyphen/>
        <w:t>3 gange.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Cs/>
          <w:sz w:val="24"/>
          <w:szCs w:val="24"/>
          <w:u w:val="single"/>
        </w:rPr>
      </w:pPr>
      <w:r w:rsidRPr="00793F46">
        <w:rPr>
          <w:bCs/>
          <w:sz w:val="24"/>
          <w:szCs w:val="24"/>
          <w:u w:val="single"/>
        </w:rPr>
        <w:t>Dosering til voksne</w:t>
      </w:r>
    </w:p>
    <w:p w:rsidR="00767E0A" w:rsidRDefault="00767E0A" w:rsidP="00767E0A">
      <w:pPr>
        <w:ind w:left="851"/>
        <w:rPr>
          <w:i/>
          <w:iCs/>
          <w:sz w:val="24"/>
          <w:szCs w:val="24"/>
        </w:rPr>
      </w:pPr>
    </w:p>
    <w:p w:rsidR="00767E0A" w:rsidRPr="00010ACA" w:rsidRDefault="00767E0A" w:rsidP="00767E0A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Pneumocystis</w:t>
      </w:r>
      <w:proofErr w:type="spellEnd"/>
      <w:r>
        <w:rPr>
          <w:i/>
          <w:iCs/>
          <w:sz w:val="24"/>
          <w:szCs w:val="24"/>
        </w:rPr>
        <w:t xml:space="preserve"> pneumoni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Den anbefalede orale dosis er 750 mg to gange </w:t>
      </w:r>
      <w:r>
        <w:rPr>
          <w:sz w:val="24"/>
          <w:szCs w:val="24"/>
        </w:rPr>
        <w:t>daglig (1×</w:t>
      </w:r>
      <w:r w:rsidRPr="00010ACA">
        <w:rPr>
          <w:sz w:val="24"/>
          <w:szCs w:val="24"/>
        </w:rPr>
        <w:t>5 ml morgen og aften) administreret sammen med mad i 21 dage.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Hos nogle patienter kan højere doser være mere effektive (se pkt. 5.2).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Cs/>
          <w:sz w:val="24"/>
          <w:szCs w:val="24"/>
          <w:u w:val="single"/>
        </w:rPr>
      </w:pPr>
      <w:r w:rsidRPr="00793F46">
        <w:rPr>
          <w:bCs/>
          <w:sz w:val="24"/>
          <w:szCs w:val="24"/>
          <w:u w:val="single"/>
        </w:rPr>
        <w:t>Dosering til børn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Den kliniske virkning er ikke undersøgt.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Cs/>
          <w:sz w:val="24"/>
          <w:szCs w:val="24"/>
          <w:u w:val="single"/>
        </w:rPr>
      </w:pPr>
      <w:r w:rsidRPr="00793F46">
        <w:rPr>
          <w:bCs/>
          <w:sz w:val="24"/>
          <w:szCs w:val="24"/>
          <w:u w:val="single"/>
        </w:rPr>
        <w:t>Dosering til ældre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Der er ikke udført studier med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hos ældre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4C3126" w:rsidRDefault="004C3126" w:rsidP="004C3126">
      <w:pPr>
        <w:ind w:left="85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Nedsat nyre- eller leverfunktion</w:t>
      </w:r>
    </w:p>
    <w:p w:rsidR="004C3126" w:rsidRDefault="004C3126" w:rsidP="004C312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"Glenmark" er ikke undersøgt specifikt hos patienter med signifikant nedsat lever- eller nyrefunktion (se pkt. 5.2 for farmakokinetik hos voksne). Hvis behandling med </w:t>
      </w: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"Glenmark" er nødvendig hos disse patienter, bør der udvises forsigtighed og patienten bør overvåges nøje under behandlingen. </w:t>
      </w: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“Glenmark”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(se pkt. 4.4).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er kontraindiceret til personer med kendt overfølsomhed over for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eller over for et eller flere af hjælpestofferne anført i pkt. 6.1.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Det er vist, at diarré i starten af behandlingen er forbundet med signifikant lavere plasmaniveau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. Dette er forbundet med en højere </w:t>
      </w:r>
      <w:proofErr w:type="spellStart"/>
      <w:r w:rsidRPr="00010ACA">
        <w:rPr>
          <w:sz w:val="24"/>
          <w:szCs w:val="24"/>
        </w:rPr>
        <w:t>incidens</w:t>
      </w:r>
      <w:proofErr w:type="spellEnd"/>
      <w:r w:rsidRPr="00010ACA">
        <w:rPr>
          <w:sz w:val="24"/>
          <w:szCs w:val="24"/>
        </w:rPr>
        <w:t xml:space="preserve"> af behandlingssvigt og en lavere overlevelsesrate. Derfor bør alternativ behandling overvejes til sådanne patienter, samt til patienter, som har problemer med at tage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sammen med mad.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Patienter, som samtidig får behandling med </w:t>
      </w:r>
      <w:proofErr w:type="spellStart"/>
      <w:r w:rsidRPr="00010ACA">
        <w:rPr>
          <w:sz w:val="24"/>
          <w:szCs w:val="24"/>
        </w:rPr>
        <w:t>tetracyclin</w:t>
      </w:r>
      <w:proofErr w:type="spellEnd"/>
      <w:r w:rsidRPr="00010ACA">
        <w:rPr>
          <w:sz w:val="24"/>
          <w:szCs w:val="24"/>
        </w:rPr>
        <w:t>, bør overvåges nøje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Samtidig administration af </w:t>
      </w: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t xml:space="preserve"> og </w:t>
      </w:r>
      <w:proofErr w:type="spellStart"/>
      <w:r w:rsidRPr="00010ACA">
        <w:rPr>
          <w:bCs/>
          <w:sz w:val="24"/>
          <w:szCs w:val="24"/>
        </w:rPr>
        <w:t>efavirenz</w:t>
      </w:r>
      <w:proofErr w:type="spellEnd"/>
      <w:r w:rsidRPr="00010ACA">
        <w:rPr>
          <w:bCs/>
          <w:sz w:val="24"/>
          <w:szCs w:val="24"/>
        </w:rPr>
        <w:t xml:space="preserve"> eller boostede </w:t>
      </w:r>
      <w:proofErr w:type="spellStart"/>
      <w:r w:rsidRPr="00010ACA">
        <w:rPr>
          <w:bCs/>
          <w:sz w:val="24"/>
          <w:szCs w:val="24"/>
        </w:rPr>
        <w:t>proteasehæmmere</w:t>
      </w:r>
      <w:proofErr w:type="spellEnd"/>
      <w:r w:rsidRPr="00010ACA">
        <w:rPr>
          <w:bCs/>
          <w:sz w:val="24"/>
          <w:szCs w:val="24"/>
        </w:rPr>
        <w:t xml:space="preserve"> bør, om muligt, undgås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Samtidig administration af </w:t>
      </w: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t xml:space="preserve"> og </w:t>
      </w:r>
      <w:proofErr w:type="spellStart"/>
      <w:r w:rsidRPr="00010ACA">
        <w:rPr>
          <w:bCs/>
          <w:sz w:val="24"/>
          <w:szCs w:val="24"/>
        </w:rPr>
        <w:t>rifampicin</w:t>
      </w:r>
      <w:proofErr w:type="spellEnd"/>
      <w:r w:rsidRPr="00010ACA">
        <w:rPr>
          <w:bCs/>
          <w:sz w:val="24"/>
          <w:szCs w:val="24"/>
        </w:rPr>
        <w:t xml:space="preserve"> eller </w:t>
      </w:r>
      <w:proofErr w:type="spellStart"/>
      <w:r w:rsidRPr="00010ACA">
        <w:rPr>
          <w:bCs/>
          <w:sz w:val="24"/>
          <w:szCs w:val="24"/>
        </w:rPr>
        <w:t>rifabutin</w:t>
      </w:r>
      <w:proofErr w:type="spellEnd"/>
      <w:r w:rsidRPr="00010ACA">
        <w:rPr>
          <w:bCs/>
          <w:sz w:val="24"/>
          <w:szCs w:val="24"/>
        </w:rPr>
        <w:t xml:space="preserve"> anbefales ikke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Samtidig brug af </w:t>
      </w:r>
      <w:proofErr w:type="spellStart"/>
      <w:r w:rsidRPr="00010ACA">
        <w:rPr>
          <w:bCs/>
          <w:sz w:val="24"/>
          <w:szCs w:val="24"/>
        </w:rPr>
        <w:t>metoclopramid</w:t>
      </w:r>
      <w:proofErr w:type="spellEnd"/>
      <w:r w:rsidRPr="00010ACA">
        <w:rPr>
          <w:bCs/>
          <w:sz w:val="24"/>
          <w:szCs w:val="24"/>
        </w:rPr>
        <w:t xml:space="preserve"> anbefales ikke. Der bør gives anden </w:t>
      </w:r>
      <w:proofErr w:type="spellStart"/>
      <w:r w:rsidRPr="00010ACA">
        <w:rPr>
          <w:bCs/>
          <w:sz w:val="24"/>
          <w:szCs w:val="24"/>
        </w:rPr>
        <w:t>antiemetisk</w:t>
      </w:r>
      <w:proofErr w:type="spellEnd"/>
      <w:r w:rsidRPr="00010ACA">
        <w:rPr>
          <w:bCs/>
          <w:sz w:val="24"/>
          <w:szCs w:val="24"/>
        </w:rPr>
        <w:t xml:space="preserve"> behandling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t xml:space="preserve"> kan øge niveauerne af </w:t>
      </w:r>
      <w:proofErr w:type="spellStart"/>
      <w:r w:rsidRPr="00010ACA">
        <w:rPr>
          <w:bCs/>
          <w:sz w:val="24"/>
          <w:szCs w:val="24"/>
        </w:rPr>
        <w:t>etoposid</w:t>
      </w:r>
      <w:proofErr w:type="spellEnd"/>
      <w:r w:rsidRPr="00010ACA">
        <w:rPr>
          <w:bCs/>
          <w:sz w:val="24"/>
          <w:szCs w:val="24"/>
        </w:rPr>
        <w:t xml:space="preserve"> og dets metabolit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Effekten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er ikke blevet evalueret systemisk i) hos patienter, som har haft behandlingssvigt med anden behandling mod PCP, herunder </w:t>
      </w:r>
      <w:proofErr w:type="spellStart"/>
      <w:r w:rsidRPr="00010ACA">
        <w:rPr>
          <w:sz w:val="24"/>
          <w:szCs w:val="24"/>
        </w:rPr>
        <w:t>co</w:t>
      </w:r>
      <w:r w:rsidRPr="00010ACA">
        <w:rPr>
          <w:sz w:val="24"/>
          <w:szCs w:val="24"/>
        </w:rPr>
        <w:noBreakHyphen/>
        <w:t>trimoxazol</w:t>
      </w:r>
      <w:proofErr w:type="spellEnd"/>
      <w:r w:rsidRPr="00010ACA">
        <w:rPr>
          <w:sz w:val="24"/>
          <w:szCs w:val="24"/>
        </w:rPr>
        <w:t>, ii) til behandling af svær PCP [(</w:t>
      </w:r>
      <w:proofErr w:type="spellStart"/>
      <w:r w:rsidRPr="00010ACA">
        <w:rPr>
          <w:sz w:val="24"/>
          <w:szCs w:val="24"/>
        </w:rPr>
        <w:t>A</w:t>
      </w:r>
      <w:r w:rsidRPr="00010ACA">
        <w:rPr>
          <w:sz w:val="24"/>
          <w:szCs w:val="24"/>
        </w:rPr>
        <w:noBreakHyphen/>
        <w:t>a</w:t>
      </w:r>
      <w:proofErr w:type="spellEnd"/>
      <w:r w:rsidRPr="00010ACA">
        <w:rPr>
          <w:sz w:val="24"/>
          <w:szCs w:val="24"/>
        </w:rPr>
        <w:t>) DO</w:t>
      </w:r>
      <w:r w:rsidRPr="00010ACA">
        <w:rPr>
          <w:sz w:val="24"/>
          <w:szCs w:val="24"/>
          <w:vertAlign w:val="subscript"/>
        </w:rPr>
        <w:t>2</w:t>
      </w:r>
      <w:r w:rsidRPr="00010ACA">
        <w:rPr>
          <w:sz w:val="24"/>
          <w:szCs w:val="24"/>
        </w:rPr>
        <w:t xml:space="preserve"> &gt; 45 mm Hg (6 kPa)], iii) som profylaktisk middel mod PCP, eller iv) </w:t>
      </w:r>
      <w:r w:rsidRPr="00010ACA">
        <w:rPr>
          <w:i/>
          <w:iCs/>
          <w:sz w:val="24"/>
          <w:szCs w:val="24"/>
        </w:rPr>
        <w:t xml:space="preserve">versus </w:t>
      </w:r>
      <w:r w:rsidRPr="00010ACA">
        <w:rPr>
          <w:sz w:val="24"/>
          <w:szCs w:val="24"/>
        </w:rPr>
        <w:t xml:space="preserve">intravenøst </w:t>
      </w:r>
      <w:proofErr w:type="spellStart"/>
      <w:r w:rsidRPr="00010ACA">
        <w:rPr>
          <w:sz w:val="24"/>
          <w:szCs w:val="24"/>
        </w:rPr>
        <w:t>pentamidin</w:t>
      </w:r>
      <w:proofErr w:type="spellEnd"/>
      <w:r w:rsidRPr="00010ACA">
        <w:rPr>
          <w:sz w:val="24"/>
          <w:szCs w:val="24"/>
        </w:rPr>
        <w:t xml:space="preserve"> til behandling af PCP.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lastRenderedPageBreak/>
        <w:t>Der er ingen tilgængelige data hos immunkompromitterede patienter, der ikke har hiv, som lider af PCP.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Der er ingen klinisk erfaring med </w:t>
      </w: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noBreakHyphen/>
        <w:t>behandling hos ældre patienter. Derfor bør behandling hos ældre overvåges nøje.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2"/>
        </w:rPr>
      </w:pPr>
      <w:r>
        <w:rPr>
          <w:bCs/>
          <w:sz w:val="24"/>
          <w:szCs w:val="24"/>
        </w:rPr>
        <w:t xml:space="preserve">Patienter med lungesygdom bør udredes nøje for anden ætiologi end PCP og behandles med yderligere midler efter behov. Det forventes ikke, at behandling med </w:t>
      </w: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"Glenmark" er virksomt mod svampe-, bakterie-, </w:t>
      </w:r>
      <w:proofErr w:type="spellStart"/>
      <w:r>
        <w:rPr>
          <w:sz w:val="24"/>
          <w:szCs w:val="24"/>
        </w:rPr>
        <w:t>mykobakterie</w:t>
      </w:r>
      <w:proofErr w:type="spellEnd"/>
      <w:r>
        <w:rPr>
          <w:sz w:val="24"/>
          <w:szCs w:val="24"/>
        </w:rPr>
        <w:t>- eller virussygdomme.</w:t>
      </w:r>
      <w:r>
        <w:t xml:space="preserve"> </w:t>
      </w:r>
    </w:p>
    <w:p w:rsidR="004C3126" w:rsidRDefault="004C3126" w:rsidP="004C3126">
      <w:pPr>
        <w:suppressAutoHyphens/>
        <w:ind w:left="851"/>
      </w:pPr>
    </w:p>
    <w:p w:rsidR="004C3126" w:rsidRDefault="004C3126" w:rsidP="004C3126">
      <w:pPr>
        <w:suppressAutoHyphens/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Benzylalkohol</w:t>
      </w:r>
      <w:proofErr w:type="spellEnd"/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“Glenmark”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>, hvilket kan medføre allergiske reaktioner.</w:t>
      </w:r>
    </w:p>
    <w:p w:rsidR="004C3126" w:rsidRDefault="004C3126" w:rsidP="004C3126">
      <w:pPr>
        <w:suppressAutoHyphens/>
        <w:ind w:left="851"/>
        <w:rPr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er forbundet med risiko for akkumulering hos nyfødte børn (op til 4 uger) på grund af metabolisk umodenhed. Intravenøs administration af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er blevet forbundet med alvorlige bivirkninger og død hos nyfødte (”gasping </w:t>
      </w:r>
      <w:proofErr w:type="spellStart"/>
      <w:r>
        <w:rPr>
          <w:sz w:val="24"/>
          <w:szCs w:val="24"/>
        </w:rPr>
        <w:t>syndrome</w:t>
      </w:r>
      <w:proofErr w:type="spellEnd"/>
      <w:r>
        <w:rPr>
          <w:sz w:val="24"/>
          <w:szCs w:val="24"/>
        </w:rPr>
        <w:t xml:space="preserve">”). Den mindste mængde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>, hvor der kan forekomme toksicitet, er ikke kendt.</w:t>
      </w:r>
    </w:p>
    <w:p w:rsidR="004C3126" w:rsidRDefault="004C3126" w:rsidP="004C3126">
      <w:pPr>
        <w:suppressAutoHyphens/>
        <w:ind w:left="851"/>
        <w:rPr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Bør ikke anvendes i mere end én uge til små børn (under 3 år) på grund af øget risiko for akkumulering.</w:t>
      </w:r>
    </w:p>
    <w:p w:rsidR="004C3126" w:rsidRDefault="004C3126" w:rsidP="004C3126">
      <w:pPr>
        <w:suppressAutoHyphens/>
        <w:ind w:left="851"/>
        <w:rPr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Bør anvendes med forsigtighed og kun hvis nødvendigt, især hos kvinder, der er gravide eller ammer, eller hos patienter med nedsat lever- eller nyrefunktion på grund af risikoen for akkumulering og toksicitet (metabolisk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>).</w:t>
      </w:r>
    </w:p>
    <w:p w:rsidR="004C3126" w:rsidRDefault="004C3126" w:rsidP="004C3126">
      <w:pPr>
        <w:suppressAutoHyphens/>
        <w:rPr>
          <w:b/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Natrium</w:t>
      </w:r>
    </w:p>
    <w:p w:rsidR="004C3126" w:rsidRDefault="004C3126" w:rsidP="004C3126">
      <w:pPr>
        <w:suppressAutoHyphens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Dette lægemiddel indeholder mindre end 1 mmol (23 mg) natrium pr. 5 ml, dvs. det er i det væsentlige natriumfrit.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Eftersom klinisk erfaring er begrænset, bør der udvises forsigtighed ved kombination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og andre lægemidler.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administration af </w:t>
      </w:r>
      <w:proofErr w:type="spellStart"/>
      <w:r w:rsidRPr="00010ACA">
        <w:rPr>
          <w:sz w:val="24"/>
          <w:szCs w:val="24"/>
        </w:rPr>
        <w:t>rifampicin</w:t>
      </w:r>
      <w:proofErr w:type="spellEnd"/>
      <w:r w:rsidRPr="00010ACA">
        <w:rPr>
          <w:sz w:val="24"/>
          <w:szCs w:val="24"/>
        </w:rPr>
        <w:t xml:space="preserve"> eller </w:t>
      </w:r>
      <w:proofErr w:type="spellStart"/>
      <w:r w:rsidRPr="00010ACA">
        <w:rPr>
          <w:sz w:val="24"/>
          <w:szCs w:val="24"/>
        </w:rPr>
        <w:t>rifabutin</w:t>
      </w:r>
      <w:proofErr w:type="spellEnd"/>
      <w:r w:rsidRPr="00010ACA">
        <w:rPr>
          <w:sz w:val="24"/>
          <w:szCs w:val="24"/>
        </w:rPr>
        <w:t xml:space="preserve"> anbefales ikke, da det reducerer plasmakoncentrationen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med henholdsvis cirka 50 % og 34 %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bCs/>
          <w:sz w:val="24"/>
          <w:szCs w:val="24"/>
        </w:rPr>
      </w:pPr>
      <w:r w:rsidRPr="00010ACA">
        <w:rPr>
          <w:sz w:val="24"/>
          <w:szCs w:val="24"/>
        </w:rPr>
        <w:t xml:space="preserve">Samtidig behandling med </w:t>
      </w:r>
      <w:proofErr w:type="spellStart"/>
      <w:r w:rsidRPr="00010ACA">
        <w:rPr>
          <w:sz w:val="24"/>
          <w:szCs w:val="24"/>
        </w:rPr>
        <w:t>metoclopramid</w:t>
      </w:r>
      <w:proofErr w:type="spellEnd"/>
      <w:r w:rsidRPr="00010ACA">
        <w:rPr>
          <w:sz w:val="24"/>
          <w:szCs w:val="24"/>
        </w:rPr>
        <w:t xml:space="preserve"> er blevet forbundet med et signifikant fald (cirka 50 %) i plasmakoncentrationen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(se pkt. 4.4). </w:t>
      </w:r>
      <w:r w:rsidRPr="00010ACA">
        <w:rPr>
          <w:bCs/>
          <w:sz w:val="24"/>
          <w:szCs w:val="24"/>
        </w:rPr>
        <w:t xml:space="preserve">Der bør gives anden </w:t>
      </w:r>
      <w:proofErr w:type="spellStart"/>
      <w:r w:rsidRPr="00010ACA">
        <w:rPr>
          <w:bCs/>
          <w:sz w:val="24"/>
          <w:szCs w:val="24"/>
        </w:rPr>
        <w:t>antiemetisk</w:t>
      </w:r>
      <w:proofErr w:type="spellEnd"/>
      <w:r w:rsidRPr="00010ACA">
        <w:rPr>
          <w:bCs/>
          <w:sz w:val="24"/>
          <w:szCs w:val="24"/>
        </w:rPr>
        <w:t xml:space="preserve"> behandling.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Ved samtidig administration med </w:t>
      </w:r>
      <w:proofErr w:type="spellStart"/>
      <w:r w:rsidRPr="00010ACA">
        <w:rPr>
          <w:sz w:val="24"/>
          <w:szCs w:val="24"/>
        </w:rPr>
        <w:t>efavirenz</w:t>
      </w:r>
      <w:proofErr w:type="spellEnd"/>
      <w:r w:rsidRPr="00010ACA">
        <w:rPr>
          <w:sz w:val="24"/>
          <w:szCs w:val="24"/>
        </w:rPr>
        <w:t xml:space="preserve"> eller boostede </w:t>
      </w:r>
      <w:proofErr w:type="spellStart"/>
      <w:r w:rsidRPr="00010ACA">
        <w:rPr>
          <w:sz w:val="24"/>
          <w:szCs w:val="24"/>
        </w:rPr>
        <w:t>proteasehæmmere</w:t>
      </w:r>
      <w:proofErr w:type="spellEnd"/>
      <w:r w:rsidRPr="00010ACA">
        <w:rPr>
          <w:sz w:val="24"/>
          <w:szCs w:val="24"/>
        </w:rPr>
        <w:t xml:space="preserve"> er det observeret at 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nedsættes med helt op til 75 %. Denne kombination bør, så vidt muligt, undgås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behandling med </w:t>
      </w:r>
      <w:proofErr w:type="spellStart"/>
      <w:r w:rsidRPr="00010ACA">
        <w:rPr>
          <w:sz w:val="24"/>
          <w:szCs w:val="24"/>
        </w:rPr>
        <w:t>tetracyclin</w:t>
      </w:r>
      <w:proofErr w:type="spellEnd"/>
      <w:r w:rsidRPr="00010ACA">
        <w:rPr>
          <w:sz w:val="24"/>
          <w:szCs w:val="24"/>
        </w:rPr>
        <w:t xml:space="preserve"> er blevet forbundet med nedsat plasmakoncentration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administration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i doser á 45 mg/kg/dag som profylakse mod PCP hos børn (n = 9) med akut </w:t>
      </w:r>
      <w:proofErr w:type="spellStart"/>
      <w:r w:rsidRPr="00010ACA">
        <w:rPr>
          <w:sz w:val="24"/>
          <w:szCs w:val="24"/>
        </w:rPr>
        <w:t>lymfoblastær</w:t>
      </w:r>
      <w:proofErr w:type="spellEnd"/>
      <w:r w:rsidRPr="00010ACA">
        <w:rPr>
          <w:sz w:val="24"/>
          <w:szCs w:val="24"/>
        </w:rPr>
        <w:t xml:space="preserve"> leukæmi, har vist at øge plasmakoncentrationer (AUC) af </w:t>
      </w:r>
      <w:proofErr w:type="spellStart"/>
      <w:r w:rsidRPr="00010ACA">
        <w:rPr>
          <w:sz w:val="24"/>
          <w:szCs w:val="24"/>
        </w:rPr>
        <w:t>etoposid</w:t>
      </w:r>
      <w:proofErr w:type="spellEnd"/>
      <w:r w:rsidRPr="00010ACA">
        <w:rPr>
          <w:sz w:val="24"/>
          <w:szCs w:val="24"/>
        </w:rPr>
        <w:t xml:space="preserve"> og dets metabolit </w:t>
      </w:r>
      <w:proofErr w:type="spellStart"/>
      <w:r w:rsidRPr="00010ACA">
        <w:rPr>
          <w:sz w:val="24"/>
          <w:szCs w:val="24"/>
        </w:rPr>
        <w:t>etoposidcatechol</w:t>
      </w:r>
      <w:proofErr w:type="spellEnd"/>
      <w:r w:rsidRPr="00010ACA">
        <w:rPr>
          <w:sz w:val="24"/>
          <w:szCs w:val="24"/>
        </w:rPr>
        <w:t xml:space="preserve"> med en median på henholdsvis 8,6 % og </w:t>
      </w:r>
      <w:r w:rsidRPr="00010ACA">
        <w:rPr>
          <w:sz w:val="24"/>
          <w:szCs w:val="24"/>
        </w:rPr>
        <w:lastRenderedPageBreak/>
        <w:t xml:space="preserve">28,4 % (sammenlignet med samtidig administration af </w:t>
      </w:r>
      <w:proofErr w:type="spellStart"/>
      <w:r w:rsidRPr="00010ACA">
        <w:rPr>
          <w:sz w:val="24"/>
          <w:szCs w:val="24"/>
        </w:rPr>
        <w:t>etoposid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sulfamethoxazol-trimethoprim</w:t>
      </w:r>
      <w:proofErr w:type="spellEnd"/>
      <w:r w:rsidRPr="00010ACA">
        <w:rPr>
          <w:sz w:val="24"/>
          <w:szCs w:val="24"/>
        </w:rPr>
        <w:t xml:space="preserve">). Forsigtighed tilrådes hos patienter, som får samtidig behandling med </w:t>
      </w:r>
      <w:proofErr w:type="spellStart"/>
      <w:r w:rsidRPr="00010ACA">
        <w:rPr>
          <w:sz w:val="24"/>
          <w:szCs w:val="24"/>
        </w:rPr>
        <w:t>etoposid</w:t>
      </w:r>
      <w:proofErr w:type="spellEnd"/>
      <w:r w:rsidRPr="00010ACA">
        <w:rPr>
          <w:sz w:val="24"/>
          <w:szCs w:val="24"/>
        </w:rPr>
        <w:t xml:space="preserve">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I kliniske studier med </w:t>
      </w:r>
      <w:bookmarkStart w:id="0" w:name="_Hlk16253998"/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</w:t>
      </w:r>
      <w:bookmarkEnd w:id="0"/>
      <w:r w:rsidRPr="00010ACA">
        <w:rPr>
          <w:sz w:val="24"/>
          <w:szCs w:val="24"/>
        </w:rPr>
        <w:t xml:space="preserve">blev mindre fald i plasmakoncentration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(gennemsnit &lt;3 µg/ml) forbundet med samtidig administration af paracetamol, benzodiazepiner, </w:t>
      </w:r>
      <w:proofErr w:type="spellStart"/>
      <w:r w:rsidRPr="00010ACA">
        <w:rPr>
          <w:sz w:val="24"/>
          <w:szCs w:val="24"/>
        </w:rPr>
        <w:t>acyclovir</w:t>
      </w:r>
      <w:proofErr w:type="spellEnd"/>
      <w:r w:rsidRPr="00010ACA">
        <w:rPr>
          <w:sz w:val="24"/>
          <w:szCs w:val="24"/>
        </w:rPr>
        <w:t xml:space="preserve">, opiater, </w:t>
      </w:r>
      <w:proofErr w:type="spellStart"/>
      <w:r w:rsidRPr="00010ACA">
        <w:rPr>
          <w:sz w:val="24"/>
          <w:szCs w:val="24"/>
        </w:rPr>
        <w:t>cefalosporiner</w:t>
      </w:r>
      <w:proofErr w:type="spellEnd"/>
      <w:r w:rsidRPr="00010ACA">
        <w:rPr>
          <w:sz w:val="24"/>
          <w:szCs w:val="24"/>
        </w:rPr>
        <w:t xml:space="preserve">, midler mod diarré og laksativer. Det kausale forhold mellem ændringen i plasmakoncentrationen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administrationen af ovennævnte lægemidler er ukendt.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4F581D" w:rsidRDefault="00767E0A" w:rsidP="00767E0A">
      <w:pPr>
        <w:ind w:left="851"/>
        <w:rPr>
          <w:iCs/>
          <w:sz w:val="24"/>
          <w:szCs w:val="24"/>
          <w:u w:val="single"/>
        </w:rPr>
      </w:pPr>
      <w:r w:rsidRPr="004F581D">
        <w:rPr>
          <w:iCs/>
          <w:sz w:val="24"/>
          <w:szCs w:val="24"/>
          <w:u w:val="single"/>
        </w:rPr>
        <w:t xml:space="preserve">Kliniske studier har evalueret interaktionen af </w:t>
      </w:r>
      <w:proofErr w:type="spellStart"/>
      <w:r w:rsidRPr="004F581D">
        <w:rPr>
          <w:iCs/>
          <w:sz w:val="24"/>
          <w:szCs w:val="24"/>
          <w:u w:val="single"/>
        </w:rPr>
        <w:t>Atovaquone</w:t>
      </w:r>
      <w:proofErr w:type="spellEnd"/>
      <w:r w:rsidRPr="004F581D">
        <w:rPr>
          <w:iCs/>
          <w:sz w:val="24"/>
          <w:szCs w:val="24"/>
          <w:u w:val="single"/>
        </w:rPr>
        <w:t xml:space="preserve"> "Glenmark" tabletter med: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4F581D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–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synes ikke at påvirke </w:t>
      </w:r>
      <w:proofErr w:type="spellStart"/>
      <w:r w:rsidRPr="00010ACA">
        <w:rPr>
          <w:sz w:val="24"/>
          <w:szCs w:val="24"/>
        </w:rPr>
        <w:t>atovaquons</w:t>
      </w:r>
      <w:proofErr w:type="spellEnd"/>
      <w:r w:rsidRPr="00010ACA">
        <w:rPr>
          <w:sz w:val="24"/>
          <w:szCs w:val="24"/>
        </w:rPr>
        <w:t xml:space="preserve"> farmakokinetik. </w:t>
      </w:r>
      <w:proofErr w:type="spellStart"/>
      <w:r w:rsidRPr="00010ACA">
        <w:rPr>
          <w:sz w:val="24"/>
          <w:szCs w:val="24"/>
        </w:rPr>
        <w:t>Farmakokinetiske</w:t>
      </w:r>
      <w:proofErr w:type="spellEnd"/>
      <w:r w:rsidRPr="00010ACA">
        <w:rPr>
          <w:sz w:val="24"/>
          <w:szCs w:val="24"/>
        </w:rPr>
        <w:t xml:space="preserve"> data har imidlertid vist, at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synes at nedsætter metabolismen af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og dets </w:t>
      </w:r>
      <w:proofErr w:type="spellStart"/>
      <w:r w:rsidRPr="00010ACA">
        <w:rPr>
          <w:sz w:val="24"/>
          <w:szCs w:val="24"/>
        </w:rPr>
        <w:t>glucuronidmetabolit</w:t>
      </w:r>
      <w:proofErr w:type="spellEnd"/>
      <w:r w:rsidRPr="00010ACA">
        <w:rPr>
          <w:sz w:val="24"/>
          <w:szCs w:val="24"/>
        </w:rPr>
        <w:t xml:space="preserve"> (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proofErr w:type="spellStart"/>
      <w:r w:rsidRPr="00010ACA">
        <w:rPr>
          <w:i/>
          <w:iCs/>
          <w:sz w:val="24"/>
          <w:szCs w:val="24"/>
        </w:rPr>
        <w:t>state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r w:rsidRPr="00010ACA">
        <w:rPr>
          <w:sz w:val="24"/>
          <w:szCs w:val="24"/>
        </w:rPr>
        <w:t xml:space="preserve">AUC for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blev øget med 33 % og den maksimale plasmakoncentration af </w:t>
      </w:r>
      <w:proofErr w:type="spellStart"/>
      <w:r w:rsidRPr="00010ACA">
        <w:rPr>
          <w:sz w:val="24"/>
          <w:szCs w:val="24"/>
        </w:rPr>
        <w:t>glucuronid</w:t>
      </w:r>
      <w:proofErr w:type="spellEnd"/>
      <w:r w:rsidRPr="00010ACA">
        <w:rPr>
          <w:sz w:val="24"/>
          <w:szCs w:val="24"/>
        </w:rPr>
        <w:t xml:space="preserve"> blev nedsat med 19 %). Ved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noBreakHyphen/>
        <w:t xml:space="preserve">doser på 500 eller 600 mg/dag forekommer det at være usandsynligt, at 3 ugers samtidig brug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til behandling af akut PCP skulle resultere i en øget forekomst af bivirkninger, der kan tilskrives højere plasmakoncentration af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4F581D">
        <w:rPr>
          <w:sz w:val="24"/>
          <w:szCs w:val="24"/>
        </w:rPr>
        <w:t>Didanosin</w:t>
      </w:r>
      <w:proofErr w:type="spellEnd"/>
      <w:r w:rsidRPr="00010ACA">
        <w:rPr>
          <w:sz w:val="24"/>
          <w:szCs w:val="24"/>
        </w:rPr>
        <w:t xml:space="preserve"> (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) – I et </w:t>
      </w:r>
      <w:proofErr w:type="spellStart"/>
      <w:r w:rsidRPr="00010ACA">
        <w:rPr>
          <w:sz w:val="24"/>
          <w:szCs w:val="24"/>
        </w:rPr>
        <w:t>prospektivt</w:t>
      </w:r>
      <w:proofErr w:type="spellEnd"/>
      <w:r w:rsidRPr="00010ACA">
        <w:rPr>
          <w:sz w:val="24"/>
          <w:szCs w:val="24"/>
        </w:rPr>
        <w:t xml:space="preserve"> flerdosis interaktionsstudie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blev det påvist, at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ikke påvirker </w:t>
      </w:r>
      <w:proofErr w:type="spellStart"/>
      <w:r w:rsidRPr="00010ACA">
        <w:rPr>
          <w:sz w:val="24"/>
          <w:szCs w:val="24"/>
        </w:rPr>
        <w:t>atovaquons</w:t>
      </w:r>
      <w:proofErr w:type="spellEnd"/>
      <w:r w:rsidRPr="00010ACA">
        <w:rPr>
          <w:sz w:val="24"/>
          <w:szCs w:val="24"/>
        </w:rPr>
        <w:t xml:space="preserve"> farmakokinetik. Der blev imidlertid set et fald på 24 % i AUC for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, når det blev administreret samtidig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, men det er ikke sandsynligt, at det har klinisk betydning.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Da interaktionsmekanismen er ukendt, kan virkningen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på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dog være større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suspension. Den højere koncentration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, som muligvis forekommer med suspension, kan forårsage større ændringer i AUC-værdierne for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eller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end dem, der blev observeret med tabletterne. Patienter, som får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bør regelmæssigt overvåges for bivirkninger forbundet med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administration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indinavir</w:t>
      </w:r>
      <w:proofErr w:type="spellEnd"/>
      <w:r w:rsidRPr="00010ACA">
        <w:rPr>
          <w:sz w:val="24"/>
          <w:szCs w:val="24"/>
        </w:rPr>
        <w:t xml:space="preserve"> resulterer i et signifikant fald i </w:t>
      </w:r>
      <w:proofErr w:type="spellStart"/>
      <w:r w:rsidRPr="00010ACA">
        <w:rPr>
          <w:sz w:val="24"/>
          <w:szCs w:val="24"/>
        </w:rPr>
        <w:t>C</w:t>
      </w:r>
      <w:r w:rsidRPr="00010ACA">
        <w:rPr>
          <w:sz w:val="24"/>
          <w:szCs w:val="24"/>
          <w:vertAlign w:val="subscript"/>
        </w:rPr>
        <w:t>min</w:t>
      </w:r>
      <w:proofErr w:type="spellEnd"/>
      <w:r w:rsidRPr="00010ACA">
        <w:rPr>
          <w:sz w:val="24"/>
          <w:szCs w:val="24"/>
        </w:rPr>
        <w:t xml:space="preserve"> for </w:t>
      </w:r>
      <w:proofErr w:type="spellStart"/>
      <w:r w:rsidRPr="00010ACA">
        <w:rPr>
          <w:sz w:val="24"/>
          <w:szCs w:val="24"/>
        </w:rPr>
        <w:t>indinavir</w:t>
      </w:r>
      <w:proofErr w:type="spellEnd"/>
      <w:r w:rsidRPr="00010ACA">
        <w:rPr>
          <w:sz w:val="24"/>
          <w:szCs w:val="24"/>
        </w:rPr>
        <w:t xml:space="preserve"> (23 % fald, 90 % CI 8</w:t>
      </w:r>
      <w:r w:rsidRPr="00010ACA">
        <w:rPr>
          <w:sz w:val="24"/>
          <w:szCs w:val="24"/>
        </w:rPr>
        <w:noBreakHyphen/>
        <w:t>35 %) og AUC (9 % fald, 90 % CI 1</w:t>
      </w:r>
      <w:r w:rsidRPr="00010ACA">
        <w:rPr>
          <w:sz w:val="24"/>
          <w:szCs w:val="24"/>
        </w:rPr>
        <w:noBreakHyphen/>
        <w:t xml:space="preserve">18 %). Der bør udvises forsigtighed i forhold til den mulige risiko for behandlingssvigt af </w:t>
      </w:r>
      <w:proofErr w:type="spellStart"/>
      <w:r w:rsidRPr="00010ACA">
        <w:rPr>
          <w:sz w:val="24"/>
          <w:szCs w:val="24"/>
        </w:rPr>
        <w:t>indinavir</w:t>
      </w:r>
      <w:proofErr w:type="spellEnd"/>
      <w:r w:rsidRPr="00010ACA">
        <w:rPr>
          <w:sz w:val="24"/>
          <w:szCs w:val="24"/>
        </w:rPr>
        <w:t xml:space="preserve">, når det administreres samtidig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I kliniske studier med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blev følgende lægemidler ikke forbundet med en ændring i 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proofErr w:type="spellStart"/>
      <w:r w:rsidRPr="00010ACA">
        <w:rPr>
          <w:i/>
          <w:iCs/>
          <w:sz w:val="24"/>
          <w:szCs w:val="24"/>
        </w:rPr>
        <w:t>state</w:t>
      </w:r>
      <w:proofErr w:type="spellEnd"/>
      <w:r w:rsidRPr="00010ACA">
        <w:rPr>
          <w:sz w:val="24"/>
          <w:szCs w:val="24"/>
        </w:rPr>
        <w:t>-plasma</w:t>
      </w:r>
      <w:r>
        <w:rPr>
          <w:sz w:val="24"/>
          <w:szCs w:val="24"/>
        </w:rPr>
        <w:t xml:space="preserve">koncentrationer for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</w:t>
      </w:r>
      <w:r w:rsidRPr="00010ACA">
        <w:rPr>
          <w:sz w:val="24"/>
          <w:szCs w:val="24"/>
        </w:rPr>
        <w:t>luconazol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clotrimazol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ketoconazol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antacida</w:t>
      </w:r>
      <w:proofErr w:type="spellEnd"/>
      <w:r w:rsidRPr="00010ACA">
        <w:rPr>
          <w:sz w:val="24"/>
          <w:szCs w:val="24"/>
        </w:rPr>
        <w:t xml:space="preserve">, systemiske </w:t>
      </w:r>
      <w:proofErr w:type="spellStart"/>
      <w:r w:rsidRPr="00010ACA">
        <w:rPr>
          <w:sz w:val="24"/>
          <w:szCs w:val="24"/>
        </w:rPr>
        <w:t>kortikosteroider</w:t>
      </w:r>
      <w:proofErr w:type="spellEnd"/>
      <w:r w:rsidRPr="00010ACA">
        <w:rPr>
          <w:sz w:val="24"/>
          <w:szCs w:val="24"/>
        </w:rPr>
        <w:t>, non-</w:t>
      </w:r>
      <w:proofErr w:type="spellStart"/>
      <w:r w:rsidRPr="00010ACA">
        <w:rPr>
          <w:sz w:val="24"/>
          <w:szCs w:val="24"/>
        </w:rPr>
        <w:t>steroide</w:t>
      </w:r>
      <w:proofErr w:type="spellEnd"/>
      <w:r w:rsidRPr="00010ACA">
        <w:rPr>
          <w:sz w:val="24"/>
          <w:szCs w:val="24"/>
        </w:rPr>
        <w:t xml:space="preserve"> antiinflammatoriske lægemidler (NSAID), </w:t>
      </w:r>
      <w:proofErr w:type="spellStart"/>
      <w:r w:rsidRPr="00010ACA">
        <w:rPr>
          <w:sz w:val="24"/>
          <w:szCs w:val="24"/>
        </w:rPr>
        <w:t>antiemetika</w:t>
      </w:r>
      <w:proofErr w:type="spellEnd"/>
      <w:r w:rsidRPr="00010ACA">
        <w:rPr>
          <w:sz w:val="24"/>
          <w:szCs w:val="24"/>
        </w:rPr>
        <w:t xml:space="preserve"> (undtaget </w:t>
      </w:r>
      <w:proofErr w:type="spellStart"/>
      <w:r w:rsidRPr="00010ACA">
        <w:rPr>
          <w:sz w:val="24"/>
          <w:szCs w:val="24"/>
        </w:rPr>
        <w:t>metoclopramid</w:t>
      </w:r>
      <w:proofErr w:type="spellEnd"/>
      <w:r w:rsidRPr="00010ACA">
        <w:rPr>
          <w:sz w:val="24"/>
          <w:szCs w:val="24"/>
        </w:rPr>
        <w:t>) og H</w:t>
      </w:r>
      <w:r w:rsidRPr="00010ACA">
        <w:rPr>
          <w:sz w:val="24"/>
          <w:szCs w:val="24"/>
          <w:vertAlign w:val="subscript"/>
        </w:rPr>
        <w:t>2</w:t>
      </w:r>
      <w:r w:rsidRPr="00010ACA">
        <w:rPr>
          <w:sz w:val="24"/>
          <w:szCs w:val="24"/>
        </w:rPr>
        <w:noBreakHyphen/>
        <w:t>antagonister.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C84483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i høj grad bundet til plasmaproteiner og der bør udvises forsigtighed ved administrering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samtidig med andre lægemidler med et snævert terapeutisk indeks, der er bundet til plasmaproteiner i høj grad.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påvirker ikke </w:t>
      </w:r>
      <w:proofErr w:type="spellStart"/>
      <w:r w:rsidRPr="00010ACA">
        <w:rPr>
          <w:sz w:val="24"/>
          <w:szCs w:val="24"/>
        </w:rPr>
        <w:t>phenytoins</w:t>
      </w:r>
      <w:proofErr w:type="spellEnd"/>
      <w:r w:rsidRPr="00010ACA">
        <w:rPr>
          <w:sz w:val="24"/>
          <w:szCs w:val="24"/>
        </w:rPr>
        <w:t xml:space="preserve"> farmakokinetik, metabolisme eller proteinbindingsgrad </w:t>
      </w:r>
      <w:r w:rsidRPr="00010ACA">
        <w:rPr>
          <w:i/>
          <w:iCs/>
          <w:sz w:val="24"/>
          <w:szCs w:val="24"/>
        </w:rPr>
        <w:t>in </w:t>
      </w:r>
      <w:proofErr w:type="spellStart"/>
      <w:r w:rsidRPr="00010ACA">
        <w:rPr>
          <w:i/>
          <w:iCs/>
          <w:sz w:val="24"/>
          <w:szCs w:val="24"/>
        </w:rPr>
        <w:t>vivo</w:t>
      </w:r>
      <w:proofErr w:type="spellEnd"/>
      <w:r w:rsidRPr="00010ACA">
        <w:rPr>
          <w:sz w:val="24"/>
          <w:szCs w:val="24"/>
        </w:rPr>
        <w:t xml:space="preserve">. Der er ingen interaktion i forhold til plasmaproteinbinding mellem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kinin, </w:t>
      </w:r>
      <w:proofErr w:type="spellStart"/>
      <w:r w:rsidRPr="00010ACA">
        <w:rPr>
          <w:sz w:val="24"/>
          <w:szCs w:val="24"/>
        </w:rPr>
        <w:t>phenytoin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warfarin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sulfamethoxazol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indometacin</w:t>
      </w:r>
      <w:proofErr w:type="spellEnd"/>
      <w:r w:rsidRPr="00010ACA">
        <w:rPr>
          <w:sz w:val="24"/>
          <w:szCs w:val="24"/>
        </w:rPr>
        <w:t xml:space="preserve"> eller </w:t>
      </w:r>
      <w:proofErr w:type="spellStart"/>
      <w:r w:rsidRPr="00010ACA">
        <w:rPr>
          <w:sz w:val="24"/>
          <w:szCs w:val="24"/>
        </w:rPr>
        <w:t>diazepam</w:t>
      </w:r>
      <w:proofErr w:type="spellEnd"/>
      <w:r w:rsidRPr="00010ACA">
        <w:rPr>
          <w:sz w:val="24"/>
          <w:szCs w:val="24"/>
        </w:rPr>
        <w:t xml:space="preserve"> </w:t>
      </w:r>
      <w:r w:rsidRPr="00010ACA">
        <w:rPr>
          <w:i/>
          <w:iCs/>
          <w:sz w:val="24"/>
          <w:szCs w:val="24"/>
        </w:rPr>
        <w:t>in </w:t>
      </w:r>
      <w:proofErr w:type="spellStart"/>
      <w:r w:rsidRPr="00010ACA">
        <w:rPr>
          <w:i/>
          <w:iCs/>
          <w:sz w:val="24"/>
          <w:szCs w:val="24"/>
        </w:rPr>
        <w:t>vitro</w:t>
      </w:r>
      <w:proofErr w:type="spellEnd"/>
      <w:r w:rsidRPr="00010ACA"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767E0A" w:rsidRDefault="00767E0A" w:rsidP="00767E0A">
      <w:pPr>
        <w:ind w:left="851"/>
        <w:rPr>
          <w:sz w:val="24"/>
          <w:szCs w:val="24"/>
          <w:u w:val="single"/>
        </w:rPr>
      </w:pPr>
    </w:p>
    <w:p w:rsidR="004C3126" w:rsidRDefault="004C3126" w:rsidP="004C312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Graviditet</w:t>
      </w:r>
    </w:p>
    <w:p w:rsidR="004C3126" w:rsidRDefault="004C3126" w:rsidP="004C312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information vedrørende effekten af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-administration under human graviditet.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bør ikke anvendes under graviditet medmindre de terapeutiske fordele for moderen opvejer de mulige risici for fosteret. </w:t>
      </w: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“Glenmark”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(se pkt. 4.4).</w:t>
      </w:r>
    </w:p>
    <w:p w:rsidR="004C3126" w:rsidRDefault="004C3126" w:rsidP="004C3126">
      <w:pPr>
        <w:ind w:left="851"/>
        <w:rPr>
          <w:sz w:val="24"/>
          <w:szCs w:val="24"/>
        </w:rPr>
      </w:pPr>
    </w:p>
    <w:p w:rsidR="004C3126" w:rsidRDefault="004C3126" w:rsidP="004C3126">
      <w:pPr>
        <w:ind w:left="851"/>
        <w:rPr>
          <w:sz w:val="24"/>
          <w:szCs w:val="24"/>
        </w:rPr>
      </w:pPr>
      <w:r>
        <w:rPr>
          <w:sz w:val="24"/>
          <w:szCs w:val="24"/>
        </w:rPr>
        <w:t>Tilgængelige data fra dyrestudier er utilstrækkelige til at vurdere risiciene for eventuelle skader på reproduktionsprocessen.</w:t>
      </w:r>
    </w:p>
    <w:p w:rsidR="004C3126" w:rsidRDefault="004C3126" w:rsidP="004C3126">
      <w:pPr>
        <w:ind w:left="851"/>
        <w:rPr>
          <w:sz w:val="24"/>
          <w:szCs w:val="24"/>
        </w:rPr>
      </w:pPr>
    </w:p>
    <w:p w:rsidR="004C3126" w:rsidRDefault="004C3126" w:rsidP="004C312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4C3126" w:rsidRDefault="004C3126" w:rsidP="004C312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udskilles i human mælk. Amning anbefales derfor ikke. </w:t>
      </w:r>
      <w:proofErr w:type="spellStart"/>
      <w:r>
        <w:rPr>
          <w:sz w:val="24"/>
          <w:szCs w:val="24"/>
        </w:rPr>
        <w:t>Atovaquone</w:t>
      </w:r>
      <w:proofErr w:type="spellEnd"/>
      <w:r>
        <w:rPr>
          <w:sz w:val="24"/>
          <w:szCs w:val="24"/>
        </w:rPr>
        <w:t xml:space="preserve"> “Glenmark”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(se pkt. 4.4).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Ikke mærkning.</w:t>
      </w:r>
    </w:p>
    <w:p w:rsidR="00767E0A" w:rsidRDefault="00767E0A" w:rsidP="004C3126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Der er ikke udført studier til vurdering af effekten af </w:t>
      </w:r>
      <w:proofErr w:type="spellStart"/>
      <w:r w:rsidRPr="00010ACA">
        <w:rPr>
          <w:sz w:val="24"/>
          <w:szCs w:val="24"/>
        </w:rPr>
        <w:t>Atovaquone</w:t>
      </w:r>
      <w:proofErr w:type="spellEnd"/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>Glenmark</w:t>
      </w:r>
      <w:r>
        <w:rPr>
          <w:sz w:val="24"/>
          <w:szCs w:val="24"/>
        </w:rPr>
        <w:t>"</w:t>
      </w:r>
      <w:r w:rsidRPr="00010ACA">
        <w:rPr>
          <w:sz w:val="24"/>
          <w:szCs w:val="24"/>
        </w:rPr>
        <w:t xml:space="preserve"> på evnen til at føre motorkøretøj eller betjene maskiner, men med tanke på lægemidlets farmakologiske egenskaber, forventes der ikke negativ påvirkning på evnen til at foretage sådanne aktiviteter.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 xml:space="preserve">Patienter, der deltog i kliniske studier med </w:t>
      </w:r>
      <w:proofErr w:type="spellStart"/>
      <w:r w:rsidRPr="00010ACA">
        <w:rPr>
          <w:iCs/>
          <w:sz w:val="24"/>
          <w:szCs w:val="24"/>
        </w:rPr>
        <w:t>atovaquon</w:t>
      </w:r>
      <w:proofErr w:type="spellEnd"/>
      <w:r w:rsidRPr="00010ACA">
        <w:rPr>
          <w:iCs/>
          <w:sz w:val="24"/>
          <w:szCs w:val="24"/>
        </w:rPr>
        <w:t xml:space="preserve">, har ofte oplevet bivirkninger, der er forenelige med forløbet af human immundefekt virus (hiv) i fremskredent stadie eller med samtidig behandling. Følgende bivirkninger er blevet observeret og rapporteret som havende en mistænkt (i det mindste mulig) årsagssammenhæng til behandling med </w:t>
      </w:r>
      <w:proofErr w:type="spellStart"/>
      <w:r w:rsidRPr="00010ACA">
        <w:rPr>
          <w:iCs/>
          <w:sz w:val="24"/>
          <w:szCs w:val="24"/>
        </w:rPr>
        <w:t>atovaquon</w:t>
      </w:r>
      <w:proofErr w:type="spellEnd"/>
      <w:r w:rsidRPr="00010ACA">
        <w:rPr>
          <w:iCs/>
          <w:sz w:val="24"/>
          <w:szCs w:val="24"/>
        </w:rPr>
        <w:t xml:space="preserve"> med følgende hyppigheder: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 xml:space="preserve">Følgende konvention er anvendt til </w:t>
      </w:r>
      <w:r>
        <w:rPr>
          <w:iCs/>
          <w:sz w:val="24"/>
          <w:szCs w:val="24"/>
        </w:rPr>
        <w:t>klassificering af hyppigheder: M</w:t>
      </w:r>
      <w:r w:rsidRPr="00010ACA">
        <w:rPr>
          <w:iCs/>
          <w:sz w:val="24"/>
          <w:szCs w:val="24"/>
        </w:rPr>
        <w:t>eget almindelig (≥ 1/10), almindelig (≥ 1/100 til &lt; 1/10), ikke almindelig (≥ 1/1.000 til &lt; 1/100), sjælden (≥ 1/10.000 til &lt; 1/1.000), ikke kendt (kan ikke estimeres ud fra forhåndenværende data).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Blod og lymfesystem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A</w:t>
      </w:r>
      <w:r w:rsidRPr="00010ACA">
        <w:rPr>
          <w:iCs/>
          <w:sz w:val="24"/>
          <w:szCs w:val="24"/>
        </w:rPr>
        <w:t xml:space="preserve">næmi, </w:t>
      </w:r>
      <w:proofErr w:type="spellStart"/>
      <w:r w:rsidRPr="00010ACA">
        <w:rPr>
          <w:iCs/>
          <w:sz w:val="24"/>
          <w:szCs w:val="24"/>
        </w:rPr>
        <w:t>neutropeni</w:t>
      </w:r>
      <w:proofErr w:type="spellEnd"/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Metabolisme og ernæring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H</w:t>
      </w:r>
      <w:r w:rsidRPr="00010ACA">
        <w:rPr>
          <w:iCs/>
          <w:sz w:val="24"/>
          <w:szCs w:val="24"/>
        </w:rPr>
        <w:t>yponatriæmi</w:t>
      </w:r>
      <w:proofErr w:type="spellEnd"/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Psykiske forstyrrelser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S</w:t>
      </w:r>
      <w:r w:rsidRPr="00010ACA">
        <w:rPr>
          <w:iCs/>
          <w:sz w:val="24"/>
          <w:szCs w:val="24"/>
        </w:rPr>
        <w:t>øvnløshed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Nervesystemet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H</w:t>
      </w:r>
      <w:r w:rsidRPr="00010ACA">
        <w:rPr>
          <w:iCs/>
          <w:sz w:val="24"/>
          <w:szCs w:val="24"/>
        </w:rPr>
        <w:t>ovedpine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Mave-tarm-kanalen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>
        <w:rPr>
          <w:iCs/>
          <w:sz w:val="24"/>
          <w:szCs w:val="24"/>
        </w:rPr>
        <w:t>Meget almindelig:</w:t>
      </w:r>
      <w:r>
        <w:rPr>
          <w:iCs/>
          <w:sz w:val="24"/>
          <w:szCs w:val="24"/>
        </w:rPr>
        <w:tab/>
        <w:t>K</w:t>
      </w:r>
      <w:r w:rsidRPr="00010ACA">
        <w:rPr>
          <w:iCs/>
          <w:sz w:val="24"/>
          <w:szCs w:val="24"/>
        </w:rPr>
        <w:t>valme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D</w:t>
      </w:r>
      <w:r w:rsidRPr="00010ACA">
        <w:rPr>
          <w:iCs/>
          <w:sz w:val="24"/>
          <w:szCs w:val="24"/>
        </w:rPr>
        <w:t>iarré, opkastning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Lever og galdeveje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F</w:t>
      </w:r>
      <w:r w:rsidRPr="00010ACA">
        <w:rPr>
          <w:iCs/>
          <w:sz w:val="24"/>
          <w:szCs w:val="24"/>
        </w:rPr>
        <w:t>orhøjede leverenzymniveauer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lastRenderedPageBreak/>
        <w:t>Immunsystemet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>
        <w:rPr>
          <w:iCs/>
          <w:sz w:val="24"/>
          <w:szCs w:val="24"/>
        </w:rPr>
        <w:t>Almindelig:</w:t>
      </w:r>
      <w:r>
        <w:rPr>
          <w:iCs/>
          <w:sz w:val="24"/>
          <w:szCs w:val="24"/>
        </w:rPr>
        <w:tab/>
        <w:t>O</w:t>
      </w:r>
      <w:r w:rsidRPr="00010ACA">
        <w:rPr>
          <w:iCs/>
          <w:sz w:val="24"/>
          <w:szCs w:val="24"/>
        </w:rPr>
        <w:t xml:space="preserve">verfølsomhedsreaktioner, herunder </w:t>
      </w:r>
      <w:proofErr w:type="spellStart"/>
      <w:r w:rsidRPr="00010ACA">
        <w:rPr>
          <w:iCs/>
          <w:sz w:val="24"/>
          <w:szCs w:val="24"/>
        </w:rPr>
        <w:t>angioødem</w:t>
      </w:r>
      <w:proofErr w:type="spellEnd"/>
      <w:r w:rsidRPr="00010ACA">
        <w:rPr>
          <w:iCs/>
          <w:sz w:val="24"/>
          <w:szCs w:val="24"/>
        </w:rPr>
        <w:t xml:space="preserve">, </w:t>
      </w:r>
      <w:proofErr w:type="spellStart"/>
      <w:r w:rsidRPr="00010ACA">
        <w:rPr>
          <w:iCs/>
          <w:sz w:val="24"/>
          <w:szCs w:val="24"/>
        </w:rPr>
        <w:t>bronkospasme</w:t>
      </w:r>
      <w:proofErr w:type="spellEnd"/>
      <w:r w:rsidRPr="00010ACA">
        <w:rPr>
          <w:iCs/>
          <w:sz w:val="24"/>
          <w:szCs w:val="24"/>
        </w:rPr>
        <w:t xml:space="preserve"> eller træghedsfornemmelse i svælget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Hud og subkutane væv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Meget 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U</w:t>
      </w:r>
      <w:r w:rsidRPr="00010ACA">
        <w:rPr>
          <w:iCs/>
          <w:sz w:val="24"/>
          <w:szCs w:val="24"/>
        </w:rPr>
        <w:t>dslæt, kløe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U</w:t>
      </w:r>
      <w:r w:rsidRPr="00010ACA">
        <w:rPr>
          <w:iCs/>
          <w:sz w:val="24"/>
          <w:szCs w:val="24"/>
        </w:rPr>
        <w:t>rticaria</w:t>
      </w:r>
      <w:proofErr w:type="spellEnd"/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Ikke kendt:</w:t>
      </w:r>
      <w:r w:rsidRPr="00010ACA"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E</w:t>
      </w:r>
      <w:r w:rsidRPr="00010ACA">
        <w:rPr>
          <w:iCs/>
          <w:sz w:val="24"/>
          <w:szCs w:val="24"/>
        </w:rPr>
        <w:t>rythema</w:t>
      </w:r>
      <w:proofErr w:type="spellEnd"/>
      <w:r w:rsidRPr="00010ACA">
        <w:rPr>
          <w:iCs/>
          <w:sz w:val="24"/>
          <w:szCs w:val="24"/>
        </w:rPr>
        <w:t xml:space="preserve"> multiforme, Stevens-</w:t>
      </w:r>
      <w:proofErr w:type="spellStart"/>
      <w:r w:rsidRPr="00010ACA">
        <w:rPr>
          <w:iCs/>
          <w:sz w:val="24"/>
          <w:szCs w:val="24"/>
        </w:rPr>
        <w:t>Johnson</w:t>
      </w:r>
      <w:r>
        <w:rPr>
          <w:iCs/>
          <w:sz w:val="24"/>
          <w:szCs w:val="24"/>
        </w:rPr>
        <w:t>'s</w:t>
      </w:r>
      <w:proofErr w:type="spellEnd"/>
      <w:r w:rsidRPr="00010ACA">
        <w:rPr>
          <w:iCs/>
          <w:sz w:val="24"/>
          <w:szCs w:val="24"/>
        </w:rPr>
        <w:t xml:space="preserve"> syndrom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Almene symptomer og reaktioner på administrationsstedet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F</w:t>
      </w:r>
      <w:r w:rsidRPr="00010ACA">
        <w:rPr>
          <w:iCs/>
          <w:sz w:val="24"/>
          <w:szCs w:val="24"/>
        </w:rPr>
        <w:t>eber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Undersøgelser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>
        <w:rPr>
          <w:iCs/>
          <w:sz w:val="24"/>
          <w:szCs w:val="24"/>
        </w:rPr>
        <w:t>Ikke almindelig:</w:t>
      </w:r>
      <w:r>
        <w:rPr>
          <w:iCs/>
          <w:sz w:val="24"/>
          <w:szCs w:val="24"/>
        </w:rPr>
        <w:tab/>
        <w:t>Fo</w:t>
      </w:r>
      <w:r w:rsidRPr="00010ACA">
        <w:rPr>
          <w:iCs/>
          <w:sz w:val="24"/>
          <w:szCs w:val="24"/>
        </w:rPr>
        <w:t>rhøjet amylaseniveau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</w:p>
    <w:p w:rsidR="00767E0A" w:rsidRPr="008F49E1" w:rsidRDefault="00767E0A" w:rsidP="00767E0A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767E0A" w:rsidRPr="008F49E1" w:rsidRDefault="00767E0A" w:rsidP="00767E0A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857F82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857F82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767E0A" w:rsidRPr="008F49E1" w:rsidRDefault="00767E0A" w:rsidP="00767E0A">
      <w:pPr>
        <w:ind w:left="851"/>
        <w:rPr>
          <w:sz w:val="24"/>
          <w:szCs w:val="24"/>
          <w:lang w:eastAsia="da-DK"/>
        </w:rPr>
      </w:pPr>
    </w:p>
    <w:p w:rsidR="00767E0A" w:rsidRPr="007A276A" w:rsidRDefault="00767E0A" w:rsidP="00767E0A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767E0A" w:rsidRPr="007A276A" w:rsidRDefault="00767E0A" w:rsidP="00767E0A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767E0A" w:rsidRPr="007A276A" w:rsidRDefault="00767E0A" w:rsidP="00767E0A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767E0A" w:rsidRPr="00EE67FF" w:rsidRDefault="00767E0A" w:rsidP="00767E0A">
      <w:pPr>
        <w:ind w:left="851"/>
        <w:rPr>
          <w:sz w:val="24"/>
          <w:szCs w:val="24"/>
          <w:lang w:eastAsia="da-DK"/>
        </w:rPr>
      </w:pPr>
      <w:r w:rsidRPr="00EE67FF">
        <w:rPr>
          <w:sz w:val="24"/>
          <w:szCs w:val="24"/>
          <w:lang w:eastAsia="da-DK"/>
        </w:rPr>
        <w:t xml:space="preserve">Websted: </w:t>
      </w:r>
      <w:hyperlink r:id="rId8" w:history="1">
        <w:r w:rsidR="00857F82" w:rsidRPr="003622DF">
          <w:rPr>
            <w:rStyle w:val="Hyperlink"/>
            <w:sz w:val="24"/>
            <w:lang w:eastAsia="da-DK"/>
          </w:rPr>
          <w:t>www.meldenbivirkning.dk</w:t>
        </w:r>
      </w:hyperlink>
      <w:r w:rsidR="00857F82">
        <w:rPr>
          <w:sz w:val="24"/>
          <w:lang w:eastAsia="da-DK"/>
        </w:rPr>
        <w:t xml:space="preserve"> </w:t>
      </w:r>
    </w:p>
    <w:p w:rsidR="00767E0A" w:rsidRPr="00C84483" w:rsidRDefault="00767E0A" w:rsidP="00767E0A">
      <w:pPr>
        <w:pStyle w:val="Sidehoved"/>
        <w:tabs>
          <w:tab w:val="left" w:pos="851"/>
        </w:tabs>
        <w:ind w:left="851"/>
        <w:rPr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Der er ikke tilstrækkelig erfaring til at forudsige konsekvenserne eller foreslå konkret behandling af en overdosis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. I de indberettede tilfælde af overdosering var de observerede virkninger dog i overensstemmelse med kendte bivirkninger af lægemidlet. Såfremt der forekommer overdosering, bør patienten overvåges og understøttende standardbehandling iværksættes.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(kun til sygehuse)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767E0A" w:rsidRPr="00C84483" w:rsidRDefault="00767E0A" w:rsidP="00767E0A">
      <w:pPr>
        <w:suppressAutoHyphens/>
        <w:ind w:left="851"/>
        <w:rPr>
          <w:sz w:val="24"/>
          <w:szCs w:val="24"/>
        </w:rPr>
      </w:pPr>
      <w:r w:rsidRPr="00010ACA">
        <w:rPr>
          <w:sz w:val="24"/>
          <w:szCs w:val="24"/>
        </w:rPr>
        <w:t>ATC-kode: P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AX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06.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Midler mod protozo-sygdomme</w:t>
      </w:r>
      <w:r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67E0A" w:rsidRDefault="00767E0A" w:rsidP="00767E0A">
      <w:pPr>
        <w:suppressAutoHyphens/>
        <w:ind w:left="851"/>
        <w:rPr>
          <w:b/>
          <w:bCs/>
          <w:sz w:val="24"/>
          <w:szCs w:val="24"/>
        </w:rPr>
      </w:pPr>
    </w:p>
    <w:p w:rsidR="00767E0A" w:rsidRPr="00730CC5" w:rsidRDefault="00767E0A" w:rsidP="00767E0A">
      <w:pPr>
        <w:suppressAutoHyphens/>
        <w:ind w:left="851"/>
        <w:rPr>
          <w:bCs/>
          <w:sz w:val="24"/>
          <w:szCs w:val="24"/>
          <w:u w:val="single"/>
        </w:rPr>
      </w:pPr>
      <w:r w:rsidRPr="00730CC5">
        <w:rPr>
          <w:bCs/>
          <w:sz w:val="24"/>
          <w:szCs w:val="24"/>
          <w:u w:val="single"/>
        </w:rPr>
        <w:t>Virkningsmekanisme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en selektiv og potent hæmmer af den </w:t>
      </w:r>
      <w:proofErr w:type="spellStart"/>
      <w:r w:rsidRPr="00010ACA">
        <w:rPr>
          <w:sz w:val="24"/>
          <w:szCs w:val="24"/>
        </w:rPr>
        <w:t>mitokondrielle</w:t>
      </w:r>
      <w:proofErr w:type="spellEnd"/>
      <w:r w:rsidRPr="00010ACA">
        <w:rPr>
          <w:sz w:val="24"/>
          <w:szCs w:val="24"/>
        </w:rPr>
        <w:t xml:space="preserve"> elektrontransportkæde i eukaryote celler hos flere parasitære protozoer og den parasitære svamp </w:t>
      </w:r>
      <w:r w:rsidRPr="00010ACA">
        <w:rPr>
          <w:i/>
          <w:iCs/>
          <w:sz w:val="24"/>
          <w:szCs w:val="24"/>
        </w:rPr>
        <w:t xml:space="preserve">P. </w:t>
      </w:r>
      <w:proofErr w:type="spellStart"/>
      <w:r w:rsidRPr="00010ACA">
        <w:rPr>
          <w:i/>
          <w:iCs/>
          <w:sz w:val="24"/>
          <w:szCs w:val="24"/>
        </w:rPr>
        <w:t>jiroveci</w:t>
      </w:r>
      <w:proofErr w:type="spellEnd"/>
      <w:r w:rsidRPr="00010ACA">
        <w:rPr>
          <w:sz w:val="24"/>
          <w:szCs w:val="24"/>
        </w:rPr>
        <w:t xml:space="preserve">. Virkningsstedet synes at være </w:t>
      </w:r>
      <w:proofErr w:type="spellStart"/>
      <w:r w:rsidRPr="00010ACA">
        <w:rPr>
          <w:sz w:val="24"/>
          <w:szCs w:val="24"/>
        </w:rPr>
        <w:t>cytochrom</w:t>
      </w:r>
      <w:proofErr w:type="spellEnd"/>
      <w:r w:rsidRPr="00010ACA">
        <w:rPr>
          <w:sz w:val="24"/>
          <w:szCs w:val="24"/>
        </w:rPr>
        <w:t xml:space="preserve"> bc</w:t>
      </w:r>
      <w:r w:rsidRPr="00010ACA">
        <w:rPr>
          <w:sz w:val="24"/>
          <w:szCs w:val="24"/>
          <w:vertAlign w:val="subscript"/>
        </w:rPr>
        <w:t>1</w:t>
      </w:r>
      <w:r w:rsidRPr="00010ACA">
        <w:rPr>
          <w:sz w:val="24"/>
          <w:szCs w:val="24"/>
        </w:rPr>
        <w:noBreakHyphen/>
        <w:t>komplekset (kompleks III). Den endelige metaboliske virkning af en sådan blokade er sandsynligvis hæmning af nukleinsyre og ATP</w:t>
      </w:r>
      <w:r w:rsidRPr="00010ACA">
        <w:rPr>
          <w:sz w:val="24"/>
          <w:szCs w:val="24"/>
        </w:rPr>
        <w:noBreakHyphen/>
        <w:t>syntese.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</w:p>
    <w:p w:rsidR="00767E0A" w:rsidRPr="00730CC5" w:rsidRDefault="00767E0A" w:rsidP="00767E0A">
      <w:pPr>
        <w:suppressAutoHyphens/>
        <w:ind w:left="851"/>
        <w:rPr>
          <w:bCs/>
          <w:sz w:val="24"/>
          <w:szCs w:val="24"/>
          <w:u w:val="single"/>
        </w:rPr>
      </w:pPr>
      <w:r w:rsidRPr="00730CC5">
        <w:rPr>
          <w:bCs/>
          <w:sz w:val="24"/>
          <w:szCs w:val="24"/>
          <w:u w:val="single"/>
        </w:rPr>
        <w:t>Mikrobiologi</w:t>
      </w:r>
    </w:p>
    <w:p w:rsidR="00767E0A" w:rsidRPr="00C84483" w:rsidRDefault="00767E0A" w:rsidP="00767E0A">
      <w:pPr>
        <w:suppressAutoHyphens/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lastRenderedPageBreak/>
        <w:t>Atovaquon</w:t>
      </w:r>
      <w:proofErr w:type="spellEnd"/>
      <w:r w:rsidRPr="00010ACA">
        <w:rPr>
          <w:sz w:val="24"/>
          <w:szCs w:val="24"/>
        </w:rPr>
        <w:t xml:space="preserve"> har en potent virkning mod </w:t>
      </w:r>
      <w:proofErr w:type="spellStart"/>
      <w:r w:rsidRPr="00010ACA">
        <w:rPr>
          <w:i/>
          <w:iCs/>
          <w:sz w:val="24"/>
          <w:szCs w:val="24"/>
        </w:rPr>
        <w:t>Pneumosystic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proofErr w:type="spellStart"/>
      <w:r w:rsidRPr="00010ACA">
        <w:rPr>
          <w:i/>
          <w:iCs/>
          <w:sz w:val="24"/>
          <w:szCs w:val="24"/>
        </w:rPr>
        <w:t>sp</w:t>
      </w:r>
      <w:proofErr w:type="spellEnd"/>
      <w:r w:rsidRPr="00010ACA">
        <w:rPr>
          <w:i/>
          <w:iCs/>
          <w:sz w:val="24"/>
          <w:szCs w:val="24"/>
        </w:rPr>
        <w:t>.</w:t>
      </w:r>
      <w:r w:rsidRPr="00010ACA">
        <w:rPr>
          <w:sz w:val="24"/>
          <w:szCs w:val="24"/>
        </w:rPr>
        <w:t xml:space="preserve">, både </w:t>
      </w:r>
      <w:r w:rsidRPr="00010ACA">
        <w:rPr>
          <w:i/>
          <w:iCs/>
          <w:sz w:val="24"/>
          <w:szCs w:val="24"/>
        </w:rPr>
        <w:t>in </w:t>
      </w:r>
      <w:proofErr w:type="spellStart"/>
      <w:r w:rsidRPr="00010ACA">
        <w:rPr>
          <w:i/>
          <w:iCs/>
          <w:sz w:val="24"/>
          <w:szCs w:val="24"/>
        </w:rPr>
        <w:t>vitro</w:t>
      </w:r>
      <w:proofErr w:type="spellEnd"/>
      <w:r w:rsidRPr="00010ACA">
        <w:rPr>
          <w:sz w:val="24"/>
          <w:szCs w:val="24"/>
        </w:rPr>
        <w:t xml:space="preserve"> og i dyremodeller, (IC</w:t>
      </w:r>
      <w:r w:rsidRPr="00010ACA">
        <w:rPr>
          <w:sz w:val="24"/>
          <w:szCs w:val="24"/>
          <w:vertAlign w:val="subscript"/>
        </w:rPr>
        <w:t>50</w:t>
      </w:r>
      <w:r w:rsidRPr="00010ACA">
        <w:rPr>
          <w:sz w:val="24"/>
          <w:szCs w:val="24"/>
        </w:rPr>
        <w:t> 0,5</w:t>
      </w:r>
      <w:r w:rsidRPr="00010ACA">
        <w:rPr>
          <w:sz w:val="24"/>
          <w:szCs w:val="24"/>
        </w:rPr>
        <w:noBreakHyphen/>
        <w:t>8 </w:t>
      </w:r>
      <w:proofErr w:type="spellStart"/>
      <w:r w:rsidRPr="00010ACA">
        <w:rPr>
          <w:sz w:val="24"/>
          <w:szCs w:val="24"/>
        </w:rPr>
        <w:t>μg</w:t>
      </w:r>
      <w:proofErr w:type="spellEnd"/>
      <w:r w:rsidRPr="00010ACA">
        <w:rPr>
          <w:sz w:val="24"/>
          <w:szCs w:val="24"/>
        </w:rPr>
        <w:t>/ml).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</w:p>
    <w:p w:rsidR="00767E0A" w:rsidRPr="00014440" w:rsidRDefault="00767E0A" w:rsidP="00767E0A">
      <w:pPr>
        <w:ind w:left="851"/>
        <w:rPr>
          <w:iCs/>
          <w:sz w:val="24"/>
          <w:szCs w:val="24"/>
          <w:u w:val="single"/>
        </w:rPr>
      </w:pPr>
      <w:r w:rsidRPr="00014440">
        <w:rPr>
          <w:iCs/>
          <w:sz w:val="24"/>
          <w:szCs w:val="24"/>
          <w:u w:val="single"/>
        </w:rPr>
        <w:t>Absorption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en stærkt </w:t>
      </w:r>
      <w:proofErr w:type="spellStart"/>
      <w:r w:rsidRPr="00010ACA">
        <w:rPr>
          <w:sz w:val="24"/>
          <w:szCs w:val="24"/>
        </w:rPr>
        <w:t>lipofil</w:t>
      </w:r>
      <w:proofErr w:type="spellEnd"/>
      <w:r w:rsidRPr="00010ACA">
        <w:rPr>
          <w:sz w:val="24"/>
          <w:szCs w:val="24"/>
        </w:rPr>
        <w:t xml:space="preserve"> substans med en lav vandopløselighed. Plasmaproteinbindingsgraden er 99,9 %. Der ses et relativt fald i lægemidlets biotilgængelighed med enkeltdoser over 750 mg og det udviser betydelig </w:t>
      </w:r>
      <w:proofErr w:type="spellStart"/>
      <w:r w:rsidRPr="00010ACA">
        <w:rPr>
          <w:sz w:val="24"/>
          <w:szCs w:val="24"/>
        </w:rPr>
        <w:t>interindividuel</w:t>
      </w:r>
      <w:proofErr w:type="spellEnd"/>
      <w:r w:rsidRPr="00010ACA">
        <w:rPr>
          <w:sz w:val="24"/>
          <w:szCs w:val="24"/>
        </w:rPr>
        <w:t xml:space="preserve"> variation. Den gennemsnitlige absolutte biotilgængelighed hos hiv</w:t>
      </w:r>
      <w:r w:rsidRPr="00010ACA">
        <w:rPr>
          <w:sz w:val="24"/>
          <w:szCs w:val="24"/>
        </w:rPr>
        <w:noBreakHyphen/>
        <w:t xml:space="preserve">positive voksne mænd, som indtager en enkeltdosis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suspension sammen med mad, er 47 % (sammenlignet med 23 % for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-tabletter). Efter intravenøs administration blev </w:t>
      </w:r>
      <w:proofErr w:type="spellStart"/>
      <w:r w:rsidRPr="00010ACA">
        <w:rPr>
          <w:sz w:val="24"/>
          <w:szCs w:val="24"/>
        </w:rPr>
        <w:t>distributionsvolumet</w:t>
      </w:r>
      <w:proofErr w:type="spellEnd"/>
      <w:r w:rsidRPr="00010ACA">
        <w:rPr>
          <w:sz w:val="24"/>
          <w:szCs w:val="24"/>
        </w:rPr>
        <w:t xml:space="preserve"> og </w:t>
      </w:r>
      <w:r w:rsidRPr="00010ACA">
        <w:rPr>
          <w:sz w:val="24"/>
          <w:szCs w:val="24"/>
        </w:rPr>
        <w:noBreakHyphen/>
      </w:r>
      <w:proofErr w:type="spellStart"/>
      <w:r w:rsidRPr="00010ACA">
        <w:rPr>
          <w:sz w:val="24"/>
          <w:szCs w:val="24"/>
        </w:rPr>
        <w:t>clerance</w:t>
      </w:r>
      <w:proofErr w:type="spellEnd"/>
      <w:r w:rsidRPr="00010ACA">
        <w:rPr>
          <w:sz w:val="24"/>
          <w:szCs w:val="24"/>
        </w:rPr>
        <w:t xml:space="preserve"> beregnet til at være henholdsvis 0,62±0,19 l/kg og 0,15±0,09 ml/min/kg.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Biotilgængeligheden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højere, når det administreres sammen med mad, end når det administreres på tom mave. Hos raske frivillige, som indtog et standardiseret morgenmåltid (23 g fedt, 610 kcal), øgedes biotilgængeligheden to til tre gange efter en engangsdosis på 750 mg. Gennemsnitligt AUC og </w:t>
      </w:r>
      <w:proofErr w:type="spellStart"/>
      <w:r w:rsidRPr="00010ACA">
        <w:rPr>
          <w:sz w:val="24"/>
          <w:szCs w:val="24"/>
        </w:rPr>
        <w:t>C</w:t>
      </w:r>
      <w:r w:rsidRPr="00010ACA">
        <w:rPr>
          <w:sz w:val="24"/>
          <w:szCs w:val="24"/>
          <w:vertAlign w:val="subscript"/>
        </w:rPr>
        <w:t>max</w:t>
      </w:r>
      <w:proofErr w:type="spellEnd"/>
      <w:r w:rsidRPr="00010ACA">
        <w:rPr>
          <w:sz w:val="24"/>
          <w:szCs w:val="24"/>
        </w:rPr>
        <w:t xml:space="preserve"> blev øget henholdsvis 2,5 gange og 3,4 gange. Gennemsnitligt AUC (±SD) for suspension var 324,3 (±115,0) µg/ml.t fastende og 800,6 (±319,8) µg/ml.t med mad.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Følgende resultater blev opnået i et sikkerheds- og farmakokinetikstudie hos patienter med PCP: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835"/>
      </w:tblGrid>
      <w:tr w:rsidR="00767E0A" w:rsidRPr="00010ACA" w:rsidTr="003B4BCE"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Dosering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750 mg to gange </w:t>
            </w:r>
            <w:r>
              <w:rPr>
                <w:sz w:val="24"/>
                <w:szCs w:val="24"/>
              </w:rPr>
              <w:t>daglig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1.000 mg to gange </w:t>
            </w:r>
            <w:r>
              <w:rPr>
                <w:sz w:val="24"/>
                <w:szCs w:val="24"/>
              </w:rPr>
              <w:t>daglig</w:t>
            </w:r>
          </w:p>
        </w:tc>
      </w:tr>
      <w:tr w:rsidR="00767E0A" w:rsidRPr="00010ACA" w:rsidTr="003B4BCE"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Antal patienter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9</w:t>
            </w:r>
          </w:p>
        </w:tc>
      </w:tr>
      <w:tr w:rsidR="00767E0A" w:rsidRPr="00010ACA" w:rsidTr="003B4BCE"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Gennemsnitlig </w:t>
            </w:r>
            <w:proofErr w:type="spellStart"/>
            <w:r w:rsidRPr="00010ACA">
              <w:rPr>
                <w:i/>
                <w:iCs/>
                <w:sz w:val="24"/>
                <w:szCs w:val="24"/>
              </w:rPr>
              <w:t>steady</w:t>
            </w:r>
            <w:proofErr w:type="spellEnd"/>
            <w:r w:rsidRPr="00010ACA">
              <w:rPr>
                <w:i/>
                <w:iCs/>
                <w:sz w:val="24"/>
                <w:szCs w:val="24"/>
              </w:rPr>
              <w:t xml:space="preserve"> state</w:t>
            </w:r>
            <w:r w:rsidRPr="00010ACA">
              <w:rPr>
                <w:sz w:val="24"/>
                <w:szCs w:val="24"/>
              </w:rPr>
              <w:t>-koncentration (interval)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22 µg/ml (6</w:t>
            </w:r>
            <w:r w:rsidRPr="00010ACA">
              <w:rPr>
                <w:sz w:val="24"/>
                <w:szCs w:val="24"/>
              </w:rPr>
              <w:noBreakHyphen/>
              <w:t>41)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25,7 µg/ml (15-36)</w:t>
            </w:r>
          </w:p>
        </w:tc>
      </w:tr>
      <w:tr w:rsidR="00767E0A" w:rsidRPr="00010ACA" w:rsidTr="003B4BCE">
        <w:trPr>
          <w:trHeight w:val="560"/>
        </w:trPr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Procentdel af patienter med gennemsnitlig </w:t>
            </w:r>
            <w:proofErr w:type="spellStart"/>
            <w:r w:rsidRPr="00010ACA">
              <w:rPr>
                <w:i/>
                <w:iCs/>
                <w:sz w:val="24"/>
                <w:szCs w:val="24"/>
              </w:rPr>
              <w:t>steady</w:t>
            </w:r>
            <w:proofErr w:type="spellEnd"/>
            <w:r w:rsidRPr="00010ACA">
              <w:rPr>
                <w:i/>
                <w:iCs/>
                <w:sz w:val="24"/>
                <w:szCs w:val="24"/>
              </w:rPr>
              <w:t xml:space="preserve"> state</w:t>
            </w:r>
            <w:r w:rsidRPr="00010ACA">
              <w:rPr>
                <w:sz w:val="24"/>
                <w:szCs w:val="24"/>
              </w:rPr>
              <w:t>-koncentration</w:t>
            </w:r>
            <w:r w:rsidRPr="00010ACA">
              <w:rPr>
                <w:i/>
                <w:iCs/>
                <w:sz w:val="24"/>
                <w:szCs w:val="24"/>
              </w:rPr>
              <w:t xml:space="preserve"> </w:t>
            </w:r>
            <w:r w:rsidRPr="00010ACA">
              <w:rPr>
                <w:sz w:val="24"/>
                <w:szCs w:val="24"/>
              </w:rPr>
              <w:t>&gt;15 µg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67 %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100 %</w:t>
            </w:r>
          </w:p>
        </w:tc>
      </w:tr>
    </w:tbl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I et lille sikkerheds- og farmakokinetikstudie, hvor to højere doseringsregimer [750 mg tre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 xml:space="preserve"> (n=8) og 1.500 mg to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 xml:space="preserve"> (n=8)] blev administreret til hiv-smittede frivillige med alvorlighedskriterier, som var sammenlignelige med dem hos patienter med PCP, blev der opnået en tilsvarende gennemsnitlig koncentration med de to doser [for 750 mg tre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 xml:space="preserve"> og 1.500 mg to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>: henholdsvis 24,8 µg/ml (7</w:t>
      </w:r>
      <w:r w:rsidRPr="00010ACA">
        <w:rPr>
          <w:sz w:val="24"/>
          <w:szCs w:val="24"/>
        </w:rPr>
        <w:noBreakHyphen/>
        <w:t xml:space="preserve">40) og 23,4 µg/ml (7-35)]. Desuden blev der opnået en gennemsnitlig 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state</w:t>
      </w:r>
      <w:r w:rsidRPr="00010ACA">
        <w:rPr>
          <w:sz w:val="24"/>
          <w:szCs w:val="24"/>
        </w:rPr>
        <w:t>-koncentration &gt;15 µg/ml hos 87,5 % af patienterne.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Gennemsnitlige 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state</w:t>
      </w:r>
      <w:r w:rsidRPr="00010ACA">
        <w:rPr>
          <w:sz w:val="24"/>
          <w:szCs w:val="24"/>
        </w:rPr>
        <w:t>-koncentrationer over 15 µg/ml giver forudsætning for en høj (&gt;90 %) succesrate.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Hos raske frivillige og patienter med AIDS er halveringstiden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2</w:t>
      </w:r>
      <w:r w:rsidRPr="00010ACA">
        <w:rPr>
          <w:sz w:val="24"/>
          <w:szCs w:val="24"/>
        </w:rPr>
        <w:noBreakHyphen/>
        <w:t>3 dage.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BC45B1" w:rsidRDefault="00767E0A" w:rsidP="00767E0A">
      <w:pPr>
        <w:ind w:left="851"/>
        <w:rPr>
          <w:iCs/>
          <w:sz w:val="24"/>
          <w:szCs w:val="24"/>
          <w:u w:val="single"/>
        </w:rPr>
      </w:pPr>
      <w:r w:rsidRPr="00BC45B1">
        <w:rPr>
          <w:iCs/>
          <w:sz w:val="24"/>
          <w:szCs w:val="24"/>
          <w:u w:val="single"/>
        </w:rPr>
        <w:t>Bi</w:t>
      </w:r>
      <w:r>
        <w:rPr>
          <w:iCs/>
          <w:sz w:val="24"/>
          <w:szCs w:val="24"/>
          <w:u w:val="single"/>
        </w:rPr>
        <w:t>otransformation/e</w:t>
      </w:r>
      <w:r w:rsidRPr="00BC45B1">
        <w:rPr>
          <w:iCs/>
          <w:sz w:val="24"/>
          <w:szCs w:val="24"/>
          <w:u w:val="single"/>
        </w:rPr>
        <w:t>limination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Hos raske frivillige er der ikke noget der tyder på, at substansen </w:t>
      </w:r>
      <w:proofErr w:type="spellStart"/>
      <w:r w:rsidRPr="00010ACA">
        <w:rPr>
          <w:sz w:val="24"/>
          <w:szCs w:val="24"/>
        </w:rPr>
        <w:t>metaboliseres</w:t>
      </w:r>
      <w:proofErr w:type="spellEnd"/>
      <w:r w:rsidRPr="00010ACA">
        <w:rPr>
          <w:sz w:val="24"/>
          <w:szCs w:val="24"/>
        </w:rPr>
        <w:t xml:space="preserve">. Der udskilles kun en ubetydelig mængde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i urinen, medens modersubstansen hovedsageligt (&gt;90 %) udskilles uændret i fæces</w:t>
      </w:r>
      <w:r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767E0A" w:rsidRDefault="00767E0A" w:rsidP="00767E0A">
      <w:pPr>
        <w:numPr>
          <w:ilvl w:val="12"/>
          <w:numId w:val="0"/>
        </w:numPr>
        <w:ind w:left="851" w:right="11"/>
        <w:rPr>
          <w:b/>
          <w:bCs/>
          <w:sz w:val="24"/>
          <w:szCs w:val="24"/>
        </w:rPr>
      </w:pPr>
    </w:p>
    <w:p w:rsidR="00767E0A" w:rsidRPr="00BC45B1" w:rsidRDefault="00767E0A" w:rsidP="00767E0A">
      <w:pPr>
        <w:numPr>
          <w:ilvl w:val="12"/>
          <w:numId w:val="0"/>
        </w:numPr>
        <w:ind w:left="851" w:right="11"/>
        <w:rPr>
          <w:bCs/>
          <w:sz w:val="24"/>
          <w:szCs w:val="24"/>
          <w:u w:val="single"/>
        </w:rPr>
      </w:pPr>
      <w:proofErr w:type="spellStart"/>
      <w:r w:rsidRPr="00BC45B1">
        <w:rPr>
          <w:bCs/>
          <w:sz w:val="24"/>
          <w:szCs w:val="24"/>
          <w:u w:val="single"/>
        </w:rPr>
        <w:t>Karcinogenicitet</w:t>
      </w:r>
      <w:proofErr w:type="spellEnd"/>
    </w:p>
    <w:p w:rsidR="00767E0A" w:rsidRPr="00010ACA" w:rsidRDefault="00767E0A" w:rsidP="00767E0A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Onkogenicitetsstudier</w:t>
      </w:r>
      <w:proofErr w:type="spellEnd"/>
      <w:r w:rsidRPr="00010ACA">
        <w:rPr>
          <w:sz w:val="24"/>
          <w:szCs w:val="24"/>
        </w:rPr>
        <w:t xml:space="preserve"> hos mus viste en øget forekomst af </w:t>
      </w:r>
      <w:proofErr w:type="spellStart"/>
      <w:r w:rsidRPr="00010ACA">
        <w:rPr>
          <w:sz w:val="24"/>
          <w:szCs w:val="24"/>
        </w:rPr>
        <w:t>hepatocellulære</w:t>
      </w:r>
      <w:proofErr w:type="spellEnd"/>
      <w:r w:rsidRPr="00010ACA">
        <w:rPr>
          <w:sz w:val="24"/>
          <w:szCs w:val="24"/>
        </w:rPr>
        <w:t xml:space="preserve"> </w:t>
      </w:r>
      <w:proofErr w:type="spellStart"/>
      <w:r w:rsidRPr="00010ACA">
        <w:rPr>
          <w:sz w:val="24"/>
          <w:szCs w:val="24"/>
        </w:rPr>
        <w:t>adenomer</w:t>
      </w:r>
      <w:proofErr w:type="spellEnd"/>
      <w:r w:rsidRPr="00010ACA">
        <w:rPr>
          <w:sz w:val="24"/>
          <w:szCs w:val="24"/>
        </w:rPr>
        <w:t xml:space="preserve"> og karcinomer, med det kunne ikke klarlægges, ved hvilket dosisniveau disse bivirkninger forekom. Sådanne fund blev ikke observeret hos rotter og </w:t>
      </w:r>
      <w:proofErr w:type="spellStart"/>
      <w:r w:rsidRPr="00010ACA">
        <w:rPr>
          <w:sz w:val="24"/>
          <w:szCs w:val="24"/>
        </w:rPr>
        <w:t>mutagenicitetsundersøgelserne</w:t>
      </w:r>
      <w:proofErr w:type="spellEnd"/>
      <w:r w:rsidRPr="00010ACA">
        <w:rPr>
          <w:sz w:val="24"/>
          <w:szCs w:val="24"/>
        </w:rPr>
        <w:t xml:space="preserve"> var negative. Disse fund synes at skyldes artsspecifik modtagelighed hos mus og anses ikke for at være af klinisk betydning.</w:t>
      </w:r>
    </w:p>
    <w:p w:rsidR="00767E0A" w:rsidRPr="00010ACA" w:rsidRDefault="00767E0A" w:rsidP="00767E0A">
      <w:pPr>
        <w:numPr>
          <w:ilvl w:val="12"/>
          <w:numId w:val="0"/>
        </w:numPr>
        <w:ind w:left="851" w:right="11"/>
        <w:rPr>
          <w:b/>
          <w:bCs/>
          <w:sz w:val="24"/>
          <w:szCs w:val="24"/>
        </w:rPr>
      </w:pPr>
    </w:p>
    <w:p w:rsidR="00767E0A" w:rsidRPr="00BC45B1" w:rsidRDefault="00767E0A" w:rsidP="00767E0A">
      <w:pPr>
        <w:numPr>
          <w:ilvl w:val="12"/>
          <w:numId w:val="0"/>
        </w:numPr>
        <w:ind w:left="851" w:right="11"/>
        <w:rPr>
          <w:bCs/>
          <w:sz w:val="24"/>
          <w:szCs w:val="24"/>
          <w:u w:val="single"/>
        </w:rPr>
      </w:pPr>
      <w:r w:rsidRPr="00BC45B1">
        <w:rPr>
          <w:bCs/>
          <w:sz w:val="24"/>
          <w:szCs w:val="24"/>
          <w:u w:val="single"/>
        </w:rPr>
        <w:t>Reproduktionstoksicitet</w:t>
      </w:r>
    </w:p>
    <w:p w:rsidR="00767E0A" w:rsidRPr="00C84483" w:rsidRDefault="00767E0A" w:rsidP="00767E0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010ACA">
        <w:rPr>
          <w:sz w:val="24"/>
          <w:szCs w:val="24"/>
        </w:rPr>
        <w:t>Doser i intervallet fra 600</w:t>
      </w:r>
      <w:r w:rsidRPr="00010ACA">
        <w:rPr>
          <w:sz w:val="24"/>
          <w:szCs w:val="24"/>
        </w:rPr>
        <w:noBreakHyphen/>
        <w:t xml:space="preserve">1.200 mg hos kaniner indikerede </w:t>
      </w:r>
      <w:proofErr w:type="spellStart"/>
      <w:r w:rsidRPr="00010ACA">
        <w:rPr>
          <w:sz w:val="24"/>
          <w:szCs w:val="24"/>
        </w:rPr>
        <w:t>maternelle</w:t>
      </w:r>
      <w:proofErr w:type="spellEnd"/>
      <w:r w:rsidRPr="00010ACA">
        <w:rPr>
          <w:sz w:val="24"/>
          <w:szCs w:val="24"/>
        </w:rPr>
        <w:t xml:space="preserve"> og embryotoksiske påvirkninger.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767E0A" w:rsidRPr="00BA09F1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Benzylalkohol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Xanthangummi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Poloxamer</w:t>
      </w:r>
      <w:proofErr w:type="spellEnd"/>
      <w:r w:rsidRPr="00010ACA">
        <w:rPr>
          <w:sz w:val="24"/>
          <w:szCs w:val="24"/>
        </w:rPr>
        <w:t> 188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Hypromellose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Saccharinnatriumdihydrat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Citronsyremonohydrat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Natriumcitratdihydrat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Renset vand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Tutti </w:t>
      </w:r>
      <w:proofErr w:type="spellStart"/>
      <w:r w:rsidRPr="00010ACA">
        <w:rPr>
          <w:sz w:val="24"/>
          <w:szCs w:val="24"/>
        </w:rPr>
        <w:t>frutti</w:t>
      </w:r>
      <w:proofErr w:type="spellEnd"/>
      <w:r w:rsidRPr="00010ACA">
        <w:rPr>
          <w:sz w:val="24"/>
          <w:szCs w:val="24"/>
        </w:rPr>
        <w:t xml:space="preserve"> smag (051880 AP0551) indeholdende aromastoffer, </w:t>
      </w:r>
      <w:proofErr w:type="spellStart"/>
      <w:r w:rsidRPr="00010ACA">
        <w:rPr>
          <w:sz w:val="24"/>
          <w:szCs w:val="24"/>
        </w:rPr>
        <w:t>majsmaltodextrin</w:t>
      </w:r>
      <w:proofErr w:type="spellEnd"/>
      <w:r w:rsidRPr="00010ACA">
        <w:rPr>
          <w:sz w:val="24"/>
          <w:szCs w:val="24"/>
        </w:rPr>
        <w:t>, propylenglycol og alfa</w:t>
      </w:r>
      <w:r w:rsidRPr="00010ACA">
        <w:rPr>
          <w:sz w:val="24"/>
          <w:szCs w:val="24"/>
        </w:rPr>
        <w:noBreakHyphen/>
      </w:r>
      <w:proofErr w:type="spellStart"/>
      <w:r w:rsidRPr="00010ACA">
        <w:rPr>
          <w:sz w:val="24"/>
          <w:szCs w:val="24"/>
        </w:rPr>
        <w:t>tocophenol</w:t>
      </w:r>
      <w:proofErr w:type="spellEnd"/>
      <w:r w:rsidRPr="00010ACA"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767E0A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 år.</w:t>
      </w:r>
    </w:p>
    <w:p w:rsidR="00767E0A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første åbning: 21 dage.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Dette lægemiddel kræver ingen særlige forholdsregler vedrørende opbevaringen.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Må ikke opbevares i køleskab eller nedfryses.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760A7E" w:rsidRDefault="00760A7E" w:rsidP="00760A7E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226 ml i en plasticfl</w:t>
      </w:r>
      <w:r w:rsidRPr="00010ACA">
        <w:rPr>
          <w:sz w:val="24"/>
          <w:szCs w:val="24"/>
        </w:rPr>
        <w:t xml:space="preserve">aske </w:t>
      </w:r>
      <w:r>
        <w:rPr>
          <w:sz w:val="24"/>
          <w:szCs w:val="24"/>
        </w:rPr>
        <w:t>(HDPE)</w:t>
      </w:r>
      <w:r w:rsidRPr="00010ACA">
        <w:rPr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 w:rsidRPr="00010ACA">
        <w:rPr>
          <w:sz w:val="24"/>
          <w:szCs w:val="24"/>
        </w:rPr>
        <w:t xml:space="preserve"> børnesikret lukning </w:t>
      </w:r>
      <w:r>
        <w:rPr>
          <w:sz w:val="24"/>
          <w:szCs w:val="24"/>
        </w:rPr>
        <w:t>(</w:t>
      </w:r>
      <w:r w:rsidRPr="00010ACA">
        <w:rPr>
          <w:sz w:val="24"/>
          <w:szCs w:val="24"/>
        </w:rPr>
        <w:t>polypropylen</w:t>
      </w:r>
      <w:r>
        <w:rPr>
          <w:sz w:val="24"/>
          <w:szCs w:val="24"/>
        </w:rPr>
        <w:t>)</w:t>
      </w:r>
      <w:r w:rsidRPr="00010A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Der medfølger en 5 ml måleske (polypropylen).</w:t>
      </w:r>
    </w:p>
    <w:p w:rsidR="00767E0A" w:rsidRDefault="00767E0A" w:rsidP="00767E0A">
      <w:pPr>
        <w:suppressAutoHyphens/>
        <w:ind w:left="851"/>
        <w:rPr>
          <w:sz w:val="24"/>
          <w:szCs w:val="24"/>
        </w:rPr>
      </w:pPr>
    </w:p>
    <w:p w:rsidR="00767E0A" w:rsidRPr="00C84483" w:rsidRDefault="00767E0A" w:rsidP="006955FE">
      <w:pPr>
        <w:tabs>
          <w:tab w:val="left" w:pos="851"/>
        </w:tabs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Må ikke fortyndes.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Ikke anvendt lægemiddel samt affald heraf skal bortskaffes i henhold til lokale retningslinjer.</w:t>
      </w:r>
    </w:p>
    <w:p w:rsidR="00767E0A" w:rsidRPr="00C84483" w:rsidRDefault="00767E0A" w:rsidP="00767E0A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Glenmark </w:t>
      </w:r>
      <w:proofErr w:type="spellStart"/>
      <w:r w:rsidRPr="00010ACA">
        <w:rPr>
          <w:sz w:val="24"/>
          <w:szCs w:val="24"/>
        </w:rPr>
        <w:t>Arzneimittel</w:t>
      </w:r>
      <w:proofErr w:type="spellEnd"/>
      <w:r w:rsidRPr="00010ACA">
        <w:rPr>
          <w:sz w:val="24"/>
          <w:szCs w:val="24"/>
        </w:rPr>
        <w:t xml:space="preserve"> GmbH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Industriestr</w:t>
      </w:r>
      <w:proofErr w:type="spellEnd"/>
      <w:r w:rsidRPr="00010ACA">
        <w:rPr>
          <w:sz w:val="24"/>
          <w:szCs w:val="24"/>
        </w:rPr>
        <w:t>. 31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82194 </w:t>
      </w:r>
      <w:proofErr w:type="spellStart"/>
      <w:r w:rsidRPr="00010ACA">
        <w:rPr>
          <w:sz w:val="24"/>
          <w:szCs w:val="24"/>
        </w:rPr>
        <w:t>Gröbenzell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Tyskland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b/>
          <w:bCs/>
          <w:sz w:val="24"/>
          <w:szCs w:val="24"/>
        </w:rPr>
      </w:pPr>
      <w:r w:rsidRPr="00010ACA">
        <w:rPr>
          <w:b/>
          <w:bCs/>
          <w:sz w:val="24"/>
          <w:szCs w:val="24"/>
        </w:rPr>
        <w:t>Repræsentant</w:t>
      </w:r>
    </w:p>
    <w:p w:rsidR="00FC1836" w:rsidRPr="00FC1836" w:rsidRDefault="00FC1836" w:rsidP="00FC1836">
      <w:pPr>
        <w:tabs>
          <w:tab w:val="left" w:pos="851"/>
        </w:tabs>
        <w:ind w:left="851"/>
        <w:rPr>
          <w:noProof/>
          <w:sz w:val="24"/>
          <w:szCs w:val="24"/>
          <w:lang w:val="en-US"/>
        </w:rPr>
      </w:pPr>
      <w:r w:rsidRPr="00FC1836">
        <w:rPr>
          <w:noProof/>
          <w:sz w:val="24"/>
          <w:szCs w:val="24"/>
          <w:lang w:val="en-US"/>
        </w:rPr>
        <w:t>Glenmark Pharmaceuticals Nordic AB</w:t>
      </w:r>
    </w:p>
    <w:p w:rsidR="00FC1836" w:rsidRPr="00FC1836" w:rsidRDefault="00FC1836" w:rsidP="00FC1836">
      <w:pPr>
        <w:tabs>
          <w:tab w:val="left" w:pos="851"/>
        </w:tabs>
        <w:ind w:left="851"/>
        <w:rPr>
          <w:noProof/>
          <w:sz w:val="24"/>
          <w:szCs w:val="24"/>
          <w:lang w:val="en-US"/>
        </w:rPr>
      </w:pPr>
      <w:r w:rsidRPr="00FC1836">
        <w:rPr>
          <w:noProof/>
          <w:sz w:val="24"/>
          <w:szCs w:val="24"/>
          <w:lang w:val="en-US"/>
        </w:rPr>
        <w:t>Propellergatan 2</w:t>
      </w:r>
    </w:p>
    <w:p w:rsidR="00FC1836" w:rsidRPr="00FC1836" w:rsidRDefault="00FC1836" w:rsidP="00FC1836">
      <w:pPr>
        <w:tabs>
          <w:tab w:val="left" w:pos="851"/>
        </w:tabs>
        <w:ind w:left="851"/>
        <w:rPr>
          <w:noProof/>
          <w:sz w:val="24"/>
          <w:szCs w:val="24"/>
          <w:lang w:val="en-US"/>
        </w:rPr>
      </w:pPr>
      <w:r w:rsidRPr="00FC1836">
        <w:rPr>
          <w:noProof/>
          <w:sz w:val="24"/>
          <w:szCs w:val="24"/>
          <w:lang w:val="en-US"/>
        </w:rPr>
        <w:t xml:space="preserve">211 15 Malmö </w:t>
      </w:r>
    </w:p>
    <w:p w:rsidR="00767E0A" w:rsidRDefault="00FC1836" w:rsidP="00FC1836">
      <w:pPr>
        <w:tabs>
          <w:tab w:val="left" w:pos="851"/>
        </w:tabs>
        <w:ind w:left="851"/>
        <w:rPr>
          <w:noProof/>
          <w:sz w:val="24"/>
          <w:szCs w:val="24"/>
          <w:lang w:val="en-US"/>
        </w:rPr>
      </w:pPr>
      <w:r w:rsidRPr="00FC1836">
        <w:rPr>
          <w:noProof/>
          <w:sz w:val="24"/>
          <w:szCs w:val="24"/>
          <w:lang w:val="en-US"/>
        </w:rPr>
        <w:t>Sverige</w:t>
      </w:r>
    </w:p>
    <w:p w:rsidR="00FC1836" w:rsidRPr="00C84483" w:rsidRDefault="00FC1836" w:rsidP="00FC1836">
      <w:pPr>
        <w:tabs>
          <w:tab w:val="left" w:pos="851"/>
        </w:tabs>
        <w:ind w:left="851"/>
        <w:rPr>
          <w:sz w:val="24"/>
          <w:szCs w:val="24"/>
        </w:rPr>
      </w:pPr>
      <w:bookmarkStart w:id="1" w:name="_GoBack"/>
      <w:bookmarkEnd w:id="1"/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767E0A" w:rsidRDefault="00767E0A" w:rsidP="004C312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62466</w:t>
      </w:r>
    </w:p>
    <w:p w:rsidR="00767E0A" w:rsidRPr="00C84483" w:rsidRDefault="00767E0A" w:rsidP="00767E0A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september 2019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67E0A" w:rsidRPr="00FA7C68" w:rsidRDefault="0007216C" w:rsidP="0007216C">
      <w:pPr>
        <w:ind w:firstLine="851"/>
      </w:pPr>
      <w:r w:rsidRPr="0007216C">
        <w:rPr>
          <w:sz w:val="24"/>
          <w:szCs w:val="24"/>
        </w:rPr>
        <w:t>25. august 2022</w:t>
      </w:r>
    </w:p>
    <w:p w:rsidR="009260DE" w:rsidRPr="00767E0A" w:rsidRDefault="009260DE" w:rsidP="00767E0A"/>
    <w:sectPr w:rsidR="009260DE" w:rsidRPr="00767E0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32" w:rsidRDefault="001F6132">
      <w:r>
        <w:separator/>
      </w:r>
    </w:p>
  </w:endnote>
  <w:endnote w:type="continuationSeparator" w:id="0">
    <w:p w:rsidR="001F6132" w:rsidRDefault="001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A47A1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A47A10">
      <w:rPr>
        <w:i/>
        <w:sz w:val="18"/>
        <w:szCs w:val="18"/>
      </w:rPr>
      <w:t>Atovaquone</w:t>
    </w:r>
    <w:proofErr w:type="spellEnd"/>
    <w:r w:rsidRPr="00A47A10">
      <w:rPr>
        <w:i/>
        <w:sz w:val="18"/>
        <w:szCs w:val="18"/>
      </w:rPr>
      <w:t xml:space="preserve"> Glenmark, oral suspension 150 mg-ml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32" w:rsidRDefault="001F6132">
      <w:r>
        <w:separator/>
      </w:r>
    </w:p>
  </w:footnote>
  <w:footnote w:type="continuationSeparator" w:id="0">
    <w:p w:rsidR="001F6132" w:rsidRDefault="001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A"/>
    <w:rsid w:val="00005FF0"/>
    <w:rsid w:val="000259B9"/>
    <w:rsid w:val="00041491"/>
    <w:rsid w:val="00050D16"/>
    <w:rsid w:val="0007216C"/>
    <w:rsid w:val="00074F2A"/>
    <w:rsid w:val="000A1CA8"/>
    <w:rsid w:val="000A466B"/>
    <w:rsid w:val="000B058C"/>
    <w:rsid w:val="000E4EE6"/>
    <w:rsid w:val="00105551"/>
    <w:rsid w:val="001454E2"/>
    <w:rsid w:val="001F6132"/>
    <w:rsid w:val="00206CE8"/>
    <w:rsid w:val="0021526C"/>
    <w:rsid w:val="00283A2B"/>
    <w:rsid w:val="002B30AD"/>
    <w:rsid w:val="002C2C01"/>
    <w:rsid w:val="0034506C"/>
    <w:rsid w:val="003A29AE"/>
    <w:rsid w:val="003A32D7"/>
    <w:rsid w:val="003B4074"/>
    <w:rsid w:val="003C769A"/>
    <w:rsid w:val="003D12CB"/>
    <w:rsid w:val="003F1838"/>
    <w:rsid w:val="0045746C"/>
    <w:rsid w:val="0049104B"/>
    <w:rsid w:val="004C3126"/>
    <w:rsid w:val="004E3B12"/>
    <w:rsid w:val="00532310"/>
    <w:rsid w:val="00560350"/>
    <w:rsid w:val="00560ECC"/>
    <w:rsid w:val="00565F0F"/>
    <w:rsid w:val="00594A86"/>
    <w:rsid w:val="00596D86"/>
    <w:rsid w:val="00637F5A"/>
    <w:rsid w:val="006560B1"/>
    <w:rsid w:val="006756DD"/>
    <w:rsid w:val="0068159B"/>
    <w:rsid w:val="006955FE"/>
    <w:rsid w:val="00737275"/>
    <w:rsid w:val="00740EEC"/>
    <w:rsid w:val="00747B13"/>
    <w:rsid w:val="00753513"/>
    <w:rsid w:val="00760A7E"/>
    <w:rsid w:val="00767E0A"/>
    <w:rsid w:val="0078011A"/>
    <w:rsid w:val="00782AF4"/>
    <w:rsid w:val="00790EE7"/>
    <w:rsid w:val="007B6649"/>
    <w:rsid w:val="0081546F"/>
    <w:rsid w:val="0082576E"/>
    <w:rsid w:val="00857F82"/>
    <w:rsid w:val="00907F75"/>
    <w:rsid w:val="009260DE"/>
    <w:rsid w:val="0093258A"/>
    <w:rsid w:val="009C7BA3"/>
    <w:rsid w:val="009D1F5A"/>
    <w:rsid w:val="009D4CCA"/>
    <w:rsid w:val="009E6F2B"/>
    <w:rsid w:val="00A47A10"/>
    <w:rsid w:val="00B003BF"/>
    <w:rsid w:val="00B373D7"/>
    <w:rsid w:val="00BB5C50"/>
    <w:rsid w:val="00BD4B97"/>
    <w:rsid w:val="00C052C7"/>
    <w:rsid w:val="00C36276"/>
    <w:rsid w:val="00C42586"/>
    <w:rsid w:val="00C60CCD"/>
    <w:rsid w:val="00C84483"/>
    <w:rsid w:val="00C95551"/>
    <w:rsid w:val="00CB20D7"/>
    <w:rsid w:val="00D020B0"/>
    <w:rsid w:val="00D11748"/>
    <w:rsid w:val="00D2485F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6D7AC"/>
  <w15:chartTrackingRefBased/>
  <w15:docId w15:val="{57241653-65D9-419D-B227-71F513B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857F8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10</TotalTime>
  <Pages>9</Pages>
  <Words>2324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Støvring Alanin</dc:creator>
  <cp:keywords/>
  <dc:description>2021110611_x000d_
Dato ændret (pkt. 10)</dc:description>
  <cp:lastModifiedBy>Louise Støvring Corneliussen</cp:lastModifiedBy>
  <cp:revision>4</cp:revision>
  <cp:lastPrinted>2012-08-22T08:53:00Z</cp:lastPrinted>
  <dcterms:created xsi:type="dcterms:W3CDTF">2022-08-25T08:12:00Z</dcterms:created>
  <dcterms:modified xsi:type="dcterms:W3CDTF">2022-08-26T08:45:00Z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