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9B" w:rsidRDefault="00176E9B" w:rsidP="00176E9B">
      <w:pPr>
        <w:rPr>
          <w:sz w:val="24"/>
          <w:szCs w:val="24"/>
        </w:rPr>
      </w:pPr>
      <w:bookmarkStart w:id="0" w:name="_GoBack"/>
      <w:bookmarkEnd w:id="0"/>
      <w:r>
        <w:rPr>
          <w:noProof/>
          <w:sz w:val="24"/>
          <w:szCs w:val="24"/>
          <w:lang w:eastAsia="da-DK"/>
        </w:rPr>
        <w:drawing>
          <wp:inline distT="0" distB="0" distL="0" distR="0" wp14:anchorId="43DCA294" wp14:editId="0255E3EE">
            <wp:extent cx="2466975" cy="685800"/>
            <wp:effectExtent l="0" t="0" r="9525" b="0"/>
            <wp:docPr id="2" name="Billede 2" descr="C:\Users\AMMO\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A26E5" w:rsidRPr="00C84483" w:rsidRDefault="003A26E5" w:rsidP="00176E9B">
      <w:pPr>
        <w:rPr>
          <w:sz w:val="24"/>
          <w:szCs w:val="24"/>
        </w:rPr>
      </w:pPr>
    </w:p>
    <w:p w:rsidR="00176E9B" w:rsidRPr="00D8197B" w:rsidRDefault="00176E9B" w:rsidP="00176E9B">
      <w:pPr>
        <w:pStyle w:val="Titel"/>
        <w:tabs>
          <w:tab w:val="right" w:pos="9356"/>
        </w:tabs>
        <w:jc w:val="left"/>
        <w:rPr>
          <w:szCs w:val="24"/>
          <w:lang w:eastAsia="en-US"/>
        </w:rPr>
      </w:pPr>
      <w:r w:rsidRPr="00C84483">
        <w:rPr>
          <w:b w:val="0"/>
          <w:szCs w:val="24"/>
          <w:lang w:eastAsia="en-US"/>
        </w:rPr>
        <w:tab/>
      </w:r>
      <w:r w:rsidR="00497B99">
        <w:rPr>
          <w:szCs w:val="24"/>
          <w:lang w:eastAsia="en-US"/>
        </w:rPr>
        <w:t>20</w:t>
      </w:r>
      <w:r w:rsidR="00D71A03">
        <w:rPr>
          <w:szCs w:val="24"/>
          <w:lang w:eastAsia="en-US"/>
        </w:rPr>
        <w:t>. september 2023</w:t>
      </w:r>
    </w:p>
    <w:p w:rsidR="00176E9B" w:rsidRPr="00677816" w:rsidRDefault="00176E9B" w:rsidP="00176E9B">
      <w:pPr>
        <w:pStyle w:val="Titel"/>
        <w:tabs>
          <w:tab w:val="right" w:pos="9356"/>
        </w:tabs>
        <w:jc w:val="left"/>
        <w:rPr>
          <w:szCs w:val="24"/>
          <w:lang w:eastAsia="en-US"/>
        </w:rPr>
      </w:pPr>
      <w:r>
        <w:rPr>
          <w:b w:val="0"/>
          <w:szCs w:val="24"/>
          <w:lang w:eastAsia="en-US"/>
        </w:rPr>
        <w:t xml:space="preserve"> </w:t>
      </w:r>
    </w:p>
    <w:p w:rsidR="00176E9B" w:rsidRPr="00C84483" w:rsidRDefault="00176E9B" w:rsidP="00176E9B">
      <w:pPr>
        <w:pStyle w:val="Titel"/>
        <w:tabs>
          <w:tab w:val="left" w:pos="8222"/>
        </w:tabs>
        <w:jc w:val="left"/>
        <w:rPr>
          <w:b w:val="0"/>
          <w:szCs w:val="24"/>
        </w:rPr>
      </w:pPr>
    </w:p>
    <w:p w:rsidR="00176E9B" w:rsidRPr="00C84483" w:rsidRDefault="00176E9B" w:rsidP="00176E9B">
      <w:pPr>
        <w:pStyle w:val="Titel"/>
        <w:jc w:val="left"/>
        <w:rPr>
          <w:b w:val="0"/>
          <w:szCs w:val="24"/>
        </w:rPr>
      </w:pPr>
    </w:p>
    <w:p w:rsidR="00176E9B" w:rsidRPr="00C84483" w:rsidRDefault="00176E9B" w:rsidP="00176E9B">
      <w:pPr>
        <w:jc w:val="center"/>
        <w:rPr>
          <w:b/>
          <w:sz w:val="24"/>
          <w:szCs w:val="24"/>
        </w:rPr>
      </w:pPr>
      <w:r w:rsidRPr="00C84483">
        <w:rPr>
          <w:b/>
          <w:sz w:val="24"/>
          <w:szCs w:val="24"/>
        </w:rPr>
        <w:t>PRODUKTRESUMÉ</w:t>
      </w:r>
    </w:p>
    <w:p w:rsidR="00176E9B" w:rsidRPr="00C84483" w:rsidRDefault="00176E9B" w:rsidP="00176E9B">
      <w:pPr>
        <w:jc w:val="center"/>
        <w:rPr>
          <w:b/>
          <w:sz w:val="24"/>
          <w:szCs w:val="24"/>
        </w:rPr>
      </w:pPr>
    </w:p>
    <w:p w:rsidR="00176E9B" w:rsidRPr="00C84483" w:rsidRDefault="00176E9B" w:rsidP="00176E9B">
      <w:pPr>
        <w:tabs>
          <w:tab w:val="left" w:pos="551"/>
          <w:tab w:val="center" w:pos="4819"/>
        </w:tabs>
        <w:rPr>
          <w:b/>
          <w:sz w:val="24"/>
          <w:szCs w:val="24"/>
        </w:rPr>
      </w:pPr>
      <w:r>
        <w:rPr>
          <w:b/>
          <w:sz w:val="24"/>
          <w:szCs w:val="24"/>
        </w:rPr>
        <w:tab/>
      </w:r>
      <w:r>
        <w:rPr>
          <w:b/>
          <w:sz w:val="24"/>
          <w:szCs w:val="24"/>
        </w:rPr>
        <w:tab/>
      </w:r>
      <w:r w:rsidRPr="00C84483">
        <w:rPr>
          <w:b/>
          <w:sz w:val="24"/>
          <w:szCs w:val="24"/>
        </w:rPr>
        <w:t>for</w:t>
      </w:r>
    </w:p>
    <w:p w:rsidR="00176E9B" w:rsidRPr="00C84483" w:rsidRDefault="00176E9B" w:rsidP="00176E9B">
      <w:pPr>
        <w:jc w:val="center"/>
        <w:rPr>
          <w:b/>
          <w:sz w:val="24"/>
          <w:szCs w:val="24"/>
        </w:rPr>
      </w:pPr>
    </w:p>
    <w:p w:rsidR="00176E9B" w:rsidRPr="00C84483" w:rsidRDefault="00176E9B" w:rsidP="00176E9B">
      <w:pPr>
        <w:jc w:val="center"/>
        <w:rPr>
          <w:b/>
          <w:sz w:val="24"/>
          <w:szCs w:val="24"/>
        </w:rPr>
      </w:pPr>
      <w:r>
        <w:rPr>
          <w:b/>
          <w:sz w:val="24"/>
          <w:szCs w:val="24"/>
        </w:rPr>
        <w:t>Atozet, filmovertrukne tabletter</w:t>
      </w:r>
    </w:p>
    <w:p w:rsidR="00176E9B" w:rsidRPr="00C84483" w:rsidRDefault="00176E9B" w:rsidP="00176E9B">
      <w:pPr>
        <w:jc w:val="both"/>
        <w:rPr>
          <w:sz w:val="24"/>
          <w:szCs w:val="24"/>
        </w:rPr>
      </w:pPr>
    </w:p>
    <w:p w:rsidR="00176E9B" w:rsidRPr="00B07995" w:rsidRDefault="00176E9B" w:rsidP="00176E9B">
      <w:pPr>
        <w:ind w:left="851" w:hanging="851"/>
        <w:jc w:val="both"/>
        <w:rPr>
          <w:sz w:val="24"/>
          <w:szCs w:val="24"/>
        </w:rPr>
      </w:pPr>
    </w:p>
    <w:p w:rsidR="00176E9B" w:rsidRPr="00B07995" w:rsidRDefault="00176E9B" w:rsidP="00176E9B">
      <w:pPr>
        <w:ind w:left="851" w:hanging="851"/>
        <w:rPr>
          <w:b/>
          <w:sz w:val="24"/>
          <w:szCs w:val="24"/>
        </w:rPr>
      </w:pPr>
      <w:r w:rsidRPr="00B07995">
        <w:rPr>
          <w:b/>
          <w:sz w:val="24"/>
          <w:szCs w:val="24"/>
        </w:rPr>
        <w:t>0.</w:t>
      </w:r>
      <w:r w:rsidRPr="00B07995">
        <w:rPr>
          <w:b/>
          <w:sz w:val="24"/>
          <w:szCs w:val="24"/>
        </w:rPr>
        <w:tab/>
        <w:t>D.SP.NR.</w:t>
      </w:r>
    </w:p>
    <w:p w:rsidR="00176E9B" w:rsidRPr="00B07995" w:rsidRDefault="00176E9B" w:rsidP="00176E9B">
      <w:pPr>
        <w:ind w:left="851" w:hanging="851"/>
        <w:rPr>
          <w:sz w:val="24"/>
          <w:szCs w:val="24"/>
        </w:rPr>
      </w:pPr>
      <w:r w:rsidRPr="00B07995">
        <w:rPr>
          <w:sz w:val="24"/>
          <w:szCs w:val="24"/>
        </w:rPr>
        <w:tab/>
        <w:t>28995</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1.</w:t>
      </w:r>
      <w:r w:rsidRPr="00B07995">
        <w:rPr>
          <w:b/>
          <w:sz w:val="24"/>
          <w:szCs w:val="24"/>
        </w:rPr>
        <w:tab/>
        <w:t>LÆGEMIDLETS NAVN</w:t>
      </w:r>
    </w:p>
    <w:p w:rsidR="00176E9B" w:rsidRPr="00B07995" w:rsidRDefault="00176E9B" w:rsidP="00176E9B">
      <w:pPr>
        <w:ind w:left="851" w:hanging="851"/>
        <w:rPr>
          <w:sz w:val="24"/>
          <w:szCs w:val="24"/>
        </w:rPr>
      </w:pPr>
      <w:r w:rsidRPr="00B07995">
        <w:rPr>
          <w:sz w:val="24"/>
          <w:szCs w:val="24"/>
        </w:rPr>
        <w:tab/>
        <w:t>Atozet</w:t>
      </w:r>
    </w:p>
    <w:p w:rsidR="00176E9B" w:rsidRPr="00B07995" w:rsidRDefault="00176E9B" w:rsidP="00176E9B">
      <w:pPr>
        <w:ind w:left="851" w:hanging="851"/>
        <w:rPr>
          <w:sz w:val="24"/>
          <w:szCs w:val="24"/>
        </w:rPr>
      </w:pPr>
      <w:r w:rsidRPr="00B07995">
        <w:rPr>
          <w:sz w:val="24"/>
          <w:szCs w:val="24"/>
        </w:rPr>
        <w:tab/>
      </w:r>
    </w:p>
    <w:p w:rsidR="00176E9B" w:rsidRPr="00B07995" w:rsidRDefault="00176E9B" w:rsidP="00176E9B">
      <w:pPr>
        <w:ind w:left="851" w:hanging="851"/>
        <w:rPr>
          <w:b/>
          <w:sz w:val="24"/>
          <w:szCs w:val="24"/>
        </w:rPr>
      </w:pPr>
      <w:r w:rsidRPr="00B07995">
        <w:rPr>
          <w:b/>
          <w:sz w:val="24"/>
          <w:szCs w:val="24"/>
        </w:rPr>
        <w:t>2.</w:t>
      </w:r>
      <w:r w:rsidRPr="00B07995">
        <w:rPr>
          <w:b/>
          <w:sz w:val="24"/>
          <w:szCs w:val="24"/>
        </w:rPr>
        <w:tab/>
        <w:t>KVALITATIV OG KVANTITATIV SAMMENSÆTNING</w:t>
      </w:r>
    </w:p>
    <w:p w:rsidR="00176E9B" w:rsidRPr="00B07995" w:rsidRDefault="00176E9B" w:rsidP="00176E9B">
      <w:pPr>
        <w:ind w:left="851" w:hanging="851"/>
        <w:rPr>
          <w:sz w:val="24"/>
          <w:szCs w:val="24"/>
          <w:lang w:eastAsia="da-DK"/>
        </w:rPr>
      </w:pPr>
      <w:r w:rsidRPr="00B07995">
        <w:rPr>
          <w:sz w:val="24"/>
          <w:szCs w:val="24"/>
        </w:rPr>
        <w:tab/>
      </w:r>
      <w:r w:rsidRPr="00B07995">
        <w:rPr>
          <w:sz w:val="24"/>
          <w:szCs w:val="24"/>
          <w:lang w:eastAsia="da-DK"/>
        </w:rPr>
        <w:t xml:space="preserve">Hver filmovertrukken tablet indeholder 10 mg </w:t>
      </w:r>
      <w:r>
        <w:rPr>
          <w:sz w:val="24"/>
          <w:szCs w:val="24"/>
          <w:lang w:eastAsia="da-DK"/>
        </w:rPr>
        <w:t>ezetimib</w:t>
      </w:r>
      <w:r w:rsidRPr="00B07995">
        <w:rPr>
          <w:sz w:val="24"/>
          <w:szCs w:val="24"/>
          <w:lang w:eastAsia="da-DK"/>
        </w:rPr>
        <w:t xml:space="preserve"> og 10 mg, 20 mg, 40 mg eller 80 mg atorvastatin (som atorvastatincalciumtrihydrat).</w:t>
      </w:r>
    </w:p>
    <w:p w:rsidR="00AA2AE5" w:rsidRPr="00AA2AE5" w:rsidRDefault="00AA2AE5" w:rsidP="00AA2AE5">
      <w:pPr>
        <w:ind w:left="851"/>
        <w:rPr>
          <w:sz w:val="24"/>
          <w:szCs w:val="24"/>
          <w:lang w:eastAsia="da-DK"/>
        </w:rPr>
      </w:pPr>
    </w:p>
    <w:p w:rsidR="00AA2AE5" w:rsidRPr="00AA2AE5" w:rsidRDefault="00AA2AE5" w:rsidP="00AA2AE5">
      <w:pPr>
        <w:ind w:left="851"/>
        <w:jc w:val="both"/>
        <w:rPr>
          <w:sz w:val="24"/>
          <w:szCs w:val="24"/>
          <w:u w:val="single"/>
          <w:lang w:eastAsia="da-DK"/>
        </w:rPr>
      </w:pPr>
      <w:r w:rsidRPr="00BB657C">
        <w:rPr>
          <w:sz w:val="24"/>
          <w:szCs w:val="24"/>
          <w:u w:val="single"/>
          <w:lang w:eastAsia="da-DK"/>
        </w:rPr>
        <w:t>Hjælpestof(fer), som behandleren skal være opmærksom på:</w:t>
      </w:r>
    </w:p>
    <w:p w:rsidR="00AA2AE5" w:rsidRPr="00AA2AE5" w:rsidRDefault="00AA2AE5" w:rsidP="00AA2AE5">
      <w:pPr>
        <w:ind w:left="851"/>
        <w:jc w:val="both"/>
        <w:rPr>
          <w:sz w:val="24"/>
          <w:szCs w:val="24"/>
          <w:lang w:eastAsia="da-DK"/>
        </w:rPr>
      </w:pPr>
      <w:r w:rsidRPr="00AA2AE5">
        <w:rPr>
          <w:sz w:val="24"/>
          <w:szCs w:val="24"/>
          <w:lang w:eastAsia="da-DK"/>
        </w:rPr>
        <w:t>En 10/10 mg filmovertrukken tablet indeholder 153 mg lactose.</w:t>
      </w:r>
    </w:p>
    <w:p w:rsidR="00AA2AE5" w:rsidRPr="00AA2AE5" w:rsidRDefault="00AA2AE5" w:rsidP="00AA2AE5">
      <w:pPr>
        <w:ind w:left="851"/>
        <w:jc w:val="both"/>
        <w:rPr>
          <w:sz w:val="24"/>
          <w:szCs w:val="24"/>
          <w:lang w:eastAsia="da-DK"/>
        </w:rPr>
      </w:pPr>
      <w:r w:rsidRPr="00AA2AE5">
        <w:rPr>
          <w:sz w:val="24"/>
          <w:szCs w:val="24"/>
          <w:lang w:eastAsia="da-DK"/>
        </w:rPr>
        <w:t>En 10/20 mg filmovertrukken tablet indeholder 179 mg lactose.</w:t>
      </w:r>
    </w:p>
    <w:p w:rsidR="00AA2AE5" w:rsidRPr="00AA2AE5" w:rsidRDefault="00AA2AE5" w:rsidP="00AA2AE5">
      <w:pPr>
        <w:ind w:left="851"/>
        <w:jc w:val="both"/>
        <w:rPr>
          <w:sz w:val="24"/>
          <w:szCs w:val="24"/>
          <w:lang w:eastAsia="da-DK"/>
        </w:rPr>
      </w:pPr>
      <w:r w:rsidRPr="00AA2AE5">
        <w:rPr>
          <w:sz w:val="24"/>
          <w:szCs w:val="24"/>
          <w:lang w:eastAsia="da-DK"/>
        </w:rPr>
        <w:t>En 10/40 mg filmovertrukken tablet indeholder 230 mg lactose.</w:t>
      </w:r>
    </w:p>
    <w:p w:rsidR="00AA2AE5" w:rsidRPr="00AA2AE5" w:rsidRDefault="00AA2AE5" w:rsidP="00AA2AE5">
      <w:pPr>
        <w:ind w:left="851"/>
        <w:jc w:val="both"/>
        <w:rPr>
          <w:sz w:val="24"/>
          <w:szCs w:val="24"/>
          <w:lang w:eastAsia="da-DK"/>
        </w:rPr>
      </w:pPr>
      <w:r w:rsidRPr="00AA2AE5">
        <w:rPr>
          <w:sz w:val="24"/>
          <w:szCs w:val="24"/>
          <w:lang w:eastAsia="da-DK"/>
        </w:rPr>
        <w:t>En 10/80 mg filmovertrukken tablet indeholder 334 mg lactose.</w:t>
      </w:r>
    </w:p>
    <w:p w:rsidR="00AA2AE5" w:rsidRPr="00AA2AE5" w:rsidRDefault="00AA2AE5" w:rsidP="00AA2AE5">
      <w:pPr>
        <w:ind w:left="851"/>
        <w:jc w:val="both"/>
        <w:rPr>
          <w:sz w:val="24"/>
          <w:szCs w:val="24"/>
          <w:lang w:eastAsia="da-DK"/>
        </w:rPr>
      </w:pPr>
    </w:p>
    <w:p w:rsidR="00AA2AE5" w:rsidRPr="00AA2AE5" w:rsidRDefault="00AA2AE5" w:rsidP="00AA2AE5">
      <w:pPr>
        <w:spacing w:line="260" w:lineRule="exact"/>
        <w:ind w:left="851"/>
        <w:rPr>
          <w:snapToGrid w:val="0"/>
          <w:sz w:val="24"/>
          <w:szCs w:val="24"/>
        </w:rPr>
      </w:pPr>
      <w:r w:rsidRPr="00AA2AE5">
        <w:rPr>
          <w:sz w:val="24"/>
          <w:szCs w:val="24"/>
          <w:lang w:eastAsia="da-DK"/>
        </w:rPr>
        <w:t>Alle hjælpestoffer er anført under pkt. 6.1.</w:t>
      </w:r>
    </w:p>
    <w:p w:rsidR="00AA2AE5" w:rsidRPr="00AA2AE5" w:rsidRDefault="00AA2AE5" w:rsidP="00AA2AE5">
      <w:pPr>
        <w:tabs>
          <w:tab w:val="left" w:pos="-720"/>
        </w:tabs>
        <w:suppressAutoHyphens/>
        <w:rPr>
          <w:sz w:val="24"/>
          <w:szCs w:val="24"/>
        </w:rPr>
      </w:pPr>
    </w:p>
    <w:p w:rsidR="00176E9B" w:rsidRPr="00B07995" w:rsidRDefault="00176E9B" w:rsidP="00176E9B">
      <w:pPr>
        <w:ind w:left="851" w:hanging="851"/>
        <w:rPr>
          <w:b/>
          <w:sz w:val="24"/>
          <w:szCs w:val="24"/>
        </w:rPr>
      </w:pPr>
      <w:r w:rsidRPr="00B07995">
        <w:rPr>
          <w:b/>
          <w:sz w:val="24"/>
          <w:szCs w:val="24"/>
        </w:rPr>
        <w:t>3.</w:t>
      </w:r>
      <w:r w:rsidRPr="00B07995">
        <w:rPr>
          <w:b/>
          <w:sz w:val="24"/>
          <w:szCs w:val="24"/>
        </w:rPr>
        <w:tab/>
        <w:t>LÆGEMIDDELFORM</w:t>
      </w:r>
    </w:p>
    <w:p w:rsidR="00176E9B" w:rsidRPr="00B07995" w:rsidRDefault="00176E9B" w:rsidP="00176E9B">
      <w:pPr>
        <w:suppressAutoHyphens/>
        <w:ind w:left="851" w:hanging="851"/>
        <w:rPr>
          <w:sz w:val="24"/>
          <w:szCs w:val="24"/>
        </w:rPr>
      </w:pPr>
      <w:r w:rsidRPr="00B07995">
        <w:rPr>
          <w:sz w:val="24"/>
          <w:szCs w:val="24"/>
        </w:rPr>
        <w:tab/>
      </w:r>
      <w:r w:rsidRPr="00B07995">
        <w:rPr>
          <w:spacing w:val="-3"/>
          <w:sz w:val="24"/>
          <w:szCs w:val="24"/>
        </w:rPr>
        <w:t>Filmovertruk</w:t>
      </w:r>
      <w:r>
        <w:rPr>
          <w:spacing w:val="-3"/>
          <w:sz w:val="24"/>
          <w:szCs w:val="24"/>
        </w:rPr>
        <w:t>ne</w:t>
      </w:r>
      <w:r w:rsidRPr="00B07995">
        <w:rPr>
          <w:spacing w:val="-3"/>
          <w:sz w:val="24"/>
          <w:szCs w:val="24"/>
        </w:rPr>
        <w:t xml:space="preserve"> tablet</w:t>
      </w:r>
      <w:r>
        <w:rPr>
          <w:spacing w:val="-3"/>
          <w:sz w:val="24"/>
          <w:szCs w:val="24"/>
        </w:rPr>
        <w:t>ter.</w:t>
      </w:r>
    </w:p>
    <w:p w:rsidR="00176E9B" w:rsidRPr="00B07995" w:rsidRDefault="00176E9B" w:rsidP="00176E9B">
      <w:pPr>
        <w:suppressAutoHyphens/>
        <w:ind w:left="851" w:hanging="851"/>
        <w:rPr>
          <w:sz w:val="24"/>
          <w:szCs w:val="24"/>
        </w:rPr>
      </w:pPr>
    </w:p>
    <w:p w:rsidR="00176E9B" w:rsidRPr="00B07995" w:rsidRDefault="00176E9B" w:rsidP="00176E9B">
      <w:pPr>
        <w:suppressAutoHyphens/>
        <w:ind w:left="851"/>
        <w:rPr>
          <w:sz w:val="24"/>
          <w:szCs w:val="24"/>
        </w:rPr>
      </w:pPr>
      <w:r w:rsidRPr="00B07995">
        <w:rPr>
          <w:sz w:val="24"/>
          <w:szCs w:val="24"/>
        </w:rPr>
        <w:t>10 mg/10 mg tablet: Kapselformet, bikonveks, hvid til råhvid, filmovertrukken, 12,74 mm x 5,10 mm, med ”257” præget på den ene side.</w:t>
      </w:r>
    </w:p>
    <w:p w:rsidR="00176E9B" w:rsidRPr="00B07995" w:rsidRDefault="00176E9B" w:rsidP="00176E9B">
      <w:pPr>
        <w:suppressAutoHyphens/>
        <w:ind w:left="851"/>
        <w:rPr>
          <w:sz w:val="24"/>
          <w:szCs w:val="24"/>
        </w:rPr>
      </w:pPr>
      <w:r w:rsidRPr="00B07995">
        <w:rPr>
          <w:sz w:val="24"/>
          <w:szCs w:val="24"/>
        </w:rPr>
        <w:t>10 mg/20 mg tablet: Kapselformet, bikonveks, hvid til råhvid, filmovertrukken, 14,48 mm x 5,79 mm, med ”333” præget på den ene side.</w:t>
      </w:r>
    </w:p>
    <w:p w:rsidR="00176E9B" w:rsidRPr="00B07995" w:rsidRDefault="00176E9B" w:rsidP="00176E9B">
      <w:pPr>
        <w:suppressAutoHyphens/>
        <w:ind w:left="851"/>
        <w:rPr>
          <w:sz w:val="24"/>
          <w:szCs w:val="24"/>
        </w:rPr>
      </w:pPr>
      <w:r w:rsidRPr="00B07995">
        <w:rPr>
          <w:sz w:val="24"/>
          <w:szCs w:val="24"/>
        </w:rPr>
        <w:t>10 mg/40 mg tablet: Kapselformet, bikonveks, hvid til råhvid, filmovertrukken, 16,38 mm x 6,27 mm, med ”337” præget på den ene side.</w:t>
      </w:r>
    </w:p>
    <w:p w:rsidR="00176E9B" w:rsidRPr="00B07995" w:rsidRDefault="00176E9B" w:rsidP="00176E9B">
      <w:pPr>
        <w:suppressAutoHyphens/>
        <w:ind w:left="851"/>
        <w:rPr>
          <w:sz w:val="24"/>
          <w:szCs w:val="24"/>
        </w:rPr>
      </w:pPr>
      <w:r w:rsidRPr="00B07995">
        <w:rPr>
          <w:sz w:val="24"/>
          <w:szCs w:val="24"/>
        </w:rPr>
        <w:t>10 mg/80 mg tablet: Kapselformet, bikonveks, hvid til råhvid, filmovertrukken, 19,05 mm x 7,94 mm, med ”357” præget på den ene side.</w:t>
      </w:r>
    </w:p>
    <w:p w:rsidR="00176E9B" w:rsidRPr="00B07995" w:rsidRDefault="00176E9B" w:rsidP="00176E9B">
      <w:pPr>
        <w:ind w:left="851" w:hanging="851"/>
        <w:rPr>
          <w:sz w:val="24"/>
          <w:szCs w:val="24"/>
        </w:rPr>
      </w:pPr>
    </w:p>
    <w:p w:rsidR="00176E9B" w:rsidRPr="00B07995" w:rsidRDefault="00176E9B" w:rsidP="00176E9B">
      <w:pPr>
        <w:ind w:left="851" w:hanging="851"/>
        <w:rPr>
          <w:sz w:val="24"/>
          <w:szCs w:val="24"/>
        </w:rPr>
      </w:pPr>
      <w:r>
        <w:rPr>
          <w:sz w:val="24"/>
          <w:szCs w:val="24"/>
        </w:rPr>
        <w:br w:type="page"/>
      </w:r>
    </w:p>
    <w:p w:rsidR="00176E9B" w:rsidRPr="00B07995" w:rsidRDefault="00176E9B" w:rsidP="00176E9B">
      <w:pPr>
        <w:ind w:left="851" w:hanging="851"/>
        <w:rPr>
          <w:b/>
          <w:sz w:val="24"/>
          <w:szCs w:val="24"/>
        </w:rPr>
      </w:pPr>
      <w:r w:rsidRPr="00B07995">
        <w:rPr>
          <w:b/>
          <w:sz w:val="24"/>
          <w:szCs w:val="24"/>
        </w:rPr>
        <w:lastRenderedPageBreak/>
        <w:t>4.</w:t>
      </w:r>
      <w:r w:rsidRPr="00B07995">
        <w:rPr>
          <w:b/>
          <w:sz w:val="24"/>
          <w:szCs w:val="24"/>
        </w:rPr>
        <w:tab/>
        <w:t>KLINISKE OPLYSNINGER</w:t>
      </w:r>
    </w:p>
    <w:p w:rsidR="00176E9B" w:rsidRPr="00B07995" w:rsidRDefault="00176E9B" w:rsidP="00176E9B">
      <w:pPr>
        <w:ind w:left="851" w:hanging="851"/>
        <w:rPr>
          <w:b/>
          <w:sz w:val="24"/>
          <w:szCs w:val="24"/>
        </w:rPr>
      </w:pPr>
    </w:p>
    <w:p w:rsidR="00176E9B" w:rsidRPr="00B07995" w:rsidRDefault="00176E9B" w:rsidP="00176E9B">
      <w:pPr>
        <w:ind w:left="851" w:hanging="851"/>
        <w:rPr>
          <w:b/>
          <w:sz w:val="24"/>
          <w:szCs w:val="24"/>
          <w:u w:val="single"/>
        </w:rPr>
      </w:pPr>
      <w:r w:rsidRPr="00B07995">
        <w:rPr>
          <w:b/>
          <w:sz w:val="24"/>
          <w:szCs w:val="24"/>
        </w:rPr>
        <w:t>4.1</w:t>
      </w:r>
      <w:r w:rsidRPr="00B07995">
        <w:rPr>
          <w:b/>
          <w:sz w:val="24"/>
          <w:szCs w:val="24"/>
        </w:rPr>
        <w:tab/>
        <w:t>Terapeutiske indikationer</w:t>
      </w:r>
    </w:p>
    <w:p w:rsidR="00D71A03" w:rsidRDefault="00176E9B" w:rsidP="00176E9B">
      <w:pPr>
        <w:spacing w:line="240" w:lineRule="atLeast"/>
        <w:ind w:left="851" w:hanging="851"/>
        <w:jc w:val="both"/>
        <w:rPr>
          <w:sz w:val="24"/>
          <w:szCs w:val="24"/>
        </w:rPr>
      </w:pPr>
      <w:r w:rsidRPr="00B07995">
        <w:rPr>
          <w:sz w:val="24"/>
          <w:szCs w:val="24"/>
        </w:rPr>
        <w:tab/>
      </w:r>
    </w:p>
    <w:p w:rsidR="00176E9B" w:rsidRPr="004C4A3F" w:rsidRDefault="00176E9B" w:rsidP="00D71A03">
      <w:pPr>
        <w:spacing w:line="240" w:lineRule="atLeast"/>
        <w:ind w:left="851"/>
        <w:jc w:val="both"/>
        <w:rPr>
          <w:i/>
          <w:sz w:val="24"/>
          <w:szCs w:val="24"/>
          <w:u w:val="single"/>
        </w:rPr>
      </w:pPr>
      <w:r w:rsidRPr="00391FFE">
        <w:rPr>
          <w:i/>
          <w:sz w:val="24"/>
          <w:szCs w:val="24"/>
          <w:u w:val="single"/>
        </w:rPr>
        <w:t>Forebyggelse af kardiovaskulære hændelser</w:t>
      </w:r>
    </w:p>
    <w:p w:rsidR="00176E9B" w:rsidRPr="004C4A3F" w:rsidRDefault="00176E9B" w:rsidP="00176E9B">
      <w:pPr>
        <w:ind w:left="851"/>
        <w:rPr>
          <w:sz w:val="24"/>
          <w:szCs w:val="24"/>
        </w:rPr>
      </w:pPr>
      <w:r w:rsidRPr="004C4A3F">
        <w:rPr>
          <w:sz w:val="24"/>
          <w:szCs w:val="24"/>
        </w:rPr>
        <w:t>Atozet er indiceret til at reducere risikoen for kardiovaskulære hændelser (se pkt. 5.1) hos patienter med koronar hjertesygdom (CHD) og akut koronarsyndrom (AKS) i anamnesen, som enten tidligere har været eller ikke tidligere har været i behandling med et statin.</w:t>
      </w:r>
    </w:p>
    <w:p w:rsidR="00176E9B" w:rsidRPr="004C4A3F" w:rsidRDefault="00176E9B" w:rsidP="00176E9B">
      <w:pPr>
        <w:ind w:left="851"/>
        <w:rPr>
          <w:sz w:val="24"/>
          <w:szCs w:val="24"/>
        </w:rPr>
      </w:pPr>
    </w:p>
    <w:p w:rsidR="00176E9B" w:rsidRPr="004C4A3F" w:rsidRDefault="00176E9B" w:rsidP="00176E9B">
      <w:pPr>
        <w:spacing w:line="240" w:lineRule="atLeast"/>
        <w:ind w:left="851"/>
        <w:jc w:val="both"/>
        <w:rPr>
          <w:i/>
          <w:sz w:val="24"/>
          <w:szCs w:val="24"/>
          <w:lang w:eastAsia="da-DK"/>
        </w:rPr>
      </w:pPr>
      <w:r w:rsidRPr="004C4A3F">
        <w:rPr>
          <w:i/>
          <w:sz w:val="24"/>
          <w:szCs w:val="24"/>
          <w:lang w:eastAsia="da-DK"/>
        </w:rPr>
        <w:t>Hyperkolesterolæmi</w:t>
      </w:r>
    </w:p>
    <w:p w:rsidR="00176E9B" w:rsidRPr="004C4A3F" w:rsidRDefault="00176E9B" w:rsidP="00176E9B">
      <w:pPr>
        <w:spacing w:line="240" w:lineRule="atLeast"/>
        <w:ind w:left="851"/>
        <w:rPr>
          <w:sz w:val="24"/>
          <w:szCs w:val="24"/>
          <w:lang w:eastAsia="da-DK"/>
        </w:rPr>
      </w:pPr>
      <w:r w:rsidRPr="004C4A3F">
        <w:rPr>
          <w:sz w:val="24"/>
          <w:szCs w:val="24"/>
          <w:lang w:eastAsia="da-DK"/>
        </w:rPr>
        <w:t>Atozet er indiceret som tillægsbehandling til diæt hos voksne med primær (heterozygot familiær og non-familiær) hyperkolesterolæmi eller kombineret hyperlipidæmi, hvor behandling med et kombina</w:t>
      </w:r>
      <w:r>
        <w:rPr>
          <w:sz w:val="24"/>
          <w:szCs w:val="24"/>
          <w:lang w:eastAsia="da-DK"/>
        </w:rPr>
        <w:t>tionsprodukt er hensigtsmæssigt.</w:t>
      </w:r>
    </w:p>
    <w:p w:rsidR="00176E9B" w:rsidRPr="004C4A3F" w:rsidRDefault="00176E9B" w:rsidP="00176E9B">
      <w:pPr>
        <w:spacing w:line="240" w:lineRule="atLeast"/>
        <w:ind w:left="851"/>
        <w:jc w:val="both"/>
        <w:rPr>
          <w:sz w:val="24"/>
          <w:szCs w:val="24"/>
          <w:lang w:eastAsia="da-DK"/>
        </w:rPr>
      </w:pPr>
    </w:p>
    <w:p w:rsidR="00176E9B" w:rsidRPr="004C4A3F" w:rsidRDefault="00176E9B" w:rsidP="00176E9B">
      <w:pPr>
        <w:numPr>
          <w:ilvl w:val="0"/>
          <w:numId w:val="37"/>
        </w:numPr>
        <w:tabs>
          <w:tab w:val="num" w:pos="567"/>
        </w:tabs>
        <w:spacing w:line="240" w:lineRule="atLeast"/>
        <w:ind w:left="851" w:firstLine="0"/>
        <w:jc w:val="both"/>
        <w:rPr>
          <w:sz w:val="24"/>
          <w:szCs w:val="24"/>
          <w:lang w:eastAsia="da-DK"/>
        </w:rPr>
      </w:pPr>
      <w:r w:rsidRPr="004C4A3F">
        <w:rPr>
          <w:sz w:val="24"/>
          <w:szCs w:val="24"/>
          <w:lang w:eastAsia="da-DK"/>
        </w:rPr>
        <w:t>patienter, der ikke er hensigtsmæssigt kontrolleret med et statin alene</w:t>
      </w:r>
    </w:p>
    <w:p w:rsidR="00176E9B" w:rsidRPr="004C4A3F" w:rsidRDefault="00176E9B" w:rsidP="00176E9B">
      <w:pPr>
        <w:numPr>
          <w:ilvl w:val="0"/>
          <w:numId w:val="37"/>
        </w:numPr>
        <w:tabs>
          <w:tab w:val="num" w:pos="567"/>
        </w:tabs>
        <w:spacing w:line="240" w:lineRule="atLeast"/>
        <w:ind w:left="851" w:firstLine="0"/>
        <w:jc w:val="both"/>
        <w:rPr>
          <w:sz w:val="24"/>
          <w:szCs w:val="24"/>
          <w:lang w:eastAsia="da-DK"/>
        </w:rPr>
      </w:pPr>
      <w:r w:rsidRPr="004C4A3F">
        <w:rPr>
          <w:sz w:val="24"/>
          <w:szCs w:val="24"/>
          <w:lang w:eastAsia="da-DK"/>
        </w:rPr>
        <w:t>patienter, der allerede er i behandling med et statin og ezetimib</w:t>
      </w:r>
    </w:p>
    <w:p w:rsidR="00176E9B" w:rsidRPr="004C4A3F" w:rsidRDefault="00176E9B" w:rsidP="00176E9B">
      <w:pPr>
        <w:spacing w:line="240" w:lineRule="atLeast"/>
        <w:ind w:left="851"/>
        <w:rPr>
          <w:i/>
          <w:sz w:val="24"/>
          <w:szCs w:val="24"/>
          <w:lang w:eastAsia="da-DK"/>
        </w:rPr>
      </w:pPr>
    </w:p>
    <w:p w:rsidR="00176E9B" w:rsidRPr="004C4A3F" w:rsidRDefault="00176E9B" w:rsidP="00176E9B">
      <w:pPr>
        <w:keepNext/>
        <w:spacing w:line="240" w:lineRule="atLeast"/>
        <w:ind w:left="851"/>
        <w:rPr>
          <w:i/>
          <w:sz w:val="24"/>
          <w:szCs w:val="24"/>
          <w:lang w:eastAsia="da-DK"/>
        </w:rPr>
      </w:pPr>
      <w:r w:rsidRPr="004C4A3F">
        <w:rPr>
          <w:i/>
          <w:sz w:val="24"/>
          <w:szCs w:val="24"/>
          <w:lang w:eastAsia="da-DK"/>
        </w:rPr>
        <w:t>Homozygot familiær hyperkolesterolæmi (HoFH)</w:t>
      </w:r>
    </w:p>
    <w:p w:rsidR="00176E9B" w:rsidRPr="004C4A3F" w:rsidRDefault="00176E9B" w:rsidP="00176E9B">
      <w:pPr>
        <w:ind w:left="851"/>
        <w:rPr>
          <w:noProof/>
          <w:sz w:val="24"/>
          <w:szCs w:val="24"/>
        </w:rPr>
      </w:pPr>
      <w:r w:rsidRPr="004C4A3F">
        <w:rPr>
          <w:sz w:val="24"/>
          <w:szCs w:val="24"/>
          <w:lang w:eastAsia="da-DK"/>
        </w:rPr>
        <w:t>Atozet er indiceret som tillægsbehandling til diæt hos voksne med HoFH. Patienterne kan også få anden tillægsbehandling (f.eks. lavdensitetslipoprotein (LDL)-aferese).</w:t>
      </w:r>
    </w:p>
    <w:p w:rsidR="00176E9B" w:rsidRPr="00B07995" w:rsidRDefault="00176E9B" w:rsidP="00176E9B">
      <w:pPr>
        <w:ind w:left="851" w:hanging="851"/>
        <w:rPr>
          <w:sz w:val="24"/>
          <w:szCs w:val="24"/>
        </w:rPr>
      </w:pPr>
    </w:p>
    <w:p w:rsidR="00176E9B" w:rsidRPr="002A0534" w:rsidRDefault="00176E9B" w:rsidP="00176E9B">
      <w:pPr>
        <w:tabs>
          <w:tab w:val="left" w:pos="-720"/>
        </w:tabs>
        <w:suppressAutoHyphens/>
        <w:ind w:left="851" w:hanging="709"/>
      </w:pPr>
      <w:r w:rsidRPr="002A0534">
        <w:rPr>
          <w:b/>
        </w:rPr>
        <w:t>4.2</w:t>
      </w:r>
      <w:r w:rsidRPr="002A0534">
        <w:rPr>
          <w:b/>
        </w:rPr>
        <w:tab/>
        <w:t xml:space="preserve">Dosering og </w:t>
      </w:r>
      <w:r w:rsidR="00D71A03">
        <w:rPr>
          <w:b/>
        </w:rPr>
        <w:t>administration</w:t>
      </w:r>
    </w:p>
    <w:p w:rsidR="00176E9B" w:rsidRPr="002A0534" w:rsidRDefault="00176E9B" w:rsidP="00176E9B">
      <w:pPr>
        <w:rPr>
          <w:noProof/>
        </w:rPr>
      </w:pPr>
    </w:p>
    <w:p w:rsidR="00176E9B" w:rsidRPr="002A0534" w:rsidRDefault="00176E9B" w:rsidP="00176E9B">
      <w:pPr>
        <w:ind w:left="851"/>
        <w:rPr>
          <w:noProof/>
          <w:szCs w:val="22"/>
          <w:u w:val="single"/>
        </w:rPr>
      </w:pPr>
      <w:r w:rsidRPr="002A0534">
        <w:rPr>
          <w:noProof/>
          <w:szCs w:val="22"/>
          <w:u w:val="single"/>
        </w:rPr>
        <w:t>Dosering</w:t>
      </w:r>
    </w:p>
    <w:p w:rsidR="00176E9B" w:rsidRPr="002A0534" w:rsidRDefault="00176E9B" w:rsidP="00176E9B">
      <w:pPr>
        <w:keepNext/>
        <w:ind w:left="851"/>
        <w:rPr>
          <w:i/>
          <w:szCs w:val="22"/>
          <w:lang w:eastAsia="da-DK"/>
        </w:rPr>
      </w:pPr>
      <w:r w:rsidRPr="002A0534">
        <w:rPr>
          <w:i/>
          <w:szCs w:val="22"/>
          <w:lang w:eastAsia="da-DK"/>
        </w:rPr>
        <w:t>Hyperkolesterolæmi</w:t>
      </w:r>
      <w:r>
        <w:rPr>
          <w:i/>
          <w:szCs w:val="22"/>
          <w:lang w:eastAsia="da-DK"/>
        </w:rPr>
        <w:t xml:space="preserve"> </w:t>
      </w:r>
      <w:r w:rsidRPr="00C90D3C">
        <w:rPr>
          <w:i/>
          <w:szCs w:val="22"/>
          <w:lang w:eastAsia="da-DK"/>
        </w:rPr>
        <w:t>og/eller koronar hjertesygdom (</w:t>
      </w:r>
      <w:r w:rsidRPr="00753F36">
        <w:rPr>
          <w:i/>
          <w:szCs w:val="22"/>
          <w:lang w:eastAsia="da-DK"/>
        </w:rPr>
        <w:t>med AKS i anamnesen)</w:t>
      </w:r>
    </w:p>
    <w:p w:rsidR="00176E9B" w:rsidRPr="002A0534" w:rsidRDefault="00176E9B" w:rsidP="00176E9B">
      <w:pPr>
        <w:keepNext/>
        <w:ind w:left="851"/>
        <w:outlineLvl w:val="0"/>
        <w:rPr>
          <w:szCs w:val="22"/>
          <w:lang w:eastAsia="x-none"/>
        </w:rPr>
      </w:pPr>
      <w:r w:rsidRPr="002A0534">
        <w:rPr>
          <w:szCs w:val="22"/>
          <w:lang w:eastAsia="x-none"/>
        </w:rPr>
        <w:t>Patienten skal overholde en relevant lipidsænkende diæt og skal fortsætte denne diæt under behandling med Atozet.</w:t>
      </w:r>
    </w:p>
    <w:p w:rsidR="00176E9B" w:rsidRPr="002A0534" w:rsidRDefault="00176E9B" w:rsidP="00176E9B">
      <w:pPr>
        <w:ind w:left="851"/>
        <w:rPr>
          <w:szCs w:val="22"/>
          <w:lang w:eastAsia="da-DK"/>
        </w:rPr>
      </w:pPr>
    </w:p>
    <w:p w:rsidR="00176E9B" w:rsidRPr="002A0534" w:rsidRDefault="00176E9B" w:rsidP="00176E9B">
      <w:pPr>
        <w:ind w:left="851"/>
        <w:rPr>
          <w:szCs w:val="22"/>
          <w:lang w:eastAsia="da-DK"/>
        </w:rPr>
      </w:pPr>
      <w:r w:rsidRPr="002A0534">
        <w:rPr>
          <w:szCs w:val="22"/>
          <w:lang w:eastAsia="da-DK"/>
        </w:rPr>
        <w:t>Doseringsområdet for Atozet er 10/10 mg/dag til 10/80 mg/dag. Typisk dosering er 10/10 mg en gang daglig. Der skal tages højde for patientens lavdensitetslipoprotein kolesterol (LDL-C) værdi, risikostatus for koronar hjertesygdom og respons på nuværende kolesterolsænkende behandling, når behandlingen startes eller dosis justeres.</w:t>
      </w:r>
    </w:p>
    <w:p w:rsidR="00176E9B" w:rsidRPr="002A0534" w:rsidRDefault="00176E9B" w:rsidP="00176E9B">
      <w:pPr>
        <w:ind w:left="851"/>
        <w:rPr>
          <w:szCs w:val="22"/>
          <w:lang w:eastAsia="da-DK"/>
        </w:rPr>
      </w:pPr>
    </w:p>
    <w:p w:rsidR="00176E9B" w:rsidRPr="002A0534" w:rsidRDefault="00176E9B" w:rsidP="00176E9B">
      <w:pPr>
        <w:ind w:left="851"/>
        <w:rPr>
          <w:szCs w:val="22"/>
          <w:lang w:eastAsia="da-DK"/>
        </w:rPr>
      </w:pPr>
      <w:r w:rsidRPr="002A0534">
        <w:rPr>
          <w:szCs w:val="22"/>
          <w:lang w:eastAsia="da-DK"/>
        </w:rPr>
        <w:t>Dosering af Atozet</w:t>
      </w:r>
      <w:r>
        <w:rPr>
          <w:szCs w:val="22"/>
          <w:lang w:eastAsia="da-DK"/>
        </w:rPr>
        <w:t xml:space="preserve"> bør være individualiseret på basis af </w:t>
      </w:r>
      <w:r w:rsidRPr="002A0534">
        <w:rPr>
          <w:szCs w:val="22"/>
          <w:lang w:eastAsia="da-DK"/>
        </w:rPr>
        <w:t xml:space="preserve">den kendte </w:t>
      </w:r>
      <w:r>
        <w:rPr>
          <w:szCs w:val="22"/>
          <w:lang w:eastAsia="da-DK"/>
        </w:rPr>
        <w:t>virkning</w:t>
      </w:r>
      <w:r w:rsidRPr="002A0534">
        <w:rPr>
          <w:szCs w:val="22"/>
          <w:lang w:eastAsia="da-DK"/>
        </w:rPr>
        <w:t xml:space="preserve"> af de forskellige doseringsstyrker af Atozet (se pkt. 5.1, tabel</w:t>
      </w:r>
      <w:r>
        <w:rPr>
          <w:szCs w:val="22"/>
          <w:lang w:eastAsia="da-DK"/>
        </w:rPr>
        <w:t> 4</w:t>
      </w:r>
      <w:r w:rsidRPr="002A0534">
        <w:rPr>
          <w:szCs w:val="22"/>
          <w:lang w:eastAsia="da-DK"/>
        </w:rPr>
        <w:t xml:space="preserve">) samt respons på den nuværende kolesterolsænkende behandling. Eventuelle dosisjusteringer bør foretages med mindst 4 ugers mellemrum. </w:t>
      </w:r>
    </w:p>
    <w:p w:rsidR="00176E9B" w:rsidRPr="002A0534" w:rsidRDefault="00176E9B" w:rsidP="00176E9B">
      <w:pPr>
        <w:ind w:left="851"/>
        <w:rPr>
          <w:szCs w:val="22"/>
          <w:lang w:eastAsia="da-DK"/>
        </w:rPr>
      </w:pPr>
    </w:p>
    <w:p w:rsidR="00176E9B" w:rsidRPr="002A0534" w:rsidRDefault="00176E9B" w:rsidP="00176E9B">
      <w:pPr>
        <w:keepNext/>
        <w:ind w:left="851"/>
        <w:rPr>
          <w:i/>
          <w:szCs w:val="22"/>
          <w:lang w:eastAsia="da-DK"/>
        </w:rPr>
      </w:pPr>
      <w:r w:rsidRPr="002A0534">
        <w:rPr>
          <w:i/>
          <w:szCs w:val="22"/>
          <w:lang w:eastAsia="da-DK"/>
        </w:rPr>
        <w:t>Homozygot familiær hyperkolesterolæmi</w:t>
      </w:r>
    </w:p>
    <w:p w:rsidR="00176E9B" w:rsidRPr="002A0534" w:rsidRDefault="00176E9B" w:rsidP="00176E9B">
      <w:pPr>
        <w:ind w:left="851"/>
        <w:rPr>
          <w:szCs w:val="22"/>
          <w:lang w:eastAsia="da-DK"/>
        </w:rPr>
      </w:pPr>
      <w:r w:rsidRPr="002A0534">
        <w:rPr>
          <w:szCs w:val="22"/>
          <w:lang w:eastAsia="da-DK"/>
        </w:rPr>
        <w:t>Dosering af Atozet til patienter med homozygot familiær hyperkolesterolæmi er 10/10 mg/dag til 10/80 mg/dag. Atozet kan bruges som tillæg til anden lipidsænkende behandling (f</w:t>
      </w:r>
      <w:r>
        <w:rPr>
          <w:szCs w:val="22"/>
          <w:lang w:eastAsia="da-DK"/>
        </w:rPr>
        <w:t>.eks.</w:t>
      </w:r>
      <w:r w:rsidRPr="002A0534">
        <w:rPr>
          <w:szCs w:val="22"/>
          <w:lang w:eastAsia="da-DK"/>
        </w:rPr>
        <w:t xml:space="preserve"> LDL-aferese) hos disse patienter, eller hvis sådanne behandlinger ikke er tilgængelige.</w:t>
      </w:r>
    </w:p>
    <w:p w:rsidR="00176E9B" w:rsidRPr="002A0534" w:rsidRDefault="00176E9B" w:rsidP="00176E9B">
      <w:pPr>
        <w:ind w:left="851" w:hanging="851"/>
        <w:rPr>
          <w:szCs w:val="22"/>
          <w:lang w:eastAsia="da-DK"/>
        </w:rPr>
      </w:pPr>
    </w:p>
    <w:p w:rsidR="00176E9B" w:rsidRPr="002A0534" w:rsidRDefault="00176E9B" w:rsidP="00176E9B">
      <w:pPr>
        <w:keepNext/>
        <w:ind w:left="851"/>
        <w:outlineLvl w:val="0"/>
        <w:rPr>
          <w:i/>
          <w:szCs w:val="22"/>
          <w:lang w:eastAsia="x-none"/>
        </w:rPr>
      </w:pPr>
      <w:r w:rsidRPr="002A0534">
        <w:rPr>
          <w:i/>
          <w:szCs w:val="22"/>
          <w:lang w:eastAsia="x-none"/>
        </w:rPr>
        <w:t xml:space="preserve">Samtidig anvendelse af </w:t>
      </w:r>
      <w:r>
        <w:rPr>
          <w:i/>
          <w:szCs w:val="22"/>
          <w:lang w:eastAsia="x-none"/>
        </w:rPr>
        <w:t>anden medicin</w:t>
      </w:r>
    </w:p>
    <w:p w:rsidR="00176E9B" w:rsidRDefault="00176E9B" w:rsidP="00176E9B">
      <w:pPr>
        <w:ind w:left="851"/>
        <w:rPr>
          <w:szCs w:val="22"/>
          <w:lang w:eastAsia="da-DK"/>
        </w:rPr>
      </w:pPr>
      <w:r w:rsidRPr="002A0534">
        <w:rPr>
          <w:szCs w:val="22"/>
          <w:lang w:eastAsia="da-DK"/>
        </w:rPr>
        <w:t>Administration af Atozet bør ske enten ≥2 timer før eller ≥4 timer efter administration af et galdesyrebindende lægemiddel.</w:t>
      </w:r>
    </w:p>
    <w:p w:rsidR="00176E9B" w:rsidRDefault="00176E9B" w:rsidP="00176E9B">
      <w:pPr>
        <w:ind w:left="851"/>
        <w:rPr>
          <w:szCs w:val="22"/>
          <w:lang w:eastAsia="da-DK"/>
        </w:rPr>
      </w:pPr>
    </w:p>
    <w:p w:rsidR="00176E9B" w:rsidRPr="000A1791" w:rsidRDefault="00176E9B" w:rsidP="00176E9B">
      <w:pPr>
        <w:ind w:left="851"/>
        <w:rPr>
          <w:szCs w:val="22"/>
        </w:rPr>
      </w:pPr>
      <w:r w:rsidRPr="000244F7">
        <w:rPr>
          <w:szCs w:val="22"/>
        </w:rPr>
        <w:t xml:space="preserve">Hos patienter, som tager </w:t>
      </w:r>
      <w:r>
        <w:rPr>
          <w:szCs w:val="22"/>
        </w:rPr>
        <w:t xml:space="preserve">de </w:t>
      </w:r>
      <w:r w:rsidRPr="000A1791">
        <w:rPr>
          <w:szCs w:val="22"/>
        </w:rPr>
        <w:t>antiviral</w:t>
      </w:r>
      <w:r>
        <w:rPr>
          <w:szCs w:val="22"/>
        </w:rPr>
        <w:t xml:space="preserve">e midler mod </w:t>
      </w:r>
      <w:r w:rsidRPr="00AD729D">
        <w:rPr>
          <w:szCs w:val="22"/>
        </w:rPr>
        <w:t>hepatitis C</w:t>
      </w:r>
      <w:r>
        <w:rPr>
          <w:szCs w:val="22"/>
        </w:rPr>
        <w:t xml:space="preserve"> </w:t>
      </w:r>
      <w:r w:rsidRPr="000A1791">
        <w:rPr>
          <w:szCs w:val="22"/>
        </w:rPr>
        <w:t>elbasvir</w:t>
      </w:r>
      <w:r>
        <w:rPr>
          <w:szCs w:val="22"/>
        </w:rPr>
        <w:t>/</w:t>
      </w:r>
      <w:r w:rsidRPr="000A1791">
        <w:rPr>
          <w:szCs w:val="22"/>
        </w:rPr>
        <w:t xml:space="preserve">grazoprevir </w:t>
      </w:r>
      <w:r w:rsidRPr="000244F7">
        <w:rPr>
          <w:szCs w:val="22"/>
        </w:rPr>
        <w:t xml:space="preserve">samtidig med Atozet, må </w:t>
      </w:r>
      <w:r>
        <w:rPr>
          <w:szCs w:val="22"/>
        </w:rPr>
        <w:t xml:space="preserve">dosis af </w:t>
      </w:r>
      <w:r w:rsidRPr="000244F7">
        <w:rPr>
          <w:szCs w:val="22"/>
        </w:rPr>
        <w:t>Atozet ikke o</w:t>
      </w:r>
      <w:r>
        <w:rPr>
          <w:szCs w:val="22"/>
        </w:rPr>
        <w:t xml:space="preserve">verstige </w:t>
      </w:r>
      <w:r w:rsidRPr="000A1791">
        <w:rPr>
          <w:szCs w:val="22"/>
        </w:rPr>
        <w:t>10/20 mg/da</w:t>
      </w:r>
      <w:r>
        <w:rPr>
          <w:szCs w:val="22"/>
        </w:rPr>
        <w:t>g</w:t>
      </w:r>
      <w:r w:rsidRPr="000A1791">
        <w:rPr>
          <w:szCs w:val="22"/>
        </w:rPr>
        <w:t xml:space="preserve"> (se </w:t>
      </w:r>
      <w:r>
        <w:rPr>
          <w:szCs w:val="22"/>
        </w:rPr>
        <w:t>pkt. </w:t>
      </w:r>
      <w:r w:rsidRPr="000A1791">
        <w:rPr>
          <w:szCs w:val="22"/>
        </w:rPr>
        <w:t xml:space="preserve">4.4 </w:t>
      </w:r>
      <w:r>
        <w:rPr>
          <w:szCs w:val="22"/>
        </w:rPr>
        <w:t xml:space="preserve">og </w:t>
      </w:r>
      <w:r w:rsidRPr="000A1791">
        <w:rPr>
          <w:szCs w:val="22"/>
        </w:rPr>
        <w:t>4.5).</w:t>
      </w:r>
    </w:p>
    <w:p w:rsidR="00176E9B" w:rsidRPr="000A1791" w:rsidRDefault="00176E9B" w:rsidP="00176E9B">
      <w:pPr>
        <w:ind w:left="851"/>
        <w:rPr>
          <w:szCs w:val="22"/>
          <w:lang w:eastAsia="da-DK"/>
        </w:rPr>
      </w:pPr>
    </w:p>
    <w:p w:rsidR="00176E9B" w:rsidRPr="002A0534" w:rsidRDefault="00176E9B" w:rsidP="00176E9B">
      <w:pPr>
        <w:keepNext/>
        <w:ind w:left="851"/>
        <w:outlineLvl w:val="0"/>
        <w:rPr>
          <w:i/>
          <w:szCs w:val="22"/>
          <w:lang w:eastAsia="x-none"/>
        </w:rPr>
      </w:pPr>
      <w:r w:rsidRPr="002A0534">
        <w:rPr>
          <w:i/>
          <w:szCs w:val="22"/>
          <w:lang w:eastAsia="x-none"/>
        </w:rPr>
        <w:t>Ældre</w:t>
      </w:r>
    </w:p>
    <w:p w:rsidR="00176E9B" w:rsidRPr="002A0534" w:rsidRDefault="00176E9B" w:rsidP="00176E9B">
      <w:pPr>
        <w:ind w:left="851"/>
        <w:rPr>
          <w:szCs w:val="22"/>
          <w:lang w:eastAsia="da-DK"/>
        </w:rPr>
      </w:pPr>
      <w:r w:rsidRPr="002A0534">
        <w:rPr>
          <w:szCs w:val="22"/>
          <w:lang w:eastAsia="da-DK"/>
        </w:rPr>
        <w:t>Dosisjustering er ikke nødvendig hos ældre patienter (se pkt. 5.2).</w:t>
      </w:r>
    </w:p>
    <w:p w:rsidR="00176E9B" w:rsidRPr="002A0534" w:rsidRDefault="00176E9B" w:rsidP="00176E9B">
      <w:pPr>
        <w:keepNext/>
        <w:ind w:left="851"/>
        <w:jc w:val="both"/>
        <w:outlineLvl w:val="0"/>
        <w:rPr>
          <w:szCs w:val="22"/>
          <w:lang w:eastAsia="x-none"/>
        </w:rPr>
      </w:pPr>
    </w:p>
    <w:p w:rsidR="00176E9B" w:rsidRPr="002A0534" w:rsidRDefault="00176E9B" w:rsidP="00176E9B">
      <w:pPr>
        <w:keepNext/>
        <w:ind w:left="851"/>
        <w:jc w:val="both"/>
        <w:outlineLvl w:val="0"/>
        <w:rPr>
          <w:i/>
          <w:szCs w:val="22"/>
          <w:lang w:eastAsia="x-none"/>
        </w:rPr>
      </w:pPr>
      <w:r w:rsidRPr="002A0534">
        <w:rPr>
          <w:i/>
          <w:szCs w:val="22"/>
          <w:lang w:eastAsia="x-none"/>
        </w:rPr>
        <w:t>Pædiatrisk population</w:t>
      </w:r>
    </w:p>
    <w:p w:rsidR="00176E9B" w:rsidRPr="002A0534" w:rsidRDefault="00176E9B" w:rsidP="00176E9B">
      <w:pPr>
        <w:ind w:left="851"/>
        <w:jc w:val="both"/>
        <w:rPr>
          <w:szCs w:val="22"/>
          <w:lang w:eastAsia="da-DK"/>
        </w:rPr>
      </w:pPr>
      <w:r w:rsidRPr="002A0534">
        <w:rPr>
          <w:szCs w:val="22"/>
          <w:lang w:eastAsia="da-DK"/>
        </w:rPr>
        <w:t>Atozets sikkerhed og virkning hos børn er ikke klarlagt (se pkt. 5.2). Der foreligger ingen data.</w:t>
      </w:r>
    </w:p>
    <w:p w:rsidR="00176E9B" w:rsidRPr="002A0534" w:rsidRDefault="00176E9B" w:rsidP="00176E9B">
      <w:pPr>
        <w:ind w:left="851"/>
        <w:jc w:val="both"/>
        <w:rPr>
          <w:szCs w:val="22"/>
          <w:lang w:eastAsia="da-DK"/>
        </w:rPr>
      </w:pPr>
    </w:p>
    <w:p w:rsidR="00176E9B" w:rsidRPr="002A0534" w:rsidRDefault="00176E9B" w:rsidP="00176E9B">
      <w:pPr>
        <w:keepNext/>
        <w:ind w:left="851"/>
        <w:jc w:val="both"/>
        <w:rPr>
          <w:i/>
          <w:szCs w:val="22"/>
          <w:lang w:eastAsia="da-DK"/>
        </w:rPr>
      </w:pPr>
      <w:r>
        <w:rPr>
          <w:i/>
          <w:szCs w:val="22"/>
          <w:lang w:eastAsia="da-DK"/>
        </w:rPr>
        <w:t>N</w:t>
      </w:r>
      <w:r w:rsidRPr="002A0534">
        <w:rPr>
          <w:i/>
          <w:szCs w:val="22"/>
          <w:lang w:eastAsia="da-DK"/>
        </w:rPr>
        <w:t>edsat leverfunktion</w:t>
      </w:r>
    </w:p>
    <w:p w:rsidR="00176E9B" w:rsidRPr="002A0534" w:rsidRDefault="00176E9B" w:rsidP="00176E9B">
      <w:pPr>
        <w:ind w:left="851"/>
        <w:jc w:val="both"/>
        <w:rPr>
          <w:szCs w:val="22"/>
          <w:lang w:eastAsia="da-DK"/>
        </w:rPr>
      </w:pPr>
      <w:r w:rsidRPr="002A0534">
        <w:rPr>
          <w:szCs w:val="22"/>
          <w:lang w:eastAsia="da-DK"/>
        </w:rPr>
        <w:t xml:space="preserve">Atozet skal anvendes med forsigtighed </w:t>
      </w:r>
      <w:r>
        <w:rPr>
          <w:szCs w:val="22"/>
          <w:lang w:eastAsia="da-DK"/>
        </w:rPr>
        <w:t>hos</w:t>
      </w:r>
      <w:r w:rsidRPr="002A0534">
        <w:rPr>
          <w:szCs w:val="22"/>
          <w:lang w:eastAsia="da-DK"/>
        </w:rPr>
        <w:t xml:space="preserve"> patienter med nedsat leverfunktion (se pkt. 4.4 og 5.2). Atozet er kontraindiceret til patienter med aktiv leversygdom (se pkt. 4.3). </w:t>
      </w:r>
    </w:p>
    <w:p w:rsidR="00176E9B" w:rsidRPr="002A0534" w:rsidRDefault="00176E9B" w:rsidP="00176E9B">
      <w:pPr>
        <w:ind w:left="851"/>
        <w:jc w:val="both"/>
        <w:rPr>
          <w:szCs w:val="22"/>
          <w:lang w:eastAsia="da-DK"/>
        </w:rPr>
      </w:pPr>
    </w:p>
    <w:p w:rsidR="00176E9B" w:rsidRPr="002A0534" w:rsidRDefault="00176E9B" w:rsidP="00176E9B">
      <w:pPr>
        <w:keepNext/>
        <w:ind w:left="851"/>
        <w:jc w:val="both"/>
        <w:outlineLvl w:val="0"/>
        <w:rPr>
          <w:i/>
          <w:szCs w:val="22"/>
          <w:lang w:eastAsia="x-none"/>
        </w:rPr>
      </w:pPr>
      <w:r>
        <w:rPr>
          <w:i/>
          <w:szCs w:val="22"/>
          <w:lang w:eastAsia="x-none"/>
        </w:rPr>
        <w:t>N</w:t>
      </w:r>
      <w:r w:rsidRPr="002A0534">
        <w:rPr>
          <w:i/>
          <w:szCs w:val="22"/>
          <w:lang w:eastAsia="x-none"/>
        </w:rPr>
        <w:t>edsat nyrefunktion</w:t>
      </w:r>
    </w:p>
    <w:p w:rsidR="00176E9B" w:rsidRPr="002A0534" w:rsidRDefault="00176E9B" w:rsidP="00176E9B">
      <w:pPr>
        <w:ind w:left="851"/>
        <w:rPr>
          <w:szCs w:val="22"/>
          <w:lang w:eastAsia="da-DK"/>
        </w:rPr>
      </w:pPr>
      <w:r w:rsidRPr="002A0534">
        <w:rPr>
          <w:szCs w:val="22"/>
          <w:lang w:eastAsia="da-DK"/>
        </w:rPr>
        <w:t xml:space="preserve">Dosisjustering er ikke nødvendig hos patienter med nedsat nyrefunktion (se pkt. 5.2). </w:t>
      </w:r>
    </w:p>
    <w:p w:rsidR="00176E9B" w:rsidRPr="002A0534" w:rsidRDefault="00176E9B" w:rsidP="00176E9B">
      <w:pPr>
        <w:ind w:left="851"/>
        <w:rPr>
          <w:szCs w:val="22"/>
          <w:lang w:eastAsia="da-DK"/>
        </w:rPr>
      </w:pPr>
    </w:p>
    <w:p w:rsidR="00176E9B" w:rsidRPr="002A0534" w:rsidRDefault="00176E9B" w:rsidP="00176E9B">
      <w:pPr>
        <w:keepNext/>
        <w:ind w:left="851"/>
        <w:rPr>
          <w:szCs w:val="22"/>
          <w:lang w:eastAsia="da-DK"/>
        </w:rPr>
      </w:pPr>
      <w:r w:rsidRPr="002A0534">
        <w:rPr>
          <w:szCs w:val="22"/>
          <w:u w:val="single"/>
          <w:lang w:eastAsia="da-DK"/>
        </w:rPr>
        <w:t>Administration</w:t>
      </w:r>
    </w:p>
    <w:p w:rsidR="00176E9B" w:rsidRDefault="00176E9B" w:rsidP="00176E9B">
      <w:pPr>
        <w:ind w:left="851"/>
        <w:rPr>
          <w:sz w:val="24"/>
          <w:szCs w:val="24"/>
          <w:lang w:eastAsia="da-DK"/>
        </w:rPr>
      </w:pPr>
      <w:r w:rsidRPr="002A0534">
        <w:rPr>
          <w:szCs w:val="22"/>
          <w:lang w:eastAsia="da-DK"/>
        </w:rPr>
        <w:t>Atozet er til oral anvendelse. Atozet kan administreres som enkeltdosis på et hvilket som helst tidspunkt af dagen med eller uden mad.</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4.3</w:t>
      </w:r>
      <w:r w:rsidRPr="00B07995">
        <w:rPr>
          <w:b/>
          <w:sz w:val="24"/>
          <w:szCs w:val="24"/>
        </w:rPr>
        <w:tab/>
        <w:t>Kontraindikationer</w:t>
      </w:r>
    </w:p>
    <w:p w:rsidR="00176E9B" w:rsidRPr="00B07995" w:rsidRDefault="00176E9B" w:rsidP="00176E9B">
      <w:pPr>
        <w:ind w:left="851" w:hanging="851"/>
        <w:rPr>
          <w:sz w:val="24"/>
          <w:szCs w:val="24"/>
        </w:rPr>
      </w:pPr>
      <w:r w:rsidRPr="00B07995">
        <w:rPr>
          <w:sz w:val="24"/>
          <w:szCs w:val="24"/>
        </w:rPr>
        <w:tab/>
        <w:t>Overfølsomhed over for de aktive stoffer eller over for et eller flere af hjælpestofferne anført i pkt. 6.1.</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Behandling med Atozet er kontraindiceret under graviditet og amning og til kvinder i den fertile alder, som ikke anvender passende prævention (se pkt. 4.6). </w:t>
      </w:r>
    </w:p>
    <w:p w:rsidR="00176E9B" w:rsidRPr="00B07995" w:rsidRDefault="00176E9B" w:rsidP="00176E9B">
      <w:pPr>
        <w:ind w:left="851" w:hanging="851"/>
        <w:rPr>
          <w:sz w:val="24"/>
          <w:szCs w:val="24"/>
        </w:rPr>
      </w:pPr>
    </w:p>
    <w:p w:rsidR="00176E9B" w:rsidRDefault="00176E9B" w:rsidP="00176E9B">
      <w:pPr>
        <w:ind w:left="851"/>
        <w:rPr>
          <w:sz w:val="24"/>
          <w:szCs w:val="24"/>
        </w:rPr>
      </w:pPr>
      <w:r w:rsidRPr="00B07995">
        <w:rPr>
          <w:sz w:val="24"/>
          <w:szCs w:val="24"/>
        </w:rPr>
        <w:t>Atozet er kontraindiceret til patienter med aktiv leversygdom eller uforklarlige vedvarende stigninger i serumtransaminaser, der er 3 gange højere end den øvre normalgrænse (ULN).</w:t>
      </w:r>
    </w:p>
    <w:p w:rsidR="00176E9B" w:rsidRDefault="00176E9B" w:rsidP="00176E9B">
      <w:pPr>
        <w:ind w:left="851"/>
        <w:rPr>
          <w:sz w:val="24"/>
          <w:szCs w:val="24"/>
        </w:rPr>
      </w:pPr>
    </w:p>
    <w:p w:rsidR="00176E9B" w:rsidRDefault="00176E9B" w:rsidP="00176E9B">
      <w:pPr>
        <w:ind w:left="851"/>
        <w:rPr>
          <w:sz w:val="24"/>
          <w:szCs w:val="24"/>
        </w:rPr>
      </w:pPr>
      <w:r>
        <w:rPr>
          <w:sz w:val="24"/>
          <w:szCs w:val="24"/>
        </w:rPr>
        <w:t>Atozet er kontraindiceret hos patienter, der behandles med de antivirale midler mod hepatitis C som glecaprevir/pibrentasvir.</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4.4</w:t>
      </w:r>
      <w:r w:rsidRPr="00B07995">
        <w:rPr>
          <w:b/>
          <w:sz w:val="24"/>
          <w:szCs w:val="24"/>
        </w:rPr>
        <w:tab/>
        <w:t>Særlige advarsler og forsigtighedsregler vedrørende brugen</w:t>
      </w:r>
    </w:p>
    <w:p w:rsidR="00D71A03" w:rsidRDefault="00176E9B" w:rsidP="00176E9B">
      <w:pPr>
        <w:ind w:left="851" w:hanging="851"/>
        <w:rPr>
          <w:sz w:val="24"/>
          <w:szCs w:val="24"/>
        </w:rPr>
      </w:pPr>
      <w:r w:rsidRPr="00B07995">
        <w:rPr>
          <w:sz w:val="24"/>
          <w:szCs w:val="24"/>
        </w:rPr>
        <w:tab/>
      </w:r>
    </w:p>
    <w:p w:rsidR="00176E9B" w:rsidRPr="00B07995" w:rsidRDefault="00176E9B" w:rsidP="00D71A03">
      <w:pPr>
        <w:ind w:left="851"/>
        <w:rPr>
          <w:bCs/>
          <w:sz w:val="24"/>
          <w:szCs w:val="24"/>
          <w:u w:val="single"/>
          <w:lang w:eastAsia="da-DK"/>
        </w:rPr>
      </w:pPr>
      <w:r w:rsidRPr="00B07995">
        <w:rPr>
          <w:bCs/>
          <w:sz w:val="24"/>
          <w:szCs w:val="24"/>
          <w:u w:val="single"/>
          <w:lang w:eastAsia="da-DK"/>
        </w:rPr>
        <w:t>Myopati/rhabdomyolyse</w:t>
      </w:r>
    </w:p>
    <w:p w:rsidR="00176E9B" w:rsidRPr="00B07995" w:rsidRDefault="00176E9B" w:rsidP="00176E9B">
      <w:pPr>
        <w:ind w:left="851"/>
        <w:rPr>
          <w:sz w:val="24"/>
          <w:szCs w:val="24"/>
          <w:lang w:eastAsia="da-DK"/>
        </w:rPr>
      </w:pPr>
      <w:r w:rsidRPr="00B07995">
        <w:rPr>
          <w:sz w:val="24"/>
          <w:szCs w:val="24"/>
          <w:lang w:eastAsia="da-DK"/>
        </w:rPr>
        <w:t xml:space="preserve">Efter markedsføring har der været rapporteret om tilfælde af myopati og rhabdomyolyse med </w:t>
      </w:r>
      <w:r>
        <w:rPr>
          <w:sz w:val="24"/>
          <w:szCs w:val="24"/>
          <w:lang w:eastAsia="da-DK"/>
        </w:rPr>
        <w:t>ezetimib</w:t>
      </w:r>
      <w:r w:rsidRPr="00B07995">
        <w:rPr>
          <w:sz w:val="24"/>
          <w:szCs w:val="24"/>
          <w:lang w:eastAsia="da-DK"/>
        </w:rPr>
        <w:t xml:space="preserve">. De fleste af de patienter, der udviklede rhabdomyolyse, fik et statin samtidig med </w:t>
      </w:r>
      <w:r>
        <w:rPr>
          <w:sz w:val="24"/>
          <w:szCs w:val="24"/>
          <w:lang w:eastAsia="da-DK"/>
        </w:rPr>
        <w:t>ezetimib</w:t>
      </w:r>
      <w:r w:rsidRPr="00B07995">
        <w:rPr>
          <w:sz w:val="24"/>
          <w:szCs w:val="24"/>
          <w:lang w:eastAsia="da-DK"/>
        </w:rPr>
        <w:t xml:space="preserve">. Rhabdomyolyse er imidlertid rapporteret meget sjældent i forbindelse med </w:t>
      </w:r>
      <w:r>
        <w:rPr>
          <w:sz w:val="24"/>
          <w:szCs w:val="24"/>
          <w:lang w:eastAsia="da-DK"/>
        </w:rPr>
        <w:t>ezetimib</w:t>
      </w:r>
      <w:r w:rsidRPr="00B07995">
        <w:rPr>
          <w:sz w:val="24"/>
          <w:szCs w:val="24"/>
          <w:lang w:eastAsia="da-DK"/>
        </w:rPr>
        <w:t xml:space="preserve">-monoterapi og meget sjældent ved tilføjelse af </w:t>
      </w:r>
      <w:r>
        <w:rPr>
          <w:sz w:val="24"/>
          <w:szCs w:val="24"/>
          <w:lang w:eastAsia="da-DK"/>
        </w:rPr>
        <w:t>ezetimib</w:t>
      </w:r>
      <w:r w:rsidRPr="00B07995">
        <w:rPr>
          <w:sz w:val="24"/>
          <w:szCs w:val="24"/>
          <w:lang w:eastAsia="da-DK"/>
        </w:rPr>
        <w:t xml:space="preserve"> til andre lægemidler, som vides at være forbundet med øget risiko for rhabdomyolyse.</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sz w:val="24"/>
          <w:szCs w:val="24"/>
          <w:lang w:eastAsia="da-DK"/>
        </w:rPr>
        <w:t xml:space="preserve">Atozet indeholder atorvastatin. Atorvastatin kan i sjældne tilfælde, i lighed med andre HMG-CoA-reduktasehæmmere, påvirke skeletmuskulaturen og forårsage myalgi, myositis og myopati, som kan udvikle sig til </w:t>
      </w:r>
      <w:r w:rsidRPr="00B07995">
        <w:rPr>
          <w:spacing w:val="-3"/>
          <w:sz w:val="24"/>
          <w:szCs w:val="24"/>
          <w:lang w:eastAsia="da-DK"/>
        </w:rPr>
        <w:t xml:space="preserve">rhabdomyolyse, en potentielt livstruende tilstand, som er karakteriseret ved markant forhøjet kreatinkinase (CK) (&gt;10 x den øvre normalgrænse), myoglobinæmi og myoglobinuri, som kan føre til nyresvigt. </w:t>
      </w:r>
    </w:p>
    <w:p w:rsidR="00176E9B" w:rsidRPr="00B07995" w:rsidRDefault="00176E9B" w:rsidP="00176E9B">
      <w:pPr>
        <w:ind w:left="851" w:hanging="851"/>
        <w:rPr>
          <w:sz w:val="24"/>
          <w:szCs w:val="24"/>
          <w:lang w:eastAsia="da-DK"/>
        </w:rPr>
      </w:pPr>
    </w:p>
    <w:p w:rsidR="00176E9B" w:rsidRPr="0041674F" w:rsidRDefault="00176E9B" w:rsidP="00176E9B">
      <w:pPr>
        <w:ind w:left="851"/>
        <w:rPr>
          <w:i/>
          <w:sz w:val="24"/>
          <w:szCs w:val="24"/>
          <w:lang w:eastAsia="da-DK"/>
        </w:rPr>
      </w:pPr>
      <w:r w:rsidRPr="0041674F">
        <w:rPr>
          <w:i/>
          <w:sz w:val="24"/>
          <w:szCs w:val="24"/>
          <w:lang w:eastAsia="da-DK"/>
        </w:rPr>
        <w:t>Før behandling</w:t>
      </w:r>
    </w:p>
    <w:p w:rsidR="00176E9B" w:rsidRPr="00821804" w:rsidRDefault="00176E9B" w:rsidP="00176E9B">
      <w:pPr>
        <w:ind w:left="851"/>
        <w:rPr>
          <w:sz w:val="24"/>
          <w:szCs w:val="24"/>
          <w:lang w:eastAsia="da-DK"/>
        </w:rPr>
      </w:pPr>
      <w:r w:rsidRPr="00821804">
        <w:rPr>
          <w:sz w:val="24"/>
          <w:szCs w:val="24"/>
          <w:lang w:eastAsia="da-DK"/>
        </w:rPr>
        <w:t>Atozet skal ordineres med forsigtighed til patienter med faktorer, der prædisponerer for rhabdomyolyse. CK-niveauet skal måles, inden behandlingen startes i følgende tilfælde:</w:t>
      </w:r>
    </w:p>
    <w:p w:rsidR="00176E9B" w:rsidRPr="00B07995" w:rsidRDefault="00176E9B" w:rsidP="00176E9B">
      <w:pPr>
        <w:ind w:left="851" w:hanging="851"/>
        <w:rPr>
          <w:sz w:val="24"/>
          <w:szCs w:val="24"/>
          <w:lang w:eastAsia="da-DK"/>
        </w:rPr>
      </w:pP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nedsat nyrefunktion</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hypothyroidisme</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egen eller familiær anamnese med arvelige muskelsygdomme</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tidligere tilfælde af muskeltoksicitet med et statin eller fibrat</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tidligere tilfælde af leversygdom og/eller hvor betydelige mængder alkohol er indtaget</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lastRenderedPageBreak/>
        <w:t>hos ældre (alder &gt;70 år) skal behovet for sådanne CK-målinger vurderes ud fra forekomsten af andre prædisponerende faktorer for rhabdomyolyse</w:t>
      </w:r>
    </w:p>
    <w:p w:rsidR="00176E9B" w:rsidRPr="00B07995" w:rsidRDefault="00176E9B" w:rsidP="00176E9B">
      <w:pPr>
        <w:numPr>
          <w:ilvl w:val="0"/>
          <w:numId w:val="10"/>
        </w:numPr>
        <w:tabs>
          <w:tab w:val="clear" w:pos="1440"/>
        </w:tabs>
        <w:ind w:left="1276" w:hanging="425"/>
        <w:rPr>
          <w:sz w:val="24"/>
          <w:szCs w:val="24"/>
          <w:lang w:eastAsia="da-DK"/>
        </w:rPr>
      </w:pPr>
      <w:r w:rsidRPr="00B07995">
        <w:rPr>
          <w:sz w:val="24"/>
          <w:szCs w:val="24"/>
          <w:lang w:eastAsia="da-DK"/>
        </w:rPr>
        <w:t>situationer hvor en stigning i plasmakoncentrationen kan forekomme, såsom interaktioner (se pkt.</w:t>
      </w:r>
      <w:r w:rsidRPr="00B07995">
        <w:rPr>
          <w:sz w:val="24"/>
          <w:szCs w:val="24"/>
        </w:rPr>
        <w:t> </w:t>
      </w:r>
      <w:r w:rsidRPr="00B07995">
        <w:rPr>
          <w:sz w:val="24"/>
          <w:szCs w:val="24"/>
          <w:lang w:eastAsia="da-DK"/>
        </w:rPr>
        <w:t>4.5) og særlige populationer, herunder genetiske subpopulationer (se pkt. 5.2)</w:t>
      </w:r>
      <w:r>
        <w:rPr>
          <w:sz w:val="24"/>
          <w:szCs w:val="24"/>
          <w:lang w:eastAsia="da-DK"/>
        </w:rPr>
        <w:t>.</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sz w:val="24"/>
          <w:szCs w:val="24"/>
          <w:lang w:eastAsia="da-DK"/>
        </w:rPr>
        <w:t xml:space="preserve">I disse tilfælde bør risikoen ved behandlingen overvejes i forhold til de mulige fordele, og klinisk monitorering anbefales. </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sz w:val="24"/>
          <w:szCs w:val="24"/>
          <w:lang w:eastAsia="da-DK"/>
        </w:rPr>
        <w:t xml:space="preserve">Hvis CK-koncentrationen er betydeligt forhøjet (&gt;5 x den øvre normalgrænse) ved </w:t>
      </w:r>
      <w:r w:rsidRPr="00B07995">
        <w:rPr>
          <w:i/>
          <w:sz w:val="24"/>
          <w:szCs w:val="24"/>
          <w:lang w:eastAsia="da-DK"/>
        </w:rPr>
        <w:t>baseline</w:t>
      </w:r>
      <w:r w:rsidRPr="00B07995">
        <w:rPr>
          <w:sz w:val="24"/>
          <w:szCs w:val="24"/>
          <w:lang w:eastAsia="da-DK"/>
        </w:rPr>
        <w:t>, bør behandling ikke initieres.</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i/>
          <w:sz w:val="24"/>
          <w:szCs w:val="24"/>
          <w:lang w:eastAsia="da-DK"/>
        </w:rPr>
        <w:t>Måling af kreatinkinase</w:t>
      </w:r>
    </w:p>
    <w:p w:rsidR="00176E9B" w:rsidRPr="00B07995" w:rsidRDefault="00176E9B" w:rsidP="00176E9B">
      <w:pPr>
        <w:ind w:left="851"/>
        <w:rPr>
          <w:sz w:val="24"/>
          <w:szCs w:val="24"/>
          <w:lang w:eastAsia="da-DK"/>
        </w:rPr>
      </w:pPr>
      <w:r w:rsidRPr="00B07995">
        <w:rPr>
          <w:sz w:val="24"/>
          <w:szCs w:val="24"/>
          <w:lang w:eastAsia="da-DK"/>
        </w:rPr>
        <w:t xml:space="preserve">Kreatinkinase bør ikke måles efter krævende fysisk udfoldelse eller ved tilstedeværelse af andre plausible årsager til CK-stigning, da dette vanskeliggør fortolkning af værdierne. Hvis CK-koncentrationen er signifikant forhøjet ved </w:t>
      </w:r>
      <w:r w:rsidRPr="00B07995">
        <w:rPr>
          <w:i/>
          <w:sz w:val="24"/>
          <w:szCs w:val="24"/>
          <w:lang w:eastAsia="da-DK"/>
        </w:rPr>
        <w:t>baseline</w:t>
      </w:r>
      <w:r w:rsidRPr="00B07995">
        <w:rPr>
          <w:sz w:val="24"/>
          <w:szCs w:val="24"/>
          <w:lang w:eastAsia="da-DK"/>
        </w:rPr>
        <w:t xml:space="preserve"> (&gt;5 x den øvre normalgrænse), skal koncentrationen måles igen inden for 5-7 dage for at bekræfte resultaterne.</w:t>
      </w:r>
    </w:p>
    <w:p w:rsidR="00176E9B" w:rsidRPr="00B07995" w:rsidRDefault="00176E9B" w:rsidP="00176E9B">
      <w:pPr>
        <w:ind w:left="851" w:hanging="851"/>
        <w:rPr>
          <w:sz w:val="24"/>
          <w:szCs w:val="24"/>
          <w:lang w:eastAsia="da-DK"/>
        </w:rPr>
      </w:pPr>
    </w:p>
    <w:p w:rsidR="00176E9B" w:rsidRPr="00B07995" w:rsidRDefault="00176E9B" w:rsidP="00176E9B">
      <w:pPr>
        <w:ind w:left="851"/>
        <w:rPr>
          <w:i/>
          <w:sz w:val="24"/>
          <w:szCs w:val="24"/>
          <w:lang w:eastAsia="da-DK"/>
        </w:rPr>
      </w:pPr>
      <w:r w:rsidRPr="00B07995">
        <w:rPr>
          <w:i/>
          <w:sz w:val="24"/>
          <w:szCs w:val="24"/>
          <w:lang w:eastAsia="da-DK"/>
        </w:rPr>
        <w:t>Under behandling</w:t>
      </w:r>
    </w:p>
    <w:p w:rsidR="00176E9B" w:rsidRPr="00CA5612" w:rsidRDefault="00176E9B" w:rsidP="00176E9B">
      <w:pPr>
        <w:pStyle w:val="Listeafsnit"/>
        <w:numPr>
          <w:ilvl w:val="0"/>
          <w:numId w:val="11"/>
        </w:numPr>
        <w:ind w:left="1276" w:hanging="425"/>
        <w:rPr>
          <w:sz w:val="24"/>
          <w:szCs w:val="22"/>
          <w:lang w:eastAsia="da-DK"/>
        </w:rPr>
      </w:pPr>
      <w:r w:rsidRPr="00B07995">
        <w:rPr>
          <w:sz w:val="24"/>
          <w:szCs w:val="24"/>
          <w:lang w:eastAsia="da-DK"/>
        </w:rPr>
        <w:t>Patienterne skal opfordres til omgående at rapportere muskelsmerter, kramper eller svækkelse, især hvis det ledsages af utilp</w:t>
      </w:r>
      <w:r>
        <w:rPr>
          <w:sz w:val="24"/>
          <w:szCs w:val="24"/>
          <w:lang w:eastAsia="da-DK"/>
        </w:rPr>
        <w:t xml:space="preserve">ashed eller feber, </w:t>
      </w:r>
      <w:r w:rsidRPr="00CA5612">
        <w:rPr>
          <w:sz w:val="24"/>
          <w:szCs w:val="22"/>
        </w:rPr>
        <w:t>eller hvis muskeltegn og -symptomer vedvarer efter seponering af Atozet</w:t>
      </w:r>
      <w:r w:rsidRPr="00CA5612">
        <w:rPr>
          <w:sz w:val="24"/>
          <w:szCs w:val="22"/>
          <w:lang w:eastAsia="da-DK"/>
        </w:rPr>
        <w:t>.</w:t>
      </w:r>
    </w:p>
    <w:p w:rsidR="00176E9B" w:rsidRPr="00B07995" w:rsidRDefault="00176E9B" w:rsidP="00176E9B">
      <w:pPr>
        <w:pStyle w:val="Listeafsnit"/>
        <w:numPr>
          <w:ilvl w:val="0"/>
          <w:numId w:val="11"/>
        </w:numPr>
        <w:ind w:left="1276" w:hanging="425"/>
        <w:rPr>
          <w:sz w:val="24"/>
          <w:szCs w:val="24"/>
          <w:lang w:eastAsia="da-DK"/>
        </w:rPr>
      </w:pPr>
      <w:r w:rsidRPr="00B07995">
        <w:rPr>
          <w:sz w:val="24"/>
          <w:szCs w:val="24"/>
          <w:lang w:eastAsia="da-DK"/>
        </w:rPr>
        <w:t>Hvis disse symptomer opstår, mens en patient får behandling med Atozet, skal CK-værdien måles. Hvis denne værdi er signifikant forhøjet (&gt;5 x den øvre normalgrænse), skal behandlingen seponeres.</w:t>
      </w:r>
    </w:p>
    <w:p w:rsidR="00176E9B" w:rsidRPr="00B07995" w:rsidRDefault="00176E9B" w:rsidP="00176E9B">
      <w:pPr>
        <w:pStyle w:val="Listeafsnit"/>
        <w:numPr>
          <w:ilvl w:val="0"/>
          <w:numId w:val="11"/>
        </w:numPr>
        <w:ind w:left="1276" w:hanging="425"/>
        <w:rPr>
          <w:sz w:val="24"/>
          <w:szCs w:val="24"/>
          <w:lang w:eastAsia="da-DK"/>
        </w:rPr>
      </w:pPr>
      <w:r w:rsidRPr="00B07995">
        <w:rPr>
          <w:sz w:val="24"/>
          <w:szCs w:val="24"/>
          <w:lang w:eastAsia="da-DK"/>
        </w:rPr>
        <w:t>Seponering skal overvejes, hvis muskelsymptomerne er svære og medfører daglige gener, selvom stigningen i CK-værdien er forhøjet til ≤5 x den øvre normalgrænse.</w:t>
      </w:r>
    </w:p>
    <w:p w:rsidR="00176E9B" w:rsidRDefault="00176E9B" w:rsidP="00176E9B">
      <w:pPr>
        <w:pStyle w:val="Listeafsnit"/>
        <w:numPr>
          <w:ilvl w:val="0"/>
          <w:numId w:val="11"/>
        </w:numPr>
        <w:ind w:left="1276" w:hanging="425"/>
        <w:rPr>
          <w:sz w:val="24"/>
          <w:szCs w:val="24"/>
          <w:lang w:eastAsia="da-DK"/>
        </w:rPr>
      </w:pPr>
      <w:r w:rsidRPr="00B07995">
        <w:rPr>
          <w:sz w:val="24"/>
          <w:szCs w:val="24"/>
          <w:lang w:eastAsia="da-DK"/>
        </w:rPr>
        <w:t>Hvis symptomerne forsvinder, og CK-værdien normaliseres, kan det overvejes at genoptage behandling med Atozet eller introducere et andet statinholdigt lægemiddel med den lavest mulige dosis og under nøje monitorering.</w:t>
      </w:r>
    </w:p>
    <w:p w:rsidR="00176E9B" w:rsidRDefault="00176E9B" w:rsidP="00176E9B">
      <w:pPr>
        <w:pStyle w:val="Listeafsnit"/>
        <w:numPr>
          <w:ilvl w:val="0"/>
          <w:numId w:val="11"/>
        </w:numPr>
        <w:ind w:left="1276" w:hanging="425"/>
        <w:rPr>
          <w:sz w:val="24"/>
          <w:szCs w:val="24"/>
          <w:lang w:eastAsia="da-DK"/>
        </w:rPr>
      </w:pPr>
      <w:r w:rsidRPr="0051754E">
        <w:rPr>
          <w:sz w:val="24"/>
          <w:szCs w:val="24"/>
          <w:lang w:eastAsia="da-DK"/>
        </w:rPr>
        <w:t>Behandling med Atozet skal seponeres, hvis der opstår en klinisk signifikant stigning i CK-værdien (&gt;10 x den øvre normalgrænse), eller hvis der diagnosticeres eller er mistanke om rhabdomyolyse.</w:t>
      </w:r>
    </w:p>
    <w:p w:rsidR="00176E9B" w:rsidRPr="0051754E" w:rsidRDefault="00176E9B" w:rsidP="00176E9B">
      <w:pPr>
        <w:pStyle w:val="Listeafsnit"/>
        <w:numPr>
          <w:ilvl w:val="0"/>
          <w:numId w:val="11"/>
        </w:numPr>
        <w:ind w:left="1276" w:hanging="425"/>
        <w:rPr>
          <w:sz w:val="24"/>
          <w:szCs w:val="24"/>
          <w:lang w:eastAsia="da-DK"/>
        </w:rPr>
      </w:pPr>
      <w:r w:rsidRPr="0051754E">
        <w:rPr>
          <w:sz w:val="24"/>
          <w:szCs w:val="24"/>
          <w:lang w:eastAsia="da-DK"/>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w:t>
      </w:r>
    </w:p>
    <w:p w:rsidR="00176E9B" w:rsidRPr="00E119A8" w:rsidRDefault="00176E9B" w:rsidP="00176E9B">
      <w:pPr>
        <w:ind w:left="851"/>
        <w:rPr>
          <w:sz w:val="24"/>
          <w:szCs w:val="24"/>
          <w:lang w:eastAsia="da-DK"/>
        </w:rPr>
      </w:pPr>
    </w:p>
    <w:p w:rsidR="00176E9B" w:rsidRPr="00E119A8" w:rsidRDefault="00176E9B" w:rsidP="00176E9B">
      <w:pPr>
        <w:ind w:left="851"/>
        <w:rPr>
          <w:sz w:val="24"/>
          <w:szCs w:val="24"/>
        </w:rPr>
      </w:pPr>
      <w:r w:rsidRPr="00E119A8">
        <w:rPr>
          <w:sz w:val="24"/>
          <w:szCs w:val="24"/>
          <w:lang w:eastAsia="da-DK"/>
        </w:rPr>
        <w:t xml:space="preserve">På grund af atorvastatinkomponenten i Atozet er der øget risiko for rhabdomyolyse, når Atozet administreres samtidigt med visse lægemidler, som kan øge plasmakoncentrationen af atorvastatin, såsom potente hæmmere af CYP3A4 eller transportproteiner (f.eks. </w:t>
      </w:r>
      <w:r w:rsidRPr="00E119A8">
        <w:rPr>
          <w:sz w:val="24"/>
          <w:szCs w:val="24"/>
        </w:rPr>
        <w:t>ciclosporin, telithromycin, clarithromycin, delavirdin, stiripentol, ketoconazol, voriconazol, itraconazol, posaconazol og hiv-proteasehæmmere, herunder ritonavir, lopinavir, atazanavir, indinavir, darunavir, tipranavir/ritonavir osv.). Risikoen for myopati kan også stige ved samtidig brug af gemfibrozil og andre fibrinsyrederivater, antivirale midler til behandling af hepatitis C (HCV) (boceprevir, telaprevir, elbasvir/grazoprevir), erythromycin eller niacin. Det bør overvejes, om det er muligt at give andre lægemidler (uden interaktion) i stedet for disse lægemidler (se pkt. 4.8).</w:t>
      </w:r>
    </w:p>
    <w:p w:rsidR="00176E9B" w:rsidRPr="00B07995" w:rsidRDefault="00176E9B" w:rsidP="00176E9B">
      <w:pPr>
        <w:ind w:left="851"/>
        <w:rPr>
          <w:sz w:val="24"/>
          <w:szCs w:val="24"/>
        </w:rPr>
      </w:pPr>
    </w:p>
    <w:p w:rsidR="00176E9B" w:rsidRDefault="00176E9B" w:rsidP="00176E9B">
      <w:pPr>
        <w:ind w:left="851"/>
        <w:rPr>
          <w:sz w:val="24"/>
          <w:szCs w:val="24"/>
          <w:lang w:eastAsia="da-DK"/>
        </w:rPr>
      </w:pPr>
      <w:r w:rsidRPr="00B07995">
        <w:rPr>
          <w:sz w:val="24"/>
          <w:szCs w:val="24"/>
          <w:lang w:eastAsia="da-DK"/>
        </w:rPr>
        <w:lastRenderedPageBreak/>
        <w:t xml:space="preserve">I tilfælde hvor samtidig administration af disse lægemidler og Atozet er nødvendig, skal fordel og risiko ved samtidig behandling overvejes nøje. </w:t>
      </w:r>
      <w:r w:rsidRPr="00B07995">
        <w:rPr>
          <w:noProof/>
          <w:sz w:val="24"/>
          <w:szCs w:val="24"/>
        </w:rPr>
        <w:t xml:space="preserve">En lavere maksimaldosis af </w:t>
      </w:r>
      <w:r w:rsidRPr="00B07995">
        <w:rPr>
          <w:sz w:val="24"/>
          <w:szCs w:val="24"/>
          <w:lang w:eastAsia="da-DK"/>
        </w:rPr>
        <w:t>Atozet</w:t>
      </w:r>
      <w:r w:rsidRPr="00B07995">
        <w:rPr>
          <w:noProof/>
          <w:sz w:val="24"/>
          <w:szCs w:val="24"/>
        </w:rPr>
        <w:t xml:space="preserve"> anbefales til patienter, der får lægemidler, som øger atorvastatins plasmakoncentration</w:t>
      </w:r>
      <w:r w:rsidRPr="00B07995">
        <w:rPr>
          <w:sz w:val="24"/>
          <w:szCs w:val="24"/>
          <w:lang w:eastAsia="da-DK"/>
        </w:rPr>
        <w:t xml:space="preserve">. </w:t>
      </w:r>
      <w:r w:rsidRPr="00B07995">
        <w:rPr>
          <w:noProof/>
          <w:sz w:val="24"/>
          <w:szCs w:val="24"/>
        </w:rPr>
        <w:t xml:space="preserve">Derudover bør det overvejes at nedsætte startdosis af </w:t>
      </w:r>
      <w:r w:rsidRPr="00B07995">
        <w:rPr>
          <w:sz w:val="24"/>
          <w:szCs w:val="24"/>
          <w:lang w:eastAsia="da-DK"/>
        </w:rPr>
        <w:t>Atozet</w:t>
      </w:r>
      <w:r w:rsidRPr="00B07995">
        <w:rPr>
          <w:noProof/>
          <w:sz w:val="24"/>
          <w:szCs w:val="24"/>
        </w:rPr>
        <w:t>, hvis der samtidig behandles med en potent CYP3A4-hæmmer, og passende klinisk monitorering af disse patienter</w:t>
      </w:r>
      <w:r w:rsidRPr="00B07995">
        <w:rPr>
          <w:sz w:val="24"/>
          <w:szCs w:val="24"/>
          <w:lang w:eastAsia="da-DK"/>
        </w:rPr>
        <w:t xml:space="preserve"> anbefales (se pkt. 4.5). </w:t>
      </w:r>
    </w:p>
    <w:p w:rsidR="00176E9B" w:rsidRPr="00B07995" w:rsidRDefault="00176E9B" w:rsidP="00176E9B">
      <w:pPr>
        <w:ind w:left="851" w:hanging="851"/>
        <w:rPr>
          <w:sz w:val="24"/>
          <w:szCs w:val="24"/>
          <w:lang w:eastAsia="da-DK"/>
        </w:rPr>
      </w:pPr>
    </w:p>
    <w:p w:rsidR="00176E9B" w:rsidRPr="007A74B7" w:rsidRDefault="00176E9B" w:rsidP="00176E9B">
      <w:pPr>
        <w:ind w:left="851"/>
        <w:rPr>
          <w:sz w:val="24"/>
          <w:szCs w:val="24"/>
        </w:rPr>
      </w:pPr>
      <w:r w:rsidRPr="008B036E">
        <w:rPr>
          <w:sz w:val="24"/>
          <w:szCs w:val="24"/>
        </w:rPr>
        <w:t>Atorvastatin må ikke administreres sam</w:t>
      </w:r>
      <w:r w:rsidRPr="007A74B7">
        <w:rPr>
          <w:sz w:val="24"/>
          <w:szCs w:val="24"/>
        </w:rPr>
        <w:t xml:space="preserve">tidigt </w:t>
      </w:r>
      <w:r w:rsidRPr="008B036E">
        <w:rPr>
          <w:sz w:val="24"/>
          <w:szCs w:val="24"/>
        </w:rPr>
        <w:t xml:space="preserve">med systemiske formuleringer af </w:t>
      </w:r>
      <w:r w:rsidRPr="007A74B7">
        <w:rPr>
          <w:sz w:val="24"/>
          <w:szCs w:val="24"/>
          <w:lang w:eastAsia="da-DK"/>
        </w:rPr>
        <w:t xml:space="preserve">fusidinsyre, </w:t>
      </w:r>
      <w:r w:rsidRPr="008B036E">
        <w:rPr>
          <w:sz w:val="24"/>
          <w:szCs w:val="24"/>
        </w:rPr>
        <w:t>eller inden</w:t>
      </w:r>
      <w:r w:rsidRPr="007A74B7">
        <w:rPr>
          <w:sz w:val="24"/>
          <w:szCs w:val="24"/>
        </w:rPr>
        <w:t xml:space="preserve"> </w:t>
      </w:r>
      <w:r w:rsidRPr="008B036E">
        <w:rPr>
          <w:sz w:val="24"/>
          <w:szCs w:val="24"/>
        </w:rPr>
        <w:t>for 7 da</w:t>
      </w:r>
      <w:r w:rsidRPr="007A74B7">
        <w:rPr>
          <w:sz w:val="24"/>
          <w:szCs w:val="24"/>
        </w:rPr>
        <w:t>ge efter behandlingen med fusidinsyre er stoppet</w:t>
      </w:r>
      <w:r w:rsidRPr="008B036E">
        <w:rPr>
          <w:sz w:val="24"/>
          <w:szCs w:val="24"/>
        </w:rPr>
        <w:t>. Hos patienter, hvor brug af systemisk fusidinsyre vurderes at være nødvendig, skal statinbehandlingen seponeres under hele behandlingsforløbet med fusidinsyre. Der er rapporteret om r</w:t>
      </w:r>
      <w:r w:rsidRPr="007A74B7">
        <w:rPr>
          <w:sz w:val="24"/>
          <w:szCs w:val="24"/>
        </w:rPr>
        <w:t>h</w:t>
      </w:r>
      <w:r w:rsidRPr="008B036E">
        <w:rPr>
          <w:sz w:val="24"/>
          <w:szCs w:val="24"/>
        </w:rPr>
        <w:t xml:space="preserve">abdomyolyse (inklusive dødelige tilfælde) hos patienter, der fik denne kombination </w:t>
      </w:r>
      <w:r w:rsidRPr="007A74B7">
        <w:rPr>
          <w:sz w:val="24"/>
          <w:szCs w:val="24"/>
        </w:rPr>
        <w:t xml:space="preserve">af </w:t>
      </w:r>
      <w:r w:rsidRPr="008B036E">
        <w:rPr>
          <w:sz w:val="24"/>
          <w:szCs w:val="24"/>
        </w:rPr>
        <w:t>fusidi</w:t>
      </w:r>
      <w:r w:rsidRPr="007A74B7">
        <w:rPr>
          <w:sz w:val="24"/>
          <w:szCs w:val="24"/>
        </w:rPr>
        <w:t>nsyre og statiner</w:t>
      </w:r>
      <w:r w:rsidRPr="007A74B7">
        <w:rPr>
          <w:sz w:val="24"/>
          <w:szCs w:val="24"/>
          <w:lang w:eastAsia="da-DK"/>
        </w:rPr>
        <w:t xml:space="preserve"> (se pkt. 4.5).</w:t>
      </w:r>
      <w:r w:rsidRPr="008B036E">
        <w:rPr>
          <w:sz w:val="24"/>
          <w:szCs w:val="24"/>
          <w:lang w:eastAsia="da-DK"/>
        </w:rPr>
        <w:t xml:space="preserve"> </w:t>
      </w:r>
      <w:r w:rsidRPr="008B036E">
        <w:rPr>
          <w:sz w:val="24"/>
          <w:szCs w:val="24"/>
        </w:rPr>
        <w:t>Patienterne skal informeres om omgående at søge læge, hvis de oplever symptomer som muskelsvaghed, -smerter eller -ømhed.</w:t>
      </w:r>
    </w:p>
    <w:p w:rsidR="00176E9B" w:rsidRPr="008B036E" w:rsidRDefault="00176E9B" w:rsidP="00176E9B">
      <w:pPr>
        <w:ind w:left="851"/>
        <w:rPr>
          <w:sz w:val="24"/>
          <w:szCs w:val="24"/>
        </w:rPr>
      </w:pPr>
    </w:p>
    <w:p w:rsidR="00176E9B" w:rsidRPr="007A74B7" w:rsidRDefault="00176E9B" w:rsidP="00176E9B">
      <w:pPr>
        <w:ind w:left="851"/>
        <w:rPr>
          <w:sz w:val="24"/>
          <w:szCs w:val="24"/>
        </w:rPr>
      </w:pPr>
      <w:r w:rsidRPr="008B036E">
        <w:rPr>
          <w:sz w:val="24"/>
          <w:szCs w:val="24"/>
        </w:rPr>
        <w:t>Statinbehandlingen kan genoptages syv dage efter den sidste dosis af fusidinsyre.</w:t>
      </w:r>
    </w:p>
    <w:p w:rsidR="00176E9B" w:rsidRPr="008B036E" w:rsidRDefault="00176E9B" w:rsidP="00176E9B">
      <w:pPr>
        <w:ind w:left="851"/>
        <w:rPr>
          <w:sz w:val="24"/>
          <w:szCs w:val="24"/>
        </w:rPr>
      </w:pPr>
    </w:p>
    <w:p w:rsidR="00176E9B" w:rsidRPr="007A74B7" w:rsidRDefault="00176E9B" w:rsidP="00176E9B">
      <w:pPr>
        <w:ind w:left="851"/>
        <w:rPr>
          <w:sz w:val="24"/>
          <w:szCs w:val="24"/>
        </w:rPr>
      </w:pPr>
      <w:r w:rsidRPr="008B036E">
        <w:rPr>
          <w:sz w:val="24"/>
          <w:szCs w:val="24"/>
        </w:rPr>
        <w:t xml:space="preserve">I helt særlige tilfælde, hvor der er behov for langvarig systemisk </w:t>
      </w:r>
      <w:r w:rsidRPr="007A74B7">
        <w:rPr>
          <w:sz w:val="24"/>
          <w:szCs w:val="24"/>
        </w:rPr>
        <w:t xml:space="preserve">behandling med </w:t>
      </w:r>
      <w:r w:rsidRPr="008B036E">
        <w:rPr>
          <w:sz w:val="24"/>
          <w:szCs w:val="24"/>
        </w:rPr>
        <w:t xml:space="preserve">fusidinsyre, f.eks. til behandling af svære infektioner, skal behovet for samtidig administration af </w:t>
      </w:r>
      <w:r w:rsidRPr="007A74B7">
        <w:rPr>
          <w:sz w:val="24"/>
          <w:szCs w:val="24"/>
        </w:rPr>
        <w:t xml:space="preserve">Atozet </w:t>
      </w:r>
      <w:r w:rsidRPr="008B036E">
        <w:rPr>
          <w:sz w:val="24"/>
          <w:szCs w:val="24"/>
        </w:rPr>
        <w:t xml:space="preserve">og fusidinsyre overvejes i hvert enkelt tilfælde, og behandlingen skal ske under tæt lægelig overvågning. </w:t>
      </w:r>
    </w:p>
    <w:p w:rsidR="00176E9B" w:rsidRPr="002970D7" w:rsidRDefault="00176E9B" w:rsidP="00176E9B">
      <w:pPr>
        <w:ind w:left="851"/>
        <w:rPr>
          <w:sz w:val="24"/>
          <w:szCs w:val="24"/>
        </w:rPr>
      </w:pPr>
    </w:p>
    <w:p w:rsidR="00176E9B" w:rsidRPr="002970D7" w:rsidRDefault="00176E9B" w:rsidP="00176E9B">
      <w:pPr>
        <w:keepNext/>
        <w:ind w:left="851"/>
        <w:rPr>
          <w:sz w:val="24"/>
          <w:szCs w:val="24"/>
          <w:u w:val="single"/>
        </w:rPr>
      </w:pPr>
      <w:r w:rsidRPr="002970D7">
        <w:rPr>
          <w:sz w:val="24"/>
          <w:szCs w:val="24"/>
          <w:u w:val="single"/>
        </w:rPr>
        <w:t>Daptomycin</w:t>
      </w:r>
    </w:p>
    <w:p w:rsidR="00176E9B" w:rsidRPr="002970D7" w:rsidRDefault="00176E9B" w:rsidP="00176E9B">
      <w:pPr>
        <w:ind w:left="851"/>
        <w:rPr>
          <w:sz w:val="24"/>
          <w:szCs w:val="24"/>
        </w:rPr>
      </w:pPr>
      <w:r w:rsidRPr="002970D7">
        <w:rPr>
          <w:sz w:val="24"/>
          <w:szCs w:val="24"/>
        </w:rPr>
        <w:t xml:space="preserve">Der er rapporteret tilfælde af myopati og/eller rhabdomyolyse ved samtidig administration af HMG-CoA-reduktasehæmmere (f.eks. </w:t>
      </w:r>
      <w:r w:rsidRPr="002970D7">
        <w:rPr>
          <w:snapToGrid w:val="0"/>
          <w:sz w:val="24"/>
          <w:szCs w:val="24"/>
        </w:rPr>
        <w:t>atorvastatin</w:t>
      </w:r>
      <w:r w:rsidRPr="002970D7">
        <w:rPr>
          <w:sz w:val="24"/>
          <w:szCs w:val="24"/>
        </w:rPr>
        <w:t xml:space="preserve"> og ezetimib/</w:t>
      </w:r>
      <w:r w:rsidRPr="002970D7">
        <w:rPr>
          <w:snapToGrid w:val="0"/>
          <w:sz w:val="24"/>
          <w:szCs w:val="24"/>
        </w:rPr>
        <w:t>atorvastatin</w:t>
      </w:r>
      <w:r w:rsidRPr="002970D7">
        <w:rPr>
          <w:sz w:val="24"/>
          <w:szCs w:val="24"/>
        </w:rPr>
        <w:t xml:space="preserve">) og daptomycin. Der skal udvises forsigtighed, når HMG-CoA-reduktasehæmmere ordineres sammen med daptomycin, da begge lægemidler kan forårsage myopati og/eller rhabdomyolyse, når de gives alene. Det bør overvejes at afbryde behandlingen med Atozet midlertidigt hos patienter, der tager daptomycin, medmindre fordelen ved samtidig administration opvejer risikoen. Se produktresuméet for daptomycin for at få yderligere oplysninger om denne potentielle interaktion med HMG-CoA-reduktasehæmmere (f.eks. </w:t>
      </w:r>
      <w:r w:rsidRPr="002970D7">
        <w:rPr>
          <w:snapToGrid w:val="0"/>
          <w:sz w:val="24"/>
          <w:szCs w:val="24"/>
        </w:rPr>
        <w:t>atorvastatin</w:t>
      </w:r>
      <w:r w:rsidRPr="002970D7">
        <w:rPr>
          <w:sz w:val="24"/>
          <w:szCs w:val="24"/>
        </w:rPr>
        <w:t xml:space="preserve"> og ezetimib/</w:t>
      </w:r>
      <w:r w:rsidRPr="002970D7">
        <w:rPr>
          <w:snapToGrid w:val="0"/>
          <w:sz w:val="24"/>
          <w:szCs w:val="24"/>
        </w:rPr>
        <w:t>atorvastatin</w:t>
      </w:r>
      <w:r w:rsidRPr="002970D7">
        <w:rPr>
          <w:sz w:val="24"/>
          <w:szCs w:val="24"/>
        </w:rPr>
        <w:t xml:space="preserve">) og for yderligere vejledning med hensyn til monitorering (se pkt. 4.5). </w:t>
      </w:r>
    </w:p>
    <w:p w:rsidR="00D71A03" w:rsidRDefault="00D71A03" w:rsidP="00D71A03">
      <w:pPr>
        <w:ind w:left="851"/>
        <w:rPr>
          <w:sz w:val="24"/>
          <w:szCs w:val="24"/>
        </w:rPr>
      </w:pPr>
    </w:p>
    <w:p w:rsidR="00D71A03" w:rsidRDefault="00D71A03" w:rsidP="00D71A03">
      <w:pPr>
        <w:keepNext/>
        <w:ind w:left="851"/>
        <w:rPr>
          <w:sz w:val="24"/>
          <w:szCs w:val="24"/>
          <w:u w:val="single"/>
        </w:rPr>
      </w:pPr>
      <w:r>
        <w:rPr>
          <w:sz w:val="24"/>
          <w:szCs w:val="24"/>
          <w:u w:val="single"/>
        </w:rPr>
        <w:t>Myasthenia gravis og okulær myasteni</w:t>
      </w:r>
    </w:p>
    <w:p w:rsidR="00D71A03" w:rsidRDefault="00D71A03" w:rsidP="00D71A03">
      <w:pPr>
        <w:keepNext/>
        <w:ind w:left="851"/>
        <w:rPr>
          <w:sz w:val="24"/>
          <w:szCs w:val="24"/>
        </w:rPr>
      </w:pPr>
      <w:r>
        <w:rPr>
          <w:sz w:val="24"/>
          <w:szCs w:val="24"/>
        </w:rPr>
        <w:t>Der er indberettet enkelte tilfælde, hvor statiner inducerer de novo eller forværrer allerede eksisterende myasthenia gravis eller okulær myasteni (se pkt. 4.8). Atozet bør seponeres i tilfælde af forværring af symptomer. Der er indberettet recidiver, når det samme eller et andet statin blev administreret (igen).</w:t>
      </w:r>
    </w:p>
    <w:p w:rsidR="00D71A03" w:rsidRPr="007A74B7" w:rsidRDefault="00D71A03" w:rsidP="00176E9B">
      <w:pPr>
        <w:ind w:left="851" w:hanging="851"/>
        <w:rPr>
          <w:sz w:val="24"/>
          <w:szCs w:val="24"/>
          <w:lang w:eastAsia="da-DK"/>
        </w:rPr>
      </w:pPr>
    </w:p>
    <w:p w:rsidR="00176E9B" w:rsidRPr="00B07995" w:rsidRDefault="00176E9B" w:rsidP="00176E9B">
      <w:pPr>
        <w:ind w:left="851"/>
        <w:rPr>
          <w:sz w:val="24"/>
          <w:szCs w:val="24"/>
          <w:u w:val="single"/>
          <w:lang w:eastAsia="da-DK"/>
        </w:rPr>
      </w:pPr>
      <w:r w:rsidRPr="00B07995">
        <w:rPr>
          <w:sz w:val="24"/>
          <w:szCs w:val="24"/>
          <w:u w:val="single"/>
          <w:lang w:eastAsia="da-DK"/>
        </w:rPr>
        <w:t>Leverenzymer</w:t>
      </w:r>
    </w:p>
    <w:p w:rsidR="00176E9B" w:rsidRPr="00B07995" w:rsidRDefault="00176E9B" w:rsidP="00176E9B">
      <w:pPr>
        <w:ind w:left="851"/>
        <w:rPr>
          <w:sz w:val="24"/>
          <w:szCs w:val="24"/>
          <w:lang w:eastAsia="da-DK"/>
        </w:rPr>
      </w:pPr>
      <w:r w:rsidRPr="00B07995">
        <w:rPr>
          <w:sz w:val="24"/>
          <w:szCs w:val="24"/>
          <w:lang w:eastAsia="da-DK"/>
        </w:rPr>
        <w:t xml:space="preserve">I kontrollerede studier med patienter, der fik </w:t>
      </w:r>
      <w:r>
        <w:rPr>
          <w:sz w:val="24"/>
          <w:szCs w:val="24"/>
          <w:lang w:eastAsia="da-DK"/>
        </w:rPr>
        <w:t>ezetimib</w:t>
      </w:r>
      <w:r w:rsidRPr="00B07995">
        <w:rPr>
          <w:sz w:val="24"/>
          <w:szCs w:val="24"/>
          <w:lang w:eastAsia="da-DK"/>
        </w:rPr>
        <w:t xml:space="preserve"> og atorvastatin samtidigt, er der set efterfølgende stigninger (≥3 x den øvre normalgrænse) i transaminaserne (se pkt. 4.8).</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sz w:val="24"/>
          <w:szCs w:val="24"/>
          <w:lang w:eastAsia="da-DK"/>
        </w:rPr>
        <w:t>Der bør foretages leverfunktionsprøver før initiering af behandling og derefter med jævne mellemrum. Der bør foretages leverfunktionsprøver hos patienter, som udvikler tegn eller symptomer, der kan tyde på leverskade. Patienter, som får forhøjede transaminaseniveauer, skal monitoreres, indtil værdierne atter er normaliseret. Hvis en forhøjelse af transaminaserne på mere end 3 x den øvre normalgrænse vedbliver, anbefales dosisreduktion eller seponering af Atozet.</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lang w:eastAsia="da-DK"/>
        </w:rPr>
      </w:pPr>
      <w:r w:rsidRPr="00B07995">
        <w:rPr>
          <w:sz w:val="24"/>
          <w:szCs w:val="24"/>
          <w:lang w:eastAsia="da-DK"/>
        </w:rPr>
        <w:lastRenderedPageBreak/>
        <w:t>Atozet skal anvendes med forsigtighed til patienter, der indtager store mængder alkohol og/eller tidligere har haft leversygdom.</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u w:val="single"/>
          <w:lang w:eastAsia="da-DK"/>
        </w:rPr>
      </w:pPr>
      <w:r w:rsidRPr="00B07995">
        <w:rPr>
          <w:sz w:val="24"/>
          <w:szCs w:val="24"/>
          <w:u w:val="single"/>
          <w:lang w:eastAsia="da-DK"/>
        </w:rPr>
        <w:t>Nedsat leverfunktion</w:t>
      </w:r>
    </w:p>
    <w:p w:rsidR="00176E9B" w:rsidRPr="00B07995" w:rsidRDefault="00176E9B" w:rsidP="00176E9B">
      <w:pPr>
        <w:ind w:left="851"/>
        <w:rPr>
          <w:sz w:val="24"/>
          <w:szCs w:val="24"/>
          <w:lang w:eastAsia="da-DK"/>
        </w:rPr>
      </w:pPr>
      <w:r w:rsidRPr="00B07995">
        <w:rPr>
          <w:sz w:val="24"/>
          <w:szCs w:val="24"/>
          <w:lang w:eastAsia="da-DK"/>
        </w:rPr>
        <w:t>Da virkningen af en øget ezetemibe eksponering hos patienter med moderat til svært nedsat leverfunktion er ukendt, frarådes brugen af Atozet hos disse (se pkt. 5.2).</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u w:val="single"/>
          <w:lang w:eastAsia="da-DK"/>
        </w:rPr>
      </w:pPr>
      <w:r w:rsidRPr="00B07995">
        <w:rPr>
          <w:sz w:val="24"/>
          <w:szCs w:val="24"/>
          <w:u w:val="single"/>
          <w:lang w:eastAsia="da-DK"/>
        </w:rPr>
        <w:t>Fibrater</w:t>
      </w:r>
    </w:p>
    <w:p w:rsidR="00176E9B" w:rsidRPr="00B07995" w:rsidRDefault="00176E9B" w:rsidP="00176E9B">
      <w:pPr>
        <w:ind w:left="851"/>
        <w:rPr>
          <w:spacing w:val="-3"/>
          <w:sz w:val="24"/>
          <w:szCs w:val="24"/>
          <w:lang w:eastAsia="da-DK"/>
        </w:rPr>
      </w:pPr>
      <w:r>
        <w:rPr>
          <w:spacing w:val="-3"/>
          <w:sz w:val="24"/>
          <w:szCs w:val="24"/>
          <w:lang w:eastAsia="da-DK"/>
        </w:rPr>
        <w:t>Ezetimib</w:t>
      </w:r>
      <w:r w:rsidRPr="00B07995">
        <w:rPr>
          <w:spacing w:val="-3"/>
          <w:sz w:val="24"/>
          <w:szCs w:val="24"/>
          <w:lang w:eastAsia="da-DK"/>
        </w:rPr>
        <w:t>s sikkerhed og virkning, når det administreres sammen med fibrater, er ikke fastlagt. Derfor frarådes samtidig administration af Atozet og fibrater (se pkt. 4.5).</w:t>
      </w:r>
    </w:p>
    <w:p w:rsidR="00176E9B" w:rsidRPr="00B07995" w:rsidRDefault="00176E9B" w:rsidP="00176E9B">
      <w:pPr>
        <w:ind w:left="851" w:hanging="851"/>
        <w:rPr>
          <w:spacing w:val="-3"/>
          <w:sz w:val="24"/>
          <w:szCs w:val="24"/>
          <w:lang w:eastAsia="da-DK"/>
        </w:rPr>
      </w:pPr>
    </w:p>
    <w:p w:rsidR="00176E9B" w:rsidRPr="00B07995" w:rsidRDefault="00176E9B" w:rsidP="00176E9B">
      <w:pPr>
        <w:ind w:left="851"/>
        <w:rPr>
          <w:spacing w:val="-3"/>
          <w:sz w:val="24"/>
          <w:szCs w:val="24"/>
          <w:u w:val="single"/>
          <w:lang w:eastAsia="da-DK"/>
        </w:rPr>
      </w:pPr>
      <w:r w:rsidRPr="00B07995">
        <w:rPr>
          <w:spacing w:val="-3"/>
          <w:sz w:val="24"/>
          <w:szCs w:val="24"/>
          <w:u w:val="single"/>
          <w:lang w:eastAsia="da-DK"/>
        </w:rPr>
        <w:t>Ciclosporin</w:t>
      </w:r>
    </w:p>
    <w:p w:rsidR="00176E9B" w:rsidRPr="00B07995" w:rsidRDefault="00176E9B" w:rsidP="00176E9B">
      <w:pPr>
        <w:ind w:left="851"/>
        <w:rPr>
          <w:sz w:val="24"/>
          <w:szCs w:val="24"/>
          <w:lang w:eastAsia="da-DK"/>
        </w:rPr>
      </w:pPr>
      <w:r w:rsidRPr="00B07995">
        <w:rPr>
          <w:sz w:val="24"/>
          <w:szCs w:val="24"/>
          <w:lang w:eastAsia="da-DK"/>
        </w:rPr>
        <w:t xml:space="preserve">Der bør udvises forsigtighed, når Atozet initieres under behandling med ciclosporin. Koncentrationen af ciclosporin skal monitoreres, når patienterne får Atozet og ciclosporin (se pkt. 4.5). </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u w:val="single"/>
          <w:lang w:eastAsia="da-DK"/>
        </w:rPr>
      </w:pPr>
      <w:r w:rsidRPr="00B07995">
        <w:rPr>
          <w:sz w:val="24"/>
          <w:szCs w:val="24"/>
          <w:u w:val="single"/>
          <w:lang w:eastAsia="da-DK"/>
        </w:rPr>
        <w:t>Antikoagulantia</w:t>
      </w:r>
    </w:p>
    <w:p w:rsidR="00176E9B" w:rsidRPr="00B07995" w:rsidRDefault="00176E9B" w:rsidP="00176E9B">
      <w:pPr>
        <w:ind w:left="851"/>
        <w:rPr>
          <w:sz w:val="24"/>
          <w:szCs w:val="24"/>
          <w:lang w:eastAsia="da-DK"/>
        </w:rPr>
      </w:pPr>
      <w:r w:rsidRPr="00B07995">
        <w:rPr>
          <w:sz w:val="24"/>
          <w:szCs w:val="24"/>
          <w:lang w:eastAsia="da-DK"/>
        </w:rPr>
        <w:t>Hvis Atozet føjes til warfarin, en anden coumarin antikoagulant, eller fluindion, bør International Normaliseret Ratio (INR) monitoreres hensigtsmæssigt (se pkt. 4.5).</w:t>
      </w:r>
    </w:p>
    <w:p w:rsidR="00176E9B" w:rsidRPr="00B07995" w:rsidRDefault="00176E9B" w:rsidP="00176E9B">
      <w:pPr>
        <w:ind w:left="851" w:hanging="851"/>
        <w:rPr>
          <w:sz w:val="24"/>
          <w:szCs w:val="24"/>
          <w:lang w:eastAsia="da-DK"/>
        </w:rPr>
      </w:pPr>
    </w:p>
    <w:p w:rsidR="00176E9B" w:rsidRPr="00B07995" w:rsidRDefault="00176E9B" w:rsidP="00176E9B">
      <w:pPr>
        <w:ind w:left="851"/>
        <w:rPr>
          <w:sz w:val="24"/>
          <w:szCs w:val="24"/>
          <w:u w:val="single"/>
        </w:rPr>
      </w:pPr>
      <w:r w:rsidRPr="00B07995">
        <w:rPr>
          <w:bCs/>
          <w:noProof/>
          <w:sz w:val="24"/>
          <w:szCs w:val="24"/>
          <w:u w:val="single"/>
        </w:rPr>
        <w:t>Forebyggelse af apopleksi ved aggressiv reduktion af kolesterolniveauerne</w:t>
      </w:r>
      <w:r w:rsidRPr="00B07995">
        <w:rPr>
          <w:sz w:val="24"/>
          <w:szCs w:val="24"/>
          <w:u w:val="single"/>
        </w:rPr>
        <w:t xml:space="preserve"> (Stroke Prevention by Aggressive Reduction in Cholesterol Levels (SPARCL))</w:t>
      </w:r>
    </w:p>
    <w:p w:rsidR="00176E9B" w:rsidRPr="00B07995" w:rsidRDefault="00176E9B" w:rsidP="00176E9B">
      <w:pPr>
        <w:ind w:left="851"/>
        <w:rPr>
          <w:sz w:val="24"/>
          <w:szCs w:val="24"/>
        </w:rPr>
      </w:pPr>
      <w:r w:rsidRPr="00B07995">
        <w:rPr>
          <w:noProof/>
          <w:sz w:val="24"/>
          <w:szCs w:val="24"/>
        </w:rPr>
        <w:t xml:space="preserve">En </w:t>
      </w:r>
      <w:r w:rsidRPr="00B07995">
        <w:rPr>
          <w:i/>
          <w:noProof/>
          <w:sz w:val="24"/>
          <w:szCs w:val="24"/>
        </w:rPr>
        <w:t>post hoc</w:t>
      </w:r>
      <w:r w:rsidRPr="00B07995">
        <w:rPr>
          <w:noProof/>
          <w:sz w:val="24"/>
          <w:szCs w:val="24"/>
        </w:rPr>
        <w:t>-analyse af apoplektiske subtyper hos patienter uden koronar hjertesygdom, som nyligt fik apopleksi eller</w:t>
      </w:r>
      <w:r w:rsidRPr="00B07995">
        <w:rPr>
          <w:sz w:val="24"/>
          <w:szCs w:val="24"/>
        </w:rPr>
        <w:t xml:space="preserve"> transitorisk cerebral iskæmi</w:t>
      </w:r>
      <w:r w:rsidRPr="00B07995">
        <w:rPr>
          <w:noProof/>
          <w:sz w:val="24"/>
          <w:szCs w:val="24"/>
        </w:rPr>
        <w:t>, viste en højere forekomst af hæmorhagisk apopleksi hos patienter, der fik 80 mg atorvastatin, sammenlignet med placebo. Den øgede risiko sås især hos patienter, der havde tidligere hæmoragisk apopleksi eller lakunær infarkt ved studiestart. Risk/benefit-forholdet ved atorvastatin 80 mg er uklart for patienter, der tidligere har haft hæmoragisk apopleksi eller lakunær infarkt. Den potentielle risiko for hæmoragisk apopleksi bør overvejes nøje, før behandlingen indledes (se pkt. 5.1)</w:t>
      </w:r>
      <w:r w:rsidRPr="00B07995">
        <w:rPr>
          <w:sz w:val="24"/>
          <w:szCs w:val="24"/>
        </w:rPr>
        <w:t>.</w:t>
      </w:r>
    </w:p>
    <w:p w:rsidR="00176E9B" w:rsidRDefault="00176E9B" w:rsidP="00176E9B">
      <w:pPr>
        <w:ind w:left="851"/>
        <w:rPr>
          <w:sz w:val="24"/>
          <w:szCs w:val="24"/>
          <w:u w:val="single"/>
        </w:rPr>
      </w:pPr>
    </w:p>
    <w:p w:rsidR="00176E9B" w:rsidRPr="00B07995" w:rsidRDefault="00176E9B" w:rsidP="00176E9B">
      <w:pPr>
        <w:ind w:left="851"/>
        <w:rPr>
          <w:b/>
          <w:sz w:val="24"/>
          <w:szCs w:val="24"/>
          <w:u w:val="single"/>
        </w:rPr>
      </w:pPr>
      <w:r w:rsidRPr="00B07995">
        <w:rPr>
          <w:sz w:val="24"/>
          <w:szCs w:val="24"/>
          <w:u w:val="single"/>
        </w:rPr>
        <w:t>Interstitiel lungesygdom</w:t>
      </w:r>
    </w:p>
    <w:p w:rsidR="00176E9B" w:rsidRPr="00B07995" w:rsidRDefault="00176E9B" w:rsidP="00176E9B">
      <w:pPr>
        <w:ind w:left="851"/>
        <w:rPr>
          <w:sz w:val="24"/>
          <w:szCs w:val="24"/>
        </w:rPr>
      </w:pPr>
      <w:r w:rsidRPr="00B07995">
        <w:rPr>
          <w:noProof/>
          <w:sz w:val="24"/>
          <w:szCs w:val="24"/>
        </w:rPr>
        <w:t>Sjældne tilfælde af interstitiel lungesygdom er blevet rapporteret ved brug af nogle statiner, særlig ved langtidsbrug (se pkt. 4.8). Debutsymptomer kan inkludere dyspnø, tør hoste og forværring af den generelle helbredsstatus (træthed, vægttab og feber). Hvis der er mistanke om, at en patient har udviklet interstitiel lungesygdom, skal statinbehandlingen seponeres</w:t>
      </w:r>
      <w:r w:rsidRPr="00B07995">
        <w:rPr>
          <w:sz w:val="24"/>
          <w:szCs w:val="24"/>
        </w:rPr>
        <w:t>.</w:t>
      </w:r>
    </w:p>
    <w:p w:rsidR="00176E9B" w:rsidRPr="00B07995" w:rsidRDefault="00176E9B" w:rsidP="00176E9B">
      <w:pPr>
        <w:ind w:left="851" w:hanging="851"/>
        <w:rPr>
          <w:iCs/>
          <w:sz w:val="24"/>
          <w:szCs w:val="24"/>
        </w:rPr>
      </w:pPr>
    </w:p>
    <w:p w:rsidR="00176E9B" w:rsidRPr="00B07995" w:rsidRDefault="00176E9B" w:rsidP="00176E9B">
      <w:pPr>
        <w:autoSpaceDE w:val="0"/>
        <w:autoSpaceDN w:val="0"/>
        <w:adjustRightInd w:val="0"/>
        <w:ind w:left="851"/>
        <w:rPr>
          <w:rFonts w:eastAsia="MS Mincho"/>
          <w:b/>
          <w:bCs/>
          <w:iCs/>
          <w:sz w:val="24"/>
          <w:szCs w:val="24"/>
          <w:u w:val="single"/>
          <w:lang w:eastAsia="ja-JP" w:bidi="gu-IN"/>
        </w:rPr>
      </w:pPr>
      <w:r w:rsidRPr="00B07995">
        <w:rPr>
          <w:rFonts w:eastAsia="MS Mincho"/>
          <w:bCs/>
          <w:iCs/>
          <w:sz w:val="24"/>
          <w:szCs w:val="24"/>
          <w:u w:val="single"/>
          <w:lang w:eastAsia="ja-JP" w:bidi="gu-IN"/>
        </w:rPr>
        <w:t>Diabetes mellitus</w:t>
      </w:r>
    </w:p>
    <w:p w:rsidR="00176E9B" w:rsidRPr="00B07995" w:rsidRDefault="00176E9B" w:rsidP="00176E9B">
      <w:pPr>
        <w:autoSpaceDE w:val="0"/>
        <w:autoSpaceDN w:val="0"/>
        <w:adjustRightInd w:val="0"/>
        <w:ind w:left="851"/>
        <w:rPr>
          <w:rFonts w:eastAsia="MS Mincho"/>
          <w:sz w:val="24"/>
          <w:szCs w:val="24"/>
          <w:lang w:eastAsia="ja-JP" w:bidi="gu-IN"/>
        </w:rPr>
      </w:pPr>
      <w:r w:rsidRPr="00B07995">
        <w:rPr>
          <w:sz w:val="24"/>
          <w:szCs w:val="24"/>
        </w:rPr>
        <w:t>Evidens tyder på, at statiner som klasse kan øge blodsukkeret og hos nogle patienter, som har høj risiko for at udvikle diabetes, kan medføre en grad af hyperglykæmi, hvor egentlig diabetesbehandling er relevant. Denne risiko opvejes dog af statiners reduktion af den vaskulære risiko, og bør derfor ikke være grund til seponering af statinbehandlingen. Patienter i risikogruppen (fasteglukose 5,6 til 6,9 mmol/l, BMI &gt;30 kg/m</w:t>
      </w:r>
      <w:r w:rsidRPr="00B07995">
        <w:rPr>
          <w:sz w:val="24"/>
          <w:szCs w:val="24"/>
          <w:vertAlign w:val="superscript"/>
        </w:rPr>
        <w:t>2</w:t>
      </w:r>
      <w:r w:rsidRPr="00B07995">
        <w:rPr>
          <w:sz w:val="24"/>
          <w:szCs w:val="24"/>
        </w:rPr>
        <w:t>, forhøjede triglycerider, hypertension) bør monitoreres både klinisk og biokemisk i henhold til nationale retningslinjer</w:t>
      </w:r>
      <w:r w:rsidRPr="00B07995">
        <w:rPr>
          <w:rFonts w:eastAsia="MS Mincho"/>
          <w:sz w:val="24"/>
          <w:szCs w:val="24"/>
          <w:lang w:eastAsia="ja-JP" w:bidi="gu-IN"/>
        </w:rPr>
        <w:t>.</w:t>
      </w:r>
    </w:p>
    <w:p w:rsidR="00176E9B" w:rsidRPr="00B07995" w:rsidRDefault="00176E9B" w:rsidP="00176E9B">
      <w:pPr>
        <w:autoSpaceDE w:val="0"/>
        <w:autoSpaceDN w:val="0"/>
        <w:adjustRightInd w:val="0"/>
        <w:ind w:left="851" w:hanging="851"/>
        <w:rPr>
          <w:iCs/>
          <w:sz w:val="24"/>
          <w:szCs w:val="24"/>
        </w:rPr>
      </w:pPr>
    </w:p>
    <w:p w:rsidR="00AA2AE5" w:rsidRPr="00AA2AE5" w:rsidRDefault="00AA2AE5" w:rsidP="00AA2AE5">
      <w:pPr>
        <w:keepNext/>
        <w:tabs>
          <w:tab w:val="left" w:pos="567"/>
        </w:tabs>
        <w:ind w:left="851"/>
        <w:rPr>
          <w:sz w:val="24"/>
          <w:szCs w:val="24"/>
          <w:u w:val="single"/>
        </w:rPr>
      </w:pPr>
      <w:r w:rsidRPr="00AA2AE5">
        <w:rPr>
          <w:bCs/>
          <w:sz w:val="24"/>
          <w:szCs w:val="24"/>
          <w:u w:val="single"/>
        </w:rPr>
        <w:t>Hjælpestoffer</w:t>
      </w:r>
    </w:p>
    <w:p w:rsidR="00AA2AE5" w:rsidRPr="00AA2AE5" w:rsidRDefault="00AA2AE5" w:rsidP="00AA2AE5">
      <w:pPr>
        <w:ind w:left="851"/>
        <w:rPr>
          <w:sz w:val="24"/>
          <w:szCs w:val="24"/>
          <w:lang w:eastAsia="da-DK"/>
        </w:rPr>
      </w:pPr>
      <w:r w:rsidRPr="00AA2AE5">
        <w:rPr>
          <w:sz w:val="24"/>
          <w:szCs w:val="24"/>
          <w:lang w:eastAsia="da-DK"/>
        </w:rPr>
        <w:t>Atozet</w:t>
      </w:r>
      <w:r w:rsidRPr="00AA2AE5">
        <w:rPr>
          <w:sz w:val="24"/>
          <w:szCs w:val="24"/>
        </w:rPr>
        <w:t xml:space="preserve"> indeholder lactose. Atozet </w:t>
      </w:r>
      <w:r w:rsidRPr="00AA2AE5">
        <w:rPr>
          <w:sz w:val="24"/>
          <w:szCs w:val="24"/>
          <w:lang w:eastAsia="da-DK"/>
        </w:rPr>
        <w:t xml:space="preserve">bør ikke anvendes til patienter med hereditær galactoseintolerans, </w:t>
      </w:r>
      <w:r w:rsidRPr="00AA2AE5">
        <w:rPr>
          <w:noProof/>
          <w:sz w:val="24"/>
          <w:szCs w:val="24"/>
        </w:rPr>
        <w:t xml:space="preserve">total lactasemangel </w:t>
      </w:r>
      <w:r w:rsidRPr="00AA2AE5">
        <w:rPr>
          <w:sz w:val="24"/>
          <w:szCs w:val="24"/>
          <w:lang w:eastAsia="da-DK"/>
        </w:rPr>
        <w:t>eller glucose/galactosemalabsorption</w:t>
      </w:r>
      <w:r w:rsidRPr="00AA2AE5">
        <w:rPr>
          <w:sz w:val="24"/>
          <w:szCs w:val="24"/>
        </w:rPr>
        <w:t>.</w:t>
      </w:r>
    </w:p>
    <w:p w:rsidR="00AA2AE5" w:rsidRPr="00BB657C" w:rsidRDefault="00AA2AE5" w:rsidP="00AA2AE5">
      <w:pPr>
        <w:ind w:left="851"/>
        <w:rPr>
          <w:sz w:val="24"/>
          <w:szCs w:val="24"/>
        </w:rPr>
      </w:pPr>
    </w:p>
    <w:p w:rsidR="00AA2AE5" w:rsidRPr="00BB657C" w:rsidRDefault="00AA2AE5" w:rsidP="00AA2AE5">
      <w:pPr>
        <w:ind w:left="851"/>
        <w:rPr>
          <w:sz w:val="24"/>
          <w:szCs w:val="24"/>
        </w:rPr>
      </w:pPr>
      <w:r w:rsidRPr="00BB657C">
        <w:rPr>
          <w:sz w:val="24"/>
          <w:szCs w:val="24"/>
        </w:rPr>
        <w:lastRenderedPageBreak/>
        <w:t xml:space="preserve">Atozet </w:t>
      </w:r>
      <w:r w:rsidRPr="00AA2AE5">
        <w:rPr>
          <w:noProof/>
          <w:sz w:val="24"/>
          <w:szCs w:val="24"/>
        </w:rPr>
        <w:t>indeholder mindre end 1 mmol (23 mg) natrium pr. tablet og anses i det væsentlige for at være natriumfrit.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4.5</w:t>
      </w:r>
      <w:r w:rsidRPr="00B07995">
        <w:rPr>
          <w:b/>
          <w:sz w:val="24"/>
          <w:szCs w:val="24"/>
        </w:rPr>
        <w:tab/>
        <w:t>Interaktion med andre lægemidler og andre former for interaktion</w:t>
      </w:r>
    </w:p>
    <w:p w:rsidR="00176E9B" w:rsidRDefault="00176E9B" w:rsidP="00176E9B">
      <w:pPr>
        <w:ind w:left="851"/>
        <w:rPr>
          <w:bCs/>
          <w:sz w:val="22"/>
          <w:szCs w:val="22"/>
        </w:rPr>
      </w:pPr>
      <w:r>
        <w:rPr>
          <w:bCs/>
          <w:szCs w:val="22"/>
        </w:rPr>
        <w:t>Flere mekanismer kan bidrage til potentielle interaktioner med HMG Co-A-reduktasehæmmere. Lægemidler eller naturlægemidler, som hæmmer visse enzymer (f.eks. CYP3A4) og/eller transportproteiner (f.eks. OATP1B), kan øge plasmakoncentrationen af atorvastatin og føre til øget risiko for myopati/</w:t>
      </w:r>
      <w:r>
        <w:rPr>
          <w:szCs w:val="22"/>
          <w:lang w:eastAsia="da-DK"/>
        </w:rPr>
        <w:t>rhabdomyolyse</w:t>
      </w:r>
      <w:r>
        <w:rPr>
          <w:bCs/>
          <w:szCs w:val="22"/>
        </w:rPr>
        <w:t>.</w:t>
      </w:r>
    </w:p>
    <w:p w:rsidR="00176E9B" w:rsidRDefault="00176E9B" w:rsidP="00176E9B">
      <w:pPr>
        <w:ind w:left="851"/>
        <w:rPr>
          <w:b/>
          <w:bCs/>
          <w:szCs w:val="22"/>
        </w:rPr>
      </w:pPr>
    </w:p>
    <w:p w:rsidR="00176E9B" w:rsidRDefault="00176E9B" w:rsidP="00176E9B">
      <w:pPr>
        <w:ind w:left="851"/>
        <w:rPr>
          <w:b/>
          <w:bCs/>
          <w:szCs w:val="22"/>
        </w:rPr>
      </w:pPr>
      <w:r>
        <w:rPr>
          <w:b/>
          <w:bCs/>
          <w:szCs w:val="22"/>
        </w:rPr>
        <w:t>Se produktresuméet for alle samtidigt administrerede lægemidler for at få yderligere oplysninger om deres potentielle interaktioner med atorvastatin og/eller potentialet for forandringer i enzymer eller transportproteiner og eventuelle justeringer af dosis og regimer.</w:t>
      </w:r>
    </w:p>
    <w:p w:rsidR="00176E9B" w:rsidRPr="00B87876" w:rsidRDefault="00176E9B" w:rsidP="00176E9B">
      <w:pPr>
        <w:ind w:left="851"/>
        <w:rPr>
          <w:b/>
          <w:bCs/>
          <w:sz w:val="24"/>
          <w:szCs w:val="24"/>
        </w:rPr>
      </w:pPr>
    </w:p>
    <w:p w:rsidR="00176E9B" w:rsidRPr="00B87876" w:rsidRDefault="00176E9B" w:rsidP="00176E9B">
      <w:pPr>
        <w:keepNext/>
        <w:tabs>
          <w:tab w:val="left" w:pos="567"/>
        </w:tabs>
        <w:ind w:left="851"/>
        <w:rPr>
          <w:sz w:val="24"/>
          <w:szCs w:val="24"/>
          <w:u w:val="single"/>
        </w:rPr>
      </w:pPr>
      <w:r w:rsidRPr="00B87876">
        <w:rPr>
          <w:sz w:val="24"/>
          <w:szCs w:val="24"/>
          <w:u w:val="single"/>
        </w:rPr>
        <w:t>Farmakodynamiske interaktioner</w:t>
      </w:r>
    </w:p>
    <w:p w:rsidR="00176E9B" w:rsidRPr="00B87876" w:rsidRDefault="00176E9B" w:rsidP="00176E9B">
      <w:pPr>
        <w:keepNext/>
        <w:ind w:left="851"/>
        <w:rPr>
          <w:sz w:val="24"/>
          <w:szCs w:val="24"/>
        </w:rPr>
      </w:pPr>
      <w:r w:rsidRPr="00B87876">
        <w:rPr>
          <w:sz w:val="24"/>
          <w:szCs w:val="24"/>
        </w:rPr>
        <w:t xml:space="preserve">Atorvastatin metaboliseres via CYP3A4-isoenzymet og er et substrat for de hepatiske transportører, </w:t>
      </w:r>
      <w:r w:rsidRPr="00B87876">
        <w:rPr>
          <w:noProof/>
          <w:sz w:val="24"/>
          <w:szCs w:val="24"/>
        </w:rPr>
        <w:t xml:space="preserve">organisk anion-transport-polypeptid </w:t>
      </w:r>
      <w:r w:rsidRPr="00B87876">
        <w:rPr>
          <w:sz w:val="24"/>
          <w:szCs w:val="24"/>
        </w:rPr>
        <w:t xml:space="preserve">1B1 (OATP1B1) og 1B3 (OATP1B3). Metabolitter af atorvastatin er substrater for OATP1B1. Atorvastatin er også identificeret som et substrat for multi-drug-resistent protein 1 (MDR1) og </w:t>
      </w:r>
      <w:r w:rsidRPr="00B87876">
        <w:rPr>
          <w:noProof/>
          <w:sz w:val="24"/>
          <w:szCs w:val="24"/>
        </w:rPr>
        <w:t>brystcancer-resistent protein (BCRP)</w:t>
      </w:r>
      <w:r w:rsidRPr="00B87876">
        <w:rPr>
          <w:sz w:val="24"/>
          <w:szCs w:val="24"/>
        </w:rPr>
        <w:t xml:space="preserve">, hvilket kan begrænse den intestinale absorption og biliære </w:t>
      </w:r>
      <w:r w:rsidRPr="00B87876">
        <w:rPr>
          <w:i/>
          <w:sz w:val="24"/>
          <w:szCs w:val="24"/>
        </w:rPr>
        <w:t>clearance</w:t>
      </w:r>
      <w:r w:rsidRPr="00B87876">
        <w:rPr>
          <w:sz w:val="24"/>
          <w:szCs w:val="24"/>
        </w:rPr>
        <w:t xml:space="preserve"> af atorvastatin (se pkt. 5.2).</w:t>
      </w:r>
    </w:p>
    <w:p w:rsidR="00176E9B" w:rsidRPr="00B87876" w:rsidRDefault="00176E9B" w:rsidP="00176E9B">
      <w:pPr>
        <w:ind w:left="851"/>
        <w:rPr>
          <w:sz w:val="24"/>
          <w:szCs w:val="24"/>
        </w:rPr>
      </w:pPr>
      <w:r w:rsidRPr="00B87876">
        <w:rPr>
          <w:sz w:val="24"/>
          <w:szCs w:val="24"/>
        </w:rPr>
        <w:t xml:space="preserve">Samtidig administration af lægemidler, der hæmmer CYP3A4 eller transportproteiner, kan medføre forhøjede plasmakoncentrationer af atorvastatin og øget risiko for myopati. </w:t>
      </w:r>
      <w:r w:rsidRPr="00B87876">
        <w:rPr>
          <w:spacing w:val="-3"/>
          <w:sz w:val="24"/>
          <w:szCs w:val="24"/>
        </w:rPr>
        <w:t xml:space="preserve">Denne risiko kan også være øget ved samtidig behandling med </w:t>
      </w:r>
      <w:r w:rsidRPr="00B87876">
        <w:rPr>
          <w:sz w:val="24"/>
          <w:szCs w:val="24"/>
          <w:lang w:eastAsia="da-DK"/>
        </w:rPr>
        <w:t>Atozet</w:t>
      </w:r>
      <w:r w:rsidRPr="00B87876">
        <w:rPr>
          <w:spacing w:val="-3"/>
          <w:sz w:val="24"/>
          <w:szCs w:val="24"/>
        </w:rPr>
        <w:t xml:space="preserve"> og andre lægemidler, der kan forårsage myopati, f.eks. fibrater og ezetimib (se pkt. 4.4)</w:t>
      </w:r>
      <w:r w:rsidRPr="00B87876">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Farmakokinetiske interaktioner</w:t>
      </w:r>
    </w:p>
    <w:p w:rsidR="00176E9B" w:rsidRPr="00B07995" w:rsidRDefault="00176E9B" w:rsidP="00176E9B">
      <w:pPr>
        <w:ind w:left="851" w:hanging="851"/>
        <w:rPr>
          <w:sz w:val="24"/>
          <w:szCs w:val="24"/>
        </w:rPr>
      </w:pPr>
    </w:p>
    <w:p w:rsidR="00176E9B" w:rsidRPr="00B07995" w:rsidRDefault="00176E9B" w:rsidP="00176E9B">
      <w:pPr>
        <w:ind w:left="851"/>
        <w:rPr>
          <w:i/>
          <w:sz w:val="24"/>
          <w:szCs w:val="24"/>
        </w:rPr>
      </w:pPr>
      <w:r w:rsidRPr="00B07995">
        <w:rPr>
          <w:i/>
          <w:sz w:val="24"/>
          <w:szCs w:val="24"/>
        </w:rPr>
        <w:t>Atozet</w:t>
      </w:r>
    </w:p>
    <w:p w:rsidR="00176E9B" w:rsidRPr="00B07995" w:rsidRDefault="00176E9B" w:rsidP="00176E9B">
      <w:pPr>
        <w:ind w:left="851"/>
        <w:rPr>
          <w:sz w:val="24"/>
          <w:szCs w:val="24"/>
        </w:rPr>
      </w:pPr>
      <w:r w:rsidRPr="00B07995">
        <w:rPr>
          <w:sz w:val="24"/>
          <w:szCs w:val="24"/>
        </w:rPr>
        <w:t xml:space="preserve">Der er ikke observeret klinisk signifikant farmakokinetisk interaktion, når </w:t>
      </w:r>
      <w:r>
        <w:rPr>
          <w:sz w:val="24"/>
          <w:szCs w:val="24"/>
        </w:rPr>
        <w:t>ezetimib</w:t>
      </w:r>
      <w:r w:rsidRPr="00B07995">
        <w:rPr>
          <w:sz w:val="24"/>
          <w:szCs w:val="24"/>
        </w:rPr>
        <w:t xml:space="preserve"> blev administreret samtidig med atorvastatin.</w:t>
      </w:r>
    </w:p>
    <w:p w:rsidR="00176E9B" w:rsidRPr="00B07995" w:rsidRDefault="00176E9B" w:rsidP="00176E9B">
      <w:pPr>
        <w:ind w:left="851" w:hanging="851"/>
        <w:rPr>
          <w:sz w:val="24"/>
          <w:szCs w:val="24"/>
        </w:rPr>
      </w:pPr>
    </w:p>
    <w:p w:rsidR="00176E9B" w:rsidRPr="00B07995" w:rsidRDefault="00176E9B" w:rsidP="00176E9B">
      <w:pPr>
        <w:ind w:left="851"/>
        <w:rPr>
          <w:i/>
          <w:sz w:val="24"/>
          <w:szCs w:val="24"/>
        </w:rPr>
      </w:pPr>
      <w:r w:rsidRPr="00B07995">
        <w:rPr>
          <w:i/>
          <w:sz w:val="24"/>
          <w:szCs w:val="24"/>
        </w:rPr>
        <w:t>Andre lægemidlers virkning på Atozet</w:t>
      </w:r>
    </w:p>
    <w:p w:rsidR="00176E9B" w:rsidRDefault="00176E9B" w:rsidP="00176E9B">
      <w:pPr>
        <w:ind w:left="851"/>
        <w:rPr>
          <w:i/>
          <w:sz w:val="24"/>
          <w:szCs w:val="24"/>
        </w:rPr>
      </w:pP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hanging="851"/>
        <w:rPr>
          <w:i/>
          <w:sz w:val="24"/>
          <w:szCs w:val="24"/>
          <w:u w:val="single"/>
        </w:rPr>
      </w:pPr>
    </w:p>
    <w:p w:rsidR="00176E9B" w:rsidRPr="00B07995" w:rsidRDefault="00176E9B" w:rsidP="00176E9B">
      <w:pPr>
        <w:ind w:left="851"/>
        <w:rPr>
          <w:sz w:val="24"/>
          <w:szCs w:val="24"/>
        </w:rPr>
      </w:pPr>
      <w:r w:rsidRPr="00B07995">
        <w:rPr>
          <w:i/>
          <w:sz w:val="24"/>
          <w:szCs w:val="24"/>
        </w:rPr>
        <w:t>Antacida:</w:t>
      </w:r>
      <w:r w:rsidRPr="00B07995">
        <w:rPr>
          <w:sz w:val="24"/>
          <w:szCs w:val="24"/>
        </w:rPr>
        <w:t xml:space="preserve"> </w:t>
      </w:r>
      <w:r w:rsidRPr="00B07995">
        <w:rPr>
          <w:sz w:val="24"/>
          <w:szCs w:val="24"/>
          <w:lang w:eastAsia="da-DK"/>
        </w:rPr>
        <w:t xml:space="preserve">Samtidig administration af antacida nedsatte absorptionshastigheden af </w:t>
      </w:r>
      <w:r>
        <w:rPr>
          <w:sz w:val="24"/>
          <w:szCs w:val="24"/>
          <w:lang w:eastAsia="da-DK"/>
        </w:rPr>
        <w:t>ezetimib</w:t>
      </w:r>
      <w:r w:rsidRPr="00B07995">
        <w:rPr>
          <w:sz w:val="24"/>
          <w:szCs w:val="24"/>
          <w:lang w:eastAsia="da-DK"/>
        </w:rPr>
        <w:t xml:space="preserve">, men påvirkede ikke biotilgængeligheden af </w:t>
      </w:r>
      <w:r>
        <w:rPr>
          <w:sz w:val="24"/>
          <w:szCs w:val="24"/>
          <w:lang w:eastAsia="da-DK"/>
        </w:rPr>
        <w:t>ezetimib</w:t>
      </w:r>
      <w:r w:rsidRPr="00B07995">
        <w:rPr>
          <w:sz w:val="24"/>
          <w:szCs w:val="24"/>
          <w:lang w:eastAsia="da-DK"/>
        </w:rPr>
        <w:t>. Denne nedsatte absorptionshastighed vurderes ikke at være klinisk signifikant</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Colestyramin:</w:t>
      </w:r>
      <w:r w:rsidRPr="00B07995">
        <w:rPr>
          <w:sz w:val="24"/>
          <w:szCs w:val="24"/>
        </w:rPr>
        <w:t xml:space="preserve"> </w:t>
      </w:r>
      <w:r w:rsidRPr="00B07995">
        <w:rPr>
          <w:sz w:val="24"/>
          <w:szCs w:val="24"/>
          <w:lang w:eastAsia="da-DK"/>
        </w:rPr>
        <w:t>Samtidig behandling med colestyramin nedsatte det gennemsnitlige areal under kurven (AUC) af total-</w:t>
      </w:r>
      <w:r>
        <w:rPr>
          <w:sz w:val="24"/>
          <w:szCs w:val="24"/>
          <w:lang w:eastAsia="da-DK"/>
        </w:rPr>
        <w:t>ezetimib</w:t>
      </w:r>
      <w:r w:rsidRPr="00B07995">
        <w:rPr>
          <w:sz w:val="24"/>
          <w:szCs w:val="24"/>
          <w:lang w:eastAsia="da-DK"/>
        </w:rPr>
        <w:t xml:space="preserve"> (</w:t>
      </w:r>
      <w:r>
        <w:rPr>
          <w:sz w:val="24"/>
          <w:szCs w:val="24"/>
          <w:lang w:eastAsia="da-DK"/>
        </w:rPr>
        <w:t>ezetimib</w:t>
      </w:r>
      <w:r w:rsidRPr="00B07995">
        <w:rPr>
          <w:sz w:val="24"/>
          <w:szCs w:val="24"/>
          <w:lang w:eastAsia="da-DK"/>
        </w:rPr>
        <w:t xml:space="preserve"> + </w:t>
      </w:r>
      <w:r>
        <w:rPr>
          <w:sz w:val="24"/>
          <w:szCs w:val="24"/>
          <w:lang w:eastAsia="da-DK"/>
        </w:rPr>
        <w:t>ezetimib</w:t>
      </w:r>
      <w:r w:rsidRPr="00B07995">
        <w:rPr>
          <w:sz w:val="24"/>
          <w:szCs w:val="24"/>
          <w:lang w:eastAsia="da-DK"/>
        </w:rPr>
        <w:t>glucuronid) med ca. 55%. Den trinvise reduktion i lavdensitetslipoprotein kolesterol (LDL-C) opnået ved tillæg af Atozet til colestyramin kan mindskes ved denne interaktion (se pkt. 4.2)</w:t>
      </w:r>
      <w:r w:rsidRPr="00B07995">
        <w:rPr>
          <w:sz w:val="24"/>
          <w:szCs w:val="24"/>
        </w:rPr>
        <w:t>.</w:t>
      </w:r>
    </w:p>
    <w:p w:rsidR="00176E9B" w:rsidRPr="00B07995" w:rsidRDefault="00176E9B" w:rsidP="00176E9B">
      <w:pPr>
        <w:ind w:left="851" w:hanging="851"/>
        <w:rPr>
          <w:iCs/>
          <w:sz w:val="24"/>
          <w:szCs w:val="24"/>
        </w:rPr>
      </w:pPr>
    </w:p>
    <w:p w:rsidR="00176E9B" w:rsidRPr="00B07995" w:rsidRDefault="00176E9B" w:rsidP="00176E9B">
      <w:pPr>
        <w:ind w:left="851"/>
        <w:rPr>
          <w:snapToGrid w:val="0"/>
          <w:color w:val="000000"/>
          <w:sz w:val="24"/>
          <w:szCs w:val="24"/>
        </w:rPr>
      </w:pPr>
      <w:r w:rsidRPr="00B07995">
        <w:rPr>
          <w:i/>
          <w:sz w:val="24"/>
          <w:szCs w:val="24"/>
        </w:rPr>
        <w:t>Ciclosporin:</w:t>
      </w:r>
      <w:r w:rsidRPr="00B07995">
        <w:rPr>
          <w:bCs/>
          <w:iCs/>
          <w:sz w:val="24"/>
          <w:szCs w:val="24"/>
        </w:rPr>
        <w:t xml:space="preserve"> I et studie </w:t>
      </w:r>
      <w:r w:rsidRPr="00B07995">
        <w:rPr>
          <w:sz w:val="24"/>
          <w:szCs w:val="24"/>
          <w:lang w:eastAsia="da-DK"/>
        </w:rPr>
        <w:t xml:space="preserve">med otte nyretransplanterede patienter, med en kreatininclearance på &gt;50 ml/min ved en stabil ciclosporindosis, medførte en enkelt 10 mg dosis </w:t>
      </w:r>
      <w:r>
        <w:rPr>
          <w:sz w:val="24"/>
          <w:szCs w:val="24"/>
          <w:lang w:eastAsia="da-DK"/>
        </w:rPr>
        <w:t>ezetimib</w:t>
      </w:r>
      <w:r w:rsidRPr="00B07995">
        <w:rPr>
          <w:sz w:val="24"/>
          <w:szCs w:val="24"/>
          <w:lang w:eastAsia="da-DK"/>
        </w:rPr>
        <w:t xml:space="preserve"> en stigning på 3,4 gange (spredning: 2,3 til 7,9 gange) i det gennemsnitlige AUC for total-</w:t>
      </w:r>
      <w:r>
        <w:rPr>
          <w:sz w:val="24"/>
          <w:szCs w:val="24"/>
          <w:lang w:eastAsia="da-DK"/>
        </w:rPr>
        <w:t>ezetimib</w:t>
      </w:r>
      <w:r w:rsidRPr="00B07995">
        <w:rPr>
          <w:sz w:val="24"/>
          <w:szCs w:val="24"/>
          <w:lang w:eastAsia="da-DK"/>
        </w:rPr>
        <w:t xml:space="preserve"> sammenlignet med en rask kontrolgruppe i et andet studie (n=17), der kun fik </w:t>
      </w:r>
      <w:r>
        <w:rPr>
          <w:sz w:val="24"/>
          <w:szCs w:val="24"/>
          <w:lang w:eastAsia="da-DK"/>
        </w:rPr>
        <w:t>ezetimib</w:t>
      </w:r>
      <w:r w:rsidRPr="00B07995">
        <w:rPr>
          <w:sz w:val="24"/>
          <w:szCs w:val="24"/>
          <w:lang w:eastAsia="da-DK"/>
        </w:rPr>
        <w:t>. I et andet studie viste en nyretransplanteret patient, der havde alvorlig nyreinsufficiens, og som fik ciclosporin samt flere andre lægemidler, en 12 gange højere eksponering over for total-</w:t>
      </w:r>
      <w:r>
        <w:rPr>
          <w:sz w:val="24"/>
          <w:szCs w:val="24"/>
          <w:lang w:eastAsia="da-DK"/>
        </w:rPr>
        <w:t>ezetimib</w:t>
      </w:r>
      <w:r w:rsidRPr="00B07995">
        <w:rPr>
          <w:sz w:val="24"/>
          <w:szCs w:val="24"/>
          <w:lang w:eastAsia="da-DK"/>
        </w:rPr>
        <w:t xml:space="preserve"> sammenlignet med tilsvarende kontroller, der kun fik </w:t>
      </w:r>
      <w:r>
        <w:rPr>
          <w:sz w:val="24"/>
          <w:szCs w:val="24"/>
          <w:lang w:eastAsia="da-DK"/>
        </w:rPr>
        <w:lastRenderedPageBreak/>
        <w:t>ezetimib</w:t>
      </w:r>
      <w:r w:rsidRPr="00B07995">
        <w:rPr>
          <w:sz w:val="24"/>
          <w:szCs w:val="24"/>
          <w:lang w:eastAsia="da-DK"/>
        </w:rPr>
        <w:t xml:space="preserve">. I et cross-over studie over to perioder med tolv raske frivillige resulterede daglig administration af 20 mg </w:t>
      </w:r>
      <w:r>
        <w:rPr>
          <w:sz w:val="24"/>
          <w:szCs w:val="24"/>
          <w:lang w:eastAsia="da-DK"/>
        </w:rPr>
        <w:t>ezetimib</w:t>
      </w:r>
      <w:r w:rsidRPr="00B07995">
        <w:rPr>
          <w:sz w:val="24"/>
          <w:szCs w:val="24"/>
          <w:lang w:eastAsia="da-DK"/>
        </w:rPr>
        <w:t xml:space="preserve"> i 8 dage sammen med en enkel 100 mg dosis ciclosporin på dag 7 i en gennemsnitlig stigning på 15% i ciclosporin AUC (spredning: 10% reduktion til 51% stigning) sammenlignet med en enkelt 100 mg dosis ciclosporin alene. Et kontrolleret studie af effekten af samtidigt administreret </w:t>
      </w:r>
      <w:r>
        <w:rPr>
          <w:sz w:val="24"/>
          <w:szCs w:val="24"/>
          <w:lang w:eastAsia="da-DK"/>
        </w:rPr>
        <w:t>ezetimib</w:t>
      </w:r>
      <w:r w:rsidRPr="00B07995">
        <w:rPr>
          <w:sz w:val="24"/>
          <w:szCs w:val="24"/>
          <w:lang w:eastAsia="da-DK"/>
        </w:rPr>
        <w:t xml:space="preserve"> på ciclosporin</w:t>
      </w:r>
      <w:r>
        <w:rPr>
          <w:sz w:val="24"/>
          <w:szCs w:val="24"/>
          <w:lang w:eastAsia="da-DK"/>
        </w:rPr>
        <w:softHyphen/>
      </w:r>
      <w:r w:rsidRPr="00B07995">
        <w:rPr>
          <w:sz w:val="24"/>
          <w:szCs w:val="24"/>
          <w:lang w:eastAsia="da-DK"/>
        </w:rPr>
        <w:t>eksponering hos nyretransplanterede patienter er ikke udført</w:t>
      </w:r>
      <w:r w:rsidRPr="00B07995">
        <w:rPr>
          <w:bCs/>
          <w:iCs/>
          <w:sz w:val="24"/>
          <w:szCs w:val="24"/>
        </w:rPr>
        <w:t xml:space="preserve">. </w:t>
      </w:r>
      <w:r w:rsidRPr="00B07995">
        <w:rPr>
          <w:sz w:val="24"/>
          <w:szCs w:val="24"/>
          <w:lang w:eastAsia="da-DK"/>
        </w:rPr>
        <w:t>Der bør udvises forsigtighed, når Atozet initieres under behandling med ciclosporin. Koncentrationen af ciclosporin skal monitoreres, når patienterne får Atozet og ciclosporin (se pkt.</w:t>
      </w:r>
      <w:r w:rsidRPr="00B07995">
        <w:rPr>
          <w:snapToGrid w:val="0"/>
          <w:color w:val="000000"/>
          <w:sz w:val="24"/>
          <w:szCs w:val="24"/>
        </w:rPr>
        <w:t xml:space="preserve"> 4.4).</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 xml:space="preserve">Fibrater: </w:t>
      </w:r>
      <w:r w:rsidRPr="00B07995">
        <w:rPr>
          <w:sz w:val="24"/>
          <w:szCs w:val="24"/>
          <w:lang w:eastAsia="da-DK"/>
        </w:rPr>
        <w:t>Samtidig behandling med fenofibrat eller gemfibrozil øgede koncentrationen af total-</w:t>
      </w:r>
      <w:r>
        <w:rPr>
          <w:sz w:val="24"/>
          <w:szCs w:val="24"/>
          <w:lang w:eastAsia="da-DK"/>
        </w:rPr>
        <w:t>ezetimib</w:t>
      </w:r>
      <w:r w:rsidRPr="00B07995">
        <w:rPr>
          <w:sz w:val="24"/>
          <w:szCs w:val="24"/>
          <w:lang w:eastAsia="da-DK"/>
        </w:rPr>
        <w:t xml:space="preserve"> henholdsvis ca. 1,5 og 1,7 gange. Selvom disse stigninger ikke vurderes at være klinisk signifikante, frarådes samtidig administration af Atozet og fibrater (se pkt. 4.4</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61426B" w:rsidRDefault="00176E9B" w:rsidP="00176E9B">
      <w:pPr>
        <w:ind w:left="851"/>
        <w:rPr>
          <w:sz w:val="24"/>
          <w:szCs w:val="24"/>
        </w:rPr>
      </w:pPr>
    </w:p>
    <w:p w:rsidR="00176E9B" w:rsidRPr="0061426B" w:rsidRDefault="00176E9B" w:rsidP="00176E9B">
      <w:pPr>
        <w:ind w:left="851"/>
        <w:rPr>
          <w:sz w:val="24"/>
          <w:szCs w:val="24"/>
        </w:rPr>
      </w:pPr>
      <w:r w:rsidRPr="0061426B">
        <w:rPr>
          <w:i/>
          <w:sz w:val="24"/>
          <w:szCs w:val="24"/>
        </w:rPr>
        <w:t>CYP3A4-hæmmere:</w:t>
      </w:r>
      <w:r w:rsidRPr="0061426B">
        <w:rPr>
          <w:sz w:val="24"/>
          <w:szCs w:val="24"/>
        </w:rPr>
        <w:t xml:space="preserve"> Det er påvist, at p</w:t>
      </w:r>
      <w:r w:rsidRPr="0061426B">
        <w:rPr>
          <w:spacing w:val="-3"/>
          <w:sz w:val="24"/>
          <w:szCs w:val="24"/>
        </w:rPr>
        <w:t>otente CYP3A4-hæmmere kan medføre kraftigt forøgede koncentrationer af atorvastatin (se tabel 1 samt specifik information nedenfor). Samtidig administration af potente CYP3A4-hæmmere (f.eks. ciclosporin, telithromycin, clarithromycin, delavirdin, stiripentol, ketoconazol, voriconazol, itraconazol, posaconazol</w:t>
      </w:r>
      <w:r w:rsidRPr="0061426B">
        <w:rPr>
          <w:sz w:val="24"/>
          <w:szCs w:val="24"/>
        </w:rPr>
        <w:t>, visse antivirale midler, der anvendes til behandling af HCV (f.eks. elbasvir/grazoprevir)</w:t>
      </w:r>
      <w:r w:rsidRPr="0061426B">
        <w:rPr>
          <w:spacing w:val="-3"/>
          <w:sz w:val="24"/>
          <w:szCs w:val="24"/>
        </w:rPr>
        <w:t xml:space="preserve"> samt hiv-proteasehæmmere, herunder ritonavir, lopinavir, atazanavir, indinavir og darunavir osv.) bør så vidt muligt undgås. I tilfælde, hvor samtidig administration af disse lægemidler og Atozet ikke kan undgås, skal lavere start- og maksimaldoser af Atozet overvejes, og passende klinisk monitorering af patienten tilrådes (se tabel 1)</w:t>
      </w:r>
      <w:r w:rsidRPr="0061426B">
        <w:rPr>
          <w:sz w:val="24"/>
          <w:szCs w:val="24"/>
        </w:rPr>
        <w:t>.</w:t>
      </w:r>
    </w:p>
    <w:p w:rsidR="00176E9B" w:rsidRPr="00B07995" w:rsidRDefault="00176E9B" w:rsidP="00176E9B">
      <w:pPr>
        <w:ind w:left="851" w:hanging="851"/>
        <w:rPr>
          <w:sz w:val="24"/>
          <w:szCs w:val="24"/>
        </w:rPr>
      </w:pPr>
    </w:p>
    <w:p w:rsidR="00176E9B" w:rsidRDefault="00176E9B" w:rsidP="00176E9B">
      <w:pPr>
        <w:ind w:left="851"/>
        <w:rPr>
          <w:sz w:val="24"/>
          <w:szCs w:val="24"/>
        </w:rPr>
      </w:pPr>
      <w:r w:rsidRPr="00B07995">
        <w:rPr>
          <w:spacing w:val="-3"/>
          <w:sz w:val="24"/>
          <w:szCs w:val="24"/>
        </w:rPr>
        <w:t>Moderate CYP3A4-hæmmere (f.eks. erythromycin, diltiazem, verapamil og fluconazol) kan øge plasmakoncentrationen af atorvastatin (se tabel 1). Der er set en øget risiko for myopati ved samtidig brug af erythromycin og statiner. Der er ikke udført interaktionsstudier, der vurderer virkningen af amiodaron eller verapamil på atorvastatin. Det er kendt, at både amiodaron og verapamil hæmmer aktiviteten af CYP3A4, og samtidig administration af Atozet kan resultere i forhøjet eksponering for atorvastatin. Ved samtidig behandling med moderate CYP3A4-hæmmere bør en lavere maksimaldosis af Atozet derfor overvejes, og passende klinisk monitorering af patienten anbefales. Passende klinisk monitorering tilrådes efter initiering af behandling eller efter dosisjustering af CYP3A4-hæmmeren</w:t>
      </w:r>
      <w:r w:rsidRPr="00B07995">
        <w:rPr>
          <w:sz w:val="24"/>
          <w:szCs w:val="24"/>
        </w:rPr>
        <w:t>.</w:t>
      </w:r>
    </w:p>
    <w:p w:rsidR="00176E9B" w:rsidRDefault="00176E9B" w:rsidP="00176E9B">
      <w:pPr>
        <w:ind w:left="851"/>
        <w:rPr>
          <w:sz w:val="24"/>
          <w:szCs w:val="24"/>
        </w:rPr>
      </w:pPr>
    </w:p>
    <w:p w:rsidR="00176E9B" w:rsidRPr="006B63C2" w:rsidRDefault="00176E9B" w:rsidP="00176E9B">
      <w:pPr>
        <w:ind w:left="851"/>
        <w:rPr>
          <w:sz w:val="24"/>
          <w:szCs w:val="22"/>
        </w:rPr>
      </w:pPr>
      <w:r w:rsidRPr="006B63C2">
        <w:rPr>
          <w:i/>
          <w:snapToGrid w:val="0"/>
          <w:color w:val="000000"/>
          <w:sz w:val="24"/>
          <w:szCs w:val="22"/>
        </w:rPr>
        <w:t xml:space="preserve">Hæmmere af brystcancer-resistent protein (BCRP): </w:t>
      </w:r>
      <w:r w:rsidRPr="006B63C2">
        <w:rPr>
          <w:snapToGrid w:val="0"/>
          <w:color w:val="000000"/>
          <w:sz w:val="24"/>
          <w:szCs w:val="22"/>
        </w:rPr>
        <w:t xml:space="preserve">Samtidig administration af lægemidler, som hæmmer BCRP (f.eks. elbasvir og grazoprevir), kan medføre øget plasmakoncentration af atorvastatin og en øget risiko for myopati. Derfor skal dosisjustering af atorvastatin overvejes afhængigt af den ordinerede dosis. Administration af elbasvir og grazoprevir sammen med atorvastatin øger plasmakoncentrationen af </w:t>
      </w:r>
      <w:r w:rsidRPr="006B63C2">
        <w:rPr>
          <w:sz w:val="24"/>
          <w:szCs w:val="22"/>
        </w:rPr>
        <w:t>atorvastatin</w:t>
      </w:r>
      <w:r w:rsidRPr="006B63C2">
        <w:rPr>
          <w:snapToGrid w:val="0"/>
          <w:color w:val="000000"/>
          <w:sz w:val="24"/>
          <w:szCs w:val="22"/>
        </w:rPr>
        <w:t xml:space="preserve"> med 1,9 gange (se tabel 1). Derfor må dosis af Atozet ikke overstige 10/20</w:t>
      </w:r>
      <w:r w:rsidRPr="006B63C2">
        <w:rPr>
          <w:sz w:val="24"/>
          <w:szCs w:val="22"/>
        </w:rPr>
        <w:t> </w:t>
      </w:r>
      <w:r w:rsidRPr="006B63C2">
        <w:rPr>
          <w:snapToGrid w:val="0"/>
          <w:color w:val="000000"/>
          <w:sz w:val="24"/>
          <w:szCs w:val="22"/>
        </w:rPr>
        <w:t>mg dagligt hos patienter, som er i samtidig behandling med lægemidler, der indeholder elbasvir eller grazoprevir (se pkt. </w:t>
      </w:r>
      <w:r w:rsidRPr="006B63C2">
        <w:rPr>
          <w:sz w:val="24"/>
          <w:szCs w:val="22"/>
        </w:rPr>
        <w:t>4.2 og 4.4</w:t>
      </w:r>
      <w:r w:rsidRPr="006B63C2">
        <w:rPr>
          <w:snapToGrid w:val="0"/>
          <w:color w:val="000000"/>
          <w:sz w:val="24"/>
          <w:szCs w:val="22"/>
        </w:rPr>
        <w:t>).</w:t>
      </w:r>
    </w:p>
    <w:p w:rsidR="00176E9B" w:rsidRPr="00B07995" w:rsidRDefault="00176E9B" w:rsidP="00176E9B">
      <w:pPr>
        <w:ind w:left="851" w:hanging="851"/>
        <w:rPr>
          <w:sz w:val="24"/>
          <w:szCs w:val="24"/>
        </w:rPr>
      </w:pPr>
    </w:p>
    <w:p w:rsidR="00176E9B" w:rsidRPr="00B07995" w:rsidRDefault="00176E9B" w:rsidP="00176E9B">
      <w:pPr>
        <w:autoSpaceDE w:val="0"/>
        <w:autoSpaceDN w:val="0"/>
        <w:adjustRightInd w:val="0"/>
        <w:ind w:left="851"/>
        <w:rPr>
          <w:sz w:val="24"/>
          <w:szCs w:val="24"/>
        </w:rPr>
      </w:pPr>
      <w:r w:rsidRPr="00B07995">
        <w:rPr>
          <w:i/>
          <w:sz w:val="24"/>
          <w:szCs w:val="24"/>
        </w:rPr>
        <w:t xml:space="preserve">CYP3A4-induktorer: </w:t>
      </w:r>
      <w:r w:rsidRPr="00B07995">
        <w:rPr>
          <w:sz w:val="24"/>
          <w:szCs w:val="24"/>
        </w:rPr>
        <w:t xml:space="preserve">Samtidig anvendelse af atorvastatin og CYP3A4-induktorer (f.eks. efavirenz, rifampicin, perikon) kan medføre variable reduktioner i atorvastatins plasmakoncentration. På grund af rifampicins dualinteraktionsmekanisme (CYP3A4-induktion og hæmning af transportproteinet OATP1B1 i leveren) tilrådes samtidig administration af Atozet og rifampicin, da udskudt administration af atorvastatin i forhold til administration af rifampicin har været forbundet med en signifikant reduktion i </w:t>
      </w:r>
      <w:r w:rsidRPr="00B07995">
        <w:rPr>
          <w:sz w:val="24"/>
          <w:szCs w:val="24"/>
        </w:rPr>
        <w:lastRenderedPageBreak/>
        <w:t>atorvastatins plasmakoncentration. Virkningen af rifampicin på atorvastatin</w:t>
      </w:r>
      <w:r>
        <w:rPr>
          <w:sz w:val="24"/>
          <w:szCs w:val="24"/>
        </w:rPr>
        <w:softHyphen/>
      </w:r>
      <w:r w:rsidRPr="00B07995">
        <w:rPr>
          <w:sz w:val="24"/>
          <w:szCs w:val="24"/>
        </w:rPr>
        <w:t>koncentrationen i hepatocytter er derimod ukendt, og hvis samtidig administration ikke kan undgås, skal patienterne monitoreres nøje for virkning.</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autoSpaceDE w:val="0"/>
        <w:autoSpaceDN w:val="0"/>
        <w:adjustRightInd w:val="0"/>
        <w:ind w:left="851"/>
        <w:rPr>
          <w:sz w:val="24"/>
          <w:szCs w:val="24"/>
        </w:rPr>
      </w:pPr>
      <w:r>
        <w:rPr>
          <w:i/>
          <w:szCs w:val="22"/>
        </w:rPr>
        <w:t>Transportørhæmmere</w:t>
      </w:r>
      <w:r w:rsidRPr="00B07995">
        <w:rPr>
          <w:i/>
          <w:sz w:val="24"/>
          <w:szCs w:val="24"/>
        </w:rPr>
        <w:t>:</w:t>
      </w:r>
      <w:r w:rsidRPr="00B07995">
        <w:rPr>
          <w:sz w:val="24"/>
          <w:szCs w:val="24"/>
        </w:rPr>
        <w:t xml:space="preserve"> </w:t>
      </w:r>
      <w:r w:rsidRPr="00B07995">
        <w:rPr>
          <w:spacing w:val="-3"/>
          <w:sz w:val="24"/>
          <w:szCs w:val="24"/>
        </w:rPr>
        <w:t>Hæmmere af transportproteiner (f.eks. ciclosporin) kan øge den systemiske eksponering over for atorvastatin (se tabel 1). Det er ukendt, hvordan hæmning af transportproteiner i leveren påvirker atorvastatinkoncentrationen i hepatocytter. Hvis samtidig administration ikke kan undgås, tilrådes dosisreduktion af Atozet og klinisk monitorering for virkning (se tabel 1)</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autoSpaceDE w:val="0"/>
        <w:autoSpaceDN w:val="0"/>
        <w:adjustRightInd w:val="0"/>
        <w:ind w:left="851"/>
        <w:rPr>
          <w:noProof/>
          <w:sz w:val="24"/>
          <w:szCs w:val="24"/>
        </w:rPr>
      </w:pPr>
      <w:r w:rsidRPr="00B07995">
        <w:rPr>
          <w:i/>
          <w:sz w:val="24"/>
          <w:szCs w:val="24"/>
        </w:rPr>
        <w:t>Gemfibrozil/fibrinsyrederivater</w:t>
      </w:r>
      <w:r w:rsidRPr="00B07995">
        <w:rPr>
          <w:i/>
          <w:noProof/>
          <w:sz w:val="24"/>
          <w:szCs w:val="24"/>
        </w:rPr>
        <w:t>:</w:t>
      </w:r>
      <w:r w:rsidRPr="00B07995">
        <w:rPr>
          <w:noProof/>
          <w:sz w:val="24"/>
          <w:szCs w:val="24"/>
        </w:rPr>
        <w:t xml:space="preserve"> </w:t>
      </w:r>
      <w:r w:rsidRPr="00B07995">
        <w:rPr>
          <w:spacing w:val="-3"/>
          <w:sz w:val="24"/>
          <w:szCs w:val="24"/>
        </w:rPr>
        <w:t>Monoterapi med fibrater kan i nogle tilfælde være forbundet med muskelrelaterede bivirkninger, herunder rhabdomyolyse. Risikoen for disse bivirkninger kan øges ved samtidig brug af fibrinsyrederivater og atorvastatin</w:t>
      </w:r>
      <w:r w:rsidRPr="00B07995">
        <w:rPr>
          <w:noProof/>
          <w:sz w:val="24"/>
          <w:szCs w:val="24"/>
        </w:rPr>
        <w:t xml:space="preserve">. </w:t>
      </w:r>
    </w:p>
    <w:p w:rsidR="00176E9B" w:rsidRPr="00B07995" w:rsidRDefault="00176E9B" w:rsidP="00176E9B">
      <w:pPr>
        <w:autoSpaceDE w:val="0"/>
        <w:autoSpaceDN w:val="0"/>
        <w:adjustRightInd w:val="0"/>
        <w:ind w:left="851" w:hanging="851"/>
        <w:rPr>
          <w:sz w:val="24"/>
          <w:szCs w:val="24"/>
          <w:lang w:bidi="bn-IN"/>
        </w:rPr>
      </w:pPr>
    </w:p>
    <w:p w:rsidR="00176E9B" w:rsidRPr="00B07995" w:rsidRDefault="00176E9B" w:rsidP="00176E9B">
      <w:pPr>
        <w:autoSpaceDE w:val="0"/>
        <w:autoSpaceDN w:val="0"/>
        <w:adjustRightInd w:val="0"/>
        <w:ind w:left="851"/>
        <w:rPr>
          <w:sz w:val="24"/>
          <w:szCs w:val="24"/>
          <w:lang w:bidi="bn-IN"/>
        </w:rPr>
      </w:pPr>
      <w:r>
        <w:rPr>
          <w:i/>
          <w:sz w:val="24"/>
          <w:szCs w:val="24"/>
          <w:lang w:bidi="bn-IN"/>
        </w:rPr>
        <w:t>Ezetimib</w:t>
      </w:r>
      <w:r w:rsidRPr="00B07995">
        <w:rPr>
          <w:i/>
          <w:sz w:val="24"/>
          <w:szCs w:val="24"/>
          <w:lang w:bidi="bn-IN"/>
        </w:rPr>
        <w:t xml:space="preserve">: </w:t>
      </w:r>
      <w:r w:rsidRPr="00B07995">
        <w:rPr>
          <w:sz w:val="24"/>
          <w:szCs w:val="24"/>
          <w:lang w:bidi="bn-IN"/>
        </w:rPr>
        <w:t xml:space="preserve">Monoterapi med </w:t>
      </w:r>
      <w:r>
        <w:rPr>
          <w:sz w:val="24"/>
          <w:szCs w:val="24"/>
          <w:lang w:bidi="bn-IN"/>
        </w:rPr>
        <w:t>ezetimib</w:t>
      </w:r>
      <w:r w:rsidRPr="00B07995">
        <w:rPr>
          <w:sz w:val="24"/>
          <w:szCs w:val="24"/>
          <w:lang w:bidi="bn-IN"/>
        </w:rPr>
        <w:t xml:space="preserve"> er forbundet med muskelrelaterede bivirkninger, herunder rhabdomyolyse. Risikoen for disse bivirkninger kan derfor øges ved samtidig brug af </w:t>
      </w:r>
      <w:r>
        <w:rPr>
          <w:sz w:val="24"/>
          <w:szCs w:val="24"/>
          <w:lang w:bidi="bn-IN"/>
        </w:rPr>
        <w:t>ezetimib</w:t>
      </w:r>
      <w:r w:rsidRPr="00B07995">
        <w:rPr>
          <w:sz w:val="24"/>
          <w:szCs w:val="24"/>
          <w:lang w:bidi="bn-IN"/>
        </w:rPr>
        <w:t xml:space="preserve"> og atorvastatin. Hensigtsmæssig klinisk monitorering af disse patienter tilrådes.</w:t>
      </w:r>
    </w:p>
    <w:p w:rsidR="00176E9B" w:rsidRPr="00B07995" w:rsidRDefault="00176E9B" w:rsidP="00176E9B">
      <w:pPr>
        <w:autoSpaceDE w:val="0"/>
        <w:autoSpaceDN w:val="0"/>
        <w:adjustRightInd w:val="0"/>
        <w:ind w:left="851" w:hanging="851"/>
        <w:rPr>
          <w:sz w:val="24"/>
          <w:szCs w:val="24"/>
          <w:lang w:bidi="bn-IN"/>
        </w:rPr>
      </w:pPr>
    </w:p>
    <w:p w:rsidR="00176E9B" w:rsidRPr="00B07995" w:rsidRDefault="00176E9B" w:rsidP="00176E9B">
      <w:pPr>
        <w:autoSpaceDE w:val="0"/>
        <w:autoSpaceDN w:val="0"/>
        <w:adjustRightInd w:val="0"/>
        <w:ind w:left="851"/>
        <w:rPr>
          <w:sz w:val="24"/>
          <w:szCs w:val="24"/>
        </w:rPr>
      </w:pPr>
      <w:r w:rsidRPr="00B07995">
        <w:rPr>
          <w:i/>
          <w:iCs/>
          <w:sz w:val="24"/>
          <w:szCs w:val="24"/>
        </w:rPr>
        <w:t>Colestipol:</w:t>
      </w:r>
      <w:r w:rsidRPr="00B07995">
        <w:rPr>
          <w:iCs/>
          <w:sz w:val="24"/>
          <w:szCs w:val="24"/>
        </w:rPr>
        <w:t xml:space="preserve"> </w:t>
      </w:r>
      <w:r w:rsidRPr="00B07995">
        <w:rPr>
          <w:spacing w:val="-3"/>
          <w:sz w:val="24"/>
          <w:szCs w:val="24"/>
        </w:rPr>
        <w:t>Plasmakoncentrationerne af atorvastatin og dets aktive metabolitter var lavere (ca. 25%), når colestipol blev administreret sammen med atorvastatin. Effekten på lipiderne var imidlertid større, når atorvastatin og colestipol blev administreret samtidig, end hvis stofferne blev givet hver for sig</w:t>
      </w:r>
      <w:r w:rsidRPr="00B07995">
        <w:rPr>
          <w:sz w:val="24"/>
          <w:szCs w:val="24"/>
        </w:rPr>
        <w:t>.</w:t>
      </w:r>
    </w:p>
    <w:p w:rsidR="00176E9B" w:rsidRPr="00B07995" w:rsidRDefault="00176E9B" w:rsidP="00176E9B">
      <w:pPr>
        <w:autoSpaceDE w:val="0"/>
        <w:autoSpaceDN w:val="0"/>
        <w:adjustRightInd w:val="0"/>
        <w:ind w:left="851" w:hanging="851"/>
        <w:rPr>
          <w:sz w:val="24"/>
          <w:szCs w:val="24"/>
        </w:rPr>
      </w:pPr>
    </w:p>
    <w:p w:rsidR="00176E9B" w:rsidRPr="008B036E" w:rsidRDefault="00176E9B" w:rsidP="00176E9B">
      <w:pPr>
        <w:autoSpaceDE w:val="0"/>
        <w:autoSpaceDN w:val="0"/>
        <w:adjustRightInd w:val="0"/>
        <w:ind w:left="851"/>
        <w:rPr>
          <w:sz w:val="24"/>
          <w:szCs w:val="24"/>
        </w:rPr>
      </w:pPr>
      <w:r w:rsidRPr="007A74B7">
        <w:rPr>
          <w:i/>
          <w:sz w:val="24"/>
          <w:szCs w:val="24"/>
        </w:rPr>
        <w:t>Fusidinsyre:</w:t>
      </w:r>
      <w:r w:rsidRPr="007A74B7">
        <w:rPr>
          <w:sz w:val="24"/>
          <w:szCs w:val="24"/>
        </w:rPr>
        <w:t xml:space="preserve"> Risikoen for myopati, herunder rhabdomyolyse, kan være højere ved samtidig administration af systemisk fusidinsyre og statiner</w:t>
      </w:r>
      <w:r w:rsidRPr="008B036E">
        <w:rPr>
          <w:sz w:val="24"/>
          <w:szCs w:val="24"/>
        </w:rPr>
        <w:t>. Mekanismen bag denne interaktion (hvorvidt den er farmakodynamisk eller farmakokinetisk eller begge dele) er endnu ukendt. Der er rapporteret om r</w:t>
      </w:r>
      <w:r w:rsidRPr="007A74B7">
        <w:rPr>
          <w:sz w:val="24"/>
          <w:szCs w:val="24"/>
        </w:rPr>
        <w:t>h</w:t>
      </w:r>
      <w:r w:rsidRPr="008B036E">
        <w:rPr>
          <w:sz w:val="24"/>
          <w:szCs w:val="24"/>
        </w:rPr>
        <w:t>abdomyolyse (inklusive dødelige tilfælde) hos patienter, der fik kombinationen.</w:t>
      </w:r>
    </w:p>
    <w:p w:rsidR="00176E9B" w:rsidRPr="008B036E" w:rsidRDefault="00176E9B" w:rsidP="00176E9B">
      <w:pPr>
        <w:autoSpaceDE w:val="0"/>
        <w:autoSpaceDN w:val="0"/>
        <w:adjustRightInd w:val="0"/>
        <w:ind w:left="851"/>
        <w:rPr>
          <w:sz w:val="24"/>
          <w:szCs w:val="24"/>
        </w:rPr>
      </w:pPr>
    </w:p>
    <w:p w:rsidR="00176E9B" w:rsidRPr="007A74B7" w:rsidRDefault="00176E9B" w:rsidP="00176E9B">
      <w:pPr>
        <w:autoSpaceDE w:val="0"/>
        <w:autoSpaceDN w:val="0"/>
        <w:adjustRightInd w:val="0"/>
        <w:ind w:left="851"/>
        <w:rPr>
          <w:sz w:val="24"/>
          <w:szCs w:val="24"/>
        </w:rPr>
      </w:pPr>
      <w:r w:rsidRPr="007A74B7">
        <w:rPr>
          <w:sz w:val="24"/>
          <w:szCs w:val="24"/>
        </w:rPr>
        <w:t xml:space="preserve">Hvis behandling med fusidinsyre er nødvendig, skal </w:t>
      </w:r>
      <w:r w:rsidRPr="007A74B7">
        <w:rPr>
          <w:sz w:val="24"/>
          <w:szCs w:val="24"/>
          <w:lang w:bidi="bn-IN"/>
        </w:rPr>
        <w:t>atorvastatin</w:t>
      </w:r>
      <w:r w:rsidRPr="007A74B7">
        <w:rPr>
          <w:sz w:val="24"/>
          <w:szCs w:val="24"/>
        </w:rPr>
        <w:t xml:space="preserve">behandlingen seponeres under hele behandlingsforløbet med fusidinsyre. </w:t>
      </w:r>
      <w:r w:rsidRPr="008B036E">
        <w:rPr>
          <w:b/>
          <w:sz w:val="24"/>
          <w:szCs w:val="24"/>
        </w:rPr>
        <w:t>Se også pkt.</w:t>
      </w:r>
      <w:r w:rsidRPr="007A74B7">
        <w:rPr>
          <w:b/>
          <w:sz w:val="24"/>
          <w:szCs w:val="24"/>
        </w:rPr>
        <w:t> </w:t>
      </w:r>
      <w:r w:rsidRPr="008B036E">
        <w:rPr>
          <w:b/>
          <w:sz w:val="24"/>
          <w:szCs w:val="24"/>
        </w:rPr>
        <w:t>4.4</w:t>
      </w:r>
      <w:r w:rsidRPr="007A74B7">
        <w:rPr>
          <w:sz w:val="24"/>
          <w:szCs w:val="24"/>
        </w:rPr>
        <w:t>.</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autoSpaceDE w:val="0"/>
        <w:autoSpaceDN w:val="0"/>
        <w:adjustRightInd w:val="0"/>
        <w:ind w:left="851"/>
        <w:rPr>
          <w:sz w:val="24"/>
          <w:szCs w:val="24"/>
        </w:rPr>
      </w:pPr>
      <w:r w:rsidRPr="00B07995">
        <w:rPr>
          <w:i/>
          <w:sz w:val="24"/>
          <w:szCs w:val="24"/>
        </w:rPr>
        <w:t xml:space="preserve">Colchicin: </w:t>
      </w:r>
      <w:r w:rsidRPr="00B07995">
        <w:rPr>
          <w:sz w:val="24"/>
          <w:szCs w:val="24"/>
        </w:rPr>
        <w:t>Selvom der ikke er udført interaktionsstudier med atorvastatin og colchicin, er der rapporteret tilfælde af myopati, når atorvastatin blev administreret samtidig med colchicin. Der bør derfor udvises forsigtighed, når atorvastatin ordineres sammen med colchicin.</w:t>
      </w:r>
    </w:p>
    <w:p w:rsidR="00176E9B" w:rsidRPr="002970D7" w:rsidRDefault="00176E9B" w:rsidP="00176E9B">
      <w:pPr>
        <w:autoSpaceDE w:val="0"/>
        <w:autoSpaceDN w:val="0"/>
        <w:adjustRightInd w:val="0"/>
        <w:ind w:left="851"/>
        <w:rPr>
          <w:sz w:val="24"/>
          <w:szCs w:val="24"/>
        </w:rPr>
      </w:pPr>
    </w:p>
    <w:p w:rsidR="00176E9B" w:rsidRPr="002970D7" w:rsidRDefault="00176E9B" w:rsidP="00176E9B">
      <w:pPr>
        <w:autoSpaceDE w:val="0"/>
        <w:autoSpaceDN w:val="0"/>
        <w:adjustRightInd w:val="0"/>
        <w:ind w:left="851"/>
        <w:rPr>
          <w:sz w:val="24"/>
          <w:szCs w:val="24"/>
        </w:rPr>
      </w:pPr>
      <w:r w:rsidRPr="002970D7">
        <w:rPr>
          <w:i/>
          <w:sz w:val="24"/>
          <w:szCs w:val="24"/>
        </w:rPr>
        <w:t>Daptomycin:</w:t>
      </w:r>
      <w:r w:rsidRPr="002970D7">
        <w:rPr>
          <w:sz w:val="24"/>
          <w:szCs w:val="24"/>
        </w:rPr>
        <w:t xml:space="preserve"> Risikoen for myopati og/eller rhabdomyolyse kan øges ved samtidig administration af HMG-CoA-reduktasehæmmere og daptomycin. </w:t>
      </w:r>
      <w:r w:rsidRPr="002970D7">
        <w:rPr>
          <w:sz w:val="24"/>
          <w:szCs w:val="24"/>
          <w:lang w:eastAsia="da-DK"/>
        </w:rPr>
        <w:t>Det bør overvejes at afbryde behandlingen med Atozet midlertidigt hos patienter, der tager daptomycin, medmindre fordelen ved samtidig administration opvejer risikoen</w:t>
      </w:r>
      <w:r w:rsidRPr="002970D7">
        <w:rPr>
          <w:sz w:val="24"/>
          <w:szCs w:val="24"/>
        </w:rPr>
        <w:t xml:space="preserve"> (se pkt. 4.4).</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autoSpaceDE w:val="0"/>
        <w:autoSpaceDN w:val="0"/>
        <w:adjustRightInd w:val="0"/>
        <w:ind w:left="851"/>
        <w:rPr>
          <w:sz w:val="24"/>
          <w:szCs w:val="24"/>
        </w:rPr>
      </w:pPr>
      <w:r w:rsidRPr="00B07995">
        <w:rPr>
          <w:i/>
          <w:sz w:val="24"/>
          <w:szCs w:val="24"/>
        </w:rPr>
        <w:t xml:space="preserve">Boceprevir: </w:t>
      </w:r>
      <w:r w:rsidRPr="00B07995">
        <w:rPr>
          <w:spacing w:val="-3"/>
          <w:sz w:val="24"/>
          <w:szCs w:val="24"/>
        </w:rPr>
        <w:t xml:space="preserve">Atorvastatineksponeringen steg, når det blev administreret sammen med </w:t>
      </w:r>
      <w:r w:rsidRPr="00B07995">
        <w:rPr>
          <w:sz w:val="24"/>
          <w:szCs w:val="24"/>
        </w:rPr>
        <w:t>boceprevir. Når samtidig administration med Atozet er nødvendig, skal det overvejes at starte med den lavest mulige dosis af Atozet med efterfølgende optitrering til den ønskede kliniske effekt, mens der monitoreres af hensyn til sikkerhed, uden at overstige den daglige dosis på 10/20 mg. For patienter, der på nuværende tidspunkt tager Atozet, bør dosis af Atozet ikke overstige en daglig dosis på 10/20 mg under den samtidige behandling med boceprevir.</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ind w:left="851"/>
        <w:rPr>
          <w:i/>
          <w:sz w:val="24"/>
          <w:szCs w:val="24"/>
        </w:rPr>
      </w:pPr>
      <w:r w:rsidRPr="00B07995">
        <w:rPr>
          <w:i/>
          <w:sz w:val="24"/>
          <w:szCs w:val="24"/>
        </w:rPr>
        <w:lastRenderedPageBreak/>
        <w:t>Atozets virkning på andre lægemidlers farmakokinetik</w:t>
      </w:r>
    </w:p>
    <w:p w:rsidR="00176E9B" w:rsidRPr="00B07995" w:rsidRDefault="00176E9B" w:rsidP="00176E9B">
      <w:pPr>
        <w:ind w:left="851" w:hanging="851"/>
        <w:rPr>
          <w:sz w:val="24"/>
          <w:szCs w:val="24"/>
        </w:rPr>
      </w:pP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I prækliniske studier er det påvist, at </w:t>
      </w:r>
      <w:r>
        <w:rPr>
          <w:sz w:val="24"/>
          <w:szCs w:val="24"/>
        </w:rPr>
        <w:t>ezetimib</w:t>
      </w:r>
      <w:r w:rsidRPr="00B07995">
        <w:rPr>
          <w:sz w:val="24"/>
          <w:szCs w:val="24"/>
        </w:rPr>
        <w:t xml:space="preserve"> ikke inducerer lægemiddelmetaboliserende CYP-isoenzymer. Der er ikke observeret klinisk signifikante farmakokinetiske interaktioner mellem </w:t>
      </w:r>
      <w:r>
        <w:rPr>
          <w:sz w:val="24"/>
          <w:szCs w:val="24"/>
        </w:rPr>
        <w:t>ezetimib</w:t>
      </w:r>
      <w:r w:rsidRPr="00B07995">
        <w:rPr>
          <w:sz w:val="24"/>
          <w:szCs w:val="24"/>
        </w:rPr>
        <w:t xml:space="preserve"> og lægemidler, der vides at blive metaboliseret af CYP-isoenzymerne CYP1A2, CYP2D6, CYP2C8, CYP2C9 og CYP3A4, og heller ikke N-acetyltransferase.</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bCs/>
          <w:i/>
          <w:iCs/>
          <w:snapToGrid w:val="0"/>
          <w:sz w:val="24"/>
          <w:szCs w:val="24"/>
        </w:rPr>
        <w:t>Antikoagulantia:</w:t>
      </w:r>
      <w:r w:rsidRPr="00B07995">
        <w:rPr>
          <w:snapToGrid w:val="0"/>
          <w:sz w:val="24"/>
          <w:szCs w:val="24"/>
        </w:rPr>
        <w:t xml:space="preserve"> </w:t>
      </w:r>
      <w:r w:rsidRPr="00B07995">
        <w:rPr>
          <w:sz w:val="24"/>
          <w:szCs w:val="24"/>
          <w:lang w:eastAsia="da-DK"/>
        </w:rPr>
        <w:t xml:space="preserve">Samtidig administration af </w:t>
      </w:r>
      <w:r>
        <w:rPr>
          <w:sz w:val="24"/>
          <w:szCs w:val="24"/>
          <w:lang w:eastAsia="da-DK"/>
        </w:rPr>
        <w:t>ezetimib</w:t>
      </w:r>
      <w:r w:rsidRPr="00B07995">
        <w:rPr>
          <w:sz w:val="24"/>
          <w:szCs w:val="24"/>
          <w:lang w:eastAsia="da-DK"/>
        </w:rPr>
        <w:t xml:space="preserve"> (10 mg en gang </w:t>
      </w:r>
      <w:r>
        <w:rPr>
          <w:sz w:val="24"/>
          <w:szCs w:val="24"/>
          <w:lang w:eastAsia="da-DK"/>
        </w:rPr>
        <w:t>daglig</w:t>
      </w:r>
      <w:r w:rsidRPr="00B07995">
        <w:rPr>
          <w:sz w:val="24"/>
          <w:szCs w:val="24"/>
          <w:lang w:eastAsia="da-DK"/>
        </w:rPr>
        <w:t xml:space="preserve">) havde ingen signifikant effekt på biotilgængeligheden af warfarin og protrombintiden i et studie med tolv raske voksne mænd. Efter markedsføring er der imidlertid rapporteret om øget INR hos patienter, hvor warfarin eller fluindion blev føjet til </w:t>
      </w:r>
      <w:r>
        <w:rPr>
          <w:sz w:val="24"/>
          <w:szCs w:val="24"/>
          <w:lang w:eastAsia="da-DK"/>
        </w:rPr>
        <w:t>ezetimib</w:t>
      </w:r>
      <w:r w:rsidRPr="00B07995">
        <w:rPr>
          <w:sz w:val="24"/>
          <w:szCs w:val="24"/>
          <w:lang w:eastAsia="da-DK"/>
        </w:rPr>
        <w:t>. Hvis Atozet føjes til warfarin, en anden coumarin antikoagulant, eller fluindion skal INR monitoreres hensigtsmæssigt (se pkt. 4.4)</w:t>
      </w:r>
      <w:r w:rsidRPr="00B07995">
        <w:rPr>
          <w:snapToGrid w:val="0"/>
          <w:sz w:val="24"/>
          <w:szCs w:val="24"/>
        </w:rPr>
        <w:t>.</w:t>
      </w:r>
    </w:p>
    <w:p w:rsidR="00176E9B" w:rsidRPr="00B07995" w:rsidRDefault="00176E9B" w:rsidP="00176E9B">
      <w:pPr>
        <w:ind w:left="851" w:hanging="851"/>
        <w:rPr>
          <w:iCs/>
          <w:sz w:val="24"/>
          <w:szCs w:val="24"/>
        </w:rPr>
      </w:pPr>
    </w:p>
    <w:p w:rsidR="00176E9B" w:rsidRPr="00B07995" w:rsidRDefault="00176E9B" w:rsidP="00176E9B">
      <w:pPr>
        <w:ind w:left="851"/>
        <w:rPr>
          <w:i/>
          <w:sz w:val="24"/>
          <w:szCs w:val="24"/>
        </w:rPr>
      </w:pPr>
      <w:r w:rsidRPr="00B07995">
        <w:rPr>
          <w:i/>
          <w:sz w:val="24"/>
          <w:szCs w:val="24"/>
        </w:rPr>
        <w:t>Atorvastatin</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 xml:space="preserve">Digoxin: </w:t>
      </w:r>
      <w:r w:rsidRPr="00B07995">
        <w:rPr>
          <w:spacing w:val="-3"/>
          <w:sz w:val="24"/>
          <w:szCs w:val="24"/>
        </w:rPr>
        <w:t xml:space="preserve">Når flere doser af digoxin og 10 mg atorvastatin blev administreret samtidigt, steg koncentrationen af digoxin ved </w:t>
      </w:r>
      <w:r w:rsidRPr="00B07995">
        <w:rPr>
          <w:i/>
          <w:spacing w:val="-3"/>
          <w:sz w:val="24"/>
          <w:szCs w:val="24"/>
        </w:rPr>
        <w:t>steady state</w:t>
      </w:r>
      <w:r w:rsidRPr="00B07995">
        <w:rPr>
          <w:spacing w:val="-3"/>
          <w:sz w:val="24"/>
          <w:szCs w:val="24"/>
        </w:rPr>
        <w:t xml:space="preserve"> en smule. Patienter i digoxinbehandling bør monitoreres hensigtsmæssigt</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autoSpaceDE w:val="0"/>
        <w:autoSpaceDN w:val="0"/>
        <w:adjustRightInd w:val="0"/>
        <w:ind w:left="851"/>
        <w:rPr>
          <w:sz w:val="24"/>
          <w:szCs w:val="24"/>
        </w:rPr>
      </w:pPr>
      <w:r w:rsidRPr="00B07995">
        <w:rPr>
          <w:i/>
          <w:iCs/>
          <w:sz w:val="24"/>
          <w:szCs w:val="24"/>
        </w:rPr>
        <w:t>Orale kontraceptiva:</w:t>
      </w:r>
      <w:r w:rsidRPr="00B07995">
        <w:rPr>
          <w:iCs/>
          <w:sz w:val="24"/>
          <w:szCs w:val="24"/>
        </w:rPr>
        <w:t xml:space="preserve"> </w:t>
      </w:r>
      <w:r w:rsidRPr="00B07995">
        <w:rPr>
          <w:spacing w:val="-3"/>
          <w:sz w:val="24"/>
          <w:szCs w:val="24"/>
        </w:rPr>
        <w:t>Samtidig administration af atorvastatin og et oralt kontraceptivum medførte forhøjede plasmakoncentrationer af norethisteron og ethinylestradiol</w:t>
      </w:r>
      <w:r w:rsidRPr="00B07995">
        <w:rPr>
          <w:sz w:val="24"/>
          <w:szCs w:val="24"/>
        </w:rPr>
        <w:t>.</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autoSpaceDE w:val="0"/>
        <w:autoSpaceDN w:val="0"/>
        <w:adjustRightInd w:val="0"/>
        <w:ind w:left="851"/>
        <w:rPr>
          <w:iCs/>
          <w:sz w:val="24"/>
          <w:szCs w:val="24"/>
        </w:rPr>
      </w:pPr>
      <w:r w:rsidRPr="00B07995">
        <w:rPr>
          <w:i/>
          <w:iCs/>
          <w:sz w:val="24"/>
          <w:szCs w:val="24"/>
        </w:rPr>
        <w:t>Warfarin:</w:t>
      </w:r>
      <w:r w:rsidRPr="00B07995">
        <w:rPr>
          <w:iCs/>
          <w:sz w:val="24"/>
          <w:szCs w:val="24"/>
        </w:rPr>
        <w:t xml:space="preserve"> </w:t>
      </w:r>
      <w:r w:rsidRPr="00B07995">
        <w:rPr>
          <w:spacing w:val="-3"/>
          <w:sz w:val="24"/>
          <w:szCs w:val="24"/>
        </w:rPr>
        <w:t xml:space="preserve">I et klinisk studie med patienter i kronisk warfarinbehandling forårsagede samtidig administration af 80 mg atorvastatin </w:t>
      </w:r>
      <w:r>
        <w:rPr>
          <w:spacing w:val="-3"/>
          <w:sz w:val="24"/>
          <w:szCs w:val="24"/>
        </w:rPr>
        <w:t>daglig</w:t>
      </w:r>
      <w:r w:rsidRPr="00B07995">
        <w:rPr>
          <w:spacing w:val="-3"/>
          <w:sz w:val="24"/>
          <w:szCs w:val="24"/>
        </w:rPr>
        <w:t xml:space="preserve"> og warfarin et lille fald på omkring 1,7 sekunder i protrombintid i løbet af de første 4 dage af behandlingen. Protrombintiden normaliseredes igen inden for 15 dage af atorvastatinbehandlingen. Selvom der kun er set meget sjældne tilfælde af klinisk signifikante interaktioner med antikoagulantia, bør protrombintid bestemmes inden behandlingen med Atozet igangsættes hos patienter, der tager coumarin-antikoagulantia, samt tilstrækkeligt hyppigt i starten af behandlingen med henblik på at sikre, at der ikke forekommer signifikant ændring i protrombintid. Når stabil protrombintid er opnået, kan protrombintiden måles med de intervaller, der normalt anbefales for patienter i behandling med coumarin-antikoagulantia. Hvis dosis af Atozet ændres, eller behandlingen seponeres, bør samme procedure gentages. Behandling med atorvastatin er ikke blevet forbundet med blødning eller med ændringer i protrombintid hos patienter, der ikke tager antikoagulantia</w:t>
      </w:r>
      <w:r w:rsidRPr="00B07995">
        <w:rPr>
          <w:iCs/>
          <w:sz w:val="24"/>
          <w:szCs w:val="24"/>
        </w:rPr>
        <w:t>.</w:t>
      </w:r>
    </w:p>
    <w:p w:rsidR="00176E9B" w:rsidRDefault="00176E9B" w:rsidP="00176E9B">
      <w:pPr>
        <w:pStyle w:val="Default"/>
        <w:ind w:left="851" w:hanging="851"/>
        <w:jc w:val="center"/>
        <w:rPr>
          <w:lang w:val="da-DK"/>
        </w:rPr>
      </w:pPr>
    </w:p>
    <w:p w:rsidR="00176E9B" w:rsidRPr="00CC1A5A" w:rsidRDefault="00176E9B" w:rsidP="001C04A4">
      <w:pPr>
        <w:pStyle w:val="Default"/>
        <w:keepNext/>
        <w:ind w:left="851" w:hanging="851"/>
        <w:jc w:val="center"/>
        <w:rPr>
          <w:b/>
          <w:lang w:val="da-DK"/>
        </w:rPr>
      </w:pPr>
      <w:r w:rsidRPr="00CC1A5A">
        <w:rPr>
          <w:b/>
          <w:lang w:val="da-DK"/>
        </w:rPr>
        <w:lastRenderedPageBreak/>
        <w:t>Tabel 1</w:t>
      </w:r>
    </w:p>
    <w:p w:rsidR="00176E9B" w:rsidRPr="00375863" w:rsidRDefault="00176E9B" w:rsidP="001C04A4">
      <w:pPr>
        <w:pStyle w:val="Default"/>
        <w:keepNext/>
        <w:ind w:left="851" w:hanging="851"/>
        <w:jc w:val="center"/>
        <w:rPr>
          <w:b/>
          <w:lang w:val="da-DK"/>
        </w:rPr>
      </w:pPr>
      <w:r w:rsidRPr="00375863">
        <w:rPr>
          <w:b/>
          <w:lang w:val="da-DK"/>
        </w:rPr>
        <w:t>Virkning af samtidigt administrerede lægemidler på atorvastatins farmakokinetik</w:t>
      </w:r>
    </w:p>
    <w:p w:rsidR="00176E9B" w:rsidRPr="00B07995" w:rsidRDefault="00176E9B" w:rsidP="001C04A4">
      <w:pPr>
        <w:pStyle w:val="ExtraSpace"/>
        <w:keepNext/>
        <w:keepLines/>
        <w:ind w:left="851" w:hanging="851"/>
        <w:rPr>
          <w:rFonts w:ascii="Times New Roman" w:hAnsi="Times New Roman"/>
          <w:sz w:val="24"/>
          <w:szCs w:val="24"/>
          <w:highlight w:val="yellow"/>
          <w:lang w:val="da-DK"/>
        </w:rPr>
      </w:pPr>
    </w:p>
    <w:tbl>
      <w:tblPr>
        <w:tblW w:w="955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18"/>
        <w:gridCol w:w="1800"/>
        <w:gridCol w:w="1800"/>
        <w:gridCol w:w="2340"/>
      </w:tblGrid>
      <w:tr w:rsidR="00176E9B" w:rsidRPr="00CA77D9" w:rsidTr="00272594">
        <w:trPr>
          <w:trHeight w:val="793"/>
        </w:trPr>
        <w:tc>
          <w:tcPr>
            <w:tcW w:w="3618" w:type="dxa"/>
            <w:vMerge w:val="restart"/>
            <w:tcBorders>
              <w:top w:val="single" w:sz="8" w:space="0" w:color="000000"/>
              <w:bottom w:val="single" w:sz="8" w:space="0" w:color="000000"/>
              <w:right w:val="single" w:sz="8" w:space="0" w:color="000000"/>
            </w:tcBorders>
          </w:tcPr>
          <w:p w:rsidR="00176E9B" w:rsidRPr="00CA77D9" w:rsidRDefault="00176E9B" w:rsidP="001C04A4">
            <w:pPr>
              <w:keepNext/>
              <w:rPr>
                <w:sz w:val="24"/>
                <w:szCs w:val="24"/>
              </w:rPr>
            </w:pPr>
            <w:r w:rsidRPr="00CA77D9">
              <w:rPr>
                <w:sz w:val="24"/>
                <w:szCs w:val="24"/>
              </w:rPr>
              <w:t>Samtidigt administreret lægemiddel og doseringsregime</w:t>
            </w:r>
          </w:p>
        </w:tc>
        <w:tc>
          <w:tcPr>
            <w:tcW w:w="3600" w:type="dxa"/>
            <w:gridSpan w:val="2"/>
            <w:tcBorders>
              <w:top w:val="single" w:sz="8" w:space="0" w:color="000000"/>
              <w:left w:val="single" w:sz="8" w:space="0" w:color="000000"/>
              <w:bottom w:val="single" w:sz="8" w:space="0" w:color="000000"/>
            </w:tcBorders>
          </w:tcPr>
          <w:p w:rsidR="00176E9B" w:rsidRPr="00CA77D9" w:rsidRDefault="00176E9B" w:rsidP="001C04A4">
            <w:pPr>
              <w:keepNext/>
              <w:rPr>
                <w:sz w:val="24"/>
                <w:szCs w:val="24"/>
              </w:rPr>
            </w:pPr>
            <w:r w:rsidRPr="00CA77D9">
              <w:rPr>
                <w:sz w:val="24"/>
                <w:szCs w:val="24"/>
              </w:rPr>
              <w:t>Atorvastatin</w:t>
            </w:r>
          </w:p>
        </w:tc>
        <w:tc>
          <w:tcPr>
            <w:tcW w:w="2340" w:type="dxa"/>
            <w:tcBorders>
              <w:top w:val="single" w:sz="8" w:space="0" w:color="000000"/>
              <w:left w:val="single" w:sz="8" w:space="0" w:color="000000"/>
              <w:bottom w:val="single" w:sz="8" w:space="0" w:color="000000"/>
            </w:tcBorders>
          </w:tcPr>
          <w:p w:rsidR="00176E9B" w:rsidRPr="00CA77D9" w:rsidRDefault="00176E9B" w:rsidP="001C04A4">
            <w:pPr>
              <w:keepNext/>
              <w:rPr>
                <w:sz w:val="24"/>
                <w:szCs w:val="24"/>
              </w:rPr>
            </w:pPr>
            <w:r w:rsidRPr="00CA77D9">
              <w:rPr>
                <w:sz w:val="24"/>
                <w:szCs w:val="24"/>
              </w:rPr>
              <w:t xml:space="preserve">Atozet </w:t>
            </w:r>
          </w:p>
        </w:tc>
      </w:tr>
      <w:tr w:rsidR="00176E9B" w:rsidRPr="00CA77D9" w:rsidTr="00272594">
        <w:trPr>
          <w:trHeight w:val="560"/>
        </w:trPr>
        <w:tc>
          <w:tcPr>
            <w:tcW w:w="3618" w:type="dxa"/>
            <w:vMerge/>
            <w:tcBorders>
              <w:top w:val="single" w:sz="8" w:space="0" w:color="000000"/>
              <w:bottom w:val="single" w:sz="8" w:space="0" w:color="000000"/>
              <w:right w:val="single" w:sz="8" w:space="0" w:color="000000"/>
            </w:tcBorders>
          </w:tcPr>
          <w:p w:rsidR="00176E9B" w:rsidRPr="00CA77D9" w:rsidRDefault="00176E9B" w:rsidP="001C04A4">
            <w:pPr>
              <w:keepNext/>
              <w:rPr>
                <w:sz w:val="24"/>
                <w:szCs w:val="24"/>
              </w:rPr>
            </w:pP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1C04A4">
            <w:pPr>
              <w:keepNext/>
              <w:rPr>
                <w:sz w:val="24"/>
                <w:szCs w:val="24"/>
              </w:rPr>
            </w:pPr>
            <w:r w:rsidRPr="00CA77D9">
              <w:rPr>
                <w:sz w:val="24"/>
                <w:szCs w:val="24"/>
              </w:rPr>
              <w:t xml:space="preserve">Dosis (mg)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1C04A4">
            <w:pPr>
              <w:keepNext/>
              <w:rPr>
                <w:sz w:val="24"/>
                <w:szCs w:val="24"/>
              </w:rPr>
            </w:pPr>
            <w:r w:rsidRPr="00CA77D9">
              <w:rPr>
                <w:sz w:val="24"/>
                <w:szCs w:val="24"/>
              </w:rPr>
              <w:t>Ændring i AUC</w:t>
            </w:r>
            <w:r w:rsidRPr="00CA77D9">
              <w:rPr>
                <w:sz w:val="24"/>
                <w:szCs w:val="24"/>
                <w:vertAlign w:val="superscript"/>
              </w:rPr>
              <w:t>&amp;</w:t>
            </w:r>
            <w:r w:rsidRPr="00CA77D9">
              <w:rPr>
                <w:sz w:val="24"/>
                <w:szCs w:val="24"/>
              </w:rPr>
              <w:t xml:space="preserve"> </w:t>
            </w:r>
          </w:p>
        </w:tc>
        <w:tc>
          <w:tcPr>
            <w:tcW w:w="2340" w:type="dxa"/>
            <w:tcBorders>
              <w:top w:val="single" w:sz="8" w:space="0" w:color="000000"/>
              <w:left w:val="single" w:sz="8" w:space="0" w:color="000000"/>
              <w:bottom w:val="single" w:sz="8" w:space="0" w:color="000000"/>
            </w:tcBorders>
          </w:tcPr>
          <w:p w:rsidR="00176E9B" w:rsidRPr="00CA77D9" w:rsidRDefault="00176E9B" w:rsidP="001C04A4">
            <w:pPr>
              <w:keepNext/>
              <w:rPr>
                <w:sz w:val="24"/>
                <w:szCs w:val="24"/>
              </w:rPr>
            </w:pPr>
            <w:r w:rsidRPr="00CA77D9">
              <w:rPr>
                <w:sz w:val="24"/>
                <w:szCs w:val="24"/>
              </w:rPr>
              <w:t>Klinisk anbefaling</w:t>
            </w:r>
            <w:r w:rsidRPr="00CA77D9">
              <w:rPr>
                <w:sz w:val="24"/>
                <w:szCs w:val="24"/>
                <w:vertAlign w:val="superscript"/>
              </w:rPr>
              <w:t xml:space="preserve"> #</w:t>
            </w:r>
          </w:p>
        </w:tc>
      </w:tr>
      <w:tr w:rsidR="00176E9B" w:rsidRPr="00CA77D9" w:rsidTr="00272594">
        <w:trPr>
          <w:trHeight w:val="1806"/>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Tipranavir 500 mg to gange </w:t>
            </w:r>
            <w:r>
              <w:rPr>
                <w:sz w:val="24"/>
                <w:szCs w:val="24"/>
              </w:rPr>
              <w:t>daglig</w:t>
            </w:r>
            <w:r w:rsidRPr="00CA77D9">
              <w:rPr>
                <w:sz w:val="24"/>
                <w:szCs w:val="24"/>
              </w:rPr>
              <w:t>/</w:t>
            </w:r>
            <w:r>
              <w:rPr>
                <w:sz w:val="24"/>
                <w:szCs w:val="24"/>
              </w:rPr>
              <w:t>r</w:t>
            </w:r>
            <w:r w:rsidRPr="00CA77D9">
              <w:rPr>
                <w:sz w:val="24"/>
                <w:szCs w:val="24"/>
              </w:rPr>
              <w:t xml:space="preserve">itonavir 200 mg to gange </w:t>
            </w:r>
            <w:r>
              <w:rPr>
                <w:sz w:val="24"/>
                <w:szCs w:val="24"/>
              </w:rPr>
              <w:t>daglig</w:t>
            </w:r>
            <w:r w:rsidRPr="00CA77D9">
              <w:rPr>
                <w:sz w:val="24"/>
                <w:szCs w:val="24"/>
              </w:rPr>
              <w:t xml:space="preserve">, 8 dage (dag 14-21)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på dag 1, 10 mg på dag 20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9,4 gange </w:t>
            </w:r>
          </w:p>
        </w:tc>
        <w:tc>
          <w:tcPr>
            <w:tcW w:w="2340" w:type="dxa"/>
            <w:vMerge w:val="restart"/>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Hvis samtidig behandling med Atozet er nødvendig, må dosis af Atozet ikke overskride 10/10 mg/dag. Klinisk monitorering af disse patienter anbefales. </w:t>
            </w: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Ciclosporin 5,2 mg/kg/dag, stabil 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28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8,7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2564"/>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Lopinavir 400 mg to gange </w:t>
            </w:r>
            <w:r>
              <w:rPr>
                <w:sz w:val="24"/>
                <w:szCs w:val="24"/>
              </w:rPr>
              <w:t>daglig</w:t>
            </w:r>
            <w:r w:rsidRPr="00CA77D9">
              <w:rPr>
                <w:sz w:val="24"/>
                <w:szCs w:val="24"/>
              </w:rPr>
              <w:t xml:space="preserve">/ </w:t>
            </w:r>
            <w:r>
              <w:rPr>
                <w:sz w:val="24"/>
                <w:szCs w:val="24"/>
              </w:rPr>
              <w:t>r</w:t>
            </w:r>
            <w:r w:rsidRPr="00CA77D9">
              <w:rPr>
                <w:sz w:val="24"/>
                <w:szCs w:val="24"/>
              </w:rPr>
              <w:t xml:space="preserve">itonavir 100 mg to gange </w:t>
            </w:r>
            <w:r>
              <w:rPr>
                <w:sz w:val="24"/>
                <w:szCs w:val="24"/>
              </w:rPr>
              <w:t>daglig</w:t>
            </w:r>
            <w:r w:rsidRPr="00CA77D9">
              <w:rPr>
                <w:sz w:val="24"/>
                <w:szCs w:val="24"/>
              </w:rPr>
              <w:t xml:space="preserve">, 14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20 mg en gang </w:t>
            </w:r>
            <w:r>
              <w:rPr>
                <w:sz w:val="24"/>
                <w:szCs w:val="24"/>
              </w:rPr>
              <w:t>daglig</w:t>
            </w:r>
            <w:r w:rsidRPr="00CA77D9">
              <w:rPr>
                <w:sz w:val="24"/>
                <w:szCs w:val="24"/>
              </w:rPr>
              <w:t xml:space="preserve"> i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5,9 gange </w:t>
            </w:r>
          </w:p>
        </w:tc>
        <w:tc>
          <w:tcPr>
            <w:tcW w:w="2340" w:type="dxa"/>
            <w:vMerge w:val="restart"/>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Hvis samtidig behandling med Atozet er nødvendig, anbefales en lavere vedligeholdelsesdosis af Atozet. Ved dosering af Atozet på over 10/20 mg anbefales klinisk monitorering af disse patienter</w:t>
            </w:r>
            <w:r w:rsidRPr="00CA77D9">
              <w:rPr>
                <w:i/>
                <w:iCs/>
                <w:sz w:val="24"/>
                <w:szCs w:val="24"/>
              </w:rPr>
              <w:t xml:space="preserve">. </w:t>
            </w:r>
          </w:p>
        </w:tc>
      </w:tr>
      <w:tr w:rsidR="00176E9B" w:rsidRPr="00CA77D9" w:rsidTr="00272594">
        <w:trPr>
          <w:trHeight w:val="540"/>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Clarithromycin 500 mg to gange </w:t>
            </w:r>
            <w:r>
              <w:rPr>
                <w:sz w:val="24"/>
                <w:szCs w:val="24"/>
              </w:rPr>
              <w:t>daglig</w:t>
            </w:r>
            <w:r w:rsidRPr="00CA77D9">
              <w:rPr>
                <w:sz w:val="24"/>
                <w:szCs w:val="24"/>
              </w:rPr>
              <w:t xml:space="preserve">, 9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80 mg en gang </w:t>
            </w:r>
            <w:r>
              <w:rPr>
                <w:sz w:val="24"/>
                <w:szCs w:val="24"/>
              </w:rPr>
              <w:t>daglig</w:t>
            </w:r>
            <w:r w:rsidRPr="00CA77D9">
              <w:rPr>
                <w:sz w:val="24"/>
                <w:szCs w:val="24"/>
              </w:rPr>
              <w:t xml:space="preserve"> i 8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4,4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2566"/>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Saquinavir 400 mg to gange </w:t>
            </w:r>
            <w:r>
              <w:rPr>
                <w:sz w:val="24"/>
                <w:szCs w:val="24"/>
              </w:rPr>
              <w:t>daglig</w:t>
            </w:r>
            <w:r w:rsidRPr="00CA77D9">
              <w:rPr>
                <w:sz w:val="24"/>
                <w:szCs w:val="24"/>
              </w:rPr>
              <w:t>/</w:t>
            </w:r>
            <w:r>
              <w:rPr>
                <w:sz w:val="24"/>
                <w:szCs w:val="24"/>
              </w:rPr>
              <w:t>r</w:t>
            </w:r>
            <w:r w:rsidRPr="00CA77D9">
              <w:rPr>
                <w:sz w:val="24"/>
                <w:szCs w:val="24"/>
              </w:rPr>
              <w:t xml:space="preserve">itonavir 300 mg to gange </w:t>
            </w:r>
            <w:r>
              <w:rPr>
                <w:sz w:val="24"/>
                <w:szCs w:val="24"/>
              </w:rPr>
              <w:t>daglig</w:t>
            </w:r>
            <w:r w:rsidRPr="00CA77D9">
              <w:rPr>
                <w:sz w:val="24"/>
                <w:szCs w:val="24"/>
              </w:rPr>
              <w:t xml:space="preserve"> fra dag 5-7, øget til 400 mg to gange </w:t>
            </w:r>
            <w:r>
              <w:rPr>
                <w:sz w:val="24"/>
                <w:szCs w:val="24"/>
              </w:rPr>
              <w:t>daglig</w:t>
            </w:r>
            <w:r w:rsidRPr="00CA77D9">
              <w:rPr>
                <w:sz w:val="24"/>
                <w:szCs w:val="24"/>
              </w:rPr>
              <w:t xml:space="preserve"> på dag 8), dag 5-18, 30 minutter efter atorvastatindosis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 gang </w:t>
            </w:r>
            <w:r>
              <w:rPr>
                <w:sz w:val="24"/>
                <w:szCs w:val="24"/>
              </w:rPr>
              <w:t>daglig</w:t>
            </w:r>
            <w:r w:rsidRPr="00CA77D9">
              <w:rPr>
                <w:sz w:val="24"/>
                <w:szCs w:val="24"/>
              </w:rPr>
              <w:t xml:space="preserve"> i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3,9 gange </w:t>
            </w:r>
          </w:p>
        </w:tc>
        <w:tc>
          <w:tcPr>
            <w:tcW w:w="2340" w:type="dxa"/>
            <w:vMerge w:val="restart"/>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Hvis samtidig behandling med Atozet er nødvendig, anbefales en lavere vedligeholdelsesdosis af Atozet. Ved dosering af Atozet på over 10/40 mg anbefales klinisk monitorering af disse patienter</w:t>
            </w:r>
            <w:r w:rsidRPr="00CA77D9">
              <w:rPr>
                <w:i/>
                <w:iCs/>
                <w:sz w:val="24"/>
                <w:szCs w:val="24"/>
              </w:rPr>
              <w:t xml:space="preserve">. </w:t>
            </w: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Darunavir 300 mg to gange </w:t>
            </w:r>
            <w:r>
              <w:rPr>
                <w:sz w:val="24"/>
                <w:szCs w:val="24"/>
              </w:rPr>
              <w:t>daglig</w:t>
            </w:r>
            <w:r w:rsidRPr="00CA77D9">
              <w:rPr>
                <w:sz w:val="24"/>
                <w:szCs w:val="24"/>
              </w:rPr>
              <w:t xml:space="preserve">/ </w:t>
            </w:r>
          </w:p>
          <w:p w:rsidR="00176E9B" w:rsidRPr="00CA77D9" w:rsidRDefault="00176E9B" w:rsidP="00272594">
            <w:pPr>
              <w:rPr>
                <w:sz w:val="24"/>
                <w:szCs w:val="24"/>
              </w:rPr>
            </w:pPr>
            <w:r>
              <w:rPr>
                <w:sz w:val="24"/>
                <w:szCs w:val="24"/>
              </w:rPr>
              <w:t>r</w:t>
            </w:r>
            <w:r w:rsidRPr="00CA77D9">
              <w:rPr>
                <w:sz w:val="24"/>
                <w:szCs w:val="24"/>
              </w:rPr>
              <w:t xml:space="preserve">itonavir 100 mg to gange </w:t>
            </w:r>
            <w:r>
              <w:rPr>
                <w:sz w:val="24"/>
                <w:szCs w:val="24"/>
              </w:rPr>
              <w:t>daglig</w:t>
            </w:r>
            <w:r w:rsidRPr="00CA77D9">
              <w:rPr>
                <w:sz w:val="24"/>
                <w:szCs w:val="24"/>
              </w:rPr>
              <w:t xml:space="preserve">, 9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3,3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Itraconazol 200 mg en gang </w:t>
            </w:r>
            <w:r>
              <w:rPr>
                <w:sz w:val="24"/>
                <w:szCs w:val="24"/>
              </w:rPr>
              <w:t>daglig</w:t>
            </w:r>
            <w:r w:rsidRPr="00CA77D9">
              <w:rPr>
                <w:sz w:val="24"/>
                <w:szCs w:val="24"/>
              </w:rPr>
              <w:t xml:space="preserve">,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3,3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793"/>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Fosamprenavir 700 mg to gange </w:t>
            </w:r>
            <w:r>
              <w:rPr>
                <w:sz w:val="24"/>
                <w:szCs w:val="24"/>
              </w:rPr>
              <w:t>daglig</w:t>
            </w:r>
            <w:r w:rsidRPr="00CA77D9">
              <w:rPr>
                <w:sz w:val="24"/>
                <w:szCs w:val="24"/>
              </w:rPr>
              <w:t>/</w:t>
            </w:r>
            <w:r>
              <w:rPr>
                <w:sz w:val="24"/>
                <w:szCs w:val="24"/>
              </w:rPr>
              <w:t>r</w:t>
            </w:r>
            <w:r w:rsidRPr="00CA77D9">
              <w:rPr>
                <w:sz w:val="24"/>
                <w:szCs w:val="24"/>
              </w:rPr>
              <w:t xml:space="preserve">itonavir 100 mg to gange </w:t>
            </w:r>
            <w:r>
              <w:rPr>
                <w:sz w:val="24"/>
                <w:szCs w:val="24"/>
              </w:rPr>
              <w:t>daglig</w:t>
            </w:r>
            <w:r w:rsidRPr="00CA77D9">
              <w:rPr>
                <w:sz w:val="24"/>
                <w:szCs w:val="24"/>
              </w:rPr>
              <w:t xml:space="preserve">, 14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2,5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Fosamprenavir 1.400 mg to gange </w:t>
            </w:r>
            <w:r>
              <w:rPr>
                <w:sz w:val="24"/>
                <w:szCs w:val="24"/>
              </w:rPr>
              <w:t>daglig</w:t>
            </w:r>
            <w:r w:rsidRPr="00CA77D9">
              <w:rPr>
                <w:sz w:val="24"/>
                <w:szCs w:val="24"/>
              </w:rPr>
              <w:t xml:space="preserve">, 14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2,3 gange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Nelfinavir 1.250 mg to gange </w:t>
            </w:r>
            <w:r>
              <w:rPr>
                <w:sz w:val="24"/>
                <w:szCs w:val="24"/>
              </w:rPr>
              <w:t>daglig</w:t>
            </w:r>
            <w:r w:rsidRPr="00CA77D9">
              <w:rPr>
                <w:sz w:val="24"/>
                <w:szCs w:val="24"/>
              </w:rPr>
              <w:t xml:space="preserve">, 14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28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1,7 gange^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Ingen særlig anbefaling.</w:t>
            </w:r>
          </w:p>
        </w:tc>
      </w:tr>
      <w:tr w:rsidR="00176E9B" w:rsidRPr="00CA77D9" w:rsidTr="00272594">
        <w:trPr>
          <w:trHeight w:val="1048"/>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lastRenderedPageBreak/>
              <w:t xml:space="preserve">Grapefrugtjuice, 240 ml en gang </w:t>
            </w:r>
            <w:r>
              <w:rPr>
                <w:sz w:val="24"/>
                <w:szCs w:val="24"/>
              </w:rPr>
              <w:t>daglig</w:t>
            </w:r>
            <w:r w:rsidRPr="00CA77D9">
              <w:rPr>
                <w:sz w:val="24"/>
                <w:szCs w:val="24"/>
              </w:rPr>
              <w:t xml:space="preserv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37%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Samtidig indtagelse af store mængder grapefrugtjuice og Atozet frarådes. </w:t>
            </w:r>
          </w:p>
        </w:tc>
      </w:tr>
      <w:tr w:rsidR="00176E9B" w:rsidRPr="00CA77D9" w:rsidTr="00272594">
        <w:trPr>
          <w:trHeight w:val="1300"/>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Diltiazem 240 mg en gang </w:t>
            </w:r>
            <w:r>
              <w:rPr>
                <w:sz w:val="24"/>
                <w:szCs w:val="24"/>
              </w:rPr>
              <w:t>daglig</w:t>
            </w:r>
            <w:r w:rsidRPr="00CA77D9">
              <w:rPr>
                <w:sz w:val="24"/>
                <w:szCs w:val="24"/>
              </w:rPr>
              <w:t xml:space="preserve">, 28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51%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Efter initiering af behandling eller efter dosisjustering af diltiazem anbefales passende klinisk monitorering af disse patienter. </w:t>
            </w:r>
          </w:p>
        </w:tc>
      </w:tr>
      <w:tr w:rsidR="00176E9B" w:rsidRPr="00CA77D9" w:rsidTr="00272594">
        <w:trPr>
          <w:trHeight w:val="794"/>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Erythromycin 500 mg fire gange </w:t>
            </w:r>
            <w:r>
              <w:rPr>
                <w:sz w:val="24"/>
                <w:szCs w:val="24"/>
              </w:rPr>
              <w:t>daglig</w:t>
            </w:r>
            <w:r w:rsidRPr="00CA77D9">
              <w:rPr>
                <w:sz w:val="24"/>
                <w:szCs w:val="24"/>
              </w:rPr>
              <w:t xml:space="preserve">, 7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33%^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Nedsat maksimaldosis samt klinisk monitorering af disse patienter anbefales. </w:t>
            </w:r>
          </w:p>
        </w:tc>
      </w:tr>
      <w:tr w:rsidR="00176E9B" w:rsidRPr="00CA77D9" w:rsidTr="00272594">
        <w:trPr>
          <w:trHeight w:val="288"/>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Amlodipin 10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80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18%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Ingen særlig anbefaling. </w:t>
            </w:r>
          </w:p>
        </w:tc>
      </w:tr>
      <w:tr w:rsidR="00176E9B" w:rsidRPr="00CA77D9" w:rsidTr="00272594">
        <w:trPr>
          <w:trHeight w:val="541"/>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Cimetidin 300 mg fire gange </w:t>
            </w:r>
            <w:r>
              <w:rPr>
                <w:sz w:val="24"/>
                <w:szCs w:val="24"/>
              </w:rPr>
              <w:t>daglig</w:t>
            </w:r>
            <w:r w:rsidRPr="00CA77D9">
              <w:rPr>
                <w:sz w:val="24"/>
                <w:szCs w:val="24"/>
              </w:rPr>
              <w:t xml:space="preserve">, 2 uger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4 uger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mindre end 1%^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Ingen særlig anbefaling. </w:t>
            </w:r>
          </w:p>
        </w:tc>
      </w:tr>
      <w:tr w:rsidR="00176E9B" w:rsidRPr="00CA77D9" w:rsidTr="00272594">
        <w:trPr>
          <w:trHeight w:val="1047"/>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Antacida (suspension med magnesium- og aluminium-hydroxid), 30 ml fire gange </w:t>
            </w:r>
            <w:r>
              <w:rPr>
                <w:sz w:val="24"/>
                <w:szCs w:val="24"/>
              </w:rPr>
              <w:t>daglig</w:t>
            </w:r>
            <w:r w:rsidRPr="00CA77D9">
              <w:rPr>
                <w:sz w:val="24"/>
                <w:szCs w:val="24"/>
              </w:rPr>
              <w:t xml:space="preserve">, 2 uger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en gang </w:t>
            </w:r>
            <w:r>
              <w:rPr>
                <w:sz w:val="24"/>
                <w:szCs w:val="24"/>
              </w:rPr>
              <w:t>daglig</w:t>
            </w:r>
            <w:r w:rsidRPr="00CA77D9">
              <w:rPr>
                <w:sz w:val="24"/>
                <w:szCs w:val="24"/>
              </w:rPr>
              <w:t xml:space="preserve"> i 4 uger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35%^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Ingen særlig anbefaling. </w:t>
            </w:r>
          </w:p>
        </w:tc>
      </w:tr>
      <w:tr w:rsidR="00176E9B" w:rsidRPr="00CA77D9" w:rsidTr="00272594">
        <w:trPr>
          <w:trHeight w:val="288"/>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Efavirenz 600 mg en gang </w:t>
            </w:r>
            <w:r>
              <w:rPr>
                <w:sz w:val="24"/>
                <w:szCs w:val="24"/>
              </w:rPr>
              <w:t>daglig</w:t>
            </w:r>
            <w:r w:rsidRPr="00CA77D9">
              <w:rPr>
                <w:sz w:val="24"/>
                <w:szCs w:val="24"/>
              </w:rPr>
              <w:t xml:space="preserve">, 14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10 mg i 3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41%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 xml:space="preserve">Ingen særlig anbefaling. </w:t>
            </w:r>
          </w:p>
        </w:tc>
      </w:tr>
      <w:tr w:rsidR="00176E9B" w:rsidRPr="00CA77D9" w:rsidTr="00272594">
        <w:trPr>
          <w:trHeight w:val="1300"/>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Rifampicin 600 mg en gang </w:t>
            </w:r>
            <w:r>
              <w:rPr>
                <w:sz w:val="24"/>
                <w:szCs w:val="24"/>
              </w:rPr>
              <w:t>daglig</w:t>
            </w:r>
            <w:r w:rsidRPr="00CA77D9">
              <w:rPr>
                <w:sz w:val="24"/>
                <w:szCs w:val="24"/>
              </w:rPr>
              <w:t xml:space="preserve">, 7 dage (samtidig administration)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30% </w:t>
            </w:r>
          </w:p>
        </w:tc>
        <w:tc>
          <w:tcPr>
            <w:tcW w:w="2340" w:type="dxa"/>
            <w:vMerge w:val="restart"/>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sz w:val="24"/>
                <w:szCs w:val="24"/>
              </w:rPr>
              <w:t>Hvis samtidig behandling ikke kan undgås, anbefales samtidig administration af Atozet</w:t>
            </w:r>
            <w:r w:rsidRPr="00CA77D9">
              <w:rPr>
                <w:bCs/>
                <w:sz w:val="24"/>
                <w:szCs w:val="24"/>
              </w:rPr>
              <w:t xml:space="preserve"> og rifampicin samt klinisk monitorering</w:t>
            </w:r>
            <w:r w:rsidRPr="00CA77D9">
              <w:rPr>
                <w:sz w:val="24"/>
                <w:szCs w:val="24"/>
              </w:rPr>
              <w:t xml:space="preserve">. </w:t>
            </w:r>
          </w:p>
        </w:tc>
      </w:tr>
      <w:tr w:rsidR="00176E9B" w:rsidRPr="00CA77D9" w:rsidTr="00272594">
        <w:trPr>
          <w:trHeight w:val="540"/>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Rifampicin 600 mg en gang </w:t>
            </w:r>
            <w:r>
              <w:rPr>
                <w:sz w:val="24"/>
                <w:szCs w:val="24"/>
              </w:rPr>
              <w:t>daglig</w:t>
            </w:r>
            <w:r w:rsidRPr="00CA77D9">
              <w:rPr>
                <w:sz w:val="24"/>
                <w:szCs w:val="24"/>
              </w:rPr>
              <w:t xml:space="preserve">, 5 dage (adskilt administration)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80% </w:t>
            </w:r>
          </w:p>
        </w:tc>
        <w:tc>
          <w:tcPr>
            <w:tcW w:w="2340" w:type="dxa"/>
            <w:vMerge/>
            <w:tcBorders>
              <w:top w:val="single" w:sz="8" w:space="0" w:color="000000"/>
              <w:left w:val="single" w:sz="8" w:space="0" w:color="000000"/>
              <w:bottom w:val="single" w:sz="8" w:space="0" w:color="000000"/>
            </w:tcBorders>
          </w:tcPr>
          <w:p w:rsidR="00176E9B" w:rsidRPr="00CA77D9" w:rsidRDefault="00176E9B" w:rsidP="00272594">
            <w:pPr>
              <w:rPr>
                <w:sz w:val="24"/>
                <w:szCs w:val="24"/>
              </w:rPr>
            </w:pPr>
          </w:p>
        </w:tc>
      </w:tr>
      <w:tr w:rsidR="00176E9B" w:rsidRPr="00CA77D9" w:rsidTr="00272594">
        <w:trPr>
          <w:trHeight w:val="794"/>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Gemfibrozil 600 mg to gange </w:t>
            </w:r>
            <w:r>
              <w:rPr>
                <w:sz w:val="24"/>
                <w:szCs w:val="24"/>
              </w:rPr>
              <w:t>daglig</w:t>
            </w:r>
            <w:r w:rsidRPr="00CA77D9">
              <w:rPr>
                <w:sz w:val="24"/>
                <w:szCs w:val="24"/>
              </w:rPr>
              <w:t xml:space="preserve">, 7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35%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noProof/>
                <w:sz w:val="24"/>
                <w:szCs w:val="24"/>
              </w:rPr>
              <w:t>Frarådes.</w:t>
            </w:r>
          </w:p>
        </w:tc>
      </w:tr>
      <w:tr w:rsidR="00176E9B" w:rsidRPr="00CA77D9" w:rsidTr="00272594">
        <w:trPr>
          <w:trHeight w:val="793"/>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Fenofibrat 160 mg en gang </w:t>
            </w:r>
            <w:r>
              <w:rPr>
                <w:sz w:val="24"/>
                <w:szCs w:val="24"/>
              </w:rPr>
              <w:t>daglig</w:t>
            </w:r>
            <w:r w:rsidRPr="00CA77D9">
              <w:rPr>
                <w:sz w:val="24"/>
                <w:szCs w:val="24"/>
              </w:rPr>
              <w:t xml:space="preserve">, 7 dage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40 mg enkeltdosis </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 3% </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sz w:val="24"/>
                <w:szCs w:val="24"/>
              </w:rPr>
            </w:pPr>
            <w:r w:rsidRPr="00CA77D9">
              <w:rPr>
                <w:noProof/>
                <w:sz w:val="24"/>
                <w:szCs w:val="24"/>
              </w:rPr>
              <w:t>Frarådes.</w:t>
            </w:r>
          </w:p>
        </w:tc>
      </w:tr>
      <w:tr w:rsidR="00176E9B" w:rsidRPr="00CA77D9" w:rsidTr="00272594">
        <w:trPr>
          <w:trHeight w:val="793"/>
        </w:trPr>
        <w:tc>
          <w:tcPr>
            <w:tcW w:w="3618" w:type="dxa"/>
            <w:tcBorders>
              <w:top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xml:space="preserve">Boceprevir 800 mg tre gange </w:t>
            </w:r>
            <w:r>
              <w:rPr>
                <w:sz w:val="24"/>
                <w:szCs w:val="24"/>
              </w:rPr>
              <w:t>daglig</w:t>
            </w:r>
            <w:r w:rsidRPr="00CA77D9">
              <w:rPr>
                <w:sz w:val="24"/>
                <w:szCs w:val="24"/>
              </w:rPr>
              <w:t>, 7 dage</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40 mg enkeltdosis</w:t>
            </w:r>
          </w:p>
        </w:tc>
        <w:tc>
          <w:tcPr>
            <w:tcW w:w="1800" w:type="dxa"/>
            <w:tcBorders>
              <w:top w:val="single" w:sz="8" w:space="0" w:color="000000"/>
              <w:left w:val="single" w:sz="8" w:space="0" w:color="000000"/>
              <w:bottom w:val="single" w:sz="8" w:space="0" w:color="000000"/>
              <w:right w:val="single" w:sz="8" w:space="0" w:color="000000"/>
            </w:tcBorders>
          </w:tcPr>
          <w:p w:rsidR="00176E9B" w:rsidRPr="00CA77D9" w:rsidRDefault="00176E9B" w:rsidP="00272594">
            <w:pPr>
              <w:rPr>
                <w:sz w:val="24"/>
                <w:szCs w:val="24"/>
              </w:rPr>
            </w:pPr>
            <w:r w:rsidRPr="00CA77D9">
              <w:rPr>
                <w:sz w:val="24"/>
                <w:szCs w:val="24"/>
              </w:rPr>
              <w:t>↑ 2,3 gange</w:t>
            </w:r>
          </w:p>
        </w:tc>
        <w:tc>
          <w:tcPr>
            <w:tcW w:w="2340" w:type="dxa"/>
            <w:tcBorders>
              <w:top w:val="single" w:sz="8" w:space="0" w:color="000000"/>
              <w:left w:val="single" w:sz="8" w:space="0" w:color="000000"/>
              <w:bottom w:val="single" w:sz="8" w:space="0" w:color="000000"/>
            </w:tcBorders>
          </w:tcPr>
          <w:p w:rsidR="00176E9B" w:rsidRPr="00CA77D9" w:rsidRDefault="00176E9B" w:rsidP="00272594">
            <w:pPr>
              <w:rPr>
                <w:noProof/>
                <w:sz w:val="24"/>
                <w:szCs w:val="24"/>
              </w:rPr>
            </w:pPr>
            <w:r w:rsidRPr="00CA77D9">
              <w:rPr>
                <w:sz w:val="24"/>
                <w:szCs w:val="24"/>
              </w:rPr>
              <w:t>Lavere startdosis og klinisk monitorering af disse patienter anbefales. Dosis af Atozet må ikke overstige en daglig dosis på 10/20 mg ved samtidig administration med boceprevir.</w:t>
            </w:r>
          </w:p>
        </w:tc>
      </w:tr>
      <w:tr w:rsidR="00176E9B" w:rsidRPr="00CA77D9" w:rsidTr="00272594">
        <w:trPr>
          <w:trHeight w:val="793"/>
        </w:trPr>
        <w:tc>
          <w:tcPr>
            <w:tcW w:w="3618" w:type="dxa"/>
            <w:tcBorders>
              <w:top w:val="single" w:sz="8" w:space="0" w:color="000000"/>
              <w:bottom w:val="single" w:sz="8" w:space="0" w:color="000000"/>
              <w:right w:val="single" w:sz="8" w:space="0" w:color="000000"/>
            </w:tcBorders>
          </w:tcPr>
          <w:p w:rsidR="00176E9B" w:rsidRPr="00CE4EFD" w:rsidRDefault="00176E9B" w:rsidP="00272594">
            <w:pPr>
              <w:rPr>
                <w:sz w:val="24"/>
                <w:szCs w:val="24"/>
              </w:rPr>
            </w:pPr>
            <w:r w:rsidRPr="00CE4EFD">
              <w:rPr>
                <w:sz w:val="24"/>
                <w:szCs w:val="22"/>
              </w:rPr>
              <w:lastRenderedPageBreak/>
              <w:t>Elbasvir 50</w:t>
            </w:r>
            <w:r w:rsidRPr="001527EA">
              <w:rPr>
                <w:sz w:val="24"/>
                <w:szCs w:val="24"/>
              </w:rPr>
              <w:t> mg en gang dagligt/grazoprevi</w:t>
            </w:r>
            <w:r w:rsidRPr="00CE4EFD">
              <w:rPr>
                <w:sz w:val="24"/>
                <w:szCs w:val="22"/>
              </w:rPr>
              <w:t>r 200 mg en gang dagligt, 13 dage</w:t>
            </w:r>
          </w:p>
        </w:tc>
        <w:tc>
          <w:tcPr>
            <w:tcW w:w="1800" w:type="dxa"/>
            <w:tcBorders>
              <w:top w:val="single" w:sz="8" w:space="0" w:color="000000"/>
              <w:left w:val="single" w:sz="8" w:space="0" w:color="000000"/>
              <w:bottom w:val="single" w:sz="8" w:space="0" w:color="000000"/>
              <w:right w:val="single" w:sz="8" w:space="0" w:color="000000"/>
            </w:tcBorders>
          </w:tcPr>
          <w:p w:rsidR="00176E9B" w:rsidRPr="00CE4EFD" w:rsidRDefault="00176E9B" w:rsidP="00272594">
            <w:pPr>
              <w:rPr>
                <w:sz w:val="24"/>
                <w:szCs w:val="24"/>
              </w:rPr>
            </w:pPr>
            <w:r w:rsidRPr="001527EA">
              <w:rPr>
                <w:sz w:val="24"/>
                <w:szCs w:val="24"/>
              </w:rPr>
              <w:t>10 </w:t>
            </w:r>
            <w:r w:rsidRPr="00CE4EFD">
              <w:rPr>
                <w:sz w:val="24"/>
                <w:szCs w:val="22"/>
              </w:rPr>
              <w:t>mg enkeltdosis</w:t>
            </w:r>
          </w:p>
        </w:tc>
        <w:tc>
          <w:tcPr>
            <w:tcW w:w="1800" w:type="dxa"/>
            <w:tcBorders>
              <w:top w:val="single" w:sz="8" w:space="0" w:color="000000"/>
              <w:left w:val="single" w:sz="8" w:space="0" w:color="000000"/>
              <w:bottom w:val="single" w:sz="8" w:space="0" w:color="000000"/>
              <w:right w:val="single" w:sz="8" w:space="0" w:color="000000"/>
            </w:tcBorders>
          </w:tcPr>
          <w:p w:rsidR="00176E9B" w:rsidRPr="001527EA" w:rsidRDefault="00176E9B" w:rsidP="00272594">
            <w:pPr>
              <w:rPr>
                <w:sz w:val="24"/>
                <w:szCs w:val="24"/>
              </w:rPr>
            </w:pPr>
            <w:r w:rsidRPr="001527EA">
              <w:rPr>
                <w:sz w:val="24"/>
                <w:szCs w:val="24"/>
              </w:rPr>
              <w:t>↑ 1,94 gange</w:t>
            </w:r>
          </w:p>
        </w:tc>
        <w:tc>
          <w:tcPr>
            <w:tcW w:w="2340" w:type="dxa"/>
            <w:tcBorders>
              <w:top w:val="single" w:sz="8" w:space="0" w:color="000000"/>
              <w:left w:val="single" w:sz="8" w:space="0" w:color="000000"/>
              <w:bottom w:val="single" w:sz="8" w:space="0" w:color="000000"/>
            </w:tcBorders>
          </w:tcPr>
          <w:p w:rsidR="00176E9B" w:rsidRPr="00CE4EFD" w:rsidRDefault="00176E9B" w:rsidP="00272594">
            <w:pPr>
              <w:rPr>
                <w:sz w:val="24"/>
                <w:szCs w:val="24"/>
              </w:rPr>
            </w:pPr>
            <w:r w:rsidRPr="00CE4EFD">
              <w:rPr>
                <w:sz w:val="24"/>
                <w:szCs w:val="22"/>
              </w:rPr>
              <w:t>Dosis af Atozet må ikke overstige en daglig dosis på 10/20 mg ved samtidig administration af lægemidler, der indeholder elbasvir eller grazoprevir.</w:t>
            </w:r>
          </w:p>
        </w:tc>
      </w:tr>
      <w:tr w:rsidR="00176E9B" w:rsidRPr="001527EA" w:rsidTr="00272594">
        <w:trPr>
          <w:trHeight w:val="793"/>
        </w:trPr>
        <w:tc>
          <w:tcPr>
            <w:tcW w:w="3618" w:type="dxa"/>
            <w:tcBorders>
              <w:top w:val="single" w:sz="8" w:space="0" w:color="000000"/>
              <w:bottom w:val="single" w:sz="8" w:space="0" w:color="000000"/>
              <w:right w:val="single" w:sz="8" w:space="0" w:color="000000"/>
            </w:tcBorders>
          </w:tcPr>
          <w:p w:rsidR="00176E9B" w:rsidRPr="001527EA" w:rsidRDefault="00176E9B" w:rsidP="00272594">
            <w:pPr>
              <w:rPr>
                <w:sz w:val="24"/>
                <w:szCs w:val="24"/>
              </w:rPr>
            </w:pPr>
            <w:r w:rsidRPr="001527EA">
              <w:rPr>
                <w:sz w:val="24"/>
                <w:szCs w:val="24"/>
              </w:rPr>
              <w:t>Glecaprevir 400 mg en gang dagligt/pibrentasvir 120 mg en gang dagligt, 7 dage</w:t>
            </w:r>
          </w:p>
        </w:tc>
        <w:tc>
          <w:tcPr>
            <w:tcW w:w="1800" w:type="dxa"/>
            <w:tcBorders>
              <w:top w:val="single" w:sz="8" w:space="0" w:color="000000"/>
              <w:left w:val="single" w:sz="8" w:space="0" w:color="000000"/>
              <w:bottom w:val="single" w:sz="8" w:space="0" w:color="000000"/>
              <w:right w:val="single" w:sz="8" w:space="0" w:color="000000"/>
            </w:tcBorders>
          </w:tcPr>
          <w:p w:rsidR="00176E9B" w:rsidRPr="001527EA" w:rsidRDefault="00176E9B" w:rsidP="00272594">
            <w:pPr>
              <w:rPr>
                <w:sz w:val="24"/>
                <w:szCs w:val="24"/>
              </w:rPr>
            </w:pPr>
            <w:r w:rsidRPr="001527EA">
              <w:rPr>
                <w:sz w:val="24"/>
                <w:szCs w:val="24"/>
              </w:rPr>
              <w:t>10 mg en gang dagligt i 7 dage</w:t>
            </w:r>
          </w:p>
        </w:tc>
        <w:tc>
          <w:tcPr>
            <w:tcW w:w="1800" w:type="dxa"/>
            <w:tcBorders>
              <w:top w:val="single" w:sz="8" w:space="0" w:color="000000"/>
              <w:left w:val="single" w:sz="8" w:space="0" w:color="000000"/>
              <w:bottom w:val="single" w:sz="8" w:space="0" w:color="000000"/>
              <w:right w:val="single" w:sz="8" w:space="0" w:color="000000"/>
            </w:tcBorders>
          </w:tcPr>
          <w:p w:rsidR="00176E9B" w:rsidRPr="001527EA" w:rsidRDefault="00176E9B" w:rsidP="00272594">
            <w:pPr>
              <w:rPr>
                <w:sz w:val="24"/>
                <w:szCs w:val="24"/>
              </w:rPr>
            </w:pPr>
            <w:r w:rsidRPr="001527EA">
              <w:rPr>
                <w:sz w:val="24"/>
                <w:szCs w:val="24"/>
              </w:rPr>
              <w:t>↑ 8,3 gange</w:t>
            </w:r>
          </w:p>
        </w:tc>
        <w:tc>
          <w:tcPr>
            <w:tcW w:w="2340" w:type="dxa"/>
            <w:tcBorders>
              <w:top w:val="single" w:sz="8" w:space="0" w:color="000000"/>
              <w:left w:val="single" w:sz="8" w:space="0" w:color="000000"/>
              <w:bottom w:val="single" w:sz="8" w:space="0" w:color="000000"/>
            </w:tcBorders>
          </w:tcPr>
          <w:p w:rsidR="00176E9B" w:rsidRPr="001527EA" w:rsidRDefault="00176E9B" w:rsidP="00272594">
            <w:pPr>
              <w:rPr>
                <w:sz w:val="24"/>
                <w:szCs w:val="24"/>
              </w:rPr>
            </w:pPr>
            <w:r w:rsidRPr="001527EA">
              <w:rPr>
                <w:sz w:val="24"/>
                <w:szCs w:val="24"/>
              </w:rPr>
              <w:t>Administration sammen med lægemidler, der indeholder glecaprevir eller pibrentasvir, er kontraindiceret (se pkt. 4.3).</w:t>
            </w:r>
          </w:p>
        </w:tc>
      </w:tr>
    </w:tbl>
    <w:p w:rsidR="00176E9B" w:rsidRPr="00D71A03" w:rsidRDefault="00176E9B" w:rsidP="00176E9B">
      <w:pPr>
        <w:ind w:left="426" w:hanging="426"/>
        <w:rPr>
          <w:sz w:val="20"/>
          <w:highlight w:val="yellow"/>
        </w:rPr>
      </w:pPr>
    </w:p>
    <w:p w:rsidR="00176E9B" w:rsidRPr="00D71A03" w:rsidRDefault="00176E9B" w:rsidP="00D71A03">
      <w:pPr>
        <w:tabs>
          <w:tab w:val="left" w:pos="567"/>
        </w:tabs>
        <w:ind w:left="284"/>
        <w:rPr>
          <w:bCs/>
          <w:sz w:val="20"/>
        </w:rPr>
      </w:pPr>
      <w:r w:rsidRPr="00D71A03">
        <w:rPr>
          <w:bCs/>
          <w:sz w:val="20"/>
          <w:vertAlign w:val="superscript"/>
        </w:rPr>
        <w:t>&amp;</w:t>
      </w:r>
      <w:r w:rsidRPr="00D71A03">
        <w:rPr>
          <w:bCs/>
          <w:sz w:val="20"/>
        </w:rPr>
        <w:tab/>
      </w:r>
      <w:r w:rsidRPr="00D71A03">
        <w:rPr>
          <w:sz w:val="20"/>
        </w:rPr>
        <w:t>Data udtrykt som x-gange ændring angiver et simpelt forhold mellem samtidigt administreret lægemiddel og atorvastatin-monoterapi (dvs</w:t>
      </w:r>
      <w:r w:rsidRPr="00D71A03">
        <w:rPr>
          <w:i/>
          <w:sz w:val="20"/>
        </w:rPr>
        <w:t>.</w:t>
      </w:r>
      <w:r w:rsidRPr="00D71A03">
        <w:rPr>
          <w:sz w:val="20"/>
        </w:rPr>
        <w:t xml:space="preserve"> 1-gang = ingen ændring). Data angivet som procentvis ændring angiver procentvis forskel i forhold til atorvastatin-monoterapi (dvs</w:t>
      </w:r>
      <w:r w:rsidRPr="00D71A03">
        <w:rPr>
          <w:i/>
          <w:sz w:val="20"/>
        </w:rPr>
        <w:t>.</w:t>
      </w:r>
      <w:r w:rsidRPr="00D71A03">
        <w:rPr>
          <w:sz w:val="20"/>
        </w:rPr>
        <w:t xml:space="preserve"> 0% = ingen ændring)</w:t>
      </w:r>
      <w:r w:rsidRPr="00D71A03">
        <w:rPr>
          <w:bCs/>
          <w:sz w:val="20"/>
        </w:rPr>
        <w:t>.</w:t>
      </w:r>
    </w:p>
    <w:p w:rsidR="00176E9B" w:rsidRPr="00D71A03" w:rsidRDefault="00176E9B" w:rsidP="00D71A03">
      <w:pPr>
        <w:tabs>
          <w:tab w:val="left" w:pos="567"/>
        </w:tabs>
        <w:ind w:left="284"/>
        <w:rPr>
          <w:bCs/>
          <w:sz w:val="20"/>
        </w:rPr>
      </w:pPr>
      <w:r w:rsidRPr="00D71A03">
        <w:rPr>
          <w:bCs/>
          <w:sz w:val="20"/>
          <w:vertAlign w:val="superscript"/>
        </w:rPr>
        <w:t>#</w:t>
      </w:r>
      <w:r w:rsidRPr="00D71A03">
        <w:rPr>
          <w:bCs/>
          <w:sz w:val="20"/>
        </w:rPr>
        <w:tab/>
        <w:t>Se pkt. 4.4 og 4.5 for klinisk signifikans.</w:t>
      </w:r>
    </w:p>
    <w:p w:rsidR="00176E9B" w:rsidRPr="00D71A03" w:rsidRDefault="00176E9B" w:rsidP="00D71A03">
      <w:pPr>
        <w:tabs>
          <w:tab w:val="left" w:pos="567"/>
        </w:tabs>
        <w:ind w:left="284"/>
        <w:rPr>
          <w:bCs/>
          <w:sz w:val="20"/>
        </w:rPr>
      </w:pPr>
      <w:r w:rsidRPr="00D71A03">
        <w:rPr>
          <w:bCs/>
          <w:sz w:val="20"/>
        </w:rPr>
        <w:t>*</w:t>
      </w:r>
      <w:r w:rsidRPr="00D71A03">
        <w:rPr>
          <w:bCs/>
          <w:sz w:val="20"/>
        </w:rPr>
        <w:tab/>
      </w:r>
      <w:r w:rsidRPr="00D71A03">
        <w:rPr>
          <w:sz w:val="20"/>
          <w:lang w:bidi="te-IN"/>
        </w:rPr>
        <w:t xml:space="preserve">Indeholder et eller flere komponenter, der hæmmer CYP3A4, og kan øge plasmakoncentrationen af lægemidler, der metaboliseres via </w:t>
      </w:r>
      <w:r w:rsidRPr="00D71A03">
        <w:rPr>
          <w:sz w:val="20"/>
        </w:rPr>
        <w:t>CYP3A4. Indtagelse af et glas (240 ml) grapefrugtjuice resulterede også i en reduktion af AUC på 20,4% for den aktive orthohydroxy-metabolit. Store mængder grapefrugtjuice (over 1,2 l daglig i 5 dage) øgede AUC for atorvastatin 2,5 gange og AUC for aktive (atorvastatin og metabolitter)</w:t>
      </w:r>
      <w:r w:rsidRPr="00D71A03">
        <w:rPr>
          <w:bCs/>
          <w:sz w:val="20"/>
        </w:rPr>
        <w:t>.</w:t>
      </w:r>
    </w:p>
    <w:p w:rsidR="00176E9B" w:rsidRPr="00D71A03" w:rsidRDefault="00176E9B" w:rsidP="00D71A03">
      <w:pPr>
        <w:tabs>
          <w:tab w:val="left" w:pos="567"/>
        </w:tabs>
        <w:ind w:left="284"/>
        <w:rPr>
          <w:bCs/>
          <w:sz w:val="20"/>
        </w:rPr>
      </w:pPr>
      <w:r w:rsidRPr="00D71A03">
        <w:rPr>
          <w:bCs/>
          <w:sz w:val="20"/>
        </w:rPr>
        <w:t>^</w:t>
      </w:r>
      <w:r w:rsidRPr="00D71A03">
        <w:rPr>
          <w:bCs/>
          <w:sz w:val="20"/>
        </w:rPr>
        <w:tab/>
        <w:t>Total-atorvastatin ækvivalent aktivitet.</w:t>
      </w:r>
    </w:p>
    <w:p w:rsidR="00176E9B" w:rsidRPr="00D71A03" w:rsidRDefault="00176E9B" w:rsidP="00D71A03">
      <w:pPr>
        <w:tabs>
          <w:tab w:val="left" w:pos="567"/>
        </w:tabs>
        <w:ind w:left="284"/>
        <w:rPr>
          <w:bCs/>
          <w:sz w:val="20"/>
        </w:rPr>
      </w:pPr>
      <w:r w:rsidRPr="00D71A03">
        <w:rPr>
          <w:bCs/>
          <w:sz w:val="20"/>
        </w:rPr>
        <w:t>Stigning er vist som “↑”, fald som “↓”</w:t>
      </w:r>
    </w:p>
    <w:p w:rsidR="00176E9B" w:rsidRDefault="00176E9B" w:rsidP="00176E9B">
      <w:pPr>
        <w:ind w:left="851"/>
        <w:rPr>
          <w:bCs/>
          <w:sz w:val="24"/>
          <w:szCs w:val="24"/>
        </w:rPr>
      </w:pPr>
    </w:p>
    <w:p w:rsidR="00176E9B" w:rsidRPr="009F53AB" w:rsidRDefault="00176E9B" w:rsidP="00176E9B">
      <w:pPr>
        <w:tabs>
          <w:tab w:val="left" w:pos="4253"/>
          <w:tab w:val="left" w:pos="4395"/>
        </w:tabs>
        <w:ind w:left="851"/>
        <w:jc w:val="center"/>
        <w:rPr>
          <w:b/>
          <w:bCs/>
          <w:sz w:val="24"/>
          <w:szCs w:val="24"/>
        </w:rPr>
      </w:pPr>
      <w:r w:rsidRPr="009F53AB">
        <w:rPr>
          <w:b/>
          <w:bCs/>
          <w:sz w:val="24"/>
          <w:szCs w:val="24"/>
        </w:rPr>
        <w:t>Tabel 2</w:t>
      </w:r>
    </w:p>
    <w:p w:rsidR="00176E9B" w:rsidRPr="00375863" w:rsidRDefault="00176E9B" w:rsidP="00176E9B">
      <w:pPr>
        <w:ind w:left="851" w:hanging="851"/>
        <w:jc w:val="center"/>
        <w:rPr>
          <w:b/>
          <w:bCs/>
          <w:sz w:val="24"/>
          <w:szCs w:val="24"/>
        </w:rPr>
      </w:pPr>
      <w:r w:rsidRPr="00375863">
        <w:rPr>
          <w:b/>
          <w:bCs/>
          <w:sz w:val="24"/>
          <w:szCs w:val="24"/>
        </w:rPr>
        <w:t>Atorvastatins effekt på farmakokinetikken af samtidigt administrerede lægemidler</w:t>
      </w:r>
    </w:p>
    <w:p w:rsidR="00176E9B" w:rsidRDefault="00176E9B" w:rsidP="00176E9B">
      <w:pPr>
        <w:pStyle w:val="ExtraSpace"/>
        <w:keepNext/>
        <w:keepLines/>
        <w:rPr>
          <w:rFonts w:ascii="Times New Roman" w:hAnsi="Times New Roman"/>
          <w:sz w:val="22"/>
          <w:szCs w:val="22"/>
          <w:highlight w:val="yellow"/>
          <w:lang w:val="da-DK"/>
        </w:rPr>
      </w:pPr>
    </w:p>
    <w:tbl>
      <w:tblPr>
        <w:tblW w:w="9465" w:type="dxa"/>
        <w:tblInd w:w="279" w:type="dxa"/>
        <w:tblLayout w:type="fixed"/>
        <w:tblLook w:val="04A0" w:firstRow="1" w:lastRow="0" w:firstColumn="1" w:lastColumn="0" w:noHBand="0" w:noVBand="1"/>
      </w:tblPr>
      <w:tblGrid>
        <w:gridCol w:w="2389"/>
        <w:gridCol w:w="2390"/>
        <w:gridCol w:w="2390"/>
        <w:gridCol w:w="2296"/>
      </w:tblGrid>
      <w:tr w:rsidR="00176E9B" w:rsidTr="00272594">
        <w:trPr>
          <w:trHeight w:val="165"/>
        </w:trPr>
        <w:tc>
          <w:tcPr>
            <w:tcW w:w="2389" w:type="dxa"/>
            <w:vMerge w:val="restart"/>
            <w:tcBorders>
              <w:top w:val="single" w:sz="4" w:space="0" w:color="auto"/>
              <w:left w:val="single" w:sz="4" w:space="0" w:color="auto"/>
              <w:bottom w:val="nil"/>
              <w:right w:val="nil"/>
            </w:tcBorders>
            <w:hideMark/>
          </w:tcPr>
          <w:p w:rsidR="00176E9B" w:rsidRDefault="00176E9B" w:rsidP="00272594">
            <w:pPr>
              <w:pStyle w:val="Default"/>
              <w:rPr>
                <w:sz w:val="22"/>
                <w:szCs w:val="22"/>
                <w:lang w:val="da-DK"/>
              </w:rPr>
            </w:pPr>
            <w:r>
              <w:rPr>
                <w:sz w:val="22"/>
                <w:szCs w:val="22"/>
                <w:lang w:val="da-DK"/>
              </w:rPr>
              <w:t>Atorvastatin og doseringsregime</w:t>
            </w:r>
          </w:p>
        </w:tc>
        <w:tc>
          <w:tcPr>
            <w:tcW w:w="4780" w:type="dxa"/>
            <w:gridSpan w:val="2"/>
            <w:tcBorders>
              <w:top w:val="single" w:sz="4" w:space="0" w:color="auto"/>
              <w:left w:val="nil"/>
              <w:bottom w:val="nil"/>
              <w:right w:val="nil"/>
            </w:tcBorders>
            <w:hideMark/>
          </w:tcPr>
          <w:p w:rsidR="00176E9B" w:rsidRDefault="00176E9B" w:rsidP="00272594">
            <w:pPr>
              <w:pStyle w:val="Default"/>
              <w:jc w:val="center"/>
              <w:rPr>
                <w:sz w:val="22"/>
                <w:szCs w:val="22"/>
                <w:lang w:val="da-DK"/>
              </w:rPr>
            </w:pPr>
            <w:r>
              <w:rPr>
                <w:sz w:val="22"/>
                <w:szCs w:val="22"/>
                <w:lang w:val="da-DK"/>
              </w:rPr>
              <w:t>Samtidigt administreret lægemiddel</w:t>
            </w:r>
          </w:p>
        </w:tc>
        <w:tc>
          <w:tcPr>
            <w:tcW w:w="2296" w:type="dxa"/>
            <w:tcBorders>
              <w:top w:val="single" w:sz="4" w:space="0" w:color="auto"/>
              <w:left w:val="nil"/>
              <w:right w:val="single" w:sz="4" w:space="0" w:color="auto"/>
            </w:tcBorders>
            <w:hideMark/>
          </w:tcPr>
          <w:p w:rsidR="00176E9B" w:rsidRDefault="00176E9B" w:rsidP="00272594">
            <w:pPr>
              <w:pStyle w:val="Default"/>
              <w:jc w:val="center"/>
              <w:rPr>
                <w:sz w:val="22"/>
                <w:szCs w:val="22"/>
                <w:lang w:val="da-DK"/>
              </w:rPr>
            </w:pPr>
            <w:r>
              <w:rPr>
                <w:sz w:val="22"/>
                <w:szCs w:val="22"/>
                <w:lang w:val="da-DK"/>
              </w:rPr>
              <w:t>Atozet</w:t>
            </w:r>
          </w:p>
        </w:tc>
      </w:tr>
      <w:tr w:rsidR="00176E9B" w:rsidTr="00272594">
        <w:trPr>
          <w:trHeight w:val="165"/>
        </w:trPr>
        <w:tc>
          <w:tcPr>
            <w:tcW w:w="2389" w:type="dxa"/>
            <w:vMerge/>
            <w:tcBorders>
              <w:top w:val="single" w:sz="4" w:space="0" w:color="auto"/>
              <w:left w:val="single" w:sz="4" w:space="0" w:color="auto"/>
              <w:bottom w:val="nil"/>
              <w:right w:val="nil"/>
            </w:tcBorders>
            <w:vAlign w:val="center"/>
            <w:hideMark/>
          </w:tcPr>
          <w:p w:rsidR="00176E9B" w:rsidRDefault="00176E9B" w:rsidP="00272594">
            <w:pPr>
              <w:rPr>
                <w:color w:val="000000"/>
                <w:sz w:val="22"/>
                <w:szCs w:val="22"/>
              </w:rPr>
            </w:pPr>
          </w:p>
        </w:tc>
        <w:tc>
          <w:tcPr>
            <w:tcW w:w="2390" w:type="dxa"/>
            <w:hideMark/>
          </w:tcPr>
          <w:p w:rsidR="00176E9B" w:rsidRDefault="00176E9B" w:rsidP="00272594">
            <w:pPr>
              <w:pStyle w:val="Default"/>
              <w:rPr>
                <w:sz w:val="22"/>
                <w:szCs w:val="22"/>
                <w:lang w:val="da-DK"/>
              </w:rPr>
            </w:pPr>
            <w:r>
              <w:rPr>
                <w:sz w:val="22"/>
                <w:szCs w:val="22"/>
                <w:lang w:val="da-DK"/>
              </w:rPr>
              <w:t>Lægemiddel/dosis (mg)</w:t>
            </w:r>
          </w:p>
        </w:tc>
        <w:tc>
          <w:tcPr>
            <w:tcW w:w="2390" w:type="dxa"/>
            <w:hideMark/>
          </w:tcPr>
          <w:p w:rsidR="00176E9B" w:rsidRDefault="00176E9B" w:rsidP="00272594">
            <w:pPr>
              <w:pStyle w:val="Default"/>
              <w:rPr>
                <w:sz w:val="22"/>
                <w:szCs w:val="22"/>
                <w:lang w:val="da-DK"/>
              </w:rPr>
            </w:pPr>
            <w:r>
              <w:rPr>
                <w:sz w:val="22"/>
                <w:szCs w:val="22"/>
                <w:lang w:val="da-DK"/>
              </w:rPr>
              <w:t>Ændring i AUC</w:t>
            </w:r>
            <w:r>
              <w:rPr>
                <w:sz w:val="22"/>
                <w:szCs w:val="22"/>
                <w:vertAlign w:val="superscript"/>
                <w:lang w:val="da-DK"/>
              </w:rPr>
              <w:t>&amp;</w:t>
            </w:r>
          </w:p>
        </w:tc>
        <w:tc>
          <w:tcPr>
            <w:tcW w:w="2296" w:type="dxa"/>
            <w:tcBorders>
              <w:bottom w:val="single" w:sz="8" w:space="0" w:color="000000"/>
              <w:right w:val="single" w:sz="4" w:space="0" w:color="auto"/>
            </w:tcBorders>
            <w:hideMark/>
          </w:tcPr>
          <w:p w:rsidR="00176E9B" w:rsidRDefault="00176E9B" w:rsidP="00272594">
            <w:pPr>
              <w:pStyle w:val="Default"/>
              <w:rPr>
                <w:sz w:val="22"/>
                <w:szCs w:val="22"/>
                <w:lang w:val="da-DK"/>
              </w:rPr>
            </w:pPr>
            <w:r>
              <w:rPr>
                <w:sz w:val="22"/>
                <w:szCs w:val="22"/>
                <w:lang w:val="da-DK"/>
              </w:rPr>
              <w:t>Klinisk anbefaling</w:t>
            </w:r>
          </w:p>
        </w:tc>
      </w:tr>
      <w:tr w:rsidR="00176E9B" w:rsidTr="00272594">
        <w:trPr>
          <w:trHeight w:val="541"/>
        </w:trPr>
        <w:tc>
          <w:tcPr>
            <w:tcW w:w="2389"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80 mg en gang daglig i 10 dage </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Digoxin 0,25 mg en gang daglig, 20 dage </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 15% </w:t>
            </w:r>
          </w:p>
        </w:tc>
        <w:tc>
          <w:tcPr>
            <w:tcW w:w="2296"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Patienter, der tager digoxin, skal monitoreres hensigtsmæssigt. </w:t>
            </w:r>
          </w:p>
        </w:tc>
      </w:tr>
      <w:tr w:rsidR="00176E9B" w:rsidTr="00272594">
        <w:trPr>
          <w:trHeight w:val="1048"/>
        </w:trPr>
        <w:tc>
          <w:tcPr>
            <w:tcW w:w="2389"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40 mg en gang daglig i 22 dage</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Orale kontraceptiva en gang daglig, 2 måneder </w:t>
            </w:r>
          </w:p>
          <w:p w:rsidR="00176E9B" w:rsidRDefault="00176E9B" w:rsidP="00272594">
            <w:pPr>
              <w:pStyle w:val="Default"/>
              <w:rPr>
                <w:sz w:val="22"/>
                <w:szCs w:val="22"/>
                <w:lang w:val="da-DK"/>
              </w:rPr>
            </w:pPr>
            <w:r>
              <w:rPr>
                <w:sz w:val="22"/>
                <w:szCs w:val="22"/>
                <w:lang w:val="da-DK"/>
              </w:rPr>
              <w:t xml:space="preserve">-norethisteron 1 mg </w:t>
            </w:r>
          </w:p>
          <w:p w:rsidR="00176E9B" w:rsidRDefault="00176E9B" w:rsidP="00272594">
            <w:pPr>
              <w:pStyle w:val="Default"/>
              <w:rPr>
                <w:sz w:val="22"/>
                <w:szCs w:val="22"/>
                <w:lang w:val="da-DK"/>
              </w:rPr>
            </w:pPr>
            <w:r>
              <w:rPr>
                <w:sz w:val="22"/>
                <w:szCs w:val="22"/>
                <w:lang w:val="da-DK"/>
              </w:rPr>
              <w:t xml:space="preserve">-ethinylestradiol 35 μg </w:t>
            </w:r>
          </w:p>
        </w:tc>
        <w:tc>
          <w:tcPr>
            <w:tcW w:w="2390" w:type="dxa"/>
            <w:tcBorders>
              <w:top w:val="single" w:sz="8" w:space="0" w:color="000000"/>
              <w:left w:val="single" w:sz="8" w:space="0" w:color="000000"/>
              <w:bottom w:val="single" w:sz="8" w:space="0" w:color="000000"/>
              <w:right w:val="single" w:sz="8" w:space="0" w:color="000000"/>
            </w:tcBorders>
          </w:tcPr>
          <w:p w:rsidR="00176E9B" w:rsidRDefault="00176E9B" w:rsidP="00272594">
            <w:pPr>
              <w:pStyle w:val="Default"/>
              <w:rPr>
                <w:sz w:val="22"/>
                <w:szCs w:val="22"/>
                <w:lang w:val="da-DK"/>
              </w:rPr>
            </w:pPr>
          </w:p>
          <w:p w:rsidR="00176E9B" w:rsidRDefault="00176E9B" w:rsidP="00272594">
            <w:pPr>
              <w:pStyle w:val="Default"/>
              <w:rPr>
                <w:sz w:val="22"/>
                <w:szCs w:val="22"/>
                <w:lang w:val="da-DK"/>
              </w:rPr>
            </w:pPr>
          </w:p>
          <w:p w:rsidR="00176E9B" w:rsidRDefault="00176E9B" w:rsidP="00272594">
            <w:pPr>
              <w:pStyle w:val="Default"/>
              <w:rPr>
                <w:sz w:val="22"/>
                <w:szCs w:val="22"/>
                <w:lang w:val="da-DK"/>
              </w:rPr>
            </w:pPr>
            <w:r>
              <w:rPr>
                <w:sz w:val="22"/>
                <w:szCs w:val="22"/>
                <w:lang w:val="da-DK"/>
              </w:rPr>
              <w:t xml:space="preserve">↑ 28% </w:t>
            </w:r>
          </w:p>
          <w:p w:rsidR="00176E9B" w:rsidRDefault="00176E9B" w:rsidP="00272594">
            <w:pPr>
              <w:pStyle w:val="Default"/>
              <w:rPr>
                <w:sz w:val="22"/>
                <w:szCs w:val="22"/>
                <w:lang w:val="da-DK"/>
              </w:rPr>
            </w:pPr>
            <w:r>
              <w:rPr>
                <w:sz w:val="22"/>
                <w:szCs w:val="22"/>
                <w:lang w:val="da-DK"/>
              </w:rPr>
              <w:t xml:space="preserve">↑ 19% </w:t>
            </w:r>
          </w:p>
        </w:tc>
        <w:tc>
          <w:tcPr>
            <w:tcW w:w="2296"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Ingen særlig anbefaling. </w:t>
            </w:r>
          </w:p>
        </w:tc>
      </w:tr>
      <w:tr w:rsidR="00176E9B" w:rsidTr="00272594">
        <w:trPr>
          <w:trHeight w:val="540"/>
        </w:trPr>
        <w:tc>
          <w:tcPr>
            <w:tcW w:w="2389"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80 mg en gang daglig i 15 dage</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 Phenazon, 600 mg enkeltdosis </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xml:space="preserve">↑ 3% </w:t>
            </w:r>
          </w:p>
        </w:tc>
        <w:tc>
          <w:tcPr>
            <w:tcW w:w="2296"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Ingen særlig anbefaling.</w:t>
            </w:r>
          </w:p>
        </w:tc>
      </w:tr>
      <w:tr w:rsidR="00176E9B" w:rsidTr="00272594">
        <w:trPr>
          <w:trHeight w:val="540"/>
        </w:trPr>
        <w:tc>
          <w:tcPr>
            <w:tcW w:w="2389"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10 mg en gang daglig i 4 dage</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Fosamprenavir 1.400 mg to gange daglig, 14 dage</w:t>
            </w:r>
          </w:p>
        </w:tc>
        <w:tc>
          <w:tcPr>
            <w:tcW w:w="2390"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 27%</w:t>
            </w:r>
          </w:p>
        </w:tc>
        <w:tc>
          <w:tcPr>
            <w:tcW w:w="2296" w:type="dxa"/>
            <w:tcBorders>
              <w:top w:val="single" w:sz="8" w:space="0" w:color="000000"/>
              <w:left w:val="single" w:sz="8" w:space="0" w:color="000000"/>
              <w:bottom w:val="single" w:sz="8" w:space="0" w:color="000000"/>
              <w:right w:val="single" w:sz="8" w:space="0" w:color="000000"/>
            </w:tcBorders>
            <w:hideMark/>
          </w:tcPr>
          <w:p w:rsidR="00176E9B" w:rsidRDefault="00176E9B" w:rsidP="00272594">
            <w:pPr>
              <w:pStyle w:val="Default"/>
              <w:rPr>
                <w:sz w:val="22"/>
                <w:szCs w:val="22"/>
                <w:lang w:val="da-DK"/>
              </w:rPr>
            </w:pPr>
            <w:r>
              <w:rPr>
                <w:sz w:val="22"/>
                <w:szCs w:val="22"/>
                <w:lang w:val="da-DK"/>
              </w:rPr>
              <w:t>Ingen særlig anbefaling</w:t>
            </w:r>
          </w:p>
        </w:tc>
      </w:tr>
    </w:tbl>
    <w:p w:rsidR="00176E9B" w:rsidRDefault="00176E9B" w:rsidP="00176E9B">
      <w:pPr>
        <w:pStyle w:val="ExtraSpace"/>
        <w:keepNext/>
        <w:keepLines/>
        <w:rPr>
          <w:rFonts w:ascii="Times New Roman" w:hAnsi="Times New Roman"/>
          <w:sz w:val="22"/>
          <w:szCs w:val="22"/>
          <w:highlight w:val="yellow"/>
          <w:lang w:val="da-DK"/>
        </w:rPr>
      </w:pPr>
    </w:p>
    <w:p w:rsidR="00176E9B" w:rsidRPr="00D71A03" w:rsidRDefault="00176E9B" w:rsidP="00D71A03">
      <w:pPr>
        <w:tabs>
          <w:tab w:val="left" w:pos="567"/>
        </w:tabs>
        <w:ind w:left="284"/>
        <w:rPr>
          <w:bCs/>
          <w:sz w:val="20"/>
        </w:rPr>
      </w:pPr>
      <w:r w:rsidRPr="00D71A03">
        <w:rPr>
          <w:bCs/>
          <w:sz w:val="20"/>
          <w:vertAlign w:val="superscript"/>
        </w:rPr>
        <w:t xml:space="preserve">&amp; </w:t>
      </w:r>
      <w:r w:rsidR="00D71A03">
        <w:rPr>
          <w:bCs/>
          <w:sz w:val="20"/>
          <w:vertAlign w:val="superscript"/>
        </w:rPr>
        <w:tab/>
      </w:r>
      <w:r w:rsidRPr="00D71A03">
        <w:rPr>
          <w:bCs/>
          <w:sz w:val="20"/>
        </w:rPr>
        <w:t xml:space="preserve">Data angivet som procentvis ændring angiver procentvis forskel i forhold til </w:t>
      </w:r>
      <w:r w:rsidRPr="00D71A03">
        <w:rPr>
          <w:sz w:val="20"/>
        </w:rPr>
        <w:t xml:space="preserve">atorvastatin-monoterapi </w:t>
      </w:r>
      <w:r w:rsidRPr="00D71A03">
        <w:rPr>
          <w:bCs/>
          <w:sz w:val="20"/>
        </w:rPr>
        <w:t>(dvs. 0% = ingen ændring).</w:t>
      </w:r>
    </w:p>
    <w:p w:rsidR="00176E9B" w:rsidRPr="00D71A03" w:rsidRDefault="00176E9B" w:rsidP="00D71A03">
      <w:pPr>
        <w:tabs>
          <w:tab w:val="left" w:pos="567"/>
        </w:tabs>
        <w:ind w:left="284"/>
        <w:rPr>
          <w:bCs/>
          <w:sz w:val="20"/>
        </w:rPr>
      </w:pPr>
      <w:r w:rsidRPr="00D71A03">
        <w:rPr>
          <w:bCs/>
          <w:sz w:val="20"/>
        </w:rPr>
        <w:t>*</w:t>
      </w:r>
      <w:r w:rsidR="00D71A03">
        <w:rPr>
          <w:bCs/>
          <w:sz w:val="20"/>
        </w:rPr>
        <w:tab/>
      </w:r>
      <w:r w:rsidRPr="00D71A03">
        <w:rPr>
          <w:bCs/>
          <w:sz w:val="20"/>
        </w:rPr>
        <w:t>Samtidig administration af flere doser af atorvastatin og phenazon viste en lille eller ingen målbar virkning på phenazons clearance.</w:t>
      </w:r>
    </w:p>
    <w:p w:rsidR="00176E9B" w:rsidRPr="00D71A03" w:rsidRDefault="00D71A03" w:rsidP="00D71A03">
      <w:pPr>
        <w:tabs>
          <w:tab w:val="left" w:pos="567"/>
        </w:tabs>
        <w:ind w:left="284" w:hanging="567"/>
        <w:rPr>
          <w:bCs/>
          <w:sz w:val="20"/>
        </w:rPr>
      </w:pPr>
      <w:r>
        <w:rPr>
          <w:bCs/>
          <w:sz w:val="20"/>
        </w:rPr>
        <w:tab/>
      </w:r>
      <w:r w:rsidR="00176E9B" w:rsidRPr="00D71A03">
        <w:rPr>
          <w:bCs/>
          <w:sz w:val="20"/>
        </w:rPr>
        <w:t>Stigning er vist som “↑”, fald som “↓”</w:t>
      </w:r>
    </w:p>
    <w:p w:rsidR="00176E9B" w:rsidRPr="00B07995" w:rsidRDefault="00176E9B" w:rsidP="00176E9B">
      <w:pPr>
        <w:ind w:left="851" w:hanging="851"/>
        <w:rPr>
          <w:sz w:val="24"/>
          <w:szCs w:val="24"/>
        </w:rPr>
      </w:pPr>
    </w:p>
    <w:p w:rsidR="00176E9B" w:rsidRPr="00B07995" w:rsidRDefault="00176E9B" w:rsidP="001C04A4">
      <w:pPr>
        <w:keepNext/>
        <w:ind w:left="851" w:hanging="851"/>
        <w:rPr>
          <w:b/>
          <w:sz w:val="24"/>
          <w:szCs w:val="24"/>
        </w:rPr>
      </w:pPr>
      <w:r w:rsidRPr="00B07995">
        <w:rPr>
          <w:b/>
          <w:sz w:val="24"/>
          <w:szCs w:val="24"/>
        </w:rPr>
        <w:lastRenderedPageBreak/>
        <w:t>4.6</w:t>
      </w:r>
      <w:r w:rsidRPr="00B07995">
        <w:rPr>
          <w:b/>
          <w:sz w:val="24"/>
          <w:szCs w:val="24"/>
        </w:rPr>
        <w:tab/>
      </w:r>
      <w:r w:rsidR="00D71A03">
        <w:rPr>
          <w:b/>
          <w:sz w:val="24"/>
          <w:szCs w:val="24"/>
        </w:rPr>
        <w:t>Fertilitet, g</w:t>
      </w:r>
      <w:r w:rsidRPr="00B07995">
        <w:rPr>
          <w:b/>
          <w:sz w:val="24"/>
          <w:szCs w:val="24"/>
        </w:rPr>
        <w:t>raviditet og amning</w:t>
      </w:r>
    </w:p>
    <w:p w:rsidR="00D71A03" w:rsidRPr="00D71A03" w:rsidRDefault="00D71A03" w:rsidP="00176E9B">
      <w:pPr>
        <w:ind w:left="851" w:hanging="851"/>
        <w:rPr>
          <w:sz w:val="24"/>
          <w:szCs w:val="24"/>
        </w:rPr>
      </w:pPr>
    </w:p>
    <w:p w:rsidR="00176E9B" w:rsidRPr="00B07995" w:rsidRDefault="00176E9B" w:rsidP="00176E9B">
      <w:pPr>
        <w:ind w:left="851" w:hanging="851"/>
        <w:rPr>
          <w:i/>
          <w:sz w:val="24"/>
          <w:szCs w:val="24"/>
        </w:rPr>
      </w:pPr>
      <w:r w:rsidRPr="00B07995">
        <w:rPr>
          <w:sz w:val="24"/>
          <w:szCs w:val="24"/>
        </w:rPr>
        <w:tab/>
      </w:r>
      <w:r w:rsidRPr="00B07995">
        <w:rPr>
          <w:i/>
          <w:sz w:val="24"/>
          <w:szCs w:val="24"/>
        </w:rPr>
        <w:t>Kvinder i den fertile alder</w:t>
      </w:r>
    </w:p>
    <w:p w:rsidR="00176E9B" w:rsidRPr="00B07995" w:rsidRDefault="00176E9B" w:rsidP="00176E9B">
      <w:pPr>
        <w:ind w:left="851"/>
        <w:rPr>
          <w:sz w:val="24"/>
          <w:szCs w:val="24"/>
        </w:rPr>
      </w:pPr>
      <w:r w:rsidRPr="00B07995">
        <w:rPr>
          <w:spacing w:val="-3"/>
          <w:sz w:val="24"/>
          <w:szCs w:val="24"/>
        </w:rPr>
        <w:t>Kvinder i den fertile alder skal anvende sikker kontraception under behandlingen (se pkt. 4.3)</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snapToGrid w:val="0"/>
          <w:sz w:val="24"/>
          <w:szCs w:val="24"/>
        </w:rPr>
      </w:pPr>
      <w:r w:rsidRPr="00B07995">
        <w:rPr>
          <w:snapToGrid w:val="0"/>
          <w:sz w:val="24"/>
          <w:szCs w:val="24"/>
          <w:u w:val="single"/>
        </w:rPr>
        <w:t>Graviditet</w:t>
      </w:r>
    </w:p>
    <w:p w:rsidR="00176E9B" w:rsidRPr="00B07995" w:rsidRDefault="00176E9B" w:rsidP="00176E9B">
      <w:pPr>
        <w:ind w:left="851"/>
        <w:rPr>
          <w:sz w:val="24"/>
          <w:szCs w:val="24"/>
        </w:rPr>
      </w:pPr>
      <w:r w:rsidRPr="00B07995">
        <w:rPr>
          <w:spacing w:val="-3"/>
          <w:sz w:val="24"/>
          <w:szCs w:val="24"/>
        </w:rPr>
        <w:t>Aterosklerose er en kronisk proces, og sædvanligvis vil seponering af kolesterolsænkende medicin under graviditet kun have en lille indflydelse på den langsigtede risiko forbundet med primær hyperkolesterolæmi</w:t>
      </w:r>
      <w:r w:rsidRPr="00B07995">
        <w:rPr>
          <w:sz w:val="24"/>
          <w:szCs w:val="24"/>
        </w:rPr>
        <w:t>.</w:t>
      </w:r>
    </w:p>
    <w:p w:rsidR="00176E9B" w:rsidRPr="00B07995" w:rsidRDefault="00176E9B" w:rsidP="00176E9B">
      <w:pPr>
        <w:ind w:left="851" w:hanging="851"/>
        <w:rPr>
          <w:snapToGrid w:val="0"/>
          <w:sz w:val="24"/>
          <w:szCs w:val="24"/>
        </w:rPr>
      </w:pPr>
    </w:p>
    <w:p w:rsidR="00176E9B" w:rsidRPr="00B07995" w:rsidRDefault="00176E9B" w:rsidP="00176E9B">
      <w:pPr>
        <w:ind w:left="851"/>
        <w:rPr>
          <w:i/>
          <w:snapToGrid w:val="0"/>
          <w:sz w:val="24"/>
          <w:szCs w:val="24"/>
        </w:rPr>
      </w:pPr>
      <w:r w:rsidRPr="00B07995">
        <w:rPr>
          <w:i/>
          <w:snapToGrid w:val="0"/>
          <w:sz w:val="24"/>
          <w:szCs w:val="24"/>
        </w:rPr>
        <w:t>Atozet</w:t>
      </w:r>
    </w:p>
    <w:p w:rsidR="00176E9B" w:rsidRPr="003514A8" w:rsidRDefault="00176E9B" w:rsidP="00176E9B">
      <w:pPr>
        <w:ind w:left="851"/>
        <w:rPr>
          <w:b/>
          <w:sz w:val="24"/>
          <w:szCs w:val="24"/>
        </w:rPr>
      </w:pPr>
      <w:r w:rsidRPr="003514A8">
        <w:rPr>
          <w:sz w:val="24"/>
          <w:szCs w:val="24"/>
        </w:rPr>
        <w:t>Atozet er kontraindiceret under graviditet (se pkt. 4.3). Der er ingen kliniske data fra anvendelse af Atozet til gravide kvinder. Atozet må ikke gives til gravide kvinder, kvinder der forsøger at blive gravide, eller kvinder der har mistanke om, at de er gravide. Behandlingen med Atozet skal afbrydes under graviditeten, eller indtil det er fastslået, at kvinden ikke er gravid (se pkt. 4.3).</w:t>
      </w:r>
    </w:p>
    <w:p w:rsidR="00176E9B" w:rsidRPr="003514A8" w:rsidRDefault="00176E9B" w:rsidP="00176E9B">
      <w:pPr>
        <w:ind w:left="851"/>
        <w:rPr>
          <w:b/>
          <w:sz w:val="24"/>
          <w:szCs w:val="24"/>
        </w:rPr>
      </w:pPr>
    </w:p>
    <w:p w:rsidR="00176E9B" w:rsidRPr="003514A8" w:rsidRDefault="00176E9B" w:rsidP="00176E9B">
      <w:pPr>
        <w:ind w:left="851"/>
        <w:rPr>
          <w:sz w:val="24"/>
          <w:szCs w:val="24"/>
          <w:lang w:bidi="hi-IN"/>
        </w:rPr>
      </w:pPr>
      <w:r w:rsidRPr="003514A8">
        <w:rPr>
          <w:sz w:val="24"/>
          <w:szCs w:val="24"/>
          <w:lang w:bidi="hi-IN"/>
        </w:rPr>
        <w:t>Samtidig administration af ezetimib og atorvastatin til drægtige rotter indicerede, at der var en studiemedicinrelateret stigning i skeletvariationen “reduceret ossifikation af sternebrae” i gruppen med høj dosis af ezetimib/atorvastatin. Dette kan være relateret til det observerede fald i føtal legemsvægt. Hos drægtige kaniner blev der observeret en lav forekomst af skeletmisdannelser (sammenvoksede sternebrae, sammenvoksede halehvirvler og asymmetriske sternebrae).</w:t>
      </w:r>
    </w:p>
    <w:p w:rsidR="00176E9B" w:rsidRPr="003514A8" w:rsidRDefault="00176E9B" w:rsidP="00176E9B">
      <w:pPr>
        <w:ind w:left="851"/>
        <w:rPr>
          <w:snapToGrid w:val="0"/>
          <w:sz w:val="24"/>
          <w:szCs w:val="24"/>
          <w:u w:val="single"/>
        </w:rPr>
      </w:pPr>
    </w:p>
    <w:p w:rsidR="00176E9B" w:rsidRPr="003514A8" w:rsidRDefault="00176E9B" w:rsidP="00176E9B">
      <w:pPr>
        <w:ind w:left="851"/>
        <w:rPr>
          <w:i/>
          <w:snapToGrid w:val="0"/>
          <w:sz w:val="24"/>
          <w:szCs w:val="24"/>
        </w:rPr>
      </w:pPr>
      <w:r w:rsidRPr="003514A8">
        <w:rPr>
          <w:i/>
          <w:snapToGrid w:val="0"/>
          <w:sz w:val="24"/>
          <w:szCs w:val="24"/>
        </w:rPr>
        <w:t>Atorvastatin</w:t>
      </w:r>
    </w:p>
    <w:p w:rsidR="00176E9B" w:rsidRPr="003514A8" w:rsidRDefault="00176E9B" w:rsidP="00176E9B">
      <w:pPr>
        <w:ind w:left="851"/>
        <w:rPr>
          <w:sz w:val="24"/>
          <w:szCs w:val="24"/>
        </w:rPr>
      </w:pPr>
      <w:r w:rsidRPr="003514A8">
        <w:rPr>
          <w:spacing w:val="-3"/>
          <w:sz w:val="24"/>
          <w:szCs w:val="24"/>
        </w:rPr>
        <w:t>Sikkerheden ved anvendelse af atorvastatin under graviditet er ikke fastslået. Der er ikke udført kontrollerede kliniske studier med atorvastatin hos gravide kvinder. Sjældne rapporter om medfødte anomalier efter intrauterin påvirkning af HMG-CoA-reduktasehæmmere er set. Dyreforsøg har påvist reproduktionstoksicitet (se pkt. 5.3)</w:t>
      </w:r>
      <w:r w:rsidRPr="003514A8">
        <w:rPr>
          <w:sz w:val="24"/>
          <w:szCs w:val="24"/>
        </w:rPr>
        <w:t xml:space="preserve">. Maternel behandling med atorvastatin kan reducere føtalkoncentrationerne af mevalonat, som er et forstadie i kolesterol-biosyntesen. </w:t>
      </w:r>
    </w:p>
    <w:p w:rsidR="00176E9B" w:rsidRPr="003514A8" w:rsidRDefault="00176E9B" w:rsidP="00176E9B">
      <w:pPr>
        <w:autoSpaceDE w:val="0"/>
        <w:autoSpaceDN w:val="0"/>
        <w:adjustRightInd w:val="0"/>
        <w:ind w:left="851"/>
        <w:rPr>
          <w:sz w:val="24"/>
          <w:szCs w:val="24"/>
        </w:rPr>
      </w:pPr>
    </w:p>
    <w:p w:rsidR="00176E9B" w:rsidRPr="003514A8" w:rsidRDefault="00176E9B" w:rsidP="00176E9B">
      <w:pPr>
        <w:keepNext/>
        <w:ind w:left="851"/>
        <w:rPr>
          <w:i/>
          <w:snapToGrid w:val="0"/>
          <w:sz w:val="24"/>
          <w:szCs w:val="24"/>
        </w:rPr>
      </w:pPr>
      <w:r w:rsidRPr="003514A8">
        <w:rPr>
          <w:i/>
          <w:snapToGrid w:val="0"/>
          <w:sz w:val="24"/>
          <w:szCs w:val="24"/>
        </w:rPr>
        <w:t>Ezetimib</w:t>
      </w:r>
    </w:p>
    <w:p w:rsidR="00176E9B" w:rsidRPr="003514A8" w:rsidRDefault="00176E9B" w:rsidP="00176E9B">
      <w:pPr>
        <w:ind w:left="851"/>
        <w:rPr>
          <w:sz w:val="24"/>
          <w:szCs w:val="24"/>
        </w:rPr>
      </w:pPr>
      <w:r w:rsidRPr="003514A8">
        <w:rPr>
          <w:sz w:val="24"/>
          <w:szCs w:val="24"/>
          <w:lang w:eastAsia="da-DK"/>
        </w:rPr>
        <w:t>Der er ingen kliniske data om brug af Atozet under graviditet</w:t>
      </w:r>
      <w:r w:rsidRPr="003514A8">
        <w:rPr>
          <w:snapToGrid w:val="0"/>
          <w:sz w:val="24"/>
          <w:szCs w:val="24"/>
        </w:rPr>
        <w:t>.</w:t>
      </w:r>
      <w:r w:rsidRPr="003514A8">
        <w:rPr>
          <w:sz w:val="24"/>
          <w:szCs w:val="24"/>
        </w:rPr>
        <w:t xml:space="preserve"> Dyreforsøg vedrørende brugen af </w:t>
      </w:r>
      <w:r w:rsidRPr="003514A8">
        <w:rPr>
          <w:snapToGrid w:val="0"/>
          <w:sz w:val="24"/>
          <w:szCs w:val="24"/>
        </w:rPr>
        <w:t>ezetimib som monoterapi indikerer hverken direkte eller indirekte skadelige virkninger hvad angår graviditet, embryoføtal udvikling, fødsel eller postnatal udvikling (s</w:t>
      </w:r>
      <w:r w:rsidRPr="003514A8">
        <w:rPr>
          <w:sz w:val="24"/>
          <w:szCs w:val="24"/>
        </w:rPr>
        <w:t>e pkt. 5.3).</w:t>
      </w:r>
    </w:p>
    <w:p w:rsidR="00176E9B" w:rsidRPr="00B07995" w:rsidRDefault="00176E9B" w:rsidP="00176E9B">
      <w:pPr>
        <w:ind w:left="851" w:hanging="851"/>
        <w:rPr>
          <w:snapToGrid w:val="0"/>
          <w:sz w:val="24"/>
          <w:szCs w:val="24"/>
        </w:rPr>
      </w:pPr>
    </w:p>
    <w:p w:rsidR="00176E9B" w:rsidRPr="00B07995" w:rsidRDefault="00176E9B" w:rsidP="00176E9B">
      <w:pPr>
        <w:ind w:left="851"/>
        <w:rPr>
          <w:snapToGrid w:val="0"/>
          <w:sz w:val="24"/>
          <w:szCs w:val="24"/>
          <w:u w:val="single"/>
        </w:rPr>
      </w:pPr>
      <w:r w:rsidRPr="00B07995">
        <w:rPr>
          <w:snapToGrid w:val="0"/>
          <w:sz w:val="24"/>
          <w:szCs w:val="24"/>
          <w:u w:val="single"/>
        </w:rPr>
        <w:t>Amning</w:t>
      </w:r>
    </w:p>
    <w:p w:rsidR="00176E9B" w:rsidRPr="00B07995" w:rsidRDefault="00176E9B" w:rsidP="00176E9B">
      <w:pPr>
        <w:ind w:left="851"/>
        <w:rPr>
          <w:snapToGrid w:val="0"/>
          <w:sz w:val="24"/>
          <w:szCs w:val="24"/>
        </w:rPr>
      </w:pPr>
      <w:r w:rsidRPr="00B07995">
        <w:rPr>
          <w:sz w:val="24"/>
          <w:szCs w:val="24"/>
        </w:rPr>
        <w:t xml:space="preserve">Atozet er kontraindiceret under amning. På grund af risikoen for alvorlige bivirkninger må kvinder, der tager Atozet, ikke amme deres børn. Studier </w:t>
      </w:r>
      <w:r w:rsidRPr="00B07995">
        <w:rPr>
          <w:sz w:val="24"/>
          <w:szCs w:val="24"/>
          <w:lang w:eastAsia="da-DK"/>
        </w:rPr>
        <w:t xml:space="preserve">med rotter har vist, at </w:t>
      </w:r>
      <w:r>
        <w:rPr>
          <w:sz w:val="24"/>
          <w:szCs w:val="24"/>
          <w:lang w:eastAsia="da-DK"/>
        </w:rPr>
        <w:t>ezetimib</w:t>
      </w:r>
      <w:r w:rsidRPr="00B07995">
        <w:rPr>
          <w:sz w:val="24"/>
          <w:szCs w:val="24"/>
          <w:lang w:eastAsia="da-DK"/>
        </w:rPr>
        <w:t xml:space="preserve"> udskilles i modermælken</w:t>
      </w:r>
      <w:r w:rsidRPr="00B07995">
        <w:rPr>
          <w:snapToGrid w:val="0"/>
          <w:sz w:val="24"/>
          <w:szCs w:val="24"/>
        </w:rPr>
        <w:t xml:space="preserve">. </w:t>
      </w:r>
      <w:r w:rsidRPr="00B07995">
        <w:rPr>
          <w:noProof/>
          <w:sz w:val="24"/>
          <w:szCs w:val="24"/>
        </w:rPr>
        <w:t>Hos rotter svarer koncentrationerne af atorvastatin og dets aktive metabolitter i plasma til koncentrationerne i mælken</w:t>
      </w:r>
      <w:r w:rsidRPr="00B07995">
        <w:rPr>
          <w:sz w:val="24"/>
          <w:szCs w:val="24"/>
        </w:rPr>
        <w:t xml:space="preserve">. </w:t>
      </w:r>
      <w:r w:rsidRPr="00B07995">
        <w:rPr>
          <w:noProof/>
          <w:sz w:val="24"/>
          <w:szCs w:val="24"/>
        </w:rPr>
        <w:t>Det er uvist, om atorvastatin eller dets metabolitter udskilles i human mælk</w:t>
      </w:r>
      <w:r w:rsidRPr="00B07995">
        <w:rPr>
          <w:snapToGrid w:val="0"/>
          <w:sz w:val="24"/>
          <w:szCs w:val="24"/>
        </w:rPr>
        <w:t xml:space="preserve"> </w:t>
      </w:r>
      <w:r w:rsidRPr="00B07995">
        <w:rPr>
          <w:iCs/>
          <w:sz w:val="24"/>
          <w:szCs w:val="24"/>
        </w:rPr>
        <w:t>(se pkt. 4.3).</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Fertilitet</w:t>
      </w:r>
    </w:p>
    <w:p w:rsidR="00176E9B" w:rsidRPr="00B07995" w:rsidRDefault="00176E9B" w:rsidP="00176E9B">
      <w:pPr>
        <w:ind w:left="851"/>
        <w:rPr>
          <w:sz w:val="24"/>
          <w:szCs w:val="24"/>
        </w:rPr>
      </w:pPr>
      <w:r w:rsidRPr="00B07995">
        <w:rPr>
          <w:sz w:val="24"/>
          <w:szCs w:val="24"/>
        </w:rPr>
        <w:t>Der er ikke udført fertilitetsstudier med Atozet.</w:t>
      </w:r>
    </w:p>
    <w:p w:rsidR="00176E9B" w:rsidRPr="00B07995" w:rsidRDefault="00176E9B" w:rsidP="00176E9B">
      <w:pPr>
        <w:ind w:left="851" w:hanging="851"/>
        <w:rPr>
          <w:sz w:val="24"/>
          <w:szCs w:val="24"/>
        </w:rPr>
      </w:pPr>
    </w:p>
    <w:p w:rsidR="00176E9B" w:rsidRPr="00B07995" w:rsidRDefault="00176E9B" w:rsidP="00176E9B">
      <w:pPr>
        <w:ind w:left="851"/>
        <w:rPr>
          <w:i/>
          <w:snapToGrid w:val="0"/>
          <w:sz w:val="24"/>
          <w:szCs w:val="24"/>
        </w:rPr>
      </w:pPr>
      <w:r w:rsidRPr="00B07995">
        <w:rPr>
          <w:i/>
          <w:snapToGrid w:val="0"/>
          <w:sz w:val="24"/>
          <w:szCs w:val="24"/>
        </w:rPr>
        <w:t>Atorvastatin</w:t>
      </w:r>
    </w:p>
    <w:p w:rsidR="00176E9B" w:rsidRPr="00375863" w:rsidRDefault="00176E9B" w:rsidP="00176E9B">
      <w:pPr>
        <w:ind w:left="851"/>
        <w:rPr>
          <w:sz w:val="24"/>
          <w:szCs w:val="24"/>
        </w:rPr>
      </w:pPr>
      <w:r w:rsidRPr="00375863">
        <w:rPr>
          <w:sz w:val="24"/>
          <w:szCs w:val="24"/>
        </w:rPr>
        <w:t>I dyrestudier havde atorvastatin ingen indvirkning på fertiliteten hos hanner og hunner</w:t>
      </w:r>
    </w:p>
    <w:p w:rsidR="00176E9B" w:rsidRPr="00B07995" w:rsidRDefault="00176E9B" w:rsidP="00176E9B">
      <w:pPr>
        <w:ind w:left="851"/>
        <w:rPr>
          <w:sz w:val="24"/>
          <w:szCs w:val="24"/>
        </w:rPr>
      </w:pPr>
      <w:r>
        <w:rPr>
          <w:i/>
          <w:snapToGrid w:val="0"/>
          <w:sz w:val="24"/>
          <w:szCs w:val="24"/>
        </w:rPr>
        <w:t>Ezetimib</w:t>
      </w:r>
    </w:p>
    <w:p w:rsidR="00176E9B" w:rsidRPr="00B07995" w:rsidRDefault="00176E9B" w:rsidP="00176E9B">
      <w:pPr>
        <w:ind w:left="851"/>
        <w:rPr>
          <w:noProof/>
          <w:sz w:val="24"/>
          <w:szCs w:val="24"/>
        </w:rPr>
      </w:pPr>
      <w:r>
        <w:rPr>
          <w:sz w:val="24"/>
          <w:szCs w:val="24"/>
        </w:rPr>
        <w:lastRenderedPageBreak/>
        <w:t>Ezetimib</w:t>
      </w:r>
      <w:r w:rsidRPr="00B07995">
        <w:rPr>
          <w:sz w:val="24"/>
          <w:szCs w:val="24"/>
        </w:rPr>
        <w:t xml:space="preserve"> havde ingen indvirkning på fertiliteten hos han- og hunrotter.</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4.7</w:t>
      </w:r>
      <w:r w:rsidRPr="00B07995">
        <w:rPr>
          <w:b/>
          <w:sz w:val="24"/>
          <w:szCs w:val="24"/>
        </w:rPr>
        <w:tab/>
        <w:t xml:space="preserve">Virkning på evnen til at føre motorkøretøj </w:t>
      </w:r>
      <w:r w:rsidR="00D71A03">
        <w:rPr>
          <w:b/>
          <w:sz w:val="24"/>
          <w:szCs w:val="24"/>
        </w:rPr>
        <w:t>og</w:t>
      </w:r>
      <w:r w:rsidRPr="00B07995">
        <w:rPr>
          <w:b/>
          <w:sz w:val="24"/>
          <w:szCs w:val="24"/>
        </w:rPr>
        <w:t xml:space="preserve"> betjene maskiner</w:t>
      </w:r>
    </w:p>
    <w:p w:rsidR="00176E9B" w:rsidRDefault="00176E9B" w:rsidP="00176E9B">
      <w:pPr>
        <w:ind w:left="851" w:hanging="851"/>
        <w:rPr>
          <w:sz w:val="24"/>
          <w:szCs w:val="24"/>
        </w:rPr>
      </w:pPr>
      <w:r w:rsidRPr="00B07995">
        <w:rPr>
          <w:sz w:val="24"/>
          <w:szCs w:val="24"/>
        </w:rPr>
        <w:tab/>
      </w:r>
      <w:r>
        <w:rPr>
          <w:sz w:val="24"/>
          <w:szCs w:val="24"/>
        </w:rPr>
        <w:t>Ikke mærkning.</w:t>
      </w:r>
    </w:p>
    <w:p w:rsidR="00176E9B" w:rsidRPr="00B07995" w:rsidRDefault="00176E9B" w:rsidP="00176E9B">
      <w:pPr>
        <w:ind w:left="851"/>
        <w:rPr>
          <w:sz w:val="24"/>
          <w:szCs w:val="24"/>
        </w:rPr>
      </w:pPr>
      <w:r w:rsidRPr="00B07995">
        <w:rPr>
          <w:sz w:val="24"/>
          <w:szCs w:val="24"/>
        </w:rPr>
        <w:t xml:space="preserve">Atozet påvirker kun i ubetydelig grad evnen til at føre motorkøretøj </w:t>
      </w:r>
      <w:r w:rsidRPr="00B07995">
        <w:rPr>
          <w:noProof/>
          <w:sz w:val="24"/>
          <w:szCs w:val="24"/>
        </w:rPr>
        <w:t>og</w:t>
      </w:r>
      <w:r w:rsidRPr="00B07995">
        <w:rPr>
          <w:sz w:val="24"/>
          <w:szCs w:val="24"/>
        </w:rPr>
        <w:t xml:space="preserve"> betjene maskiner. Dog skal det bemærkes, at der har været rapporter om svimmelhed.</w:t>
      </w:r>
    </w:p>
    <w:p w:rsidR="00176E9B" w:rsidRPr="00B07995" w:rsidRDefault="00176E9B" w:rsidP="00176E9B">
      <w:pPr>
        <w:ind w:left="851" w:hanging="851"/>
        <w:rPr>
          <w:sz w:val="24"/>
          <w:szCs w:val="24"/>
        </w:rPr>
      </w:pPr>
    </w:p>
    <w:p w:rsidR="00176E9B" w:rsidRDefault="00176E9B" w:rsidP="00176E9B">
      <w:pPr>
        <w:keepNext/>
        <w:ind w:left="142" w:hanging="142"/>
        <w:rPr>
          <w:b/>
          <w:sz w:val="24"/>
          <w:szCs w:val="24"/>
        </w:rPr>
      </w:pPr>
      <w:r w:rsidRPr="00B07995">
        <w:rPr>
          <w:b/>
          <w:sz w:val="24"/>
          <w:szCs w:val="24"/>
        </w:rPr>
        <w:t>4.8</w:t>
      </w:r>
      <w:r>
        <w:rPr>
          <w:b/>
          <w:sz w:val="24"/>
          <w:szCs w:val="24"/>
        </w:rPr>
        <w:t xml:space="preserve">         Bivirkninger</w:t>
      </w:r>
    </w:p>
    <w:p w:rsidR="00176E9B" w:rsidRPr="00F21DE7" w:rsidRDefault="00176E9B" w:rsidP="00176E9B">
      <w:pPr>
        <w:keepNext/>
        <w:ind w:left="851"/>
        <w:rPr>
          <w:sz w:val="24"/>
          <w:szCs w:val="24"/>
          <w:u w:val="single"/>
        </w:rPr>
      </w:pPr>
      <w:r w:rsidRPr="00F21DE7">
        <w:rPr>
          <w:sz w:val="24"/>
          <w:szCs w:val="24"/>
          <w:u w:val="single"/>
        </w:rPr>
        <w:t>Oversigt over sikkerhedsprofilen</w:t>
      </w:r>
    </w:p>
    <w:p w:rsidR="00176E9B" w:rsidRPr="00F21DE7" w:rsidRDefault="00176E9B" w:rsidP="00176E9B">
      <w:pPr>
        <w:ind w:left="851"/>
        <w:rPr>
          <w:sz w:val="24"/>
          <w:szCs w:val="24"/>
        </w:rPr>
      </w:pPr>
      <w:r w:rsidRPr="00F21DE7">
        <w:rPr>
          <w:sz w:val="24"/>
          <w:szCs w:val="24"/>
        </w:rPr>
        <w:t>Atozet (eller samtidig administration af ezetimib og atorvastatin svarende til Atozet) er evalueret med hensyn til sikkerhed hos flere end 2.400 patienter i 7 kliniske studier.</w:t>
      </w:r>
    </w:p>
    <w:p w:rsidR="00176E9B" w:rsidRPr="00F21DE7" w:rsidRDefault="00176E9B" w:rsidP="00176E9B">
      <w:pPr>
        <w:rPr>
          <w:sz w:val="24"/>
          <w:szCs w:val="24"/>
        </w:rPr>
      </w:pPr>
    </w:p>
    <w:p w:rsidR="00176E9B" w:rsidRPr="00F21DE7" w:rsidRDefault="00176E9B" w:rsidP="00176E9B">
      <w:pPr>
        <w:keepNext/>
        <w:ind w:left="851"/>
        <w:rPr>
          <w:sz w:val="24"/>
          <w:szCs w:val="24"/>
          <w:u w:val="single"/>
        </w:rPr>
      </w:pPr>
      <w:r w:rsidRPr="00F21DE7">
        <w:rPr>
          <w:sz w:val="24"/>
          <w:szCs w:val="24"/>
          <w:u w:val="single"/>
        </w:rPr>
        <w:t>Bivirkningstabel</w:t>
      </w:r>
    </w:p>
    <w:p w:rsidR="00176E9B" w:rsidRPr="00F21DE7" w:rsidRDefault="00176E9B" w:rsidP="00176E9B">
      <w:pPr>
        <w:ind w:left="851"/>
        <w:rPr>
          <w:sz w:val="24"/>
          <w:szCs w:val="24"/>
        </w:rPr>
      </w:pPr>
      <w:r w:rsidRPr="00F21DE7">
        <w:rPr>
          <w:bCs/>
          <w:sz w:val="24"/>
          <w:szCs w:val="24"/>
        </w:rPr>
        <w:t>Bivirkninger, som blev observeret i kliniske studier med Atozet (</w:t>
      </w:r>
      <w:r w:rsidRPr="00F21DE7">
        <w:rPr>
          <w:sz w:val="24"/>
          <w:szCs w:val="24"/>
        </w:rPr>
        <w:t>eller samtidig administration af ezetimib og atorvastatin svarende til Atozet</w:t>
      </w:r>
      <w:r w:rsidRPr="00F21DE7">
        <w:rPr>
          <w:bCs/>
          <w:sz w:val="24"/>
          <w:szCs w:val="24"/>
        </w:rPr>
        <w:t xml:space="preserve">) </w:t>
      </w:r>
      <w:bookmarkStart w:id="1" w:name="_Hlk10462708"/>
      <w:r w:rsidRPr="00F21DE7">
        <w:rPr>
          <w:bCs/>
          <w:sz w:val="24"/>
          <w:szCs w:val="24"/>
        </w:rPr>
        <w:t xml:space="preserve">eller ezetimib eller atorvastatin, </w:t>
      </w:r>
      <w:bookmarkEnd w:id="1"/>
      <w:r w:rsidRPr="00F21DE7">
        <w:rPr>
          <w:bCs/>
          <w:sz w:val="24"/>
          <w:szCs w:val="24"/>
        </w:rPr>
        <w:t>eller</w:t>
      </w:r>
      <w:r w:rsidRPr="00F21DE7">
        <w:rPr>
          <w:noProof/>
          <w:sz w:val="24"/>
          <w:szCs w:val="24"/>
        </w:rPr>
        <w:t xml:space="preserve"> bivirkninger, som blev indberettet i forbindelse med brug af Atozet </w:t>
      </w:r>
      <w:r w:rsidRPr="00F21DE7">
        <w:rPr>
          <w:bCs/>
          <w:noProof/>
          <w:sz w:val="24"/>
          <w:szCs w:val="24"/>
        </w:rPr>
        <w:t xml:space="preserve">eller ezetimib eller atorvastatin </w:t>
      </w:r>
      <w:r w:rsidRPr="00F21DE7">
        <w:rPr>
          <w:noProof/>
          <w:sz w:val="24"/>
          <w:szCs w:val="24"/>
        </w:rPr>
        <w:t>efter markedsføring, er anført i t</w:t>
      </w:r>
      <w:r w:rsidRPr="00F21DE7">
        <w:rPr>
          <w:bCs/>
          <w:sz w:val="24"/>
          <w:szCs w:val="24"/>
        </w:rPr>
        <w:t>abel 3. Disse bivirkninger er angivet ud fra systemorganklasse og hyppighed. Hyppigheden defineres som: Meget almindelig (</w:t>
      </w:r>
      <w:r w:rsidRPr="00F21DE7">
        <w:rPr>
          <w:sz w:val="24"/>
          <w:szCs w:val="24"/>
        </w:rPr>
        <w:sym w:font="Symbol" w:char="F0B3"/>
      </w:r>
      <w:r w:rsidRPr="00F21DE7">
        <w:rPr>
          <w:bCs/>
          <w:sz w:val="24"/>
          <w:szCs w:val="24"/>
        </w:rPr>
        <w:t xml:space="preserve">1/10); Almindelig </w:t>
      </w:r>
      <w:r w:rsidRPr="00F21DE7">
        <w:rPr>
          <w:sz w:val="24"/>
          <w:szCs w:val="24"/>
        </w:rPr>
        <w:sym w:font="Symbol" w:char="F0B3"/>
      </w:r>
      <w:r w:rsidRPr="00F21DE7">
        <w:rPr>
          <w:bCs/>
          <w:sz w:val="24"/>
          <w:szCs w:val="24"/>
        </w:rPr>
        <w:t>1/100, &lt;1/10); Ikke almindelig (</w:t>
      </w:r>
      <w:r w:rsidRPr="00F21DE7">
        <w:rPr>
          <w:sz w:val="24"/>
          <w:szCs w:val="24"/>
        </w:rPr>
        <w:sym w:font="Symbol" w:char="F0B3"/>
      </w:r>
      <w:r w:rsidRPr="00F21DE7">
        <w:rPr>
          <w:bCs/>
          <w:sz w:val="24"/>
          <w:szCs w:val="24"/>
        </w:rPr>
        <w:t xml:space="preserve">1/1.000, </w:t>
      </w:r>
      <w:r w:rsidRPr="00F21DE7">
        <w:rPr>
          <w:sz w:val="24"/>
          <w:szCs w:val="24"/>
        </w:rPr>
        <w:t>&lt;1/100); Sjælden (</w:t>
      </w:r>
      <w:r w:rsidRPr="00F21DE7">
        <w:rPr>
          <w:sz w:val="24"/>
          <w:szCs w:val="24"/>
        </w:rPr>
        <w:sym w:font="Symbol" w:char="F0B3"/>
      </w:r>
      <w:r w:rsidRPr="00F21DE7">
        <w:rPr>
          <w:sz w:val="24"/>
          <w:szCs w:val="24"/>
        </w:rPr>
        <w:t xml:space="preserve">1/10.000, &lt;1/1.000); Meget sjælden (&lt;1/10.000) og Ikke kendt </w:t>
      </w:r>
      <w:r w:rsidRPr="00F21DE7">
        <w:rPr>
          <w:noProof/>
          <w:sz w:val="24"/>
          <w:szCs w:val="24"/>
        </w:rPr>
        <w:t>(kan ikke estimeres ud fra forhåndenværende data)</w:t>
      </w:r>
      <w:r w:rsidRPr="00F21DE7">
        <w:rPr>
          <w:sz w:val="24"/>
          <w:szCs w:val="24"/>
        </w:rPr>
        <w:t>.</w:t>
      </w:r>
    </w:p>
    <w:p w:rsidR="00176E9B" w:rsidRPr="00F21DE7" w:rsidRDefault="00176E9B" w:rsidP="00176E9B">
      <w:pPr>
        <w:ind w:left="851"/>
        <w:rPr>
          <w:sz w:val="24"/>
          <w:szCs w:val="24"/>
        </w:rPr>
      </w:pPr>
    </w:p>
    <w:p w:rsidR="00176E9B" w:rsidRPr="00F21DE7" w:rsidRDefault="00176E9B" w:rsidP="00176E9B">
      <w:pPr>
        <w:keepNext/>
        <w:keepLines/>
        <w:widowControl w:val="0"/>
        <w:jc w:val="center"/>
        <w:rPr>
          <w:b/>
          <w:bCs/>
          <w:sz w:val="24"/>
          <w:szCs w:val="24"/>
          <w:lang w:val="en-US"/>
        </w:rPr>
      </w:pPr>
      <w:r w:rsidRPr="00F21DE7">
        <w:rPr>
          <w:b/>
          <w:bCs/>
          <w:sz w:val="24"/>
          <w:szCs w:val="24"/>
          <w:lang w:val="en-US"/>
        </w:rPr>
        <w:t>Tabel 3</w:t>
      </w:r>
    </w:p>
    <w:p w:rsidR="00176E9B" w:rsidRPr="00F21DE7" w:rsidRDefault="00176E9B" w:rsidP="00176E9B">
      <w:pPr>
        <w:keepNext/>
        <w:keepLines/>
        <w:widowControl w:val="0"/>
        <w:jc w:val="center"/>
        <w:rPr>
          <w:b/>
          <w:bCs/>
          <w:sz w:val="24"/>
          <w:szCs w:val="24"/>
          <w:lang w:val="en-US"/>
        </w:rPr>
      </w:pPr>
      <w:r w:rsidRPr="00F21DE7">
        <w:rPr>
          <w:b/>
          <w:bCs/>
          <w:sz w:val="24"/>
          <w:szCs w:val="24"/>
          <w:lang w:val="en-US"/>
        </w:rPr>
        <w:t>Bivirkninger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129"/>
      </w:tblGrid>
      <w:tr w:rsidR="00176E9B" w:rsidRPr="00F21DE7" w:rsidTr="00272594">
        <w:tc>
          <w:tcPr>
            <w:tcW w:w="4158" w:type="dxa"/>
            <w:shd w:val="clear" w:color="auto" w:fill="auto"/>
          </w:tcPr>
          <w:p w:rsidR="00176E9B" w:rsidRPr="00F21DE7" w:rsidRDefault="00176E9B" w:rsidP="00272594">
            <w:pPr>
              <w:keepNext/>
              <w:keepLines/>
              <w:rPr>
                <w:b/>
                <w:szCs w:val="22"/>
              </w:rPr>
            </w:pPr>
            <w:r w:rsidRPr="00F21DE7">
              <w:rPr>
                <w:b/>
                <w:szCs w:val="22"/>
              </w:rPr>
              <w:t>Systemorganklasse</w:t>
            </w:r>
          </w:p>
          <w:p w:rsidR="00176E9B" w:rsidRPr="00F21DE7" w:rsidRDefault="00176E9B" w:rsidP="00272594">
            <w:pPr>
              <w:keepNext/>
              <w:keepLines/>
              <w:rPr>
                <w:szCs w:val="22"/>
              </w:rPr>
            </w:pPr>
            <w:r w:rsidRPr="00F21DE7">
              <w:rPr>
                <w:szCs w:val="22"/>
              </w:rPr>
              <w:t>Hyppighed</w:t>
            </w:r>
          </w:p>
        </w:tc>
        <w:tc>
          <w:tcPr>
            <w:tcW w:w="5129" w:type="dxa"/>
            <w:shd w:val="clear" w:color="auto" w:fill="auto"/>
          </w:tcPr>
          <w:p w:rsidR="00176E9B" w:rsidRPr="00F21DE7" w:rsidRDefault="00176E9B" w:rsidP="00272594">
            <w:pPr>
              <w:keepNext/>
              <w:keepLines/>
              <w:rPr>
                <w:szCs w:val="22"/>
                <w:u w:val="single"/>
              </w:rPr>
            </w:pPr>
            <w:r w:rsidRPr="00F21DE7">
              <w:rPr>
                <w:b/>
                <w:szCs w:val="22"/>
              </w:rPr>
              <w:t>Bivirkning</w:t>
            </w:r>
          </w:p>
        </w:tc>
      </w:tr>
      <w:tr w:rsidR="00176E9B" w:rsidRPr="00F21DE7" w:rsidTr="00272594">
        <w:tc>
          <w:tcPr>
            <w:tcW w:w="9287" w:type="dxa"/>
            <w:gridSpan w:val="2"/>
            <w:shd w:val="clear" w:color="auto" w:fill="auto"/>
          </w:tcPr>
          <w:p w:rsidR="00176E9B" w:rsidRPr="00F21DE7" w:rsidRDefault="00176E9B" w:rsidP="00272594">
            <w:pPr>
              <w:keepLines/>
              <w:rPr>
                <w:b/>
                <w:szCs w:val="22"/>
                <w:u w:val="single"/>
              </w:rPr>
            </w:pPr>
            <w:r w:rsidRPr="00F21DE7">
              <w:rPr>
                <w:b/>
                <w:szCs w:val="22"/>
              </w:rPr>
              <w:t>Infektioner og parasitære sygdomme</w:t>
            </w:r>
          </w:p>
        </w:tc>
      </w:tr>
      <w:tr w:rsidR="00176E9B" w:rsidRPr="00F21DE7" w:rsidTr="00272594">
        <w:tc>
          <w:tcPr>
            <w:tcW w:w="4158" w:type="dxa"/>
            <w:shd w:val="clear" w:color="auto" w:fill="auto"/>
          </w:tcPr>
          <w:p w:rsidR="00176E9B" w:rsidRPr="00F21DE7" w:rsidRDefault="00176E9B" w:rsidP="00272594">
            <w:pPr>
              <w:keepLines/>
              <w:rPr>
                <w:szCs w:val="22"/>
                <w:u w:val="single"/>
              </w:rPr>
            </w:pPr>
            <w:r w:rsidRPr="00F21DE7">
              <w:rPr>
                <w:szCs w:val="22"/>
              </w:rPr>
              <w:t>Ikke almindelig</w:t>
            </w:r>
          </w:p>
        </w:tc>
        <w:tc>
          <w:tcPr>
            <w:tcW w:w="5129" w:type="dxa"/>
            <w:shd w:val="clear" w:color="auto" w:fill="auto"/>
          </w:tcPr>
          <w:p w:rsidR="00176E9B" w:rsidRPr="00F21DE7" w:rsidRDefault="00176E9B" w:rsidP="00272594">
            <w:pPr>
              <w:keepLines/>
              <w:rPr>
                <w:szCs w:val="22"/>
                <w:u w:val="single"/>
              </w:rPr>
            </w:pPr>
            <w:r w:rsidRPr="00F21DE7">
              <w:rPr>
                <w:szCs w:val="22"/>
              </w:rPr>
              <w:t>Influenza</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iCs/>
                <w:szCs w:val="22"/>
              </w:rPr>
              <w:t>næsesvælgrumskatar</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Blod og lymfesystem</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t</w:t>
            </w:r>
            <w:r w:rsidRPr="00F21DE7">
              <w:rPr>
                <w:bCs/>
                <w:iCs/>
                <w:szCs w:val="22"/>
              </w:rPr>
              <w:t>rombocytopeni</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Immunsystemet</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overfølsomhed</w:t>
            </w:r>
            <w:r w:rsidRPr="00F21DE7">
              <w:rPr>
                <w:bCs/>
                <w:iCs/>
                <w:szCs w:val="22"/>
              </w:rPr>
              <w:t>, inklusive anafylaksi, angioødem, udslæt og urticaria</w:t>
            </w:r>
          </w:p>
        </w:tc>
      </w:tr>
      <w:tr w:rsidR="00176E9B" w:rsidRPr="00F21DE7" w:rsidTr="00272594">
        <w:tc>
          <w:tcPr>
            <w:tcW w:w="9287" w:type="dxa"/>
            <w:gridSpan w:val="2"/>
            <w:shd w:val="clear" w:color="auto" w:fill="auto"/>
          </w:tcPr>
          <w:p w:rsidR="00176E9B" w:rsidRPr="00F21DE7" w:rsidRDefault="00176E9B" w:rsidP="00272594">
            <w:pPr>
              <w:keepNext/>
              <w:rPr>
                <w:szCs w:val="22"/>
              </w:rPr>
            </w:pPr>
            <w:r w:rsidRPr="00F21DE7">
              <w:rPr>
                <w:b/>
                <w:szCs w:val="22"/>
              </w:rPr>
              <w:t>Metabolisme og ernæring</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nedsat appetit; appetitløshed; hyperglykæmi; hypoglykæmi</w:t>
            </w:r>
          </w:p>
        </w:tc>
      </w:tr>
      <w:tr w:rsidR="00176E9B" w:rsidRPr="00F21DE7" w:rsidTr="00272594">
        <w:tc>
          <w:tcPr>
            <w:tcW w:w="9287" w:type="dxa"/>
            <w:gridSpan w:val="2"/>
            <w:shd w:val="clear" w:color="auto" w:fill="auto"/>
          </w:tcPr>
          <w:p w:rsidR="00176E9B" w:rsidRPr="00F21DE7" w:rsidRDefault="00176E9B" w:rsidP="00272594">
            <w:pPr>
              <w:keepNext/>
              <w:rPr>
                <w:b/>
                <w:szCs w:val="22"/>
                <w:u w:val="single"/>
              </w:rPr>
            </w:pPr>
            <w:r w:rsidRPr="00F21DE7">
              <w:rPr>
                <w:b/>
                <w:szCs w:val="22"/>
              </w:rPr>
              <w:t>Psykiske forstyrrelser</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Ikke almindelig</w:t>
            </w:r>
          </w:p>
        </w:tc>
        <w:tc>
          <w:tcPr>
            <w:tcW w:w="5129" w:type="dxa"/>
            <w:shd w:val="clear" w:color="auto" w:fill="auto"/>
          </w:tcPr>
          <w:p w:rsidR="00176E9B" w:rsidRPr="00F21DE7" w:rsidRDefault="00176E9B" w:rsidP="00272594">
            <w:pPr>
              <w:jc w:val="both"/>
              <w:rPr>
                <w:szCs w:val="22"/>
              </w:rPr>
            </w:pPr>
            <w:r w:rsidRPr="00F21DE7">
              <w:rPr>
                <w:szCs w:val="22"/>
              </w:rPr>
              <w:t>depression; insomni; søvnproblemer</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jc w:val="both"/>
              <w:rPr>
                <w:szCs w:val="22"/>
              </w:rPr>
            </w:pPr>
            <w:r w:rsidRPr="00F21DE7">
              <w:rPr>
                <w:szCs w:val="22"/>
              </w:rPr>
              <w:t>mareridt</w:t>
            </w:r>
          </w:p>
        </w:tc>
      </w:tr>
      <w:tr w:rsidR="00176E9B" w:rsidRPr="00F21DE7" w:rsidTr="00272594">
        <w:tc>
          <w:tcPr>
            <w:tcW w:w="9287" w:type="dxa"/>
            <w:gridSpan w:val="2"/>
            <w:shd w:val="clear" w:color="auto" w:fill="auto"/>
          </w:tcPr>
          <w:p w:rsidR="00176E9B" w:rsidRPr="00F21DE7" w:rsidRDefault="00176E9B" w:rsidP="00272594">
            <w:pPr>
              <w:keepNext/>
              <w:rPr>
                <w:b/>
                <w:szCs w:val="22"/>
                <w:u w:val="single"/>
              </w:rPr>
            </w:pPr>
            <w:r w:rsidRPr="00F21DE7">
              <w:rPr>
                <w:b/>
                <w:szCs w:val="22"/>
              </w:rPr>
              <w:t>Nervesystemet</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Ikke almindelig</w:t>
            </w:r>
          </w:p>
        </w:tc>
        <w:tc>
          <w:tcPr>
            <w:tcW w:w="5129" w:type="dxa"/>
            <w:shd w:val="clear" w:color="auto" w:fill="auto"/>
          </w:tcPr>
          <w:p w:rsidR="00176E9B" w:rsidRPr="00F21DE7" w:rsidRDefault="00176E9B" w:rsidP="00272594">
            <w:pPr>
              <w:rPr>
                <w:szCs w:val="22"/>
                <w:u w:val="single"/>
              </w:rPr>
            </w:pPr>
            <w:r w:rsidRPr="00F21DE7">
              <w:rPr>
                <w:szCs w:val="22"/>
              </w:rPr>
              <w:t>svimmelhed; dysgeusi; hovedpine; paræstesi</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 xml:space="preserve">hypæstesi; </w:t>
            </w:r>
            <w:r w:rsidRPr="00F21DE7">
              <w:rPr>
                <w:szCs w:val="22"/>
                <w:lang w:eastAsia="da-DK"/>
              </w:rPr>
              <w:t>erindringssvækkelse</w:t>
            </w:r>
            <w:r w:rsidRPr="00F21DE7">
              <w:rPr>
                <w:szCs w:val="22"/>
              </w:rPr>
              <w:t>; perifer neuropati</w:t>
            </w:r>
            <w:r w:rsidR="00D71A03">
              <w:rPr>
                <w:sz w:val="24"/>
                <w:szCs w:val="24"/>
              </w:rPr>
              <w:t>; myasthenia gravis</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Øjne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sløret syn; synsforstyrrelser</w:t>
            </w:r>
            <w:r w:rsidR="00D71A03">
              <w:rPr>
                <w:sz w:val="24"/>
                <w:szCs w:val="24"/>
              </w:rPr>
              <w:t>; okulær myasteni</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Øre og labyrint</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tinnitus; høretab</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Hjerte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almindelig</w:t>
            </w:r>
          </w:p>
        </w:tc>
        <w:tc>
          <w:tcPr>
            <w:tcW w:w="5129" w:type="dxa"/>
            <w:shd w:val="clear" w:color="auto" w:fill="auto"/>
          </w:tcPr>
          <w:p w:rsidR="00176E9B" w:rsidRPr="00F21DE7" w:rsidRDefault="00176E9B" w:rsidP="00272594">
            <w:pPr>
              <w:rPr>
                <w:szCs w:val="22"/>
              </w:rPr>
            </w:pPr>
            <w:r w:rsidRPr="00F21DE7">
              <w:rPr>
                <w:szCs w:val="22"/>
              </w:rPr>
              <w:t>sinusbradykardi</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lastRenderedPageBreak/>
              <w:t>Vaskulære sygdomme</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Ikke almindelig</w:t>
            </w:r>
          </w:p>
        </w:tc>
        <w:tc>
          <w:tcPr>
            <w:tcW w:w="5129" w:type="dxa"/>
            <w:shd w:val="clear" w:color="auto" w:fill="auto"/>
          </w:tcPr>
          <w:p w:rsidR="00176E9B" w:rsidRPr="00F21DE7" w:rsidRDefault="00176E9B" w:rsidP="00272594">
            <w:pPr>
              <w:rPr>
                <w:szCs w:val="22"/>
              </w:rPr>
            </w:pPr>
            <w:r w:rsidRPr="00F21DE7">
              <w:rPr>
                <w:szCs w:val="22"/>
              </w:rPr>
              <w:t>hedeture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hypertension</w:t>
            </w:r>
          </w:p>
        </w:tc>
      </w:tr>
      <w:tr w:rsidR="00176E9B" w:rsidRPr="00F21DE7" w:rsidTr="00272594">
        <w:tc>
          <w:tcPr>
            <w:tcW w:w="9287" w:type="dxa"/>
            <w:gridSpan w:val="2"/>
            <w:shd w:val="clear" w:color="auto" w:fill="auto"/>
          </w:tcPr>
          <w:p w:rsidR="00176E9B" w:rsidRPr="00F21DE7" w:rsidRDefault="00176E9B" w:rsidP="00272594">
            <w:pPr>
              <w:keepNext/>
              <w:rPr>
                <w:b/>
                <w:szCs w:val="22"/>
                <w:u w:val="single"/>
              </w:rPr>
            </w:pPr>
            <w:r w:rsidRPr="00F21DE7">
              <w:rPr>
                <w:b/>
                <w:szCs w:val="22"/>
              </w:rPr>
              <w:t>Luftveje, thorax og mediastinum</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Ikke almindelig</w:t>
            </w:r>
          </w:p>
        </w:tc>
        <w:tc>
          <w:tcPr>
            <w:tcW w:w="5129" w:type="dxa"/>
            <w:shd w:val="clear" w:color="auto" w:fill="auto"/>
          </w:tcPr>
          <w:p w:rsidR="00176E9B" w:rsidRPr="00F21DE7" w:rsidRDefault="00176E9B" w:rsidP="00272594">
            <w:pPr>
              <w:rPr>
                <w:szCs w:val="22"/>
                <w:u w:val="single"/>
              </w:rPr>
            </w:pPr>
            <w:r w:rsidRPr="00F21DE7">
              <w:rPr>
                <w:szCs w:val="22"/>
              </w:rPr>
              <w:t>dyspnø</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hoste; faryngolaryngeale smerter; epistaxis</w:t>
            </w:r>
          </w:p>
        </w:tc>
      </w:tr>
      <w:tr w:rsidR="00176E9B" w:rsidRPr="00F21DE7" w:rsidTr="00272594">
        <w:tc>
          <w:tcPr>
            <w:tcW w:w="9287" w:type="dxa"/>
            <w:gridSpan w:val="2"/>
            <w:shd w:val="clear" w:color="auto" w:fill="auto"/>
          </w:tcPr>
          <w:p w:rsidR="00176E9B" w:rsidRPr="00F21DE7" w:rsidRDefault="00176E9B" w:rsidP="00272594">
            <w:pPr>
              <w:keepNext/>
              <w:rPr>
                <w:b/>
                <w:szCs w:val="22"/>
                <w:u w:val="single"/>
              </w:rPr>
            </w:pPr>
            <w:r w:rsidRPr="00F21DE7">
              <w:rPr>
                <w:b/>
                <w:szCs w:val="22"/>
              </w:rPr>
              <w:t>Mave-tarm-kanalen</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Almindelig</w:t>
            </w:r>
          </w:p>
        </w:tc>
        <w:tc>
          <w:tcPr>
            <w:tcW w:w="5129" w:type="dxa"/>
            <w:shd w:val="clear" w:color="auto" w:fill="auto"/>
          </w:tcPr>
          <w:p w:rsidR="00176E9B" w:rsidRPr="00F21DE7" w:rsidRDefault="00176E9B" w:rsidP="00272594">
            <w:pPr>
              <w:rPr>
                <w:szCs w:val="22"/>
                <w:u w:val="single"/>
              </w:rPr>
            </w:pPr>
            <w:r w:rsidRPr="00F21DE7">
              <w:rPr>
                <w:szCs w:val="22"/>
              </w:rPr>
              <w:t>diarré</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Ikke almindelig</w:t>
            </w:r>
          </w:p>
        </w:tc>
        <w:tc>
          <w:tcPr>
            <w:tcW w:w="5129" w:type="dxa"/>
            <w:shd w:val="clear" w:color="auto" w:fill="auto"/>
          </w:tcPr>
          <w:p w:rsidR="00176E9B" w:rsidRPr="00F21DE7" w:rsidRDefault="00176E9B" w:rsidP="00272594">
            <w:pPr>
              <w:rPr>
                <w:szCs w:val="22"/>
                <w:u w:val="single"/>
              </w:rPr>
            </w:pPr>
            <w:r w:rsidRPr="00F21DE7">
              <w:rPr>
                <w:szCs w:val="22"/>
              </w:rPr>
              <w:t>abdominalgener; abdominal distension; abdominalsmerter; nedre abdominalsmerter; øvre abdominalsmerter; obstipation; dyspepsi; flatulens; hyppig afføring; gastritis; kvalme; mavegener</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 xml:space="preserve">pancreatitis; </w:t>
            </w:r>
            <w:r w:rsidRPr="00F21DE7">
              <w:rPr>
                <w:bCs/>
                <w:szCs w:val="22"/>
              </w:rPr>
              <w:t>gastroesofageal reflukssygdom</w:t>
            </w:r>
            <w:r w:rsidRPr="00F21DE7">
              <w:rPr>
                <w:szCs w:val="22"/>
              </w:rPr>
              <w:t>; opstød; opkastning; mundtørhed</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Lever og galdeveje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 xml:space="preserve">hepatitis; </w:t>
            </w:r>
            <w:r w:rsidRPr="00F21DE7">
              <w:rPr>
                <w:bCs/>
                <w:iCs/>
                <w:szCs w:val="22"/>
              </w:rPr>
              <w:t xml:space="preserve">cholelithiasis; cholecystitis; kolestase; </w:t>
            </w:r>
            <w:r w:rsidRPr="00F21DE7">
              <w:rPr>
                <w:szCs w:val="22"/>
              </w:rPr>
              <w:t>letal og ikke-letal leverinsufficiens</w:t>
            </w:r>
          </w:p>
        </w:tc>
      </w:tr>
      <w:tr w:rsidR="00176E9B" w:rsidRPr="00F21DE7" w:rsidTr="00272594">
        <w:tc>
          <w:tcPr>
            <w:tcW w:w="9287" w:type="dxa"/>
            <w:gridSpan w:val="2"/>
            <w:shd w:val="clear" w:color="auto" w:fill="auto"/>
          </w:tcPr>
          <w:p w:rsidR="00176E9B" w:rsidRPr="00F21DE7" w:rsidRDefault="00176E9B" w:rsidP="00BB46C3">
            <w:pPr>
              <w:keepNext/>
              <w:rPr>
                <w:b/>
                <w:szCs w:val="22"/>
                <w:u w:val="single"/>
              </w:rPr>
            </w:pPr>
            <w:r w:rsidRPr="00F21DE7">
              <w:rPr>
                <w:b/>
                <w:szCs w:val="22"/>
              </w:rPr>
              <w:t>Hud og subkutane væv</w:t>
            </w:r>
          </w:p>
        </w:tc>
      </w:tr>
      <w:tr w:rsidR="00176E9B" w:rsidRPr="00F21DE7" w:rsidTr="00272594">
        <w:tc>
          <w:tcPr>
            <w:tcW w:w="4158" w:type="dxa"/>
            <w:shd w:val="clear" w:color="auto" w:fill="auto"/>
          </w:tcPr>
          <w:p w:rsidR="00176E9B" w:rsidRPr="00F21DE7" w:rsidRDefault="00176E9B" w:rsidP="00BB46C3">
            <w:pPr>
              <w:keepNext/>
              <w:rPr>
                <w:szCs w:val="22"/>
                <w:u w:val="single"/>
              </w:rPr>
            </w:pPr>
            <w:r w:rsidRPr="00F21DE7">
              <w:rPr>
                <w:szCs w:val="22"/>
              </w:rPr>
              <w:t>Ikke almindelig</w:t>
            </w:r>
          </w:p>
        </w:tc>
        <w:tc>
          <w:tcPr>
            <w:tcW w:w="5129" w:type="dxa"/>
            <w:shd w:val="clear" w:color="auto" w:fill="auto"/>
          </w:tcPr>
          <w:p w:rsidR="00176E9B" w:rsidRPr="00F21DE7" w:rsidRDefault="00176E9B" w:rsidP="00BB46C3">
            <w:pPr>
              <w:keepNext/>
              <w:rPr>
                <w:szCs w:val="22"/>
                <w:u w:val="single"/>
              </w:rPr>
            </w:pPr>
            <w:r w:rsidRPr="00F21DE7">
              <w:rPr>
                <w:szCs w:val="22"/>
              </w:rPr>
              <w:t>a</w:t>
            </w:r>
            <w:r w:rsidR="00AA2AE5" w:rsidRPr="00F21DE7">
              <w:rPr>
                <w:szCs w:val="22"/>
              </w:rPr>
              <w:t>k</w:t>
            </w:r>
            <w:r w:rsidRPr="00F21DE7">
              <w:rPr>
                <w:szCs w:val="22"/>
              </w:rPr>
              <w:t>ne; urticaria</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alopeci; hududslæt; pruritus; erythema multiforme; angioneurotisk ødem; bulløs dermatitis, herunder erythema multiforme, Stevens-Johnsons syndrom og toksisk epidermal nekrolyse</w:t>
            </w:r>
          </w:p>
        </w:tc>
      </w:tr>
      <w:tr w:rsidR="00176E9B" w:rsidRPr="00F21DE7" w:rsidTr="00272594">
        <w:tc>
          <w:tcPr>
            <w:tcW w:w="9287" w:type="dxa"/>
            <w:gridSpan w:val="2"/>
            <w:shd w:val="clear" w:color="auto" w:fill="auto"/>
          </w:tcPr>
          <w:p w:rsidR="00176E9B" w:rsidRPr="00F21DE7" w:rsidRDefault="00176E9B" w:rsidP="00272594">
            <w:pPr>
              <w:keepNext/>
              <w:rPr>
                <w:b/>
                <w:szCs w:val="22"/>
                <w:u w:val="single"/>
              </w:rPr>
            </w:pPr>
            <w:r w:rsidRPr="00F21DE7">
              <w:rPr>
                <w:b/>
                <w:szCs w:val="22"/>
              </w:rPr>
              <w:t>Knogler, led, muskler og bindevæv</w:t>
            </w:r>
          </w:p>
        </w:tc>
      </w:tr>
      <w:tr w:rsidR="00176E9B" w:rsidRPr="00F21DE7" w:rsidTr="00272594">
        <w:tc>
          <w:tcPr>
            <w:tcW w:w="4158" w:type="dxa"/>
            <w:shd w:val="clear" w:color="auto" w:fill="auto"/>
          </w:tcPr>
          <w:p w:rsidR="00176E9B" w:rsidRPr="00F21DE7" w:rsidRDefault="00176E9B" w:rsidP="00272594">
            <w:pPr>
              <w:rPr>
                <w:szCs w:val="22"/>
                <w:u w:val="single"/>
              </w:rPr>
            </w:pPr>
            <w:r w:rsidRPr="00F21DE7">
              <w:rPr>
                <w:szCs w:val="22"/>
              </w:rPr>
              <w:t>Almindelig</w:t>
            </w:r>
          </w:p>
        </w:tc>
        <w:tc>
          <w:tcPr>
            <w:tcW w:w="5129" w:type="dxa"/>
            <w:shd w:val="clear" w:color="auto" w:fill="auto"/>
          </w:tcPr>
          <w:p w:rsidR="00176E9B" w:rsidRPr="00F21DE7" w:rsidRDefault="00176E9B" w:rsidP="00272594">
            <w:pPr>
              <w:rPr>
                <w:szCs w:val="22"/>
                <w:u w:val="single"/>
              </w:rPr>
            </w:pPr>
            <w:r w:rsidRPr="00F21DE7">
              <w:rPr>
                <w:szCs w:val="22"/>
              </w:rPr>
              <w:t>myalgi</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almindelig</w:t>
            </w:r>
          </w:p>
        </w:tc>
        <w:tc>
          <w:tcPr>
            <w:tcW w:w="5129" w:type="dxa"/>
            <w:shd w:val="clear" w:color="auto" w:fill="auto"/>
          </w:tcPr>
          <w:p w:rsidR="00176E9B" w:rsidRPr="00F21DE7" w:rsidRDefault="00176E9B" w:rsidP="00272594">
            <w:pPr>
              <w:rPr>
                <w:szCs w:val="22"/>
              </w:rPr>
            </w:pPr>
            <w:r w:rsidRPr="00F21DE7">
              <w:rPr>
                <w:szCs w:val="22"/>
              </w:rPr>
              <w:t>artralgi; rygsmerter; muskeltræthed; muskelkramper; muskelsvaghed; smerter i ekstremiteterne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myopati/rhabdomyolyse; muskelruptur; tendinopati, undertiden kompliceret af ruptur; nakkesmerter; hævede led; myositis; lupuslignende syndrom; immunmedieret nekrotiserende myopati (se pkt. 4.4)</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bCs/>
                <w:iCs/>
                <w:szCs w:val="22"/>
              </w:rPr>
              <w:t>Det reproduktive system og mammae</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gynækomasti</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Almene symptomer og reaktioner på administrationsstedet</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almindelig</w:t>
            </w:r>
          </w:p>
        </w:tc>
        <w:tc>
          <w:tcPr>
            <w:tcW w:w="5129" w:type="dxa"/>
            <w:shd w:val="clear" w:color="auto" w:fill="auto"/>
          </w:tcPr>
          <w:p w:rsidR="00176E9B" w:rsidRPr="00F21DE7" w:rsidRDefault="00176E9B" w:rsidP="00272594">
            <w:pPr>
              <w:rPr>
                <w:szCs w:val="22"/>
              </w:rPr>
            </w:pPr>
            <w:r w:rsidRPr="00F21DE7">
              <w:rPr>
                <w:szCs w:val="22"/>
              </w:rPr>
              <w:t>asteni; træthed; utilpashed; ødemer</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brystsmerter; smerter; perifert ødem; pyreksi</w:t>
            </w:r>
          </w:p>
        </w:tc>
      </w:tr>
      <w:tr w:rsidR="00176E9B" w:rsidRPr="00F21DE7" w:rsidTr="00272594">
        <w:tc>
          <w:tcPr>
            <w:tcW w:w="9287" w:type="dxa"/>
            <w:gridSpan w:val="2"/>
            <w:shd w:val="clear" w:color="auto" w:fill="auto"/>
          </w:tcPr>
          <w:p w:rsidR="00176E9B" w:rsidRPr="00F21DE7" w:rsidRDefault="00176E9B" w:rsidP="00272594">
            <w:pPr>
              <w:keepNext/>
              <w:rPr>
                <w:b/>
                <w:szCs w:val="22"/>
              </w:rPr>
            </w:pPr>
            <w:r w:rsidRPr="00F21DE7">
              <w:rPr>
                <w:b/>
                <w:szCs w:val="22"/>
              </w:rPr>
              <w:t>Undersøgelser</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almindelig</w:t>
            </w:r>
          </w:p>
        </w:tc>
        <w:tc>
          <w:tcPr>
            <w:tcW w:w="5129" w:type="dxa"/>
            <w:shd w:val="clear" w:color="auto" w:fill="auto"/>
          </w:tcPr>
          <w:p w:rsidR="00176E9B" w:rsidRPr="00F21DE7" w:rsidRDefault="00176E9B" w:rsidP="00272594">
            <w:pPr>
              <w:rPr>
                <w:szCs w:val="22"/>
              </w:rPr>
            </w:pPr>
            <w:r w:rsidRPr="00F21DE7">
              <w:rPr>
                <w:szCs w:val="22"/>
              </w:rPr>
              <w:t>forhøjet ALAT og/eller ASAT; forhøjet alkalisk fosfatase; forhøjet kreatinkinase i blodet; forhøjet gammaglutamyltransferase; forhøjede leverenzymer; unormale leverfunktionsprøver; vægtstigning</w:t>
            </w:r>
          </w:p>
        </w:tc>
      </w:tr>
      <w:tr w:rsidR="00176E9B" w:rsidRPr="00F21DE7" w:rsidTr="00272594">
        <w:tc>
          <w:tcPr>
            <w:tcW w:w="4158" w:type="dxa"/>
            <w:shd w:val="clear" w:color="auto" w:fill="auto"/>
          </w:tcPr>
          <w:p w:rsidR="00176E9B" w:rsidRPr="00F21DE7" w:rsidRDefault="00176E9B" w:rsidP="00272594">
            <w:pPr>
              <w:rPr>
                <w:szCs w:val="22"/>
              </w:rPr>
            </w:pPr>
            <w:r w:rsidRPr="00F21DE7">
              <w:rPr>
                <w:szCs w:val="22"/>
              </w:rPr>
              <w:t>Ikke kendt</w:t>
            </w:r>
          </w:p>
        </w:tc>
        <w:tc>
          <w:tcPr>
            <w:tcW w:w="5129" w:type="dxa"/>
            <w:shd w:val="clear" w:color="auto" w:fill="auto"/>
          </w:tcPr>
          <w:p w:rsidR="00176E9B" w:rsidRPr="00F21DE7" w:rsidRDefault="00176E9B" w:rsidP="00272594">
            <w:pPr>
              <w:rPr>
                <w:szCs w:val="22"/>
              </w:rPr>
            </w:pPr>
            <w:r w:rsidRPr="00F21DE7">
              <w:rPr>
                <w:szCs w:val="22"/>
              </w:rPr>
              <w:t>leukocytter i urinen</w:t>
            </w:r>
          </w:p>
        </w:tc>
      </w:tr>
    </w:tbl>
    <w:p w:rsidR="00176E9B" w:rsidRPr="00AA2AE5" w:rsidRDefault="00176E9B" w:rsidP="00176E9B">
      <w:pPr>
        <w:rPr>
          <w:sz w:val="24"/>
          <w:szCs w:val="24"/>
          <w:highlight w:val="yellow"/>
        </w:rPr>
      </w:pPr>
    </w:p>
    <w:p w:rsidR="00176E9B" w:rsidRPr="00AA2AE5" w:rsidRDefault="00176E9B" w:rsidP="00176E9B">
      <w:pPr>
        <w:keepNext/>
        <w:ind w:left="851"/>
        <w:rPr>
          <w:sz w:val="24"/>
          <w:szCs w:val="24"/>
          <w:u w:val="single"/>
        </w:rPr>
      </w:pPr>
      <w:r w:rsidRPr="00AA2AE5">
        <w:rPr>
          <w:sz w:val="24"/>
          <w:szCs w:val="24"/>
          <w:u w:val="single"/>
        </w:rPr>
        <w:t>Laboratorieværdier</w:t>
      </w:r>
    </w:p>
    <w:p w:rsidR="00176E9B" w:rsidRPr="00AA2AE5" w:rsidRDefault="00176E9B" w:rsidP="00176E9B">
      <w:pPr>
        <w:ind w:left="851"/>
        <w:rPr>
          <w:sz w:val="24"/>
          <w:szCs w:val="24"/>
        </w:rPr>
      </w:pPr>
      <w:r w:rsidRPr="00AA2AE5">
        <w:rPr>
          <w:sz w:val="24"/>
          <w:szCs w:val="24"/>
        </w:rPr>
        <w:t xml:space="preserve">I kontrollerede kliniske studier var forekomsten af klinisk betydningsfulde stigninger i serumtransaminaser (ALAT og/eller ASAT </w:t>
      </w:r>
      <w:r w:rsidRPr="00AA2AE5">
        <w:rPr>
          <w:sz w:val="24"/>
          <w:szCs w:val="24"/>
        </w:rPr>
        <w:sym w:font="Symbol" w:char="F0B3"/>
      </w:r>
      <w:r w:rsidRPr="00AA2AE5">
        <w:rPr>
          <w:sz w:val="24"/>
          <w:szCs w:val="24"/>
        </w:rPr>
        <w:t xml:space="preserve">3 X ULN, på hinanden følgende) 0,6% for patienter i behandling med Atozet. Disse stigninger var generelt asymptomatiske, </w:t>
      </w:r>
      <w:r w:rsidRPr="00AA2AE5">
        <w:rPr>
          <w:sz w:val="24"/>
          <w:szCs w:val="24"/>
          <w:lang w:eastAsia="da-DK"/>
        </w:rPr>
        <w:t>ikke relaterede til kolestase</w:t>
      </w:r>
      <w:r w:rsidRPr="00AA2AE5">
        <w:rPr>
          <w:sz w:val="24"/>
          <w:szCs w:val="24"/>
        </w:rPr>
        <w:t xml:space="preserve">, og vendte tilbage til </w:t>
      </w:r>
      <w:r w:rsidRPr="00AA2AE5">
        <w:rPr>
          <w:i/>
          <w:sz w:val="24"/>
          <w:szCs w:val="24"/>
        </w:rPr>
        <w:t>baseline</w:t>
      </w:r>
      <w:r w:rsidRPr="00AA2AE5">
        <w:rPr>
          <w:sz w:val="24"/>
          <w:szCs w:val="24"/>
        </w:rPr>
        <w:t xml:space="preserve"> af sig selv eller efter seponering af behandlingen (se pkt. 4.4).</w:t>
      </w:r>
    </w:p>
    <w:p w:rsidR="00176E9B" w:rsidRPr="00AA2AE5" w:rsidRDefault="00176E9B" w:rsidP="00176E9B">
      <w:pPr>
        <w:ind w:left="851"/>
        <w:rPr>
          <w:sz w:val="24"/>
          <w:szCs w:val="24"/>
        </w:rPr>
      </w:pPr>
    </w:p>
    <w:p w:rsidR="00176E9B" w:rsidRPr="00AA2AE5" w:rsidRDefault="00176E9B" w:rsidP="00336D3B">
      <w:pPr>
        <w:pStyle w:val="Default"/>
        <w:keepNext/>
        <w:ind w:left="851"/>
        <w:rPr>
          <w:lang w:val="da-DK"/>
        </w:rPr>
      </w:pPr>
      <w:r w:rsidRPr="00AA2AE5">
        <w:rPr>
          <w:lang w:val="da-DK" w:eastAsia="da-DK"/>
        </w:rPr>
        <w:lastRenderedPageBreak/>
        <w:t>Følgende bivirkninger er set med nogle statiner</w:t>
      </w:r>
      <w:r w:rsidRPr="00AA2AE5">
        <w:rPr>
          <w:lang w:val="da-DK"/>
        </w:rPr>
        <w:t>:</w:t>
      </w:r>
    </w:p>
    <w:p w:rsidR="00176E9B" w:rsidRPr="00AA2AE5" w:rsidRDefault="00176E9B" w:rsidP="00336D3B">
      <w:pPr>
        <w:pStyle w:val="Default"/>
        <w:keepNext/>
        <w:numPr>
          <w:ilvl w:val="0"/>
          <w:numId w:val="12"/>
        </w:numPr>
        <w:ind w:left="1276" w:hanging="425"/>
        <w:rPr>
          <w:lang w:val="da-DK"/>
        </w:rPr>
      </w:pPr>
      <w:r w:rsidRPr="00AA2AE5">
        <w:rPr>
          <w:lang w:val="da-DK"/>
        </w:rPr>
        <w:t>seksuel dysfunktion</w:t>
      </w:r>
    </w:p>
    <w:p w:rsidR="00176E9B" w:rsidRPr="00AA2AE5" w:rsidRDefault="00176E9B" w:rsidP="00BB46C3">
      <w:pPr>
        <w:pStyle w:val="Default"/>
        <w:numPr>
          <w:ilvl w:val="0"/>
          <w:numId w:val="13"/>
        </w:numPr>
        <w:ind w:left="1276" w:hanging="425"/>
        <w:rPr>
          <w:lang w:val="da-DK"/>
        </w:rPr>
      </w:pPr>
      <w:r w:rsidRPr="00AA2AE5">
        <w:rPr>
          <w:lang w:val="da-DK"/>
        </w:rPr>
        <w:t>sjældne tilfælde af interstitiel lungesygdom, særligt ved langtidsbrug (se pkt. 4.4)</w:t>
      </w:r>
    </w:p>
    <w:p w:rsidR="00176E9B" w:rsidRPr="00AA2AE5" w:rsidRDefault="00176E9B" w:rsidP="00176E9B">
      <w:pPr>
        <w:pStyle w:val="Default"/>
        <w:numPr>
          <w:ilvl w:val="0"/>
          <w:numId w:val="13"/>
        </w:numPr>
        <w:ind w:left="1276" w:hanging="425"/>
        <w:rPr>
          <w:lang w:val="da-DK"/>
        </w:rPr>
      </w:pPr>
      <w:r w:rsidRPr="00AA2AE5">
        <w:rPr>
          <w:lang w:val="da-DK"/>
        </w:rPr>
        <w:t>diabetes mellitus: hyppigheden afhænger af tilstedeværelse eller fravær af risikofaktorer (fasteglukose ≥5,6 mmol/l, BMI &gt;30 kg/m</w:t>
      </w:r>
      <w:r w:rsidRPr="00AA2AE5">
        <w:rPr>
          <w:vertAlign w:val="superscript"/>
          <w:lang w:val="da-DK"/>
        </w:rPr>
        <w:t>2</w:t>
      </w:r>
      <w:r w:rsidRPr="00AA2AE5">
        <w:rPr>
          <w:lang w:val="da-DK"/>
        </w:rPr>
        <w:t>, forhøjede triglycerider, hypertension i anamnesen)</w:t>
      </w:r>
    </w:p>
    <w:p w:rsidR="00176E9B" w:rsidRPr="00AA2AE5" w:rsidRDefault="00176E9B" w:rsidP="00176E9B">
      <w:pPr>
        <w:autoSpaceDE w:val="0"/>
        <w:autoSpaceDN w:val="0"/>
        <w:adjustRightInd w:val="0"/>
        <w:ind w:left="851"/>
        <w:rPr>
          <w:sz w:val="24"/>
          <w:szCs w:val="24"/>
        </w:rPr>
      </w:pPr>
    </w:p>
    <w:p w:rsidR="00176E9B" w:rsidRPr="00AA2AE5" w:rsidRDefault="00176E9B" w:rsidP="00176E9B">
      <w:pPr>
        <w:keepNext/>
        <w:autoSpaceDE w:val="0"/>
        <w:autoSpaceDN w:val="0"/>
        <w:adjustRightInd w:val="0"/>
        <w:ind w:left="851"/>
        <w:rPr>
          <w:sz w:val="24"/>
          <w:szCs w:val="24"/>
          <w:u w:val="single"/>
        </w:rPr>
      </w:pPr>
      <w:r w:rsidRPr="00AA2AE5">
        <w:rPr>
          <w:noProof/>
          <w:sz w:val="24"/>
          <w:szCs w:val="24"/>
          <w:u w:val="single"/>
        </w:rPr>
        <w:t>Indberetning af formodede bivirkninger</w:t>
      </w:r>
    </w:p>
    <w:p w:rsidR="00176E9B" w:rsidRPr="00AA2AE5" w:rsidRDefault="00176E9B" w:rsidP="00176E9B">
      <w:pPr>
        <w:autoSpaceDE w:val="0"/>
        <w:autoSpaceDN w:val="0"/>
        <w:adjustRightInd w:val="0"/>
        <w:ind w:left="851"/>
        <w:rPr>
          <w:noProof/>
          <w:sz w:val="24"/>
          <w:szCs w:val="24"/>
        </w:rPr>
      </w:pPr>
      <w:r w:rsidRPr="00AA2AE5">
        <w:rPr>
          <w:noProof/>
          <w:sz w:val="24"/>
          <w:szCs w:val="24"/>
        </w:rPr>
        <w:t>Når lægemidlet er godkendt, er indberetning af formodede bivirkninger vigtig.</w:t>
      </w:r>
      <w:r w:rsidRPr="00AA2AE5">
        <w:rPr>
          <w:sz w:val="24"/>
          <w:szCs w:val="24"/>
        </w:rPr>
        <w:t xml:space="preserve"> </w:t>
      </w:r>
      <w:r w:rsidRPr="00AA2AE5">
        <w:rPr>
          <w:noProof/>
          <w:sz w:val="24"/>
          <w:szCs w:val="24"/>
        </w:rPr>
        <w:t>Det muliggør løbende overvågning af benefit/risk-forholdet for lægemidlet.</w:t>
      </w:r>
      <w:r w:rsidRPr="00AA2AE5">
        <w:rPr>
          <w:sz w:val="24"/>
          <w:szCs w:val="24"/>
        </w:rPr>
        <w:t xml:space="preserve"> </w:t>
      </w:r>
      <w:r w:rsidR="00AA2AE5" w:rsidRPr="00AA2AE5">
        <w:rPr>
          <w:noProof/>
          <w:sz w:val="24"/>
          <w:szCs w:val="24"/>
        </w:rPr>
        <w:t>Sundhedspersoner</w:t>
      </w:r>
      <w:r w:rsidRPr="00AA2AE5">
        <w:rPr>
          <w:noProof/>
          <w:sz w:val="24"/>
          <w:szCs w:val="24"/>
        </w:rPr>
        <w:t xml:space="preserve"> anmodes om at indberette alle formodede bivirkninger via </w:t>
      </w:r>
    </w:p>
    <w:p w:rsidR="00176E9B" w:rsidRPr="00AA2AE5" w:rsidRDefault="00176E9B" w:rsidP="00176E9B">
      <w:pPr>
        <w:autoSpaceDE w:val="0"/>
        <w:autoSpaceDN w:val="0"/>
        <w:adjustRightInd w:val="0"/>
        <w:ind w:left="851"/>
        <w:rPr>
          <w:noProof/>
          <w:sz w:val="24"/>
          <w:szCs w:val="24"/>
        </w:rPr>
      </w:pPr>
    </w:p>
    <w:p w:rsidR="00176E9B" w:rsidRPr="00AA2AE5" w:rsidRDefault="00176E9B" w:rsidP="00176E9B">
      <w:pPr>
        <w:autoSpaceDE w:val="0"/>
        <w:autoSpaceDN w:val="0"/>
        <w:adjustRightInd w:val="0"/>
        <w:ind w:left="851"/>
        <w:rPr>
          <w:color w:val="000000"/>
          <w:sz w:val="24"/>
          <w:szCs w:val="24"/>
        </w:rPr>
      </w:pPr>
      <w:r w:rsidRPr="00AA2AE5">
        <w:rPr>
          <w:color w:val="000000"/>
          <w:sz w:val="24"/>
          <w:szCs w:val="24"/>
        </w:rPr>
        <w:t xml:space="preserve">Lægemiddelstyrelsen </w:t>
      </w:r>
    </w:p>
    <w:p w:rsidR="00176E9B" w:rsidRPr="00AA2AE5" w:rsidRDefault="00176E9B" w:rsidP="00176E9B">
      <w:pPr>
        <w:autoSpaceDE w:val="0"/>
        <w:autoSpaceDN w:val="0"/>
        <w:adjustRightInd w:val="0"/>
        <w:ind w:left="851"/>
        <w:rPr>
          <w:color w:val="000000"/>
          <w:sz w:val="24"/>
          <w:szCs w:val="24"/>
        </w:rPr>
      </w:pPr>
      <w:r w:rsidRPr="00AA2AE5">
        <w:rPr>
          <w:color w:val="000000"/>
          <w:sz w:val="24"/>
          <w:szCs w:val="24"/>
        </w:rPr>
        <w:t xml:space="preserve">Axel Heides Gade 1 </w:t>
      </w:r>
    </w:p>
    <w:p w:rsidR="00176E9B" w:rsidRPr="00AA2AE5" w:rsidRDefault="00176E9B" w:rsidP="00176E9B">
      <w:pPr>
        <w:autoSpaceDE w:val="0"/>
        <w:autoSpaceDN w:val="0"/>
        <w:adjustRightInd w:val="0"/>
        <w:ind w:left="851"/>
        <w:rPr>
          <w:color w:val="000000"/>
          <w:sz w:val="24"/>
          <w:szCs w:val="24"/>
        </w:rPr>
      </w:pPr>
      <w:r w:rsidRPr="00AA2AE5">
        <w:rPr>
          <w:color w:val="000000"/>
          <w:sz w:val="24"/>
          <w:szCs w:val="24"/>
        </w:rPr>
        <w:t xml:space="preserve">2300 København S </w:t>
      </w:r>
    </w:p>
    <w:p w:rsidR="00176E9B" w:rsidRPr="00AA2AE5" w:rsidRDefault="00176E9B" w:rsidP="00176E9B">
      <w:pPr>
        <w:autoSpaceDE w:val="0"/>
        <w:autoSpaceDN w:val="0"/>
        <w:adjustRightInd w:val="0"/>
        <w:ind w:left="851"/>
        <w:rPr>
          <w:sz w:val="24"/>
          <w:szCs w:val="24"/>
        </w:rPr>
      </w:pPr>
      <w:r w:rsidRPr="00AA2AE5">
        <w:rPr>
          <w:color w:val="000000"/>
          <w:sz w:val="24"/>
          <w:szCs w:val="24"/>
        </w:rPr>
        <w:t xml:space="preserve">Websted: </w:t>
      </w:r>
      <w:hyperlink r:id="rId8" w:history="1">
        <w:r w:rsidRPr="00AA2AE5">
          <w:rPr>
            <w:rStyle w:val="Hyperlink"/>
            <w:sz w:val="24"/>
            <w:szCs w:val="24"/>
          </w:rPr>
          <w:t>www.meldenbivirkning.dk</w:t>
        </w:r>
      </w:hyperlink>
    </w:p>
    <w:p w:rsidR="00176E9B" w:rsidRPr="00AA2AE5" w:rsidRDefault="00176E9B" w:rsidP="00176E9B">
      <w:pPr>
        <w:autoSpaceDE w:val="0"/>
        <w:autoSpaceDN w:val="0"/>
        <w:adjustRightInd w:val="0"/>
        <w:ind w:firstLine="851"/>
        <w:rPr>
          <w:color w:val="0000FF"/>
          <w:sz w:val="24"/>
          <w:szCs w:val="24"/>
        </w:rPr>
      </w:pPr>
      <w:r w:rsidRPr="00AA2AE5">
        <w:rPr>
          <w:color w:val="0000FF"/>
          <w:sz w:val="24"/>
          <w:szCs w:val="24"/>
        </w:rPr>
        <w:t xml:space="preserve"> </w:t>
      </w:r>
    </w:p>
    <w:p w:rsidR="00176E9B" w:rsidRPr="00B07995" w:rsidRDefault="00176E9B" w:rsidP="00BB46C3">
      <w:pPr>
        <w:keepNext/>
        <w:ind w:left="851" w:hanging="851"/>
        <w:rPr>
          <w:b/>
          <w:sz w:val="24"/>
          <w:szCs w:val="24"/>
        </w:rPr>
      </w:pPr>
      <w:r w:rsidRPr="00B07995">
        <w:rPr>
          <w:b/>
          <w:sz w:val="24"/>
          <w:szCs w:val="24"/>
        </w:rPr>
        <w:t>4.9</w:t>
      </w:r>
      <w:r w:rsidRPr="00B07995">
        <w:rPr>
          <w:b/>
          <w:sz w:val="24"/>
          <w:szCs w:val="24"/>
        </w:rPr>
        <w:tab/>
        <w:t>Overdosering</w:t>
      </w:r>
    </w:p>
    <w:p w:rsidR="00D71A03" w:rsidRDefault="00176E9B" w:rsidP="00176E9B">
      <w:pPr>
        <w:ind w:left="851" w:hanging="851"/>
        <w:rPr>
          <w:sz w:val="24"/>
          <w:szCs w:val="24"/>
        </w:rPr>
      </w:pPr>
      <w:r w:rsidRPr="00B07995">
        <w:rPr>
          <w:sz w:val="24"/>
          <w:szCs w:val="24"/>
        </w:rPr>
        <w:tab/>
      </w:r>
    </w:p>
    <w:p w:rsidR="00176E9B" w:rsidRPr="00B07995" w:rsidRDefault="00176E9B" w:rsidP="00D71A03">
      <w:pPr>
        <w:ind w:left="851"/>
        <w:rPr>
          <w:i/>
          <w:sz w:val="24"/>
          <w:szCs w:val="24"/>
        </w:rPr>
      </w:pPr>
      <w:r w:rsidRPr="00B07995">
        <w:rPr>
          <w:i/>
          <w:sz w:val="24"/>
          <w:szCs w:val="24"/>
        </w:rPr>
        <w:t>Atozet</w:t>
      </w:r>
    </w:p>
    <w:p w:rsidR="00176E9B" w:rsidRPr="00B07995" w:rsidRDefault="00176E9B" w:rsidP="00176E9B">
      <w:pPr>
        <w:ind w:left="851"/>
        <w:rPr>
          <w:sz w:val="24"/>
          <w:szCs w:val="24"/>
        </w:rPr>
      </w:pPr>
      <w:r w:rsidRPr="00B07995">
        <w:rPr>
          <w:sz w:val="24"/>
          <w:szCs w:val="24"/>
          <w:lang w:eastAsia="da-DK"/>
        </w:rPr>
        <w:t>I tilfælde af overdosering bør symptomatisk og understøttende behandling initieres</w:t>
      </w:r>
      <w:r w:rsidRPr="00B07995">
        <w:rPr>
          <w:sz w:val="24"/>
          <w:szCs w:val="24"/>
        </w:rPr>
        <w:t>. Der bør foretages leverfunktionsprøver, og serum-CK-niveauet bør monitoreres.</w:t>
      </w:r>
    </w:p>
    <w:p w:rsidR="00176E9B" w:rsidRPr="00B07995" w:rsidRDefault="00176E9B" w:rsidP="00176E9B">
      <w:pPr>
        <w:ind w:left="851" w:hanging="851"/>
        <w:rPr>
          <w:sz w:val="24"/>
          <w:szCs w:val="24"/>
        </w:rPr>
      </w:pPr>
    </w:p>
    <w:p w:rsidR="00176E9B" w:rsidRPr="00B07995" w:rsidRDefault="00176E9B" w:rsidP="00176E9B">
      <w:pPr>
        <w:ind w:left="851"/>
        <w:rPr>
          <w:i/>
          <w:sz w:val="24"/>
          <w:szCs w:val="24"/>
        </w:rPr>
      </w:pPr>
      <w:r>
        <w:rPr>
          <w:i/>
          <w:sz w:val="24"/>
          <w:szCs w:val="24"/>
        </w:rPr>
        <w:t>Ezetimib</w:t>
      </w:r>
    </w:p>
    <w:p w:rsidR="00176E9B" w:rsidRPr="00B07995" w:rsidRDefault="00176E9B" w:rsidP="00176E9B">
      <w:pPr>
        <w:numPr>
          <w:ilvl w:val="12"/>
          <w:numId w:val="0"/>
        </w:numPr>
        <w:ind w:left="851"/>
        <w:rPr>
          <w:sz w:val="24"/>
          <w:szCs w:val="24"/>
        </w:rPr>
      </w:pPr>
      <w:r w:rsidRPr="00B07995">
        <w:rPr>
          <w:sz w:val="24"/>
          <w:szCs w:val="24"/>
          <w:lang w:eastAsia="da-DK"/>
        </w:rPr>
        <w:t xml:space="preserve">I kliniske studier var administration af </w:t>
      </w:r>
      <w:r>
        <w:rPr>
          <w:sz w:val="24"/>
          <w:szCs w:val="24"/>
          <w:lang w:eastAsia="da-DK"/>
        </w:rPr>
        <w:t>ezetimib</w:t>
      </w:r>
      <w:r w:rsidRPr="00B07995">
        <w:rPr>
          <w:sz w:val="24"/>
          <w:szCs w:val="24"/>
          <w:lang w:eastAsia="da-DK"/>
        </w:rPr>
        <w:t xml:space="preserve"> 50 mg/dag i op til 14 dage til 15 raske frivillige eller 40 mg/dag til 18 patienter med primær hyperlipidæmi i op til 56 dage generelt veltolereret. Der er rapporteret enkelte tilfælde af overdosering. De fleste har ikke været associeret med bivirkninger. Rapporterede bivirkninger har ikke været alvorlige. Der er ikke observeret toksicitet hos dyr efter orale enkeltdoser af </w:t>
      </w:r>
      <w:r>
        <w:rPr>
          <w:sz w:val="24"/>
          <w:szCs w:val="24"/>
          <w:lang w:eastAsia="da-DK"/>
        </w:rPr>
        <w:t>ezetimib</w:t>
      </w:r>
      <w:r w:rsidRPr="00B07995">
        <w:rPr>
          <w:sz w:val="24"/>
          <w:szCs w:val="24"/>
          <w:lang w:eastAsia="da-DK"/>
        </w:rPr>
        <w:t xml:space="preserve"> på 5.000 mg/kg til rotter og mus og 3.000 mg/kg til hunde</w:t>
      </w:r>
      <w:r w:rsidRPr="00B07995">
        <w:rPr>
          <w:sz w:val="24"/>
          <w:szCs w:val="24"/>
        </w:rPr>
        <w:t>.</w:t>
      </w:r>
    </w:p>
    <w:p w:rsidR="00176E9B" w:rsidRPr="00B07995" w:rsidRDefault="00176E9B" w:rsidP="00176E9B">
      <w:pPr>
        <w:numPr>
          <w:ilvl w:val="12"/>
          <w:numId w:val="0"/>
        </w:numPr>
        <w:ind w:left="851" w:hanging="851"/>
        <w:rPr>
          <w:sz w:val="24"/>
          <w:szCs w:val="24"/>
        </w:rPr>
      </w:pPr>
    </w:p>
    <w:p w:rsidR="00176E9B" w:rsidRPr="00B07995" w:rsidRDefault="00176E9B" w:rsidP="00176E9B">
      <w:pPr>
        <w:ind w:left="851"/>
        <w:rPr>
          <w:i/>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På grund af en udtalt atorvastatinbinding til plasmaproteiner forventes hæmodialyse ikke at forstærke clearance af atorvastatin signifikant.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4.10</w:t>
      </w:r>
      <w:r w:rsidRPr="00B07995">
        <w:rPr>
          <w:b/>
          <w:sz w:val="24"/>
          <w:szCs w:val="24"/>
        </w:rPr>
        <w:tab/>
        <w:t>Udlevering</w:t>
      </w:r>
    </w:p>
    <w:p w:rsidR="00176E9B" w:rsidRPr="00B07995" w:rsidRDefault="00176E9B" w:rsidP="00176E9B">
      <w:pPr>
        <w:ind w:left="851" w:hanging="851"/>
        <w:rPr>
          <w:sz w:val="24"/>
          <w:szCs w:val="24"/>
        </w:rPr>
      </w:pPr>
      <w:r w:rsidRPr="00B07995">
        <w:rPr>
          <w:sz w:val="24"/>
          <w:szCs w:val="24"/>
        </w:rPr>
        <w:tab/>
      </w:r>
      <w:r>
        <w:rPr>
          <w:sz w:val="24"/>
          <w:szCs w:val="24"/>
        </w:rPr>
        <w:t>B</w:t>
      </w:r>
    </w:p>
    <w:p w:rsidR="00176E9B" w:rsidRPr="00B07995" w:rsidRDefault="00176E9B" w:rsidP="00176E9B">
      <w:pPr>
        <w:ind w:left="851" w:hanging="851"/>
        <w:rPr>
          <w:sz w:val="24"/>
          <w:szCs w:val="24"/>
        </w:rPr>
      </w:pPr>
    </w:p>
    <w:p w:rsidR="00176E9B" w:rsidRPr="00B07995" w:rsidRDefault="00176E9B" w:rsidP="00176E9B">
      <w:pPr>
        <w:ind w:left="851" w:hanging="851"/>
        <w:rPr>
          <w:sz w:val="24"/>
          <w:szCs w:val="24"/>
        </w:rPr>
      </w:pPr>
    </w:p>
    <w:p w:rsidR="00176E9B" w:rsidRPr="00B07995" w:rsidRDefault="00176E9B" w:rsidP="00176E9B">
      <w:pPr>
        <w:keepNext/>
        <w:ind w:left="851" w:hanging="851"/>
        <w:rPr>
          <w:b/>
          <w:sz w:val="24"/>
          <w:szCs w:val="24"/>
        </w:rPr>
      </w:pPr>
      <w:r w:rsidRPr="00B07995">
        <w:rPr>
          <w:b/>
          <w:sz w:val="24"/>
          <w:szCs w:val="24"/>
        </w:rPr>
        <w:t>5.</w:t>
      </w:r>
      <w:r w:rsidRPr="00B07995">
        <w:rPr>
          <w:b/>
          <w:sz w:val="24"/>
          <w:szCs w:val="24"/>
        </w:rPr>
        <w:tab/>
        <w:t>FARMAKOLOGISKE EGENSKABER</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5.1</w:t>
      </w:r>
      <w:r w:rsidRPr="00B07995">
        <w:rPr>
          <w:b/>
          <w:sz w:val="24"/>
          <w:szCs w:val="24"/>
        </w:rPr>
        <w:tab/>
        <w:t>Farmakodynamiske egenskaber</w:t>
      </w:r>
    </w:p>
    <w:p w:rsidR="00D71A03" w:rsidRPr="00B07995" w:rsidRDefault="00D71A03" w:rsidP="00D71A03">
      <w:pPr>
        <w:ind w:left="851"/>
        <w:rPr>
          <w:sz w:val="24"/>
          <w:szCs w:val="24"/>
        </w:rPr>
      </w:pPr>
      <w:r w:rsidRPr="00D71A03">
        <w:rPr>
          <w:sz w:val="24"/>
          <w:szCs w:val="24"/>
        </w:rPr>
        <w:t>Farmakoterapeutisk klassifikation</w:t>
      </w:r>
      <w:r>
        <w:rPr>
          <w:sz w:val="24"/>
          <w:szCs w:val="24"/>
        </w:rPr>
        <w:t xml:space="preserve">: </w:t>
      </w:r>
      <w:r w:rsidRPr="00B07995">
        <w:rPr>
          <w:sz w:val="24"/>
          <w:szCs w:val="24"/>
        </w:rPr>
        <w:t xml:space="preserve">Lipidmodificerende midler, </w:t>
      </w:r>
      <w:r w:rsidRPr="00B07995">
        <w:rPr>
          <w:snapToGrid w:val="0"/>
          <w:sz w:val="24"/>
          <w:szCs w:val="24"/>
        </w:rPr>
        <w:t xml:space="preserve">HMG-CoA-reduktasehæmmere i kombination med andre </w:t>
      </w:r>
      <w:r w:rsidRPr="00B07995">
        <w:rPr>
          <w:sz w:val="24"/>
          <w:szCs w:val="24"/>
          <w:lang w:eastAsia="da-DK"/>
        </w:rPr>
        <w:t>lipidmodificerende midler</w:t>
      </w:r>
      <w:r>
        <w:rPr>
          <w:sz w:val="24"/>
          <w:szCs w:val="24"/>
          <w:lang w:eastAsia="da-DK"/>
        </w:rPr>
        <w:t xml:space="preserve">. </w:t>
      </w:r>
      <w:r w:rsidRPr="00B07995">
        <w:rPr>
          <w:sz w:val="24"/>
          <w:szCs w:val="24"/>
        </w:rPr>
        <w:t>ATC-kode: C10BA05</w:t>
      </w:r>
      <w:r>
        <w:rPr>
          <w:sz w:val="24"/>
          <w:szCs w:val="24"/>
        </w:rPr>
        <w:t>.</w:t>
      </w:r>
    </w:p>
    <w:p w:rsidR="00D71A03" w:rsidRDefault="00D71A03" w:rsidP="00176E9B">
      <w:pPr>
        <w:ind w:left="851" w:hanging="851"/>
        <w:rPr>
          <w:sz w:val="24"/>
          <w:szCs w:val="24"/>
        </w:rPr>
      </w:pPr>
    </w:p>
    <w:p w:rsidR="00176E9B" w:rsidRPr="00B07995" w:rsidRDefault="00176E9B" w:rsidP="00176E9B">
      <w:pPr>
        <w:ind w:left="851" w:hanging="851"/>
        <w:rPr>
          <w:sz w:val="24"/>
          <w:szCs w:val="24"/>
        </w:rPr>
      </w:pPr>
      <w:r w:rsidRPr="00B07995">
        <w:rPr>
          <w:sz w:val="24"/>
          <w:szCs w:val="24"/>
        </w:rPr>
        <w:tab/>
        <w:t>Atozet (</w:t>
      </w:r>
      <w:r>
        <w:rPr>
          <w:sz w:val="24"/>
          <w:szCs w:val="24"/>
        </w:rPr>
        <w:t>ezetimib</w:t>
      </w:r>
      <w:r w:rsidRPr="00B07995">
        <w:rPr>
          <w:sz w:val="24"/>
          <w:szCs w:val="24"/>
        </w:rPr>
        <w:t xml:space="preserve">/atorvastatin) </w:t>
      </w:r>
      <w:r w:rsidRPr="00B07995">
        <w:rPr>
          <w:sz w:val="24"/>
          <w:szCs w:val="24"/>
          <w:lang w:eastAsia="da-DK"/>
        </w:rPr>
        <w:t>er et lipidsænkende lægemiddel, der selektivt hæmmer den intestinale absorption af kolesterol og lignende plantesteroler og hæmmer den endogene kolesterolsyntese</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336D3B">
      <w:pPr>
        <w:pStyle w:val="CPCLH3"/>
        <w:keepNext/>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sz w:val="24"/>
          <w:szCs w:val="24"/>
          <w:lang w:val="da-DK"/>
        </w:rPr>
      </w:pPr>
      <w:r w:rsidRPr="00B07995">
        <w:rPr>
          <w:rFonts w:ascii="Times New Roman" w:hAnsi="Times New Roman"/>
          <w:sz w:val="24"/>
          <w:szCs w:val="24"/>
          <w:u w:val="single"/>
          <w:lang w:val="da-DK"/>
        </w:rPr>
        <w:lastRenderedPageBreak/>
        <w:t>Virkningsmekanisme</w:t>
      </w:r>
    </w:p>
    <w:p w:rsidR="00176E9B" w:rsidRPr="00B07995" w:rsidRDefault="00176E9B" w:rsidP="00176E9B">
      <w:pPr>
        <w:ind w:left="851"/>
        <w:rPr>
          <w:i/>
          <w:sz w:val="24"/>
          <w:szCs w:val="24"/>
        </w:rPr>
      </w:pPr>
      <w:r w:rsidRPr="00B07995">
        <w:rPr>
          <w:i/>
          <w:sz w:val="24"/>
          <w:szCs w:val="24"/>
        </w:rPr>
        <w:t>Atozet</w:t>
      </w:r>
    </w:p>
    <w:p w:rsidR="00176E9B" w:rsidRPr="00B07995" w:rsidRDefault="00176E9B" w:rsidP="00176E9B">
      <w:pPr>
        <w:ind w:left="851"/>
        <w:rPr>
          <w:color w:val="000000"/>
          <w:sz w:val="24"/>
          <w:szCs w:val="24"/>
        </w:rPr>
      </w:pPr>
      <w:r w:rsidRPr="00B07995">
        <w:rPr>
          <w:sz w:val="24"/>
          <w:szCs w:val="24"/>
          <w:lang w:eastAsia="da-DK"/>
        </w:rPr>
        <w:t xml:space="preserve">Plasmakolesterol stammer fra intestinal absorption og endogen syntese. Atozet indeholder </w:t>
      </w:r>
      <w:r>
        <w:rPr>
          <w:sz w:val="24"/>
          <w:szCs w:val="24"/>
          <w:lang w:eastAsia="da-DK"/>
        </w:rPr>
        <w:t>ezetimib</w:t>
      </w:r>
      <w:r w:rsidRPr="00B07995">
        <w:rPr>
          <w:sz w:val="24"/>
          <w:szCs w:val="24"/>
          <w:lang w:eastAsia="da-DK"/>
        </w:rPr>
        <w:t xml:space="preserve"> og </w:t>
      </w:r>
      <w:r w:rsidRPr="00B07995">
        <w:rPr>
          <w:sz w:val="24"/>
          <w:szCs w:val="24"/>
        </w:rPr>
        <w:t>atorvastatin</w:t>
      </w:r>
      <w:r w:rsidRPr="00B07995">
        <w:rPr>
          <w:sz w:val="24"/>
          <w:szCs w:val="24"/>
          <w:lang w:eastAsia="da-DK"/>
        </w:rPr>
        <w:t>, to lipidsænkende stoffer, som har komplementære virkningsmekanismer. Atozet nedsætter forhøjet totalkolesterol (total-C), LDL-C, apolipoprotein B (Apo B), triglycerider (TG) og non-højdensitets-lipoprotein kolesterol (non-HDL-C) og øger højdensitets-lipoprotein kolesterol (HDL-C) gennem hæmning af både kolesterolabsorption og -syntese</w:t>
      </w:r>
      <w:r w:rsidRPr="00B07995">
        <w:rPr>
          <w:color w:val="000000"/>
          <w:sz w:val="24"/>
          <w:szCs w:val="24"/>
        </w:rPr>
        <w:t>.</w:t>
      </w:r>
    </w:p>
    <w:p w:rsidR="00176E9B" w:rsidRPr="00B07995" w:rsidRDefault="00176E9B" w:rsidP="00176E9B">
      <w:pPr>
        <w:ind w:left="851" w:hanging="851"/>
        <w:rPr>
          <w:color w:val="000000"/>
          <w:sz w:val="24"/>
          <w:szCs w:val="24"/>
        </w:rPr>
      </w:pPr>
    </w:p>
    <w:p w:rsidR="00176E9B" w:rsidRPr="00CA77D9" w:rsidRDefault="00176E9B" w:rsidP="00176E9B">
      <w:pPr>
        <w:ind w:left="851"/>
        <w:rPr>
          <w:i/>
          <w:sz w:val="24"/>
          <w:szCs w:val="24"/>
        </w:rPr>
      </w:pPr>
      <w:r>
        <w:rPr>
          <w:i/>
          <w:sz w:val="24"/>
          <w:szCs w:val="24"/>
        </w:rPr>
        <w:t>Ezetimib</w:t>
      </w:r>
    </w:p>
    <w:p w:rsidR="00176E9B" w:rsidRPr="00CA77D9" w:rsidRDefault="00176E9B" w:rsidP="00176E9B">
      <w:pPr>
        <w:ind w:left="851"/>
        <w:rPr>
          <w:sz w:val="24"/>
          <w:szCs w:val="24"/>
        </w:rPr>
      </w:pPr>
      <w:r>
        <w:rPr>
          <w:snapToGrid w:val="0"/>
          <w:sz w:val="24"/>
          <w:szCs w:val="24"/>
          <w:lang w:eastAsia="da-DK"/>
        </w:rPr>
        <w:t>Ezetimib</w:t>
      </w:r>
      <w:r w:rsidRPr="00CA77D9">
        <w:rPr>
          <w:snapToGrid w:val="0"/>
          <w:sz w:val="24"/>
          <w:szCs w:val="24"/>
          <w:lang w:eastAsia="da-DK"/>
        </w:rPr>
        <w:t xml:space="preserve"> hæmmer den intestinale absorption af kolesterol. </w:t>
      </w:r>
      <w:r>
        <w:rPr>
          <w:snapToGrid w:val="0"/>
          <w:sz w:val="24"/>
          <w:szCs w:val="24"/>
          <w:lang w:eastAsia="da-DK"/>
        </w:rPr>
        <w:t>Ezetimib</w:t>
      </w:r>
      <w:r w:rsidRPr="00CA77D9">
        <w:rPr>
          <w:snapToGrid w:val="0"/>
          <w:sz w:val="24"/>
          <w:szCs w:val="24"/>
          <w:lang w:eastAsia="da-DK"/>
        </w:rPr>
        <w:t xml:space="preserve"> er aktivt efter oral indtagelse og har en virkningsmekanisme, der er forskellig fra andre </w:t>
      </w:r>
      <w:r w:rsidRPr="00CA77D9">
        <w:rPr>
          <w:sz w:val="24"/>
          <w:szCs w:val="24"/>
          <w:lang w:eastAsia="da-DK"/>
        </w:rPr>
        <w:t>klasser af k</w:t>
      </w:r>
      <w:r w:rsidRPr="00CA77D9">
        <w:rPr>
          <w:snapToGrid w:val="0"/>
          <w:sz w:val="24"/>
          <w:szCs w:val="24"/>
          <w:lang w:eastAsia="da-DK"/>
        </w:rPr>
        <w:t xml:space="preserve">olesterolsænkende stoffer (f.eks. statiner, galdesyrebindende lægemidler [resiner], fibrinsyrederivater og plantestanoler). Det molekylære mål for </w:t>
      </w:r>
      <w:r>
        <w:rPr>
          <w:snapToGrid w:val="0"/>
          <w:sz w:val="24"/>
          <w:szCs w:val="24"/>
          <w:lang w:eastAsia="da-DK"/>
        </w:rPr>
        <w:t>ezetimib</w:t>
      </w:r>
      <w:r w:rsidRPr="00CA77D9">
        <w:rPr>
          <w:snapToGrid w:val="0"/>
          <w:sz w:val="24"/>
          <w:szCs w:val="24"/>
          <w:lang w:eastAsia="da-DK"/>
        </w:rPr>
        <w:t xml:space="preserve"> er steroltransportøren Niemann-Pick Cl-lignende 1 (NPC1L1), som står for den intestinale optagelse af kolesterol og fytosteroler</w:t>
      </w:r>
      <w:r w:rsidRPr="00CA77D9">
        <w:rPr>
          <w:sz w:val="24"/>
          <w:szCs w:val="24"/>
        </w:rPr>
        <w:t>.</w:t>
      </w:r>
    </w:p>
    <w:p w:rsidR="00176E9B" w:rsidRPr="00CA77D9" w:rsidRDefault="00176E9B" w:rsidP="00176E9B">
      <w:pPr>
        <w:ind w:left="851"/>
        <w:rPr>
          <w:sz w:val="24"/>
          <w:szCs w:val="24"/>
        </w:rPr>
      </w:pPr>
    </w:p>
    <w:p w:rsidR="00176E9B" w:rsidRPr="00B07995" w:rsidRDefault="00176E9B" w:rsidP="00176E9B">
      <w:pPr>
        <w:ind w:left="851"/>
        <w:rPr>
          <w:snapToGrid w:val="0"/>
          <w:sz w:val="24"/>
          <w:szCs w:val="24"/>
        </w:rPr>
      </w:pPr>
      <w:r>
        <w:rPr>
          <w:snapToGrid w:val="0"/>
          <w:sz w:val="24"/>
          <w:szCs w:val="24"/>
          <w:lang w:eastAsia="da-DK"/>
        </w:rPr>
        <w:t>Ezetimib</w:t>
      </w:r>
      <w:r w:rsidRPr="00B07995">
        <w:rPr>
          <w:snapToGrid w:val="0"/>
          <w:sz w:val="24"/>
          <w:szCs w:val="24"/>
          <w:lang w:eastAsia="da-DK"/>
        </w:rPr>
        <w:t xml:space="preserve">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et klinisk studie af 2 ugers varighed, med 18 hyperkolesterolæmiske patienter, hæmmede </w:t>
      </w:r>
      <w:r>
        <w:rPr>
          <w:snapToGrid w:val="0"/>
          <w:sz w:val="24"/>
          <w:szCs w:val="24"/>
          <w:lang w:eastAsia="da-DK"/>
        </w:rPr>
        <w:t>ezetimib</w:t>
      </w:r>
      <w:r w:rsidRPr="00B07995">
        <w:rPr>
          <w:snapToGrid w:val="0"/>
          <w:sz w:val="24"/>
          <w:szCs w:val="24"/>
          <w:lang w:eastAsia="da-DK"/>
        </w:rPr>
        <w:t xml:space="preserve"> den intestinale kolesterolabsorption med 54% sammenlignet med placebo</w:t>
      </w:r>
      <w:r w:rsidRPr="00B07995">
        <w:rPr>
          <w:snapToGrid w:val="0"/>
          <w:sz w:val="24"/>
          <w:szCs w:val="24"/>
        </w:rPr>
        <w:t>.</w:t>
      </w:r>
    </w:p>
    <w:p w:rsidR="00176E9B" w:rsidRPr="00B07995" w:rsidRDefault="00176E9B" w:rsidP="00176E9B">
      <w:pPr>
        <w:ind w:left="851" w:hanging="851"/>
        <w:rPr>
          <w:snapToGrid w:val="0"/>
          <w:sz w:val="24"/>
          <w:szCs w:val="24"/>
        </w:rPr>
      </w:pPr>
    </w:p>
    <w:p w:rsidR="00176E9B" w:rsidRPr="00B07995" w:rsidRDefault="00176E9B" w:rsidP="00176E9B">
      <w:pPr>
        <w:ind w:left="851"/>
        <w:rPr>
          <w:sz w:val="24"/>
          <w:szCs w:val="24"/>
        </w:rPr>
      </w:pPr>
      <w:r w:rsidRPr="00B07995">
        <w:rPr>
          <w:sz w:val="24"/>
          <w:szCs w:val="24"/>
          <w:lang w:eastAsia="da-DK"/>
        </w:rPr>
        <w:t xml:space="preserve">Der er udført en række prækliniske studier med henblik på at fastsætte, hvor selektivt </w:t>
      </w:r>
      <w:r>
        <w:rPr>
          <w:sz w:val="24"/>
          <w:szCs w:val="24"/>
          <w:lang w:eastAsia="da-DK"/>
        </w:rPr>
        <w:t>ezetimib</w:t>
      </w:r>
      <w:r w:rsidRPr="00B07995">
        <w:rPr>
          <w:sz w:val="24"/>
          <w:szCs w:val="24"/>
          <w:lang w:eastAsia="da-DK"/>
        </w:rPr>
        <w:t xml:space="preserve"> hæmmer kolesterolabsorptionen. </w:t>
      </w:r>
      <w:r>
        <w:rPr>
          <w:sz w:val="24"/>
          <w:szCs w:val="24"/>
          <w:lang w:eastAsia="da-DK"/>
        </w:rPr>
        <w:t>Ezetimib</w:t>
      </w:r>
      <w:r w:rsidRPr="00B07995">
        <w:rPr>
          <w:sz w:val="24"/>
          <w:szCs w:val="24"/>
          <w:lang w:eastAsia="da-DK"/>
        </w:rPr>
        <w:t xml:space="preserve"> hæmmede absorptionen af [</w:t>
      </w:r>
      <w:r w:rsidRPr="00B07995">
        <w:rPr>
          <w:sz w:val="24"/>
          <w:szCs w:val="24"/>
          <w:vertAlign w:val="superscript"/>
          <w:lang w:eastAsia="da-DK"/>
        </w:rPr>
        <w:t>14</w:t>
      </w:r>
      <w:proofErr w:type="gramStart"/>
      <w:r w:rsidRPr="00B07995">
        <w:rPr>
          <w:sz w:val="24"/>
          <w:szCs w:val="24"/>
          <w:lang w:eastAsia="da-DK"/>
        </w:rPr>
        <w:t>C]-</w:t>
      </w:r>
      <w:proofErr w:type="gramEnd"/>
      <w:r w:rsidRPr="00B07995">
        <w:rPr>
          <w:sz w:val="24"/>
          <w:szCs w:val="24"/>
          <w:lang w:eastAsia="da-DK"/>
        </w:rPr>
        <w:t>kolesterol uden at påvirke absorptionen af triglycerider, fedtsyrer, galdesyrer, progesteron, ethinylestradiol eller de fedtopløselige vitaminer A og D</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keepNext/>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Atorvastatin er en selektiv, kompetitiv hæmmer af HMG</w:t>
      </w:r>
      <w:r w:rsidRPr="00B07995">
        <w:rPr>
          <w:sz w:val="24"/>
          <w:szCs w:val="24"/>
        </w:rPr>
        <w:noBreakHyphen/>
        <w:t>CoA-reduktase, det hastighedsbegrænsende enzym, der er ansvarligt for konvertering af 3</w:t>
      </w:r>
      <w:r w:rsidRPr="00B07995">
        <w:rPr>
          <w:sz w:val="24"/>
          <w:szCs w:val="24"/>
        </w:rPr>
        <w:noBreakHyphen/>
        <w:t>hydroxy</w:t>
      </w:r>
      <w:r w:rsidRPr="00B07995">
        <w:rPr>
          <w:sz w:val="24"/>
          <w:szCs w:val="24"/>
        </w:rPr>
        <w:noBreakHyphen/>
        <w:t>3</w:t>
      </w:r>
      <w:r w:rsidRPr="00B07995">
        <w:rPr>
          <w:sz w:val="24"/>
          <w:szCs w:val="24"/>
        </w:rPr>
        <w:noBreakHyphen/>
        <w:t>methyl</w:t>
      </w:r>
      <w:r w:rsidRPr="00B07995">
        <w:rPr>
          <w:sz w:val="24"/>
          <w:szCs w:val="24"/>
        </w:rPr>
        <w:noBreakHyphen/>
        <w:t>glutaryl</w:t>
      </w:r>
      <w:r w:rsidRPr="00B07995">
        <w:rPr>
          <w:sz w:val="24"/>
          <w:szCs w:val="24"/>
        </w:rPr>
        <w:noBreakHyphen/>
        <w:t>coenzym A til mevalonat, et forstadium til steroler, herunder kolesterol. Triglycerider og kolesterol i leveren indgår i lipoproteiner med meget lav densitet (VLDL) og frigives i blodet, hvorfra de transporteres til det perifere væv. Lavdensitetslipoprotein (LDL) dannes af VLDL og kataboliseres primært af højaffinitets-LDL-receptoren.</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Atorvastatin sænker koncentrationen af plasmakolesterol og lipoproteinserum ved at hæmme syntesen af HMG-CoA-reduktase og efterfølgende kolesterolbiosyntese i leveren. Desuden øger atorvastatin antallet af lever-LDL-receptorer på celleoverfladen, hvilket fører til øget optagelse og katabolisering af LDL.</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Atorvastatin reducer LDL-produktion og antallet af LDL</w:t>
      </w:r>
      <w:r w:rsidRPr="00B07995">
        <w:rPr>
          <w:sz w:val="24"/>
          <w:szCs w:val="24"/>
        </w:rPr>
        <w:noBreakHyphen/>
        <w:t>partikler. Atorvastatin frembringer en omfattende og vedvarende stigning i LDL-receptoraktivitet kombineret med en forbedring af kvaliteten af LDL-partikler i kredsløbet. Atorvastatin sænker effektivt LDL-C hos patienter med homozygot familiær hyper</w:t>
      </w:r>
      <w:r w:rsidRPr="00B07995">
        <w:rPr>
          <w:sz w:val="24"/>
          <w:szCs w:val="24"/>
        </w:rPr>
        <w:softHyphen/>
        <w:t>kolesterolæmi, en patientgruppe der ikke plejer at reagere på lipidsænkende lægemidler.</w:t>
      </w:r>
    </w:p>
    <w:p w:rsidR="00176E9B" w:rsidRPr="00B07995" w:rsidRDefault="00176E9B" w:rsidP="00176E9B">
      <w:pPr>
        <w:suppressAutoHyphens/>
        <w:ind w:left="851" w:hanging="851"/>
        <w:rPr>
          <w:sz w:val="24"/>
          <w:szCs w:val="24"/>
        </w:rPr>
      </w:pPr>
    </w:p>
    <w:p w:rsidR="00176E9B" w:rsidRPr="00B07995" w:rsidRDefault="00176E9B" w:rsidP="00176E9B">
      <w:pPr>
        <w:ind w:left="851"/>
        <w:rPr>
          <w:sz w:val="24"/>
          <w:szCs w:val="24"/>
        </w:rPr>
      </w:pPr>
      <w:r w:rsidRPr="00B07995">
        <w:rPr>
          <w:sz w:val="24"/>
          <w:szCs w:val="24"/>
        </w:rPr>
        <w:t xml:space="preserve">Atorvastatin har vist sig at sænke koncentrationen af total-C (30%-46%), LDL-C (41%-61%), apolipoprotein B (34%-50%) og triglycerider (14%-33%), men medførte variable </w:t>
      </w:r>
      <w:r w:rsidRPr="00B07995">
        <w:rPr>
          <w:sz w:val="24"/>
          <w:szCs w:val="24"/>
        </w:rPr>
        <w:lastRenderedPageBreak/>
        <w:t>stigninger i HDL-C og apolipoprotein A1 i studier til fastsættelse af dosis. Disse resultater er ensartede for patienter med heterozygot familiær hyperkolesterolæmi, non-familiær hyperkolesterolæmi og kombineret hyperlipidæmi, herunder patienter med ikke</w:t>
      </w:r>
      <w:r w:rsidRPr="00B07995">
        <w:rPr>
          <w:sz w:val="24"/>
          <w:szCs w:val="24"/>
        </w:rPr>
        <w:noBreakHyphen/>
        <w:t>insulinkrævende diabetes mellitus.</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Klinisk virkning og sikkerhed</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I kontrollerede kliniske studier reducerede Atozet signifikant total-C, LDL-C, Apo B og TG og øgede HDL-C hos patienter </w:t>
      </w:r>
      <w:r w:rsidRPr="00B07995">
        <w:rPr>
          <w:sz w:val="24"/>
          <w:szCs w:val="24"/>
          <w:lang w:eastAsia="da-DK"/>
        </w:rPr>
        <w:t>med hyperkolesterolæmi</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i/>
          <w:sz w:val="24"/>
          <w:szCs w:val="24"/>
        </w:rPr>
      </w:pPr>
      <w:r w:rsidRPr="00B07995">
        <w:rPr>
          <w:i/>
          <w:sz w:val="24"/>
          <w:szCs w:val="24"/>
        </w:rPr>
        <w:t xml:space="preserve">Primær </w:t>
      </w:r>
      <w:r w:rsidRPr="00B07995">
        <w:rPr>
          <w:i/>
          <w:sz w:val="24"/>
          <w:szCs w:val="24"/>
          <w:lang w:eastAsia="da-DK"/>
        </w:rPr>
        <w:t>hyperkolesterolæmi</w:t>
      </w:r>
    </w:p>
    <w:p w:rsidR="00176E9B" w:rsidRPr="00B07995" w:rsidRDefault="00176E9B" w:rsidP="00176E9B">
      <w:pPr>
        <w:ind w:left="851"/>
        <w:rPr>
          <w:sz w:val="24"/>
          <w:szCs w:val="24"/>
        </w:rPr>
      </w:pPr>
      <w:r w:rsidRPr="00B07995">
        <w:rPr>
          <w:sz w:val="24"/>
          <w:szCs w:val="24"/>
        </w:rPr>
        <w:t xml:space="preserve">I et placebokontrolleret studie blev 628 patienter med hyperlipidæmi randomiseret til at få placebo, </w:t>
      </w:r>
      <w:r>
        <w:rPr>
          <w:sz w:val="24"/>
          <w:szCs w:val="24"/>
        </w:rPr>
        <w:t>ezetimib</w:t>
      </w:r>
      <w:r w:rsidRPr="00B07995">
        <w:rPr>
          <w:sz w:val="24"/>
          <w:szCs w:val="24"/>
        </w:rPr>
        <w:t xml:space="preserve"> (10 mg), atorvastatin (10 mg, 20 mg, 40 mg eller 80 mg), eller samtidig administration af </w:t>
      </w:r>
      <w:r>
        <w:rPr>
          <w:sz w:val="24"/>
          <w:szCs w:val="24"/>
        </w:rPr>
        <w:t>ezetimib</w:t>
      </w:r>
      <w:r w:rsidRPr="00B07995">
        <w:rPr>
          <w:sz w:val="24"/>
          <w:szCs w:val="24"/>
        </w:rPr>
        <w:t xml:space="preserve"> og atorvastatin svarende til Atozet (10/10, 10/20, 10/40 og 10/80) i op til 12 uger. </w:t>
      </w:r>
    </w:p>
    <w:p w:rsidR="00176E9B" w:rsidRPr="00B07995" w:rsidRDefault="00176E9B" w:rsidP="00176E9B">
      <w:pPr>
        <w:ind w:left="851" w:hanging="851"/>
        <w:rPr>
          <w:sz w:val="24"/>
          <w:szCs w:val="24"/>
        </w:rPr>
      </w:pPr>
    </w:p>
    <w:p w:rsidR="00176E9B" w:rsidRPr="00290967" w:rsidRDefault="00176E9B" w:rsidP="00176E9B">
      <w:pPr>
        <w:ind w:left="851"/>
        <w:rPr>
          <w:sz w:val="24"/>
          <w:szCs w:val="22"/>
        </w:rPr>
      </w:pPr>
      <w:r w:rsidRPr="00290967">
        <w:rPr>
          <w:sz w:val="24"/>
          <w:szCs w:val="22"/>
        </w:rPr>
        <w:t>Patienter, der fik alle doser af Atozet, blev sammenlignet med de patienter, der fik alle doser af atorvastatin. Atozet sænkede total-C, LDL-C, Apo B, TG og non-HDL-C og øgede HDL-C signifikant mere end atorvastatin-monoterapi (se tabel 4).</w:t>
      </w:r>
    </w:p>
    <w:p w:rsidR="00176E9B" w:rsidRPr="0018778C" w:rsidRDefault="00176E9B" w:rsidP="00176E9B">
      <w:pPr>
        <w:rPr>
          <w:sz w:val="24"/>
          <w:szCs w:val="24"/>
          <w:highlight w:val="yellow"/>
        </w:rPr>
      </w:pPr>
    </w:p>
    <w:p w:rsidR="00176E9B" w:rsidRPr="00290967" w:rsidRDefault="00176E9B" w:rsidP="00176E9B">
      <w:pPr>
        <w:pStyle w:val="Tablecentered"/>
        <w:ind w:left="1170" w:right="1170"/>
        <w:rPr>
          <w:rFonts w:ascii="Times New Roman" w:hAnsi="Times New Roman"/>
          <w:b/>
          <w:color w:val="000000"/>
          <w:sz w:val="24"/>
          <w:szCs w:val="22"/>
          <w:lang w:val="da-DK"/>
        </w:rPr>
      </w:pPr>
      <w:r w:rsidRPr="00290967">
        <w:rPr>
          <w:rFonts w:ascii="Times New Roman" w:hAnsi="Times New Roman"/>
          <w:b/>
          <w:color w:val="000000"/>
          <w:sz w:val="24"/>
          <w:szCs w:val="22"/>
          <w:lang w:val="da-DK"/>
        </w:rPr>
        <w:t>Tabel 4</w:t>
      </w:r>
    </w:p>
    <w:p w:rsidR="00176E9B" w:rsidRPr="00290967" w:rsidRDefault="00176E9B" w:rsidP="00176E9B">
      <w:pPr>
        <w:pStyle w:val="Tablecentered"/>
        <w:ind w:left="1170" w:right="1170"/>
        <w:rPr>
          <w:rFonts w:ascii="Times New Roman" w:hAnsi="Times New Roman"/>
          <w:b/>
          <w:color w:val="000000"/>
          <w:sz w:val="24"/>
          <w:szCs w:val="22"/>
          <w:lang w:val="da-DK"/>
        </w:rPr>
      </w:pPr>
      <w:r w:rsidRPr="00290967">
        <w:rPr>
          <w:rFonts w:ascii="Times New Roman" w:hAnsi="Times New Roman"/>
          <w:b/>
          <w:color w:val="000000"/>
          <w:sz w:val="24"/>
          <w:szCs w:val="22"/>
          <w:lang w:val="da-DK"/>
        </w:rPr>
        <w:t>Respons på Atozet hos patienter med primær hyperlipidæmi</w:t>
      </w:r>
    </w:p>
    <w:p w:rsidR="00176E9B" w:rsidRPr="00290967" w:rsidRDefault="00176E9B" w:rsidP="00176E9B">
      <w:pPr>
        <w:pStyle w:val="Tablecentered"/>
        <w:ind w:left="1170" w:right="1170"/>
        <w:rPr>
          <w:rFonts w:ascii="Times New Roman" w:hAnsi="Times New Roman"/>
          <w:b/>
          <w:color w:val="000000"/>
          <w:sz w:val="24"/>
          <w:szCs w:val="22"/>
          <w:lang w:val="da-DK"/>
        </w:rPr>
      </w:pPr>
      <w:r w:rsidRPr="00290967">
        <w:rPr>
          <w:rFonts w:ascii="Times New Roman" w:hAnsi="Times New Roman"/>
          <w:b/>
          <w:color w:val="000000"/>
          <w:sz w:val="24"/>
          <w:szCs w:val="22"/>
          <w:lang w:val="da-DK"/>
        </w:rPr>
        <w:t>(Middel</w:t>
      </w:r>
      <w:r w:rsidRPr="00290967">
        <w:rPr>
          <w:rFonts w:ascii="Times New Roman" w:hAnsi="Times New Roman"/>
          <w:b/>
          <w:color w:val="000000"/>
          <w:sz w:val="24"/>
          <w:szCs w:val="22"/>
          <w:vertAlign w:val="superscript"/>
          <w:lang w:val="da-DK"/>
        </w:rPr>
        <w:t>a</w:t>
      </w:r>
      <w:r w:rsidRPr="00290967">
        <w:rPr>
          <w:rFonts w:ascii="Times New Roman" w:hAnsi="Times New Roman"/>
          <w:b/>
          <w:color w:val="000000"/>
          <w:sz w:val="24"/>
          <w:szCs w:val="22"/>
          <w:lang w:val="da-DK"/>
        </w:rPr>
        <w:t xml:space="preserve"> procentvis ændring i forhold til ubehandlet </w:t>
      </w:r>
      <w:r w:rsidRPr="00290967">
        <w:rPr>
          <w:rFonts w:ascii="Times New Roman" w:hAnsi="Times New Roman"/>
          <w:b/>
          <w:i/>
          <w:color w:val="000000"/>
          <w:sz w:val="24"/>
          <w:szCs w:val="22"/>
          <w:lang w:val="da-DK"/>
        </w:rPr>
        <w:t>baseline</w:t>
      </w:r>
      <w:r w:rsidRPr="00290967">
        <w:rPr>
          <w:rFonts w:ascii="Times New Roman" w:hAnsi="Times New Roman"/>
          <w:b/>
          <w:color w:val="000000"/>
          <w:sz w:val="24"/>
          <w:szCs w:val="22"/>
          <w:vertAlign w:val="superscript"/>
          <w:lang w:val="da-DK"/>
        </w:rPr>
        <w:t xml:space="preserve">b </w:t>
      </w:r>
      <w:r w:rsidRPr="00290967">
        <w:rPr>
          <w:rFonts w:ascii="Times New Roman" w:hAnsi="Times New Roman"/>
          <w:b/>
          <w:color w:val="000000"/>
          <w:sz w:val="24"/>
          <w:szCs w:val="22"/>
          <w:lang w:val="da-DK"/>
        </w:rPr>
        <w:t>efter 12 uger)</w:t>
      </w:r>
    </w:p>
    <w:p w:rsidR="00176E9B" w:rsidRPr="0018778C" w:rsidRDefault="00176E9B" w:rsidP="00176E9B">
      <w:pPr>
        <w:keepNext/>
        <w:jc w:val="center"/>
        <w:rPr>
          <w:sz w:val="24"/>
          <w:szCs w:val="24"/>
          <w:highlight w:val="yellow"/>
        </w:rPr>
      </w:pPr>
    </w:p>
    <w:tbl>
      <w:tblPr>
        <w:tblW w:w="9495" w:type="dxa"/>
        <w:jc w:val="center"/>
        <w:tblBorders>
          <w:top w:val="single" w:sz="6" w:space="0" w:color="auto"/>
          <w:bottom w:val="single" w:sz="6" w:space="0" w:color="auto"/>
          <w:insideH w:val="single" w:sz="6" w:space="0" w:color="auto"/>
        </w:tblBorders>
        <w:tblLayout w:type="fixed"/>
        <w:tblLook w:val="0000" w:firstRow="0" w:lastRow="0" w:firstColumn="0" w:lastColumn="0" w:noHBand="0" w:noVBand="0"/>
      </w:tblPr>
      <w:tblGrid>
        <w:gridCol w:w="2743"/>
        <w:gridCol w:w="800"/>
        <w:gridCol w:w="1057"/>
        <w:gridCol w:w="938"/>
        <w:gridCol w:w="864"/>
        <w:gridCol w:w="641"/>
        <w:gridCol w:w="1000"/>
        <w:gridCol w:w="1452"/>
      </w:tblGrid>
      <w:tr w:rsidR="00176E9B" w:rsidRPr="00B07995" w:rsidTr="00272594">
        <w:trPr>
          <w:trHeight w:val="260"/>
          <w:jc w:val="center"/>
        </w:trPr>
        <w:tc>
          <w:tcPr>
            <w:tcW w:w="2743"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Behandling</w:t>
            </w:r>
          </w:p>
          <w:p w:rsidR="00176E9B" w:rsidRPr="00CA77D9" w:rsidRDefault="00176E9B" w:rsidP="00272594">
            <w:pPr>
              <w:keepNext/>
              <w:rPr>
                <w:sz w:val="24"/>
                <w:szCs w:val="24"/>
              </w:rPr>
            </w:pPr>
            <w:r w:rsidRPr="00CA77D9">
              <w:rPr>
                <w:sz w:val="24"/>
                <w:szCs w:val="24"/>
              </w:rPr>
              <w:t>(Daglig dosis)</w:t>
            </w:r>
          </w:p>
        </w:tc>
        <w:tc>
          <w:tcPr>
            <w:tcW w:w="800"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N</w:t>
            </w:r>
          </w:p>
        </w:tc>
        <w:tc>
          <w:tcPr>
            <w:tcW w:w="1057"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Total-C</w:t>
            </w:r>
          </w:p>
        </w:tc>
        <w:tc>
          <w:tcPr>
            <w:tcW w:w="938"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LDL-C</w:t>
            </w:r>
          </w:p>
        </w:tc>
        <w:tc>
          <w:tcPr>
            <w:tcW w:w="864"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Apo B</w:t>
            </w:r>
          </w:p>
        </w:tc>
        <w:tc>
          <w:tcPr>
            <w:tcW w:w="641" w:type="dxa"/>
            <w:tcBorders>
              <w:top w:val="nil"/>
              <w:bottom w:val="single" w:sz="12" w:space="0" w:color="auto"/>
            </w:tcBorders>
            <w:vAlign w:val="center"/>
          </w:tcPr>
          <w:p w:rsidR="00176E9B" w:rsidRPr="00CA77D9" w:rsidRDefault="00176E9B" w:rsidP="00272594">
            <w:pPr>
              <w:keepNext/>
              <w:rPr>
                <w:sz w:val="24"/>
                <w:szCs w:val="24"/>
                <w:vertAlign w:val="superscript"/>
              </w:rPr>
            </w:pPr>
            <w:r w:rsidRPr="00CA77D9">
              <w:rPr>
                <w:sz w:val="24"/>
                <w:szCs w:val="24"/>
              </w:rPr>
              <w:t>TG</w:t>
            </w:r>
            <w:r w:rsidRPr="00CA77D9">
              <w:rPr>
                <w:sz w:val="24"/>
                <w:szCs w:val="24"/>
                <w:vertAlign w:val="superscript"/>
              </w:rPr>
              <w:t>a</w:t>
            </w:r>
          </w:p>
        </w:tc>
        <w:tc>
          <w:tcPr>
            <w:tcW w:w="1000"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HDL-C</w:t>
            </w:r>
          </w:p>
        </w:tc>
        <w:tc>
          <w:tcPr>
            <w:tcW w:w="1452"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Non-HDL-C</w:t>
            </w:r>
          </w:p>
        </w:tc>
      </w:tr>
      <w:tr w:rsidR="00176E9B" w:rsidRPr="00B07995" w:rsidTr="00272594">
        <w:trPr>
          <w:trHeight w:val="260"/>
          <w:jc w:val="center"/>
        </w:trPr>
        <w:tc>
          <w:tcPr>
            <w:tcW w:w="2743"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 xml:space="preserve">Data (poolet) (Alle Atozet </w:t>
            </w:r>
            <w:proofErr w:type="gramStart"/>
            <w:r w:rsidRPr="00CA77D9">
              <w:rPr>
                <w:sz w:val="24"/>
                <w:szCs w:val="24"/>
              </w:rPr>
              <w:t>doser)</w:t>
            </w:r>
            <w:r w:rsidRPr="00CA77D9">
              <w:rPr>
                <w:sz w:val="24"/>
                <w:szCs w:val="24"/>
                <w:vertAlign w:val="superscript"/>
              </w:rPr>
              <w:t>c</w:t>
            </w:r>
            <w:proofErr w:type="gramEnd"/>
            <w:r w:rsidRPr="00CA77D9">
              <w:rPr>
                <w:sz w:val="24"/>
                <w:szCs w:val="24"/>
              </w:rPr>
              <w:t xml:space="preserve"> </w:t>
            </w:r>
          </w:p>
        </w:tc>
        <w:tc>
          <w:tcPr>
            <w:tcW w:w="800"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255</w:t>
            </w:r>
          </w:p>
        </w:tc>
        <w:tc>
          <w:tcPr>
            <w:tcW w:w="1057"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-41</w:t>
            </w:r>
          </w:p>
        </w:tc>
        <w:tc>
          <w:tcPr>
            <w:tcW w:w="938"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-56</w:t>
            </w:r>
          </w:p>
        </w:tc>
        <w:tc>
          <w:tcPr>
            <w:tcW w:w="864"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-45</w:t>
            </w:r>
          </w:p>
        </w:tc>
        <w:tc>
          <w:tcPr>
            <w:tcW w:w="641"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-33</w:t>
            </w:r>
          </w:p>
        </w:tc>
        <w:tc>
          <w:tcPr>
            <w:tcW w:w="1000"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+7</w:t>
            </w:r>
          </w:p>
        </w:tc>
        <w:tc>
          <w:tcPr>
            <w:tcW w:w="1452" w:type="dxa"/>
            <w:tcBorders>
              <w:top w:val="nil"/>
              <w:bottom w:val="single" w:sz="12" w:space="0" w:color="auto"/>
            </w:tcBorders>
            <w:vAlign w:val="center"/>
          </w:tcPr>
          <w:p w:rsidR="00176E9B" w:rsidRPr="00CA77D9" w:rsidRDefault="00176E9B" w:rsidP="00272594">
            <w:pPr>
              <w:keepNext/>
              <w:rPr>
                <w:sz w:val="24"/>
                <w:szCs w:val="24"/>
              </w:rPr>
            </w:pPr>
            <w:r w:rsidRPr="00CA77D9">
              <w:rPr>
                <w:sz w:val="24"/>
                <w:szCs w:val="24"/>
              </w:rPr>
              <w:t>-52</w:t>
            </w:r>
          </w:p>
        </w:tc>
      </w:tr>
      <w:tr w:rsidR="00176E9B" w:rsidRPr="00B07995" w:rsidTr="00272594">
        <w:trPr>
          <w:trHeight w:val="260"/>
          <w:jc w:val="center"/>
        </w:trPr>
        <w:tc>
          <w:tcPr>
            <w:tcW w:w="2743" w:type="dxa"/>
            <w:tcBorders>
              <w:top w:val="single" w:sz="12" w:space="0" w:color="auto"/>
              <w:bottom w:val="dotted" w:sz="4" w:space="0" w:color="auto"/>
            </w:tcBorders>
            <w:vAlign w:val="center"/>
          </w:tcPr>
          <w:p w:rsidR="00176E9B" w:rsidRPr="00CA77D9" w:rsidRDefault="00176E9B" w:rsidP="00272594">
            <w:pPr>
              <w:rPr>
                <w:sz w:val="24"/>
                <w:szCs w:val="24"/>
                <w:vertAlign w:val="superscript"/>
              </w:rPr>
            </w:pPr>
            <w:r w:rsidRPr="00CA77D9">
              <w:rPr>
                <w:sz w:val="24"/>
                <w:szCs w:val="24"/>
              </w:rPr>
              <w:t xml:space="preserve">Data (poolet) (Alle atorvastatin </w:t>
            </w:r>
            <w:proofErr w:type="gramStart"/>
            <w:r w:rsidRPr="00CA77D9">
              <w:rPr>
                <w:sz w:val="24"/>
                <w:szCs w:val="24"/>
              </w:rPr>
              <w:t>doser)</w:t>
            </w:r>
            <w:r w:rsidRPr="00CA77D9">
              <w:rPr>
                <w:sz w:val="24"/>
                <w:szCs w:val="24"/>
                <w:vertAlign w:val="superscript"/>
              </w:rPr>
              <w:t>c</w:t>
            </w:r>
            <w:proofErr w:type="gramEnd"/>
          </w:p>
        </w:tc>
        <w:tc>
          <w:tcPr>
            <w:tcW w:w="800"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248</w:t>
            </w:r>
          </w:p>
        </w:tc>
        <w:tc>
          <w:tcPr>
            <w:tcW w:w="1057"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-32</w:t>
            </w:r>
          </w:p>
        </w:tc>
        <w:tc>
          <w:tcPr>
            <w:tcW w:w="938"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-44</w:t>
            </w:r>
          </w:p>
        </w:tc>
        <w:tc>
          <w:tcPr>
            <w:tcW w:w="864"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-36</w:t>
            </w:r>
          </w:p>
        </w:tc>
        <w:tc>
          <w:tcPr>
            <w:tcW w:w="641"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-24</w:t>
            </w:r>
          </w:p>
        </w:tc>
        <w:tc>
          <w:tcPr>
            <w:tcW w:w="1000"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+4</w:t>
            </w:r>
          </w:p>
        </w:tc>
        <w:tc>
          <w:tcPr>
            <w:tcW w:w="1452" w:type="dxa"/>
            <w:tcBorders>
              <w:top w:val="single" w:sz="12" w:space="0" w:color="auto"/>
              <w:bottom w:val="dotted" w:sz="4" w:space="0" w:color="auto"/>
            </w:tcBorders>
            <w:vAlign w:val="center"/>
          </w:tcPr>
          <w:p w:rsidR="00176E9B" w:rsidRPr="00CA77D9" w:rsidRDefault="00176E9B" w:rsidP="00272594">
            <w:pPr>
              <w:rPr>
                <w:sz w:val="24"/>
                <w:szCs w:val="24"/>
              </w:rPr>
            </w:pPr>
            <w:r w:rsidRPr="00CA77D9">
              <w:rPr>
                <w:sz w:val="24"/>
                <w:szCs w:val="24"/>
              </w:rPr>
              <w:t>-41</w:t>
            </w:r>
          </w:p>
        </w:tc>
      </w:tr>
      <w:tr w:rsidR="00176E9B" w:rsidRPr="00B07995" w:rsidTr="00272594">
        <w:trPr>
          <w:trHeight w:val="260"/>
          <w:jc w:val="center"/>
        </w:trPr>
        <w:tc>
          <w:tcPr>
            <w:tcW w:w="2743" w:type="dxa"/>
            <w:tcBorders>
              <w:top w:val="single" w:sz="12" w:space="0" w:color="auto"/>
              <w:bottom w:val="single" w:sz="12" w:space="0" w:color="auto"/>
              <w:right w:val="nil"/>
            </w:tcBorders>
            <w:vAlign w:val="center"/>
          </w:tcPr>
          <w:p w:rsidR="00176E9B" w:rsidRPr="00CA77D9" w:rsidRDefault="00176E9B" w:rsidP="00272594">
            <w:pPr>
              <w:rPr>
                <w:sz w:val="24"/>
                <w:szCs w:val="24"/>
              </w:rPr>
            </w:pPr>
            <w:r>
              <w:rPr>
                <w:sz w:val="24"/>
                <w:szCs w:val="24"/>
              </w:rPr>
              <w:t>Ezetimib</w:t>
            </w:r>
            <w:r w:rsidRPr="00CA77D9">
              <w:rPr>
                <w:sz w:val="24"/>
                <w:szCs w:val="24"/>
              </w:rPr>
              <w:t xml:space="preserve"> 10 mg</w:t>
            </w:r>
          </w:p>
        </w:tc>
        <w:tc>
          <w:tcPr>
            <w:tcW w:w="800"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65</w:t>
            </w:r>
          </w:p>
        </w:tc>
        <w:tc>
          <w:tcPr>
            <w:tcW w:w="1057"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-14</w:t>
            </w:r>
          </w:p>
        </w:tc>
        <w:tc>
          <w:tcPr>
            <w:tcW w:w="938"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-20</w:t>
            </w:r>
          </w:p>
        </w:tc>
        <w:tc>
          <w:tcPr>
            <w:tcW w:w="864"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-15</w:t>
            </w:r>
          </w:p>
        </w:tc>
        <w:tc>
          <w:tcPr>
            <w:tcW w:w="641"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-5</w:t>
            </w:r>
          </w:p>
        </w:tc>
        <w:tc>
          <w:tcPr>
            <w:tcW w:w="1000" w:type="dxa"/>
            <w:tcBorders>
              <w:top w:val="single" w:sz="12"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+4</w:t>
            </w:r>
          </w:p>
        </w:tc>
        <w:tc>
          <w:tcPr>
            <w:tcW w:w="1452" w:type="dxa"/>
            <w:tcBorders>
              <w:top w:val="single" w:sz="12"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-18</w:t>
            </w:r>
          </w:p>
        </w:tc>
      </w:tr>
      <w:tr w:rsidR="00176E9B" w:rsidRPr="00B07995" w:rsidTr="00272594">
        <w:trPr>
          <w:trHeight w:val="260"/>
          <w:jc w:val="center"/>
        </w:trPr>
        <w:tc>
          <w:tcPr>
            <w:tcW w:w="2743" w:type="dxa"/>
            <w:tcBorders>
              <w:top w:val="single" w:sz="12" w:space="0" w:color="auto"/>
              <w:bottom w:val="single" w:sz="12" w:space="0" w:color="auto"/>
              <w:right w:val="nil"/>
            </w:tcBorders>
            <w:vAlign w:val="center"/>
          </w:tcPr>
          <w:p w:rsidR="00176E9B" w:rsidRPr="00CA77D9" w:rsidRDefault="00176E9B" w:rsidP="00272594">
            <w:pPr>
              <w:rPr>
                <w:sz w:val="24"/>
                <w:szCs w:val="24"/>
              </w:rPr>
            </w:pPr>
            <w:r w:rsidRPr="00CA77D9">
              <w:rPr>
                <w:sz w:val="24"/>
                <w:szCs w:val="24"/>
              </w:rPr>
              <w:t>Placebo</w:t>
            </w:r>
          </w:p>
        </w:tc>
        <w:tc>
          <w:tcPr>
            <w:tcW w:w="800"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60</w:t>
            </w:r>
          </w:p>
        </w:tc>
        <w:tc>
          <w:tcPr>
            <w:tcW w:w="1057"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w:t>
            </w:r>
          </w:p>
        </w:tc>
        <w:tc>
          <w:tcPr>
            <w:tcW w:w="938"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w:t>
            </w:r>
          </w:p>
        </w:tc>
        <w:tc>
          <w:tcPr>
            <w:tcW w:w="864"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+3</w:t>
            </w:r>
          </w:p>
        </w:tc>
        <w:tc>
          <w:tcPr>
            <w:tcW w:w="641" w:type="dxa"/>
            <w:tcBorders>
              <w:top w:val="single" w:sz="12"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w:t>
            </w:r>
          </w:p>
        </w:tc>
        <w:tc>
          <w:tcPr>
            <w:tcW w:w="1000" w:type="dxa"/>
            <w:tcBorders>
              <w:top w:val="single" w:sz="12"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+4</w:t>
            </w:r>
          </w:p>
        </w:tc>
        <w:tc>
          <w:tcPr>
            <w:tcW w:w="1452" w:type="dxa"/>
            <w:tcBorders>
              <w:top w:val="single" w:sz="12"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+4</w:t>
            </w:r>
          </w:p>
        </w:tc>
      </w:tr>
      <w:tr w:rsidR="00176E9B" w:rsidRPr="00B07995" w:rsidTr="00272594">
        <w:trPr>
          <w:trHeight w:val="260"/>
          <w:jc w:val="center"/>
        </w:trPr>
        <w:tc>
          <w:tcPr>
            <w:tcW w:w="2743" w:type="dxa"/>
            <w:tcBorders>
              <w:top w:val="single" w:sz="12" w:space="0" w:color="auto"/>
              <w:bottom w:val="nil"/>
              <w:right w:val="nil"/>
            </w:tcBorders>
            <w:vAlign w:val="center"/>
          </w:tcPr>
          <w:p w:rsidR="00176E9B" w:rsidRPr="00CA77D9" w:rsidRDefault="00176E9B" w:rsidP="00272594">
            <w:pPr>
              <w:rPr>
                <w:sz w:val="24"/>
                <w:szCs w:val="24"/>
              </w:rPr>
            </w:pPr>
            <w:r w:rsidRPr="00CA77D9">
              <w:rPr>
                <w:sz w:val="24"/>
                <w:szCs w:val="24"/>
              </w:rPr>
              <w:t>Atozet pr. dosis</w:t>
            </w:r>
          </w:p>
        </w:tc>
        <w:tc>
          <w:tcPr>
            <w:tcW w:w="800" w:type="dxa"/>
            <w:tcBorders>
              <w:top w:val="single" w:sz="12" w:space="0" w:color="auto"/>
              <w:left w:val="nil"/>
              <w:bottom w:val="nil"/>
              <w:right w:val="nil"/>
            </w:tcBorders>
            <w:vAlign w:val="center"/>
          </w:tcPr>
          <w:p w:rsidR="00176E9B" w:rsidRPr="00CA77D9" w:rsidRDefault="00176E9B" w:rsidP="00272594">
            <w:pPr>
              <w:rPr>
                <w:sz w:val="24"/>
                <w:szCs w:val="24"/>
              </w:rPr>
            </w:pPr>
          </w:p>
        </w:tc>
        <w:tc>
          <w:tcPr>
            <w:tcW w:w="1057" w:type="dxa"/>
            <w:tcBorders>
              <w:top w:val="single" w:sz="12" w:space="0" w:color="auto"/>
              <w:left w:val="nil"/>
              <w:bottom w:val="nil"/>
              <w:right w:val="nil"/>
            </w:tcBorders>
            <w:vAlign w:val="center"/>
          </w:tcPr>
          <w:p w:rsidR="00176E9B" w:rsidRPr="00CA77D9" w:rsidRDefault="00176E9B" w:rsidP="00272594">
            <w:pPr>
              <w:rPr>
                <w:sz w:val="24"/>
                <w:szCs w:val="24"/>
              </w:rPr>
            </w:pPr>
          </w:p>
        </w:tc>
        <w:tc>
          <w:tcPr>
            <w:tcW w:w="938" w:type="dxa"/>
            <w:tcBorders>
              <w:top w:val="single" w:sz="12" w:space="0" w:color="auto"/>
              <w:left w:val="nil"/>
              <w:bottom w:val="nil"/>
              <w:right w:val="nil"/>
            </w:tcBorders>
            <w:vAlign w:val="center"/>
          </w:tcPr>
          <w:p w:rsidR="00176E9B" w:rsidRPr="00CA77D9" w:rsidRDefault="00176E9B" w:rsidP="00272594">
            <w:pPr>
              <w:rPr>
                <w:sz w:val="24"/>
                <w:szCs w:val="24"/>
              </w:rPr>
            </w:pPr>
          </w:p>
        </w:tc>
        <w:tc>
          <w:tcPr>
            <w:tcW w:w="864" w:type="dxa"/>
            <w:tcBorders>
              <w:top w:val="single" w:sz="12" w:space="0" w:color="auto"/>
              <w:left w:val="nil"/>
              <w:bottom w:val="nil"/>
              <w:right w:val="nil"/>
            </w:tcBorders>
            <w:vAlign w:val="center"/>
          </w:tcPr>
          <w:p w:rsidR="00176E9B" w:rsidRPr="00CA77D9" w:rsidRDefault="00176E9B" w:rsidP="00272594">
            <w:pPr>
              <w:rPr>
                <w:sz w:val="24"/>
                <w:szCs w:val="24"/>
              </w:rPr>
            </w:pPr>
          </w:p>
        </w:tc>
        <w:tc>
          <w:tcPr>
            <w:tcW w:w="641" w:type="dxa"/>
            <w:tcBorders>
              <w:top w:val="single" w:sz="12" w:space="0" w:color="auto"/>
              <w:left w:val="nil"/>
              <w:bottom w:val="nil"/>
              <w:right w:val="nil"/>
            </w:tcBorders>
            <w:vAlign w:val="center"/>
          </w:tcPr>
          <w:p w:rsidR="00176E9B" w:rsidRPr="00CA77D9" w:rsidRDefault="00176E9B" w:rsidP="00272594">
            <w:pPr>
              <w:rPr>
                <w:sz w:val="24"/>
                <w:szCs w:val="24"/>
              </w:rPr>
            </w:pPr>
          </w:p>
        </w:tc>
        <w:tc>
          <w:tcPr>
            <w:tcW w:w="1000" w:type="dxa"/>
            <w:tcBorders>
              <w:top w:val="single" w:sz="12" w:space="0" w:color="auto"/>
              <w:left w:val="nil"/>
              <w:bottom w:val="nil"/>
            </w:tcBorders>
            <w:vAlign w:val="center"/>
          </w:tcPr>
          <w:p w:rsidR="00176E9B" w:rsidRPr="00CA77D9" w:rsidRDefault="00176E9B" w:rsidP="00272594">
            <w:pPr>
              <w:rPr>
                <w:sz w:val="24"/>
                <w:szCs w:val="24"/>
              </w:rPr>
            </w:pPr>
          </w:p>
        </w:tc>
        <w:tc>
          <w:tcPr>
            <w:tcW w:w="1452" w:type="dxa"/>
            <w:tcBorders>
              <w:top w:val="single" w:sz="12" w:space="0" w:color="auto"/>
              <w:left w:val="nil"/>
              <w:bottom w:val="nil"/>
            </w:tcBorders>
            <w:vAlign w:val="center"/>
          </w:tcPr>
          <w:p w:rsidR="00176E9B" w:rsidRPr="00CA77D9" w:rsidRDefault="00176E9B" w:rsidP="00272594">
            <w:pPr>
              <w:rPr>
                <w:sz w:val="24"/>
                <w:szCs w:val="24"/>
              </w:rPr>
            </w:pP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10/10</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65</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-38</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-53</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-43</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-31</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+9</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-49</w:t>
            </w: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10/20</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62</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-39</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-54</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-44</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-30</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+9</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-50</w:t>
            </w: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10/40</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65</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-42</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-56</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-45</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-34</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+5</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-52</w:t>
            </w:r>
          </w:p>
        </w:tc>
      </w:tr>
      <w:tr w:rsidR="00176E9B" w:rsidRPr="00B07995" w:rsidTr="00272594">
        <w:trPr>
          <w:trHeight w:val="260"/>
          <w:jc w:val="center"/>
        </w:trPr>
        <w:tc>
          <w:tcPr>
            <w:tcW w:w="2743" w:type="dxa"/>
            <w:tcBorders>
              <w:top w:val="nil"/>
              <w:bottom w:val="single" w:sz="12" w:space="0" w:color="auto"/>
              <w:right w:val="nil"/>
            </w:tcBorders>
            <w:vAlign w:val="center"/>
          </w:tcPr>
          <w:p w:rsidR="00176E9B" w:rsidRPr="00CA77D9" w:rsidRDefault="00176E9B" w:rsidP="00272594">
            <w:pPr>
              <w:rPr>
                <w:sz w:val="24"/>
                <w:szCs w:val="24"/>
              </w:rPr>
            </w:pPr>
            <w:r w:rsidRPr="00CA77D9">
              <w:rPr>
                <w:sz w:val="24"/>
                <w:szCs w:val="24"/>
              </w:rPr>
              <w:t>10/80</w:t>
            </w:r>
          </w:p>
        </w:tc>
        <w:tc>
          <w:tcPr>
            <w:tcW w:w="800" w:type="dxa"/>
            <w:tcBorders>
              <w:top w:val="nil"/>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63</w:t>
            </w:r>
          </w:p>
        </w:tc>
        <w:tc>
          <w:tcPr>
            <w:tcW w:w="1057" w:type="dxa"/>
            <w:tcBorders>
              <w:top w:val="nil"/>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-46</w:t>
            </w:r>
          </w:p>
        </w:tc>
        <w:tc>
          <w:tcPr>
            <w:tcW w:w="938" w:type="dxa"/>
            <w:tcBorders>
              <w:top w:val="nil"/>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-61</w:t>
            </w:r>
          </w:p>
        </w:tc>
        <w:tc>
          <w:tcPr>
            <w:tcW w:w="864" w:type="dxa"/>
            <w:tcBorders>
              <w:top w:val="nil"/>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-50</w:t>
            </w:r>
          </w:p>
        </w:tc>
        <w:tc>
          <w:tcPr>
            <w:tcW w:w="641" w:type="dxa"/>
            <w:tcBorders>
              <w:top w:val="nil"/>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-40</w:t>
            </w:r>
          </w:p>
        </w:tc>
        <w:tc>
          <w:tcPr>
            <w:tcW w:w="1000" w:type="dxa"/>
            <w:tcBorders>
              <w:top w:val="nil"/>
              <w:left w:val="nil"/>
              <w:bottom w:val="single" w:sz="12" w:space="0" w:color="auto"/>
            </w:tcBorders>
            <w:vAlign w:val="center"/>
          </w:tcPr>
          <w:p w:rsidR="00176E9B" w:rsidRPr="00CA77D9" w:rsidRDefault="00176E9B" w:rsidP="00272594">
            <w:pPr>
              <w:rPr>
                <w:sz w:val="24"/>
                <w:szCs w:val="24"/>
              </w:rPr>
            </w:pPr>
            <w:r w:rsidRPr="00CA77D9">
              <w:rPr>
                <w:sz w:val="24"/>
                <w:szCs w:val="24"/>
              </w:rPr>
              <w:t>+7</w:t>
            </w:r>
          </w:p>
        </w:tc>
        <w:tc>
          <w:tcPr>
            <w:tcW w:w="1452" w:type="dxa"/>
            <w:tcBorders>
              <w:top w:val="nil"/>
              <w:left w:val="nil"/>
              <w:bottom w:val="single" w:sz="12" w:space="0" w:color="auto"/>
            </w:tcBorders>
            <w:vAlign w:val="center"/>
          </w:tcPr>
          <w:p w:rsidR="00176E9B" w:rsidRPr="00CA77D9" w:rsidRDefault="00176E9B" w:rsidP="00272594">
            <w:pPr>
              <w:rPr>
                <w:sz w:val="24"/>
                <w:szCs w:val="24"/>
              </w:rPr>
            </w:pPr>
            <w:r w:rsidRPr="00CA77D9">
              <w:rPr>
                <w:sz w:val="24"/>
                <w:szCs w:val="24"/>
              </w:rPr>
              <w:t>-58</w:t>
            </w:r>
          </w:p>
        </w:tc>
      </w:tr>
      <w:tr w:rsidR="00176E9B" w:rsidRPr="00B07995" w:rsidTr="00272594">
        <w:trPr>
          <w:trHeight w:val="260"/>
          <w:jc w:val="center"/>
        </w:trPr>
        <w:tc>
          <w:tcPr>
            <w:tcW w:w="2743" w:type="dxa"/>
            <w:tcBorders>
              <w:top w:val="single" w:sz="12" w:space="0" w:color="auto"/>
              <w:bottom w:val="dashSmallGap" w:sz="4" w:space="0" w:color="auto"/>
              <w:right w:val="nil"/>
            </w:tcBorders>
            <w:vAlign w:val="center"/>
          </w:tcPr>
          <w:p w:rsidR="00176E9B" w:rsidRPr="00CA77D9" w:rsidRDefault="00176E9B" w:rsidP="00272594">
            <w:pPr>
              <w:keepNext/>
              <w:rPr>
                <w:sz w:val="24"/>
                <w:szCs w:val="24"/>
              </w:rPr>
            </w:pPr>
            <w:r w:rsidRPr="00CA77D9">
              <w:rPr>
                <w:sz w:val="24"/>
                <w:szCs w:val="24"/>
              </w:rPr>
              <w:t>Atorvastatin pr. dosis</w:t>
            </w:r>
          </w:p>
        </w:tc>
        <w:tc>
          <w:tcPr>
            <w:tcW w:w="800" w:type="dxa"/>
            <w:tcBorders>
              <w:top w:val="single" w:sz="12" w:space="0" w:color="auto"/>
              <w:left w:val="nil"/>
              <w:bottom w:val="dashSmallGap" w:sz="4" w:space="0" w:color="auto"/>
              <w:right w:val="nil"/>
            </w:tcBorders>
            <w:vAlign w:val="center"/>
          </w:tcPr>
          <w:p w:rsidR="00176E9B" w:rsidRPr="00CA77D9" w:rsidRDefault="00176E9B" w:rsidP="00272594">
            <w:pPr>
              <w:rPr>
                <w:sz w:val="24"/>
                <w:szCs w:val="24"/>
              </w:rPr>
            </w:pPr>
          </w:p>
        </w:tc>
        <w:tc>
          <w:tcPr>
            <w:tcW w:w="1057" w:type="dxa"/>
            <w:tcBorders>
              <w:top w:val="single" w:sz="12" w:space="0" w:color="auto"/>
              <w:left w:val="nil"/>
              <w:bottom w:val="dashSmallGap" w:sz="4" w:space="0" w:color="auto"/>
              <w:right w:val="nil"/>
            </w:tcBorders>
            <w:vAlign w:val="center"/>
          </w:tcPr>
          <w:p w:rsidR="00176E9B" w:rsidRPr="00CA77D9" w:rsidRDefault="00176E9B" w:rsidP="00272594">
            <w:pPr>
              <w:rPr>
                <w:sz w:val="24"/>
                <w:szCs w:val="24"/>
              </w:rPr>
            </w:pPr>
          </w:p>
        </w:tc>
        <w:tc>
          <w:tcPr>
            <w:tcW w:w="938" w:type="dxa"/>
            <w:tcBorders>
              <w:top w:val="single" w:sz="12" w:space="0" w:color="auto"/>
              <w:left w:val="nil"/>
              <w:bottom w:val="dashSmallGap" w:sz="4" w:space="0" w:color="auto"/>
              <w:right w:val="nil"/>
            </w:tcBorders>
            <w:vAlign w:val="center"/>
          </w:tcPr>
          <w:p w:rsidR="00176E9B" w:rsidRPr="00CA77D9" w:rsidRDefault="00176E9B" w:rsidP="00272594">
            <w:pPr>
              <w:rPr>
                <w:sz w:val="24"/>
                <w:szCs w:val="24"/>
              </w:rPr>
            </w:pPr>
          </w:p>
        </w:tc>
        <w:tc>
          <w:tcPr>
            <w:tcW w:w="864" w:type="dxa"/>
            <w:tcBorders>
              <w:top w:val="single" w:sz="12" w:space="0" w:color="auto"/>
              <w:left w:val="nil"/>
              <w:bottom w:val="dashSmallGap" w:sz="4" w:space="0" w:color="auto"/>
              <w:right w:val="nil"/>
            </w:tcBorders>
            <w:vAlign w:val="center"/>
          </w:tcPr>
          <w:p w:rsidR="00176E9B" w:rsidRPr="00CA77D9" w:rsidRDefault="00176E9B" w:rsidP="00272594">
            <w:pPr>
              <w:rPr>
                <w:sz w:val="24"/>
                <w:szCs w:val="24"/>
              </w:rPr>
            </w:pPr>
          </w:p>
        </w:tc>
        <w:tc>
          <w:tcPr>
            <w:tcW w:w="641" w:type="dxa"/>
            <w:tcBorders>
              <w:top w:val="single" w:sz="12" w:space="0" w:color="auto"/>
              <w:left w:val="nil"/>
              <w:bottom w:val="dashSmallGap" w:sz="4" w:space="0" w:color="auto"/>
              <w:right w:val="nil"/>
            </w:tcBorders>
            <w:vAlign w:val="center"/>
          </w:tcPr>
          <w:p w:rsidR="00176E9B" w:rsidRPr="00CA77D9" w:rsidRDefault="00176E9B" w:rsidP="00272594">
            <w:pPr>
              <w:rPr>
                <w:sz w:val="24"/>
                <w:szCs w:val="24"/>
              </w:rPr>
            </w:pPr>
          </w:p>
        </w:tc>
        <w:tc>
          <w:tcPr>
            <w:tcW w:w="1000" w:type="dxa"/>
            <w:tcBorders>
              <w:top w:val="single" w:sz="12" w:space="0" w:color="auto"/>
              <w:left w:val="nil"/>
              <w:bottom w:val="dashSmallGap" w:sz="4" w:space="0" w:color="auto"/>
            </w:tcBorders>
            <w:vAlign w:val="center"/>
          </w:tcPr>
          <w:p w:rsidR="00176E9B" w:rsidRPr="00CA77D9" w:rsidRDefault="00176E9B" w:rsidP="00272594">
            <w:pPr>
              <w:rPr>
                <w:sz w:val="24"/>
                <w:szCs w:val="24"/>
              </w:rPr>
            </w:pPr>
          </w:p>
        </w:tc>
        <w:tc>
          <w:tcPr>
            <w:tcW w:w="1452" w:type="dxa"/>
            <w:tcBorders>
              <w:top w:val="single" w:sz="12" w:space="0" w:color="auto"/>
              <w:left w:val="nil"/>
              <w:bottom w:val="dashSmallGap" w:sz="4" w:space="0" w:color="auto"/>
            </w:tcBorders>
            <w:vAlign w:val="center"/>
          </w:tcPr>
          <w:p w:rsidR="00176E9B" w:rsidRPr="00CA77D9" w:rsidRDefault="00176E9B" w:rsidP="00272594">
            <w:pPr>
              <w:rPr>
                <w:sz w:val="24"/>
                <w:szCs w:val="24"/>
              </w:rPr>
            </w:pP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keepNext/>
              <w:rPr>
                <w:sz w:val="24"/>
                <w:szCs w:val="24"/>
              </w:rPr>
            </w:pPr>
            <w:r w:rsidRPr="00CA77D9">
              <w:rPr>
                <w:sz w:val="24"/>
                <w:szCs w:val="24"/>
              </w:rPr>
              <w:t>10 mg</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60</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-26</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-37</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-28</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-21</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+6</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-34</w:t>
            </w: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20 mg</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60</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-30</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-42</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-34</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-23</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+4</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-39</w:t>
            </w:r>
          </w:p>
        </w:tc>
      </w:tr>
      <w:tr w:rsidR="00176E9B" w:rsidRPr="00B07995" w:rsidTr="00272594">
        <w:trPr>
          <w:trHeight w:val="260"/>
          <w:jc w:val="center"/>
        </w:trPr>
        <w:tc>
          <w:tcPr>
            <w:tcW w:w="2743" w:type="dxa"/>
            <w:tcBorders>
              <w:top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40 mg</w:t>
            </w:r>
          </w:p>
        </w:tc>
        <w:tc>
          <w:tcPr>
            <w:tcW w:w="800"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66</w:t>
            </w:r>
          </w:p>
        </w:tc>
        <w:tc>
          <w:tcPr>
            <w:tcW w:w="1057"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-32</w:t>
            </w:r>
          </w:p>
        </w:tc>
        <w:tc>
          <w:tcPr>
            <w:tcW w:w="938"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-45</w:t>
            </w:r>
          </w:p>
        </w:tc>
        <w:tc>
          <w:tcPr>
            <w:tcW w:w="864"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-37</w:t>
            </w:r>
          </w:p>
        </w:tc>
        <w:tc>
          <w:tcPr>
            <w:tcW w:w="641" w:type="dxa"/>
            <w:tcBorders>
              <w:top w:val="nil"/>
              <w:left w:val="nil"/>
              <w:bottom w:val="dashSmallGap" w:sz="4" w:space="0" w:color="auto"/>
              <w:right w:val="nil"/>
            </w:tcBorders>
            <w:vAlign w:val="center"/>
          </w:tcPr>
          <w:p w:rsidR="00176E9B" w:rsidRPr="00CA77D9" w:rsidRDefault="00176E9B" w:rsidP="00272594">
            <w:pPr>
              <w:rPr>
                <w:sz w:val="24"/>
                <w:szCs w:val="24"/>
              </w:rPr>
            </w:pPr>
            <w:r w:rsidRPr="00CA77D9">
              <w:rPr>
                <w:sz w:val="24"/>
                <w:szCs w:val="24"/>
              </w:rPr>
              <w:t>-24</w:t>
            </w:r>
          </w:p>
        </w:tc>
        <w:tc>
          <w:tcPr>
            <w:tcW w:w="1000"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+4</w:t>
            </w:r>
          </w:p>
        </w:tc>
        <w:tc>
          <w:tcPr>
            <w:tcW w:w="1452" w:type="dxa"/>
            <w:tcBorders>
              <w:top w:val="nil"/>
              <w:left w:val="nil"/>
              <w:bottom w:val="dashSmallGap" w:sz="4" w:space="0" w:color="auto"/>
            </w:tcBorders>
            <w:vAlign w:val="center"/>
          </w:tcPr>
          <w:p w:rsidR="00176E9B" w:rsidRPr="00CA77D9" w:rsidRDefault="00176E9B" w:rsidP="00272594">
            <w:pPr>
              <w:rPr>
                <w:sz w:val="24"/>
                <w:szCs w:val="24"/>
              </w:rPr>
            </w:pPr>
            <w:r w:rsidRPr="00CA77D9">
              <w:rPr>
                <w:sz w:val="24"/>
                <w:szCs w:val="24"/>
              </w:rPr>
              <w:t>-41</w:t>
            </w:r>
          </w:p>
        </w:tc>
      </w:tr>
      <w:tr w:rsidR="00176E9B" w:rsidRPr="00B07995" w:rsidTr="00272594">
        <w:trPr>
          <w:trHeight w:val="260"/>
          <w:jc w:val="center"/>
        </w:trPr>
        <w:tc>
          <w:tcPr>
            <w:tcW w:w="2743" w:type="dxa"/>
            <w:tcBorders>
              <w:top w:val="dashSmallGap" w:sz="4" w:space="0" w:color="auto"/>
              <w:bottom w:val="single" w:sz="12" w:space="0" w:color="auto"/>
              <w:right w:val="nil"/>
            </w:tcBorders>
            <w:vAlign w:val="center"/>
          </w:tcPr>
          <w:p w:rsidR="00176E9B" w:rsidRPr="00CA77D9" w:rsidRDefault="00176E9B" w:rsidP="00272594">
            <w:pPr>
              <w:rPr>
                <w:sz w:val="24"/>
                <w:szCs w:val="24"/>
              </w:rPr>
            </w:pPr>
            <w:r w:rsidRPr="00CA77D9">
              <w:rPr>
                <w:sz w:val="24"/>
                <w:szCs w:val="24"/>
              </w:rPr>
              <w:t>80 mg</w:t>
            </w:r>
          </w:p>
        </w:tc>
        <w:tc>
          <w:tcPr>
            <w:tcW w:w="800" w:type="dxa"/>
            <w:tcBorders>
              <w:top w:val="dashSmallGap" w:sz="4"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62</w:t>
            </w:r>
          </w:p>
        </w:tc>
        <w:tc>
          <w:tcPr>
            <w:tcW w:w="1057" w:type="dxa"/>
            <w:tcBorders>
              <w:top w:val="dashSmallGap" w:sz="4"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-40</w:t>
            </w:r>
          </w:p>
        </w:tc>
        <w:tc>
          <w:tcPr>
            <w:tcW w:w="938" w:type="dxa"/>
            <w:tcBorders>
              <w:top w:val="dashSmallGap" w:sz="4"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-54</w:t>
            </w:r>
          </w:p>
        </w:tc>
        <w:tc>
          <w:tcPr>
            <w:tcW w:w="864" w:type="dxa"/>
            <w:tcBorders>
              <w:top w:val="dashSmallGap" w:sz="4"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-46</w:t>
            </w:r>
          </w:p>
        </w:tc>
        <w:tc>
          <w:tcPr>
            <w:tcW w:w="641" w:type="dxa"/>
            <w:tcBorders>
              <w:top w:val="dashSmallGap" w:sz="4" w:space="0" w:color="auto"/>
              <w:left w:val="nil"/>
              <w:bottom w:val="single" w:sz="12" w:space="0" w:color="auto"/>
              <w:right w:val="nil"/>
            </w:tcBorders>
            <w:vAlign w:val="center"/>
          </w:tcPr>
          <w:p w:rsidR="00176E9B" w:rsidRPr="00CA77D9" w:rsidRDefault="00176E9B" w:rsidP="00272594">
            <w:pPr>
              <w:rPr>
                <w:sz w:val="24"/>
                <w:szCs w:val="24"/>
              </w:rPr>
            </w:pPr>
            <w:r w:rsidRPr="00CA77D9">
              <w:rPr>
                <w:sz w:val="24"/>
                <w:szCs w:val="24"/>
              </w:rPr>
              <w:t>-31</w:t>
            </w:r>
          </w:p>
        </w:tc>
        <w:tc>
          <w:tcPr>
            <w:tcW w:w="1000" w:type="dxa"/>
            <w:tcBorders>
              <w:top w:val="dashSmallGap" w:sz="4"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+3</w:t>
            </w:r>
          </w:p>
        </w:tc>
        <w:tc>
          <w:tcPr>
            <w:tcW w:w="1452" w:type="dxa"/>
            <w:tcBorders>
              <w:top w:val="dashSmallGap" w:sz="4" w:space="0" w:color="auto"/>
              <w:left w:val="nil"/>
              <w:bottom w:val="single" w:sz="12" w:space="0" w:color="auto"/>
            </w:tcBorders>
            <w:vAlign w:val="center"/>
          </w:tcPr>
          <w:p w:rsidR="00176E9B" w:rsidRPr="00CA77D9" w:rsidRDefault="00176E9B" w:rsidP="00272594">
            <w:pPr>
              <w:rPr>
                <w:sz w:val="24"/>
                <w:szCs w:val="24"/>
              </w:rPr>
            </w:pPr>
            <w:r w:rsidRPr="00CA77D9">
              <w:rPr>
                <w:sz w:val="24"/>
                <w:szCs w:val="24"/>
              </w:rPr>
              <w:t>-51</w:t>
            </w:r>
          </w:p>
        </w:tc>
      </w:tr>
    </w:tbl>
    <w:p w:rsidR="00176E9B" w:rsidRPr="00B07995" w:rsidRDefault="00176E9B" w:rsidP="00176E9B">
      <w:pPr>
        <w:rPr>
          <w:highlight w:val="yellow"/>
        </w:rPr>
      </w:pPr>
    </w:p>
    <w:p w:rsidR="00176E9B" w:rsidRPr="00D71A03" w:rsidRDefault="00176E9B" w:rsidP="00176E9B">
      <w:pPr>
        <w:ind w:left="426" w:hanging="426"/>
        <w:rPr>
          <w:color w:val="000000"/>
          <w:sz w:val="20"/>
        </w:rPr>
      </w:pPr>
      <w:r w:rsidRPr="00D71A03">
        <w:rPr>
          <w:color w:val="000000"/>
          <w:sz w:val="20"/>
          <w:vertAlign w:val="superscript"/>
        </w:rPr>
        <w:t>a</w:t>
      </w:r>
      <w:r w:rsidRPr="00D71A03">
        <w:rPr>
          <w:color w:val="000000"/>
          <w:sz w:val="20"/>
        </w:rPr>
        <w:t xml:space="preserve"> </w:t>
      </w:r>
      <w:r w:rsidRPr="00D71A03">
        <w:rPr>
          <w:color w:val="000000"/>
          <w:sz w:val="20"/>
        </w:rPr>
        <w:tab/>
        <w:t xml:space="preserve">For triglycerider, median procentvis ændring i forhold til </w:t>
      </w:r>
      <w:r w:rsidRPr="00D71A03">
        <w:rPr>
          <w:i/>
          <w:color w:val="000000"/>
          <w:sz w:val="20"/>
        </w:rPr>
        <w:t>baseline</w:t>
      </w:r>
    </w:p>
    <w:p w:rsidR="00176E9B" w:rsidRPr="00D71A03" w:rsidRDefault="00176E9B" w:rsidP="00176E9B">
      <w:pPr>
        <w:pStyle w:val="Body"/>
        <w:ind w:left="426" w:right="1170" w:hanging="426"/>
        <w:rPr>
          <w:rFonts w:ascii="Times New Roman" w:hAnsi="Times New Roman"/>
          <w:color w:val="000000"/>
          <w:lang w:val="da-DK"/>
        </w:rPr>
      </w:pPr>
      <w:r w:rsidRPr="00D71A03">
        <w:rPr>
          <w:rFonts w:ascii="Times New Roman" w:hAnsi="Times New Roman"/>
          <w:color w:val="000000"/>
          <w:vertAlign w:val="superscript"/>
          <w:lang w:val="da-DK"/>
        </w:rPr>
        <w:t>b</w:t>
      </w:r>
      <w:r w:rsidRPr="00D71A03">
        <w:rPr>
          <w:rFonts w:ascii="Times New Roman" w:hAnsi="Times New Roman"/>
          <w:color w:val="000000"/>
          <w:lang w:val="da-DK"/>
        </w:rPr>
        <w:t xml:space="preserve"> </w:t>
      </w:r>
      <w:r w:rsidRPr="00D71A03">
        <w:rPr>
          <w:rFonts w:ascii="Times New Roman" w:hAnsi="Times New Roman"/>
          <w:color w:val="000000"/>
          <w:lang w:val="da-DK"/>
        </w:rPr>
        <w:tab/>
      </w:r>
      <w:r w:rsidRPr="00D71A03">
        <w:rPr>
          <w:rFonts w:ascii="Times New Roman" w:hAnsi="Times New Roman"/>
          <w:i/>
          <w:color w:val="000000"/>
          <w:lang w:val="da-DK"/>
        </w:rPr>
        <w:t>Baseline</w:t>
      </w:r>
      <w:r w:rsidRPr="00D71A03">
        <w:rPr>
          <w:rFonts w:ascii="Times New Roman" w:hAnsi="Times New Roman"/>
          <w:color w:val="000000"/>
          <w:lang w:val="da-DK"/>
        </w:rPr>
        <w:t xml:space="preserve"> – på ikke lipidsænkende medicin</w:t>
      </w:r>
    </w:p>
    <w:p w:rsidR="00176E9B" w:rsidRPr="00D71A03" w:rsidRDefault="00176E9B" w:rsidP="00176E9B">
      <w:pPr>
        <w:pStyle w:val="Body"/>
        <w:ind w:left="426" w:right="1170" w:hanging="426"/>
        <w:rPr>
          <w:rFonts w:ascii="Times New Roman" w:hAnsi="Times New Roman"/>
          <w:color w:val="000000"/>
          <w:lang w:val="da-DK"/>
        </w:rPr>
      </w:pPr>
      <w:r w:rsidRPr="00D71A03">
        <w:rPr>
          <w:rFonts w:ascii="Times New Roman" w:hAnsi="Times New Roman"/>
          <w:color w:val="000000"/>
          <w:vertAlign w:val="superscript"/>
          <w:lang w:val="da-DK"/>
        </w:rPr>
        <w:t>c</w:t>
      </w:r>
      <w:r w:rsidRPr="00D71A03">
        <w:rPr>
          <w:rFonts w:ascii="Times New Roman" w:hAnsi="Times New Roman"/>
          <w:color w:val="000000"/>
          <w:lang w:val="da-DK"/>
        </w:rPr>
        <w:t xml:space="preserve"> </w:t>
      </w:r>
      <w:r w:rsidRPr="00D71A03">
        <w:rPr>
          <w:rFonts w:ascii="Times New Roman" w:hAnsi="Times New Roman"/>
          <w:color w:val="000000"/>
          <w:lang w:val="da-DK"/>
        </w:rPr>
        <w:tab/>
        <w:t>Atozet doser, poolet (10/10</w:t>
      </w:r>
      <w:r w:rsidRPr="00D71A03">
        <w:rPr>
          <w:rFonts w:ascii="Times New Roman" w:hAnsi="Times New Roman"/>
          <w:color w:val="000000"/>
          <w:lang w:val="da-DK"/>
        </w:rPr>
        <w:noBreakHyphen/>
        <w:t>10/80</w:t>
      </w:r>
      <w:r w:rsidR="00272594" w:rsidRPr="00D71A03">
        <w:rPr>
          <w:rFonts w:ascii="Times New Roman" w:hAnsi="Times New Roman"/>
          <w:color w:val="000000"/>
          <w:lang w:val="da-DK"/>
        </w:rPr>
        <w:t> </w:t>
      </w:r>
      <w:r w:rsidRPr="00D71A03">
        <w:rPr>
          <w:rFonts w:ascii="Times New Roman" w:hAnsi="Times New Roman"/>
          <w:color w:val="000000"/>
          <w:lang w:val="da-DK"/>
        </w:rPr>
        <w:t>mg), reducerede signifikant total-C, LDL-C, Apo B, TG, non-HDL-C og øgede signifikant HDL</w:t>
      </w:r>
      <w:r w:rsidRPr="00D71A03">
        <w:rPr>
          <w:rFonts w:ascii="Times New Roman" w:hAnsi="Times New Roman"/>
          <w:color w:val="000000"/>
          <w:lang w:val="da-DK"/>
        </w:rPr>
        <w:noBreakHyphen/>
        <w:t>C sammenlignet med alle doser af atorvastatin, poolet (10</w:t>
      </w:r>
      <w:r w:rsidRPr="00D71A03">
        <w:rPr>
          <w:rFonts w:ascii="Times New Roman" w:hAnsi="Times New Roman"/>
          <w:color w:val="000000"/>
          <w:lang w:val="da-DK"/>
        </w:rPr>
        <w:noBreakHyphen/>
        <w:t>80 mg).</w:t>
      </w:r>
    </w:p>
    <w:p w:rsidR="00176E9B" w:rsidRPr="00CA77D9" w:rsidRDefault="00176E9B" w:rsidP="00176E9B">
      <w:pPr>
        <w:rPr>
          <w:sz w:val="24"/>
          <w:szCs w:val="24"/>
          <w:highlight w:val="yellow"/>
        </w:rPr>
      </w:pPr>
    </w:p>
    <w:p w:rsidR="00176E9B" w:rsidRDefault="00176E9B" w:rsidP="00176E9B">
      <w:pPr>
        <w:ind w:left="851"/>
        <w:rPr>
          <w:sz w:val="24"/>
          <w:szCs w:val="24"/>
        </w:rPr>
      </w:pPr>
      <w:r w:rsidRPr="00CA77D9">
        <w:rPr>
          <w:sz w:val="24"/>
          <w:szCs w:val="24"/>
        </w:rPr>
        <w:lastRenderedPageBreak/>
        <w:t xml:space="preserve">I et kontrolleret studie, TEMPO-studiet (Titration of </w:t>
      </w:r>
      <w:r w:rsidR="00E65450" w:rsidRPr="00E65450">
        <w:rPr>
          <w:sz w:val="24"/>
          <w:szCs w:val="24"/>
        </w:rPr>
        <w:t>Atorvastatin vs Ezetimibe</w:t>
      </w:r>
      <w:r w:rsidRPr="00E65450">
        <w:rPr>
          <w:sz w:val="24"/>
          <w:szCs w:val="24"/>
        </w:rPr>
        <w:t xml:space="preserve"> </w:t>
      </w:r>
      <w:r w:rsidRPr="00CA77D9">
        <w:rPr>
          <w:sz w:val="24"/>
          <w:szCs w:val="24"/>
        </w:rPr>
        <w:t xml:space="preserve">Add-On to Atorvastatin in Patients with Hypercholesterolaemia) fik 184 patienter, som havde LDL-C-niveau </w:t>
      </w:r>
      <w:r w:rsidRPr="00CA77D9">
        <w:rPr>
          <w:sz w:val="24"/>
          <w:szCs w:val="24"/>
        </w:rPr>
        <w:sym w:font="Symbol" w:char="F0B3"/>
      </w:r>
      <w:r w:rsidRPr="00CA77D9">
        <w:rPr>
          <w:sz w:val="24"/>
          <w:szCs w:val="24"/>
        </w:rPr>
        <w:t xml:space="preserve">2,6 mmol/l og </w:t>
      </w:r>
      <w:r w:rsidRPr="00CA77D9">
        <w:rPr>
          <w:sz w:val="24"/>
          <w:szCs w:val="24"/>
        </w:rPr>
        <w:sym w:font="Symbol" w:char="F0A3"/>
      </w:r>
      <w:r w:rsidRPr="00CA77D9">
        <w:rPr>
          <w:sz w:val="24"/>
          <w:szCs w:val="24"/>
        </w:rPr>
        <w:t xml:space="preserve">4,1 mmol/l og en moderat høj risiko for koronar hjertesygdom, atorvastatin 20 mg i mindst 4 uger før randomisering. </w:t>
      </w:r>
    </w:p>
    <w:p w:rsidR="00176E9B" w:rsidRPr="00CA77D9" w:rsidRDefault="00176E9B" w:rsidP="00176E9B">
      <w:pPr>
        <w:ind w:left="851"/>
        <w:rPr>
          <w:sz w:val="24"/>
          <w:szCs w:val="24"/>
        </w:rPr>
      </w:pPr>
      <w:r w:rsidRPr="00CA77D9">
        <w:rPr>
          <w:sz w:val="24"/>
          <w:szCs w:val="24"/>
        </w:rPr>
        <w:t xml:space="preserve">Patienter, som ikke havde et LDL-C-niveau &lt;2,6 mmol/l, blev randomiseret til at få enten samtidig administration af </w:t>
      </w:r>
      <w:r>
        <w:rPr>
          <w:sz w:val="24"/>
          <w:szCs w:val="24"/>
        </w:rPr>
        <w:t>ezetimib</w:t>
      </w:r>
      <w:r w:rsidRPr="00CA77D9">
        <w:rPr>
          <w:sz w:val="24"/>
          <w:szCs w:val="24"/>
        </w:rPr>
        <w:t xml:space="preserve"> og atorvastatin (svarende til Atozet 10/20) eller atorvastatin 40 mg i 6 uger.</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Atozet 10/20 var </w:t>
      </w:r>
      <w:r w:rsidRPr="00B07995">
        <w:rPr>
          <w:color w:val="000000"/>
          <w:sz w:val="24"/>
          <w:szCs w:val="24"/>
        </w:rPr>
        <w:t xml:space="preserve">signifikant mere effektivt end en fordobling af dosis af atorvastatin til 40 mg med hensyn til yderligere reduktion af total-C </w:t>
      </w:r>
      <w:r w:rsidRPr="00B07995">
        <w:rPr>
          <w:sz w:val="24"/>
          <w:szCs w:val="24"/>
        </w:rPr>
        <w:t>(</w:t>
      </w:r>
      <w:r w:rsidRPr="00B07995">
        <w:rPr>
          <w:sz w:val="24"/>
          <w:szCs w:val="24"/>
        </w:rPr>
        <w:noBreakHyphen/>
        <w:t xml:space="preserve">20% </w:t>
      </w:r>
      <w:r w:rsidRPr="00B07995">
        <w:rPr>
          <w:i/>
          <w:sz w:val="24"/>
          <w:szCs w:val="24"/>
        </w:rPr>
        <w:t>vs.</w:t>
      </w:r>
      <w:r w:rsidRPr="00B07995">
        <w:rPr>
          <w:sz w:val="24"/>
          <w:szCs w:val="24"/>
        </w:rPr>
        <w:t xml:space="preserve"> </w:t>
      </w:r>
      <w:r w:rsidRPr="00B07995">
        <w:rPr>
          <w:sz w:val="24"/>
          <w:szCs w:val="24"/>
        </w:rPr>
        <w:noBreakHyphen/>
        <w:t>7%)</w:t>
      </w:r>
      <w:r w:rsidRPr="00B07995">
        <w:rPr>
          <w:color w:val="000000"/>
          <w:sz w:val="24"/>
          <w:szCs w:val="24"/>
        </w:rPr>
        <w:t xml:space="preserve">, LDL-C </w:t>
      </w:r>
      <w:r w:rsidRPr="00B07995">
        <w:rPr>
          <w:sz w:val="24"/>
          <w:szCs w:val="24"/>
        </w:rPr>
        <w:t>(</w:t>
      </w:r>
      <w:r w:rsidRPr="00B07995">
        <w:rPr>
          <w:sz w:val="24"/>
          <w:szCs w:val="24"/>
        </w:rPr>
        <w:noBreakHyphen/>
        <w:t xml:space="preserve">31% </w:t>
      </w:r>
      <w:r w:rsidRPr="00B07995">
        <w:rPr>
          <w:i/>
          <w:sz w:val="24"/>
          <w:szCs w:val="24"/>
        </w:rPr>
        <w:t>vs.</w:t>
      </w:r>
      <w:r w:rsidRPr="00B07995">
        <w:rPr>
          <w:sz w:val="24"/>
          <w:szCs w:val="24"/>
        </w:rPr>
        <w:t xml:space="preserve"> </w:t>
      </w:r>
      <w:r w:rsidRPr="00B07995">
        <w:rPr>
          <w:sz w:val="24"/>
          <w:szCs w:val="24"/>
        </w:rPr>
        <w:noBreakHyphen/>
        <w:t>11%)</w:t>
      </w:r>
      <w:r w:rsidRPr="00B07995">
        <w:rPr>
          <w:color w:val="000000"/>
          <w:sz w:val="24"/>
          <w:szCs w:val="24"/>
        </w:rPr>
        <w:t xml:space="preserve">, Apo B </w:t>
      </w:r>
      <w:r w:rsidRPr="00B07995">
        <w:rPr>
          <w:sz w:val="24"/>
          <w:szCs w:val="24"/>
        </w:rPr>
        <w:t>(</w:t>
      </w:r>
      <w:r w:rsidRPr="00B07995">
        <w:rPr>
          <w:sz w:val="24"/>
          <w:szCs w:val="24"/>
        </w:rPr>
        <w:noBreakHyphen/>
        <w:t xml:space="preserve">21% </w:t>
      </w:r>
      <w:r w:rsidRPr="00B07995">
        <w:rPr>
          <w:i/>
          <w:sz w:val="24"/>
          <w:szCs w:val="24"/>
        </w:rPr>
        <w:t>vs.</w:t>
      </w:r>
      <w:r w:rsidRPr="00B07995">
        <w:rPr>
          <w:sz w:val="24"/>
          <w:szCs w:val="24"/>
        </w:rPr>
        <w:t xml:space="preserve"> </w:t>
      </w:r>
      <w:r w:rsidRPr="00B07995">
        <w:rPr>
          <w:sz w:val="24"/>
          <w:szCs w:val="24"/>
        </w:rPr>
        <w:noBreakHyphen/>
        <w:t>8%)</w:t>
      </w:r>
      <w:r w:rsidRPr="00B07995">
        <w:rPr>
          <w:color w:val="000000"/>
          <w:sz w:val="24"/>
          <w:szCs w:val="24"/>
        </w:rPr>
        <w:t xml:space="preserve"> og non-HDL-C </w:t>
      </w:r>
      <w:r w:rsidRPr="00B07995">
        <w:rPr>
          <w:sz w:val="24"/>
          <w:szCs w:val="24"/>
        </w:rPr>
        <w:t>(</w:t>
      </w:r>
      <w:r w:rsidRPr="00B07995">
        <w:rPr>
          <w:sz w:val="24"/>
          <w:szCs w:val="24"/>
        </w:rPr>
        <w:noBreakHyphen/>
        <w:t xml:space="preserve">27% </w:t>
      </w:r>
      <w:r w:rsidRPr="00B07995">
        <w:rPr>
          <w:i/>
          <w:sz w:val="24"/>
          <w:szCs w:val="24"/>
        </w:rPr>
        <w:t>vs.</w:t>
      </w:r>
      <w:r w:rsidRPr="00B07995">
        <w:rPr>
          <w:sz w:val="24"/>
          <w:szCs w:val="24"/>
        </w:rPr>
        <w:t xml:space="preserve"> </w:t>
      </w:r>
      <w:r w:rsidRPr="00B07995">
        <w:rPr>
          <w:sz w:val="24"/>
          <w:szCs w:val="24"/>
        </w:rPr>
        <w:noBreakHyphen/>
        <w:t>10%)</w:t>
      </w:r>
      <w:r w:rsidRPr="00B07995">
        <w:rPr>
          <w:color w:val="000000"/>
          <w:sz w:val="24"/>
          <w:szCs w:val="24"/>
        </w:rPr>
        <w:t xml:space="preserve">. </w:t>
      </w:r>
      <w:r w:rsidRPr="00B07995">
        <w:rPr>
          <w:sz w:val="24"/>
          <w:szCs w:val="24"/>
        </w:rPr>
        <w:t>Resultaterne for HDL-C og TG var ikke signifikant forskellige mellem de to behandlingsgrupper.</w:t>
      </w:r>
      <w:r w:rsidRPr="00B07995">
        <w:rPr>
          <w:color w:val="000000"/>
          <w:sz w:val="24"/>
          <w:szCs w:val="24"/>
        </w:rPr>
        <w:t xml:space="preserve"> Desuden opnåede signifikant flere patienter, der fik Atozet </w:t>
      </w:r>
      <w:r w:rsidRPr="00B07995">
        <w:rPr>
          <w:sz w:val="24"/>
          <w:szCs w:val="24"/>
        </w:rPr>
        <w:t xml:space="preserve">10/20, et LDL-C-niveau &lt;2,6 mmol/l sammenlignet med de patienter, som fik atorvastatin 40 mg, 84% </w:t>
      </w:r>
      <w:r w:rsidRPr="00B07995">
        <w:rPr>
          <w:i/>
          <w:sz w:val="24"/>
          <w:szCs w:val="24"/>
        </w:rPr>
        <w:t>vs.</w:t>
      </w:r>
      <w:r w:rsidRPr="00B07995">
        <w:rPr>
          <w:sz w:val="24"/>
          <w:szCs w:val="24"/>
        </w:rPr>
        <w:t xml:space="preserve"> 49%.</w:t>
      </w:r>
    </w:p>
    <w:p w:rsidR="00176E9B" w:rsidRPr="00B07995" w:rsidRDefault="00176E9B" w:rsidP="00176E9B">
      <w:pPr>
        <w:ind w:left="851" w:hanging="851"/>
        <w:rPr>
          <w:sz w:val="24"/>
          <w:szCs w:val="24"/>
        </w:rPr>
      </w:pPr>
    </w:p>
    <w:p w:rsidR="00176E9B" w:rsidRPr="00B07995" w:rsidRDefault="00176E9B" w:rsidP="00176E9B">
      <w:pPr>
        <w:pStyle w:val="Body"/>
        <w:ind w:left="851" w:firstLine="0"/>
        <w:rPr>
          <w:rFonts w:ascii="Times New Roman" w:hAnsi="Times New Roman"/>
          <w:sz w:val="24"/>
          <w:szCs w:val="24"/>
          <w:lang w:val="da-DK"/>
        </w:rPr>
      </w:pPr>
      <w:r w:rsidRPr="00B07995">
        <w:rPr>
          <w:rFonts w:ascii="Times New Roman" w:hAnsi="Times New Roman"/>
          <w:sz w:val="24"/>
          <w:szCs w:val="24"/>
          <w:lang w:val="da-DK"/>
        </w:rPr>
        <w:t>I et kontrolleret studie, EZ-PATH-studiet (</w:t>
      </w:r>
      <w:r>
        <w:rPr>
          <w:rFonts w:ascii="Times New Roman" w:hAnsi="Times New Roman"/>
          <w:sz w:val="24"/>
          <w:szCs w:val="24"/>
          <w:lang w:val="da-DK"/>
        </w:rPr>
        <w:t>Ezetimibe</w:t>
      </w:r>
      <w:r w:rsidRPr="00B07995">
        <w:rPr>
          <w:rFonts w:ascii="Times New Roman" w:hAnsi="Times New Roman"/>
          <w:sz w:val="24"/>
          <w:szCs w:val="24"/>
          <w:lang w:val="da-DK"/>
        </w:rPr>
        <w:t xml:space="preserve"> Plus Atorvastatin </w:t>
      </w:r>
      <w:r w:rsidR="00E65450">
        <w:rPr>
          <w:rFonts w:ascii="Times New Roman" w:hAnsi="Times New Roman"/>
          <w:sz w:val="24"/>
          <w:szCs w:val="24"/>
          <w:lang w:val="da-DK"/>
        </w:rPr>
        <w:t>vs</w:t>
      </w:r>
      <w:r w:rsidRPr="00B07995">
        <w:rPr>
          <w:rFonts w:ascii="Times New Roman" w:hAnsi="Times New Roman"/>
          <w:sz w:val="24"/>
          <w:szCs w:val="24"/>
          <w:lang w:val="da-DK"/>
        </w:rPr>
        <w:t xml:space="preserve"> Atorvastatin Titration in Achieving Lower LDL-C Targets in Hypercholesterolaemic Patients), fik 556 patienter, som havde en høj risiko for kardiovaskulære sygdomme og et LDL-C-niveau </w:t>
      </w:r>
      <w:r w:rsidRPr="00B07995">
        <w:rPr>
          <w:rFonts w:ascii="Times New Roman" w:hAnsi="Times New Roman"/>
          <w:sz w:val="24"/>
          <w:szCs w:val="24"/>
          <w:lang w:val="da-DK"/>
        </w:rPr>
        <w:sym w:font="Symbol" w:char="F0B3"/>
      </w:r>
      <w:r w:rsidRPr="00B07995">
        <w:rPr>
          <w:rFonts w:ascii="Times New Roman" w:hAnsi="Times New Roman"/>
          <w:sz w:val="24"/>
          <w:szCs w:val="24"/>
          <w:lang w:val="da-DK"/>
        </w:rPr>
        <w:t xml:space="preserve">1,8 mmol/l og </w:t>
      </w:r>
      <w:r w:rsidRPr="00B07995">
        <w:rPr>
          <w:rFonts w:ascii="Times New Roman" w:hAnsi="Times New Roman"/>
          <w:sz w:val="24"/>
          <w:szCs w:val="24"/>
          <w:lang w:val="da-DK"/>
        </w:rPr>
        <w:sym w:font="Symbol" w:char="F0A3"/>
      </w:r>
      <w:r w:rsidRPr="00B07995">
        <w:rPr>
          <w:rFonts w:ascii="Times New Roman" w:hAnsi="Times New Roman"/>
          <w:sz w:val="24"/>
          <w:szCs w:val="24"/>
          <w:lang w:val="da-DK"/>
        </w:rPr>
        <w:t xml:space="preserve">4,1 mmol/l, atorvastatin 40 mg i mindst 4 uger før randomisering. Patienter, som ikke havde et LDL-C-niveau &lt;1,8 mmol/l, blev randomiseret til at få enten samtidig administration af </w:t>
      </w:r>
      <w:r>
        <w:rPr>
          <w:rFonts w:ascii="Times New Roman" w:hAnsi="Times New Roman"/>
          <w:sz w:val="24"/>
          <w:szCs w:val="24"/>
          <w:lang w:val="da-DK"/>
        </w:rPr>
        <w:t>ezetimib</w:t>
      </w:r>
      <w:r w:rsidRPr="00B07995">
        <w:rPr>
          <w:rFonts w:ascii="Times New Roman" w:hAnsi="Times New Roman"/>
          <w:sz w:val="24"/>
          <w:szCs w:val="24"/>
          <w:lang w:val="da-DK"/>
        </w:rPr>
        <w:t xml:space="preserve"> og atorvastatin (svarende til Atozet 10/40) eller atorvastatin 80 mg i 6 uger.</w:t>
      </w:r>
    </w:p>
    <w:p w:rsidR="00176E9B" w:rsidRPr="00B07995" w:rsidRDefault="00176E9B" w:rsidP="00176E9B">
      <w:pPr>
        <w:ind w:left="851" w:hanging="851"/>
        <w:rPr>
          <w:color w:val="000000"/>
          <w:sz w:val="24"/>
          <w:szCs w:val="24"/>
        </w:rPr>
      </w:pPr>
    </w:p>
    <w:p w:rsidR="00176E9B" w:rsidRPr="00B07995" w:rsidRDefault="00176E9B" w:rsidP="00176E9B">
      <w:pPr>
        <w:ind w:left="851"/>
        <w:rPr>
          <w:sz w:val="24"/>
          <w:szCs w:val="24"/>
        </w:rPr>
      </w:pPr>
      <w:r w:rsidRPr="00B07995">
        <w:rPr>
          <w:sz w:val="24"/>
          <w:szCs w:val="24"/>
        </w:rPr>
        <w:t xml:space="preserve">Atozet 10/40 var </w:t>
      </w:r>
      <w:r w:rsidRPr="00B07995">
        <w:rPr>
          <w:color w:val="000000"/>
          <w:sz w:val="24"/>
          <w:szCs w:val="24"/>
        </w:rPr>
        <w:t xml:space="preserve">signifikant mere effektivt end en fordobling af dosis af atorvastatin til </w:t>
      </w:r>
      <w:r w:rsidRPr="00B07995">
        <w:rPr>
          <w:sz w:val="24"/>
          <w:szCs w:val="24"/>
        </w:rPr>
        <w:t xml:space="preserve">80 mg </w:t>
      </w:r>
      <w:r w:rsidRPr="00B07995">
        <w:rPr>
          <w:color w:val="000000"/>
          <w:sz w:val="24"/>
          <w:szCs w:val="24"/>
        </w:rPr>
        <w:t>med hensyn til yderligere reduktion af</w:t>
      </w:r>
      <w:r w:rsidRPr="00B07995">
        <w:rPr>
          <w:sz w:val="24"/>
          <w:szCs w:val="24"/>
        </w:rPr>
        <w:t xml:space="preserve"> total-C (</w:t>
      </w:r>
      <w:r w:rsidRPr="00B07995">
        <w:rPr>
          <w:sz w:val="24"/>
          <w:szCs w:val="24"/>
        </w:rPr>
        <w:noBreakHyphen/>
        <w:t xml:space="preserve">17% </w:t>
      </w:r>
      <w:r w:rsidRPr="00B07995">
        <w:rPr>
          <w:i/>
          <w:sz w:val="24"/>
          <w:szCs w:val="24"/>
        </w:rPr>
        <w:t>vs.</w:t>
      </w:r>
      <w:r w:rsidRPr="00B07995">
        <w:rPr>
          <w:sz w:val="24"/>
          <w:szCs w:val="24"/>
        </w:rPr>
        <w:t xml:space="preserve"> </w:t>
      </w:r>
      <w:r w:rsidRPr="00B07995">
        <w:rPr>
          <w:sz w:val="24"/>
          <w:szCs w:val="24"/>
        </w:rPr>
        <w:noBreakHyphen/>
        <w:t>7%), LDL-C (</w:t>
      </w:r>
      <w:r w:rsidRPr="00B07995">
        <w:rPr>
          <w:sz w:val="24"/>
          <w:szCs w:val="24"/>
        </w:rPr>
        <w:noBreakHyphen/>
        <w:t xml:space="preserve">27% </w:t>
      </w:r>
      <w:r w:rsidRPr="00B07995">
        <w:rPr>
          <w:i/>
          <w:sz w:val="24"/>
          <w:szCs w:val="24"/>
        </w:rPr>
        <w:t>vs.</w:t>
      </w:r>
      <w:r w:rsidRPr="00B07995">
        <w:rPr>
          <w:sz w:val="24"/>
          <w:szCs w:val="24"/>
        </w:rPr>
        <w:t xml:space="preserve"> </w:t>
      </w:r>
      <w:r w:rsidRPr="00B07995">
        <w:rPr>
          <w:sz w:val="24"/>
          <w:szCs w:val="24"/>
        </w:rPr>
        <w:noBreakHyphen/>
        <w:t xml:space="preserve">11%), Apo B </w:t>
      </w:r>
      <w:bookmarkStart w:id="2" w:name="OLE_LINK13"/>
      <w:bookmarkStart w:id="3" w:name="OLE_LINK14"/>
      <w:r w:rsidRPr="00B07995">
        <w:rPr>
          <w:sz w:val="24"/>
          <w:szCs w:val="24"/>
        </w:rPr>
        <w:t>(</w:t>
      </w:r>
      <w:r w:rsidRPr="00B07995">
        <w:rPr>
          <w:sz w:val="24"/>
          <w:szCs w:val="24"/>
        </w:rPr>
        <w:noBreakHyphen/>
        <w:t xml:space="preserve">18% </w:t>
      </w:r>
      <w:r w:rsidRPr="00B07995">
        <w:rPr>
          <w:i/>
          <w:sz w:val="24"/>
          <w:szCs w:val="24"/>
        </w:rPr>
        <w:t>vs.</w:t>
      </w:r>
      <w:r w:rsidRPr="00B07995">
        <w:rPr>
          <w:sz w:val="24"/>
          <w:szCs w:val="24"/>
        </w:rPr>
        <w:t xml:space="preserve"> </w:t>
      </w:r>
      <w:r w:rsidRPr="00B07995">
        <w:rPr>
          <w:sz w:val="24"/>
          <w:szCs w:val="24"/>
        </w:rPr>
        <w:noBreakHyphen/>
        <w:t>8%),</w:t>
      </w:r>
      <w:bookmarkEnd w:id="2"/>
      <w:bookmarkEnd w:id="3"/>
      <w:r w:rsidRPr="00B07995">
        <w:rPr>
          <w:sz w:val="24"/>
          <w:szCs w:val="24"/>
        </w:rPr>
        <w:t xml:space="preserve"> TG (</w:t>
      </w:r>
      <w:r w:rsidRPr="00B07995">
        <w:rPr>
          <w:sz w:val="24"/>
          <w:szCs w:val="24"/>
        </w:rPr>
        <w:noBreakHyphen/>
        <w:t xml:space="preserve">12% </w:t>
      </w:r>
      <w:r w:rsidRPr="00B07995">
        <w:rPr>
          <w:i/>
          <w:sz w:val="24"/>
          <w:szCs w:val="24"/>
        </w:rPr>
        <w:t>vs.</w:t>
      </w:r>
      <w:r w:rsidRPr="00B07995">
        <w:rPr>
          <w:sz w:val="24"/>
          <w:szCs w:val="24"/>
        </w:rPr>
        <w:t xml:space="preserve"> </w:t>
      </w:r>
      <w:r w:rsidRPr="00B07995">
        <w:rPr>
          <w:sz w:val="24"/>
          <w:szCs w:val="24"/>
        </w:rPr>
        <w:noBreakHyphen/>
        <w:t>6%) og non-HDL-C (</w:t>
      </w:r>
      <w:r w:rsidRPr="00B07995">
        <w:rPr>
          <w:sz w:val="24"/>
          <w:szCs w:val="24"/>
        </w:rPr>
        <w:noBreakHyphen/>
        <w:t xml:space="preserve">23% </w:t>
      </w:r>
      <w:r w:rsidRPr="00B07995">
        <w:rPr>
          <w:i/>
          <w:sz w:val="24"/>
          <w:szCs w:val="24"/>
        </w:rPr>
        <w:t>vs.</w:t>
      </w:r>
      <w:r w:rsidRPr="00B07995">
        <w:rPr>
          <w:sz w:val="24"/>
          <w:szCs w:val="24"/>
        </w:rPr>
        <w:t xml:space="preserve"> </w:t>
      </w:r>
      <w:r w:rsidRPr="00B07995">
        <w:rPr>
          <w:sz w:val="24"/>
          <w:szCs w:val="24"/>
        </w:rPr>
        <w:noBreakHyphen/>
        <w:t xml:space="preserve">9%). Resultaterne for HDL-C var ikke signifikant forskellige mellem de to behandlingsgrupper. </w:t>
      </w:r>
      <w:r w:rsidRPr="00B07995">
        <w:rPr>
          <w:color w:val="000000"/>
          <w:sz w:val="24"/>
          <w:szCs w:val="24"/>
        </w:rPr>
        <w:t>Desuden opnåede signifikant flere patienter, der fik Atozet</w:t>
      </w:r>
      <w:r w:rsidRPr="00B07995">
        <w:rPr>
          <w:sz w:val="24"/>
          <w:szCs w:val="24"/>
        </w:rPr>
        <w:t xml:space="preserve"> 10/40, et LDL-C-niveau &lt;1,8 mmol/l sammenlignet med de patienter, som fik atorvastatin 80 mg, 74% </w:t>
      </w:r>
      <w:r w:rsidRPr="00B07995">
        <w:rPr>
          <w:i/>
          <w:sz w:val="24"/>
          <w:szCs w:val="24"/>
        </w:rPr>
        <w:t>vs.</w:t>
      </w:r>
      <w:r w:rsidRPr="00B07995">
        <w:rPr>
          <w:sz w:val="24"/>
          <w:szCs w:val="24"/>
        </w:rPr>
        <w:t xml:space="preserve"> 32%.</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I et placebokontrolleret studie af 8 ugers varighed blev 308 patienter med hyperkolesterolæmi, der fik atorvastatin og ikke havde opnået </w:t>
      </w:r>
      <w:r w:rsidRPr="00B07995">
        <w:rPr>
          <w:snapToGrid w:val="0"/>
          <w:sz w:val="24"/>
          <w:szCs w:val="24"/>
        </w:rPr>
        <w:t xml:space="preserve">National Cholesterol Education Program (NCEP) </w:t>
      </w:r>
      <w:r w:rsidRPr="00B07995">
        <w:rPr>
          <w:sz w:val="24"/>
          <w:szCs w:val="24"/>
        </w:rPr>
        <w:t xml:space="preserve">LDL-C-mål (LDL-C-mål baseret på LDL-C-niveauet ved </w:t>
      </w:r>
      <w:r w:rsidRPr="00B07995">
        <w:rPr>
          <w:i/>
          <w:sz w:val="24"/>
          <w:szCs w:val="24"/>
        </w:rPr>
        <w:t>baseline</w:t>
      </w:r>
      <w:r w:rsidRPr="00B07995">
        <w:rPr>
          <w:sz w:val="24"/>
          <w:szCs w:val="24"/>
        </w:rPr>
        <w:t xml:space="preserve"> og CHD-risikostatus), randomiseret til at få enten </w:t>
      </w:r>
      <w:r>
        <w:rPr>
          <w:sz w:val="24"/>
          <w:szCs w:val="24"/>
        </w:rPr>
        <w:t>ezetimib</w:t>
      </w:r>
      <w:r w:rsidRPr="00B07995">
        <w:rPr>
          <w:sz w:val="24"/>
          <w:szCs w:val="24"/>
        </w:rPr>
        <w:t xml:space="preserve"> 10 mg eller placebo i tillæg deres igangværende behandling med atorvastatin.</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napToGrid w:val="0"/>
          <w:sz w:val="24"/>
          <w:szCs w:val="24"/>
        </w:rPr>
        <w:t xml:space="preserve">Blandt de patienter, som ikke havde opnået LDL-C-målet ved </w:t>
      </w:r>
      <w:r w:rsidRPr="00B07995">
        <w:rPr>
          <w:i/>
          <w:snapToGrid w:val="0"/>
          <w:sz w:val="24"/>
          <w:szCs w:val="24"/>
        </w:rPr>
        <w:t>baseline</w:t>
      </w:r>
      <w:r w:rsidRPr="00B07995">
        <w:rPr>
          <w:snapToGrid w:val="0"/>
          <w:sz w:val="24"/>
          <w:szCs w:val="24"/>
        </w:rPr>
        <w:t xml:space="preserve"> (~83%), opnåede signifikant flere patienter, som fik </w:t>
      </w:r>
      <w:r>
        <w:rPr>
          <w:snapToGrid w:val="0"/>
          <w:sz w:val="24"/>
          <w:szCs w:val="24"/>
        </w:rPr>
        <w:t>ezetimib</w:t>
      </w:r>
      <w:r w:rsidRPr="00B07995">
        <w:rPr>
          <w:snapToGrid w:val="0"/>
          <w:sz w:val="24"/>
          <w:szCs w:val="24"/>
        </w:rPr>
        <w:t xml:space="preserve"> samtidig med </w:t>
      </w:r>
      <w:r w:rsidRPr="00B07995">
        <w:rPr>
          <w:sz w:val="24"/>
          <w:szCs w:val="24"/>
        </w:rPr>
        <w:t xml:space="preserve">atorvastatin, deres </w:t>
      </w:r>
      <w:r w:rsidRPr="00B07995">
        <w:rPr>
          <w:snapToGrid w:val="0"/>
          <w:sz w:val="24"/>
          <w:szCs w:val="24"/>
        </w:rPr>
        <w:t xml:space="preserve">LDL-C-mål sammenlignet med de patienter, der fik placebo samtidig med </w:t>
      </w:r>
      <w:r w:rsidRPr="00B07995">
        <w:rPr>
          <w:sz w:val="24"/>
          <w:szCs w:val="24"/>
        </w:rPr>
        <w:t>atorvastatin</w:t>
      </w:r>
      <w:r w:rsidRPr="00B07995">
        <w:rPr>
          <w:snapToGrid w:val="0"/>
          <w:sz w:val="24"/>
          <w:szCs w:val="24"/>
        </w:rPr>
        <w:t xml:space="preserve">, 67% </w:t>
      </w:r>
      <w:r w:rsidRPr="00B07995">
        <w:rPr>
          <w:i/>
          <w:snapToGrid w:val="0"/>
          <w:sz w:val="24"/>
          <w:szCs w:val="24"/>
        </w:rPr>
        <w:t>vs.</w:t>
      </w:r>
      <w:r w:rsidRPr="00B07995">
        <w:rPr>
          <w:snapToGrid w:val="0"/>
          <w:sz w:val="24"/>
          <w:szCs w:val="24"/>
        </w:rPr>
        <w:t xml:space="preserve"> 19%.</w:t>
      </w:r>
      <w:r w:rsidRPr="00B07995">
        <w:rPr>
          <w:rStyle w:val="Slutnotehenvisning"/>
          <w:snapToGrid w:val="0"/>
          <w:sz w:val="24"/>
          <w:szCs w:val="24"/>
        </w:rPr>
        <w:t xml:space="preserve"> </w:t>
      </w:r>
      <w:r>
        <w:rPr>
          <w:snapToGrid w:val="0"/>
          <w:sz w:val="24"/>
          <w:szCs w:val="24"/>
        </w:rPr>
        <w:t>Ezetimib</w:t>
      </w:r>
      <w:r w:rsidRPr="00B07995">
        <w:rPr>
          <w:snapToGrid w:val="0"/>
          <w:sz w:val="24"/>
          <w:szCs w:val="24"/>
        </w:rPr>
        <w:t xml:space="preserve"> i tillæg til behandling med </w:t>
      </w:r>
      <w:r w:rsidRPr="00B07995">
        <w:rPr>
          <w:sz w:val="24"/>
          <w:szCs w:val="24"/>
        </w:rPr>
        <w:t xml:space="preserve">atorvastatin sænkede </w:t>
      </w:r>
      <w:r w:rsidRPr="00B07995">
        <w:rPr>
          <w:snapToGrid w:val="0"/>
          <w:sz w:val="24"/>
          <w:szCs w:val="24"/>
        </w:rPr>
        <w:t>LDL</w:t>
      </w:r>
      <w:r w:rsidRPr="00B07995">
        <w:rPr>
          <w:snapToGrid w:val="0"/>
          <w:sz w:val="24"/>
          <w:szCs w:val="24"/>
        </w:rPr>
        <w:noBreakHyphen/>
        <w:t xml:space="preserve">C signifikant mere end placebo i tillæg til behandling med </w:t>
      </w:r>
      <w:r w:rsidRPr="00B07995">
        <w:rPr>
          <w:sz w:val="24"/>
          <w:szCs w:val="24"/>
        </w:rPr>
        <w:t>atorvastatin,</w:t>
      </w:r>
      <w:r w:rsidRPr="00B07995">
        <w:rPr>
          <w:snapToGrid w:val="0"/>
          <w:sz w:val="24"/>
          <w:szCs w:val="24"/>
        </w:rPr>
        <w:t xml:space="preserve"> 25% </w:t>
      </w:r>
      <w:r w:rsidRPr="00B07995">
        <w:rPr>
          <w:i/>
          <w:snapToGrid w:val="0"/>
          <w:sz w:val="24"/>
          <w:szCs w:val="24"/>
        </w:rPr>
        <w:t>vs.</w:t>
      </w:r>
      <w:r w:rsidRPr="00B07995">
        <w:rPr>
          <w:snapToGrid w:val="0"/>
          <w:sz w:val="24"/>
          <w:szCs w:val="24"/>
        </w:rPr>
        <w:t xml:space="preserve"> 4%.</w:t>
      </w:r>
      <w:r w:rsidRPr="00B07995">
        <w:rPr>
          <w:snapToGrid w:val="0"/>
          <w:color w:val="0000FF"/>
          <w:sz w:val="24"/>
          <w:szCs w:val="24"/>
        </w:rPr>
        <w:t xml:space="preserve"> </w:t>
      </w:r>
      <w:r>
        <w:rPr>
          <w:sz w:val="24"/>
          <w:szCs w:val="24"/>
        </w:rPr>
        <w:t>Ezetimib</w:t>
      </w:r>
      <w:r w:rsidRPr="00B07995">
        <w:rPr>
          <w:sz w:val="24"/>
          <w:szCs w:val="24"/>
        </w:rPr>
        <w:t xml:space="preserve"> i tillæg til behandling med atorvastatin sænkede også signifikant total-C, Apo B og TG sammenlignet med placebo i tillæg til behandling med atorvastatin.</w:t>
      </w:r>
    </w:p>
    <w:p w:rsidR="00176E9B" w:rsidRPr="00B07995" w:rsidRDefault="00176E9B" w:rsidP="00176E9B">
      <w:pPr>
        <w:ind w:left="851" w:hanging="851"/>
        <w:rPr>
          <w:color w:val="000000"/>
          <w:sz w:val="24"/>
          <w:szCs w:val="24"/>
        </w:rPr>
      </w:pPr>
    </w:p>
    <w:p w:rsidR="00176E9B" w:rsidRPr="00290967" w:rsidRDefault="00176E9B" w:rsidP="00176E9B">
      <w:pPr>
        <w:ind w:left="851"/>
        <w:rPr>
          <w:sz w:val="24"/>
          <w:szCs w:val="22"/>
        </w:rPr>
      </w:pPr>
      <w:r w:rsidRPr="00290967">
        <w:rPr>
          <w:sz w:val="24"/>
          <w:szCs w:val="22"/>
        </w:rPr>
        <w:t xml:space="preserve">I et 12-ugers kontrolleret studie i 2 faser blev 1.539 patienter, som havde en høj risiko for kardiovaskulær sygdom, med et LDL-C-niveau på mellem 2,6 og 4,1 mmol/l, i behandling med atorvastatin 10 mg daglig, randomiseret til at få: atorvastatin 20 mg, rosuvastatin 10 mg eller Atozet 10/10. Efter 6 ugers behandling (fase I) blev de patienter, som tog atorvastatin 20 mg og ikke opnåede et LDL-C-niveau &lt;2,6 mmol/l, skiftet over til enten atorvastatin 40 mg eller Atozet 10/20 i 6 uger (fase II), og lignende patienter, som tog rosuvastatin 10 mg i fase I, blev skiftet over til enten rosuvastatin 20 mg eller Atozet </w:t>
      </w:r>
      <w:r w:rsidRPr="00290967">
        <w:rPr>
          <w:sz w:val="24"/>
          <w:szCs w:val="22"/>
        </w:rPr>
        <w:lastRenderedPageBreak/>
        <w:t>10/20. Reduktioner i LDL-C og sammenligninger mellem gruppen med Atozet og andre behandlingsgrupper er vist i tabel 5.</w:t>
      </w:r>
    </w:p>
    <w:p w:rsidR="00176E9B" w:rsidRPr="0018778C" w:rsidRDefault="00176E9B" w:rsidP="00176E9B">
      <w:pPr>
        <w:jc w:val="center"/>
        <w:rPr>
          <w:sz w:val="24"/>
          <w:szCs w:val="24"/>
          <w:highlight w:val="yellow"/>
        </w:rPr>
      </w:pPr>
    </w:p>
    <w:p w:rsidR="00176E9B" w:rsidRPr="00290967" w:rsidRDefault="00176E9B" w:rsidP="00176E9B">
      <w:pPr>
        <w:pStyle w:val="Tablecentered"/>
        <w:ind w:left="1170" w:right="1170"/>
        <w:rPr>
          <w:rFonts w:ascii="Times New Roman" w:hAnsi="Times New Roman"/>
          <w:b/>
          <w:color w:val="000000"/>
          <w:sz w:val="24"/>
          <w:szCs w:val="22"/>
          <w:lang w:val="da-DK"/>
        </w:rPr>
      </w:pPr>
      <w:r w:rsidRPr="00290967">
        <w:rPr>
          <w:rFonts w:ascii="Times New Roman" w:hAnsi="Times New Roman"/>
          <w:b/>
          <w:color w:val="000000"/>
          <w:sz w:val="24"/>
          <w:szCs w:val="22"/>
          <w:lang w:val="da-DK"/>
        </w:rPr>
        <w:t>Tabel 5</w:t>
      </w:r>
    </w:p>
    <w:p w:rsidR="00176E9B" w:rsidRPr="00290967" w:rsidRDefault="00176E9B" w:rsidP="00176E9B">
      <w:pPr>
        <w:pStyle w:val="Tablecentered"/>
        <w:ind w:left="1170" w:right="1170"/>
        <w:rPr>
          <w:rFonts w:ascii="Times New Roman" w:hAnsi="Times New Roman"/>
          <w:b/>
          <w:color w:val="000000"/>
          <w:sz w:val="24"/>
          <w:szCs w:val="22"/>
          <w:lang w:val="da-DK"/>
        </w:rPr>
      </w:pPr>
      <w:r w:rsidRPr="00290967">
        <w:rPr>
          <w:rFonts w:ascii="Times New Roman" w:hAnsi="Times New Roman"/>
          <w:b/>
          <w:color w:val="000000"/>
          <w:sz w:val="24"/>
          <w:szCs w:val="22"/>
          <w:lang w:val="da-DK"/>
        </w:rPr>
        <w:t xml:space="preserve">Respons på Atozet* hos højrisikopatienter med et LDL-C-niveau mellem 2,6 og 4,1 mmol/l på atorvastatin 10 mg daglig ved </w:t>
      </w:r>
      <w:r w:rsidRPr="00290967">
        <w:rPr>
          <w:rFonts w:ascii="Times New Roman" w:hAnsi="Times New Roman"/>
          <w:b/>
          <w:i/>
          <w:color w:val="000000"/>
          <w:sz w:val="24"/>
          <w:szCs w:val="22"/>
          <w:lang w:val="da-DK"/>
        </w:rPr>
        <w:t>baseline</w:t>
      </w:r>
    </w:p>
    <w:p w:rsidR="00176E9B" w:rsidRPr="00CA77D9" w:rsidRDefault="00176E9B" w:rsidP="00176E9B">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648"/>
        <w:gridCol w:w="1018"/>
        <w:gridCol w:w="925"/>
        <w:gridCol w:w="889"/>
        <w:gridCol w:w="973"/>
        <w:gridCol w:w="973"/>
        <w:gridCol w:w="1511"/>
      </w:tblGrid>
      <w:tr w:rsidR="00176E9B" w:rsidRPr="00CA77D9" w:rsidTr="00272594">
        <w:tc>
          <w:tcPr>
            <w:tcW w:w="1401" w:type="pct"/>
            <w:tcBorders>
              <w:top w:val="nil"/>
              <w:left w:val="nil"/>
              <w:bottom w:val="single" w:sz="12" w:space="0" w:color="auto"/>
              <w:right w:val="nil"/>
            </w:tcBorders>
          </w:tcPr>
          <w:p w:rsidR="00176E9B" w:rsidRPr="00CA77D9" w:rsidRDefault="00176E9B" w:rsidP="00272594">
            <w:pPr>
              <w:tabs>
                <w:tab w:val="left" w:pos="300"/>
              </w:tabs>
              <w:rPr>
                <w:b/>
                <w:sz w:val="24"/>
                <w:szCs w:val="24"/>
              </w:rPr>
            </w:pPr>
            <w:r w:rsidRPr="00CA77D9">
              <w:rPr>
                <w:b/>
                <w:sz w:val="24"/>
                <w:szCs w:val="24"/>
              </w:rPr>
              <w:t>Behandling</w:t>
            </w:r>
          </w:p>
        </w:tc>
        <w:tc>
          <w:tcPr>
            <w:tcW w:w="336" w:type="pct"/>
            <w:tcBorders>
              <w:top w:val="nil"/>
              <w:left w:val="nil"/>
              <w:bottom w:val="single" w:sz="12" w:space="0" w:color="auto"/>
              <w:right w:val="nil"/>
            </w:tcBorders>
          </w:tcPr>
          <w:p w:rsidR="00176E9B" w:rsidRPr="00CA77D9" w:rsidRDefault="00176E9B" w:rsidP="00272594">
            <w:pPr>
              <w:rPr>
                <w:b/>
                <w:sz w:val="24"/>
                <w:szCs w:val="24"/>
              </w:rPr>
            </w:pPr>
            <w:r w:rsidRPr="00CA77D9">
              <w:rPr>
                <w:b/>
                <w:sz w:val="24"/>
                <w:szCs w:val="24"/>
              </w:rPr>
              <w:t>N</w:t>
            </w:r>
          </w:p>
        </w:tc>
        <w:tc>
          <w:tcPr>
            <w:tcW w:w="3263" w:type="pct"/>
            <w:gridSpan w:val="6"/>
            <w:tcBorders>
              <w:top w:val="nil"/>
              <w:left w:val="nil"/>
              <w:bottom w:val="single" w:sz="12" w:space="0" w:color="auto"/>
              <w:right w:val="nil"/>
            </w:tcBorders>
          </w:tcPr>
          <w:p w:rsidR="00176E9B" w:rsidRPr="00CA77D9" w:rsidRDefault="00176E9B" w:rsidP="00272594">
            <w:pPr>
              <w:rPr>
                <w:b/>
                <w:sz w:val="24"/>
                <w:szCs w:val="24"/>
              </w:rPr>
            </w:pPr>
            <w:r w:rsidRPr="00CA77D9">
              <w:rPr>
                <w:b/>
                <w:sz w:val="24"/>
                <w:szCs w:val="24"/>
              </w:rPr>
              <w:t xml:space="preserve">Procentvis ændring i forhold til </w:t>
            </w:r>
            <w:r w:rsidRPr="00CA77D9">
              <w:rPr>
                <w:b/>
                <w:i/>
                <w:sz w:val="24"/>
                <w:szCs w:val="24"/>
              </w:rPr>
              <w:t>baseline</w:t>
            </w:r>
            <w:r w:rsidRPr="00CA77D9">
              <w:rPr>
                <w:b/>
                <w:sz w:val="24"/>
                <w:szCs w:val="24"/>
                <w:vertAlign w:val="superscript"/>
              </w:rPr>
              <w:t>†</w:t>
            </w:r>
          </w:p>
        </w:tc>
      </w:tr>
      <w:tr w:rsidR="00176E9B" w:rsidRPr="00CA77D9" w:rsidTr="00272594">
        <w:tc>
          <w:tcPr>
            <w:tcW w:w="1401" w:type="pct"/>
            <w:tcBorders>
              <w:top w:val="single" w:sz="12" w:space="0" w:color="auto"/>
              <w:left w:val="nil"/>
              <w:bottom w:val="single" w:sz="12" w:space="0" w:color="auto"/>
              <w:right w:val="nil"/>
            </w:tcBorders>
          </w:tcPr>
          <w:p w:rsidR="00176E9B" w:rsidRPr="00CA77D9" w:rsidRDefault="00176E9B" w:rsidP="00272594">
            <w:pPr>
              <w:tabs>
                <w:tab w:val="left" w:pos="300"/>
              </w:tabs>
              <w:rPr>
                <w:sz w:val="24"/>
                <w:szCs w:val="24"/>
              </w:rPr>
            </w:pPr>
          </w:p>
        </w:tc>
        <w:tc>
          <w:tcPr>
            <w:tcW w:w="336" w:type="pct"/>
            <w:tcBorders>
              <w:top w:val="single" w:sz="12" w:space="0" w:color="auto"/>
              <w:left w:val="nil"/>
              <w:bottom w:val="single" w:sz="12" w:space="0" w:color="auto"/>
              <w:right w:val="nil"/>
            </w:tcBorders>
          </w:tcPr>
          <w:p w:rsidR="00176E9B" w:rsidRPr="00CA77D9" w:rsidRDefault="00176E9B" w:rsidP="00272594">
            <w:pPr>
              <w:rPr>
                <w:sz w:val="24"/>
                <w:szCs w:val="24"/>
              </w:rPr>
            </w:pPr>
          </w:p>
        </w:tc>
        <w:tc>
          <w:tcPr>
            <w:tcW w:w="528"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Total-C</w:t>
            </w:r>
          </w:p>
        </w:tc>
        <w:tc>
          <w:tcPr>
            <w:tcW w:w="480"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LDL-C</w:t>
            </w:r>
          </w:p>
        </w:tc>
        <w:tc>
          <w:tcPr>
            <w:tcW w:w="461"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Apo B</w:t>
            </w:r>
          </w:p>
        </w:tc>
        <w:tc>
          <w:tcPr>
            <w:tcW w:w="505"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TG</w:t>
            </w:r>
            <w:r w:rsidRPr="00CA77D9">
              <w:rPr>
                <w:sz w:val="24"/>
                <w:szCs w:val="24"/>
                <w:vertAlign w:val="superscript"/>
              </w:rPr>
              <w:t>‡</w:t>
            </w:r>
          </w:p>
        </w:tc>
        <w:tc>
          <w:tcPr>
            <w:tcW w:w="505"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HDL-C</w:t>
            </w:r>
          </w:p>
        </w:tc>
        <w:tc>
          <w:tcPr>
            <w:tcW w:w="784" w:type="pct"/>
            <w:tcBorders>
              <w:top w:val="single" w:sz="12" w:space="0" w:color="auto"/>
              <w:left w:val="nil"/>
              <w:bottom w:val="single" w:sz="12" w:space="0" w:color="auto"/>
              <w:right w:val="nil"/>
            </w:tcBorders>
          </w:tcPr>
          <w:p w:rsidR="00176E9B" w:rsidRPr="00CA77D9" w:rsidRDefault="00176E9B" w:rsidP="00272594">
            <w:pPr>
              <w:rPr>
                <w:sz w:val="24"/>
                <w:szCs w:val="24"/>
              </w:rPr>
            </w:pPr>
            <w:r w:rsidRPr="00CA77D9">
              <w:rPr>
                <w:sz w:val="24"/>
                <w:szCs w:val="24"/>
              </w:rPr>
              <w:t>Non-HDL-C</w:t>
            </w:r>
          </w:p>
        </w:tc>
      </w:tr>
      <w:tr w:rsidR="00176E9B" w:rsidRPr="00CA77D9" w:rsidTr="00272594">
        <w:tc>
          <w:tcPr>
            <w:tcW w:w="1401" w:type="pct"/>
            <w:tcBorders>
              <w:top w:val="single" w:sz="12" w:space="0" w:color="auto"/>
              <w:left w:val="nil"/>
              <w:bottom w:val="nil"/>
              <w:right w:val="nil"/>
            </w:tcBorders>
          </w:tcPr>
          <w:p w:rsidR="00176E9B" w:rsidRPr="00CA77D9" w:rsidRDefault="00176E9B" w:rsidP="00272594">
            <w:pPr>
              <w:tabs>
                <w:tab w:val="left" w:pos="300"/>
              </w:tabs>
              <w:rPr>
                <w:b/>
                <w:sz w:val="24"/>
                <w:szCs w:val="24"/>
              </w:rPr>
            </w:pPr>
            <w:r w:rsidRPr="00CA77D9">
              <w:rPr>
                <w:b/>
                <w:sz w:val="24"/>
                <w:szCs w:val="24"/>
              </w:rPr>
              <w:t>Fase I</w:t>
            </w:r>
          </w:p>
          <w:p w:rsidR="00176E9B" w:rsidRPr="00CA77D9" w:rsidRDefault="00176E9B" w:rsidP="00272594">
            <w:pPr>
              <w:tabs>
                <w:tab w:val="left" w:pos="300"/>
              </w:tabs>
              <w:rPr>
                <w:sz w:val="24"/>
                <w:szCs w:val="24"/>
              </w:rPr>
            </w:pPr>
            <w:r w:rsidRPr="00CA77D9">
              <w:rPr>
                <w:sz w:val="24"/>
                <w:szCs w:val="24"/>
              </w:rPr>
              <w:t>Skift fra atorvastatin 10 mg</w:t>
            </w:r>
          </w:p>
        </w:tc>
        <w:tc>
          <w:tcPr>
            <w:tcW w:w="336" w:type="pct"/>
            <w:tcBorders>
              <w:top w:val="single" w:sz="12" w:space="0" w:color="auto"/>
              <w:left w:val="nil"/>
              <w:bottom w:val="nil"/>
              <w:right w:val="nil"/>
            </w:tcBorders>
          </w:tcPr>
          <w:p w:rsidR="00176E9B" w:rsidRPr="00CA77D9" w:rsidRDefault="00176E9B" w:rsidP="00272594">
            <w:pPr>
              <w:rPr>
                <w:sz w:val="24"/>
                <w:szCs w:val="24"/>
              </w:rPr>
            </w:pPr>
          </w:p>
        </w:tc>
        <w:tc>
          <w:tcPr>
            <w:tcW w:w="528" w:type="pct"/>
            <w:tcBorders>
              <w:top w:val="single" w:sz="12" w:space="0" w:color="auto"/>
              <w:left w:val="nil"/>
              <w:bottom w:val="nil"/>
              <w:right w:val="nil"/>
            </w:tcBorders>
          </w:tcPr>
          <w:p w:rsidR="00176E9B" w:rsidRPr="00CA77D9" w:rsidRDefault="00176E9B" w:rsidP="00272594">
            <w:pPr>
              <w:rPr>
                <w:sz w:val="24"/>
                <w:szCs w:val="24"/>
              </w:rPr>
            </w:pPr>
          </w:p>
        </w:tc>
        <w:tc>
          <w:tcPr>
            <w:tcW w:w="480" w:type="pct"/>
            <w:tcBorders>
              <w:top w:val="single" w:sz="12" w:space="0" w:color="auto"/>
              <w:left w:val="nil"/>
              <w:bottom w:val="nil"/>
              <w:right w:val="nil"/>
            </w:tcBorders>
          </w:tcPr>
          <w:p w:rsidR="00176E9B" w:rsidRPr="00CA77D9" w:rsidRDefault="00176E9B" w:rsidP="00272594">
            <w:pPr>
              <w:rPr>
                <w:sz w:val="24"/>
                <w:szCs w:val="24"/>
              </w:rPr>
            </w:pPr>
          </w:p>
        </w:tc>
        <w:tc>
          <w:tcPr>
            <w:tcW w:w="461" w:type="pct"/>
            <w:tcBorders>
              <w:top w:val="single" w:sz="12" w:space="0" w:color="auto"/>
              <w:left w:val="nil"/>
              <w:bottom w:val="nil"/>
              <w:right w:val="nil"/>
            </w:tcBorders>
          </w:tcPr>
          <w:p w:rsidR="00176E9B" w:rsidRPr="00CA77D9" w:rsidRDefault="00176E9B" w:rsidP="00272594">
            <w:pPr>
              <w:rPr>
                <w:sz w:val="24"/>
                <w:szCs w:val="24"/>
              </w:rPr>
            </w:pPr>
          </w:p>
        </w:tc>
        <w:tc>
          <w:tcPr>
            <w:tcW w:w="505" w:type="pct"/>
            <w:tcBorders>
              <w:top w:val="single" w:sz="12" w:space="0" w:color="auto"/>
              <w:left w:val="nil"/>
              <w:bottom w:val="nil"/>
              <w:right w:val="nil"/>
            </w:tcBorders>
          </w:tcPr>
          <w:p w:rsidR="00176E9B" w:rsidRPr="00CA77D9" w:rsidRDefault="00176E9B" w:rsidP="00272594">
            <w:pPr>
              <w:rPr>
                <w:sz w:val="24"/>
                <w:szCs w:val="24"/>
              </w:rPr>
            </w:pPr>
          </w:p>
        </w:tc>
        <w:tc>
          <w:tcPr>
            <w:tcW w:w="505" w:type="pct"/>
            <w:tcBorders>
              <w:top w:val="single" w:sz="12" w:space="0" w:color="auto"/>
              <w:left w:val="nil"/>
              <w:bottom w:val="nil"/>
              <w:right w:val="nil"/>
            </w:tcBorders>
          </w:tcPr>
          <w:p w:rsidR="00176E9B" w:rsidRPr="00CA77D9" w:rsidRDefault="00176E9B" w:rsidP="00272594">
            <w:pPr>
              <w:rPr>
                <w:sz w:val="24"/>
                <w:szCs w:val="24"/>
              </w:rPr>
            </w:pPr>
          </w:p>
        </w:tc>
        <w:tc>
          <w:tcPr>
            <w:tcW w:w="784" w:type="pct"/>
            <w:tcBorders>
              <w:top w:val="single" w:sz="12" w:space="0" w:color="auto"/>
              <w:left w:val="nil"/>
              <w:bottom w:val="nil"/>
              <w:right w:val="nil"/>
            </w:tcBorders>
          </w:tcPr>
          <w:p w:rsidR="00176E9B" w:rsidRPr="00CA77D9" w:rsidRDefault="00176E9B" w:rsidP="00272594">
            <w:pPr>
              <w:rPr>
                <w:sz w:val="24"/>
                <w:szCs w:val="24"/>
              </w:rPr>
            </w:pPr>
          </w:p>
        </w:tc>
      </w:tr>
      <w:tr w:rsidR="00176E9B" w:rsidRPr="00CA77D9" w:rsidTr="00272594">
        <w:tc>
          <w:tcPr>
            <w:tcW w:w="1401" w:type="pct"/>
            <w:tcBorders>
              <w:top w:val="nil"/>
              <w:left w:val="nil"/>
              <w:bottom w:val="nil"/>
              <w:right w:val="nil"/>
            </w:tcBorders>
          </w:tcPr>
          <w:p w:rsidR="00176E9B" w:rsidRPr="00CA77D9" w:rsidRDefault="00176E9B" w:rsidP="00272594">
            <w:pPr>
              <w:tabs>
                <w:tab w:val="left" w:pos="300"/>
              </w:tabs>
              <w:rPr>
                <w:sz w:val="24"/>
                <w:szCs w:val="24"/>
              </w:rPr>
            </w:pPr>
            <w:r w:rsidRPr="00CA77D9">
              <w:rPr>
                <w:sz w:val="24"/>
                <w:szCs w:val="24"/>
              </w:rPr>
              <w:tab/>
              <w:t>Atozet 10/10</w:t>
            </w:r>
          </w:p>
        </w:tc>
        <w:tc>
          <w:tcPr>
            <w:tcW w:w="336" w:type="pct"/>
            <w:tcBorders>
              <w:top w:val="nil"/>
              <w:left w:val="nil"/>
              <w:bottom w:val="nil"/>
              <w:right w:val="nil"/>
            </w:tcBorders>
          </w:tcPr>
          <w:p w:rsidR="00176E9B" w:rsidRPr="00CA77D9" w:rsidRDefault="00176E9B" w:rsidP="00272594">
            <w:pPr>
              <w:rPr>
                <w:sz w:val="24"/>
                <w:szCs w:val="24"/>
              </w:rPr>
            </w:pPr>
            <w:r w:rsidRPr="00CA77D9">
              <w:rPr>
                <w:sz w:val="24"/>
                <w:szCs w:val="24"/>
              </w:rPr>
              <w:t>120</w:t>
            </w:r>
          </w:p>
        </w:tc>
        <w:tc>
          <w:tcPr>
            <w:tcW w:w="528" w:type="pct"/>
            <w:tcBorders>
              <w:top w:val="nil"/>
              <w:left w:val="nil"/>
              <w:bottom w:val="nil"/>
              <w:right w:val="nil"/>
            </w:tcBorders>
          </w:tcPr>
          <w:p w:rsidR="00176E9B" w:rsidRPr="00CA77D9" w:rsidRDefault="00176E9B" w:rsidP="00272594">
            <w:pPr>
              <w:rPr>
                <w:sz w:val="24"/>
                <w:szCs w:val="24"/>
              </w:rPr>
            </w:pPr>
            <w:r w:rsidRPr="00CA77D9">
              <w:rPr>
                <w:sz w:val="24"/>
                <w:szCs w:val="24"/>
              </w:rPr>
              <w:t>-13,5</w:t>
            </w:r>
          </w:p>
        </w:tc>
        <w:tc>
          <w:tcPr>
            <w:tcW w:w="480" w:type="pct"/>
            <w:tcBorders>
              <w:top w:val="nil"/>
              <w:left w:val="nil"/>
              <w:bottom w:val="nil"/>
              <w:right w:val="nil"/>
            </w:tcBorders>
          </w:tcPr>
          <w:p w:rsidR="00176E9B" w:rsidRPr="00CA77D9" w:rsidRDefault="00176E9B" w:rsidP="00272594">
            <w:pPr>
              <w:rPr>
                <w:sz w:val="24"/>
                <w:szCs w:val="24"/>
              </w:rPr>
            </w:pPr>
            <w:r w:rsidRPr="00CA77D9">
              <w:rPr>
                <w:sz w:val="24"/>
                <w:szCs w:val="24"/>
              </w:rPr>
              <w:t>-22,2</w:t>
            </w:r>
          </w:p>
        </w:tc>
        <w:tc>
          <w:tcPr>
            <w:tcW w:w="461" w:type="pct"/>
            <w:tcBorders>
              <w:top w:val="nil"/>
              <w:left w:val="nil"/>
              <w:bottom w:val="nil"/>
              <w:right w:val="nil"/>
            </w:tcBorders>
          </w:tcPr>
          <w:p w:rsidR="00176E9B" w:rsidRPr="00CA77D9" w:rsidRDefault="00176E9B" w:rsidP="00272594">
            <w:pPr>
              <w:rPr>
                <w:sz w:val="24"/>
                <w:szCs w:val="24"/>
              </w:rPr>
            </w:pPr>
            <w:r w:rsidRPr="00CA77D9">
              <w:rPr>
                <w:sz w:val="24"/>
                <w:szCs w:val="24"/>
              </w:rPr>
              <w:t>-11,3</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-6,0</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+0,6</w:t>
            </w:r>
          </w:p>
        </w:tc>
        <w:tc>
          <w:tcPr>
            <w:tcW w:w="784" w:type="pct"/>
            <w:tcBorders>
              <w:top w:val="nil"/>
              <w:left w:val="nil"/>
              <w:bottom w:val="nil"/>
              <w:right w:val="nil"/>
            </w:tcBorders>
          </w:tcPr>
          <w:p w:rsidR="00176E9B" w:rsidRPr="00CA77D9" w:rsidRDefault="00176E9B" w:rsidP="00272594">
            <w:pPr>
              <w:rPr>
                <w:sz w:val="24"/>
                <w:szCs w:val="24"/>
              </w:rPr>
            </w:pPr>
            <w:r w:rsidRPr="00CA77D9">
              <w:rPr>
                <w:sz w:val="24"/>
                <w:szCs w:val="24"/>
              </w:rPr>
              <w:t>-18,3</w:t>
            </w:r>
          </w:p>
        </w:tc>
      </w:tr>
      <w:tr w:rsidR="00176E9B" w:rsidRPr="00CA77D9" w:rsidTr="00272594">
        <w:tc>
          <w:tcPr>
            <w:tcW w:w="1401" w:type="pct"/>
            <w:tcBorders>
              <w:top w:val="nil"/>
              <w:left w:val="nil"/>
              <w:bottom w:val="nil"/>
              <w:right w:val="nil"/>
            </w:tcBorders>
          </w:tcPr>
          <w:p w:rsidR="00176E9B" w:rsidRPr="00CA77D9" w:rsidRDefault="00176E9B" w:rsidP="00272594">
            <w:pPr>
              <w:tabs>
                <w:tab w:val="left" w:pos="300"/>
              </w:tabs>
              <w:rPr>
                <w:sz w:val="24"/>
                <w:szCs w:val="24"/>
              </w:rPr>
            </w:pPr>
            <w:r w:rsidRPr="00CA77D9">
              <w:rPr>
                <w:sz w:val="24"/>
                <w:szCs w:val="24"/>
              </w:rPr>
              <w:tab/>
              <w:t>Atorvastatin 20 mg</w:t>
            </w:r>
          </w:p>
        </w:tc>
        <w:tc>
          <w:tcPr>
            <w:tcW w:w="336" w:type="pct"/>
            <w:tcBorders>
              <w:top w:val="nil"/>
              <w:left w:val="nil"/>
              <w:bottom w:val="nil"/>
              <w:right w:val="nil"/>
            </w:tcBorders>
          </w:tcPr>
          <w:p w:rsidR="00176E9B" w:rsidRPr="00CA77D9" w:rsidRDefault="00176E9B" w:rsidP="00272594">
            <w:pPr>
              <w:rPr>
                <w:sz w:val="24"/>
                <w:szCs w:val="24"/>
              </w:rPr>
            </w:pPr>
            <w:r w:rsidRPr="00CA77D9">
              <w:rPr>
                <w:sz w:val="24"/>
                <w:szCs w:val="24"/>
              </w:rPr>
              <w:t>480</w:t>
            </w:r>
          </w:p>
        </w:tc>
        <w:tc>
          <w:tcPr>
            <w:tcW w:w="528" w:type="pct"/>
            <w:tcBorders>
              <w:top w:val="nil"/>
              <w:left w:val="nil"/>
              <w:bottom w:val="nil"/>
              <w:right w:val="nil"/>
            </w:tcBorders>
          </w:tcPr>
          <w:p w:rsidR="00176E9B" w:rsidRPr="00CA77D9" w:rsidRDefault="00176E9B" w:rsidP="00272594">
            <w:pPr>
              <w:rPr>
                <w:sz w:val="24"/>
                <w:szCs w:val="24"/>
              </w:rPr>
            </w:pPr>
            <w:r w:rsidRPr="00CA77D9">
              <w:rPr>
                <w:sz w:val="24"/>
                <w:szCs w:val="24"/>
              </w:rPr>
              <w:t>-6,4</w:t>
            </w:r>
            <w:r w:rsidRPr="00CA77D9">
              <w:rPr>
                <w:sz w:val="24"/>
                <w:szCs w:val="24"/>
                <w:vertAlign w:val="superscript"/>
              </w:rPr>
              <w:t>§</w:t>
            </w:r>
          </w:p>
        </w:tc>
        <w:tc>
          <w:tcPr>
            <w:tcW w:w="480" w:type="pct"/>
            <w:tcBorders>
              <w:top w:val="nil"/>
              <w:left w:val="nil"/>
              <w:bottom w:val="nil"/>
              <w:right w:val="nil"/>
            </w:tcBorders>
          </w:tcPr>
          <w:p w:rsidR="00176E9B" w:rsidRPr="00CA77D9" w:rsidRDefault="00176E9B" w:rsidP="00272594">
            <w:pPr>
              <w:rPr>
                <w:sz w:val="24"/>
                <w:szCs w:val="24"/>
              </w:rPr>
            </w:pPr>
            <w:r w:rsidRPr="00CA77D9">
              <w:rPr>
                <w:sz w:val="24"/>
                <w:szCs w:val="24"/>
              </w:rPr>
              <w:t>-9,5</w:t>
            </w:r>
            <w:r w:rsidRPr="00CA77D9">
              <w:rPr>
                <w:sz w:val="24"/>
                <w:szCs w:val="24"/>
                <w:vertAlign w:val="superscript"/>
              </w:rPr>
              <w:t>§</w:t>
            </w:r>
          </w:p>
        </w:tc>
        <w:tc>
          <w:tcPr>
            <w:tcW w:w="461" w:type="pct"/>
            <w:tcBorders>
              <w:top w:val="nil"/>
              <w:left w:val="nil"/>
              <w:bottom w:val="nil"/>
              <w:right w:val="nil"/>
            </w:tcBorders>
          </w:tcPr>
          <w:p w:rsidR="00176E9B" w:rsidRPr="00CA77D9" w:rsidRDefault="00176E9B" w:rsidP="00272594">
            <w:pPr>
              <w:rPr>
                <w:sz w:val="24"/>
                <w:szCs w:val="24"/>
              </w:rPr>
            </w:pPr>
            <w:r w:rsidRPr="00CA77D9">
              <w:rPr>
                <w:sz w:val="24"/>
                <w:szCs w:val="24"/>
              </w:rPr>
              <w:t>-6,0</w:t>
            </w:r>
            <w:r w:rsidRPr="00CA77D9">
              <w:rPr>
                <w:sz w:val="24"/>
                <w:szCs w:val="24"/>
                <w:vertAlign w:val="superscript"/>
              </w:rPr>
              <w:t>¶</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-3,9</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-1,1</w:t>
            </w:r>
          </w:p>
        </w:tc>
        <w:tc>
          <w:tcPr>
            <w:tcW w:w="784" w:type="pct"/>
            <w:tcBorders>
              <w:top w:val="nil"/>
              <w:left w:val="nil"/>
              <w:bottom w:val="nil"/>
              <w:right w:val="nil"/>
            </w:tcBorders>
          </w:tcPr>
          <w:p w:rsidR="00176E9B" w:rsidRPr="00CA77D9" w:rsidRDefault="00176E9B" w:rsidP="00272594">
            <w:pPr>
              <w:rPr>
                <w:sz w:val="24"/>
                <w:szCs w:val="24"/>
              </w:rPr>
            </w:pPr>
            <w:r w:rsidRPr="00CA77D9">
              <w:rPr>
                <w:sz w:val="24"/>
                <w:szCs w:val="24"/>
              </w:rPr>
              <w:t>-8,1</w:t>
            </w:r>
            <w:r w:rsidRPr="00CA77D9">
              <w:rPr>
                <w:sz w:val="24"/>
                <w:szCs w:val="24"/>
                <w:vertAlign w:val="superscript"/>
              </w:rPr>
              <w:t>§</w:t>
            </w:r>
          </w:p>
        </w:tc>
      </w:tr>
      <w:tr w:rsidR="00176E9B" w:rsidRPr="00CA77D9" w:rsidTr="00272594">
        <w:tc>
          <w:tcPr>
            <w:tcW w:w="1401" w:type="pct"/>
            <w:tcBorders>
              <w:top w:val="nil"/>
              <w:left w:val="nil"/>
              <w:bottom w:val="single" w:sz="12" w:space="0" w:color="auto"/>
              <w:right w:val="nil"/>
            </w:tcBorders>
          </w:tcPr>
          <w:p w:rsidR="00176E9B" w:rsidRPr="00CA77D9" w:rsidRDefault="00176E9B" w:rsidP="00272594">
            <w:pPr>
              <w:tabs>
                <w:tab w:val="left" w:pos="300"/>
              </w:tabs>
              <w:rPr>
                <w:sz w:val="24"/>
                <w:szCs w:val="24"/>
              </w:rPr>
            </w:pPr>
            <w:r w:rsidRPr="00CA77D9">
              <w:rPr>
                <w:sz w:val="24"/>
                <w:szCs w:val="24"/>
              </w:rPr>
              <w:tab/>
              <w:t>Rosuvastatin 10 mg</w:t>
            </w:r>
          </w:p>
        </w:tc>
        <w:tc>
          <w:tcPr>
            <w:tcW w:w="336"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939</w:t>
            </w:r>
          </w:p>
        </w:tc>
        <w:tc>
          <w:tcPr>
            <w:tcW w:w="528"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-7,7</w:t>
            </w:r>
            <w:r w:rsidRPr="00CA77D9">
              <w:rPr>
                <w:sz w:val="24"/>
                <w:szCs w:val="24"/>
                <w:vertAlign w:val="superscript"/>
              </w:rPr>
              <w:t>§</w:t>
            </w:r>
          </w:p>
        </w:tc>
        <w:tc>
          <w:tcPr>
            <w:tcW w:w="480"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-13,0</w:t>
            </w:r>
            <w:r w:rsidRPr="00CA77D9">
              <w:rPr>
                <w:sz w:val="24"/>
                <w:szCs w:val="24"/>
                <w:vertAlign w:val="superscript"/>
              </w:rPr>
              <w:t>§</w:t>
            </w:r>
          </w:p>
        </w:tc>
        <w:tc>
          <w:tcPr>
            <w:tcW w:w="461"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-6,9</w:t>
            </w:r>
            <w:r w:rsidRPr="00CA77D9">
              <w:rPr>
                <w:sz w:val="24"/>
                <w:szCs w:val="24"/>
                <w:vertAlign w:val="superscript"/>
              </w:rPr>
              <w:t>#</w:t>
            </w:r>
          </w:p>
        </w:tc>
        <w:tc>
          <w:tcPr>
            <w:tcW w:w="505"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-1,1</w:t>
            </w:r>
          </w:p>
        </w:tc>
        <w:tc>
          <w:tcPr>
            <w:tcW w:w="505"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+1,1</w:t>
            </w:r>
          </w:p>
        </w:tc>
        <w:tc>
          <w:tcPr>
            <w:tcW w:w="784"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-10,6</w:t>
            </w:r>
            <w:r w:rsidRPr="00CA77D9">
              <w:rPr>
                <w:sz w:val="24"/>
                <w:szCs w:val="24"/>
                <w:vertAlign w:val="superscript"/>
              </w:rPr>
              <w:t>§</w:t>
            </w:r>
          </w:p>
        </w:tc>
      </w:tr>
      <w:tr w:rsidR="00176E9B" w:rsidRPr="00CA77D9" w:rsidTr="00272594">
        <w:tc>
          <w:tcPr>
            <w:tcW w:w="1401" w:type="pct"/>
            <w:tcBorders>
              <w:top w:val="single" w:sz="12" w:space="0" w:color="auto"/>
              <w:left w:val="nil"/>
              <w:bottom w:val="nil"/>
              <w:right w:val="nil"/>
            </w:tcBorders>
          </w:tcPr>
          <w:p w:rsidR="00176E9B" w:rsidRPr="00CA77D9" w:rsidRDefault="00176E9B" w:rsidP="00BB46C3">
            <w:pPr>
              <w:keepNext/>
              <w:tabs>
                <w:tab w:val="left" w:pos="300"/>
              </w:tabs>
              <w:rPr>
                <w:b/>
                <w:sz w:val="24"/>
                <w:szCs w:val="24"/>
              </w:rPr>
            </w:pPr>
            <w:r w:rsidRPr="00CA77D9">
              <w:rPr>
                <w:b/>
                <w:sz w:val="24"/>
                <w:szCs w:val="24"/>
              </w:rPr>
              <w:t>Fase II</w:t>
            </w:r>
          </w:p>
          <w:p w:rsidR="00176E9B" w:rsidRPr="00CA77D9" w:rsidRDefault="00176E9B" w:rsidP="00BB46C3">
            <w:pPr>
              <w:keepNext/>
              <w:tabs>
                <w:tab w:val="left" w:pos="300"/>
              </w:tabs>
              <w:rPr>
                <w:sz w:val="24"/>
                <w:szCs w:val="24"/>
              </w:rPr>
            </w:pPr>
            <w:r w:rsidRPr="00CA77D9">
              <w:rPr>
                <w:sz w:val="24"/>
                <w:szCs w:val="24"/>
              </w:rPr>
              <w:t>Skift fra atorvastatin 20 mg</w:t>
            </w:r>
          </w:p>
        </w:tc>
        <w:tc>
          <w:tcPr>
            <w:tcW w:w="336" w:type="pct"/>
            <w:tcBorders>
              <w:top w:val="single" w:sz="12" w:space="0" w:color="auto"/>
              <w:left w:val="nil"/>
              <w:bottom w:val="nil"/>
              <w:right w:val="nil"/>
            </w:tcBorders>
          </w:tcPr>
          <w:p w:rsidR="00176E9B" w:rsidRPr="00CA77D9" w:rsidRDefault="00176E9B" w:rsidP="00BB46C3">
            <w:pPr>
              <w:keepNext/>
              <w:rPr>
                <w:sz w:val="24"/>
                <w:szCs w:val="24"/>
              </w:rPr>
            </w:pPr>
          </w:p>
        </w:tc>
        <w:tc>
          <w:tcPr>
            <w:tcW w:w="528" w:type="pct"/>
            <w:tcBorders>
              <w:top w:val="single" w:sz="12" w:space="0" w:color="auto"/>
              <w:left w:val="nil"/>
              <w:bottom w:val="nil"/>
              <w:right w:val="nil"/>
            </w:tcBorders>
          </w:tcPr>
          <w:p w:rsidR="00176E9B" w:rsidRPr="00CA77D9" w:rsidRDefault="00176E9B" w:rsidP="00BB46C3">
            <w:pPr>
              <w:keepNext/>
              <w:rPr>
                <w:sz w:val="24"/>
                <w:szCs w:val="24"/>
              </w:rPr>
            </w:pPr>
          </w:p>
        </w:tc>
        <w:tc>
          <w:tcPr>
            <w:tcW w:w="480" w:type="pct"/>
            <w:tcBorders>
              <w:top w:val="single" w:sz="12" w:space="0" w:color="auto"/>
              <w:left w:val="nil"/>
              <w:bottom w:val="nil"/>
              <w:right w:val="nil"/>
            </w:tcBorders>
          </w:tcPr>
          <w:p w:rsidR="00176E9B" w:rsidRPr="00CA77D9" w:rsidRDefault="00176E9B" w:rsidP="00BB46C3">
            <w:pPr>
              <w:keepNext/>
              <w:rPr>
                <w:sz w:val="24"/>
                <w:szCs w:val="24"/>
              </w:rPr>
            </w:pPr>
          </w:p>
        </w:tc>
        <w:tc>
          <w:tcPr>
            <w:tcW w:w="461" w:type="pct"/>
            <w:tcBorders>
              <w:top w:val="single" w:sz="12" w:space="0" w:color="auto"/>
              <w:left w:val="nil"/>
              <w:bottom w:val="nil"/>
              <w:right w:val="nil"/>
            </w:tcBorders>
          </w:tcPr>
          <w:p w:rsidR="00176E9B" w:rsidRPr="00CA77D9" w:rsidRDefault="00176E9B" w:rsidP="00BB46C3">
            <w:pPr>
              <w:keepNext/>
              <w:rPr>
                <w:sz w:val="24"/>
                <w:szCs w:val="24"/>
              </w:rPr>
            </w:pPr>
          </w:p>
        </w:tc>
        <w:tc>
          <w:tcPr>
            <w:tcW w:w="505" w:type="pct"/>
            <w:tcBorders>
              <w:top w:val="single" w:sz="12" w:space="0" w:color="auto"/>
              <w:left w:val="nil"/>
              <w:bottom w:val="nil"/>
              <w:right w:val="nil"/>
            </w:tcBorders>
          </w:tcPr>
          <w:p w:rsidR="00176E9B" w:rsidRPr="00CA77D9" w:rsidRDefault="00176E9B" w:rsidP="00BB46C3">
            <w:pPr>
              <w:keepNext/>
              <w:rPr>
                <w:sz w:val="24"/>
                <w:szCs w:val="24"/>
              </w:rPr>
            </w:pPr>
          </w:p>
        </w:tc>
        <w:tc>
          <w:tcPr>
            <w:tcW w:w="505" w:type="pct"/>
            <w:tcBorders>
              <w:top w:val="single" w:sz="12" w:space="0" w:color="auto"/>
              <w:left w:val="nil"/>
              <w:bottom w:val="nil"/>
              <w:right w:val="nil"/>
            </w:tcBorders>
          </w:tcPr>
          <w:p w:rsidR="00176E9B" w:rsidRPr="00CA77D9" w:rsidRDefault="00176E9B" w:rsidP="00BB46C3">
            <w:pPr>
              <w:keepNext/>
              <w:rPr>
                <w:sz w:val="24"/>
                <w:szCs w:val="24"/>
              </w:rPr>
            </w:pPr>
          </w:p>
        </w:tc>
        <w:tc>
          <w:tcPr>
            <w:tcW w:w="784" w:type="pct"/>
            <w:tcBorders>
              <w:top w:val="single" w:sz="12" w:space="0" w:color="auto"/>
              <w:left w:val="nil"/>
              <w:bottom w:val="nil"/>
              <w:right w:val="nil"/>
            </w:tcBorders>
          </w:tcPr>
          <w:p w:rsidR="00176E9B" w:rsidRPr="00CA77D9" w:rsidRDefault="00176E9B" w:rsidP="00BB46C3">
            <w:pPr>
              <w:keepNext/>
              <w:rPr>
                <w:sz w:val="24"/>
                <w:szCs w:val="24"/>
              </w:rPr>
            </w:pPr>
          </w:p>
        </w:tc>
      </w:tr>
      <w:tr w:rsidR="00176E9B" w:rsidRPr="00CA77D9" w:rsidTr="00272594">
        <w:tc>
          <w:tcPr>
            <w:tcW w:w="1401" w:type="pct"/>
            <w:tcBorders>
              <w:top w:val="nil"/>
              <w:left w:val="nil"/>
              <w:bottom w:val="nil"/>
              <w:right w:val="nil"/>
            </w:tcBorders>
          </w:tcPr>
          <w:p w:rsidR="00176E9B" w:rsidRPr="00CA77D9" w:rsidRDefault="00176E9B" w:rsidP="00BB46C3">
            <w:pPr>
              <w:keepNext/>
              <w:tabs>
                <w:tab w:val="left" w:pos="300"/>
              </w:tabs>
              <w:rPr>
                <w:sz w:val="24"/>
                <w:szCs w:val="24"/>
              </w:rPr>
            </w:pPr>
            <w:r w:rsidRPr="00CA77D9">
              <w:rPr>
                <w:sz w:val="24"/>
                <w:szCs w:val="24"/>
              </w:rPr>
              <w:tab/>
              <w:t>Atozet 10/20</w:t>
            </w:r>
          </w:p>
        </w:tc>
        <w:tc>
          <w:tcPr>
            <w:tcW w:w="336" w:type="pct"/>
            <w:tcBorders>
              <w:top w:val="nil"/>
              <w:left w:val="nil"/>
              <w:bottom w:val="nil"/>
              <w:right w:val="nil"/>
            </w:tcBorders>
          </w:tcPr>
          <w:p w:rsidR="00176E9B" w:rsidRPr="00CA77D9" w:rsidRDefault="00176E9B" w:rsidP="00BB46C3">
            <w:pPr>
              <w:keepNext/>
              <w:rPr>
                <w:sz w:val="24"/>
                <w:szCs w:val="24"/>
              </w:rPr>
            </w:pPr>
            <w:r w:rsidRPr="00CA77D9">
              <w:rPr>
                <w:sz w:val="24"/>
                <w:szCs w:val="24"/>
              </w:rPr>
              <w:t>124</w:t>
            </w:r>
          </w:p>
        </w:tc>
        <w:tc>
          <w:tcPr>
            <w:tcW w:w="528" w:type="pct"/>
            <w:tcBorders>
              <w:top w:val="nil"/>
              <w:left w:val="nil"/>
              <w:bottom w:val="nil"/>
              <w:right w:val="nil"/>
            </w:tcBorders>
          </w:tcPr>
          <w:p w:rsidR="00176E9B" w:rsidRPr="00CA77D9" w:rsidRDefault="00176E9B" w:rsidP="00BB46C3">
            <w:pPr>
              <w:keepNext/>
              <w:rPr>
                <w:sz w:val="24"/>
                <w:szCs w:val="24"/>
              </w:rPr>
            </w:pPr>
            <w:r w:rsidRPr="00CA77D9">
              <w:rPr>
                <w:sz w:val="24"/>
                <w:szCs w:val="24"/>
              </w:rPr>
              <w:t>-10,7</w:t>
            </w:r>
          </w:p>
        </w:tc>
        <w:tc>
          <w:tcPr>
            <w:tcW w:w="480" w:type="pct"/>
            <w:tcBorders>
              <w:top w:val="nil"/>
              <w:left w:val="nil"/>
              <w:bottom w:val="nil"/>
              <w:right w:val="nil"/>
            </w:tcBorders>
          </w:tcPr>
          <w:p w:rsidR="00176E9B" w:rsidRPr="00CA77D9" w:rsidRDefault="00176E9B" w:rsidP="00BB46C3">
            <w:pPr>
              <w:keepNext/>
              <w:rPr>
                <w:sz w:val="24"/>
                <w:szCs w:val="24"/>
              </w:rPr>
            </w:pPr>
            <w:r w:rsidRPr="00CA77D9">
              <w:rPr>
                <w:sz w:val="24"/>
                <w:szCs w:val="24"/>
              </w:rPr>
              <w:t>-17,4</w:t>
            </w:r>
          </w:p>
        </w:tc>
        <w:tc>
          <w:tcPr>
            <w:tcW w:w="461" w:type="pct"/>
            <w:tcBorders>
              <w:top w:val="nil"/>
              <w:left w:val="nil"/>
              <w:bottom w:val="nil"/>
              <w:right w:val="nil"/>
            </w:tcBorders>
          </w:tcPr>
          <w:p w:rsidR="00176E9B" w:rsidRPr="00CA77D9" w:rsidRDefault="00176E9B" w:rsidP="00BB46C3">
            <w:pPr>
              <w:keepNext/>
              <w:rPr>
                <w:sz w:val="24"/>
                <w:szCs w:val="24"/>
              </w:rPr>
            </w:pPr>
            <w:r w:rsidRPr="00CA77D9">
              <w:rPr>
                <w:sz w:val="24"/>
                <w:szCs w:val="24"/>
              </w:rPr>
              <w:t>-9,8</w:t>
            </w:r>
          </w:p>
        </w:tc>
        <w:tc>
          <w:tcPr>
            <w:tcW w:w="505" w:type="pct"/>
            <w:tcBorders>
              <w:top w:val="nil"/>
              <w:left w:val="nil"/>
              <w:bottom w:val="nil"/>
              <w:right w:val="nil"/>
            </w:tcBorders>
          </w:tcPr>
          <w:p w:rsidR="00176E9B" w:rsidRPr="00CA77D9" w:rsidRDefault="00176E9B" w:rsidP="00BB46C3">
            <w:pPr>
              <w:keepNext/>
              <w:rPr>
                <w:sz w:val="24"/>
                <w:szCs w:val="24"/>
              </w:rPr>
            </w:pPr>
            <w:r w:rsidRPr="00CA77D9">
              <w:rPr>
                <w:sz w:val="24"/>
                <w:szCs w:val="24"/>
              </w:rPr>
              <w:t>-5,9</w:t>
            </w:r>
          </w:p>
        </w:tc>
        <w:tc>
          <w:tcPr>
            <w:tcW w:w="505" w:type="pct"/>
            <w:tcBorders>
              <w:top w:val="nil"/>
              <w:left w:val="nil"/>
              <w:bottom w:val="nil"/>
              <w:right w:val="nil"/>
            </w:tcBorders>
          </w:tcPr>
          <w:p w:rsidR="00176E9B" w:rsidRPr="00CA77D9" w:rsidRDefault="00176E9B" w:rsidP="00BB46C3">
            <w:pPr>
              <w:keepNext/>
              <w:rPr>
                <w:sz w:val="24"/>
                <w:szCs w:val="24"/>
              </w:rPr>
            </w:pPr>
            <w:r w:rsidRPr="00CA77D9">
              <w:rPr>
                <w:sz w:val="24"/>
                <w:szCs w:val="24"/>
              </w:rPr>
              <w:t>+0,7</w:t>
            </w:r>
          </w:p>
        </w:tc>
        <w:tc>
          <w:tcPr>
            <w:tcW w:w="784" w:type="pct"/>
            <w:tcBorders>
              <w:top w:val="nil"/>
              <w:left w:val="nil"/>
              <w:bottom w:val="nil"/>
              <w:right w:val="nil"/>
            </w:tcBorders>
          </w:tcPr>
          <w:p w:rsidR="00176E9B" w:rsidRPr="00CA77D9" w:rsidRDefault="00176E9B" w:rsidP="00BB46C3">
            <w:pPr>
              <w:keepNext/>
              <w:rPr>
                <w:sz w:val="24"/>
                <w:szCs w:val="24"/>
              </w:rPr>
            </w:pPr>
            <w:r w:rsidRPr="00CA77D9">
              <w:rPr>
                <w:sz w:val="24"/>
                <w:szCs w:val="24"/>
              </w:rPr>
              <w:t>-15,1</w:t>
            </w:r>
          </w:p>
        </w:tc>
      </w:tr>
      <w:tr w:rsidR="00176E9B" w:rsidRPr="00CA77D9" w:rsidTr="00272594">
        <w:tc>
          <w:tcPr>
            <w:tcW w:w="1401" w:type="pct"/>
            <w:tcBorders>
              <w:top w:val="nil"/>
              <w:left w:val="nil"/>
              <w:bottom w:val="single" w:sz="6" w:space="0" w:color="auto"/>
              <w:right w:val="nil"/>
            </w:tcBorders>
          </w:tcPr>
          <w:p w:rsidR="00176E9B" w:rsidRPr="00CA77D9" w:rsidRDefault="00176E9B" w:rsidP="00272594">
            <w:pPr>
              <w:tabs>
                <w:tab w:val="left" w:pos="300"/>
              </w:tabs>
              <w:rPr>
                <w:sz w:val="24"/>
                <w:szCs w:val="24"/>
              </w:rPr>
            </w:pPr>
            <w:r w:rsidRPr="00CA77D9">
              <w:rPr>
                <w:sz w:val="24"/>
                <w:szCs w:val="24"/>
              </w:rPr>
              <w:tab/>
              <w:t>Atorvastatin 40 mg</w:t>
            </w:r>
          </w:p>
        </w:tc>
        <w:tc>
          <w:tcPr>
            <w:tcW w:w="336"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124</w:t>
            </w:r>
          </w:p>
        </w:tc>
        <w:tc>
          <w:tcPr>
            <w:tcW w:w="528"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-3,8</w:t>
            </w:r>
            <w:r w:rsidRPr="00CA77D9">
              <w:rPr>
                <w:sz w:val="24"/>
                <w:szCs w:val="24"/>
                <w:vertAlign w:val="superscript"/>
              </w:rPr>
              <w:t xml:space="preserve"> Þ</w:t>
            </w:r>
          </w:p>
        </w:tc>
        <w:tc>
          <w:tcPr>
            <w:tcW w:w="480"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-6,9</w:t>
            </w:r>
            <w:r w:rsidRPr="00CA77D9">
              <w:rPr>
                <w:sz w:val="24"/>
                <w:szCs w:val="24"/>
                <w:vertAlign w:val="superscript"/>
              </w:rPr>
              <w:t xml:space="preserve"> Þ</w:t>
            </w:r>
          </w:p>
        </w:tc>
        <w:tc>
          <w:tcPr>
            <w:tcW w:w="461"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-5,4</w:t>
            </w:r>
          </w:p>
        </w:tc>
        <w:tc>
          <w:tcPr>
            <w:tcW w:w="505"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-3,1</w:t>
            </w:r>
          </w:p>
        </w:tc>
        <w:tc>
          <w:tcPr>
            <w:tcW w:w="505"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+1,7</w:t>
            </w:r>
          </w:p>
        </w:tc>
        <w:tc>
          <w:tcPr>
            <w:tcW w:w="784" w:type="pct"/>
            <w:tcBorders>
              <w:top w:val="nil"/>
              <w:left w:val="nil"/>
              <w:bottom w:val="single" w:sz="6" w:space="0" w:color="auto"/>
              <w:right w:val="nil"/>
            </w:tcBorders>
          </w:tcPr>
          <w:p w:rsidR="00176E9B" w:rsidRPr="00CA77D9" w:rsidRDefault="00176E9B" w:rsidP="00272594">
            <w:pPr>
              <w:rPr>
                <w:sz w:val="24"/>
                <w:szCs w:val="24"/>
              </w:rPr>
            </w:pPr>
            <w:r w:rsidRPr="00CA77D9">
              <w:rPr>
                <w:sz w:val="24"/>
                <w:szCs w:val="24"/>
              </w:rPr>
              <w:t>-5,8</w:t>
            </w:r>
            <w:r w:rsidRPr="00CA77D9">
              <w:rPr>
                <w:sz w:val="24"/>
                <w:szCs w:val="24"/>
                <w:vertAlign w:val="superscript"/>
              </w:rPr>
              <w:t>Þ</w:t>
            </w:r>
          </w:p>
        </w:tc>
      </w:tr>
      <w:tr w:rsidR="00176E9B" w:rsidRPr="00CA77D9" w:rsidTr="00272594">
        <w:tc>
          <w:tcPr>
            <w:tcW w:w="1401" w:type="pct"/>
            <w:tcBorders>
              <w:top w:val="single" w:sz="6" w:space="0" w:color="auto"/>
              <w:left w:val="nil"/>
              <w:bottom w:val="nil"/>
              <w:right w:val="nil"/>
            </w:tcBorders>
          </w:tcPr>
          <w:p w:rsidR="00176E9B" w:rsidRPr="00CA77D9" w:rsidRDefault="00176E9B" w:rsidP="00272594">
            <w:pPr>
              <w:tabs>
                <w:tab w:val="left" w:pos="300"/>
              </w:tabs>
              <w:rPr>
                <w:sz w:val="24"/>
                <w:szCs w:val="24"/>
              </w:rPr>
            </w:pPr>
            <w:r w:rsidRPr="00CA77D9">
              <w:rPr>
                <w:sz w:val="24"/>
                <w:szCs w:val="24"/>
              </w:rPr>
              <w:t>Skift fra rosuvastatin 10 mg</w:t>
            </w:r>
          </w:p>
        </w:tc>
        <w:tc>
          <w:tcPr>
            <w:tcW w:w="336" w:type="pct"/>
            <w:tcBorders>
              <w:top w:val="single" w:sz="6" w:space="0" w:color="auto"/>
              <w:left w:val="nil"/>
              <w:bottom w:val="nil"/>
              <w:right w:val="nil"/>
            </w:tcBorders>
          </w:tcPr>
          <w:p w:rsidR="00176E9B" w:rsidRPr="00CA77D9" w:rsidRDefault="00176E9B" w:rsidP="00272594">
            <w:pPr>
              <w:rPr>
                <w:sz w:val="24"/>
                <w:szCs w:val="24"/>
              </w:rPr>
            </w:pPr>
          </w:p>
        </w:tc>
        <w:tc>
          <w:tcPr>
            <w:tcW w:w="528" w:type="pct"/>
            <w:tcBorders>
              <w:top w:val="single" w:sz="6" w:space="0" w:color="auto"/>
              <w:left w:val="nil"/>
              <w:bottom w:val="nil"/>
              <w:right w:val="nil"/>
            </w:tcBorders>
          </w:tcPr>
          <w:p w:rsidR="00176E9B" w:rsidRPr="00CA77D9" w:rsidRDefault="00176E9B" w:rsidP="00272594">
            <w:pPr>
              <w:rPr>
                <w:sz w:val="24"/>
                <w:szCs w:val="24"/>
              </w:rPr>
            </w:pPr>
          </w:p>
        </w:tc>
        <w:tc>
          <w:tcPr>
            <w:tcW w:w="480" w:type="pct"/>
            <w:tcBorders>
              <w:top w:val="single" w:sz="6" w:space="0" w:color="auto"/>
              <w:left w:val="nil"/>
              <w:bottom w:val="nil"/>
              <w:right w:val="nil"/>
            </w:tcBorders>
          </w:tcPr>
          <w:p w:rsidR="00176E9B" w:rsidRPr="00CA77D9" w:rsidRDefault="00176E9B" w:rsidP="00272594">
            <w:pPr>
              <w:rPr>
                <w:sz w:val="24"/>
                <w:szCs w:val="24"/>
              </w:rPr>
            </w:pPr>
          </w:p>
        </w:tc>
        <w:tc>
          <w:tcPr>
            <w:tcW w:w="461" w:type="pct"/>
            <w:tcBorders>
              <w:top w:val="single" w:sz="6" w:space="0" w:color="auto"/>
              <w:left w:val="nil"/>
              <w:bottom w:val="nil"/>
              <w:right w:val="nil"/>
            </w:tcBorders>
          </w:tcPr>
          <w:p w:rsidR="00176E9B" w:rsidRPr="00CA77D9" w:rsidRDefault="00176E9B" w:rsidP="00272594">
            <w:pPr>
              <w:rPr>
                <w:sz w:val="24"/>
                <w:szCs w:val="24"/>
              </w:rPr>
            </w:pPr>
          </w:p>
        </w:tc>
        <w:tc>
          <w:tcPr>
            <w:tcW w:w="505" w:type="pct"/>
            <w:tcBorders>
              <w:top w:val="single" w:sz="6" w:space="0" w:color="auto"/>
              <w:left w:val="nil"/>
              <w:bottom w:val="nil"/>
              <w:right w:val="nil"/>
            </w:tcBorders>
          </w:tcPr>
          <w:p w:rsidR="00176E9B" w:rsidRPr="00CA77D9" w:rsidRDefault="00176E9B" w:rsidP="00272594">
            <w:pPr>
              <w:rPr>
                <w:sz w:val="24"/>
                <w:szCs w:val="24"/>
              </w:rPr>
            </w:pPr>
          </w:p>
        </w:tc>
        <w:tc>
          <w:tcPr>
            <w:tcW w:w="505" w:type="pct"/>
            <w:tcBorders>
              <w:top w:val="single" w:sz="6" w:space="0" w:color="auto"/>
              <w:left w:val="nil"/>
              <w:bottom w:val="nil"/>
              <w:right w:val="nil"/>
            </w:tcBorders>
          </w:tcPr>
          <w:p w:rsidR="00176E9B" w:rsidRPr="00CA77D9" w:rsidRDefault="00176E9B" w:rsidP="00272594">
            <w:pPr>
              <w:rPr>
                <w:sz w:val="24"/>
                <w:szCs w:val="24"/>
              </w:rPr>
            </w:pPr>
          </w:p>
        </w:tc>
        <w:tc>
          <w:tcPr>
            <w:tcW w:w="784" w:type="pct"/>
            <w:tcBorders>
              <w:top w:val="single" w:sz="6" w:space="0" w:color="auto"/>
              <w:left w:val="nil"/>
              <w:bottom w:val="nil"/>
              <w:right w:val="nil"/>
            </w:tcBorders>
          </w:tcPr>
          <w:p w:rsidR="00176E9B" w:rsidRPr="00CA77D9" w:rsidRDefault="00176E9B" w:rsidP="00272594">
            <w:pPr>
              <w:rPr>
                <w:sz w:val="24"/>
                <w:szCs w:val="24"/>
              </w:rPr>
            </w:pPr>
          </w:p>
        </w:tc>
      </w:tr>
      <w:tr w:rsidR="00176E9B" w:rsidRPr="00CA77D9" w:rsidTr="00272594">
        <w:tc>
          <w:tcPr>
            <w:tcW w:w="1401" w:type="pct"/>
            <w:tcBorders>
              <w:top w:val="nil"/>
              <w:left w:val="nil"/>
              <w:bottom w:val="nil"/>
              <w:right w:val="nil"/>
            </w:tcBorders>
          </w:tcPr>
          <w:p w:rsidR="00176E9B" w:rsidRPr="00CA77D9" w:rsidRDefault="00176E9B" w:rsidP="00272594">
            <w:pPr>
              <w:tabs>
                <w:tab w:val="left" w:pos="300"/>
              </w:tabs>
              <w:rPr>
                <w:sz w:val="24"/>
                <w:szCs w:val="24"/>
              </w:rPr>
            </w:pPr>
            <w:r w:rsidRPr="00CA77D9">
              <w:rPr>
                <w:sz w:val="24"/>
                <w:szCs w:val="24"/>
              </w:rPr>
              <w:tab/>
              <w:t>Atozet 10/20</w:t>
            </w:r>
          </w:p>
        </w:tc>
        <w:tc>
          <w:tcPr>
            <w:tcW w:w="336" w:type="pct"/>
            <w:tcBorders>
              <w:top w:val="nil"/>
              <w:left w:val="nil"/>
              <w:bottom w:val="nil"/>
              <w:right w:val="nil"/>
            </w:tcBorders>
          </w:tcPr>
          <w:p w:rsidR="00176E9B" w:rsidRPr="00CA77D9" w:rsidRDefault="00176E9B" w:rsidP="00272594">
            <w:pPr>
              <w:rPr>
                <w:sz w:val="24"/>
                <w:szCs w:val="24"/>
              </w:rPr>
            </w:pPr>
            <w:r w:rsidRPr="00CA77D9">
              <w:rPr>
                <w:sz w:val="24"/>
                <w:szCs w:val="24"/>
              </w:rPr>
              <w:t>231</w:t>
            </w:r>
          </w:p>
        </w:tc>
        <w:tc>
          <w:tcPr>
            <w:tcW w:w="528" w:type="pct"/>
            <w:tcBorders>
              <w:top w:val="nil"/>
              <w:left w:val="nil"/>
              <w:bottom w:val="nil"/>
              <w:right w:val="nil"/>
            </w:tcBorders>
          </w:tcPr>
          <w:p w:rsidR="00176E9B" w:rsidRPr="00CA77D9" w:rsidRDefault="00176E9B" w:rsidP="00272594">
            <w:pPr>
              <w:rPr>
                <w:sz w:val="24"/>
                <w:szCs w:val="24"/>
              </w:rPr>
            </w:pPr>
            <w:r w:rsidRPr="00CA77D9">
              <w:rPr>
                <w:sz w:val="24"/>
                <w:szCs w:val="24"/>
              </w:rPr>
              <w:t>-11,8</w:t>
            </w:r>
          </w:p>
        </w:tc>
        <w:tc>
          <w:tcPr>
            <w:tcW w:w="480" w:type="pct"/>
            <w:tcBorders>
              <w:top w:val="nil"/>
              <w:left w:val="nil"/>
              <w:bottom w:val="nil"/>
              <w:right w:val="nil"/>
            </w:tcBorders>
          </w:tcPr>
          <w:p w:rsidR="00176E9B" w:rsidRPr="00CA77D9" w:rsidRDefault="00176E9B" w:rsidP="00272594">
            <w:pPr>
              <w:rPr>
                <w:sz w:val="24"/>
                <w:szCs w:val="24"/>
              </w:rPr>
            </w:pPr>
            <w:r w:rsidRPr="00CA77D9">
              <w:rPr>
                <w:sz w:val="24"/>
                <w:szCs w:val="24"/>
              </w:rPr>
              <w:t>-17,1</w:t>
            </w:r>
          </w:p>
        </w:tc>
        <w:tc>
          <w:tcPr>
            <w:tcW w:w="461" w:type="pct"/>
            <w:tcBorders>
              <w:top w:val="nil"/>
              <w:left w:val="nil"/>
              <w:bottom w:val="nil"/>
              <w:right w:val="nil"/>
            </w:tcBorders>
          </w:tcPr>
          <w:p w:rsidR="00176E9B" w:rsidRPr="00CA77D9" w:rsidRDefault="00176E9B" w:rsidP="00272594">
            <w:pPr>
              <w:rPr>
                <w:sz w:val="24"/>
                <w:szCs w:val="24"/>
              </w:rPr>
            </w:pPr>
            <w:r w:rsidRPr="00CA77D9">
              <w:rPr>
                <w:sz w:val="24"/>
                <w:szCs w:val="24"/>
              </w:rPr>
              <w:t>-11,9</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-10,2</w:t>
            </w:r>
          </w:p>
        </w:tc>
        <w:tc>
          <w:tcPr>
            <w:tcW w:w="505" w:type="pct"/>
            <w:tcBorders>
              <w:top w:val="nil"/>
              <w:left w:val="nil"/>
              <w:bottom w:val="nil"/>
              <w:right w:val="nil"/>
            </w:tcBorders>
          </w:tcPr>
          <w:p w:rsidR="00176E9B" w:rsidRPr="00CA77D9" w:rsidRDefault="00176E9B" w:rsidP="00272594">
            <w:pPr>
              <w:rPr>
                <w:sz w:val="24"/>
                <w:szCs w:val="24"/>
              </w:rPr>
            </w:pPr>
            <w:r w:rsidRPr="00CA77D9">
              <w:rPr>
                <w:sz w:val="24"/>
                <w:szCs w:val="24"/>
              </w:rPr>
              <w:t>+0,1</w:t>
            </w:r>
          </w:p>
        </w:tc>
        <w:tc>
          <w:tcPr>
            <w:tcW w:w="784" w:type="pct"/>
            <w:tcBorders>
              <w:top w:val="nil"/>
              <w:left w:val="nil"/>
              <w:bottom w:val="nil"/>
              <w:right w:val="nil"/>
            </w:tcBorders>
          </w:tcPr>
          <w:p w:rsidR="00176E9B" w:rsidRPr="00CA77D9" w:rsidRDefault="00176E9B" w:rsidP="00272594">
            <w:pPr>
              <w:rPr>
                <w:sz w:val="24"/>
                <w:szCs w:val="24"/>
              </w:rPr>
            </w:pPr>
            <w:r w:rsidRPr="00CA77D9">
              <w:rPr>
                <w:sz w:val="24"/>
                <w:szCs w:val="24"/>
              </w:rPr>
              <w:t>-16,2</w:t>
            </w:r>
          </w:p>
        </w:tc>
      </w:tr>
      <w:tr w:rsidR="00176E9B" w:rsidRPr="00CA77D9" w:rsidTr="00272594">
        <w:tc>
          <w:tcPr>
            <w:tcW w:w="1401" w:type="pct"/>
            <w:tcBorders>
              <w:top w:val="nil"/>
              <w:left w:val="nil"/>
              <w:bottom w:val="single" w:sz="12" w:space="0" w:color="auto"/>
              <w:right w:val="nil"/>
            </w:tcBorders>
          </w:tcPr>
          <w:p w:rsidR="00176E9B" w:rsidRPr="00CA77D9" w:rsidRDefault="00176E9B" w:rsidP="00272594">
            <w:pPr>
              <w:tabs>
                <w:tab w:val="left" w:pos="300"/>
              </w:tabs>
              <w:rPr>
                <w:sz w:val="24"/>
                <w:szCs w:val="24"/>
              </w:rPr>
            </w:pPr>
            <w:r w:rsidRPr="00CA77D9">
              <w:rPr>
                <w:sz w:val="24"/>
                <w:szCs w:val="24"/>
              </w:rPr>
              <w:tab/>
              <w:t>Rosuvastatin 20 mg</w:t>
            </w:r>
          </w:p>
        </w:tc>
        <w:tc>
          <w:tcPr>
            <w:tcW w:w="336"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205</w:t>
            </w:r>
          </w:p>
        </w:tc>
        <w:tc>
          <w:tcPr>
            <w:tcW w:w="528"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-4,5</w:t>
            </w:r>
            <w:r w:rsidRPr="00CA77D9">
              <w:rPr>
                <w:sz w:val="24"/>
                <w:szCs w:val="24"/>
                <w:vertAlign w:val="superscript"/>
              </w:rPr>
              <w:t>Þ</w:t>
            </w:r>
          </w:p>
        </w:tc>
        <w:tc>
          <w:tcPr>
            <w:tcW w:w="480"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-7,5</w:t>
            </w:r>
            <w:r w:rsidRPr="00CA77D9">
              <w:rPr>
                <w:sz w:val="24"/>
                <w:szCs w:val="24"/>
                <w:vertAlign w:val="superscript"/>
              </w:rPr>
              <w:t xml:space="preserve"> Þ</w:t>
            </w:r>
          </w:p>
        </w:tc>
        <w:tc>
          <w:tcPr>
            <w:tcW w:w="461"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-4,1</w:t>
            </w:r>
            <w:r w:rsidRPr="00CA77D9">
              <w:rPr>
                <w:sz w:val="24"/>
                <w:szCs w:val="24"/>
                <w:vertAlign w:val="superscript"/>
              </w:rPr>
              <w:t>Þ</w:t>
            </w:r>
          </w:p>
        </w:tc>
        <w:tc>
          <w:tcPr>
            <w:tcW w:w="505"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-3,2</w:t>
            </w:r>
            <w:r w:rsidRPr="00CA77D9">
              <w:rPr>
                <w:sz w:val="24"/>
                <w:szCs w:val="24"/>
                <w:vertAlign w:val="superscript"/>
              </w:rPr>
              <w:t>ß</w:t>
            </w:r>
          </w:p>
        </w:tc>
        <w:tc>
          <w:tcPr>
            <w:tcW w:w="505"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+0,8</w:t>
            </w:r>
          </w:p>
        </w:tc>
        <w:tc>
          <w:tcPr>
            <w:tcW w:w="784" w:type="pct"/>
            <w:tcBorders>
              <w:top w:val="nil"/>
              <w:left w:val="nil"/>
              <w:bottom w:val="single" w:sz="12" w:space="0" w:color="auto"/>
              <w:right w:val="nil"/>
            </w:tcBorders>
          </w:tcPr>
          <w:p w:rsidR="00176E9B" w:rsidRPr="00CA77D9" w:rsidRDefault="00176E9B" w:rsidP="00272594">
            <w:pPr>
              <w:rPr>
                <w:sz w:val="24"/>
                <w:szCs w:val="24"/>
              </w:rPr>
            </w:pPr>
            <w:r w:rsidRPr="00CA77D9">
              <w:rPr>
                <w:sz w:val="24"/>
                <w:szCs w:val="24"/>
              </w:rPr>
              <w:t>-6,4</w:t>
            </w:r>
            <w:r w:rsidRPr="00CA77D9">
              <w:rPr>
                <w:sz w:val="24"/>
                <w:szCs w:val="24"/>
                <w:vertAlign w:val="superscript"/>
              </w:rPr>
              <w:t>Þ</w:t>
            </w:r>
          </w:p>
        </w:tc>
      </w:tr>
    </w:tbl>
    <w:p w:rsidR="00176E9B" w:rsidRPr="00B07995" w:rsidRDefault="00176E9B" w:rsidP="00176E9B"/>
    <w:p w:rsidR="00176E9B" w:rsidRPr="00D71A03" w:rsidRDefault="00176E9B" w:rsidP="00D71A03">
      <w:pPr>
        <w:pStyle w:val="Body"/>
        <w:tabs>
          <w:tab w:val="left" w:pos="426"/>
        </w:tabs>
        <w:ind w:firstLine="0"/>
        <w:rPr>
          <w:rFonts w:ascii="Times New Roman" w:hAnsi="Times New Roman"/>
          <w:lang w:val="da-DK"/>
        </w:rPr>
      </w:pPr>
      <w:r w:rsidRPr="00D71A03">
        <w:rPr>
          <w:rFonts w:ascii="Times New Roman" w:hAnsi="Times New Roman"/>
          <w:lang w:val="da-DK"/>
        </w:rPr>
        <w:t xml:space="preserve">* </w:t>
      </w:r>
      <w:r w:rsidRPr="00D71A03">
        <w:rPr>
          <w:rFonts w:ascii="Times New Roman" w:hAnsi="Times New Roman"/>
          <w:lang w:val="da-DK"/>
        </w:rPr>
        <w:tab/>
        <w:t>Samtidig administration af ezetimib og atorvastatin svarende til Atozet 10/10 eller Atozet 10/20</w:t>
      </w:r>
    </w:p>
    <w:p w:rsidR="00176E9B" w:rsidRPr="00D71A03" w:rsidRDefault="00176E9B" w:rsidP="00D71A03">
      <w:pPr>
        <w:tabs>
          <w:tab w:val="left" w:pos="426"/>
        </w:tabs>
        <w:autoSpaceDE w:val="0"/>
        <w:autoSpaceDN w:val="0"/>
        <w:adjustRightInd w:val="0"/>
        <w:rPr>
          <w:sz w:val="20"/>
        </w:rPr>
      </w:pPr>
      <w:r w:rsidRPr="00D71A03">
        <w:rPr>
          <w:sz w:val="20"/>
          <w:vertAlign w:val="superscript"/>
        </w:rPr>
        <w:t>†</w:t>
      </w:r>
      <w:r w:rsidRPr="00D71A03">
        <w:rPr>
          <w:color w:val="000000"/>
          <w:sz w:val="20"/>
        </w:rPr>
        <w:t xml:space="preserve"> </w:t>
      </w:r>
      <w:r w:rsidRPr="00D71A03">
        <w:rPr>
          <w:color w:val="000000"/>
          <w:sz w:val="20"/>
        </w:rPr>
        <w:tab/>
        <w:t>M-estimater (baseret på Huber-metoden; 95% konfidensinterval og p-værdi indhentet fra tilpasning af en robust regressionsmodel med termer for behandling og baseline)</w:t>
      </w:r>
    </w:p>
    <w:p w:rsidR="00176E9B" w:rsidRPr="00D71A03" w:rsidRDefault="00176E9B" w:rsidP="00D71A03">
      <w:pPr>
        <w:tabs>
          <w:tab w:val="left" w:pos="426"/>
        </w:tabs>
        <w:autoSpaceDE w:val="0"/>
        <w:autoSpaceDN w:val="0"/>
        <w:rPr>
          <w:sz w:val="20"/>
        </w:rPr>
      </w:pPr>
      <w:r w:rsidRPr="00D71A03">
        <w:rPr>
          <w:sz w:val="20"/>
          <w:vertAlign w:val="superscript"/>
        </w:rPr>
        <w:t>‡</w:t>
      </w:r>
      <w:r w:rsidRPr="00D71A03">
        <w:rPr>
          <w:sz w:val="20"/>
        </w:rPr>
        <w:t xml:space="preserve"> </w:t>
      </w:r>
      <w:r w:rsidRPr="00D71A03">
        <w:rPr>
          <w:sz w:val="20"/>
        </w:rPr>
        <w:tab/>
        <w:t xml:space="preserve">Geometrisk middelværdi for procentvis ændring i forhold til </w:t>
      </w:r>
      <w:r w:rsidRPr="00D71A03">
        <w:rPr>
          <w:i/>
          <w:sz w:val="20"/>
        </w:rPr>
        <w:t>baseline</w:t>
      </w:r>
      <w:r w:rsidRPr="00D71A03">
        <w:rPr>
          <w:sz w:val="20"/>
        </w:rPr>
        <w:t xml:space="preserve"> i TG blev beregnet på basis af tilbagetransformation via eksponentiation af de modelbaserede middelværdier ved mindste kvadraters metode (LS) og udtrykt som (geometrisk middelværdi – 1) ganget med 100</w:t>
      </w:r>
    </w:p>
    <w:p w:rsidR="00176E9B" w:rsidRPr="00D71A03" w:rsidRDefault="00176E9B" w:rsidP="00D71A03">
      <w:pPr>
        <w:tabs>
          <w:tab w:val="left" w:pos="426"/>
        </w:tabs>
        <w:autoSpaceDE w:val="0"/>
        <w:autoSpaceDN w:val="0"/>
        <w:rPr>
          <w:sz w:val="20"/>
          <w:lang w:val="de-DE"/>
        </w:rPr>
      </w:pPr>
      <w:r w:rsidRPr="00D71A03">
        <w:rPr>
          <w:sz w:val="20"/>
          <w:vertAlign w:val="superscript"/>
          <w:lang w:val="de-DE"/>
        </w:rPr>
        <w:t>§</w:t>
      </w:r>
      <w:r w:rsidRPr="00D71A03">
        <w:rPr>
          <w:sz w:val="20"/>
          <w:lang w:val="de-DE"/>
        </w:rPr>
        <w:t xml:space="preserve"> </w:t>
      </w:r>
      <w:r w:rsidRPr="00D71A03">
        <w:rPr>
          <w:sz w:val="20"/>
          <w:lang w:val="de-DE"/>
        </w:rPr>
        <w:tab/>
        <w:t xml:space="preserve">p&lt;0,001 </w:t>
      </w:r>
      <w:r w:rsidRPr="00D71A03">
        <w:rPr>
          <w:i/>
          <w:sz w:val="20"/>
          <w:lang w:val="de-DE"/>
        </w:rPr>
        <w:t>versus</w:t>
      </w:r>
      <w:r w:rsidRPr="00D71A03">
        <w:rPr>
          <w:sz w:val="20"/>
          <w:lang w:val="de-DE"/>
        </w:rPr>
        <w:t xml:space="preserve"> Atozet 10/10</w:t>
      </w:r>
    </w:p>
    <w:p w:rsidR="00176E9B" w:rsidRPr="00D71A03" w:rsidRDefault="00176E9B" w:rsidP="00D71A03">
      <w:pPr>
        <w:tabs>
          <w:tab w:val="left" w:pos="426"/>
        </w:tabs>
        <w:autoSpaceDE w:val="0"/>
        <w:autoSpaceDN w:val="0"/>
        <w:rPr>
          <w:sz w:val="20"/>
          <w:lang w:val="de-DE"/>
        </w:rPr>
      </w:pPr>
      <w:r w:rsidRPr="00D71A03">
        <w:rPr>
          <w:sz w:val="20"/>
          <w:vertAlign w:val="superscript"/>
          <w:lang w:val="de-DE"/>
        </w:rPr>
        <w:t>¶</w:t>
      </w:r>
      <w:r w:rsidRPr="00D71A03">
        <w:rPr>
          <w:sz w:val="20"/>
          <w:lang w:val="de-DE"/>
        </w:rPr>
        <w:t xml:space="preserve"> </w:t>
      </w:r>
      <w:r w:rsidRPr="00D71A03">
        <w:rPr>
          <w:sz w:val="20"/>
          <w:lang w:val="de-DE"/>
        </w:rPr>
        <w:tab/>
        <w:t xml:space="preserve">p&lt;0,01 </w:t>
      </w:r>
      <w:r w:rsidRPr="00D71A03">
        <w:rPr>
          <w:i/>
          <w:sz w:val="20"/>
          <w:lang w:val="de-DE"/>
        </w:rPr>
        <w:t>versus</w:t>
      </w:r>
      <w:r w:rsidRPr="00D71A03">
        <w:rPr>
          <w:sz w:val="20"/>
          <w:lang w:val="de-DE"/>
        </w:rPr>
        <w:t xml:space="preserve"> Atozet 10/10</w:t>
      </w:r>
    </w:p>
    <w:p w:rsidR="00176E9B" w:rsidRPr="00D71A03" w:rsidRDefault="00176E9B" w:rsidP="00D71A03">
      <w:pPr>
        <w:tabs>
          <w:tab w:val="left" w:pos="426"/>
        </w:tabs>
        <w:autoSpaceDE w:val="0"/>
        <w:autoSpaceDN w:val="0"/>
        <w:rPr>
          <w:sz w:val="20"/>
          <w:lang w:val="de-DE"/>
        </w:rPr>
      </w:pPr>
      <w:r w:rsidRPr="00D71A03">
        <w:rPr>
          <w:sz w:val="20"/>
          <w:vertAlign w:val="superscript"/>
          <w:lang w:val="de-DE"/>
        </w:rPr>
        <w:t>#</w:t>
      </w:r>
      <w:r w:rsidRPr="00D71A03">
        <w:rPr>
          <w:sz w:val="20"/>
          <w:lang w:val="de-DE"/>
        </w:rPr>
        <w:t xml:space="preserve"> </w:t>
      </w:r>
      <w:r w:rsidRPr="00D71A03">
        <w:rPr>
          <w:sz w:val="20"/>
          <w:lang w:val="de-DE"/>
        </w:rPr>
        <w:tab/>
        <w:t xml:space="preserve">p&lt;0,05 </w:t>
      </w:r>
      <w:r w:rsidRPr="00D71A03">
        <w:rPr>
          <w:i/>
          <w:sz w:val="20"/>
          <w:lang w:val="de-DE"/>
        </w:rPr>
        <w:t>versus</w:t>
      </w:r>
      <w:r w:rsidRPr="00D71A03">
        <w:rPr>
          <w:sz w:val="20"/>
          <w:lang w:val="de-DE"/>
        </w:rPr>
        <w:t xml:space="preserve"> Atozet 10/10</w:t>
      </w:r>
    </w:p>
    <w:p w:rsidR="00176E9B" w:rsidRPr="00D71A03" w:rsidRDefault="00176E9B" w:rsidP="00D71A03">
      <w:pPr>
        <w:tabs>
          <w:tab w:val="left" w:pos="426"/>
        </w:tabs>
        <w:autoSpaceDE w:val="0"/>
        <w:autoSpaceDN w:val="0"/>
        <w:rPr>
          <w:sz w:val="20"/>
          <w:lang w:val="de-DE"/>
        </w:rPr>
      </w:pPr>
      <w:r w:rsidRPr="00D71A03">
        <w:rPr>
          <w:sz w:val="20"/>
          <w:vertAlign w:val="superscript"/>
          <w:lang w:val="de-DE"/>
        </w:rPr>
        <w:t>Þ</w:t>
      </w:r>
      <w:r w:rsidRPr="00D71A03">
        <w:rPr>
          <w:sz w:val="20"/>
          <w:lang w:val="de-DE"/>
        </w:rPr>
        <w:t xml:space="preserve"> </w:t>
      </w:r>
      <w:r w:rsidRPr="00D71A03">
        <w:rPr>
          <w:sz w:val="20"/>
          <w:lang w:val="de-DE"/>
        </w:rPr>
        <w:tab/>
        <w:t xml:space="preserve">p&lt;0,001 </w:t>
      </w:r>
      <w:r w:rsidRPr="00D71A03">
        <w:rPr>
          <w:i/>
          <w:sz w:val="20"/>
          <w:lang w:val="de-DE"/>
        </w:rPr>
        <w:t>versus</w:t>
      </w:r>
      <w:r w:rsidRPr="00D71A03">
        <w:rPr>
          <w:sz w:val="20"/>
          <w:lang w:val="de-DE"/>
        </w:rPr>
        <w:t xml:space="preserve"> Atozet 10/20</w:t>
      </w:r>
    </w:p>
    <w:p w:rsidR="00176E9B" w:rsidRPr="00D71A03" w:rsidRDefault="00176E9B" w:rsidP="00D71A03">
      <w:pPr>
        <w:tabs>
          <w:tab w:val="left" w:pos="426"/>
        </w:tabs>
        <w:autoSpaceDE w:val="0"/>
        <w:autoSpaceDN w:val="0"/>
        <w:rPr>
          <w:sz w:val="20"/>
        </w:rPr>
      </w:pPr>
      <w:r w:rsidRPr="00D71A03">
        <w:rPr>
          <w:sz w:val="20"/>
          <w:vertAlign w:val="superscript"/>
        </w:rPr>
        <w:t>ß</w:t>
      </w:r>
      <w:r w:rsidRPr="00D71A03">
        <w:rPr>
          <w:sz w:val="20"/>
        </w:rPr>
        <w:t xml:space="preserve"> </w:t>
      </w:r>
      <w:r w:rsidRPr="00D71A03">
        <w:rPr>
          <w:sz w:val="20"/>
        </w:rPr>
        <w:tab/>
        <w:t xml:space="preserve">p&lt;0,05 </w:t>
      </w:r>
      <w:r w:rsidRPr="00D71A03">
        <w:rPr>
          <w:i/>
          <w:sz w:val="20"/>
        </w:rPr>
        <w:t>versus</w:t>
      </w:r>
      <w:r w:rsidRPr="00D71A03">
        <w:rPr>
          <w:sz w:val="20"/>
        </w:rPr>
        <w:t xml:space="preserve"> Atozet 10/20</w:t>
      </w:r>
    </w:p>
    <w:p w:rsidR="00176E9B" w:rsidRPr="0061309E" w:rsidRDefault="00176E9B" w:rsidP="00176E9B"/>
    <w:p w:rsidR="00176E9B" w:rsidRPr="00290967" w:rsidRDefault="00176E9B" w:rsidP="00176E9B">
      <w:pPr>
        <w:pStyle w:val="Body"/>
        <w:ind w:left="851" w:firstLine="0"/>
        <w:rPr>
          <w:rFonts w:ascii="Times New Roman" w:hAnsi="Times New Roman"/>
          <w:sz w:val="24"/>
          <w:szCs w:val="22"/>
          <w:lang w:val="da-DK"/>
        </w:rPr>
      </w:pPr>
      <w:r w:rsidRPr="00290967">
        <w:rPr>
          <w:rFonts w:ascii="Times New Roman" w:hAnsi="Times New Roman"/>
          <w:sz w:val="24"/>
          <w:szCs w:val="22"/>
          <w:lang w:val="da-DK"/>
        </w:rPr>
        <w:t>Tabel 5 indeholder ikke data, der sammenligner effekten af Atozet 10/10 eller 10/20 på doser, der er højere end atorvastatin 40 mg eller rosuvastatin 20 mg.</w:t>
      </w:r>
    </w:p>
    <w:p w:rsidR="00176E9B" w:rsidRPr="00B07995" w:rsidRDefault="00176E9B" w:rsidP="00176E9B">
      <w:pPr>
        <w:ind w:left="851" w:hanging="851"/>
        <w:rPr>
          <w:color w:val="000000"/>
          <w:sz w:val="24"/>
          <w:szCs w:val="24"/>
        </w:rPr>
      </w:pPr>
    </w:p>
    <w:p w:rsidR="00176E9B" w:rsidRPr="00B07995" w:rsidRDefault="00176E9B" w:rsidP="00176E9B">
      <w:pPr>
        <w:ind w:left="851"/>
        <w:rPr>
          <w:sz w:val="24"/>
          <w:szCs w:val="24"/>
        </w:rPr>
      </w:pPr>
      <w:r w:rsidRPr="00B07995">
        <w:rPr>
          <w:sz w:val="24"/>
          <w:szCs w:val="24"/>
        </w:rPr>
        <w:t>I et placebokontrolleret studie, MIRACL-studiet (Myocardial Ischaemia Reduction with Aggressive</w:t>
      </w:r>
      <w:r w:rsidRPr="00E65450">
        <w:rPr>
          <w:sz w:val="24"/>
          <w:szCs w:val="24"/>
        </w:rPr>
        <w:t xml:space="preserve"> </w:t>
      </w:r>
      <w:r w:rsidR="00E65450" w:rsidRPr="00BB657C">
        <w:rPr>
          <w:sz w:val="24"/>
          <w:szCs w:val="24"/>
        </w:rPr>
        <w:t>Cholesterol</w:t>
      </w:r>
      <w:r w:rsidR="00E65450" w:rsidRPr="00BB657C">
        <w:rPr>
          <w:sz w:val="24"/>
          <w:szCs w:val="24"/>
        </w:rPr>
        <w:noBreakHyphen/>
      </w:r>
      <w:r w:rsidR="00E65450" w:rsidRPr="00E65450">
        <w:rPr>
          <w:sz w:val="24"/>
          <w:szCs w:val="24"/>
        </w:rPr>
        <w:t>Lowering</w:t>
      </w:r>
      <w:r w:rsidRPr="00B07995">
        <w:rPr>
          <w:sz w:val="24"/>
          <w:szCs w:val="24"/>
        </w:rPr>
        <w:t>), blev patienter med akut koronarsyndrom (non-Q-tak myokardieinfarkt (MI) eller ustabil angina) randomiseret til at få atorvastatin 80 mg/dag (n=1.538) eller placebo (n=1.548). Behandlingen blev initieret i den akutte fase efter hospitalsindlæggelse og blev fortsat i 16 uger. Atorvastatin 80 mg/dag gav en reduktion på 16% (p=0,048) i risikoen for det kombinerede primære endepunkt: død uanset årsag, ikke-letalt MI, genoplivet efter hjertestop eller angina pectoris med tegn på myokardieiskæmi, der kræver hospitalsindlæggelse. Dette skyldes primært en reduktion på 26% i genindlæggelse for angina pectoris med tegn på myokardieiskæmi (p=0,018).</w:t>
      </w:r>
    </w:p>
    <w:p w:rsidR="00176E9B" w:rsidRPr="00B07995" w:rsidRDefault="00176E9B" w:rsidP="00176E9B">
      <w:pPr>
        <w:ind w:left="851" w:hanging="851"/>
        <w:rPr>
          <w:color w:val="000000"/>
          <w:sz w:val="24"/>
          <w:szCs w:val="24"/>
        </w:rPr>
      </w:pPr>
    </w:p>
    <w:p w:rsidR="00176E9B" w:rsidRPr="00B07995" w:rsidRDefault="00176E9B" w:rsidP="00176E9B">
      <w:pPr>
        <w:ind w:left="851"/>
        <w:rPr>
          <w:sz w:val="24"/>
          <w:szCs w:val="24"/>
        </w:rPr>
      </w:pPr>
      <w:r w:rsidRPr="00B07995">
        <w:rPr>
          <w:sz w:val="24"/>
          <w:szCs w:val="24"/>
        </w:rPr>
        <w:t>Atozet indeholder atorvastatin. I et placebokontrolleret studie, ASCOT-LLA-studiet (Anglo-Scandinavian Cardiac Outcomes</w:t>
      </w:r>
      <w:r w:rsidRPr="00E65450">
        <w:rPr>
          <w:sz w:val="24"/>
          <w:szCs w:val="24"/>
        </w:rPr>
        <w:t xml:space="preserve"> </w:t>
      </w:r>
      <w:r w:rsidR="00E65450" w:rsidRPr="00E65450">
        <w:rPr>
          <w:sz w:val="24"/>
          <w:szCs w:val="24"/>
        </w:rPr>
        <w:t xml:space="preserve">Trial </w:t>
      </w:r>
      <w:r w:rsidR="00E65450" w:rsidRPr="00BB657C">
        <w:rPr>
          <w:sz w:val="24"/>
          <w:szCs w:val="24"/>
        </w:rPr>
        <w:t>Lipid</w:t>
      </w:r>
      <w:r w:rsidR="00E65450" w:rsidRPr="00BB657C">
        <w:rPr>
          <w:sz w:val="24"/>
          <w:szCs w:val="24"/>
        </w:rPr>
        <w:noBreakHyphen/>
      </w:r>
      <w:r w:rsidR="00E65450" w:rsidRPr="00E65450">
        <w:rPr>
          <w:sz w:val="24"/>
          <w:szCs w:val="24"/>
        </w:rPr>
        <w:t>Lowering</w:t>
      </w:r>
      <w:r w:rsidRPr="00B07995">
        <w:rPr>
          <w:sz w:val="24"/>
          <w:szCs w:val="24"/>
        </w:rPr>
        <w:t xml:space="preserve"> Arm) blev virkningen af atorvastatin 10 mg på letal og ikke-letal koronar hjertesygdom vurderet hos 10.305 </w:t>
      </w:r>
      <w:r w:rsidRPr="00B07995">
        <w:rPr>
          <w:sz w:val="24"/>
          <w:szCs w:val="24"/>
        </w:rPr>
        <w:lastRenderedPageBreak/>
        <w:t xml:space="preserve">patienter med forhøjet blodtryk, i alderen 40-80 år, med totalkolesterolniveauer ≤6,5 mmol/l og med mindst tre kardiovaskulære risikofaktorer. Patienterne blev fulgt i en median varighed på 3,3 år. Atorvastatin 10 mg reducerede signifikant (p&lt;0,001) den relative risiko for: letal koronar hjertesygdom plus ikke-letalt MI med 36% (absolut risikoreduktion = 1,1%); totale kardiovaskulære hændelser og </w:t>
      </w:r>
      <w:r w:rsidRPr="00B07995">
        <w:rPr>
          <w:sz w:val="24"/>
          <w:szCs w:val="24"/>
          <w:lang w:eastAsia="da-DK"/>
        </w:rPr>
        <w:t>revaskulariseringsprocedurer</w:t>
      </w:r>
      <w:r w:rsidRPr="00B07995">
        <w:rPr>
          <w:sz w:val="24"/>
          <w:szCs w:val="24"/>
        </w:rPr>
        <w:t xml:space="preserve"> med 20% (absolut risikoreduktion = 1,9%) og totale koronare hændelser med 29% (absolut risikoreduktion = 1,4%).</w:t>
      </w:r>
    </w:p>
    <w:p w:rsidR="00176E9B" w:rsidRPr="00B07995" w:rsidRDefault="00176E9B" w:rsidP="00176E9B">
      <w:pPr>
        <w:ind w:left="851" w:hanging="851"/>
        <w:rPr>
          <w:color w:val="000000"/>
          <w:sz w:val="24"/>
          <w:szCs w:val="24"/>
        </w:rPr>
      </w:pPr>
    </w:p>
    <w:p w:rsidR="00176E9B" w:rsidRPr="00B07995" w:rsidRDefault="00176E9B" w:rsidP="00176E9B">
      <w:pPr>
        <w:ind w:left="851"/>
        <w:rPr>
          <w:sz w:val="24"/>
          <w:szCs w:val="24"/>
        </w:rPr>
      </w:pPr>
      <w:r w:rsidRPr="00B07995">
        <w:rPr>
          <w:sz w:val="24"/>
          <w:szCs w:val="24"/>
        </w:rPr>
        <w:t>I et placebokontrolleret studie, CARDS-studiet (Collaborative Atorvastatin Diabetes Study), blev virkningen af atorvastatin 10 mg på endepunktet kardiovaskulær sygdom vurderet hos 2.838 patienter, i alderen 40-75 år, med type 2-diabetes, en eller flere kardiovaskulære risikofaktorer, LDL ≤4,1 mmol/l og TG ≤6,8 mmol/l. Patienterne blev fulgt i 3,9 år (median varighed). Atorvastatin 10 mg reducerede signifikant (p&lt;0,05): raten af større kardiovaskulære hændelser med 37% (absolut risikoreduktion = 3,2%); risikoen for apopleksi med 48% (absolut risikoreduktion = 1,3%) og risikoen for myokardieinfarkt med 42% (absolut risikoreduktion = 1,9%).</w:t>
      </w:r>
    </w:p>
    <w:p w:rsidR="00176E9B" w:rsidRPr="00D8197B" w:rsidRDefault="00176E9B" w:rsidP="00176E9B">
      <w:pPr>
        <w:rPr>
          <w:b/>
          <w:sz w:val="24"/>
          <w:szCs w:val="24"/>
        </w:rPr>
      </w:pPr>
    </w:p>
    <w:p w:rsidR="00176E9B" w:rsidRPr="00D8197B" w:rsidRDefault="00176E9B" w:rsidP="00176E9B">
      <w:pPr>
        <w:ind w:left="851"/>
        <w:rPr>
          <w:b/>
          <w:i/>
          <w:color w:val="000000"/>
          <w:sz w:val="24"/>
          <w:szCs w:val="24"/>
        </w:rPr>
      </w:pPr>
      <w:r w:rsidRPr="00D8197B">
        <w:rPr>
          <w:b/>
          <w:bCs/>
          <w:i/>
          <w:color w:val="000000"/>
          <w:sz w:val="24"/>
          <w:szCs w:val="24"/>
        </w:rPr>
        <w:t>Forebyggelse af kardiovaskulære hændelser</w:t>
      </w:r>
    </w:p>
    <w:p w:rsidR="00176E9B" w:rsidRPr="00391FFE" w:rsidRDefault="00176E9B" w:rsidP="00176E9B">
      <w:pPr>
        <w:ind w:left="851"/>
        <w:rPr>
          <w:color w:val="000000"/>
          <w:sz w:val="24"/>
          <w:szCs w:val="24"/>
        </w:rPr>
      </w:pPr>
      <w:r w:rsidRPr="00391FFE">
        <w:rPr>
          <w:color w:val="000000"/>
          <w:sz w:val="24"/>
          <w:szCs w:val="24"/>
        </w:rPr>
        <w:t xml:space="preserve">I et </w:t>
      </w:r>
      <w:r w:rsidRPr="00375863">
        <w:rPr>
          <w:color w:val="000000"/>
          <w:sz w:val="24"/>
          <w:szCs w:val="24"/>
        </w:rPr>
        <w:t xml:space="preserve">randomiseret, dobbeltblindet, aktivt kontrolleret </w:t>
      </w:r>
      <w:r w:rsidRPr="00391FFE">
        <w:rPr>
          <w:color w:val="000000"/>
          <w:sz w:val="24"/>
          <w:szCs w:val="24"/>
        </w:rPr>
        <w:t>multicenterstudie med ezetimib/simvastatin blev 18.144</w:t>
      </w:r>
      <w:r w:rsidR="00E65450">
        <w:rPr>
          <w:color w:val="000000"/>
          <w:szCs w:val="22"/>
        </w:rPr>
        <w:t> </w:t>
      </w:r>
      <w:r w:rsidRPr="00375863">
        <w:rPr>
          <w:color w:val="000000"/>
          <w:sz w:val="24"/>
          <w:szCs w:val="24"/>
        </w:rPr>
        <w:t>patienter inkluderet inden for 10 dage efter hospitalsindlæggelse for akut koronarsyndrom (AKS; enten akut myokardieinfarkt [MI] eller ustabil angina [UA])</w:t>
      </w:r>
      <w:r w:rsidRPr="00391FFE">
        <w:rPr>
          <w:color w:val="000000"/>
          <w:sz w:val="24"/>
          <w:szCs w:val="24"/>
        </w:rPr>
        <w:t xml:space="preserve">. </w:t>
      </w:r>
      <w:r w:rsidRPr="00375863">
        <w:rPr>
          <w:color w:val="000000"/>
          <w:sz w:val="24"/>
          <w:szCs w:val="24"/>
        </w:rPr>
        <w:t>Alle patienterne blev randomiseret i forholdet 1:1 til at få enten ezetimib/simvastatin 10/40 mg</w:t>
      </w:r>
      <w:r w:rsidRPr="00E65450">
        <w:rPr>
          <w:color w:val="000000"/>
          <w:sz w:val="24"/>
          <w:szCs w:val="24"/>
        </w:rPr>
        <w:t xml:space="preserve"> </w:t>
      </w:r>
      <w:r w:rsidR="00E65450" w:rsidRPr="00E65450">
        <w:rPr>
          <w:color w:val="000000"/>
          <w:sz w:val="24"/>
          <w:szCs w:val="24"/>
        </w:rPr>
        <w:t>(n = 9.067) eller simvastatin 40 mg (n = 9.077),</w:t>
      </w:r>
      <w:r w:rsidRPr="00375863">
        <w:rPr>
          <w:color w:val="000000"/>
          <w:sz w:val="24"/>
          <w:szCs w:val="24"/>
        </w:rPr>
        <w:t xml:space="preserve"> og de blev fulgt i en medianperiode på 6,0 år</w:t>
      </w:r>
      <w:r w:rsidRPr="00391FFE">
        <w:rPr>
          <w:color w:val="000000"/>
          <w:sz w:val="24"/>
          <w:szCs w:val="24"/>
        </w:rPr>
        <w:t xml:space="preserve">. </w:t>
      </w:r>
    </w:p>
    <w:p w:rsidR="00176E9B" w:rsidRPr="00E65450" w:rsidRDefault="00176E9B" w:rsidP="00E65450">
      <w:pPr>
        <w:ind w:left="851"/>
        <w:rPr>
          <w:color w:val="000000"/>
          <w:sz w:val="24"/>
          <w:szCs w:val="24"/>
        </w:rPr>
      </w:pPr>
    </w:p>
    <w:p w:rsidR="00E65450" w:rsidRPr="00E65450" w:rsidRDefault="00E65450" w:rsidP="00E65450">
      <w:pPr>
        <w:ind w:left="851"/>
        <w:rPr>
          <w:iCs/>
          <w:color w:val="000000"/>
          <w:sz w:val="24"/>
          <w:szCs w:val="24"/>
        </w:rPr>
      </w:pPr>
      <w:r w:rsidRPr="00E65450">
        <w:rPr>
          <w:color w:val="000000"/>
          <w:sz w:val="24"/>
          <w:szCs w:val="24"/>
        </w:rPr>
        <w:t xml:space="preserve">Patienterne havde en gennemsnitsalder på 63,6 år; 76% var mænd, 84% var kaukasere og 27% var diabetikere. Den gennemsnitlige LDL-C-værdi på tidspunktet for hændelsen, der kvalificerede patienterne til studiet, var 80 mg/dl (2,1 mmol/l) for de patienter, der fik lipidsænkende behandling (n = 6.390) og 101 mg/dl (2,6 mmol/l) for de patienter, der ikke tidligere havde fået lipidsænkende behandling (n = 11.594). Forud for hospitalsindlæggelse for den kvalificerende AKS-hændelse var 34% af patienterne i statinbehandling. Efter et år var det gennemsnitlige LDL-C for patienter, som fortsat var i behandling, 53,2 mg/dl (1,4 mmol/l) for gruppen med ezetimib/simvastatin og 69,9 mg/dl (1,8 mmol/l) for gruppen med simvastatin-monoterapi. </w:t>
      </w:r>
    </w:p>
    <w:p w:rsidR="00E65450" w:rsidRPr="00E65450" w:rsidRDefault="00E65450" w:rsidP="00E65450">
      <w:pPr>
        <w:ind w:left="851"/>
        <w:rPr>
          <w:color w:val="000000"/>
          <w:sz w:val="24"/>
          <w:szCs w:val="24"/>
        </w:rPr>
      </w:pPr>
    </w:p>
    <w:p w:rsidR="00E65450" w:rsidRPr="00E65450" w:rsidRDefault="00E65450" w:rsidP="00E65450">
      <w:pPr>
        <w:ind w:left="851"/>
        <w:rPr>
          <w:color w:val="000000"/>
          <w:sz w:val="24"/>
          <w:szCs w:val="24"/>
        </w:rPr>
      </w:pPr>
      <w:r w:rsidRPr="00E65450">
        <w:rPr>
          <w:color w:val="000000"/>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revaskulariseringsprocedurer, som fandt sted mindst 30 dage efter den randomiserede behandlingsallokering) og ikke-letal apopleksi. Studiet påviste, at behandling med ezetimib/simvastatin gav en inkrementel fordel med hensyn til at reducere det primære sammensatte endepunkt kardiovaskulær død, MCE og ikke-letal apopleksi sammenlignet med simvastatin som monoterapi (relativ risikoreduktion på 6,4%, p = 0,016). Det primære endepunkt forekom hos 2.572 ud af 9.067 patienter (7-års Kaplan-Meier [KM]-rate 32,72%) i gruppen med ezetimib/simvastatin og 2.742 ud af 9.077 patienter (7-års KM-rate 34,67%) i gruppen med simvastatin-monoterapi (se figur 1 og tabel 6). Denne inkrementelle fordel forventes at være tilsvarende ved samtidig administration af ezetimib og atorvastatin. Den samlede mortalitet var uændret i denne højrisikogruppe.</w:t>
      </w:r>
    </w:p>
    <w:p w:rsidR="00176E9B" w:rsidRPr="00290967" w:rsidRDefault="00176E9B" w:rsidP="00176E9B">
      <w:pPr>
        <w:ind w:left="851"/>
        <w:rPr>
          <w:color w:val="000000"/>
          <w:sz w:val="24"/>
          <w:szCs w:val="22"/>
        </w:rPr>
      </w:pPr>
    </w:p>
    <w:p w:rsidR="00176E9B" w:rsidRPr="00290967" w:rsidRDefault="00176E9B" w:rsidP="00176E9B">
      <w:pPr>
        <w:ind w:left="851"/>
        <w:rPr>
          <w:color w:val="000000"/>
          <w:sz w:val="24"/>
          <w:szCs w:val="22"/>
        </w:rPr>
      </w:pPr>
      <w:r w:rsidRPr="00290967">
        <w:rPr>
          <w:color w:val="000000"/>
          <w:sz w:val="24"/>
          <w:szCs w:val="22"/>
        </w:rPr>
        <w:t xml:space="preserve">Der var en generel fordel ved alle tilfælde af apopleksi. Der var dog en lille ikke-signifikant stigning i hæmoragisk apopleksi i gruppen med ezetimib/simvastatin </w:t>
      </w:r>
      <w:r w:rsidRPr="00290967">
        <w:rPr>
          <w:color w:val="000000"/>
          <w:sz w:val="24"/>
          <w:szCs w:val="22"/>
        </w:rPr>
        <w:lastRenderedPageBreak/>
        <w:t xml:space="preserve">sammenlignet med gruppen med simvastatin-monoterapi. Risikoen for hæmoragisk apopleksi, når ezetimib administreres sammen med højpotente statiner i langvarige </w:t>
      </w:r>
      <w:r w:rsidRPr="00290967">
        <w:rPr>
          <w:i/>
          <w:color w:val="000000"/>
          <w:sz w:val="24"/>
          <w:szCs w:val="22"/>
        </w:rPr>
        <w:t>outcome</w:t>
      </w:r>
      <w:r w:rsidRPr="00290967">
        <w:rPr>
          <w:color w:val="000000"/>
          <w:sz w:val="24"/>
          <w:szCs w:val="22"/>
        </w:rPr>
        <w:t xml:space="preserve">-studier, er ikke undersøgt. </w:t>
      </w:r>
    </w:p>
    <w:p w:rsidR="00176E9B" w:rsidRPr="00290967" w:rsidRDefault="00176E9B" w:rsidP="00176E9B">
      <w:pPr>
        <w:ind w:left="851"/>
        <w:rPr>
          <w:color w:val="000000"/>
          <w:sz w:val="24"/>
          <w:szCs w:val="22"/>
        </w:rPr>
      </w:pPr>
    </w:p>
    <w:p w:rsidR="00176E9B" w:rsidRPr="00375863" w:rsidRDefault="00176E9B" w:rsidP="00176E9B">
      <w:pPr>
        <w:ind w:left="851"/>
        <w:rPr>
          <w:color w:val="000000"/>
          <w:sz w:val="24"/>
          <w:szCs w:val="24"/>
        </w:rPr>
      </w:pPr>
      <w:r w:rsidRPr="00290967">
        <w:rPr>
          <w:color w:val="000000"/>
          <w:sz w:val="24"/>
          <w:szCs w:val="22"/>
        </w:rPr>
        <w:t xml:space="preserve">Behandlingseffekten af ezetimib/simvastatin var generelt overensstemmende med de samlede resultater på tværs af mange undergrupper, inklusive køn, alder, race, diabetes mellitus i anamnesen, lipidniveauer ved </w:t>
      </w:r>
      <w:r w:rsidRPr="00290967">
        <w:rPr>
          <w:i/>
          <w:color w:val="000000"/>
          <w:sz w:val="24"/>
          <w:szCs w:val="22"/>
        </w:rPr>
        <w:t>baseline</w:t>
      </w:r>
      <w:r w:rsidRPr="00290967">
        <w:rPr>
          <w:color w:val="000000"/>
          <w:sz w:val="24"/>
          <w:szCs w:val="22"/>
        </w:rPr>
        <w:t>, tidligere statinbehandling, tidligere apopleksi og hypertension.</w:t>
      </w:r>
    </w:p>
    <w:p w:rsidR="00176E9B" w:rsidRPr="00391FFE" w:rsidRDefault="00176E9B" w:rsidP="00176E9B">
      <w:pPr>
        <w:keepNext/>
        <w:keepLines/>
        <w:spacing w:before="240" w:after="60"/>
        <w:jc w:val="center"/>
        <w:outlineLvl w:val="0"/>
        <w:rPr>
          <w:b/>
          <w:sz w:val="24"/>
          <w:szCs w:val="24"/>
        </w:rPr>
      </w:pPr>
      <w:r w:rsidRPr="00391FFE">
        <w:rPr>
          <w:b/>
          <w:kern w:val="28"/>
          <w:sz w:val="24"/>
          <w:szCs w:val="24"/>
        </w:rPr>
        <w:t xml:space="preserve">Figur 1: Effekt af ezetimib/simvastatin på det primære sammensatte endepunkt </w:t>
      </w:r>
      <w:r w:rsidRPr="00391FFE">
        <w:rPr>
          <w:b/>
          <w:kern w:val="28"/>
          <w:sz w:val="24"/>
          <w:szCs w:val="24"/>
        </w:rPr>
        <w:br/>
        <w:t xml:space="preserve">kardiovaskulær død, større koronar hændelse eller </w:t>
      </w:r>
      <w:r w:rsidRPr="00391FFE">
        <w:rPr>
          <w:b/>
          <w:sz w:val="24"/>
          <w:szCs w:val="24"/>
        </w:rPr>
        <w:t>ikke-letal apopleksi</w:t>
      </w:r>
    </w:p>
    <w:p w:rsidR="00176E9B" w:rsidRDefault="00176E9B" w:rsidP="00176E9B">
      <w:pPr>
        <w:keepNext/>
        <w:keepLines/>
        <w:spacing w:before="240" w:after="60"/>
        <w:jc w:val="center"/>
        <w:outlineLvl w:val="0"/>
        <w:rPr>
          <w:kern w:val="28"/>
          <w:szCs w:val="22"/>
        </w:rPr>
      </w:pPr>
      <w:r>
        <w:rPr>
          <w:noProof/>
          <w:kern w:val="28"/>
          <w:szCs w:val="22"/>
          <w:lang w:eastAsia="da-DK"/>
        </w:rPr>
        <w:drawing>
          <wp:inline distT="0" distB="0" distL="0" distR="0" wp14:anchorId="3415E4F9" wp14:editId="46FDF130">
            <wp:extent cx="4572000" cy="3429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176E9B" w:rsidRPr="00375863" w:rsidRDefault="00176E9B" w:rsidP="00176E9B">
      <w:pPr>
        <w:rPr>
          <w:noProof/>
          <w:sz w:val="24"/>
          <w:szCs w:val="24"/>
        </w:rPr>
      </w:pPr>
    </w:p>
    <w:p w:rsidR="00176E9B" w:rsidRPr="00290967" w:rsidRDefault="00176E9B" w:rsidP="00176E9B">
      <w:pPr>
        <w:pStyle w:val="Tablecentered"/>
        <w:rPr>
          <w:rFonts w:ascii="Times New Roman" w:hAnsi="Times New Roman"/>
          <w:b/>
          <w:bCs/>
          <w:color w:val="000000"/>
          <w:sz w:val="24"/>
          <w:szCs w:val="22"/>
          <w:lang w:val="da-DK"/>
        </w:rPr>
      </w:pPr>
      <w:r w:rsidRPr="00290967">
        <w:rPr>
          <w:rFonts w:ascii="Times New Roman" w:hAnsi="Times New Roman"/>
          <w:b/>
          <w:bCs/>
          <w:color w:val="000000"/>
          <w:sz w:val="24"/>
          <w:szCs w:val="22"/>
          <w:lang w:val="da-DK"/>
        </w:rPr>
        <w:t>Tabel 6</w:t>
      </w:r>
    </w:p>
    <w:p w:rsidR="00176E9B" w:rsidRPr="00290967" w:rsidRDefault="00176E9B" w:rsidP="00176E9B">
      <w:pPr>
        <w:pStyle w:val="Tablecentered"/>
        <w:rPr>
          <w:rFonts w:ascii="Times New Roman" w:hAnsi="Times New Roman"/>
          <w:b/>
          <w:bCs/>
          <w:color w:val="000000"/>
          <w:sz w:val="24"/>
          <w:szCs w:val="22"/>
          <w:lang w:val="da-DK"/>
        </w:rPr>
      </w:pPr>
      <w:r w:rsidRPr="00290967">
        <w:rPr>
          <w:rFonts w:ascii="Times New Roman" w:hAnsi="Times New Roman"/>
          <w:b/>
          <w:bCs/>
          <w:color w:val="000000"/>
          <w:sz w:val="24"/>
          <w:szCs w:val="22"/>
          <w:lang w:val="da-DK"/>
        </w:rPr>
        <w:t>Større kardiovaskulære hændelser pr. behandlingsgruppe hos alle randomiserede patienter i IMPROVE-IT</w:t>
      </w:r>
    </w:p>
    <w:p w:rsidR="00176E9B" w:rsidRPr="00391FFE" w:rsidRDefault="00176E9B" w:rsidP="00176E9B">
      <w:pPr>
        <w:pStyle w:val="ExtraSpace"/>
        <w:rPr>
          <w:rFonts w:ascii="Times New Roman" w:hAnsi="Times New Roman"/>
          <w:sz w:val="16"/>
          <w:szCs w:val="16"/>
          <w:lang w:val="da-DK"/>
        </w:rPr>
      </w:pPr>
    </w:p>
    <w:tbl>
      <w:tblPr>
        <w:tblW w:w="9278" w:type="dxa"/>
        <w:jc w:val="center"/>
        <w:tblLook w:val="04A0" w:firstRow="1" w:lastRow="0" w:firstColumn="1" w:lastColumn="0" w:noHBand="0" w:noVBand="1"/>
      </w:tblPr>
      <w:tblGrid>
        <w:gridCol w:w="3292"/>
        <w:gridCol w:w="885"/>
        <w:gridCol w:w="960"/>
        <w:gridCol w:w="860"/>
        <w:gridCol w:w="844"/>
        <w:gridCol w:w="1665"/>
        <w:gridCol w:w="772"/>
      </w:tblGrid>
      <w:tr w:rsidR="00176E9B" w:rsidTr="00272594">
        <w:trPr>
          <w:jc w:val="center"/>
        </w:trPr>
        <w:tc>
          <w:tcPr>
            <w:tcW w:w="3292" w:type="dxa"/>
            <w:tcBorders>
              <w:top w:val="single" w:sz="18" w:space="0" w:color="auto"/>
              <w:left w:val="nil"/>
              <w:bottom w:val="nil"/>
              <w:right w:val="nil"/>
            </w:tcBorders>
            <w:vAlign w:val="center"/>
            <w:hideMark/>
          </w:tcPr>
          <w:p w:rsidR="00176E9B" w:rsidRDefault="00176E9B" w:rsidP="00272594">
            <w:pPr>
              <w:spacing w:beforeLines="20" w:before="48" w:afterLines="20" w:after="48"/>
              <w:jc w:val="center"/>
              <w:rPr>
                <w:b/>
                <w:sz w:val="16"/>
                <w:szCs w:val="16"/>
              </w:rPr>
            </w:pPr>
            <w:r>
              <w:rPr>
                <w:b/>
                <w:bCs/>
                <w:sz w:val="16"/>
                <w:szCs w:val="16"/>
                <w:u w:val="single"/>
              </w:rPr>
              <w:t>Udfald</w:t>
            </w:r>
          </w:p>
        </w:tc>
        <w:tc>
          <w:tcPr>
            <w:tcW w:w="1845" w:type="dxa"/>
            <w:gridSpan w:val="2"/>
            <w:tcBorders>
              <w:top w:val="single" w:sz="18" w:space="0" w:color="auto"/>
              <w:left w:val="nil"/>
              <w:bottom w:val="nil"/>
              <w:right w:val="nil"/>
            </w:tcBorders>
            <w:hideMark/>
          </w:tcPr>
          <w:p w:rsidR="00176E9B" w:rsidRDefault="00176E9B" w:rsidP="00272594">
            <w:pPr>
              <w:pStyle w:val="Tablecentered"/>
              <w:spacing w:beforeLines="20" w:before="48" w:afterLines="20" w:after="48"/>
              <w:rPr>
                <w:rFonts w:ascii="Times New Roman" w:hAnsi="Times New Roman"/>
                <w:b/>
                <w:sz w:val="16"/>
                <w:szCs w:val="16"/>
              </w:rPr>
            </w:pPr>
            <w:r>
              <w:rPr>
                <w:rFonts w:ascii="Times New Roman" w:hAnsi="Times New Roman"/>
                <w:b/>
                <w:sz w:val="16"/>
                <w:szCs w:val="16"/>
              </w:rPr>
              <w:t>Ezetimib/simvastatin</w:t>
            </w:r>
            <w:r>
              <w:rPr>
                <w:rFonts w:ascii="Times New Roman" w:hAnsi="Times New Roman"/>
                <w:b/>
                <w:sz w:val="16"/>
                <w:szCs w:val="16"/>
              </w:rPr>
              <w:br/>
              <w:t>10/40 mg*</w:t>
            </w:r>
            <w:r>
              <w:rPr>
                <w:rFonts w:ascii="Times New Roman" w:hAnsi="Times New Roman"/>
                <w:b/>
                <w:sz w:val="16"/>
                <w:szCs w:val="16"/>
              </w:rPr>
              <w:br/>
              <w:t>(N=9.067)</w:t>
            </w:r>
          </w:p>
        </w:tc>
        <w:tc>
          <w:tcPr>
            <w:tcW w:w="1704" w:type="dxa"/>
            <w:gridSpan w:val="2"/>
            <w:tcBorders>
              <w:top w:val="single" w:sz="18" w:space="0" w:color="auto"/>
              <w:left w:val="nil"/>
              <w:bottom w:val="nil"/>
              <w:right w:val="nil"/>
            </w:tcBorders>
            <w:hideMark/>
          </w:tcPr>
          <w:p w:rsidR="00176E9B" w:rsidRDefault="00176E9B" w:rsidP="00272594">
            <w:pPr>
              <w:pStyle w:val="Tablecentered"/>
              <w:spacing w:beforeLines="20" w:before="48" w:afterLines="20" w:after="48"/>
              <w:rPr>
                <w:rFonts w:ascii="Times New Roman" w:hAnsi="Times New Roman"/>
                <w:b/>
                <w:sz w:val="16"/>
                <w:szCs w:val="16"/>
              </w:rPr>
            </w:pPr>
            <w:r>
              <w:rPr>
                <w:rFonts w:ascii="Times New Roman" w:hAnsi="Times New Roman"/>
                <w:b/>
                <w:sz w:val="16"/>
                <w:szCs w:val="16"/>
              </w:rPr>
              <w:t>Simvastatin</w:t>
            </w:r>
            <w:r>
              <w:rPr>
                <w:rFonts w:ascii="Times New Roman" w:hAnsi="Times New Roman"/>
                <w:b/>
                <w:sz w:val="16"/>
                <w:szCs w:val="16"/>
              </w:rPr>
              <w:br/>
              <w:t>40 mg</w:t>
            </w:r>
            <w:r>
              <w:rPr>
                <w:rFonts w:ascii="Times New Roman" w:hAnsi="Times New Roman"/>
                <w:b/>
                <w:sz w:val="16"/>
                <w:szCs w:val="16"/>
                <w:vertAlign w:val="superscript"/>
              </w:rPr>
              <w:t>†</w:t>
            </w:r>
            <w:r>
              <w:rPr>
                <w:rFonts w:ascii="Times New Roman" w:hAnsi="Times New Roman"/>
                <w:b/>
                <w:sz w:val="16"/>
                <w:szCs w:val="16"/>
              </w:rPr>
              <w:br/>
              <w:t>(N=9.077)</w:t>
            </w:r>
          </w:p>
        </w:tc>
        <w:tc>
          <w:tcPr>
            <w:tcW w:w="1665" w:type="dxa"/>
            <w:tcBorders>
              <w:top w:val="single" w:sz="18" w:space="0" w:color="auto"/>
              <w:left w:val="nil"/>
              <w:bottom w:val="nil"/>
              <w:right w:val="nil"/>
            </w:tcBorders>
            <w:hideMark/>
          </w:tcPr>
          <w:p w:rsidR="00176E9B" w:rsidRDefault="00176E9B" w:rsidP="00272594">
            <w:pPr>
              <w:spacing w:beforeLines="20" w:before="48" w:afterLines="20" w:after="48"/>
              <w:jc w:val="center"/>
              <w:rPr>
                <w:b/>
                <w:sz w:val="16"/>
                <w:szCs w:val="16"/>
              </w:rPr>
            </w:pPr>
            <w:r w:rsidRPr="00391FFE">
              <w:rPr>
                <w:b/>
                <w:i/>
                <w:sz w:val="16"/>
                <w:szCs w:val="16"/>
              </w:rPr>
              <w:t>Hazard Ratio</w:t>
            </w:r>
            <w:r>
              <w:rPr>
                <w:b/>
                <w:sz w:val="16"/>
                <w:szCs w:val="16"/>
              </w:rPr>
              <w:br/>
              <w:t>(95% CI)</w:t>
            </w:r>
          </w:p>
        </w:tc>
        <w:tc>
          <w:tcPr>
            <w:tcW w:w="772" w:type="dxa"/>
            <w:tcBorders>
              <w:top w:val="single" w:sz="18" w:space="0" w:color="auto"/>
              <w:left w:val="nil"/>
              <w:bottom w:val="nil"/>
              <w:right w:val="nil"/>
            </w:tcBorders>
            <w:hideMark/>
          </w:tcPr>
          <w:p w:rsidR="00176E9B" w:rsidRDefault="00176E9B" w:rsidP="00272594">
            <w:pPr>
              <w:spacing w:beforeLines="20" w:before="48" w:afterLines="20" w:after="48"/>
              <w:jc w:val="center"/>
              <w:rPr>
                <w:b/>
                <w:sz w:val="16"/>
                <w:szCs w:val="16"/>
              </w:rPr>
            </w:pPr>
            <w:r>
              <w:rPr>
                <w:b/>
                <w:sz w:val="16"/>
                <w:szCs w:val="16"/>
              </w:rPr>
              <w:t>p-værdi</w:t>
            </w:r>
          </w:p>
        </w:tc>
      </w:tr>
      <w:tr w:rsidR="00176E9B" w:rsidTr="00272594">
        <w:trPr>
          <w:jc w:val="center"/>
        </w:trPr>
        <w:tc>
          <w:tcPr>
            <w:tcW w:w="3292" w:type="dxa"/>
            <w:tcBorders>
              <w:top w:val="nil"/>
              <w:left w:val="nil"/>
              <w:bottom w:val="single" w:sz="18" w:space="0" w:color="auto"/>
              <w:right w:val="nil"/>
            </w:tcBorders>
          </w:tcPr>
          <w:p w:rsidR="00176E9B" w:rsidRDefault="00176E9B" w:rsidP="00272594">
            <w:pPr>
              <w:rPr>
                <w:sz w:val="16"/>
                <w:szCs w:val="16"/>
              </w:rPr>
            </w:pPr>
          </w:p>
        </w:tc>
        <w:tc>
          <w:tcPr>
            <w:tcW w:w="885" w:type="dxa"/>
            <w:tcBorders>
              <w:top w:val="nil"/>
              <w:left w:val="nil"/>
              <w:bottom w:val="single" w:sz="18" w:space="0" w:color="auto"/>
              <w:right w:val="nil"/>
            </w:tcBorders>
            <w:hideMark/>
          </w:tcPr>
          <w:p w:rsidR="00176E9B" w:rsidRDefault="00176E9B" w:rsidP="00272594">
            <w:pPr>
              <w:jc w:val="center"/>
              <w:rPr>
                <w:sz w:val="16"/>
                <w:szCs w:val="16"/>
              </w:rPr>
            </w:pPr>
            <w:r>
              <w:rPr>
                <w:sz w:val="16"/>
                <w:szCs w:val="16"/>
              </w:rPr>
              <w:t>n</w:t>
            </w:r>
          </w:p>
        </w:tc>
        <w:tc>
          <w:tcPr>
            <w:tcW w:w="960" w:type="dxa"/>
            <w:tcBorders>
              <w:top w:val="nil"/>
              <w:left w:val="nil"/>
              <w:bottom w:val="single" w:sz="18" w:space="0" w:color="auto"/>
              <w:right w:val="nil"/>
            </w:tcBorders>
            <w:hideMark/>
          </w:tcPr>
          <w:p w:rsidR="00176E9B" w:rsidRDefault="00176E9B" w:rsidP="00272594">
            <w:pPr>
              <w:jc w:val="center"/>
              <w:rPr>
                <w:sz w:val="16"/>
                <w:szCs w:val="16"/>
              </w:rPr>
            </w:pPr>
            <w:r>
              <w:rPr>
                <w:sz w:val="16"/>
                <w:szCs w:val="16"/>
              </w:rPr>
              <w:t>K-M %</w:t>
            </w:r>
            <w:r>
              <w:rPr>
                <w:sz w:val="16"/>
                <w:szCs w:val="16"/>
                <w:vertAlign w:val="superscript"/>
              </w:rPr>
              <w:t>‡</w:t>
            </w:r>
          </w:p>
        </w:tc>
        <w:tc>
          <w:tcPr>
            <w:tcW w:w="860" w:type="dxa"/>
            <w:tcBorders>
              <w:top w:val="nil"/>
              <w:left w:val="nil"/>
              <w:bottom w:val="single" w:sz="18" w:space="0" w:color="auto"/>
              <w:right w:val="nil"/>
            </w:tcBorders>
            <w:hideMark/>
          </w:tcPr>
          <w:p w:rsidR="00176E9B" w:rsidRDefault="00176E9B" w:rsidP="00272594">
            <w:pPr>
              <w:jc w:val="center"/>
              <w:rPr>
                <w:sz w:val="16"/>
                <w:szCs w:val="16"/>
              </w:rPr>
            </w:pPr>
            <w:r>
              <w:rPr>
                <w:sz w:val="16"/>
                <w:szCs w:val="16"/>
              </w:rPr>
              <w:t>n</w:t>
            </w:r>
          </w:p>
        </w:tc>
        <w:tc>
          <w:tcPr>
            <w:tcW w:w="844" w:type="dxa"/>
            <w:tcBorders>
              <w:top w:val="nil"/>
              <w:left w:val="nil"/>
              <w:bottom w:val="single" w:sz="18" w:space="0" w:color="auto"/>
              <w:right w:val="nil"/>
            </w:tcBorders>
            <w:hideMark/>
          </w:tcPr>
          <w:p w:rsidR="00176E9B" w:rsidRDefault="00176E9B" w:rsidP="00272594">
            <w:pPr>
              <w:jc w:val="center"/>
              <w:rPr>
                <w:sz w:val="16"/>
                <w:szCs w:val="16"/>
              </w:rPr>
            </w:pPr>
            <w:r>
              <w:rPr>
                <w:sz w:val="16"/>
                <w:szCs w:val="16"/>
              </w:rPr>
              <w:t>K-M %</w:t>
            </w:r>
            <w:r>
              <w:rPr>
                <w:sz w:val="16"/>
                <w:szCs w:val="16"/>
                <w:vertAlign w:val="superscript"/>
              </w:rPr>
              <w:t>‡</w:t>
            </w:r>
          </w:p>
        </w:tc>
        <w:tc>
          <w:tcPr>
            <w:tcW w:w="1665" w:type="dxa"/>
            <w:tcBorders>
              <w:top w:val="nil"/>
              <w:left w:val="nil"/>
              <w:bottom w:val="single" w:sz="18" w:space="0" w:color="auto"/>
              <w:right w:val="nil"/>
            </w:tcBorders>
          </w:tcPr>
          <w:p w:rsidR="00176E9B" w:rsidRDefault="00176E9B" w:rsidP="00272594">
            <w:pPr>
              <w:jc w:val="center"/>
              <w:rPr>
                <w:sz w:val="16"/>
                <w:szCs w:val="16"/>
              </w:rPr>
            </w:pPr>
          </w:p>
        </w:tc>
        <w:tc>
          <w:tcPr>
            <w:tcW w:w="772" w:type="dxa"/>
            <w:tcBorders>
              <w:top w:val="nil"/>
              <w:left w:val="nil"/>
              <w:bottom w:val="single" w:sz="18" w:space="0" w:color="auto"/>
              <w:right w:val="nil"/>
            </w:tcBorders>
          </w:tcPr>
          <w:p w:rsidR="00176E9B" w:rsidRDefault="00176E9B" w:rsidP="00272594">
            <w:pPr>
              <w:jc w:val="center"/>
              <w:rPr>
                <w:sz w:val="16"/>
                <w:szCs w:val="16"/>
              </w:rPr>
            </w:pPr>
          </w:p>
        </w:tc>
      </w:tr>
      <w:tr w:rsidR="00176E9B" w:rsidTr="00272594">
        <w:trPr>
          <w:jc w:val="center"/>
        </w:trPr>
        <w:tc>
          <w:tcPr>
            <w:tcW w:w="9278" w:type="dxa"/>
            <w:gridSpan w:val="7"/>
            <w:tcBorders>
              <w:top w:val="single" w:sz="18" w:space="0" w:color="auto"/>
              <w:left w:val="nil"/>
              <w:bottom w:val="nil"/>
              <w:right w:val="nil"/>
            </w:tcBorders>
            <w:vAlign w:val="center"/>
            <w:hideMark/>
          </w:tcPr>
          <w:p w:rsidR="00176E9B" w:rsidRDefault="00176E9B" w:rsidP="00272594">
            <w:pPr>
              <w:spacing w:beforeLines="20" w:before="48" w:afterLines="20" w:after="48"/>
              <w:rPr>
                <w:sz w:val="16"/>
                <w:szCs w:val="16"/>
              </w:rPr>
            </w:pPr>
            <w:r>
              <w:rPr>
                <w:b/>
                <w:color w:val="000000"/>
                <w:sz w:val="16"/>
                <w:szCs w:val="16"/>
                <w:lang w:val="en-US"/>
              </w:rPr>
              <w:t>Primært sammensat virkningsendepunkt</w:t>
            </w:r>
          </w:p>
        </w:tc>
      </w:tr>
      <w:tr w:rsidR="00176E9B" w:rsidTr="00272594">
        <w:trPr>
          <w:jc w:val="center"/>
        </w:trPr>
        <w:tc>
          <w:tcPr>
            <w:tcW w:w="3292" w:type="dxa"/>
            <w:tcBorders>
              <w:top w:val="nil"/>
              <w:left w:val="nil"/>
              <w:bottom w:val="single" w:sz="18" w:space="0" w:color="auto"/>
              <w:right w:val="nil"/>
            </w:tcBorders>
            <w:vAlign w:val="center"/>
            <w:hideMark/>
          </w:tcPr>
          <w:p w:rsidR="00176E9B" w:rsidRDefault="00176E9B" w:rsidP="00272594">
            <w:pPr>
              <w:spacing w:beforeLines="20" w:before="48" w:afterLines="20" w:after="48"/>
              <w:rPr>
                <w:sz w:val="16"/>
                <w:szCs w:val="16"/>
              </w:rPr>
            </w:pPr>
            <w:r>
              <w:rPr>
                <w:color w:val="000000"/>
                <w:sz w:val="16"/>
                <w:szCs w:val="16"/>
              </w:rPr>
              <w:t>(CV-død, større koronare hændelser og ikke-letal apopleksi)</w:t>
            </w:r>
          </w:p>
        </w:tc>
        <w:tc>
          <w:tcPr>
            <w:tcW w:w="885" w:type="dxa"/>
            <w:tcBorders>
              <w:top w:val="nil"/>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2.572</w:t>
            </w:r>
          </w:p>
        </w:tc>
        <w:tc>
          <w:tcPr>
            <w:tcW w:w="960" w:type="dxa"/>
            <w:tcBorders>
              <w:top w:val="nil"/>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32,72%</w:t>
            </w:r>
          </w:p>
        </w:tc>
        <w:tc>
          <w:tcPr>
            <w:tcW w:w="860" w:type="dxa"/>
            <w:tcBorders>
              <w:top w:val="nil"/>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2.742</w:t>
            </w:r>
          </w:p>
        </w:tc>
        <w:tc>
          <w:tcPr>
            <w:tcW w:w="844" w:type="dxa"/>
            <w:tcBorders>
              <w:top w:val="nil"/>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34,67%</w:t>
            </w:r>
          </w:p>
        </w:tc>
        <w:tc>
          <w:tcPr>
            <w:tcW w:w="1665" w:type="dxa"/>
            <w:tcBorders>
              <w:top w:val="nil"/>
              <w:left w:val="nil"/>
              <w:bottom w:val="single" w:sz="18" w:space="0" w:color="auto"/>
              <w:right w:val="nil"/>
            </w:tcBorders>
            <w:vAlign w:val="center"/>
            <w:hideMark/>
          </w:tcPr>
          <w:p w:rsidR="00176E9B" w:rsidRDefault="00176E9B" w:rsidP="00272594">
            <w:pPr>
              <w:pStyle w:val="Tablecentered"/>
              <w:keepNext w:val="0"/>
              <w:keepLines w:val="0"/>
              <w:spacing w:beforeLines="20" w:before="48" w:afterLines="20" w:after="48"/>
              <w:rPr>
                <w:rFonts w:ascii="Times New Roman" w:hAnsi="Times New Roman"/>
                <w:sz w:val="16"/>
                <w:szCs w:val="16"/>
              </w:rPr>
            </w:pPr>
            <w:r>
              <w:rPr>
                <w:rFonts w:ascii="Times New Roman" w:hAnsi="Times New Roman"/>
                <w:sz w:val="16"/>
                <w:szCs w:val="16"/>
              </w:rPr>
              <w:t>0,936 (0,887; 0,988)</w:t>
            </w:r>
          </w:p>
        </w:tc>
        <w:tc>
          <w:tcPr>
            <w:tcW w:w="772" w:type="dxa"/>
            <w:tcBorders>
              <w:top w:val="nil"/>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0,016</w:t>
            </w:r>
          </w:p>
        </w:tc>
      </w:tr>
      <w:tr w:rsidR="00176E9B" w:rsidTr="00272594">
        <w:trPr>
          <w:jc w:val="center"/>
        </w:trPr>
        <w:tc>
          <w:tcPr>
            <w:tcW w:w="9278" w:type="dxa"/>
            <w:gridSpan w:val="7"/>
            <w:tcBorders>
              <w:top w:val="single" w:sz="18" w:space="0" w:color="auto"/>
              <w:left w:val="nil"/>
              <w:bottom w:val="single" w:sz="4" w:space="0" w:color="auto"/>
              <w:right w:val="nil"/>
            </w:tcBorders>
            <w:vAlign w:val="center"/>
            <w:hideMark/>
          </w:tcPr>
          <w:p w:rsidR="00176E9B" w:rsidRDefault="00176E9B" w:rsidP="00272594">
            <w:pPr>
              <w:spacing w:beforeLines="20" w:before="48" w:afterLines="20" w:after="48"/>
              <w:rPr>
                <w:sz w:val="16"/>
                <w:szCs w:val="16"/>
              </w:rPr>
            </w:pPr>
            <w:r w:rsidRPr="00391FFE">
              <w:rPr>
                <w:b/>
                <w:bCs/>
                <w:color w:val="000000"/>
                <w:sz w:val="16"/>
                <w:szCs w:val="16"/>
              </w:rPr>
              <w:t xml:space="preserve">Komponenter i det primære sammensatte endepunkt og udvalgte virkningsendepunkter </w:t>
            </w:r>
            <w:r w:rsidRPr="00391FFE">
              <w:rPr>
                <w:bCs/>
                <w:color w:val="000000"/>
                <w:sz w:val="16"/>
                <w:szCs w:val="16"/>
              </w:rPr>
              <w:t>(første forekomst af specificeret hændelse når som helst</w:t>
            </w:r>
            <w:r>
              <w:rPr>
                <w:bCs/>
                <w:color w:val="000000"/>
                <w:sz w:val="16"/>
                <w:szCs w:val="16"/>
              </w:rPr>
              <w:t>)</w:t>
            </w:r>
          </w:p>
        </w:tc>
      </w:tr>
      <w:tr w:rsidR="00176E9B" w:rsidTr="00272594">
        <w:trPr>
          <w:jc w:val="center"/>
        </w:trPr>
        <w:tc>
          <w:tcPr>
            <w:tcW w:w="329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rPr>
                <w:b/>
                <w:bCs/>
                <w:color w:val="000000"/>
                <w:sz w:val="16"/>
                <w:szCs w:val="16"/>
              </w:rPr>
            </w:pPr>
            <w:r>
              <w:rPr>
                <w:color w:val="000000"/>
                <w:sz w:val="16"/>
                <w:szCs w:val="16"/>
              </w:rPr>
              <w:t>Kardiovaskulær død</w:t>
            </w:r>
          </w:p>
        </w:tc>
        <w:tc>
          <w:tcPr>
            <w:tcW w:w="88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537</w:t>
            </w:r>
          </w:p>
        </w:tc>
        <w:tc>
          <w:tcPr>
            <w:tcW w:w="9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6,89%</w:t>
            </w:r>
          </w:p>
        </w:tc>
        <w:tc>
          <w:tcPr>
            <w:tcW w:w="8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538</w:t>
            </w:r>
          </w:p>
        </w:tc>
        <w:tc>
          <w:tcPr>
            <w:tcW w:w="844"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6,84%</w:t>
            </w:r>
          </w:p>
        </w:tc>
        <w:tc>
          <w:tcPr>
            <w:tcW w:w="166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1,000 (0,887; 1,127)</w:t>
            </w:r>
          </w:p>
        </w:tc>
        <w:tc>
          <w:tcPr>
            <w:tcW w:w="77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0,997</w:t>
            </w:r>
          </w:p>
        </w:tc>
      </w:tr>
      <w:tr w:rsidR="00176E9B" w:rsidTr="00272594">
        <w:trPr>
          <w:jc w:val="center"/>
        </w:trPr>
        <w:tc>
          <w:tcPr>
            <w:tcW w:w="329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rPr>
                <w:b/>
                <w:bCs/>
                <w:color w:val="000000"/>
                <w:sz w:val="16"/>
                <w:szCs w:val="16"/>
              </w:rPr>
            </w:pPr>
            <w:r>
              <w:rPr>
                <w:sz w:val="16"/>
                <w:szCs w:val="16"/>
                <w:lang w:val="en-US"/>
              </w:rPr>
              <w:t>Større koronar hændelse</w:t>
            </w:r>
            <w:r>
              <w:rPr>
                <w:sz w:val="16"/>
                <w:szCs w:val="16"/>
              </w:rPr>
              <w:t>:</w:t>
            </w:r>
          </w:p>
        </w:tc>
        <w:tc>
          <w:tcPr>
            <w:tcW w:w="885"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c>
          <w:tcPr>
            <w:tcW w:w="960"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c>
          <w:tcPr>
            <w:tcW w:w="860"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c>
          <w:tcPr>
            <w:tcW w:w="844"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c>
          <w:tcPr>
            <w:tcW w:w="1665"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c>
          <w:tcPr>
            <w:tcW w:w="772" w:type="dxa"/>
            <w:tcBorders>
              <w:top w:val="single" w:sz="4" w:space="0" w:color="auto"/>
              <w:left w:val="nil"/>
              <w:bottom w:val="single" w:sz="4" w:space="0" w:color="auto"/>
              <w:right w:val="nil"/>
            </w:tcBorders>
            <w:vAlign w:val="center"/>
          </w:tcPr>
          <w:p w:rsidR="00176E9B" w:rsidRDefault="00176E9B" w:rsidP="00272594">
            <w:pPr>
              <w:spacing w:beforeLines="20" w:before="48" w:afterLines="20" w:after="48"/>
              <w:jc w:val="center"/>
              <w:rPr>
                <w:sz w:val="16"/>
                <w:szCs w:val="16"/>
              </w:rPr>
            </w:pPr>
          </w:p>
        </w:tc>
      </w:tr>
      <w:tr w:rsidR="00176E9B" w:rsidTr="00272594">
        <w:trPr>
          <w:jc w:val="center"/>
        </w:trPr>
        <w:tc>
          <w:tcPr>
            <w:tcW w:w="329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ind w:left="180"/>
              <w:rPr>
                <w:b/>
                <w:bCs/>
                <w:color w:val="000000"/>
                <w:sz w:val="16"/>
                <w:szCs w:val="16"/>
              </w:rPr>
            </w:pPr>
            <w:r>
              <w:rPr>
                <w:sz w:val="16"/>
                <w:szCs w:val="16"/>
              </w:rPr>
              <w:t>Ikke-letalt MI</w:t>
            </w:r>
          </w:p>
        </w:tc>
        <w:tc>
          <w:tcPr>
            <w:tcW w:w="88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945</w:t>
            </w:r>
          </w:p>
        </w:tc>
        <w:tc>
          <w:tcPr>
            <w:tcW w:w="9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12,77%</w:t>
            </w:r>
          </w:p>
        </w:tc>
        <w:tc>
          <w:tcPr>
            <w:tcW w:w="8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1.083</w:t>
            </w:r>
          </w:p>
        </w:tc>
        <w:tc>
          <w:tcPr>
            <w:tcW w:w="844"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14,41%</w:t>
            </w:r>
          </w:p>
        </w:tc>
        <w:tc>
          <w:tcPr>
            <w:tcW w:w="166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0,871 (0,798; 0,950)</w:t>
            </w:r>
          </w:p>
        </w:tc>
        <w:tc>
          <w:tcPr>
            <w:tcW w:w="77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0,002</w:t>
            </w:r>
          </w:p>
        </w:tc>
      </w:tr>
      <w:tr w:rsidR="00176E9B" w:rsidTr="00272594">
        <w:trPr>
          <w:jc w:val="center"/>
        </w:trPr>
        <w:tc>
          <w:tcPr>
            <w:tcW w:w="329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ind w:left="180"/>
              <w:rPr>
                <w:b/>
                <w:bCs/>
                <w:color w:val="000000"/>
                <w:sz w:val="16"/>
                <w:szCs w:val="16"/>
              </w:rPr>
            </w:pPr>
            <w:r>
              <w:rPr>
                <w:sz w:val="16"/>
                <w:szCs w:val="16"/>
              </w:rPr>
              <w:t>Ustabil angina, der kræver hospitalsindlæggelse</w:t>
            </w:r>
          </w:p>
        </w:tc>
        <w:tc>
          <w:tcPr>
            <w:tcW w:w="88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156</w:t>
            </w:r>
          </w:p>
        </w:tc>
        <w:tc>
          <w:tcPr>
            <w:tcW w:w="9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2,06%</w:t>
            </w:r>
          </w:p>
        </w:tc>
        <w:tc>
          <w:tcPr>
            <w:tcW w:w="8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148</w:t>
            </w:r>
          </w:p>
        </w:tc>
        <w:tc>
          <w:tcPr>
            <w:tcW w:w="844"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1,92%</w:t>
            </w:r>
          </w:p>
        </w:tc>
        <w:tc>
          <w:tcPr>
            <w:tcW w:w="166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1,059 (0,846; 1,326)</w:t>
            </w:r>
          </w:p>
        </w:tc>
        <w:tc>
          <w:tcPr>
            <w:tcW w:w="77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0,618</w:t>
            </w:r>
          </w:p>
        </w:tc>
      </w:tr>
      <w:tr w:rsidR="00176E9B" w:rsidTr="00272594">
        <w:trPr>
          <w:jc w:val="center"/>
        </w:trPr>
        <w:tc>
          <w:tcPr>
            <w:tcW w:w="329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ind w:left="180"/>
              <w:rPr>
                <w:b/>
                <w:bCs/>
                <w:color w:val="000000"/>
                <w:sz w:val="16"/>
                <w:szCs w:val="16"/>
              </w:rPr>
            </w:pPr>
            <w:r>
              <w:rPr>
                <w:sz w:val="16"/>
                <w:szCs w:val="16"/>
                <w:lang w:val="en-US"/>
              </w:rPr>
              <w:t xml:space="preserve">Koronar </w:t>
            </w:r>
            <w:r>
              <w:rPr>
                <w:sz w:val="16"/>
                <w:szCs w:val="16"/>
              </w:rPr>
              <w:t>revaskularisering efter 30 dage</w:t>
            </w:r>
          </w:p>
        </w:tc>
        <w:tc>
          <w:tcPr>
            <w:tcW w:w="88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1.690</w:t>
            </w:r>
          </w:p>
        </w:tc>
        <w:tc>
          <w:tcPr>
            <w:tcW w:w="9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21,84%</w:t>
            </w:r>
          </w:p>
        </w:tc>
        <w:tc>
          <w:tcPr>
            <w:tcW w:w="860"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1.793</w:t>
            </w:r>
          </w:p>
        </w:tc>
        <w:tc>
          <w:tcPr>
            <w:tcW w:w="844"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23,36%</w:t>
            </w:r>
          </w:p>
        </w:tc>
        <w:tc>
          <w:tcPr>
            <w:tcW w:w="1665"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0,947 (0,886; 1,012)</w:t>
            </w:r>
          </w:p>
        </w:tc>
        <w:tc>
          <w:tcPr>
            <w:tcW w:w="772" w:type="dxa"/>
            <w:tcBorders>
              <w:top w:val="single" w:sz="4" w:space="0" w:color="auto"/>
              <w:left w:val="nil"/>
              <w:bottom w:val="single" w:sz="4"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0,107</w:t>
            </w:r>
          </w:p>
        </w:tc>
      </w:tr>
      <w:tr w:rsidR="00176E9B" w:rsidTr="00272594">
        <w:trPr>
          <w:jc w:val="center"/>
        </w:trPr>
        <w:tc>
          <w:tcPr>
            <w:tcW w:w="3292"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rPr>
                <w:sz w:val="16"/>
                <w:szCs w:val="16"/>
              </w:rPr>
            </w:pPr>
            <w:r>
              <w:rPr>
                <w:sz w:val="16"/>
                <w:szCs w:val="16"/>
              </w:rPr>
              <w:t>Ikke-letal apopleksi</w:t>
            </w:r>
          </w:p>
        </w:tc>
        <w:tc>
          <w:tcPr>
            <w:tcW w:w="885"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245</w:t>
            </w:r>
          </w:p>
        </w:tc>
        <w:tc>
          <w:tcPr>
            <w:tcW w:w="960"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3,49%</w:t>
            </w:r>
          </w:p>
        </w:tc>
        <w:tc>
          <w:tcPr>
            <w:tcW w:w="860"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305</w:t>
            </w:r>
          </w:p>
        </w:tc>
        <w:tc>
          <w:tcPr>
            <w:tcW w:w="844"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4,24%</w:t>
            </w:r>
          </w:p>
        </w:tc>
        <w:tc>
          <w:tcPr>
            <w:tcW w:w="1665"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0,802 (0,678; 0,949)</w:t>
            </w:r>
          </w:p>
        </w:tc>
        <w:tc>
          <w:tcPr>
            <w:tcW w:w="772" w:type="dxa"/>
            <w:tcBorders>
              <w:top w:val="single" w:sz="4" w:space="0" w:color="auto"/>
              <w:left w:val="nil"/>
              <w:bottom w:val="single" w:sz="18" w:space="0" w:color="auto"/>
              <w:right w:val="nil"/>
            </w:tcBorders>
            <w:vAlign w:val="center"/>
            <w:hideMark/>
          </w:tcPr>
          <w:p w:rsidR="00176E9B" w:rsidRDefault="00176E9B" w:rsidP="00272594">
            <w:pPr>
              <w:spacing w:beforeLines="20" w:before="48" w:afterLines="20" w:after="48"/>
              <w:jc w:val="center"/>
              <w:rPr>
                <w:sz w:val="16"/>
                <w:szCs w:val="16"/>
              </w:rPr>
            </w:pPr>
            <w:r>
              <w:rPr>
                <w:sz w:val="16"/>
                <w:szCs w:val="16"/>
              </w:rPr>
              <w:t>0,010</w:t>
            </w:r>
          </w:p>
        </w:tc>
      </w:tr>
    </w:tbl>
    <w:p w:rsidR="00176E9B" w:rsidRPr="00D26278" w:rsidRDefault="00176E9B" w:rsidP="00176E9B">
      <w:pPr>
        <w:ind w:left="180" w:hanging="180"/>
        <w:jc w:val="both"/>
        <w:rPr>
          <w:sz w:val="20"/>
        </w:rPr>
      </w:pPr>
      <w:r w:rsidRPr="00D26278">
        <w:rPr>
          <w:sz w:val="20"/>
        </w:rPr>
        <w:lastRenderedPageBreak/>
        <w:t>*</w:t>
      </w:r>
      <w:r w:rsidRPr="00D26278">
        <w:rPr>
          <w:sz w:val="20"/>
        </w:rPr>
        <w:tab/>
        <w:t>6% blev optitreret til ezetimib/simvastatin 10/80 mg.</w:t>
      </w:r>
    </w:p>
    <w:p w:rsidR="00176E9B" w:rsidRPr="00D26278" w:rsidRDefault="00176E9B" w:rsidP="00176E9B">
      <w:pPr>
        <w:ind w:left="180" w:hanging="180"/>
        <w:jc w:val="both"/>
        <w:rPr>
          <w:sz w:val="20"/>
        </w:rPr>
      </w:pPr>
      <w:r w:rsidRPr="00D26278">
        <w:rPr>
          <w:sz w:val="20"/>
          <w:vertAlign w:val="superscript"/>
        </w:rPr>
        <w:t>†</w:t>
      </w:r>
      <w:r w:rsidRPr="00D26278">
        <w:rPr>
          <w:sz w:val="20"/>
          <w:vertAlign w:val="superscript"/>
        </w:rPr>
        <w:tab/>
      </w:r>
      <w:r w:rsidRPr="00D26278">
        <w:rPr>
          <w:sz w:val="20"/>
        </w:rPr>
        <w:t>27% blev optitreret til simvastatin 80 mg.</w:t>
      </w:r>
    </w:p>
    <w:p w:rsidR="00176E9B" w:rsidRPr="00D26278" w:rsidRDefault="00176E9B" w:rsidP="00176E9B">
      <w:pPr>
        <w:ind w:left="180" w:hanging="180"/>
        <w:jc w:val="both"/>
        <w:rPr>
          <w:sz w:val="20"/>
          <w:lang w:val="sv-SE"/>
        </w:rPr>
      </w:pPr>
      <w:r w:rsidRPr="00D26278">
        <w:rPr>
          <w:sz w:val="20"/>
          <w:vertAlign w:val="superscript"/>
          <w:lang w:val="sv-SE"/>
        </w:rPr>
        <w:t>‡</w:t>
      </w:r>
      <w:r w:rsidRPr="00D26278">
        <w:rPr>
          <w:sz w:val="20"/>
          <w:vertAlign w:val="superscript"/>
          <w:lang w:val="sv-SE"/>
        </w:rPr>
        <w:tab/>
      </w:r>
      <w:r w:rsidRPr="00D26278">
        <w:rPr>
          <w:sz w:val="20"/>
          <w:lang w:val="sv-SE"/>
        </w:rPr>
        <w:t>Kaplan-Meier-estimat efter 7 år.</w:t>
      </w:r>
    </w:p>
    <w:p w:rsidR="00176E9B" w:rsidRPr="00924B6C" w:rsidRDefault="00176E9B" w:rsidP="00176E9B">
      <w:pPr>
        <w:rPr>
          <w:color w:val="000000"/>
          <w:sz w:val="22"/>
          <w:szCs w:val="22"/>
          <w:lang w:val="sv-SE"/>
        </w:rPr>
      </w:pPr>
    </w:p>
    <w:p w:rsidR="00176E9B" w:rsidRPr="00924B6C" w:rsidRDefault="00176E9B" w:rsidP="00176E9B">
      <w:pPr>
        <w:ind w:left="851"/>
        <w:rPr>
          <w:i/>
          <w:sz w:val="24"/>
          <w:szCs w:val="24"/>
          <w:lang w:val="sv-SE"/>
        </w:rPr>
      </w:pPr>
      <w:r w:rsidRPr="00924B6C">
        <w:rPr>
          <w:i/>
          <w:sz w:val="24"/>
          <w:szCs w:val="24"/>
          <w:lang w:val="sv-SE" w:eastAsia="da-DK"/>
        </w:rPr>
        <w:t>Homozygot familiær hyperkolesterolæmi</w:t>
      </w:r>
      <w:r w:rsidRPr="00924B6C">
        <w:rPr>
          <w:i/>
          <w:sz w:val="24"/>
          <w:szCs w:val="24"/>
          <w:lang w:val="sv-SE"/>
        </w:rPr>
        <w:t xml:space="preserve"> (HoFH) </w:t>
      </w:r>
    </w:p>
    <w:p w:rsidR="00E65450" w:rsidRPr="00E65450" w:rsidRDefault="00E65450" w:rsidP="00E65450">
      <w:pPr>
        <w:ind w:left="851"/>
        <w:rPr>
          <w:sz w:val="24"/>
          <w:szCs w:val="24"/>
        </w:rPr>
      </w:pPr>
      <w:r w:rsidRPr="00E65450">
        <w:rPr>
          <w:sz w:val="24"/>
          <w:szCs w:val="24"/>
        </w:rPr>
        <w:t xml:space="preserve">Et dobbeltblindet, randomiseret studie af 12 ugers varighed blev udført med patienter </w:t>
      </w:r>
      <w:r w:rsidRPr="00E65450">
        <w:rPr>
          <w:sz w:val="24"/>
          <w:szCs w:val="24"/>
          <w:lang w:eastAsia="da-DK"/>
        </w:rPr>
        <w:t>med en klinisk og/eller genotypisk HoFH-diagnose</w:t>
      </w:r>
      <w:r w:rsidRPr="00E65450">
        <w:rPr>
          <w:sz w:val="24"/>
          <w:szCs w:val="24"/>
        </w:rPr>
        <w:t xml:space="preserve">. </w:t>
      </w:r>
      <w:r w:rsidRPr="00E65450">
        <w:rPr>
          <w:sz w:val="24"/>
          <w:szCs w:val="24"/>
          <w:lang w:eastAsia="da-DK"/>
        </w:rPr>
        <w:t xml:space="preserve">Der blev analyseret data fra en undergruppe af patienter </w:t>
      </w:r>
      <w:r w:rsidRPr="00E65450">
        <w:rPr>
          <w:sz w:val="24"/>
          <w:szCs w:val="24"/>
        </w:rPr>
        <w:t xml:space="preserve">(n = 36), som fik atorvastatin 40 mg ved </w:t>
      </w:r>
      <w:r w:rsidRPr="00E65450">
        <w:rPr>
          <w:i/>
          <w:sz w:val="24"/>
          <w:szCs w:val="24"/>
        </w:rPr>
        <w:t>baseline</w:t>
      </w:r>
      <w:r w:rsidRPr="00E65450">
        <w:rPr>
          <w:sz w:val="24"/>
          <w:szCs w:val="24"/>
        </w:rPr>
        <w:t xml:space="preserve">. </w:t>
      </w:r>
      <w:r w:rsidRPr="00E65450">
        <w:rPr>
          <w:sz w:val="24"/>
          <w:szCs w:val="24"/>
          <w:lang w:eastAsia="da-DK"/>
        </w:rPr>
        <w:t>Ved at øge dosis a</w:t>
      </w:r>
      <w:r w:rsidRPr="00E65450">
        <w:rPr>
          <w:color w:val="000000"/>
          <w:sz w:val="24"/>
          <w:szCs w:val="24"/>
        </w:rPr>
        <w:t xml:space="preserve">f </w:t>
      </w:r>
      <w:r w:rsidRPr="00E65450">
        <w:rPr>
          <w:sz w:val="24"/>
          <w:szCs w:val="24"/>
        </w:rPr>
        <w:t xml:space="preserve">atorvastatin </w:t>
      </w:r>
      <w:r w:rsidRPr="00E65450">
        <w:rPr>
          <w:color w:val="000000"/>
          <w:sz w:val="24"/>
          <w:szCs w:val="24"/>
        </w:rPr>
        <w:t xml:space="preserve">fra 40 til 80 mg (n = 12) </w:t>
      </w:r>
      <w:r w:rsidRPr="00E65450">
        <w:rPr>
          <w:sz w:val="24"/>
          <w:szCs w:val="24"/>
          <w:lang w:eastAsia="da-DK"/>
        </w:rPr>
        <w:t xml:space="preserve">blev der opnået en reduktion i </w:t>
      </w:r>
      <w:r w:rsidRPr="00E65450">
        <w:rPr>
          <w:color w:val="000000"/>
          <w:sz w:val="24"/>
          <w:szCs w:val="24"/>
        </w:rPr>
        <w:t xml:space="preserve">LDL-C på 2% i forhold til </w:t>
      </w:r>
      <w:r w:rsidRPr="00E65450">
        <w:rPr>
          <w:i/>
          <w:color w:val="000000"/>
          <w:sz w:val="24"/>
          <w:szCs w:val="24"/>
        </w:rPr>
        <w:t>baseline</w:t>
      </w:r>
      <w:r w:rsidRPr="00E65450">
        <w:rPr>
          <w:color w:val="000000"/>
          <w:sz w:val="24"/>
          <w:szCs w:val="24"/>
        </w:rPr>
        <w:t xml:space="preserve"> med </w:t>
      </w:r>
      <w:r w:rsidRPr="00E65450">
        <w:rPr>
          <w:sz w:val="24"/>
          <w:szCs w:val="24"/>
        </w:rPr>
        <w:t xml:space="preserve">atorvastatin </w:t>
      </w:r>
      <w:r w:rsidRPr="00E65450">
        <w:rPr>
          <w:color w:val="000000"/>
          <w:sz w:val="24"/>
          <w:szCs w:val="24"/>
        </w:rPr>
        <w:t xml:space="preserve">40 mg. Samtidig administration af ezetimib og </w:t>
      </w:r>
      <w:r w:rsidRPr="00E65450">
        <w:rPr>
          <w:sz w:val="24"/>
          <w:szCs w:val="24"/>
        </w:rPr>
        <w:t xml:space="preserve">atorvastatin svarende til Atozet </w:t>
      </w:r>
      <w:r w:rsidRPr="00E65450">
        <w:rPr>
          <w:color w:val="000000"/>
          <w:sz w:val="24"/>
          <w:szCs w:val="24"/>
        </w:rPr>
        <w:t xml:space="preserve">(10/40 og 10/80 poolet, n = 24), gav en reduktion i LDL-C på 19% i forhold til </w:t>
      </w:r>
      <w:r w:rsidRPr="00E65450">
        <w:rPr>
          <w:i/>
          <w:color w:val="000000"/>
          <w:sz w:val="24"/>
          <w:szCs w:val="24"/>
        </w:rPr>
        <w:t>baseline</w:t>
      </w:r>
      <w:r w:rsidRPr="00E65450">
        <w:rPr>
          <w:color w:val="000000"/>
          <w:sz w:val="24"/>
          <w:szCs w:val="24"/>
        </w:rPr>
        <w:t xml:space="preserve"> med </w:t>
      </w:r>
      <w:r w:rsidRPr="00E65450">
        <w:rPr>
          <w:sz w:val="24"/>
          <w:szCs w:val="24"/>
        </w:rPr>
        <w:t xml:space="preserve">atorvastatin </w:t>
      </w:r>
      <w:r w:rsidRPr="00E65450">
        <w:rPr>
          <w:color w:val="000000"/>
          <w:sz w:val="24"/>
          <w:szCs w:val="24"/>
        </w:rPr>
        <w:t xml:space="preserve">40 mg. </w:t>
      </w:r>
      <w:r w:rsidRPr="00E65450">
        <w:rPr>
          <w:sz w:val="24"/>
          <w:szCs w:val="24"/>
          <w:lang w:eastAsia="da-DK"/>
        </w:rPr>
        <w:t xml:space="preserve">Hos de patienter, der fik </w:t>
      </w:r>
      <w:r w:rsidRPr="00E65450">
        <w:rPr>
          <w:color w:val="000000"/>
          <w:sz w:val="24"/>
          <w:szCs w:val="24"/>
        </w:rPr>
        <w:t xml:space="preserve">ezetimib og </w:t>
      </w:r>
      <w:r w:rsidRPr="00E65450">
        <w:rPr>
          <w:sz w:val="24"/>
          <w:szCs w:val="24"/>
        </w:rPr>
        <w:t xml:space="preserve">atorvastatin samtidigt svarende til Atozet </w:t>
      </w:r>
      <w:r w:rsidRPr="00E65450">
        <w:rPr>
          <w:color w:val="000000"/>
          <w:sz w:val="24"/>
          <w:szCs w:val="24"/>
        </w:rPr>
        <w:t xml:space="preserve">(10/80, n = 12), sås en reduktion i LDL-C på 25% i forhold til </w:t>
      </w:r>
      <w:r w:rsidRPr="00E65450">
        <w:rPr>
          <w:i/>
          <w:color w:val="000000"/>
          <w:sz w:val="24"/>
          <w:szCs w:val="24"/>
        </w:rPr>
        <w:t>baseline</w:t>
      </w:r>
      <w:r w:rsidRPr="00E65450">
        <w:rPr>
          <w:color w:val="000000"/>
          <w:sz w:val="24"/>
          <w:szCs w:val="24"/>
        </w:rPr>
        <w:t xml:space="preserve"> med </w:t>
      </w:r>
      <w:r w:rsidRPr="00E65450">
        <w:rPr>
          <w:sz w:val="24"/>
          <w:szCs w:val="24"/>
        </w:rPr>
        <w:t xml:space="preserve">atorvastatin </w:t>
      </w:r>
      <w:r w:rsidRPr="00E65450">
        <w:rPr>
          <w:color w:val="000000"/>
          <w:sz w:val="24"/>
          <w:szCs w:val="24"/>
        </w:rPr>
        <w:t>40 mg.</w:t>
      </w:r>
    </w:p>
    <w:p w:rsidR="00E65450" w:rsidRPr="00E65450" w:rsidRDefault="00E65450" w:rsidP="00E65450">
      <w:pPr>
        <w:ind w:left="851"/>
        <w:rPr>
          <w:sz w:val="24"/>
          <w:szCs w:val="24"/>
        </w:rPr>
      </w:pPr>
    </w:p>
    <w:p w:rsidR="00E65450" w:rsidRPr="00E65450" w:rsidRDefault="00E65450" w:rsidP="00E65450">
      <w:pPr>
        <w:autoSpaceDE w:val="0"/>
        <w:autoSpaceDN w:val="0"/>
        <w:adjustRightInd w:val="0"/>
        <w:ind w:left="851"/>
        <w:rPr>
          <w:sz w:val="24"/>
          <w:szCs w:val="24"/>
        </w:rPr>
      </w:pPr>
      <w:r w:rsidRPr="00E65450">
        <w:rPr>
          <w:sz w:val="24"/>
          <w:szCs w:val="24"/>
        </w:rPr>
        <w:t xml:space="preserve">Efter at have gennemført studiet af 12 ugers varighed fik de egnede patienter (n = 35), som var i behandling med atorvastatin 40 mg ved </w:t>
      </w:r>
      <w:r w:rsidRPr="00E65450">
        <w:rPr>
          <w:i/>
          <w:sz w:val="24"/>
          <w:szCs w:val="24"/>
        </w:rPr>
        <w:t>baseline</w:t>
      </w:r>
      <w:r w:rsidRPr="00E65450">
        <w:rPr>
          <w:sz w:val="24"/>
          <w:szCs w:val="24"/>
        </w:rPr>
        <w:t>, tildelt samtidig administration af ezetimib og atorvastatin svarende til Atozet 10/40 i op til yderligere 24 måneder. Efter mindst 4 ugers behandling kunne dosis af atorvastatin fordobles til en maksimaldosis på 80 mg. Ved afslutningen af de 24 måneder gav Atozet (10/40 og 10/80 poolet) en reduktion i LDL-C, som var i overensstemmelse med den reduktion, som sås i studiet af 12 ugers varighed.</w:t>
      </w:r>
    </w:p>
    <w:p w:rsidR="00176E9B" w:rsidRPr="00F104CA" w:rsidRDefault="00176E9B" w:rsidP="00176E9B">
      <w:pPr>
        <w:ind w:left="851"/>
        <w:rPr>
          <w:sz w:val="24"/>
          <w:szCs w:val="24"/>
        </w:rPr>
      </w:pPr>
    </w:p>
    <w:p w:rsidR="00176E9B" w:rsidRPr="00F104CA" w:rsidRDefault="00176E9B" w:rsidP="00176E9B">
      <w:pPr>
        <w:ind w:left="851"/>
        <w:rPr>
          <w:rFonts w:eastAsia="SimSun"/>
          <w:sz w:val="24"/>
          <w:szCs w:val="24"/>
          <w:lang w:eastAsia="zh-CN"/>
        </w:rPr>
      </w:pPr>
      <w:r w:rsidRPr="00F104CA">
        <w:rPr>
          <w:noProof/>
          <w:sz w:val="24"/>
          <w:szCs w:val="24"/>
        </w:rPr>
        <w:t xml:space="preserve">Det Europæiske Lægemiddelagentur </w:t>
      </w:r>
      <w:r w:rsidRPr="00F104CA">
        <w:rPr>
          <w:rFonts w:eastAsia="SimSun"/>
          <w:sz w:val="24"/>
          <w:szCs w:val="24"/>
          <w:lang w:eastAsia="zh-CN"/>
        </w:rPr>
        <w:t>har dispenseret fra kravet om at fremlægge resultaterne af studier med Atozet</w:t>
      </w:r>
      <w:r w:rsidRPr="00F104CA">
        <w:rPr>
          <w:noProof/>
          <w:color w:val="00B050"/>
          <w:sz w:val="24"/>
          <w:szCs w:val="24"/>
        </w:rPr>
        <w:t xml:space="preserve"> </w:t>
      </w:r>
      <w:r w:rsidRPr="00F104CA">
        <w:rPr>
          <w:rFonts w:eastAsia="SimSun"/>
          <w:sz w:val="24"/>
          <w:szCs w:val="24"/>
          <w:lang w:eastAsia="zh-CN"/>
        </w:rPr>
        <w:t xml:space="preserve">i alle undergrupper af den pædiatriske population til behandling af hyperkolesterolæmi og kombineret hyperlipidæmi (se pkt. 4.2 for </w:t>
      </w:r>
      <w:r w:rsidRPr="00F104CA">
        <w:rPr>
          <w:sz w:val="24"/>
          <w:szCs w:val="24"/>
        </w:rPr>
        <w:t>oplysninger</w:t>
      </w:r>
      <w:r w:rsidRPr="00F104CA">
        <w:rPr>
          <w:rFonts w:eastAsia="SimSun"/>
          <w:sz w:val="24"/>
          <w:szCs w:val="24"/>
          <w:lang w:eastAsia="zh-CN"/>
        </w:rPr>
        <w:t xml:space="preserve"> om pædiatrisk anvendelse).</w:t>
      </w:r>
    </w:p>
    <w:p w:rsidR="00176E9B" w:rsidRPr="00B07995" w:rsidRDefault="00176E9B" w:rsidP="00176E9B">
      <w:pPr>
        <w:ind w:left="851"/>
        <w:rPr>
          <w:sz w:val="24"/>
          <w:szCs w:val="24"/>
        </w:rPr>
      </w:pPr>
    </w:p>
    <w:p w:rsidR="00176E9B" w:rsidRPr="00B07995" w:rsidRDefault="00176E9B" w:rsidP="00176E9B">
      <w:pPr>
        <w:ind w:left="851" w:hanging="851"/>
        <w:rPr>
          <w:b/>
          <w:sz w:val="24"/>
          <w:szCs w:val="24"/>
        </w:rPr>
      </w:pPr>
      <w:r w:rsidRPr="00B07995">
        <w:rPr>
          <w:b/>
          <w:sz w:val="24"/>
          <w:szCs w:val="24"/>
        </w:rPr>
        <w:t>5.2</w:t>
      </w:r>
      <w:r w:rsidRPr="00B07995">
        <w:rPr>
          <w:b/>
          <w:sz w:val="24"/>
          <w:szCs w:val="24"/>
        </w:rPr>
        <w:tab/>
        <w:t>Farmakokinetiske egenskaber</w:t>
      </w:r>
    </w:p>
    <w:p w:rsidR="00D26278" w:rsidRDefault="00176E9B" w:rsidP="00176E9B">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hanging="851"/>
        <w:jc w:val="left"/>
        <w:rPr>
          <w:rFonts w:ascii="Times New Roman" w:hAnsi="Times New Roman"/>
          <w:sz w:val="24"/>
          <w:szCs w:val="24"/>
          <w:lang w:val="da-DK"/>
        </w:rPr>
      </w:pPr>
      <w:r w:rsidRPr="00B07995">
        <w:rPr>
          <w:rFonts w:ascii="Times New Roman" w:hAnsi="Times New Roman"/>
          <w:sz w:val="24"/>
          <w:szCs w:val="24"/>
          <w:lang w:val="da-DK"/>
        </w:rPr>
        <w:tab/>
      </w:r>
    </w:p>
    <w:p w:rsidR="00176E9B" w:rsidRPr="00B07995" w:rsidRDefault="00176E9B" w:rsidP="00D26278">
      <w:pPr>
        <w:pStyle w:val="CPCLH3"/>
        <w:tabs>
          <w:tab w:val="clear" w:pos="600"/>
          <w:tab w:val="clear" w:pos="1200"/>
          <w:tab w:val="clear" w:pos="1800"/>
          <w:tab w:val="clear" w:pos="2400"/>
          <w:tab w:val="clear" w:pos="3000"/>
          <w:tab w:val="clear" w:pos="3600"/>
          <w:tab w:val="clear" w:pos="4200"/>
          <w:tab w:val="clear" w:pos="4800"/>
          <w:tab w:val="clear" w:pos="5400"/>
          <w:tab w:val="clear" w:pos="6000"/>
          <w:tab w:val="clear" w:pos="6600"/>
        </w:tabs>
        <w:ind w:left="851"/>
        <w:jc w:val="left"/>
        <w:rPr>
          <w:rFonts w:ascii="Times New Roman" w:hAnsi="Times New Roman"/>
          <w:i/>
          <w:sz w:val="24"/>
          <w:szCs w:val="24"/>
          <w:lang w:val="da-DK"/>
        </w:rPr>
      </w:pPr>
      <w:r w:rsidRPr="00B07995">
        <w:rPr>
          <w:rFonts w:ascii="Times New Roman" w:hAnsi="Times New Roman"/>
          <w:i/>
          <w:sz w:val="24"/>
          <w:szCs w:val="24"/>
          <w:lang w:val="da-DK"/>
        </w:rPr>
        <w:t>Atozet</w:t>
      </w:r>
    </w:p>
    <w:p w:rsidR="00176E9B" w:rsidRPr="00B07995" w:rsidRDefault="00176E9B" w:rsidP="00176E9B">
      <w:pPr>
        <w:autoSpaceDE w:val="0"/>
        <w:autoSpaceDN w:val="0"/>
        <w:adjustRightInd w:val="0"/>
        <w:ind w:left="851"/>
        <w:rPr>
          <w:sz w:val="24"/>
          <w:szCs w:val="24"/>
        </w:rPr>
      </w:pPr>
      <w:r w:rsidRPr="00B07995">
        <w:rPr>
          <w:sz w:val="24"/>
          <w:szCs w:val="24"/>
        </w:rPr>
        <w:t xml:space="preserve">Det er påvist, at Atozet </w:t>
      </w:r>
      <w:r w:rsidRPr="00B07995">
        <w:rPr>
          <w:sz w:val="24"/>
          <w:szCs w:val="24"/>
          <w:lang w:eastAsia="da-DK"/>
        </w:rPr>
        <w:t xml:space="preserve">er bioækvivalent med samtidig administration af tilsvarende doser af </w:t>
      </w:r>
      <w:r>
        <w:rPr>
          <w:sz w:val="24"/>
          <w:szCs w:val="24"/>
          <w:lang w:eastAsia="da-DK"/>
        </w:rPr>
        <w:t>ezetimib</w:t>
      </w:r>
      <w:r w:rsidRPr="00B07995">
        <w:rPr>
          <w:sz w:val="24"/>
          <w:szCs w:val="24"/>
          <w:lang w:eastAsia="da-DK"/>
        </w:rPr>
        <w:t xml:space="preserve"> og </w:t>
      </w:r>
      <w:r w:rsidRPr="00B07995">
        <w:rPr>
          <w:sz w:val="24"/>
          <w:szCs w:val="24"/>
        </w:rPr>
        <w:t>atorvastatin tabletter.</w:t>
      </w:r>
    </w:p>
    <w:p w:rsidR="00176E9B" w:rsidRPr="00B07995" w:rsidRDefault="00176E9B" w:rsidP="00176E9B">
      <w:pPr>
        <w:ind w:left="851" w:hanging="851"/>
        <w:rPr>
          <w:sz w:val="24"/>
          <w:szCs w:val="24"/>
        </w:rPr>
      </w:pPr>
    </w:p>
    <w:p w:rsidR="00176E9B" w:rsidRPr="00B07995" w:rsidRDefault="00176E9B" w:rsidP="00176E9B">
      <w:pPr>
        <w:pStyle w:val="Body"/>
        <w:keepNext/>
        <w:ind w:left="851" w:firstLine="0"/>
        <w:rPr>
          <w:rFonts w:ascii="Times New Roman" w:hAnsi="Times New Roman"/>
          <w:color w:val="000000"/>
          <w:sz w:val="24"/>
          <w:szCs w:val="24"/>
          <w:u w:val="single"/>
          <w:lang w:val="da-DK"/>
        </w:rPr>
      </w:pPr>
      <w:r w:rsidRPr="00B07995">
        <w:rPr>
          <w:rFonts w:ascii="Times New Roman" w:hAnsi="Times New Roman"/>
          <w:sz w:val="24"/>
          <w:szCs w:val="24"/>
          <w:u w:val="single"/>
          <w:lang w:val="da-DK"/>
        </w:rPr>
        <w:t>Absorption</w:t>
      </w:r>
    </w:p>
    <w:p w:rsidR="00176E9B" w:rsidRPr="00B07995" w:rsidRDefault="00176E9B" w:rsidP="00176E9B">
      <w:pPr>
        <w:ind w:left="851"/>
        <w:rPr>
          <w:i/>
          <w:sz w:val="24"/>
          <w:szCs w:val="24"/>
        </w:rPr>
      </w:pPr>
      <w:r w:rsidRPr="00B07995">
        <w:rPr>
          <w:i/>
          <w:sz w:val="24"/>
          <w:szCs w:val="24"/>
        </w:rPr>
        <w:t>Atozet</w:t>
      </w:r>
    </w:p>
    <w:p w:rsidR="00176E9B" w:rsidRPr="00B07995" w:rsidRDefault="00176E9B" w:rsidP="00176E9B">
      <w:pPr>
        <w:ind w:left="851"/>
        <w:rPr>
          <w:color w:val="000000"/>
          <w:sz w:val="24"/>
          <w:szCs w:val="24"/>
          <w:lang w:bidi="th-TH"/>
        </w:rPr>
      </w:pPr>
      <w:bookmarkStart w:id="4" w:name="OLE_LINK33"/>
      <w:bookmarkStart w:id="5" w:name="OLE_LINK34"/>
      <w:r w:rsidRPr="00B07995">
        <w:rPr>
          <w:color w:val="000000"/>
          <w:sz w:val="24"/>
          <w:szCs w:val="24"/>
          <w:lang w:bidi="th-TH"/>
        </w:rPr>
        <w:t xml:space="preserve">Virkningen af et fedtrigt måltid på farmakokinetikken for </w:t>
      </w:r>
      <w:r>
        <w:rPr>
          <w:color w:val="000000"/>
          <w:sz w:val="24"/>
          <w:szCs w:val="24"/>
          <w:lang w:bidi="th-TH"/>
        </w:rPr>
        <w:t>ezetimib</w:t>
      </w:r>
      <w:r w:rsidRPr="00B07995">
        <w:rPr>
          <w:color w:val="000000"/>
          <w:sz w:val="24"/>
          <w:szCs w:val="24"/>
          <w:lang w:bidi="th-TH"/>
        </w:rPr>
        <w:t xml:space="preserve"> og atorvastatin, når disse administreres i form af Atozet tabletter, er sammenlignelig med den effekt, som blev rapporteret ved de individuelle tabletter.</w:t>
      </w:r>
      <w:bookmarkEnd w:id="4"/>
      <w:bookmarkEnd w:id="5"/>
    </w:p>
    <w:p w:rsidR="00176E9B" w:rsidRPr="00B07995" w:rsidRDefault="00176E9B" w:rsidP="00176E9B">
      <w:pPr>
        <w:ind w:left="851" w:hanging="851"/>
        <w:rPr>
          <w:sz w:val="24"/>
          <w:szCs w:val="24"/>
        </w:rPr>
      </w:pPr>
    </w:p>
    <w:p w:rsidR="00176E9B" w:rsidRPr="00B07995" w:rsidRDefault="00176E9B" w:rsidP="00176E9B">
      <w:pPr>
        <w:pStyle w:val="Body"/>
        <w:ind w:left="851" w:firstLine="0"/>
        <w:rPr>
          <w:rFonts w:ascii="Times New Roman" w:hAnsi="Times New Roman"/>
          <w:i/>
          <w:sz w:val="24"/>
          <w:szCs w:val="24"/>
          <w:lang w:val="da-DK"/>
        </w:rPr>
      </w:pPr>
      <w:r>
        <w:rPr>
          <w:rFonts w:ascii="Times New Roman" w:hAnsi="Times New Roman"/>
          <w:i/>
          <w:sz w:val="24"/>
          <w:szCs w:val="24"/>
          <w:lang w:val="da-DK"/>
        </w:rPr>
        <w:t>Ezetimib</w:t>
      </w:r>
    </w:p>
    <w:p w:rsidR="00176E9B" w:rsidRPr="00B07995" w:rsidRDefault="00176E9B" w:rsidP="00176E9B">
      <w:pPr>
        <w:ind w:left="851"/>
        <w:rPr>
          <w:sz w:val="24"/>
          <w:szCs w:val="24"/>
        </w:rPr>
      </w:pPr>
      <w:r w:rsidRPr="00B07995">
        <w:rPr>
          <w:sz w:val="24"/>
          <w:szCs w:val="24"/>
        </w:rPr>
        <w:t xml:space="preserve">Efter oral administration absorberes </w:t>
      </w:r>
      <w:r>
        <w:rPr>
          <w:sz w:val="24"/>
          <w:szCs w:val="24"/>
        </w:rPr>
        <w:t>ezetimib</w:t>
      </w:r>
      <w:r w:rsidRPr="00B07995">
        <w:rPr>
          <w:sz w:val="24"/>
          <w:szCs w:val="24"/>
        </w:rPr>
        <w:t xml:space="preserve"> hurtigt og konjugeres i udstrakt grad til en farmakologisk aktiv fenolglucuronid (</w:t>
      </w:r>
      <w:r>
        <w:rPr>
          <w:sz w:val="24"/>
          <w:szCs w:val="24"/>
        </w:rPr>
        <w:t>ezetimib</w:t>
      </w:r>
      <w:r w:rsidRPr="00B07995">
        <w:rPr>
          <w:sz w:val="24"/>
          <w:szCs w:val="24"/>
        </w:rPr>
        <w:t>-glucuronid). Gennemsnitlig maksimal plasmakoncentration (C</w:t>
      </w:r>
      <w:r w:rsidRPr="00B07995">
        <w:rPr>
          <w:sz w:val="24"/>
          <w:szCs w:val="24"/>
          <w:vertAlign w:val="subscript"/>
        </w:rPr>
        <w:t>max</w:t>
      </w:r>
      <w:r w:rsidRPr="00B07995">
        <w:rPr>
          <w:sz w:val="24"/>
          <w:szCs w:val="24"/>
        </w:rPr>
        <w:t xml:space="preserve">) nås inden for 1-2 timer for </w:t>
      </w:r>
      <w:r>
        <w:rPr>
          <w:sz w:val="24"/>
          <w:szCs w:val="24"/>
        </w:rPr>
        <w:t>ezetimib</w:t>
      </w:r>
      <w:r w:rsidRPr="00B07995">
        <w:rPr>
          <w:sz w:val="24"/>
          <w:szCs w:val="24"/>
        </w:rPr>
        <w:t xml:space="preserve">-glucuronid og 4-12 timer for </w:t>
      </w:r>
      <w:r>
        <w:rPr>
          <w:sz w:val="24"/>
          <w:szCs w:val="24"/>
        </w:rPr>
        <w:t>ezetimib</w:t>
      </w:r>
      <w:r w:rsidRPr="00B07995">
        <w:rPr>
          <w:sz w:val="24"/>
          <w:szCs w:val="24"/>
        </w:rPr>
        <w:t xml:space="preserve">. Den absolutte biotilgængelighed for </w:t>
      </w:r>
      <w:r>
        <w:rPr>
          <w:sz w:val="24"/>
          <w:szCs w:val="24"/>
        </w:rPr>
        <w:t>ezetimib</w:t>
      </w:r>
      <w:r w:rsidRPr="00B07995">
        <w:rPr>
          <w:sz w:val="24"/>
          <w:szCs w:val="24"/>
        </w:rPr>
        <w:t xml:space="preserve"> kan ikke bestemmes, da stoffet praktisk talt er uopløseligt i væske velegnet til injektion.</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 xml:space="preserve">Samtidigt fødeindtag (både fedtrige og fedtfattige måltider) havde ingen effekt på den orale biotilgængelighed af </w:t>
      </w:r>
      <w:r>
        <w:rPr>
          <w:sz w:val="24"/>
          <w:szCs w:val="24"/>
        </w:rPr>
        <w:t>ezetimib</w:t>
      </w:r>
      <w:r w:rsidRPr="00B07995">
        <w:rPr>
          <w:sz w:val="24"/>
          <w:szCs w:val="24"/>
        </w:rPr>
        <w:t xml:space="preserve">, når denne blev administreret i form af 10 mg tabletter. </w:t>
      </w:r>
    </w:p>
    <w:p w:rsidR="00176E9B" w:rsidRPr="00B07995" w:rsidRDefault="00176E9B" w:rsidP="00176E9B">
      <w:pPr>
        <w:ind w:left="851" w:hanging="851"/>
        <w:rPr>
          <w:sz w:val="24"/>
          <w:szCs w:val="24"/>
        </w:rPr>
      </w:pPr>
    </w:p>
    <w:p w:rsidR="00176E9B" w:rsidRPr="00B07995" w:rsidRDefault="00176E9B" w:rsidP="00E8570F">
      <w:pPr>
        <w:pStyle w:val="Body"/>
        <w:keepNext/>
        <w:ind w:left="851" w:firstLine="0"/>
        <w:rPr>
          <w:rFonts w:ascii="Times New Roman" w:hAnsi="Times New Roman"/>
          <w:i/>
          <w:sz w:val="24"/>
          <w:szCs w:val="24"/>
          <w:lang w:val="da-DK"/>
        </w:rPr>
      </w:pPr>
      <w:r w:rsidRPr="00B07995">
        <w:rPr>
          <w:rFonts w:ascii="Times New Roman" w:hAnsi="Times New Roman"/>
          <w:i/>
          <w:sz w:val="24"/>
          <w:szCs w:val="24"/>
          <w:lang w:val="da-DK"/>
        </w:rPr>
        <w:lastRenderedPageBreak/>
        <w:t>Atorvastatin</w:t>
      </w:r>
    </w:p>
    <w:p w:rsidR="00176E9B" w:rsidRPr="00B07995" w:rsidRDefault="00176E9B" w:rsidP="00176E9B">
      <w:pPr>
        <w:pStyle w:val="Body"/>
        <w:ind w:left="851" w:firstLine="0"/>
        <w:rPr>
          <w:rFonts w:ascii="Times New Roman" w:hAnsi="Times New Roman"/>
          <w:sz w:val="24"/>
          <w:szCs w:val="24"/>
          <w:lang w:val="da-DK"/>
        </w:rPr>
      </w:pPr>
      <w:r w:rsidRPr="00B07995">
        <w:rPr>
          <w:rFonts w:ascii="Times New Roman" w:hAnsi="Times New Roman"/>
          <w:sz w:val="24"/>
          <w:szCs w:val="24"/>
          <w:lang w:val="da-DK"/>
        </w:rPr>
        <w:t>Atorvastatin absorberes hurtigt efter oral administration, og maksimal plasmakoncentration (C</w:t>
      </w:r>
      <w:r w:rsidRPr="00B07995">
        <w:rPr>
          <w:rFonts w:ascii="Times New Roman" w:hAnsi="Times New Roman"/>
          <w:sz w:val="24"/>
          <w:szCs w:val="24"/>
          <w:vertAlign w:val="subscript"/>
          <w:lang w:val="da-DK"/>
        </w:rPr>
        <w:t>max</w:t>
      </w:r>
      <w:r w:rsidRPr="00B07995">
        <w:rPr>
          <w:rFonts w:ascii="Times New Roman" w:hAnsi="Times New Roman"/>
          <w:sz w:val="24"/>
          <w:szCs w:val="24"/>
          <w:lang w:val="da-DK"/>
        </w:rPr>
        <w:t>) opnås i løbet af 1-2 timer. Omfanget af absorptionen stiger proportionalt med atorvastatin-dosis. Atorvastatins biotilgængelighed efter oral indtagelse af atorvastatin filmovertrukne tabletter er 95% til 99% af biotilgængeligheden af atorvastatin som oral opløsning. Absolut biotilgængelighed af atorvastatin er ca. 12%, og systemisk tilgængelighed af HMG-CoA-reduktasehæmmer-aktivitet er ca. 30%. Den lave systemiske tilgængelighed skyldes præsystemisk clearance i mave-tarm-kanalens slimhinde og/eller førstepassage-metabolisme i leveren.</w:t>
      </w:r>
    </w:p>
    <w:p w:rsidR="00176E9B" w:rsidRPr="00B07995" w:rsidRDefault="00176E9B" w:rsidP="00176E9B">
      <w:pPr>
        <w:ind w:left="851" w:hanging="851"/>
        <w:rPr>
          <w:sz w:val="24"/>
          <w:szCs w:val="24"/>
        </w:rPr>
      </w:pPr>
    </w:p>
    <w:p w:rsidR="00176E9B" w:rsidRPr="00B07995" w:rsidRDefault="00176E9B" w:rsidP="00176E9B">
      <w:pPr>
        <w:keepNext/>
        <w:ind w:left="851"/>
        <w:rPr>
          <w:sz w:val="24"/>
          <w:szCs w:val="24"/>
        </w:rPr>
      </w:pPr>
      <w:r w:rsidRPr="00B07995">
        <w:rPr>
          <w:sz w:val="24"/>
          <w:szCs w:val="24"/>
          <w:u w:val="single"/>
        </w:rPr>
        <w:t>Fordeling</w:t>
      </w:r>
    </w:p>
    <w:p w:rsidR="00176E9B" w:rsidRPr="00B07995" w:rsidRDefault="00176E9B" w:rsidP="00176E9B">
      <w:pPr>
        <w:keepNext/>
        <w:ind w:left="851"/>
        <w:rPr>
          <w:i/>
          <w:sz w:val="24"/>
          <w:szCs w:val="24"/>
        </w:rPr>
      </w:pPr>
      <w:r>
        <w:rPr>
          <w:i/>
          <w:sz w:val="24"/>
          <w:szCs w:val="24"/>
        </w:rPr>
        <w:t>Ezetimib</w:t>
      </w:r>
    </w:p>
    <w:p w:rsidR="00176E9B" w:rsidRPr="00B07995" w:rsidRDefault="00176E9B" w:rsidP="00176E9B">
      <w:pPr>
        <w:ind w:left="851"/>
        <w:rPr>
          <w:sz w:val="24"/>
          <w:szCs w:val="24"/>
        </w:rPr>
      </w:pPr>
      <w:r>
        <w:rPr>
          <w:sz w:val="24"/>
          <w:szCs w:val="24"/>
        </w:rPr>
        <w:t>Ezetimib</w:t>
      </w:r>
      <w:r w:rsidRPr="00B07995">
        <w:rPr>
          <w:sz w:val="24"/>
          <w:szCs w:val="24"/>
        </w:rPr>
        <w:t xml:space="preserve"> og </w:t>
      </w:r>
      <w:r>
        <w:rPr>
          <w:sz w:val="24"/>
          <w:szCs w:val="24"/>
        </w:rPr>
        <w:t>ezetimib</w:t>
      </w:r>
      <w:r w:rsidRPr="00B07995">
        <w:rPr>
          <w:sz w:val="24"/>
          <w:szCs w:val="24"/>
        </w:rPr>
        <w:noBreakHyphen/>
        <w:t>glucuronid bindes henholdsvis 99,7% og 88-92% til humane plasmaproteiner.</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autoSpaceDE w:val="0"/>
        <w:autoSpaceDN w:val="0"/>
        <w:adjustRightInd w:val="0"/>
        <w:ind w:left="851"/>
        <w:rPr>
          <w:sz w:val="24"/>
          <w:szCs w:val="24"/>
        </w:rPr>
      </w:pPr>
      <w:r w:rsidRPr="00B07995">
        <w:rPr>
          <w:sz w:val="24"/>
          <w:szCs w:val="24"/>
        </w:rPr>
        <w:t xml:space="preserve">Det gennemsnitlige fordelingsvolumen af atorvastatin er ca. 381 l. Atorvastatin er bundet </w:t>
      </w:r>
      <w:r w:rsidRPr="00B07995">
        <w:rPr>
          <w:sz w:val="24"/>
          <w:szCs w:val="24"/>
        </w:rPr>
        <w:sym w:font="Symbol" w:char="00B3"/>
      </w:r>
      <w:r w:rsidRPr="00B07995">
        <w:rPr>
          <w:sz w:val="24"/>
          <w:szCs w:val="24"/>
        </w:rPr>
        <w:t>98% til plasmaproteiner.</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u w:val="single"/>
        </w:rPr>
        <w:t>Biotransformation</w:t>
      </w: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rPr>
          <w:color w:val="000000"/>
          <w:sz w:val="24"/>
          <w:szCs w:val="24"/>
        </w:rPr>
      </w:pPr>
      <w:r>
        <w:rPr>
          <w:sz w:val="24"/>
          <w:szCs w:val="24"/>
        </w:rPr>
        <w:t>Ezetimib</w:t>
      </w:r>
      <w:r w:rsidRPr="00B07995">
        <w:rPr>
          <w:sz w:val="24"/>
          <w:szCs w:val="24"/>
        </w:rPr>
        <w:t xml:space="preserve"> metaboliseres primært i tyndtarmen og lever via glucuronid-konjugering (fase II-reaktion) med efterfølgende udskillelse via galden. Der er set minimal oxidativ metabolisme (fase I-reaktion) hos alle undersøgte arter. </w:t>
      </w:r>
      <w:r>
        <w:rPr>
          <w:sz w:val="24"/>
          <w:szCs w:val="24"/>
        </w:rPr>
        <w:t>Ezetimib</w:t>
      </w:r>
      <w:r w:rsidRPr="00B07995">
        <w:rPr>
          <w:sz w:val="24"/>
          <w:szCs w:val="24"/>
        </w:rPr>
        <w:t xml:space="preserve"> og </w:t>
      </w:r>
      <w:r>
        <w:rPr>
          <w:sz w:val="24"/>
          <w:szCs w:val="24"/>
        </w:rPr>
        <w:t>ezetimib</w:t>
      </w:r>
      <w:r w:rsidRPr="00B07995">
        <w:rPr>
          <w:sz w:val="24"/>
          <w:szCs w:val="24"/>
        </w:rPr>
        <w:t xml:space="preserve">-glucuronid er de primære lægemiddelderiverede stoffer fundet i plasma og udgør henholdsvis ca. 10-20% og 80-90% af den totale mængde stof i plasma. Både </w:t>
      </w:r>
      <w:r>
        <w:rPr>
          <w:sz w:val="24"/>
          <w:szCs w:val="24"/>
        </w:rPr>
        <w:t>ezetimib</w:t>
      </w:r>
      <w:r w:rsidRPr="00B07995">
        <w:rPr>
          <w:sz w:val="24"/>
          <w:szCs w:val="24"/>
        </w:rPr>
        <w:t xml:space="preserve"> og </w:t>
      </w:r>
      <w:r>
        <w:rPr>
          <w:sz w:val="24"/>
          <w:szCs w:val="24"/>
        </w:rPr>
        <w:t>ezetimib</w:t>
      </w:r>
      <w:r w:rsidRPr="00B07995">
        <w:rPr>
          <w:sz w:val="24"/>
          <w:szCs w:val="24"/>
        </w:rPr>
        <w:t xml:space="preserve">-glucuronid elimineres langsomt fra plasma med tegn på signifikant enterohepatisk recirkulation. Halveringstiden for </w:t>
      </w:r>
      <w:r>
        <w:rPr>
          <w:sz w:val="24"/>
          <w:szCs w:val="24"/>
        </w:rPr>
        <w:t>ezetimib</w:t>
      </w:r>
      <w:r w:rsidRPr="00B07995">
        <w:rPr>
          <w:sz w:val="24"/>
          <w:szCs w:val="24"/>
        </w:rPr>
        <w:t xml:space="preserve"> og </w:t>
      </w:r>
      <w:r>
        <w:rPr>
          <w:sz w:val="24"/>
          <w:szCs w:val="24"/>
        </w:rPr>
        <w:t>ezetimib</w:t>
      </w:r>
      <w:r w:rsidRPr="00B07995">
        <w:rPr>
          <w:sz w:val="24"/>
          <w:szCs w:val="24"/>
        </w:rPr>
        <w:t>-glucuronid er ca. 22</w:t>
      </w:r>
      <w:r w:rsidRPr="00B07995">
        <w:rPr>
          <w:color w:val="000000"/>
          <w:sz w:val="24"/>
          <w:szCs w:val="24"/>
        </w:rPr>
        <w:t> timer.</w:t>
      </w:r>
    </w:p>
    <w:p w:rsidR="00176E9B" w:rsidRPr="00B07995" w:rsidRDefault="00176E9B" w:rsidP="00176E9B">
      <w:pPr>
        <w:ind w:left="851" w:hanging="851"/>
        <w:rPr>
          <w:color w:val="000000"/>
          <w:sz w:val="24"/>
          <w:szCs w:val="24"/>
        </w:rPr>
      </w:pPr>
    </w:p>
    <w:p w:rsidR="00176E9B" w:rsidRPr="00B07995" w:rsidRDefault="00176E9B" w:rsidP="00176E9B">
      <w:pPr>
        <w:ind w:left="851"/>
        <w:rPr>
          <w:sz w:val="24"/>
          <w:szCs w:val="24"/>
        </w:rPr>
      </w:pPr>
      <w:r w:rsidRPr="00B07995">
        <w:rPr>
          <w:i/>
          <w:sz w:val="24"/>
          <w:szCs w:val="24"/>
        </w:rPr>
        <w:t>Atorvastatin</w:t>
      </w:r>
    </w:p>
    <w:p w:rsidR="00300145" w:rsidRDefault="00300145" w:rsidP="00300145">
      <w:pPr>
        <w:ind w:left="851"/>
        <w:rPr>
          <w:sz w:val="24"/>
          <w:szCs w:val="24"/>
        </w:rPr>
      </w:pPr>
      <w:r>
        <w:rPr>
          <w:sz w:val="24"/>
          <w:szCs w:val="24"/>
        </w:rPr>
        <w:t xml:space="preserve">Atorvastatin metaboliseres af CYP-isoenzymet 3A4 (CYP3A4) til orto- og parahydroxylerede derivater og forskellige beta-oxidationsprodukter. Ud over andre omdannelsesveje metaboliseres disse stoffer yderligere ved omdannelse til glucuronid. </w:t>
      </w:r>
      <w:r>
        <w:rPr>
          <w:i/>
          <w:sz w:val="24"/>
          <w:szCs w:val="24"/>
        </w:rPr>
        <w:t>In vitro</w:t>
      </w:r>
      <w:r>
        <w:rPr>
          <w:sz w:val="24"/>
          <w:szCs w:val="24"/>
        </w:rPr>
        <w:t>-hæmning af HMG-CoA-reduktase af orto- og parahydroxylerede metabolitter svarer til hæmningen af atorvastatin. Ca. 70% af hæmningen af HMG-CoA-reduktase tilskrives aktive metabolitter.</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Elimination</w:t>
      </w: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rPr>
          <w:sz w:val="24"/>
          <w:szCs w:val="24"/>
        </w:rPr>
      </w:pPr>
      <w:r w:rsidRPr="00B07995">
        <w:rPr>
          <w:sz w:val="24"/>
          <w:szCs w:val="24"/>
        </w:rPr>
        <w:t xml:space="preserve">Efter oral administration af </w:t>
      </w:r>
      <w:r w:rsidRPr="00B07995">
        <w:rPr>
          <w:sz w:val="24"/>
          <w:szCs w:val="24"/>
          <w:vertAlign w:val="superscript"/>
        </w:rPr>
        <w:t>14</w:t>
      </w:r>
      <w:r w:rsidRPr="00B07995">
        <w:rPr>
          <w:sz w:val="24"/>
          <w:szCs w:val="24"/>
        </w:rPr>
        <w:t>C-</w:t>
      </w:r>
      <w:r>
        <w:rPr>
          <w:sz w:val="24"/>
          <w:szCs w:val="24"/>
        </w:rPr>
        <w:t>ezetimib</w:t>
      </w:r>
      <w:r w:rsidRPr="00B07995">
        <w:rPr>
          <w:sz w:val="24"/>
          <w:szCs w:val="24"/>
        </w:rPr>
        <w:t xml:space="preserve"> (20 mg) til raske frivillige udgjorde total-</w:t>
      </w:r>
      <w:r>
        <w:rPr>
          <w:sz w:val="24"/>
          <w:szCs w:val="24"/>
        </w:rPr>
        <w:t>ezetimib</w:t>
      </w:r>
      <w:r w:rsidRPr="00B07995">
        <w:rPr>
          <w:sz w:val="24"/>
          <w:szCs w:val="24"/>
        </w:rPr>
        <w:t xml:space="preserve"> ca. 93% af den totale radioaktivitet i plasma. Henholdsvis ca. 78% og 11% af den administrerede radioaktivitet blev genfundet i fæces og urin over en 10 dages opsamlingsperiode. Efter 48 timer fandtes ingen målbare niveauer af radioaktivitet i plasma.</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Default="00176E9B" w:rsidP="00176E9B">
      <w:pPr>
        <w:autoSpaceDE w:val="0"/>
        <w:autoSpaceDN w:val="0"/>
        <w:adjustRightInd w:val="0"/>
        <w:ind w:left="851"/>
        <w:rPr>
          <w:sz w:val="24"/>
          <w:szCs w:val="24"/>
        </w:rPr>
      </w:pPr>
      <w:r w:rsidRPr="00B07995">
        <w:rPr>
          <w:sz w:val="24"/>
          <w:szCs w:val="24"/>
        </w:rPr>
        <w:t>Atorvastatin udskilles primært i galde efter hepatisk og/eller ekstrahepatisk metabolisme. Lægemidlet synes dog ikke at gennemgå signifikant enterohepatisk recirkulation. Den gennemsnitlige halveringstid for atorvastatin i plasma er ca. 14 timer hos mennesker. På grund af de aktive metabolitter er halveringstiden af HMG-CoA-reduktasehæmningen ca. 20-30 timer.</w:t>
      </w:r>
    </w:p>
    <w:p w:rsidR="00176E9B" w:rsidRPr="005E59F7" w:rsidRDefault="00176E9B" w:rsidP="00176E9B">
      <w:pPr>
        <w:autoSpaceDE w:val="0"/>
        <w:autoSpaceDN w:val="0"/>
        <w:adjustRightInd w:val="0"/>
        <w:ind w:left="851"/>
        <w:rPr>
          <w:sz w:val="24"/>
          <w:szCs w:val="24"/>
        </w:rPr>
      </w:pPr>
    </w:p>
    <w:p w:rsidR="00176E9B" w:rsidRPr="005E59F7" w:rsidRDefault="00176E9B" w:rsidP="00176E9B">
      <w:pPr>
        <w:ind w:left="851"/>
        <w:rPr>
          <w:sz w:val="24"/>
          <w:szCs w:val="24"/>
        </w:rPr>
      </w:pPr>
      <w:r w:rsidRPr="005E59F7">
        <w:rPr>
          <w:sz w:val="24"/>
          <w:szCs w:val="24"/>
        </w:rPr>
        <w:t xml:space="preserve">Atorvastatin er et substrat for de hepatiske transportører, organisk anion-transport-polypeptid 1B1 (OATP1B1) og 1B3 (OATP1B3). Metabolitter af atorvastatin er substrater for OATP1B1. Atorvastatin er også identificeret som et substrat for efflukstransportørerne multi-drug-resistent protein 1 (MDR1) og brystcancer-resistent protein (BCRP), hvilket kan begrænse den intestinale absorption og biliære </w:t>
      </w:r>
      <w:r w:rsidRPr="005E59F7">
        <w:rPr>
          <w:i/>
          <w:sz w:val="24"/>
          <w:szCs w:val="24"/>
        </w:rPr>
        <w:t>clearance</w:t>
      </w:r>
      <w:r w:rsidRPr="005E59F7">
        <w:rPr>
          <w:sz w:val="24"/>
          <w:szCs w:val="24"/>
        </w:rPr>
        <w:t xml:space="preserve"> af atorvastatin.</w:t>
      </w:r>
    </w:p>
    <w:p w:rsidR="00176E9B" w:rsidRPr="00B07995" w:rsidRDefault="00176E9B" w:rsidP="00176E9B">
      <w:pPr>
        <w:ind w:left="851" w:hanging="851"/>
        <w:rPr>
          <w:sz w:val="24"/>
          <w:szCs w:val="24"/>
        </w:rPr>
      </w:pPr>
    </w:p>
    <w:p w:rsidR="00176E9B" w:rsidRPr="00B07995" w:rsidRDefault="00176E9B" w:rsidP="00176E9B">
      <w:pPr>
        <w:keepNext/>
        <w:ind w:left="851"/>
        <w:rPr>
          <w:sz w:val="24"/>
          <w:szCs w:val="24"/>
          <w:u w:val="single"/>
        </w:rPr>
      </w:pPr>
      <w:r w:rsidRPr="00B07995">
        <w:rPr>
          <w:sz w:val="24"/>
          <w:szCs w:val="24"/>
          <w:u w:val="single"/>
        </w:rPr>
        <w:t>Pædiatrisk population</w:t>
      </w:r>
    </w:p>
    <w:p w:rsidR="00176E9B" w:rsidRPr="00B07995" w:rsidRDefault="00176E9B" w:rsidP="00176E9B">
      <w:pPr>
        <w:keepNext/>
        <w:ind w:left="851"/>
        <w:rPr>
          <w:i/>
          <w:sz w:val="24"/>
          <w:szCs w:val="24"/>
        </w:rPr>
      </w:pPr>
      <w:r>
        <w:rPr>
          <w:i/>
          <w:sz w:val="24"/>
          <w:szCs w:val="24"/>
        </w:rPr>
        <w:t>Ezetimib</w:t>
      </w:r>
    </w:p>
    <w:p w:rsidR="00176E9B" w:rsidRPr="0008453A" w:rsidRDefault="00176E9B" w:rsidP="00176E9B">
      <w:pPr>
        <w:ind w:left="851"/>
        <w:rPr>
          <w:sz w:val="24"/>
          <w:szCs w:val="24"/>
        </w:rPr>
      </w:pPr>
      <w:r w:rsidRPr="0008453A">
        <w:rPr>
          <w:sz w:val="24"/>
          <w:szCs w:val="24"/>
        </w:rPr>
        <w:t>Ezetimibs farmakokinetik er sammelignelig hos børn ≥ 6 år og voksne. Der findes ingen farmakokinetiske data for børn &lt; 6 år. Klinisk erfaring hos børn og unge patienter inkluderer patienter med HoFH, HeFH eller sitosterolæmi.</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autoSpaceDE w:val="0"/>
        <w:autoSpaceDN w:val="0"/>
        <w:adjustRightInd w:val="0"/>
        <w:ind w:left="851"/>
        <w:rPr>
          <w:sz w:val="24"/>
          <w:szCs w:val="24"/>
        </w:rPr>
      </w:pPr>
      <w:r w:rsidRPr="00B07995">
        <w:rPr>
          <w:sz w:val="24"/>
          <w:szCs w:val="24"/>
        </w:rPr>
        <w:t xml:space="preserve">I et </w:t>
      </w:r>
      <w:proofErr w:type="gramStart"/>
      <w:r w:rsidRPr="00B07995">
        <w:rPr>
          <w:sz w:val="24"/>
          <w:szCs w:val="24"/>
        </w:rPr>
        <w:t>open-label studie</w:t>
      </w:r>
      <w:proofErr w:type="gramEnd"/>
      <w:r w:rsidRPr="00B07995">
        <w:rPr>
          <w:sz w:val="24"/>
          <w:szCs w:val="24"/>
        </w:rPr>
        <w:t xml:space="preserve"> af 8 ugers varighed blev pædiatriske patienter (6-17 år) i Tanner-stadie 1 (N=15) og Tanner-stadie 2 (N=24) med heterozygot familiær hyperkolesterolæmi og LDL-C ≥ 4 mmol/l ved </w:t>
      </w:r>
      <w:r w:rsidRPr="00B07995">
        <w:rPr>
          <w:i/>
          <w:sz w:val="24"/>
          <w:szCs w:val="24"/>
        </w:rPr>
        <w:t>baseline</w:t>
      </w:r>
      <w:r w:rsidRPr="00B07995">
        <w:rPr>
          <w:sz w:val="24"/>
          <w:szCs w:val="24"/>
        </w:rPr>
        <w:t xml:space="preserve"> behandlet med henholdsvis 5 eller 10 mg tyggetabletter eller 10 eller 20 mg filmovertrukne atorvastatin tabletter en gang </w:t>
      </w:r>
      <w:r>
        <w:rPr>
          <w:sz w:val="24"/>
          <w:szCs w:val="24"/>
        </w:rPr>
        <w:t>daglig</w:t>
      </w:r>
      <w:r w:rsidRPr="00B07995">
        <w:rPr>
          <w:sz w:val="24"/>
          <w:szCs w:val="24"/>
        </w:rPr>
        <w:t>. Legemsvægt var den eneste signifikante kovariat i den farmakokinetiske model for atorvastatin</w:t>
      </w:r>
      <w:r>
        <w:rPr>
          <w:sz w:val="24"/>
          <w:szCs w:val="24"/>
        </w:rPr>
        <w:softHyphen/>
      </w:r>
      <w:r w:rsidRPr="00B07995">
        <w:rPr>
          <w:sz w:val="24"/>
          <w:szCs w:val="24"/>
        </w:rPr>
        <w:t>populationen. Den tilsyneladende clearance efter oral administration af atorvastatin til pædiatriske forsøgspersoner var sammenlignelig med voksnes efter korrektion for legemsvægt ved allometrisk skalering. Tilsvarende sås fald i LDL-C og total-C i forhold til atorvastatin- og o-hydroxyatorvastatin-niveauer.</w:t>
      </w:r>
    </w:p>
    <w:p w:rsidR="00176E9B" w:rsidRPr="00B07995" w:rsidRDefault="00176E9B" w:rsidP="00176E9B">
      <w:pPr>
        <w:autoSpaceDE w:val="0"/>
        <w:autoSpaceDN w:val="0"/>
        <w:adjustRightInd w:val="0"/>
        <w:ind w:left="851" w:hanging="851"/>
        <w:rPr>
          <w:sz w:val="24"/>
          <w:szCs w:val="24"/>
        </w:rPr>
      </w:pPr>
    </w:p>
    <w:p w:rsidR="00176E9B" w:rsidRPr="00B07995" w:rsidRDefault="00176E9B" w:rsidP="00176E9B">
      <w:pPr>
        <w:ind w:left="851"/>
        <w:rPr>
          <w:sz w:val="24"/>
          <w:szCs w:val="24"/>
          <w:u w:val="single"/>
        </w:rPr>
      </w:pPr>
      <w:r>
        <w:rPr>
          <w:sz w:val="24"/>
          <w:szCs w:val="24"/>
          <w:u w:val="single"/>
        </w:rPr>
        <w:t>Ældre</w:t>
      </w: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rPr>
          <w:sz w:val="24"/>
          <w:szCs w:val="24"/>
        </w:rPr>
      </w:pPr>
      <w:r w:rsidRPr="00B07995">
        <w:rPr>
          <w:sz w:val="24"/>
          <w:szCs w:val="24"/>
        </w:rPr>
        <w:t>Plasmakoncentrationerne af total-</w:t>
      </w:r>
      <w:r>
        <w:rPr>
          <w:sz w:val="24"/>
          <w:szCs w:val="24"/>
        </w:rPr>
        <w:t>ezetimib</w:t>
      </w:r>
      <w:r w:rsidRPr="00B07995">
        <w:rPr>
          <w:sz w:val="24"/>
          <w:szCs w:val="24"/>
        </w:rPr>
        <w:t xml:space="preserve"> er ca. 2 gange højere hos ældre patienter (≥65 år) end hos yngre patienter (18-45 år). LDL-C-reduktion og sikkerhedsprofil er sammenlignelig hos ældre patienter og yngre patienter behandlet med </w:t>
      </w:r>
      <w:r>
        <w:rPr>
          <w:sz w:val="24"/>
          <w:szCs w:val="24"/>
        </w:rPr>
        <w:t>ezetimib</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keepNext/>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Plasmakoncentrationerne af atorvastatin og dets aktive metabolitter er højere hos raske ældre end hos yngre voksne, mens virkningen på lipiderne er sammenlignelig med den, som ses hos yngre patientpopulationer.</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Nedsat leverfunktion</w:t>
      </w: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rPr>
          <w:sz w:val="24"/>
          <w:szCs w:val="24"/>
        </w:rPr>
      </w:pPr>
      <w:r w:rsidRPr="00B07995">
        <w:rPr>
          <w:sz w:val="24"/>
          <w:szCs w:val="24"/>
        </w:rPr>
        <w:t xml:space="preserve">Efter administration af enkeltdosis </w:t>
      </w:r>
      <w:r>
        <w:rPr>
          <w:sz w:val="24"/>
          <w:szCs w:val="24"/>
        </w:rPr>
        <w:t>ezetimib</w:t>
      </w:r>
      <w:r w:rsidRPr="00B07995">
        <w:rPr>
          <w:sz w:val="24"/>
          <w:szCs w:val="24"/>
        </w:rPr>
        <w:t xml:space="preserve"> på 10 mg øgedes gennemsnitligt areal under kurven (AUC) for total-</w:t>
      </w:r>
      <w:r>
        <w:rPr>
          <w:sz w:val="24"/>
          <w:szCs w:val="24"/>
        </w:rPr>
        <w:t>ezetimib</w:t>
      </w:r>
      <w:r w:rsidRPr="00B07995">
        <w:rPr>
          <w:sz w:val="24"/>
          <w:szCs w:val="24"/>
        </w:rPr>
        <w:t xml:space="preserve"> med ca. 1,7 gange hos patienter med let nedsat leverfunktion (Child-Pugh score 5 eller 6) sammenlignet med raske frivillige. I et 14-dages studie med gentagne doser (10 mg </w:t>
      </w:r>
      <w:r>
        <w:rPr>
          <w:sz w:val="24"/>
          <w:szCs w:val="24"/>
        </w:rPr>
        <w:t>daglig</w:t>
      </w:r>
      <w:r w:rsidRPr="00B07995">
        <w:rPr>
          <w:sz w:val="24"/>
          <w:szCs w:val="24"/>
        </w:rPr>
        <w:t>) hos patienter med moderat nedsat leverfunktion (Child-Pugh score 7-9) var det gennemsnitlige AUC for total-</w:t>
      </w:r>
      <w:r>
        <w:rPr>
          <w:sz w:val="24"/>
          <w:szCs w:val="24"/>
        </w:rPr>
        <w:t>ezetimib</w:t>
      </w:r>
      <w:r w:rsidRPr="00B07995">
        <w:rPr>
          <w:sz w:val="24"/>
          <w:szCs w:val="24"/>
        </w:rPr>
        <w:t xml:space="preserve"> øget med ca. 4 gange på dag 1 og på dag 14 sammenlignet med raske frivillige. Dosisjustering er ikke nødvendig til patienter med let nedsat leverfunktion. På grund af den ukendte effekt ved øget eksponering for </w:t>
      </w:r>
      <w:r>
        <w:rPr>
          <w:sz w:val="24"/>
          <w:szCs w:val="24"/>
        </w:rPr>
        <w:t>ezetimib</w:t>
      </w:r>
      <w:r w:rsidRPr="00B07995">
        <w:rPr>
          <w:sz w:val="24"/>
          <w:szCs w:val="24"/>
        </w:rPr>
        <w:t xml:space="preserve"> hos patienter med moderat eller svært (Child-Pugh score &gt;9) nedsat leverfunktion, anbefales </w:t>
      </w:r>
      <w:r>
        <w:rPr>
          <w:sz w:val="24"/>
          <w:szCs w:val="24"/>
        </w:rPr>
        <w:t>ezetimib</w:t>
      </w:r>
      <w:r w:rsidRPr="00B07995">
        <w:rPr>
          <w:sz w:val="24"/>
          <w:szCs w:val="24"/>
        </w:rPr>
        <w:t xml:space="preserve"> ikke til disse patienter (se pkt. 4.2 og 4.4). </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Plasmakoncentrationerne af atorvastatin og dets aktive metabolitter er markant forhøjede (C</w:t>
      </w:r>
      <w:r w:rsidRPr="00B07995">
        <w:rPr>
          <w:sz w:val="24"/>
          <w:szCs w:val="24"/>
          <w:vertAlign w:val="subscript"/>
        </w:rPr>
        <w:t>max</w:t>
      </w:r>
      <w:r w:rsidRPr="00B07995">
        <w:rPr>
          <w:sz w:val="24"/>
          <w:szCs w:val="24"/>
        </w:rPr>
        <w:t xml:space="preserve"> ca. 16 gange og AUC ca. 11 gange) hos patienter med kronisk alkoholisk leversygdom (Child-Pugh B).</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Nedsat nyrefunktion</w:t>
      </w:r>
    </w:p>
    <w:p w:rsidR="00176E9B" w:rsidRPr="00B07995" w:rsidRDefault="00176E9B" w:rsidP="00176E9B">
      <w:pPr>
        <w:ind w:left="851"/>
        <w:rPr>
          <w:i/>
          <w:sz w:val="24"/>
          <w:szCs w:val="24"/>
        </w:rPr>
      </w:pPr>
      <w:r>
        <w:rPr>
          <w:i/>
          <w:sz w:val="24"/>
          <w:szCs w:val="24"/>
        </w:rPr>
        <w:t>Ezetimib</w:t>
      </w:r>
    </w:p>
    <w:p w:rsidR="00BB657C" w:rsidRPr="00BB657C" w:rsidRDefault="00BB657C" w:rsidP="00BB657C">
      <w:pPr>
        <w:ind w:left="851"/>
        <w:rPr>
          <w:sz w:val="24"/>
          <w:szCs w:val="24"/>
        </w:rPr>
      </w:pPr>
      <w:r w:rsidRPr="00BB657C">
        <w:rPr>
          <w:sz w:val="24"/>
          <w:szCs w:val="24"/>
        </w:rPr>
        <w:t>Efter administration af enkeltdosis ezetimib på 10 mg til patienter med svær nyresygdom (n = 8; gennemsnitlig kreatininclearance ≤30 ml/min/1,73 m</w:t>
      </w:r>
      <w:r w:rsidRPr="00BB657C">
        <w:rPr>
          <w:sz w:val="24"/>
          <w:szCs w:val="24"/>
          <w:vertAlign w:val="superscript"/>
        </w:rPr>
        <w:t>2</w:t>
      </w:r>
      <w:r w:rsidRPr="00BB657C">
        <w:rPr>
          <w:sz w:val="24"/>
          <w:szCs w:val="24"/>
        </w:rPr>
        <w:t>), øgedes gennemsnitligt AUC for total-ezetimib med ca. 1,5 gange sammenlignet med raske frivillige (n = 9).</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sz w:val="24"/>
          <w:szCs w:val="24"/>
        </w:rPr>
        <w:t>En anden patient i dette studie (nyretransplanteret og i behandling med mange lægemidler, inklusive ciclosporin) havde en 12 gange større eksponering for total-</w:t>
      </w:r>
      <w:r>
        <w:rPr>
          <w:sz w:val="24"/>
          <w:szCs w:val="24"/>
        </w:rPr>
        <w:t>ezetimib</w:t>
      </w:r>
      <w:r w:rsidRPr="00B07995">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Nyresygdomme har ingen indflydelse på plasmakoncentrationerne af atorvastatin og dets aktive metabolitter eller på deres effekt på lipiderne.</w:t>
      </w:r>
    </w:p>
    <w:p w:rsidR="00176E9B" w:rsidRPr="00B07995"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Køn</w:t>
      </w:r>
    </w:p>
    <w:p w:rsidR="00176E9B" w:rsidRPr="00B07995" w:rsidRDefault="00176E9B" w:rsidP="00176E9B">
      <w:pPr>
        <w:ind w:left="851"/>
        <w:rPr>
          <w:i/>
          <w:sz w:val="24"/>
          <w:szCs w:val="24"/>
        </w:rPr>
      </w:pPr>
      <w:r>
        <w:rPr>
          <w:i/>
          <w:sz w:val="24"/>
          <w:szCs w:val="24"/>
        </w:rPr>
        <w:t>Ezetimib</w:t>
      </w:r>
    </w:p>
    <w:p w:rsidR="00176E9B" w:rsidRPr="00B07995" w:rsidRDefault="00176E9B" w:rsidP="00176E9B">
      <w:pPr>
        <w:ind w:left="851"/>
        <w:rPr>
          <w:sz w:val="24"/>
          <w:szCs w:val="24"/>
        </w:rPr>
      </w:pPr>
      <w:r w:rsidRPr="00B07995">
        <w:rPr>
          <w:sz w:val="24"/>
          <w:szCs w:val="24"/>
        </w:rPr>
        <w:t>Plasmakoncentrationen af total-</w:t>
      </w:r>
      <w:r>
        <w:rPr>
          <w:sz w:val="24"/>
          <w:szCs w:val="24"/>
        </w:rPr>
        <w:t>ezetimib</w:t>
      </w:r>
      <w:r w:rsidRPr="00B07995">
        <w:rPr>
          <w:sz w:val="24"/>
          <w:szCs w:val="24"/>
        </w:rPr>
        <w:t xml:space="preserve"> er lidt højere (ca. 20%) hos kvinder end hos mænd. LDL-C-reduktion og sikkerhedsprofil er sammenlignelig hos mænd og kvinder behandlet med </w:t>
      </w:r>
      <w:r>
        <w:rPr>
          <w:sz w:val="24"/>
          <w:szCs w:val="24"/>
        </w:rPr>
        <w:t>ezetimib</w:t>
      </w:r>
      <w:r w:rsidRPr="00B07995">
        <w:rPr>
          <w:sz w:val="24"/>
          <w:szCs w:val="24"/>
        </w:rPr>
        <w:t xml:space="preserve">. </w:t>
      </w:r>
    </w:p>
    <w:p w:rsidR="00176E9B" w:rsidRPr="00B07995" w:rsidRDefault="00176E9B" w:rsidP="00176E9B">
      <w:pPr>
        <w:ind w:left="851" w:hanging="851"/>
        <w:rPr>
          <w:sz w:val="24"/>
          <w:szCs w:val="24"/>
        </w:rPr>
      </w:pP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Koncentrationen af atorvastatin og dets aktive metabolitter hos kvinder afviger (C</w:t>
      </w:r>
      <w:r w:rsidRPr="00B07995">
        <w:rPr>
          <w:sz w:val="24"/>
          <w:szCs w:val="24"/>
          <w:vertAlign w:val="subscript"/>
        </w:rPr>
        <w:t>max</w:t>
      </w:r>
      <w:r w:rsidRPr="00B07995">
        <w:rPr>
          <w:sz w:val="24"/>
          <w:szCs w:val="24"/>
        </w:rPr>
        <w:t xml:space="preserve"> ca. 20% højere og AUC ca. 10% lavere) fra koncentrationerne hos mænd. Disse forskelle havde ingen klinisk betydning og resulterede ikke i nogen klinisk signifikante forskelle i effekten på lipiderne mellem kønnene.</w:t>
      </w:r>
    </w:p>
    <w:p w:rsidR="00176E9B" w:rsidRPr="00B07995" w:rsidRDefault="00176E9B" w:rsidP="00176E9B">
      <w:pPr>
        <w:ind w:left="851" w:hanging="851"/>
        <w:rPr>
          <w:sz w:val="24"/>
          <w:szCs w:val="24"/>
        </w:rPr>
      </w:pPr>
    </w:p>
    <w:p w:rsidR="00176E9B" w:rsidRPr="0051754E" w:rsidRDefault="00176E9B" w:rsidP="00176E9B">
      <w:pPr>
        <w:ind w:firstLine="851"/>
        <w:rPr>
          <w:iCs/>
          <w:sz w:val="24"/>
          <w:szCs w:val="24"/>
          <w:u w:val="single"/>
        </w:rPr>
      </w:pPr>
      <w:r w:rsidRPr="0051754E">
        <w:rPr>
          <w:sz w:val="24"/>
          <w:szCs w:val="24"/>
        </w:rPr>
        <w:t>SLCO1B1</w:t>
      </w:r>
      <w:r w:rsidRPr="0051754E">
        <w:rPr>
          <w:iCs/>
          <w:sz w:val="24"/>
          <w:szCs w:val="24"/>
          <w:u w:val="single"/>
        </w:rPr>
        <w:t>-polymorfisme</w:t>
      </w:r>
    </w:p>
    <w:p w:rsidR="00176E9B" w:rsidRPr="00B07995" w:rsidRDefault="00176E9B" w:rsidP="00176E9B">
      <w:pPr>
        <w:ind w:left="851"/>
        <w:rPr>
          <w:sz w:val="24"/>
          <w:szCs w:val="24"/>
        </w:rPr>
      </w:pPr>
      <w:r w:rsidRPr="00B07995">
        <w:rPr>
          <w:i/>
          <w:sz w:val="24"/>
          <w:szCs w:val="24"/>
        </w:rPr>
        <w:t>Atorvastatin</w:t>
      </w:r>
    </w:p>
    <w:p w:rsidR="00176E9B" w:rsidRPr="00B07995" w:rsidRDefault="00176E9B" w:rsidP="00176E9B">
      <w:pPr>
        <w:ind w:left="851"/>
        <w:rPr>
          <w:sz w:val="24"/>
          <w:szCs w:val="24"/>
        </w:rPr>
      </w:pPr>
      <w:r w:rsidRPr="00B07995">
        <w:rPr>
          <w:sz w:val="24"/>
          <w:szCs w:val="24"/>
        </w:rPr>
        <w:t>Hepatisk optag af alle HMG-CoA-reduktasehæmmere, herunder atorvastatin, involverer OATP1B1-transportproteinet. Hos patienter med SLCO1B1-polymorfisme er der en risiko for forhøjet eksponering for atorvastatin, der kan medføre en øget risiko for rhabdomyolyse (se pkt. 4.4). Polymorfisme i det gen, der koder for OATP1B1 (SLCO1B1 c.521CC), er forbundet med en 2,4 gange højere eksponering for atorvastatin (AUC) end hos personer uden denne genotype-variant (c.521TT). En genetisk forårsaget nedsat hepatisk optagelse af atorvastatin er også mulig hos disse patienter. De mulige konsekvenser for virkningen er ukendte.</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5.3</w:t>
      </w:r>
      <w:r w:rsidRPr="00B07995">
        <w:rPr>
          <w:b/>
          <w:sz w:val="24"/>
          <w:szCs w:val="24"/>
        </w:rPr>
        <w:tab/>
      </w:r>
      <w:r w:rsidR="00D26278">
        <w:rPr>
          <w:b/>
          <w:sz w:val="24"/>
          <w:szCs w:val="24"/>
        </w:rPr>
        <w:t>Non-</w:t>
      </w:r>
      <w:r w:rsidRPr="00B07995">
        <w:rPr>
          <w:b/>
          <w:sz w:val="24"/>
          <w:szCs w:val="24"/>
        </w:rPr>
        <w:t>kliniske sikkerhedsdata</w:t>
      </w:r>
    </w:p>
    <w:p w:rsidR="00176E9B" w:rsidRPr="00B07995" w:rsidRDefault="00176E9B" w:rsidP="00176E9B">
      <w:pPr>
        <w:numPr>
          <w:ilvl w:val="12"/>
          <w:numId w:val="0"/>
        </w:numPr>
        <w:ind w:left="851" w:right="11" w:hanging="851"/>
        <w:rPr>
          <w:sz w:val="24"/>
          <w:szCs w:val="24"/>
        </w:rPr>
      </w:pPr>
      <w:r w:rsidRPr="00B07995">
        <w:rPr>
          <w:sz w:val="24"/>
          <w:szCs w:val="24"/>
        </w:rPr>
        <w:tab/>
      </w:r>
      <w:r w:rsidRPr="00B07995">
        <w:rPr>
          <w:i/>
          <w:sz w:val="24"/>
          <w:szCs w:val="24"/>
        </w:rPr>
        <w:t>Atozet</w:t>
      </w:r>
    </w:p>
    <w:p w:rsidR="00176E9B" w:rsidRPr="00B07995" w:rsidRDefault="00176E9B" w:rsidP="00176E9B">
      <w:pPr>
        <w:numPr>
          <w:ilvl w:val="12"/>
          <w:numId w:val="0"/>
        </w:numPr>
        <w:ind w:left="851" w:right="11"/>
        <w:rPr>
          <w:sz w:val="24"/>
          <w:szCs w:val="24"/>
        </w:rPr>
      </w:pPr>
      <w:r w:rsidRPr="00B07995">
        <w:rPr>
          <w:sz w:val="24"/>
          <w:szCs w:val="24"/>
        </w:rPr>
        <w:t xml:space="preserve">I studier af tre måneders varighed med samtidig administration af </w:t>
      </w:r>
      <w:r>
        <w:rPr>
          <w:sz w:val="24"/>
          <w:szCs w:val="24"/>
        </w:rPr>
        <w:t>ezetimib</w:t>
      </w:r>
      <w:r w:rsidRPr="00B07995">
        <w:rPr>
          <w:sz w:val="24"/>
          <w:szCs w:val="24"/>
        </w:rPr>
        <w:t xml:space="preserve"> og atorvastatin til rotter og hunde svarede den observerede toksiske effekt stort set til den effekt, der typisk er forbundet med statiner. De statinlignende histopatologiske fund begrænsede sig til leveren. Nogle af de toksiske effekter var mere udtalte end de, som blev observeret i løbet af behandlingen med statiner alene. Dette skyldes de farmakokinetiske og/eller farmakodynamiske interaktioner efter samtidig administration. </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numPr>
          <w:ilvl w:val="12"/>
          <w:numId w:val="0"/>
        </w:numPr>
        <w:ind w:left="851" w:right="11"/>
        <w:rPr>
          <w:sz w:val="24"/>
          <w:szCs w:val="24"/>
        </w:rPr>
      </w:pPr>
      <w:r w:rsidRPr="00B07995">
        <w:rPr>
          <w:sz w:val="24"/>
          <w:szCs w:val="24"/>
        </w:rPr>
        <w:t xml:space="preserve">Samtidig administration af </w:t>
      </w:r>
      <w:r>
        <w:rPr>
          <w:sz w:val="24"/>
          <w:szCs w:val="24"/>
        </w:rPr>
        <w:t>ezetimib</w:t>
      </w:r>
      <w:r w:rsidRPr="00B07995">
        <w:rPr>
          <w:sz w:val="24"/>
          <w:szCs w:val="24"/>
        </w:rPr>
        <w:t xml:space="preserve"> og atorvastatin til drægtige rotter indicerede, at der var en studiemedicinrelateret stigning i skeletvariationen “reduceret ossifikation af sternebrae” i gruppen med høj dosis af </w:t>
      </w:r>
      <w:r>
        <w:rPr>
          <w:sz w:val="24"/>
          <w:szCs w:val="24"/>
        </w:rPr>
        <w:t>ezetimib</w:t>
      </w:r>
      <w:r w:rsidRPr="00B07995">
        <w:rPr>
          <w:sz w:val="24"/>
          <w:szCs w:val="24"/>
        </w:rPr>
        <w:t xml:space="preserve">/atorvastatin (1.000/108,6 mg/kg). Dette kan være relateret til det observerede fald i føtal legemsvægt. Hos drægtige kaniner blev der </w:t>
      </w:r>
      <w:r w:rsidRPr="00B07995">
        <w:rPr>
          <w:sz w:val="24"/>
          <w:szCs w:val="24"/>
        </w:rPr>
        <w:lastRenderedPageBreak/>
        <w:t>observeret en lav forekomst af skeletmisdannelser (sammenvoksede sternebrae, sammenvoksede halehvirvler og asymmetriske sternebrae).</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numPr>
          <w:ilvl w:val="12"/>
          <w:numId w:val="0"/>
        </w:numPr>
        <w:ind w:left="851" w:right="11"/>
        <w:rPr>
          <w:sz w:val="24"/>
          <w:szCs w:val="24"/>
        </w:rPr>
      </w:pPr>
      <w:r w:rsidRPr="00B07995">
        <w:rPr>
          <w:sz w:val="24"/>
          <w:szCs w:val="24"/>
        </w:rPr>
        <w:t xml:space="preserve">I en serie af </w:t>
      </w:r>
      <w:r w:rsidRPr="00B07995">
        <w:rPr>
          <w:i/>
          <w:iCs/>
          <w:sz w:val="24"/>
          <w:szCs w:val="24"/>
        </w:rPr>
        <w:t>in vivo-</w:t>
      </w:r>
      <w:r w:rsidRPr="00B07995">
        <w:rPr>
          <w:sz w:val="24"/>
          <w:szCs w:val="24"/>
        </w:rPr>
        <w:t xml:space="preserve"> og </w:t>
      </w:r>
      <w:r w:rsidRPr="00B07995">
        <w:rPr>
          <w:i/>
          <w:iCs/>
          <w:sz w:val="24"/>
          <w:szCs w:val="24"/>
        </w:rPr>
        <w:t>in vitro-</w:t>
      </w:r>
      <w:r w:rsidRPr="00B07995">
        <w:rPr>
          <w:iCs/>
          <w:sz w:val="24"/>
          <w:szCs w:val="24"/>
        </w:rPr>
        <w:t>analyser viste</w:t>
      </w:r>
      <w:r w:rsidRPr="00B07995">
        <w:rPr>
          <w:sz w:val="24"/>
          <w:szCs w:val="24"/>
        </w:rPr>
        <w:t xml:space="preserve"> </w:t>
      </w:r>
      <w:r>
        <w:rPr>
          <w:sz w:val="24"/>
          <w:szCs w:val="24"/>
        </w:rPr>
        <w:t>ezetimib</w:t>
      </w:r>
      <w:r w:rsidRPr="00B07995">
        <w:rPr>
          <w:sz w:val="24"/>
          <w:szCs w:val="24"/>
        </w:rPr>
        <w:t>, som blev administreret som monoterapi eller samtidigt med atorvastatin, intet genotoksisk potentiale.</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keepNext/>
        <w:numPr>
          <w:ilvl w:val="12"/>
          <w:numId w:val="0"/>
        </w:numPr>
        <w:ind w:left="851" w:right="11"/>
        <w:rPr>
          <w:sz w:val="24"/>
          <w:szCs w:val="24"/>
        </w:rPr>
      </w:pPr>
      <w:r>
        <w:rPr>
          <w:i/>
          <w:sz w:val="24"/>
          <w:szCs w:val="24"/>
        </w:rPr>
        <w:t>Ezetimib</w:t>
      </w:r>
    </w:p>
    <w:p w:rsidR="00176E9B" w:rsidRPr="00B07995" w:rsidRDefault="00176E9B" w:rsidP="00176E9B">
      <w:pPr>
        <w:numPr>
          <w:ilvl w:val="12"/>
          <w:numId w:val="0"/>
        </w:numPr>
        <w:ind w:left="851" w:right="11"/>
        <w:rPr>
          <w:sz w:val="24"/>
          <w:szCs w:val="24"/>
        </w:rPr>
      </w:pPr>
      <w:r w:rsidRPr="00B07995">
        <w:rPr>
          <w:sz w:val="24"/>
          <w:szCs w:val="24"/>
        </w:rPr>
        <w:t xml:space="preserve">Dyreforsøg for kronisk toksicitet for </w:t>
      </w:r>
      <w:r>
        <w:rPr>
          <w:sz w:val="24"/>
          <w:szCs w:val="24"/>
        </w:rPr>
        <w:t>ezetimib</w:t>
      </w:r>
      <w:r w:rsidRPr="00B07995">
        <w:rPr>
          <w:sz w:val="24"/>
          <w:szCs w:val="24"/>
        </w:rPr>
        <w:t xml:space="preserve"> identificerede ingen udsatte organer for toksisk effekt. Hos hunde, som blev behandlet i 4 uger med </w:t>
      </w:r>
      <w:r>
        <w:rPr>
          <w:sz w:val="24"/>
          <w:szCs w:val="24"/>
        </w:rPr>
        <w:t>ezetimib</w:t>
      </w:r>
      <w:r w:rsidRPr="00B07995">
        <w:rPr>
          <w:sz w:val="24"/>
          <w:szCs w:val="24"/>
        </w:rPr>
        <w:t xml:space="preserve"> (≥0,03 mg/kg/dag), øgedes kolesterolkoncentrationen i galdeblæren med en faktor på 2,5 til 3,5 gange. I et etårs studie med hunde, der fik doser på op til 300 mg/kg/dag, observeredes imidlertid ingen forhøjet incidens af cholelithiase eller andre hepatobiliære effekter. Signifikansen af disse data hos mennesker er ikke kendt. Litogene risici forbundet med terapeutisk brug af </w:t>
      </w:r>
      <w:r>
        <w:rPr>
          <w:sz w:val="24"/>
          <w:szCs w:val="24"/>
        </w:rPr>
        <w:t>ezetimib</w:t>
      </w:r>
      <w:r w:rsidRPr="00B07995">
        <w:rPr>
          <w:sz w:val="24"/>
          <w:szCs w:val="24"/>
        </w:rPr>
        <w:t xml:space="preserve"> kan ikke udelukkes.</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numPr>
          <w:ilvl w:val="12"/>
          <w:numId w:val="0"/>
        </w:numPr>
        <w:ind w:left="851" w:right="11"/>
        <w:rPr>
          <w:sz w:val="24"/>
          <w:szCs w:val="24"/>
        </w:rPr>
      </w:pPr>
      <w:r w:rsidRPr="00B07995">
        <w:rPr>
          <w:sz w:val="24"/>
          <w:szCs w:val="24"/>
        </w:rPr>
        <w:t xml:space="preserve">Langtidskarcinogenicitetstest med </w:t>
      </w:r>
      <w:r>
        <w:rPr>
          <w:sz w:val="24"/>
          <w:szCs w:val="24"/>
        </w:rPr>
        <w:t>ezetimib</w:t>
      </w:r>
      <w:r w:rsidRPr="00B07995">
        <w:rPr>
          <w:sz w:val="24"/>
          <w:szCs w:val="24"/>
        </w:rPr>
        <w:t xml:space="preserve"> var negative.</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numPr>
          <w:ilvl w:val="12"/>
          <w:numId w:val="0"/>
        </w:numPr>
        <w:ind w:left="851" w:right="11"/>
        <w:rPr>
          <w:sz w:val="24"/>
          <w:szCs w:val="24"/>
        </w:rPr>
      </w:pPr>
      <w:r>
        <w:rPr>
          <w:sz w:val="24"/>
          <w:szCs w:val="24"/>
        </w:rPr>
        <w:t>Ezetimib</w:t>
      </w:r>
      <w:r w:rsidRPr="00B07995">
        <w:rPr>
          <w:sz w:val="24"/>
          <w:szCs w:val="24"/>
        </w:rPr>
        <w:t xml:space="preserve"> havde ingen effekt på fertiliteten hos han- eller hunrotter og fandtes heller ikke teratogent hos rotter og kaniner. </w:t>
      </w:r>
      <w:r>
        <w:rPr>
          <w:sz w:val="24"/>
          <w:szCs w:val="24"/>
        </w:rPr>
        <w:t>Ezetimib</w:t>
      </w:r>
      <w:r w:rsidRPr="00B07995">
        <w:rPr>
          <w:sz w:val="24"/>
          <w:szCs w:val="24"/>
        </w:rPr>
        <w:t xml:space="preserve"> påvirkede ikke den prænatale eller postnatale udvikling. </w:t>
      </w:r>
      <w:r>
        <w:rPr>
          <w:sz w:val="24"/>
          <w:szCs w:val="24"/>
        </w:rPr>
        <w:t>Ezetimib</w:t>
      </w:r>
      <w:r w:rsidRPr="00B07995">
        <w:rPr>
          <w:sz w:val="24"/>
          <w:szCs w:val="24"/>
        </w:rPr>
        <w:t xml:space="preserve"> passerede placentabarrieren hos drægtige rotter og kaniner, som fik gentagne doser på 1.000 mg/kg/dag. </w:t>
      </w:r>
    </w:p>
    <w:p w:rsidR="00176E9B" w:rsidRPr="00B07995" w:rsidRDefault="00176E9B" w:rsidP="00176E9B">
      <w:pPr>
        <w:numPr>
          <w:ilvl w:val="12"/>
          <w:numId w:val="0"/>
        </w:numPr>
        <w:ind w:left="851" w:right="11" w:hanging="851"/>
        <w:rPr>
          <w:sz w:val="24"/>
          <w:szCs w:val="24"/>
        </w:rPr>
      </w:pPr>
    </w:p>
    <w:p w:rsidR="00176E9B" w:rsidRPr="00B07995" w:rsidRDefault="00176E9B" w:rsidP="00176E9B">
      <w:pPr>
        <w:numPr>
          <w:ilvl w:val="12"/>
          <w:numId w:val="0"/>
        </w:numPr>
        <w:ind w:left="851" w:right="11"/>
        <w:rPr>
          <w:sz w:val="24"/>
          <w:szCs w:val="24"/>
        </w:rPr>
      </w:pPr>
      <w:r w:rsidRPr="00B07995">
        <w:rPr>
          <w:i/>
          <w:sz w:val="24"/>
          <w:szCs w:val="24"/>
        </w:rPr>
        <w:t>Atorvastatin</w:t>
      </w:r>
    </w:p>
    <w:p w:rsidR="00176E9B" w:rsidRPr="00B07995" w:rsidRDefault="00176E9B" w:rsidP="00176E9B">
      <w:pPr>
        <w:numPr>
          <w:ilvl w:val="12"/>
          <w:numId w:val="0"/>
        </w:numPr>
        <w:ind w:left="851" w:right="11"/>
        <w:rPr>
          <w:sz w:val="24"/>
          <w:szCs w:val="24"/>
        </w:rPr>
      </w:pPr>
      <w:r w:rsidRPr="00B07995">
        <w:rPr>
          <w:sz w:val="24"/>
          <w:szCs w:val="24"/>
        </w:rPr>
        <w:t xml:space="preserve">Atorvastatin viste ikke mutagent eller klastogent potentiale i et batteri af 4 </w:t>
      </w:r>
      <w:r w:rsidRPr="00B07995">
        <w:rPr>
          <w:i/>
          <w:sz w:val="24"/>
          <w:szCs w:val="24"/>
        </w:rPr>
        <w:t>in vitro-</w:t>
      </w:r>
      <w:r w:rsidRPr="00B07995">
        <w:rPr>
          <w:sz w:val="24"/>
          <w:szCs w:val="24"/>
        </w:rPr>
        <w:t xml:space="preserve">test og 1 </w:t>
      </w:r>
      <w:r w:rsidRPr="00B07995">
        <w:rPr>
          <w:i/>
          <w:sz w:val="24"/>
          <w:szCs w:val="24"/>
        </w:rPr>
        <w:t>in vivo</w:t>
      </w:r>
      <w:r w:rsidRPr="00B07995">
        <w:rPr>
          <w:sz w:val="24"/>
          <w:szCs w:val="24"/>
        </w:rPr>
        <w:t>-analyse. Atorvastatin var ikke karcinogent hos rotter, men høje doser hos mus (resulterende i en 6-11 gange så høj AUC</w:t>
      </w:r>
      <w:r w:rsidRPr="00B07995">
        <w:rPr>
          <w:sz w:val="24"/>
          <w:szCs w:val="24"/>
          <w:vertAlign w:val="subscript"/>
        </w:rPr>
        <w:t>0-24t</w:t>
      </w:r>
      <w:r w:rsidRPr="00B07995">
        <w:rPr>
          <w:sz w:val="24"/>
          <w:szCs w:val="24"/>
        </w:rPr>
        <w:t>, som der ses hos mennesker ved maksimale doser) viste hepatocellulære adenomer hos hanner og hepatocellulære karcinomer hos hunner. Dyreforsøg har vist, at HMG-CoA-reduktasehæmmere kan påvirke udviklingen af embryoner eller fostre. Hos rotter, kaniner og hunde havde atorvastatin ingen effekt på fertiliteten og var ikke teratogent. Der blev dog set føtal toksicitet hos rotter og kaniner ved doser, der var toksiske for moderdyret. Rotteafkom udviste forsinket udvikling, og den postnatale overlevelse var lavere, hvis moderdyrene havde været udsat for høje doser atorvastatin. Hos rotter er der tegn på, at atorvastatin krydser placenta. Hos rotter svarer koncentrationerne i plasma til koncentrationerne i mælken. Det er ukendt, om atorvastatin eller dets metabolitter udskilles i human mælk.</w:t>
      </w:r>
    </w:p>
    <w:p w:rsidR="00176E9B" w:rsidRDefault="00176E9B" w:rsidP="00176E9B">
      <w:pPr>
        <w:ind w:left="851" w:hanging="851"/>
        <w:rPr>
          <w:sz w:val="24"/>
          <w:szCs w:val="24"/>
        </w:rPr>
      </w:pP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w:t>
      </w:r>
      <w:r w:rsidRPr="00B07995">
        <w:rPr>
          <w:b/>
          <w:sz w:val="24"/>
          <w:szCs w:val="24"/>
        </w:rPr>
        <w:tab/>
        <w:t>FARMACEUTISKE OPLYSNINGER</w:t>
      </w:r>
    </w:p>
    <w:p w:rsidR="00176E9B" w:rsidRPr="00B07995" w:rsidRDefault="00176E9B" w:rsidP="00176E9B">
      <w:pPr>
        <w:ind w:left="851" w:hanging="851"/>
        <w:rPr>
          <w:b/>
          <w:sz w:val="24"/>
          <w:szCs w:val="24"/>
        </w:rPr>
      </w:pPr>
    </w:p>
    <w:p w:rsidR="00176E9B" w:rsidRPr="00B07995" w:rsidRDefault="00176E9B" w:rsidP="00176E9B">
      <w:pPr>
        <w:ind w:left="851" w:hanging="851"/>
        <w:rPr>
          <w:b/>
          <w:sz w:val="24"/>
          <w:szCs w:val="24"/>
        </w:rPr>
      </w:pPr>
      <w:r w:rsidRPr="00B07995">
        <w:rPr>
          <w:b/>
          <w:sz w:val="24"/>
          <w:szCs w:val="24"/>
        </w:rPr>
        <w:t>6.1</w:t>
      </w:r>
      <w:r w:rsidRPr="00B07995">
        <w:rPr>
          <w:b/>
          <w:sz w:val="24"/>
          <w:szCs w:val="24"/>
        </w:rPr>
        <w:tab/>
        <w:t>Hjælpestoffer</w:t>
      </w:r>
    </w:p>
    <w:p w:rsidR="00176E9B" w:rsidRDefault="00176E9B" w:rsidP="00176E9B">
      <w:pPr>
        <w:ind w:left="851" w:hanging="851"/>
        <w:rPr>
          <w:sz w:val="24"/>
          <w:szCs w:val="24"/>
        </w:rPr>
      </w:pPr>
    </w:p>
    <w:p w:rsidR="00176E9B" w:rsidRPr="00B07995" w:rsidRDefault="00176E9B" w:rsidP="00176E9B">
      <w:pPr>
        <w:ind w:left="851"/>
        <w:rPr>
          <w:sz w:val="24"/>
          <w:szCs w:val="24"/>
          <w:u w:val="single"/>
        </w:rPr>
      </w:pPr>
      <w:r w:rsidRPr="00B07995">
        <w:rPr>
          <w:sz w:val="24"/>
          <w:szCs w:val="24"/>
          <w:u w:val="single"/>
        </w:rPr>
        <w:t>Tabletkerne</w:t>
      </w:r>
    </w:p>
    <w:p w:rsidR="00176E9B" w:rsidRPr="007E221D" w:rsidRDefault="00176E9B" w:rsidP="00176E9B">
      <w:pPr>
        <w:ind w:firstLine="851"/>
        <w:rPr>
          <w:sz w:val="24"/>
          <w:szCs w:val="24"/>
        </w:rPr>
      </w:pPr>
      <w:r w:rsidRPr="007E221D">
        <w:rPr>
          <w:sz w:val="24"/>
          <w:szCs w:val="24"/>
        </w:rPr>
        <w:t>Ezetimib-lag</w:t>
      </w:r>
    </w:p>
    <w:p w:rsidR="00176E9B" w:rsidRPr="00B53973" w:rsidRDefault="00176E9B" w:rsidP="00176E9B">
      <w:pPr>
        <w:ind w:firstLine="851"/>
        <w:rPr>
          <w:sz w:val="24"/>
          <w:szCs w:val="24"/>
          <w:lang w:val="en-US"/>
        </w:rPr>
      </w:pPr>
      <w:r w:rsidRPr="00B53973">
        <w:rPr>
          <w:sz w:val="24"/>
          <w:szCs w:val="24"/>
          <w:lang w:val="en-US"/>
        </w:rPr>
        <w:t>Croscarmellosenatrium</w:t>
      </w:r>
    </w:p>
    <w:p w:rsidR="00176E9B" w:rsidRPr="00B53973" w:rsidRDefault="00176E9B" w:rsidP="00176E9B">
      <w:pPr>
        <w:ind w:left="851"/>
        <w:rPr>
          <w:sz w:val="24"/>
          <w:szCs w:val="24"/>
          <w:lang w:val="en-US"/>
        </w:rPr>
      </w:pPr>
      <w:r w:rsidRPr="00B53973">
        <w:rPr>
          <w:sz w:val="24"/>
          <w:szCs w:val="24"/>
          <w:lang w:val="en-US"/>
        </w:rPr>
        <w:t>Lactosemonohydrat</w:t>
      </w:r>
    </w:p>
    <w:p w:rsidR="00176E9B" w:rsidRPr="00B53973" w:rsidRDefault="00176E9B" w:rsidP="00176E9B">
      <w:pPr>
        <w:ind w:left="851"/>
        <w:rPr>
          <w:sz w:val="24"/>
          <w:szCs w:val="24"/>
          <w:lang w:val="en-US"/>
        </w:rPr>
      </w:pPr>
      <w:r w:rsidRPr="00B53973">
        <w:rPr>
          <w:sz w:val="24"/>
          <w:szCs w:val="24"/>
          <w:lang w:val="en-US"/>
        </w:rPr>
        <w:t>Magnesiumstearat</w:t>
      </w:r>
    </w:p>
    <w:p w:rsidR="00176E9B" w:rsidRPr="00B53973" w:rsidRDefault="00176E9B" w:rsidP="00176E9B">
      <w:pPr>
        <w:ind w:left="851"/>
        <w:rPr>
          <w:sz w:val="24"/>
          <w:szCs w:val="24"/>
          <w:lang w:val="en-US"/>
        </w:rPr>
      </w:pPr>
      <w:r w:rsidRPr="00B53973">
        <w:rPr>
          <w:sz w:val="24"/>
          <w:szCs w:val="24"/>
          <w:lang w:val="en-US"/>
        </w:rPr>
        <w:t>Mikrokrystallinsk cellulose</w:t>
      </w:r>
    </w:p>
    <w:p w:rsidR="00176E9B" w:rsidRPr="00B53973" w:rsidRDefault="00176E9B" w:rsidP="00176E9B">
      <w:pPr>
        <w:ind w:left="851"/>
        <w:rPr>
          <w:sz w:val="24"/>
          <w:szCs w:val="24"/>
          <w:lang w:val="en-US"/>
        </w:rPr>
      </w:pPr>
      <w:r w:rsidRPr="00B53973">
        <w:rPr>
          <w:sz w:val="24"/>
          <w:szCs w:val="24"/>
          <w:lang w:val="en-US"/>
        </w:rPr>
        <w:t>Povidon</w:t>
      </w:r>
    </w:p>
    <w:p w:rsidR="00176E9B" w:rsidRPr="00B53973" w:rsidRDefault="00176E9B" w:rsidP="00176E9B">
      <w:pPr>
        <w:ind w:left="851"/>
        <w:rPr>
          <w:sz w:val="24"/>
          <w:szCs w:val="24"/>
          <w:lang w:val="en-US"/>
        </w:rPr>
      </w:pPr>
      <w:r w:rsidRPr="00B53973">
        <w:rPr>
          <w:sz w:val="24"/>
          <w:szCs w:val="24"/>
          <w:lang w:val="en-US"/>
        </w:rPr>
        <w:t>Natriumlaurilsulfat</w:t>
      </w:r>
    </w:p>
    <w:p w:rsidR="00176E9B" w:rsidRPr="00B53973" w:rsidRDefault="00176E9B" w:rsidP="00176E9B">
      <w:pPr>
        <w:ind w:left="851" w:hanging="851"/>
        <w:rPr>
          <w:sz w:val="24"/>
          <w:szCs w:val="24"/>
          <w:lang w:val="en-US"/>
        </w:rPr>
      </w:pPr>
    </w:p>
    <w:p w:rsidR="00176E9B" w:rsidRPr="00B53973" w:rsidRDefault="00176E9B" w:rsidP="00E8570F">
      <w:pPr>
        <w:keepNext/>
        <w:ind w:firstLine="851"/>
        <w:rPr>
          <w:sz w:val="24"/>
          <w:szCs w:val="24"/>
          <w:lang w:val="en-US"/>
        </w:rPr>
      </w:pPr>
      <w:r w:rsidRPr="00B53973">
        <w:rPr>
          <w:sz w:val="24"/>
          <w:szCs w:val="24"/>
          <w:lang w:val="en-US"/>
        </w:rPr>
        <w:lastRenderedPageBreak/>
        <w:t>Atorvastatin-lag</w:t>
      </w:r>
    </w:p>
    <w:p w:rsidR="00176E9B" w:rsidRPr="00B53973" w:rsidRDefault="00176E9B" w:rsidP="00176E9B">
      <w:pPr>
        <w:ind w:left="851"/>
        <w:rPr>
          <w:sz w:val="24"/>
          <w:szCs w:val="24"/>
          <w:lang w:val="en-US"/>
        </w:rPr>
      </w:pPr>
      <w:r w:rsidRPr="00B53973">
        <w:rPr>
          <w:sz w:val="24"/>
          <w:szCs w:val="24"/>
          <w:lang w:val="en-US"/>
        </w:rPr>
        <w:t>Mikrokrystallinsk cellulose</w:t>
      </w:r>
    </w:p>
    <w:p w:rsidR="00176E9B" w:rsidRPr="00B53973" w:rsidRDefault="00176E9B" w:rsidP="00176E9B">
      <w:pPr>
        <w:ind w:left="851"/>
        <w:rPr>
          <w:sz w:val="24"/>
          <w:szCs w:val="24"/>
          <w:lang w:val="en-US"/>
        </w:rPr>
      </w:pPr>
      <w:r w:rsidRPr="00B53973">
        <w:rPr>
          <w:sz w:val="24"/>
          <w:szCs w:val="24"/>
          <w:lang w:val="en-US"/>
        </w:rPr>
        <w:t>Lactosemonohydrat</w:t>
      </w:r>
    </w:p>
    <w:p w:rsidR="00176E9B" w:rsidRPr="00B53973" w:rsidRDefault="00176E9B" w:rsidP="00176E9B">
      <w:pPr>
        <w:ind w:left="851"/>
        <w:rPr>
          <w:sz w:val="24"/>
          <w:szCs w:val="24"/>
          <w:lang w:val="en-US"/>
        </w:rPr>
      </w:pPr>
      <w:r w:rsidRPr="00B53973">
        <w:rPr>
          <w:sz w:val="24"/>
          <w:szCs w:val="24"/>
          <w:lang w:val="en-US"/>
        </w:rPr>
        <w:t>Hydroxypropylcellulose</w:t>
      </w:r>
    </w:p>
    <w:p w:rsidR="00176E9B" w:rsidRPr="00B53973" w:rsidRDefault="00176E9B" w:rsidP="00176E9B">
      <w:pPr>
        <w:ind w:left="851"/>
        <w:rPr>
          <w:sz w:val="24"/>
          <w:szCs w:val="24"/>
          <w:lang w:val="en-US"/>
        </w:rPr>
      </w:pPr>
      <w:r w:rsidRPr="00B53973">
        <w:rPr>
          <w:sz w:val="24"/>
          <w:szCs w:val="24"/>
          <w:lang w:val="en-US"/>
        </w:rPr>
        <w:t>Croscarmellosenatrium</w:t>
      </w:r>
    </w:p>
    <w:p w:rsidR="00176E9B" w:rsidRPr="00B53973" w:rsidRDefault="00176E9B" w:rsidP="00176E9B">
      <w:pPr>
        <w:ind w:left="851"/>
        <w:rPr>
          <w:sz w:val="24"/>
          <w:szCs w:val="24"/>
          <w:lang w:val="en-US"/>
        </w:rPr>
      </w:pPr>
      <w:r w:rsidRPr="00B53973">
        <w:rPr>
          <w:sz w:val="24"/>
          <w:szCs w:val="24"/>
          <w:lang w:val="en-US"/>
        </w:rPr>
        <w:t>Polysorbate 80</w:t>
      </w:r>
    </w:p>
    <w:p w:rsidR="00176E9B" w:rsidRPr="00B53973" w:rsidRDefault="00176E9B" w:rsidP="00176E9B">
      <w:pPr>
        <w:ind w:left="851"/>
        <w:rPr>
          <w:sz w:val="24"/>
          <w:szCs w:val="24"/>
          <w:lang w:val="en-US"/>
        </w:rPr>
      </w:pPr>
      <w:r w:rsidRPr="00B53973">
        <w:rPr>
          <w:sz w:val="24"/>
          <w:szCs w:val="24"/>
          <w:lang w:val="en-US"/>
        </w:rPr>
        <w:t>Calciumcarbonat</w:t>
      </w:r>
    </w:p>
    <w:p w:rsidR="00176E9B" w:rsidRPr="00B53973" w:rsidRDefault="00176E9B" w:rsidP="00176E9B">
      <w:pPr>
        <w:ind w:left="851"/>
        <w:rPr>
          <w:sz w:val="24"/>
          <w:szCs w:val="24"/>
          <w:lang w:val="en-US"/>
        </w:rPr>
      </w:pPr>
      <w:r w:rsidRPr="00B53973">
        <w:rPr>
          <w:sz w:val="24"/>
          <w:szCs w:val="24"/>
          <w:lang w:val="en-US"/>
        </w:rPr>
        <w:t>Magnesiumstearat</w:t>
      </w:r>
    </w:p>
    <w:p w:rsidR="00176E9B" w:rsidRPr="00B53973" w:rsidRDefault="00176E9B" w:rsidP="00176E9B">
      <w:pPr>
        <w:ind w:left="851"/>
        <w:rPr>
          <w:sz w:val="24"/>
          <w:szCs w:val="24"/>
          <w:lang w:val="en-US"/>
        </w:rPr>
      </w:pPr>
      <w:r w:rsidRPr="00B53973">
        <w:rPr>
          <w:sz w:val="24"/>
          <w:szCs w:val="24"/>
          <w:lang w:val="en-US"/>
        </w:rPr>
        <w:t>Vandfri, kolloid silica</w:t>
      </w:r>
    </w:p>
    <w:p w:rsidR="00176E9B" w:rsidRPr="00B53973" w:rsidRDefault="00176E9B" w:rsidP="00176E9B">
      <w:pPr>
        <w:ind w:left="851" w:hanging="851"/>
        <w:rPr>
          <w:sz w:val="24"/>
          <w:szCs w:val="24"/>
          <w:lang w:val="en-US"/>
        </w:rPr>
      </w:pPr>
    </w:p>
    <w:p w:rsidR="00176E9B" w:rsidRPr="00B07995" w:rsidRDefault="00176E9B" w:rsidP="00176E9B">
      <w:pPr>
        <w:ind w:left="851"/>
        <w:rPr>
          <w:sz w:val="24"/>
          <w:szCs w:val="24"/>
        </w:rPr>
      </w:pPr>
      <w:r w:rsidRPr="00B07995">
        <w:rPr>
          <w:sz w:val="24"/>
          <w:szCs w:val="24"/>
          <w:u w:val="single"/>
        </w:rPr>
        <w:t>Filmovertræk</w:t>
      </w:r>
    </w:p>
    <w:p w:rsidR="00176E9B" w:rsidRPr="00B07995" w:rsidRDefault="00176E9B" w:rsidP="00176E9B">
      <w:pPr>
        <w:ind w:left="851"/>
        <w:rPr>
          <w:sz w:val="24"/>
          <w:szCs w:val="24"/>
        </w:rPr>
      </w:pPr>
      <w:r w:rsidRPr="00B07995">
        <w:rPr>
          <w:sz w:val="24"/>
          <w:szCs w:val="24"/>
        </w:rPr>
        <w:t>Hypromellose</w:t>
      </w:r>
    </w:p>
    <w:p w:rsidR="00176E9B" w:rsidRPr="00B07995" w:rsidRDefault="00176E9B" w:rsidP="00176E9B">
      <w:pPr>
        <w:ind w:left="851"/>
        <w:rPr>
          <w:sz w:val="24"/>
          <w:szCs w:val="24"/>
        </w:rPr>
      </w:pPr>
      <w:r w:rsidRPr="00B07995">
        <w:rPr>
          <w:sz w:val="24"/>
          <w:szCs w:val="24"/>
        </w:rPr>
        <w:t xml:space="preserve">Macrogol 8000 </w:t>
      </w:r>
    </w:p>
    <w:p w:rsidR="00176E9B" w:rsidRPr="00B07995" w:rsidRDefault="00176E9B" w:rsidP="00176E9B">
      <w:pPr>
        <w:ind w:left="851"/>
        <w:rPr>
          <w:sz w:val="24"/>
          <w:szCs w:val="24"/>
        </w:rPr>
      </w:pPr>
      <w:r w:rsidRPr="00B07995">
        <w:rPr>
          <w:sz w:val="24"/>
          <w:szCs w:val="24"/>
        </w:rPr>
        <w:t>Titaniumdioxid (E171)</w:t>
      </w:r>
    </w:p>
    <w:p w:rsidR="00176E9B" w:rsidRPr="00B07995" w:rsidRDefault="00176E9B" w:rsidP="00176E9B">
      <w:pPr>
        <w:ind w:left="851"/>
        <w:rPr>
          <w:sz w:val="24"/>
          <w:szCs w:val="24"/>
        </w:rPr>
      </w:pPr>
      <w:r w:rsidRPr="00B07995">
        <w:rPr>
          <w:sz w:val="24"/>
          <w:szCs w:val="24"/>
        </w:rPr>
        <w:t>Talcum</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6.2</w:t>
      </w:r>
      <w:r w:rsidRPr="00B07995">
        <w:rPr>
          <w:b/>
          <w:sz w:val="24"/>
          <w:szCs w:val="24"/>
        </w:rPr>
        <w:tab/>
        <w:t>Uforligeligheder</w:t>
      </w:r>
    </w:p>
    <w:p w:rsidR="00176E9B" w:rsidRPr="00B07995" w:rsidRDefault="00176E9B" w:rsidP="00176E9B">
      <w:pPr>
        <w:ind w:left="851" w:hanging="851"/>
        <w:rPr>
          <w:sz w:val="24"/>
          <w:szCs w:val="24"/>
        </w:rPr>
      </w:pPr>
      <w:r w:rsidRPr="00B07995">
        <w:rPr>
          <w:sz w:val="24"/>
          <w:szCs w:val="24"/>
        </w:rPr>
        <w:tab/>
        <w:t>Ikke relevant.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6.3</w:t>
      </w:r>
      <w:r w:rsidRPr="00B07995">
        <w:rPr>
          <w:b/>
          <w:sz w:val="24"/>
          <w:szCs w:val="24"/>
        </w:rPr>
        <w:tab/>
        <w:t>Opbevaringstid</w:t>
      </w:r>
    </w:p>
    <w:p w:rsidR="00176E9B" w:rsidRPr="00B07995" w:rsidRDefault="00176E9B" w:rsidP="00176E9B">
      <w:pPr>
        <w:ind w:left="851" w:hanging="851"/>
        <w:rPr>
          <w:spacing w:val="-3"/>
          <w:sz w:val="24"/>
          <w:szCs w:val="24"/>
        </w:rPr>
      </w:pPr>
      <w:r w:rsidRPr="00B07995">
        <w:rPr>
          <w:sz w:val="24"/>
          <w:szCs w:val="24"/>
        </w:rPr>
        <w:tab/>
        <w:t>2 år</w:t>
      </w:r>
      <w:r>
        <w:rPr>
          <w:sz w:val="24"/>
          <w:szCs w:val="24"/>
        </w:rPr>
        <w: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6.4</w:t>
      </w:r>
      <w:r w:rsidRPr="00B07995">
        <w:rPr>
          <w:b/>
          <w:sz w:val="24"/>
          <w:szCs w:val="24"/>
        </w:rPr>
        <w:tab/>
        <w:t>Særlige opbevaringsforhold</w:t>
      </w:r>
    </w:p>
    <w:p w:rsidR="00176E9B" w:rsidRPr="00CA77D9" w:rsidRDefault="00176E9B" w:rsidP="00176E9B">
      <w:pPr>
        <w:ind w:left="851"/>
        <w:rPr>
          <w:sz w:val="24"/>
          <w:szCs w:val="24"/>
          <w:highlight w:val="yellow"/>
        </w:rPr>
      </w:pPr>
      <w:r w:rsidRPr="00CA77D9">
        <w:rPr>
          <w:noProof/>
          <w:sz w:val="24"/>
          <w:szCs w:val="24"/>
        </w:rPr>
        <w:t>Opbevares i den originale yderpakning for at beskytte mod ilt.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6.5</w:t>
      </w:r>
      <w:r w:rsidRPr="00B07995">
        <w:rPr>
          <w:b/>
          <w:sz w:val="24"/>
          <w:szCs w:val="24"/>
        </w:rPr>
        <w:tab/>
        <w:t>Emballagetype og pakningsstørrelser</w:t>
      </w:r>
    </w:p>
    <w:p w:rsidR="00176E9B" w:rsidRPr="00B07995" w:rsidRDefault="00176E9B" w:rsidP="00176E9B">
      <w:pPr>
        <w:ind w:left="851" w:right="43" w:hanging="851"/>
        <w:rPr>
          <w:sz w:val="24"/>
          <w:szCs w:val="24"/>
          <w:u w:val="single"/>
        </w:rPr>
      </w:pPr>
      <w:r w:rsidRPr="00B07995">
        <w:rPr>
          <w:sz w:val="24"/>
          <w:szCs w:val="24"/>
        </w:rPr>
        <w:tab/>
      </w:r>
      <w:r w:rsidRPr="00B07995">
        <w:rPr>
          <w:sz w:val="24"/>
          <w:szCs w:val="24"/>
          <w:u w:val="single"/>
        </w:rPr>
        <w:t>Atozet 10 mg/10 mg, 10 mg/20 mg, 10 mg/40 mg og 10 mg/80 mg</w:t>
      </w:r>
    </w:p>
    <w:p w:rsidR="00176E9B" w:rsidRPr="00B07995" w:rsidRDefault="00176E9B" w:rsidP="00176E9B">
      <w:pPr>
        <w:ind w:left="851" w:right="43"/>
        <w:rPr>
          <w:sz w:val="24"/>
          <w:szCs w:val="24"/>
        </w:rPr>
      </w:pPr>
      <w:r w:rsidRPr="00B07995">
        <w:rPr>
          <w:sz w:val="24"/>
          <w:szCs w:val="24"/>
        </w:rPr>
        <w:t>Pakninger med 10, 30, 90 og 100 filmovertrukne tabletter i blisterkort af nitrogenoprenset aluminium/aluminium (formstøbt oPA-Al-PVC-blisterfilm med Al-folielåg).</w:t>
      </w:r>
    </w:p>
    <w:p w:rsidR="00176E9B" w:rsidRPr="00B07995" w:rsidRDefault="00176E9B" w:rsidP="00176E9B">
      <w:pPr>
        <w:ind w:left="851" w:right="43" w:hanging="851"/>
        <w:rPr>
          <w:sz w:val="24"/>
          <w:szCs w:val="24"/>
        </w:rPr>
      </w:pPr>
    </w:p>
    <w:p w:rsidR="00176E9B" w:rsidRPr="00B07995" w:rsidRDefault="00176E9B" w:rsidP="00176E9B">
      <w:pPr>
        <w:ind w:left="851" w:right="43"/>
        <w:rPr>
          <w:sz w:val="24"/>
          <w:szCs w:val="24"/>
        </w:rPr>
      </w:pPr>
      <w:r w:rsidRPr="00B07995">
        <w:rPr>
          <w:sz w:val="24"/>
          <w:szCs w:val="24"/>
        </w:rPr>
        <w:t>Pakninger med 30 x 1 og 45 x 1 filmovertrukne tabletter i enkeltdosisblisterkort af nitrogenoprenset aluminium/aluminium (formstøbt oPA-Al-PVC-blisterfilm med Al-folielåg).</w:t>
      </w:r>
    </w:p>
    <w:p w:rsidR="00176E9B" w:rsidRPr="00B07995" w:rsidRDefault="00176E9B" w:rsidP="00176E9B">
      <w:pPr>
        <w:suppressAutoHyphens/>
        <w:ind w:left="851" w:hanging="851"/>
        <w:rPr>
          <w:sz w:val="24"/>
          <w:szCs w:val="24"/>
        </w:rPr>
      </w:pPr>
    </w:p>
    <w:p w:rsidR="00176E9B" w:rsidRPr="00B07995" w:rsidRDefault="00176E9B" w:rsidP="00176E9B">
      <w:pPr>
        <w:suppressAutoHyphens/>
        <w:ind w:left="851"/>
        <w:rPr>
          <w:sz w:val="24"/>
          <w:szCs w:val="24"/>
        </w:rPr>
      </w:pPr>
      <w:r w:rsidRPr="00B07995">
        <w:rPr>
          <w:sz w:val="24"/>
          <w:szCs w:val="24"/>
        </w:rPr>
        <w:t>Ikke alle pakningsstørrelser er nødvendigvis markedsført</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6.6</w:t>
      </w:r>
      <w:r w:rsidRPr="00B07995">
        <w:rPr>
          <w:b/>
          <w:sz w:val="24"/>
          <w:szCs w:val="24"/>
        </w:rPr>
        <w:tab/>
        <w:t xml:space="preserve">Regler for </w:t>
      </w:r>
      <w:r w:rsidR="00D26278">
        <w:rPr>
          <w:b/>
          <w:sz w:val="24"/>
          <w:szCs w:val="24"/>
        </w:rPr>
        <w:t>bortskaffelse</w:t>
      </w:r>
      <w:r w:rsidRPr="00B07995">
        <w:rPr>
          <w:b/>
          <w:sz w:val="24"/>
          <w:szCs w:val="24"/>
        </w:rPr>
        <w:t xml:space="preserve"> og anden håndtering</w:t>
      </w:r>
    </w:p>
    <w:p w:rsidR="00176E9B" w:rsidRDefault="00176E9B" w:rsidP="00176E9B">
      <w:pPr>
        <w:ind w:left="851" w:hanging="851"/>
        <w:rPr>
          <w:sz w:val="24"/>
          <w:szCs w:val="24"/>
        </w:rPr>
      </w:pPr>
      <w:r w:rsidRPr="00B07995">
        <w:rPr>
          <w:sz w:val="24"/>
          <w:szCs w:val="24"/>
        </w:rPr>
        <w:tab/>
        <w:t>Ingen særlige forholdsregler.</w:t>
      </w:r>
    </w:p>
    <w:p w:rsidR="00176E9B" w:rsidRPr="00B07995" w:rsidRDefault="00176E9B" w:rsidP="00176E9B">
      <w:pPr>
        <w:ind w:left="851" w:hanging="851"/>
        <w:jc w:val="both"/>
        <w:rPr>
          <w:sz w:val="24"/>
          <w:szCs w:val="24"/>
        </w:rPr>
      </w:pPr>
    </w:p>
    <w:p w:rsidR="003A26E5" w:rsidRPr="003A26E5" w:rsidRDefault="00176E9B" w:rsidP="003A26E5">
      <w:pPr>
        <w:ind w:left="851" w:hanging="851"/>
        <w:rPr>
          <w:b/>
          <w:sz w:val="24"/>
          <w:szCs w:val="24"/>
        </w:rPr>
      </w:pPr>
      <w:r w:rsidRPr="00B07995">
        <w:rPr>
          <w:b/>
          <w:sz w:val="24"/>
          <w:szCs w:val="24"/>
        </w:rPr>
        <w:t>7.</w:t>
      </w:r>
      <w:r w:rsidRPr="00B07995">
        <w:rPr>
          <w:b/>
          <w:sz w:val="24"/>
          <w:szCs w:val="24"/>
        </w:rPr>
        <w:tab/>
        <w:t>INDEHAVER AF MARKEDSFØRINGSTILLADELSEN</w:t>
      </w:r>
    </w:p>
    <w:p w:rsidR="003A26E5" w:rsidRPr="006F5749" w:rsidRDefault="003A26E5" w:rsidP="003A26E5">
      <w:pPr>
        <w:keepNext/>
        <w:keepLines/>
        <w:ind w:left="851"/>
        <w:jc w:val="both"/>
        <w:rPr>
          <w:sz w:val="24"/>
          <w:szCs w:val="24"/>
          <w:lang w:val="de-DE"/>
        </w:rPr>
      </w:pPr>
      <w:r w:rsidRPr="006F5749">
        <w:rPr>
          <w:sz w:val="24"/>
          <w:szCs w:val="24"/>
          <w:lang w:val="de-DE"/>
        </w:rPr>
        <w:t>N.V. Organon</w:t>
      </w:r>
    </w:p>
    <w:p w:rsidR="003A26E5" w:rsidRPr="006F5749" w:rsidRDefault="003A26E5" w:rsidP="003A26E5">
      <w:pPr>
        <w:keepNext/>
        <w:keepLines/>
        <w:ind w:left="851"/>
        <w:jc w:val="both"/>
        <w:rPr>
          <w:sz w:val="24"/>
          <w:szCs w:val="24"/>
          <w:lang w:val="de-DE"/>
        </w:rPr>
      </w:pPr>
      <w:r w:rsidRPr="006F5749">
        <w:rPr>
          <w:sz w:val="24"/>
          <w:szCs w:val="24"/>
          <w:lang w:val="de-DE"/>
        </w:rPr>
        <w:t>Kloosterstraat 6</w:t>
      </w:r>
    </w:p>
    <w:p w:rsidR="003A26E5" w:rsidRPr="006F5749" w:rsidRDefault="003A26E5" w:rsidP="003A26E5">
      <w:pPr>
        <w:keepNext/>
        <w:keepLines/>
        <w:ind w:left="851"/>
        <w:jc w:val="both"/>
        <w:rPr>
          <w:sz w:val="24"/>
          <w:szCs w:val="24"/>
          <w:lang w:val="de-DE"/>
        </w:rPr>
      </w:pPr>
      <w:r w:rsidRPr="006F5749">
        <w:rPr>
          <w:sz w:val="24"/>
          <w:szCs w:val="24"/>
          <w:lang w:val="de-DE"/>
        </w:rPr>
        <w:t>5349 AB Oss</w:t>
      </w:r>
    </w:p>
    <w:p w:rsidR="003A26E5" w:rsidRPr="006F5749" w:rsidRDefault="003A26E5" w:rsidP="003A26E5">
      <w:pPr>
        <w:keepNext/>
        <w:keepLines/>
        <w:ind w:left="851"/>
        <w:jc w:val="both"/>
        <w:rPr>
          <w:sz w:val="24"/>
          <w:szCs w:val="24"/>
        </w:rPr>
      </w:pPr>
      <w:r w:rsidRPr="003A26E5">
        <w:rPr>
          <w:sz w:val="24"/>
          <w:szCs w:val="24"/>
        </w:rPr>
        <w:t>Holland</w:t>
      </w:r>
    </w:p>
    <w:p w:rsidR="003A26E5" w:rsidRPr="006F5749" w:rsidRDefault="003A26E5" w:rsidP="003A26E5">
      <w:pPr>
        <w:ind w:left="851" w:hanging="851"/>
        <w:jc w:val="both"/>
        <w:rPr>
          <w:sz w:val="24"/>
          <w:szCs w:val="24"/>
        </w:rPr>
      </w:pPr>
    </w:p>
    <w:p w:rsidR="003A26E5" w:rsidRPr="006F5749" w:rsidRDefault="003A26E5" w:rsidP="003A26E5">
      <w:pPr>
        <w:ind w:left="851"/>
        <w:jc w:val="both"/>
        <w:rPr>
          <w:b/>
          <w:sz w:val="24"/>
          <w:szCs w:val="24"/>
        </w:rPr>
      </w:pPr>
      <w:r w:rsidRPr="006F5749">
        <w:rPr>
          <w:b/>
          <w:sz w:val="24"/>
          <w:szCs w:val="24"/>
        </w:rPr>
        <w:t>Repræsentant</w:t>
      </w:r>
    </w:p>
    <w:p w:rsidR="003A26E5" w:rsidRPr="003A26E5" w:rsidRDefault="003A26E5" w:rsidP="003A26E5">
      <w:pPr>
        <w:ind w:left="851"/>
        <w:rPr>
          <w:spacing w:val="-3"/>
          <w:sz w:val="24"/>
          <w:szCs w:val="24"/>
        </w:rPr>
      </w:pPr>
      <w:r w:rsidRPr="003A26E5">
        <w:rPr>
          <w:spacing w:val="-3"/>
          <w:sz w:val="24"/>
          <w:szCs w:val="24"/>
        </w:rPr>
        <w:t>Organon Denmark ApS</w:t>
      </w:r>
    </w:p>
    <w:p w:rsidR="003A26E5" w:rsidRPr="003A26E5" w:rsidRDefault="003A26E5" w:rsidP="003A26E5">
      <w:pPr>
        <w:ind w:left="851"/>
        <w:jc w:val="both"/>
        <w:rPr>
          <w:spacing w:val="-3"/>
          <w:sz w:val="24"/>
          <w:szCs w:val="24"/>
        </w:rPr>
      </w:pPr>
      <w:r w:rsidRPr="003A26E5">
        <w:rPr>
          <w:spacing w:val="-3"/>
          <w:sz w:val="24"/>
          <w:szCs w:val="24"/>
        </w:rPr>
        <w:t>Bredgade 6</w:t>
      </w:r>
    </w:p>
    <w:p w:rsidR="003A26E5" w:rsidRPr="006F5749" w:rsidRDefault="003A26E5" w:rsidP="003A26E5">
      <w:pPr>
        <w:ind w:left="851"/>
        <w:jc w:val="both"/>
        <w:rPr>
          <w:sz w:val="24"/>
          <w:szCs w:val="24"/>
        </w:rPr>
      </w:pPr>
      <w:r w:rsidRPr="003A26E5">
        <w:rPr>
          <w:spacing w:val="-3"/>
          <w:sz w:val="24"/>
          <w:szCs w:val="24"/>
        </w:rPr>
        <w:t>1260 København K</w:t>
      </w:r>
    </w:p>
    <w:p w:rsidR="00EE0B50" w:rsidRPr="00B07995" w:rsidRDefault="00EE0B50" w:rsidP="00EE0B50">
      <w:pPr>
        <w:ind w:left="851" w:hanging="851"/>
        <w:rPr>
          <w:sz w:val="24"/>
          <w:szCs w:val="24"/>
        </w:rPr>
      </w:pPr>
    </w:p>
    <w:p w:rsidR="00176E9B" w:rsidRPr="00B07995" w:rsidRDefault="00176E9B" w:rsidP="00E8570F">
      <w:pPr>
        <w:keepNext/>
        <w:ind w:left="851" w:hanging="851"/>
        <w:rPr>
          <w:b/>
          <w:sz w:val="24"/>
          <w:szCs w:val="24"/>
        </w:rPr>
      </w:pPr>
      <w:r w:rsidRPr="00B07995">
        <w:rPr>
          <w:b/>
          <w:sz w:val="24"/>
          <w:szCs w:val="24"/>
        </w:rPr>
        <w:lastRenderedPageBreak/>
        <w:t>8.</w:t>
      </w:r>
      <w:r w:rsidRPr="00B07995">
        <w:rPr>
          <w:b/>
          <w:sz w:val="24"/>
          <w:szCs w:val="24"/>
        </w:rPr>
        <w:tab/>
        <w:t>MARKEDSFØRINGSTILLADELSESNUMMER (</w:t>
      </w:r>
      <w:r w:rsidR="00D26278">
        <w:rPr>
          <w:b/>
          <w:sz w:val="24"/>
          <w:szCs w:val="24"/>
        </w:rPr>
        <w:t>-</w:t>
      </w:r>
      <w:r w:rsidRPr="00B07995">
        <w:rPr>
          <w:b/>
          <w:sz w:val="24"/>
          <w:szCs w:val="24"/>
        </w:rPr>
        <w:t>NUMRE)</w:t>
      </w:r>
    </w:p>
    <w:p w:rsidR="00176E9B" w:rsidRPr="00B07995" w:rsidRDefault="00176E9B" w:rsidP="00176E9B">
      <w:pPr>
        <w:ind w:left="851" w:hanging="851"/>
        <w:rPr>
          <w:sz w:val="24"/>
          <w:szCs w:val="24"/>
        </w:rPr>
      </w:pPr>
      <w:r w:rsidRPr="00B07995">
        <w:rPr>
          <w:sz w:val="24"/>
          <w:szCs w:val="24"/>
        </w:rPr>
        <w:tab/>
        <w:t>10+10 mg:</w:t>
      </w:r>
      <w:r>
        <w:rPr>
          <w:sz w:val="24"/>
          <w:szCs w:val="24"/>
        </w:rPr>
        <w:t xml:space="preserve"> 53288</w:t>
      </w:r>
    </w:p>
    <w:p w:rsidR="00176E9B" w:rsidRPr="00B07995" w:rsidRDefault="00176E9B" w:rsidP="00176E9B">
      <w:pPr>
        <w:ind w:left="851"/>
        <w:rPr>
          <w:sz w:val="24"/>
          <w:szCs w:val="24"/>
        </w:rPr>
      </w:pPr>
      <w:r w:rsidRPr="00B07995">
        <w:rPr>
          <w:sz w:val="24"/>
          <w:szCs w:val="24"/>
        </w:rPr>
        <w:t>10+20 mg:</w:t>
      </w:r>
      <w:r>
        <w:rPr>
          <w:sz w:val="24"/>
          <w:szCs w:val="24"/>
        </w:rPr>
        <w:t xml:space="preserve"> 53289</w:t>
      </w:r>
    </w:p>
    <w:p w:rsidR="00176E9B" w:rsidRPr="00B07995" w:rsidRDefault="00176E9B" w:rsidP="00176E9B">
      <w:pPr>
        <w:ind w:left="851"/>
        <w:rPr>
          <w:sz w:val="24"/>
          <w:szCs w:val="24"/>
        </w:rPr>
      </w:pPr>
      <w:r w:rsidRPr="00B07995">
        <w:rPr>
          <w:sz w:val="24"/>
          <w:szCs w:val="24"/>
        </w:rPr>
        <w:t>10+40 mg:</w:t>
      </w:r>
      <w:r>
        <w:rPr>
          <w:sz w:val="24"/>
          <w:szCs w:val="24"/>
        </w:rPr>
        <w:t xml:space="preserve"> 53290</w:t>
      </w:r>
    </w:p>
    <w:p w:rsidR="00176E9B" w:rsidRPr="00B07995" w:rsidRDefault="00176E9B" w:rsidP="00176E9B">
      <w:pPr>
        <w:ind w:left="851"/>
        <w:rPr>
          <w:sz w:val="24"/>
          <w:szCs w:val="24"/>
        </w:rPr>
      </w:pPr>
      <w:r w:rsidRPr="00B07995">
        <w:rPr>
          <w:sz w:val="24"/>
          <w:szCs w:val="24"/>
        </w:rPr>
        <w:t>10+80 mg:</w:t>
      </w:r>
      <w:r>
        <w:rPr>
          <w:sz w:val="24"/>
          <w:szCs w:val="24"/>
        </w:rPr>
        <w:t xml:space="preserve"> 53291</w:t>
      </w:r>
    </w:p>
    <w:p w:rsidR="00176E9B" w:rsidRPr="00B07995" w:rsidRDefault="00176E9B" w:rsidP="00176E9B">
      <w:pPr>
        <w:ind w:left="851" w:hanging="851"/>
        <w:jc w:val="both"/>
        <w:rPr>
          <w:sz w:val="24"/>
          <w:szCs w:val="24"/>
        </w:rPr>
      </w:pPr>
    </w:p>
    <w:p w:rsidR="00176E9B" w:rsidRPr="00B07995" w:rsidRDefault="00176E9B" w:rsidP="00176E9B">
      <w:pPr>
        <w:ind w:left="851" w:hanging="851"/>
        <w:rPr>
          <w:b/>
          <w:sz w:val="24"/>
          <w:szCs w:val="24"/>
        </w:rPr>
      </w:pPr>
      <w:r w:rsidRPr="00B07995">
        <w:rPr>
          <w:b/>
          <w:sz w:val="24"/>
          <w:szCs w:val="24"/>
        </w:rPr>
        <w:t>9.</w:t>
      </w:r>
      <w:r w:rsidRPr="00B07995">
        <w:rPr>
          <w:b/>
          <w:sz w:val="24"/>
          <w:szCs w:val="24"/>
        </w:rPr>
        <w:tab/>
        <w:t>DATO FOR FØRSTE MARKEDSFØRINGSTILLADELSE</w:t>
      </w:r>
    </w:p>
    <w:p w:rsidR="00176E9B" w:rsidRPr="00B07995" w:rsidRDefault="00176E9B" w:rsidP="00176E9B">
      <w:pPr>
        <w:ind w:left="851" w:hanging="851"/>
        <w:rPr>
          <w:sz w:val="24"/>
          <w:szCs w:val="24"/>
        </w:rPr>
      </w:pPr>
      <w:r w:rsidRPr="00B07995">
        <w:rPr>
          <w:sz w:val="24"/>
          <w:szCs w:val="24"/>
        </w:rPr>
        <w:tab/>
        <w:t>30. september 2014</w:t>
      </w:r>
    </w:p>
    <w:p w:rsidR="00176E9B" w:rsidRPr="00B07995" w:rsidRDefault="00176E9B" w:rsidP="00176E9B">
      <w:pPr>
        <w:ind w:left="851" w:hanging="851"/>
        <w:rPr>
          <w:sz w:val="24"/>
          <w:szCs w:val="24"/>
        </w:rPr>
      </w:pPr>
    </w:p>
    <w:p w:rsidR="00176E9B" w:rsidRPr="00B07995" w:rsidRDefault="00176E9B" w:rsidP="00176E9B">
      <w:pPr>
        <w:ind w:left="851" w:hanging="851"/>
        <w:rPr>
          <w:b/>
          <w:sz w:val="24"/>
          <w:szCs w:val="24"/>
        </w:rPr>
      </w:pPr>
      <w:r w:rsidRPr="00B07995">
        <w:rPr>
          <w:b/>
          <w:sz w:val="24"/>
          <w:szCs w:val="24"/>
        </w:rPr>
        <w:t>10.</w:t>
      </w:r>
      <w:r w:rsidRPr="00B07995">
        <w:rPr>
          <w:b/>
          <w:sz w:val="24"/>
          <w:szCs w:val="24"/>
        </w:rPr>
        <w:tab/>
        <w:t>DATO FOR ÆNDRING AF TEKSTEN</w:t>
      </w:r>
    </w:p>
    <w:p w:rsidR="00176E9B" w:rsidRPr="00A33F3F" w:rsidRDefault="00176E9B" w:rsidP="00176E9B">
      <w:pPr>
        <w:ind w:left="851" w:hanging="851"/>
        <w:rPr>
          <w:sz w:val="24"/>
          <w:szCs w:val="24"/>
        </w:rPr>
      </w:pPr>
      <w:r w:rsidRPr="00A33F3F">
        <w:rPr>
          <w:sz w:val="24"/>
          <w:szCs w:val="24"/>
        </w:rPr>
        <w:tab/>
      </w:r>
      <w:r w:rsidR="00497B99">
        <w:rPr>
          <w:sz w:val="24"/>
          <w:szCs w:val="24"/>
        </w:rPr>
        <w:t>20</w:t>
      </w:r>
      <w:r w:rsidR="00D71A03" w:rsidRPr="00D71A03">
        <w:rPr>
          <w:sz w:val="24"/>
          <w:szCs w:val="24"/>
        </w:rPr>
        <w:t>. september 2023</w:t>
      </w:r>
    </w:p>
    <w:p w:rsidR="00176E9B" w:rsidRPr="004040B5" w:rsidRDefault="00176E9B" w:rsidP="00176E9B"/>
    <w:p w:rsidR="00176E9B" w:rsidRPr="002F12C6" w:rsidRDefault="00176E9B" w:rsidP="00176E9B"/>
    <w:p w:rsidR="009260DE" w:rsidRPr="00176E9B" w:rsidRDefault="009260DE" w:rsidP="00176E9B"/>
    <w:sectPr w:rsidR="009260DE" w:rsidRPr="00176E9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A03" w:rsidRDefault="00D71A03">
      <w:r>
        <w:separator/>
      </w:r>
    </w:p>
  </w:endnote>
  <w:endnote w:type="continuationSeparator" w:id="0">
    <w:p w:rsidR="00D71A03" w:rsidRDefault="00D71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1A03" w:rsidRDefault="00D71A03">
    <w:pPr>
      <w:pStyle w:val="Sidefod"/>
      <w:pBdr>
        <w:bottom w:val="single" w:sz="6" w:space="1" w:color="auto"/>
      </w:pBdr>
    </w:pPr>
  </w:p>
  <w:p w:rsidR="00D71A03" w:rsidRDefault="00D71A03" w:rsidP="00C42586">
    <w:pPr>
      <w:pStyle w:val="Sidefod"/>
      <w:tabs>
        <w:tab w:val="clear" w:pos="4819"/>
        <w:tab w:val="left" w:pos="8505"/>
      </w:tabs>
      <w:rPr>
        <w:i/>
        <w:sz w:val="18"/>
        <w:szCs w:val="18"/>
      </w:rPr>
    </w:pPr>
  </w:p>
  <w:p w:rsidR="00D71A03" w:rsidRPr="00B373D7" w:rsidRDefault="00D71A03" w:rsidP="00C42586">
    <w:pPr>
      <w:pStyle w:val="Sidefod"/>
      <w:tabs>
        <w:tab w:val="clear" w:pos="4819"/>
        <w:tab w:val="left" w:pos="8505"/>
      </w:tabs>
      <w:rPr>
        <w:i/>
        <w:sz w:val="18"/>
        <w:szCs w:val="18"/>
      </w:rPr>
    </w:pPr>
    <w:r w:rsidRPr="00827446">
      <w:rPr>
        <w:i/>
        <w:sz w:val="18"/>
        <w:szCs w:val="18"/>
      </w:rPr>
      <w:t>Atozet, filmovertrukne tabletter 10+10 mg, 10+20 mg, 10+40 mg og 10+80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A03" w:rsidRDefault="00D71A03">
      <w:r>
        <w:separator/>
      </w:r>
    </w:p>
  </w:footnote>
  <w:footnote w:type="continuationSeparator" w:id="0">
    <w:p w:rsidR="00D71A03" w:rsidRDefault="00D71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85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A7172"/>
    <w:multiLevelType w:val="multilevel"/>
    <w:tmpl w:val="E5463C42"/>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251560"/>
    <w:multiLevelType w:val="hybridMultilevel"/>
    <w:tmpl w:val="6870FBFC"/>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11AD464A"/>
    <w:multiLevelType w:val="hybridMultilevel"/>
    <w:tmpl w:val="B51A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D38ED"/>
    <w:multiLevelType w:val="hybridMultilevel"/>
    <w:tmpl w:val="2E000A2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23D97265"/>
    <w:multiLevelType w:val="hybridMultilevel"/>
    <w:tmpl w:val="1652A0C6"/>
    <w:lvl w:ilvl="0" w:tplc="04090001">
      <w:start w:val="1"/>
      <w:numFmt w:val="bullet"/>
      <w:lvlText w:val=""/>
      <w:lvlJc w:val="left"/>
      <w:pPr>
        <w:tabs>
          <w:tab w:val="num" w:pos="1296"/>
        </w:tabs>
        <w:ind w:left="1296"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255A240A"/>
    <w:multiLevelType w:val="hybridMultilevel"/>
    <w:tmpl w:val="95D0F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8" w15:restartNumberingAfterBreak="0">
    <w:nsid w:val="38E02851"/>
    <w:multiLevelType w:val="hybridMultilevel"/>
    <w:tmpl w:val="B4244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4FA00498"/>
    <w:multiLevelType w:val="multilevel"/>
    <w:tmpl w:val="0E0E840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031327F"/>
    <w:multiLevelType w:val="hybridMultilevel"/>
    <w:tmpl w:val="BE2A018E"/>
    <w:lvl w:ilvl="0" w:tplc="04090001">
      <w:start w:val="1"/>
      <w:numFmt w:val="bullet"/>
      <w:lvlText w:val=""/>
      <w:lvlJc w:val="left"/>
      <w:pPr>
        <w:ind w:left="5826" w:hanging="360"/>
      </w:pPr>
      <w:rPr>
        <w:rFonts w:ascii="Symbol" w:hAnsi="Symbol" w:hint="default"/>
      </w:rPr>
    </w:lvl>
    <w:lvl w:ilvl="1" w:tplc="04090003" w:tentative="1">
      <w:start w:val="1"/>
      <w:numFmt w:val="bullet"/>
      <w:lvlText w:val="o"/>
      <w:lvlJc w:val="left"/>
      <w:pPr>
        <w:ind w:left="6546" w:hanging="360"/>
      </w:pPr>
      <w:rPr>
        <w:rFonts w:ascii="Courier New" w:hAnsi="Courier New" w:cs="Courier New" w:hint="default"/>
      </w:rPr>
    </w:lvl>
    <w:lvl w:ilvl="2" w:tplc="04090005" w:tentative="1">
      <w:start w:val="1"/>
      <w:numFmt w:val="bullet"/>
      <w:lvlText w:val=""/>
      <w:lvlJc w:val="left"/>
      <w:pPr>
        <w:ind w:left="7266" w:hanging="360"/>
      </w:pPr>
      <w:rPr>
        <w:rFonts w:ascii="Wingdings" w:hAnsi="Wingdings" w:hint="default"/>
      </w:rPr>
    </w:lvl>
    <w:lvl w:ilvl="3" w:tplc="04090001" w:tentative="1">
      <w:start w:val="1"/>
      <w:numFmt w:val="bullet"/>
      <w:lvlText w:val=""/>
      <w:lvlJc w:val="left"/>
      <w:pPr>
        <w:ind w:left="7986" w:hanging="360"/>
      </w:pPr>
      <w:rPr>
        <w:rFonts w:ascii="Symbol" w:hAnsi="Symbol" w:hint="default"/>
      </w:rPr>
    </w:lvl>
    <w:lvl w:ilvl="4" w:tplc="04090003" w:tentative="1">
      <w:start w:val="1"/>
      <w:numFmt w:val="bullet"/>
      <w:lvlText w:val="o"/>
      <w:lvlJc w:val="left"/>
      <w:pPr>
        <w:ind w:left="8706" w:hanging="360"/>
      </w:pPr>
      <w:rPr>
        <w:rFonts w:ascii="Courier New" w:hAnsi="Courier New" w:cs="Courier New" w:hint="default"/>
      </w:rPr>
    </w:lvl>
    <w:lvl w:ilvl="5" w:tplc="04090005" w:tentative="1">
      <w:start w:val="1"/>
      <w:numFmt w:val="bullet"/>
      <w:lvlText w:val=""/>
      <w:lvlJc w:val="left"/>
      <w:pPr>
        <w:ind w:left="9426" w:hanging="360"/>
      </w:pPr>
      <w:rPr>
        <w:rFonts w:ascii="Wingdings" w:hAnsi="Wingdings" w:hint="default"/>
      </w:rPr>
    </w:lvl>
    <w:lvl w:ilvl="6" w:tplc="04090001" w:tentative="1">
      <w:start w:val="1"/>
      <w:numFmt w:val="bullet"/>
      <w:lvlText w:val=""/>
      <w:lvlJc w:val="left"/>
      <w:pPr>
        <w:ind w:left="10146" w:hanging="360"/>
      </w:pPr>
      <w:rPr>
        <w:rFonts w:ascii="Symbol" w:hAnsi="Symbol" w:hint="default"/>
      </w:rPr>
    </w:lvl>
    <w:lvl w:ilvl="7" w:tplc="04090003" w:tentative="1">
      <w:start w:val="1"/>
      <w:numFmt w:val="bullet"/>
      <w:lvlText w:val="o"/>
      <w:lvlJc w:val="left"/>
      <w:pPr>
        <w:ind w:left="10866" w:hanging="360"/>
      </w:pPr>
      <w:rPr>
        <w:rFonts w:ascii="Courier New" w:hAnsi="Courier New" w:cs="Courier New" w:hint="default"/>
      </w:rPr>
    </w:lvl>
    <w:lvl w:ilvl="8" w:tplc="04090005" w:tentative="1">
      <w:start w:val="1"/>
      <w:numFmt w:val="bullet"/>
      <w:lvlText w:val=""/>
      <w:lvlJc w:val="left"/>
      <w:pPr>
        <w:ind w:left="11586" w:hanging="360"/>
      </w:pPr>
      <w:rPr>
        <w:rFonts w:ascii="Wingdings" w:hAnsi="Wingdings" w:hint="default"/>
      </w:rPr>
    </w:lvl>
  </w:abstractNum>
  <w:abstractNum w:abstractNumId="2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3576505"/>
    <w:multiLevelType w:val="multilevel"/>
    <w:tmpl w:val="8806E046"/>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9"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0" w15:restartNumberingAfterBreak="0">
    <w:nsid w:val="5E582750"/>
    <w:multiLevelType w:val="hybridMultilevel"/>
    <w:tmpl w:val="CCC4014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0"/>
  </w:num>
  <w:num w:numId="8">
    <w:abstractNumId w:val="24"/>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3"/>
  </w:num>
  <w:num w:numId="12">
    <w:abstractNumId w:val="4"/>
  </w:num>
  <w:num w:numId="13">
    <w:abstractNumId w:val="30"/>
  </w:num>
  <w:num w:numId="14">
    <w:abstractNumId w:val="0"/>
    <w:lvlOverride w:ilvl="0">
      <w:lvl w:ilvl="0">
        <w:start w:val="1"/>
        <w:numFmt w:val="bullet"/>
        <w:lvlText w:val="-"/>
        <w:legacy w:legacy="1" w:legacySpace="0" w:legacyIndent="360"/>
        <w:lvlJc w:val="left"/>
        <w:pPr>
          <w:ind w:left="360" w:hanging="360"/>
        </w:pPr>
      </w:lvl>
    </w:lvlOverride>
  </w:num>
  <w:num w:numId="15">
    <w:abstractNumId w:val="33"/>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5"/>
  </w:num>
  <w:num w:numId="18">
    <w:abstractNumId w:val="34"/>
  </w:num>
  <w:num w:numId="19">
    <w:abstractNumId w:val="13"/>
  </w:num>
  <w:num w:numId="20">
    <w:abstractNumId w:val="28"/>
  </w:num>
  <w:num w:numId="21">
    <w:abstractNumId w:val="21"/>
  </w:num>
  <w:num w:numId="22">
    <w:abstractNumId w:val="9"/>
  </w:num>
  <w:num w:numId="23">
    <w:abstractNumId w:val="32"/>
  </w:num>
  <w:num w:numId="24">
    <w:abstractNumId w:val="3"/>
  </w:num>
  <w:num w:numId="25">
    <w:abstractNumId w:val="8"/>
  </w:num>
  <w:num w:numId="26">
    <w:abstractNumId w:val="29"/>
  </w:num>
  <w:num w:numId="27">
    <w:abstractNumId w:val="25"/>
  </w:num>
  <w:num w:numId="28">
    <w:abstractNumId w:val="12"/>
  </w:num>
  <w:num w:numId="29">
    <w:abstractNumId w:val="15"/>
  </w:num>
  <w:num w:numId="30">
    <w:abstractNumId w:val="14"/>
  </w:num>
  <w:num w:numId="31">
    <w:abstractNumId w:val="1"/>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5"/>
  </w:num>
  <w:num w:numId="3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6"/>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E9B"/>
    <w:rsid w:val="000259B9"/>
    <w:rsid w:val="00041491"/>
    <w:rsid w:val="00050D16"/>
    <w:rsid w:val="00074F2A"/>
    <w:rsid w:val="000A1CA8"/>
    <w:rsid w:val="000A466B"/>
    <w:rsid w:val="000B058C"/>
    <w:rsid w:val="000E4EE6"/>
    <w:rsid w:val="001454E2"/>
    <w:rsid w:val="00176E9B"/>
    <w:rsid w:val="001C04A4"/>
    <w:rsid w:val="00206CE8"/>
    <w:rsid w:val="0021526C"/>
    <w:rsid w:val="00222277"/>
    <w:rsid w:val="00272594"/>
    <w:rsid w:val="00283A2B"/>
    <w:rsid w:val="002B30AD"/>
    <w:rsid w:val="002C2C01"/>
    <w:rsid w:val="00300145"/>
    <w:rsid w:val="00336D3B"/>
    <w:rsid w:val="003A26E5"/>
    <w:rsid w:val="003A29AE"/>
    <w:rsid w:val="003A32D7"/>
    <w:rsid w:val="003B4074"/>
    <w:rsid w:val="003C769A"/>
    <w:rsid w:val="003D0A98"/>
    <w:rsid w:val="003F1838"/>
    <w:rsid w:val="003F528C"/>
    <w:rsid w:val="0043083F"/>
    <w:rsid w:val="0045746C"/>
    <w:rsid w:val="0049104B"/>
    <w:rsid w:val="00497B99"/>
    <w:rsid w:val="004E3B12"/>
    <w:rsid w:val="0052212E"/>
    <w:rsid w:val="00532310"/>
    <w:rsid w:val="00541627"/>
    <w:rsid w:val="00560ECC"/>
    <w:rsid w:val="00565F0F"/>
    <w:rsid w:val="00594A86"/>
    <w:rsid w:val="00596D86"/>
    <w:rsid w:val="0061309E"/>
    <w:rsid w:val="00637F5A"/>
    <w:rsid w:val="006560B1"/>
    <w:rsid w:val="006756DD"/>
    <w:rsid w:val="006B706B"/>
    <w:rsid w:val="006F5749"/>
    <w:rsid w:val="006F5E3E"/>
    <w:rsid w:val="00737275"/>
    <w:rsid w:val="00740EEC"/>
    <w:rsid w:val="0078011A"/>
    <w:rsid w:val="00782AF4"/>
    <w:rsid w:val="00790EE7"/>
    <w:rsid w:val="007B6649"/>
    <w:rsid w:val="0081546F"/>
    <w:rsid w:val="0082576E"/>
    <w:rsid w:val="00827446"/>
    <w:rsid w:val="00907F75"/>
    <w:rsid w:val="00924B6C"/>
    <w:rsid w:val="009260DE"/>
    <w:rsid w:val="0093258A"/>
    <w:rsid w:val="009C3179"/>
    <w:rsid w:val="009C7BA3"/>
    <w:rsid w:val="009D1F5A"/>
    <w:rsid w:val="00AA2AE5"/>
    <w:rsid w:val="00B003BF"/>
    <w:rsid w:val="00B373D7"/>
    <w:rsid w:val="00B53973"/>
    <w:rsid w:val="00BB46C3"/>
    <w:rsid w:val="00BB657C"/>
    <w:rsid w:val="00C36276"/>
    <w:rsid w:val="00C42586"/>
    <w:rsid w:val="00C60CCD"/>
    <w:rsid w:val="00C84483"/>
    <w:rsid w:val="00C95551"/>
    <w:rsid w:val="00CB20D7"/>
    <w:rsid w:val="00D020B0"/>
    <w:rsid w:val="00D11748"/>
    <w:rsid w:val="00D14B5A"/>
    <w:rsid w:val="00D26278"/>
    <w:rsid w:val="00D366CF"/>
    <w:rsid w:val="00D71A03"/>
    <w:rsid w:val="00E108AA"/>
    <w:rsid w:val="00E31812"/>
    <w:rsid w:val="00E3749A"/>
    <w:rsid w:val="00E65450"/>
    <w:rsid w:val="00E7437F"/>
    <w:rsid w:val="00E8570F"/>
    <w:rsid w:val="00E865B8"/>
    <w:rsid w:val="00EC0B9B"/>
    <w:rsid w:val="00ED5E9F"/>
    <w:rsid w:val="00EE0B50"/>
    <w:rsid w:val="00F21DE7"/>
    <w:rsid w:val="00F5571C"/>
    <w:rsid w:val="00F66D4F"/>
    <w:rsid w:val="00FB6D01"/>
    <w:rsid w:val="00FC1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5B5E6"/>
  <w15:chartTrackingRefBased/>
  <w15:docId w15:val="{9CAFA46F-B432-428D-A698-2530B0FC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176E9B"/>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176E9B"/>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176E9B"/>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176E9B"/>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176E9B"/>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176E9B"/>
    <w:pPr>
      <w:keepNext/>
      <w:ind w:left="1701" w:hanging="567"/>
      <w:outlineLvl w:val="7"/>
    </w:pPr>
    <w:rPr>
      <w:b/>
      <w:sz w:val="22"/>
    </w:rPr>
  </w:style>
  <w:style w:type="paragraph" w:styleId="Overskrift9">
    <w:name w:val="heading 9"/>
    <w:basedOn w:val="Normal"/>
    <w:next w:val="Normal"/>
    <w:link w:val="Overskrift9Tegn"/>
    <w:qFormat/>
    <w:rsid w:val="00176E9B"/>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176E9B"/>
    <w:rPr>
      <w:b/>
      <w:noProof/>
      <w:sz w:val="22"/>
      <w:lang w:eastAsia="en-US"/>
    </w:rPr>
  </w:style>
  <w:style w:type="character" w:customStyle="1" w:styleId="Overskrift4Tegn">
    <w:name w:val="Overskrift 4 Tegn"/>
    <w:basedOn w:val="Standardskrifttypeiafsnit"/>
    <w:link w:val="Overskrift4"/>
    <w:rsid w:val="00176E9B"/>
    <w:rPr>
      <w:b/>
      <w:noProof/>
      <w:sz w:val="22"/>
      <w:lang w:eastAsia="en-US"/>
    </w:rPr>
  </w:style>
  <w:style w:type="character" w:customStyle="1" w:styleId="Overskrift5Tegn">
    <w:name w:val="Overskrift 5 Tegn"/>
    <w:basedOn w:val="Standardskrifttypeiafsnit"/>
    <w:link w:val="Overskrift5"/>
    <w:rsid w:val="00176E9B"/>
    <w:rPr>
      <w:b/>
      <w:sz w:val="22"/>
      <w:lang w:eastAsia="en-US"/>
    </w:rPr>
  </w:style>
  <w:style w:type="character" w:customStyle="1" w:styleId="Overskrift6Tegn">
    <w:name w:val="Overskrift 6 Tegn"/>
    <w:basedOn w:val="Standardskrifttypeiafsnit"/>
    <w:link w:val="Overskrift6"/>
    <w:rsid w:val="00176E9B"/>
    <w:rPr>
      <w:i/>
      <w:sz w:val="22"/>
      <w:lang w:val="en-GB" w:eastAsia="en-US"/>
    </w:rPr>
  </w:style>
  <w:style w:type="character" w:customStyle="1" w:styleId="Overskrift7Tegn">
    <w:name w:val="Overskrift 7 Tegn"/>
    <w:basedOn w:val="Standardskrifttypeiafsnit"/>
    <w:link w:val="Overskrift7"/>
    <w:rsid w:val="00176E9B"/>
    <w:rPr>
      <w:i/>
      <w:sz w:val="22"/>
      <w:lang w:val="en-GB" w:eastAsia="en-US"/>
    </w:rPr>
  </w:style>
  <w:style w:type="character" w:customStyle="1" w:styleId="Overskrift8Tegn">
    <w:name w:val="Overskrift 8 Tegn"/>
    <w:basedOn w:val="Standardskrifttypeiafsnit"/>
    <w:link w:val="Overskrift8"/>
    <w:rsid w:val="00176E9B"/>
    <w:rPr>
      <w:b/>
      <w:sz w:val="22"/>
      <w:lang w:eastAsia="en-US"/>
    </w:rPr>
  </w:style>
  <w:style w:type="character" w:customStyle="1" w:styleId="Overskrift9Tegn">
    <w:name w:val="Overskrift 9 Tegn"/>
    <w:basedOn w:val="Standardskrifttypeiafsnit"/>
    <w:link w:val="Overskrift9"/>
    <w:rsid w:val="00176E9B"/>
    <w:rPr>
      <w:b/>
      <w:sz w:val="22"/>
      <w:lang w:eastAsia="en-US"/>
    </w:rPr>
  </w:style>
  <w:style w:type="character" w:styleId="Pladsholdertekst">
    <w:name w:val="Placeholder Text"/>
    <w:basedOn w:val="Standardskrifttypeiafsnit"/>
    <w:uiPriority w:val="99"/>
    <w:semiHidden/>
    <w:rsid w:val="00176E9B"/>
    <w:rPr>
      <w:color w:val="808080"/>
    </w:rPr>
  </w:style>
  <w:style w:type="paragraph" w:styleId="Listeafsnit">
    <w:name w:val="List Paragraph"/>
    <w:basedOn w:val="Normal"/>
    <w:uiPriority w:val="34"/>
    <w:qFormat/>
    <w:rsid w:val="00176E9B"/>
    <w:pPr>
      <w:ind w:left="720"/>
      <w:contextualSpacing/>
    </w:pPr>
    <w:rPr>
      <w:sz w:val="22"/>
    </w:rPr>
  </w:style>
  <w:style w:type="paragraph" w:customStyle="1" w:styleId="ExtraSpace">
    <w:name w:val="Extra Space"/>
    <w:basedOn w:val="Normal"/>
    <w:next w:val="Normal"/>
    <w:rsid w:val="00176E9B"/>
    <w:pPr>
      <w:spacing w:line="120" w:lineRule="exact"/>
    </w:pPr>
    <w:rPr>
      <w:rFonts w:ascii="Courier New" w:hAnsi="Courier New"/>
      <w:color w:val="00FF00"/>
      <w:sz w:val="20"/>
      <w:lang w:val="en-GB"/>
    </w:rPr>
  </w:style>
  <w:style w:type="paragraph" w:customStyle="1" w:styleId="Default">
    <w:name w:val="Default"/>
    <w:rsid w:val="00176E9B"/>
    <w:pPr>
      <w:autoSpaceDE w:val="0"/>
      <w:autoSpaceDN w:val="0"/>
      <w:adjustRightInd w:val="0"/>
    </w:pPr>
    <w:rPr>
      <w:color w:val="000000"/>
      <w:sz w:val="24"/>
      <w:szCs w:val="24"/>
      <w:lang w:val="en-US" w:eastAsia="en-US"/>
    </w:rPr>
  </w:style>
  <w:style w:type="character" w:styleId="Hyperlink">
    <w:name w:val="Hyperlink"/>
    <w:uiPriority w:val="99"/>
    <w:rsid w:val="00176E9B"/>
    <w:rPr>
      <w:color w:val="0000FF"/>
      <w:u w:val="single"/>
    </w:rPr>
  </w:style>
  <w:style w:type="character" w:customStyle="1" w:styleId="st1">
    <w:name w:val="st1"/>
    <w:rsid w:val="00176E9B"/>
  </w:style>
  <w:style w:type="character" w:styleId="BesgtLink">
    <w:name w:val="FollowedHyperlink"/>
    <w:rsid w:val="00176E9B"/>
    <w:rPr>
      <w:color w:val="800080"/>
      <w:u w:val="single"/>
    </w:rPr>
  </w:style>
  <w:style w:type="paragraph" w:customStyle="1" w:styleId="EMEAEnBodyText">
    <w:name w:val="EMEA En Body Text"/>
    <w:basedOn w:val="Normal"/>
    <w:rsid w:val="00176E9B"/>
    <w:pPr>
      <w:spacing w:before="120" w:after="120"/>
      <w:jc w:val="both"/>
    </w:pPr>
    <w:rPr>
      <w:sz w:val="22"/>
      <w:lang w:val="en-US"/>
    </w:rPr>
  </w:style>
  <w:style w:type="character" w:customStyle="1" w:styleId="aekvivalent1">
    <w:name w:val="aekvivalent1"/>
    <w:rsid w:val="00176E9B"/>
    <w:rPr>
      <w:rFonts w:ascii="Verdana" w:hAnsi="Verdana" w:hint="default"/>
      <w:b/>
      <w:bCs/>
      <w:i w:val="0"/>
      <w:iCs w:val="0"/>
      <w:color w:val="000000"/>
      <w:sz w:val="22"/>
      <w:szCs w:val="22"/>
    </w:rPr>
  </w:style>
  <w:style w:type="paragraph" w:customStyle="1" w:styleId="Body">
    <w:name w:val="Body"/>
    <w:basedOn w:val="Normal"/>
    <w:link w:val="BodyChar"/>
    <w:rsid w:val="00176E9B"/>
    <w:pPr>
      <w:ind w:firstLine="288"/>
    </w:pPr>
    <w:rPr>
      <w:rFonts w:ascii="Courier New" w:hAnsi="Courier New"/>
      <w:sz w:val="20"/>
      <w:lang w:val="en-GB"/>
    </w:rPr>
  </w:style>
  <w:style w:type="paragraph" w:customStyle="1" w:styleId="CPCLH3">
    <w:name w:val="CPCLH3"/>
    <w:basedOn w:val="Normal"/>
    <w:rsid w:val="00176E9B"/>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hAnsi="Courier New"/>
      <w:sz w:val="20"/>
      <w:lang w:val="en-GB"/>
    </w:rPr>
  </w:style>
  <w:style w:type="paragraph" w:customStyle="1" w:styleId="Footnote">
    <w:name w:val="Footnote"/>
    <w:basedOn w:val="Normal"/>
    <w:next w:val="Body"/>
    <w:rsid w:val="00176E9B"/>
    <w:pPr>
      <w:keepLines/>
      <w:tabs>
        <w:tab w:val="right" w:pos="317"/>
        <w:tab w:val="left" w:pos="346"/>
      </w:tabs>
      <w:ind w:left="346" w:hanging="346"/>
    </w:pPr>
    <w:rPr>
      <w:rFonts w:ascii="Courier New" w:hAnsi="Courier New"/>
      <w:sz w:val="14"/>
      <w:lang w:val="en-GB"/>
    </w:rPr>
  </w:style>
  <w:style w:type="paragraph" w:customStyle="1" w:styleId="Tablecentered">
    <w:name w:val="Table: centered"/>
    <w:basedOn w:val="Normal"/>
    <w:rsid w:val="00176E9B"/>
    <w:pPr>
      <w:keepNext/>
      <w:keepLines/>
      <w:jc w:val="center"/>
    </w:pPr>
    <w:rPr>
      <w:rFonts w:ascii="Courier New" w:hAnsi="Courier New"/>
      <w:sz w:val="14"/>
      <w:lang w:val="en-GB"/>
    </w:rPr>
  </w:style>
  <w:style w:type="paragraph" w:customStyle="1" w:styleId="Tablenormal">
    <w:name w:val="Table: normal"/>
    <w:basedOn w:val="Normal"/>
    <w:rsid w:val="00176E9B"/>
    <w:pPr>
      <w:keepNext/>
      <w:keepLines/>
    </w:pPr>
    <w:rPr>
      <w:rFonts w:ascii="Courier New" w:hAnsi="Courier New"/>
      <w:sz w:val="14"/>
      <w:lang w:val="en-GB"/>
    </w:rPr>
  </w:style>
  <w:style w:type="character" w:styleId="Slutnotehenvisning">
    <w:name w:val="endnote reference"/>
    <w:rsid w:val="00176E9B"/>
    <w:rPr>
      <w:vertAlign w:val="superscript"/>
    </w:rPr>
  </w:style>
  <w:style w:type="character" w:customStyle="1" w:styleId="BodyChar">
    <w:name w:val="Body Char"/>
    <w:link w:val="Body"/>
    <w:locked/>
    <w:rsid w:val="00176E9B"/>
    <w:rPr>
      <w:rFonts w:ascii="Courier New" w:hAnsi="Courier New"/>
      <w:lang w:val="en-GB" w:eastAsia="en-US"/>
    </w:rPr>
  </w:style>
  <w:style w:type="paragraph" w:customStyle="1" w:styleId="knZulassung02">
    <w:name w:val="knZulassung02"/>
    <w:basedOn w:val="Normal"/>
    <w:rsid w:val="00176E9B"/>
    <w:pPr>
      <w:ind w:left="1843" w:right="284"/>
    </w:pPr>
    <w:rPr>
      <w:rFonts w:ascii="Courier" w:hAnsi="Courier"/>
      <w:sz w:val="24"/>
      <w:lang w:val="de-DE"/>
    </w:rPr>
  </w:style>
  <w:style w:type="paragraph" w:customStyle="1" w:styleId="knZulassung01">
    <w:name w:val="knZulassung01"/>
    <w:basedOn w:val="Normal"/>
    <w:rsid w:val="00176E9B"/>
    <w:pPr>
      <w:tabs>
        <w:tab w:val="left" w:pos="567"/>
      </w:tabs>
      <w:ind w:left="1843" w:right="284" w:hanging="1843"/>
    </w:pPr>
    <w:rPr>
      <w:rFonts w:ascii="Courier" w:hAnsi="Courie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3025235">
      <w:bodyDiv w:val="1"/>
      <w:marLeft w:val="0"/>
      <w:marRight w:val="0"/>
      <w:marTop w:val="0"/>
      <w:marBottom w:val="0"/>
      <w:divBdr>
        <w:top w:val="none" w:sz="0" w:space="0" w:color="auto"/>
        <w:left w:val="none" w:sz="0" w:space="0" w:color="auto"/>
        <w:bottom w:val="none" w:sz="0" w:space="0" w:color="auto"/>
        <w:right w:val="none" w:sz="0" w:space="0" w:color="auto"/>
      </w:divBdr>
    </w:div>
    <w:div w:id="315497305">
      <w:bodyDiv w:val="1"/>
      <w:marLeft w:val="0"/>
      <w:marRight w:val="0"/>
      <w:marTop w:val="0"/>
      <w:marBottom w:val="0"/>
      <w:divBdr>
        <w:top w:val="none" w:sz="0" w:space="0" w:color="auto"/>
        <w:left w:val="none" w:sz="0" w:space="0" w:color="auto"/>
        <w:bottom w:val="none" w:sz="0" w:space="0" w:color="auto"/>
        <w:right w:val="none" w:sz="0" w:space="0" w:color="auto"/>
      </w:divBdr>
    </w:div>
    <w:div w:id="380591518">
      <w:bodyDiv w:val="1"/>
      <w:marLeft w:val="0"/>
      <w:marRight w:val="0"/>
      <w:marTop w:val="0"/>
      <w:marBottom w:val="0"/>
      <w:divBdr>
        <w:top w:val="none" w:sz="0" w:space="0" w:color="auto"/>
        <w:left w:val="none" w:sz="0" w:space="0" w:color="auto"/>
        <w:bottom w:val="none" w:sz="0" w:space="0" w:color="auto"/>
        <w:right w:val="none" w:sz="0" w:space="0" w:color="auto"/>
      </w:divBdr>
    </w:div>
    <w:div w:id="847642960">
      <w:bodyDiv w:val="1"/>
      <w:marLeft w:val="0"/>
      <w:marRight w:val="0"/>
      <w:marTop w:val="0"/>
      <w:marBottom w:val="0"/>
      <w:divBdr>
        <w:top w:val="none" w:sz="0" w:space="0" w:color="auto"/>
        <w:left w:val="none" w:sz="0" w:space="0" w:color="auto"/>
        <w:bottom w:val="none" w:sz="0" w:space="0" w:color="auto"/>
        <w:right w:val="none" w:sz="0" w:space="0" w:color="auto"/>
      </w:divBdr>
    </w:div>
    <w:div w:id="916283948">
      <w:bodyDiv w:val="1"/>
      <w:marLeft w:val="0"/>
      <w:marRight w:val="0"/>
      <w:marTop w:val="0"/>
      <w:marBottom w:val="0"/>
      <w:divBdr>
        <w:top w:val="none" w:sz="0" w:space="0" w:color="auto"/>
        <w:left w:val="none" w:sz="0" w:space="0" w:color="auto"/>
        <w:bottom w:val="none" w:sz="0" w:space="0" w:color="auto"/>
        <w:right w:val="none" w:sz="0" w:space="0" w:color="auto"/>
      </w:divBdr>
    </w:div>
    <w:div w:id="1081758329">
      <w:bodyDiv w:val="1"/>
      <w:marLeft w:val="0"/>
      <w:marRight w:val="0"/>
      <w:marTop w:val="0"/>
      <w:marBottom w:val="0"/>
      <w:divBdr>
        <w:top w:val="none" w:sz="0" w:space="0" w:color="auto"/>
        <w:left w:val="none" w:sz="0" w:space="0" w:color="auto"/>
        <w:bottom w:val="none" w:sz="0" w:space="0" w:color="auto"/>
        <w:right w:val="none" w:sz="0" w:space="0" w:color="auto"/>
      </w:divBdr>
    </w:div>
    <w:div w:id="1327510158">
      <w:bodyDiv w:val="1"/>
      <w:marLeft w:val="0"/>
      <w:marRight w:val="0"/>
      <w:marTop w:val="0"/>
      <w:marBottom w:val="0"/>
      <w:divBdr>
        <w:top w:val="none" w:sz="0" w:space="0" w:color="auto"/>
        <w:left w:val="none" w:sz="0" w:space="0" w:color="auto"/>
        <w:bottom w:val="none" w:sz="0" w:space="0" w:color="auto"/>
        <w:right w:val="none" w:sz="0" w:space="0" w:color="auto"/>
      </w:divBdr>
    </w:div>
    <w:div w:id="1999267314">
      <w:bodyDiv w:val="1"/>
      <w:marLeft w:val="0"/>
      <w:marRight w:val="0"/>
      <w:marTop w:val="0"/>
      <w:marBottom w:val="0"/>
      <w:divBdr>
        <w:top w:val="none" w:sz="0" w:space="0" w:color="auto"/>
        <w:left w:val="none" w:sz="0" w:space="0" w:color="auto"/>
        <w:bottom w:val="none" w:sz="0" w:space="0" w:color="auto"/>
        <w:right w:val="none" w:sz="0" w:space="0" w:color="auto"/>
      </w:divBdr>
    </w:div>
    <w:div w:id="210175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32</TotalTime>
  <Pages>30</Pages>
  <Words>10448</Words>
  <Characters>63738</Characters>
  <Application>Microsoft Office Word</Application>
  <DocSecurity>0</DocSecurity>
  <Lines>531</Lines>
  <Paragraphs>148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2023041190_x000d_
SPC pkt. 4.4, 4.5, 4.8, 5.1 samt overskrifter iht. QRD9</dc:description>
  <cp:lastModifiedBy>Betty Winther Andersen</cp:lastModifiedBy>
  <cp:revision>7</cp:revision>
  <cp:lastPrinted>2012-08-22T08:53:00Z</cp:lastPrinted>
  <dcterms:created xsi:type="dcterms:W3CDTF">2023-09-15T11:17:00Z</dcterms:created>
  <dcterms:modified xsi:type="dcterms:W3CDTF">2023-09-20T12:20:00Z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