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BC2C4" w14:textId="77777777" w:rsidR="009260DE" w:rsidRPr="00AF0D56" w:rsidRDefault="0021526C" w:rsidP="009260DE">
      <w:pPr>
        <w:rPr>
          <w:sz w:val="24"/>
          <w:szCs w:val="24"/>
        </w:rPr>
      </w:pPr>
      <w:r w:rsidRPr="00AF0D56">
        <w:rPr>
          <w:noProof/>
          <w:sz w:val="24"/>
          <w:szCs w:val="24"/>
          <w:lang w:eastAsia="da-DK"/>
        </w:rPr>
        <w:drawing>
          <wp:anchor distT="0" distB="0" distL="114300" distR="114300" simplePos="0" relativeHeight="251658240" behindDoc="0" locked="0" layoutInCell="1" allowOverlap="1" wp14:anchorId="5F827B9C" wp14:editId="2BCCFC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F0D56">
        <w:rPr>
          <w:sz w:val="24"/>
          <w:szCs w:val="24"/>
        </w:rPr>
        <w:br w:type="textWrapping" w:clear="all"/>
      </w:r>
    </w:p>
    <w:p w14:paraId="64BE46AF" w14:textId="1011956A" w:rsidR="009260DE" w:rsidRPr="00AF0D56" w:rsidRDefault="009260DE" w:rsidP="009260DE">
      <w:pPr>
        <w:pStyle w:val="Titel"/>
        <w:tabs>
          <w:tab w:val="right" w:pos="9356"/>
        </w:tabs>
        <w:jc w:val="left"/>
        <w:rPr>
          <w:b w:val="0"/>
          <w:szCs w:val="24"/>
          <w:lang w:eastAsia="en-US"/>
        </w:rPr>
      </w:pPr>
      <w:r w:rsidRPr="00AF0D56">
        <w:rPr>
          <w:b w:val="0"/>
          <w:szCs w:val="24"/>
          <w:lang w:eastAsia="en-US"/>
        </w:rPr>
        <w:tab/>
      </w:r>
      <w:r w:rsidR="004164AE">
        <w:rPr>
          <w:szCs w:val="24"/>
        </w:rPr>
        <w:t>21. august 2024</w:t>
      </w:r>
    </w:p>
    <w:p w14:paraId="72AA9A49" w14:textId="77777777" w:rsidR="009260DE" w:rsidRPr="00AF0D56" w:rsidRDefault="009260DE" w:rsidP="009260DE">
      <w:pPr>
        <w:pStyle w:val="Titel"/>
        <w:tabs>
          <w:tab w:val="left" w:pos="8222"/>
        </w:tabs>
        <w:jc w:val="left"/>
        <w:rPr>
          <w:b w:val="0"/>
          <w:szCs w:val="24"/>
        </w:rPr>
      </w:pPr>
    </w:p>
    <w:p w14:paraId="62A6BEF3" w14:textId="77777777" w:rsidR="009260DE" w:rsidRPr="00AF0D56" w:rsidRDefault="009260DE" w:rsidP="009260DE">
      <w:pPr>
        <w:pStyle w:val="Titel"/>
        <w:jc w:val="left"/>
        <w:rPr>
          <w:b w:val="0"/>
          <w:szCs w:val="24"/>
        </w:rPr>
      </w:pPr>
    </w:p>
    <w:p w14:paraId="31F855BB" w14:textId="77777777" w:rsidR="009260DE" w:rsidRPr="00AF0D56" w:rsidRDefault="009260DE" w:rsidP="009260DE">
      <w:pPr>
        <w:jc w:val="center"/>
        <w:rPr>
          <w:b/>
          <w:sz w:val="24"/>
          <w:szCs w:val="24"/>
        </w:rPr>
      </w:pPr>
      <w:r w:rsidRPr="00AF0D56">
        <w:rPr>
          <w:b/>
          <w:sz w:val="24"/>
          <w:szCs w:val="24"/>
        </w:rPr>
        <w:t>PRODUKTRESUMÉ</w:t>
      </w:r>
    </w:p>
    <w:p w14:paraId="1EFDBE87" w14:textId="77777777" w:rsidR="009260DE" w:rsidRPr="00AF0D56" w:rsidRDefault="009260DE" w:rsidP="009260DE">
      <w:pPr>
        <w:jc w:val="center"/>
        <w:rPr>
          <w:b/>
          <w:sz w:val="24"/>
          <w:szCs w:val="24"/>
        </w:rPr>
      </w:pPr>
    </w:p>
    <w:p w14:paraId="0783017C" w14:textId="77777777" w:rsidR="009260DE" w:rsidRPr="00AF0D56" w:rsidRDefault="009260DE" w:rsidP="009260DE">
      <w:pPr>
        <w:jc w:val="center"/>
        <w:rPr>
          <w:b/>
          <w:sz w:val="24"/>
          <w:szCs w:val="24"/>
        </w:rPr>
      </w:pPr>
      <w:r w:rsidRPr="00AF0D56">
        <w:rPr>
          <w:b/>
          <w:sz w:val="24"/>
          <w:szCs w:val="24"/>
        </w:rPr>
        <w:t>for</w:t>
      </w:r>
    </w:p>
    <w:p w14:paraId="47DCAD9D" w14:textId="77777777" w:rsidR="000B058C" w:rsidRPr="00AF0D56" w:rsidRDefault="000B058C" w:rsidP="009260DE">
      <w:pPr>
        <w:jc w:val="center"/>
        <w:rPr>
          <w:b/>
          <w:sz w:val="24"/>
          <w:szCs w:val="24"/>
        </w:rPr>
      </w:pPr>
    </w:p>
    <w:p w14:paraId="77FD4962" w14:textId="5EC488A8" w:rsidR="009260DE" w:rsidRPr="00AF0D56" w:rsidRDefault="00321153" w:rsidP="009260DE">
      <w:pPr>
        <w:jc w:val="center"/>
        <w:rPr>
          <w:b/>
          <w:sz w:val="24"/>
          <w:szCs w:val="24"/>
        </w:rPr>
      </w:pPr>
      <w:proofErr w:type="spellStart"/>
      <w:r w:rsidRPr="00AF0D56">
        <w:rPr>
          <w:b/>
          <w:sz w:val="24"/>
          <w:szCs w:val="24"/>
        </w:rPr>
        <w:t>Atropine</w:t>
      </w:r>
      <w:proofErr w:type="spellEnd"/>
      <w:r w:rsidRPr="00AF0D56">
        <w:rPr>
          <w:b/>
          <w:sz w:val="24"/>
          <w:szCs w:val="24"/>
        </w:rPr>
        <w:t xml:space="preserve"> "</w:t>
      </w:r>
      <w:proofErr w:type="spellStart"/>
      <w:r w:rsidRPr="00AF0D56">
        <w:rPr>
          <w:b/>
          <w:sz w:val="24"/>
          <w:szCs w:val="24"/>
        </w:rPr>
        <w:t>Accord</w:t>
      </w:r>
      <w:proofErr w:type="spellEnd"/>
      <w:r w:rsidRPr="00AF0D56">
        <w:rPr>
          <w:b/>
          <w:sz w:val="24"/>
          <w:szCs w:val="24"/>
        </w:rPr>
        <w:t xml:space="preserve">", </w:t>
      </w:r>
      <w:r w:rsidR="00203881" w:rsidRPr="00AF0D56">
        <w:rPr>
          <w:b/>
          <w:sz w:val="24"/>
          <w:szCs w:val="24"/>
        </w:rPr>
        <w:t>injektionsvæske, opløsning i fyldt injektionssprøjte</w:t>
      </w:r>
    </w:p>
    <w:p w14:paraId="4AF51D47" w14:textId="77777777" w:rsidR="009260DE" w:rsidRPr="00AF0D56" w:rsidRDefault="009260DE" w:rsidP="009260DE">
      <w:pPr>
        <w:jc w:val="both"/>
        <w:rPr>
          <w:sz w:val="24"/>
          <w:szCs w:val="24"/>
        </w:rPr>
      </w:pPr>
    </w:p>
    <w:p w14:paraId="3870FD31" w14:textId="77777777" w:rsidR="009260DE" w:rsidRPr="00AF0D56" w:rsidRDefault="009260DE" w:rsidP="009260DE">
      <w:pPr>
        <w:jc w:val="both"/>
        <w:rPr>
          <w:sz w:val="24"/>
          <w:szCs w:val="24"/>
        </w:rPr>
      </w:pPr>
    </w:p>
    <w:p w14:paraId="61AE16D1" w14:textId="77777777" w:rsidR="009260DE" w:rsidRPr="00AF0D56" w:rsidRDefault="009260DE" w:rsidP="009260DE">
      <w:pPr>
        <w:tabs>
          <w:tab w:val="left" w:pos="851"/>
        </w:tabs>
        <w:ind w:left="851" w:hanging="851"/>
        <w:rPr>
          <w:b/>
          <w:sz w:val="24"/>
          <w:szCs w:val="24"/>
        </w:rPr>
      </w:pPr>
      <w:r w:rsidRPr="00AF0D56">
        <w:rPr>
          <w:b/>
          <w:sz w:val="24"/>
          <w:szCs w:val="24"/>
        </w:rPr>
        <w:t>0.</w:t>
      </w:r>
      <w:r w:rsidRPr="00AF0D56">
        <w:rPr>
          <w:b/>
          <w:sz w:val="24"/>
          <w:szCs w:val="24"/>
        </w:rPr>
        <w:tab/>
        <w:t>D.SP.NR.</w:t>
      </w:r>
    </w:p>
    <w:p w14:paraId="6EAE3DD8" w14:textId="45EECB64" w:rsidR="009260DE" w:rsidRPr="00AF0D56" w:rsidRDefault="00203881" w:rsidP="009260DE">
      <w:pPr>
        <w:tabs>
          <w:tab w:val="left" w:pos="851"/>
        </w:tabs>
        <w:ind w:left="851"/>
        <w:rPr>
          <w:sz w:val="24"/>
          <w:szCs w:val="24"/>
        </w:rPr>
      </w:pPr>
      <w:r w:rsidRPr="00AF0D56">
        <w:rPr>
          <w:sz w:val="24"/>
          <w:szCs w:val="24"/>
        </w:rPr>
        <w:t>31597</w:t>
      </w:r>
    </w:p>
    <w:p w14:paraId="2D877338" w14:textId="77777777" w:rsidR="009260DE" w:rsidRPr="00AF0D56" w:rsidRDefault="009260DE" w:rsidP="009260DE">
      <w:pPr>
        <w:tabs>
          <w:tab w:val="left" w:pos="851"/>
        </w:tabs>
        <w:ind w:left="851"/>
        <w:rPr>
          <w:sz w:val="24"/>
          <w:szCs w:val="24"/>
        </w:rPr>
      </w:pPr>
    </w:p>
    <w:p w14:paraId="405BE69D" w14:textId="77777777" w:rsidR="009260DE" w:rsidRPr="00AF0D56" w:rsidRDefault="009260DE" w:rsidP="009260DE">
      <w:pPr>
        <w:tabs>
          <w:tab w:val="left" w:pos="851"/>
        </w:tabs>
        <w:ind w:left="851" w:hanging="851"/>
        <w:rPr>
          <w:b/>
          <w:sz w:val="24"/>
          <w:szCs w:val="24"/>
        </w:rPr>
      </w:pPr>
      <w:r w:rsidRPr="00AF0D56">
        <w:rPr>
          <w:b/>
          <w:sz w:val="24"/>
          <w:szCs w:val="24"/>
        </w:rPr>
        <w:t>1.</w:t>
      </w:r>
      <w:r w:rsidRPr="00AF0D56">
        <w:rPr>
          <w:b/>
          <w:sz w:val="24"/>
          <w:szCs w:val="24"/>
        </w:rPr>
        <w:tab/>
        <w:t>LÆGEMIDLETS NAVN</w:t>
      </w:r>
    </w:p>
    <w:p w14:paraId="20AAE283" w14:textId="57584190" w:rsidR="009260DE" w:rsidRPr="00AF0D56" w:rsidRDefault="00203881" w:rsidP="009260DE">
      <w:pPr>
        <w:tabs>
          <w:tab w:val="left" w:pos="851"/>
        </w:tabs>
        <w:ind w:left="851"/>
        <w:rPr>
          <w:sz w:val="24"/>
          <w:szCs w:val="24"/>
        </w:rPr>
      </w:pPr>
      <w:proofErr w:type="spellStart"/>
      <w:r w:rsidRPr="00AF0D56">
        <w:rPr>
          <w:sz w:val="24"/>
          <w:szCs w:val="24"/>
        </w:rPr>
        <w:t>Atropine</w:t>
      </w:r>
      <w:proofErr w:type="spellEnd"/>
      <w:r w:rsidRPr="00AF0D56">
        <w:rPr>
          <w:sz w:val="24"/>
          <w:szCs w:val="24"/>
        </w:rPr>
        <w:t xml:space="preserve"> "</w:t>
      </w:r>
      <w:proofErr w:type="spellStart"/>
      <w:r w:rsidRPr="00AF0D56">
        <w:rPr>
          <w:sz w:val="24"/>
          <w:szCs w:val="24"/>
        </w:rPr>
        <w:t>Accord</w:t>
      </w:r>
      <w:proofErr w:type="spellEnd"/>
      <w:r w:rsidRPr="00AF0D56">
        <w:rPr>
          <w:sz w:val="24"/>
          <w:szCs w:val="24"/>
        </w:rPr>
        <w:t>"</w:t>
      </w:r>
    </w:p>
    <w:p w14:paraId="56C08E62" w14:textId="77777777" w:rsidR="009260DE" w:rsidRPr="00AF0D56" w:rsidRDefault="009260DE" w:rsidP="009260DE">
      <w:pPr>
        <w:tabs>
          <w:tab w:val="left" w:pos="851"/>
        </w:tabs>
        <w:ind w:left="851"/>
        <w:rPr>
          <w:sz w:val="24"/>
          <w:szCs w:val="24"/>
        </w:rPr>
      </w:pPr>
    </w:p>
    <w:p w14:paraId="34233ACA" w14:textId="77777777" w:rsidR="009260DE" w:rsidRPr="00AF0D56" w:rsidRDefault="009260DE" w:rsidP="009260DE">
      <w:pPr>
        <w:tabs>
          <w:tab w:val="left" w:pos="851"/>
        </w:tabs>
        <w:ind w:left="851" w:hanging="851"/>
        <w:rPr>
          <w:b/>
          <w:sz w:val="24"/>
          <w:szCs w:val="24"/>
        </w:rPr>
      </w:pPr>
      <w:r w:rsidRPr="00AF0D56">
        <w:rPr>
          <w:b/>
          <w:sz w:val="24"/>
          <w:szCs w:val="24"/>
        </w:rPr>
        <w:t>2.</w:t>
      </w:r>
      <w:r w:rsidRPr="00AF0D56">
        <w:rPr>
          <w:b/>
          <w:sz w:val="24"/>
          <w:szCs w:val="24"/>
        </w:rPr>
        <w:tab/>
        <w:t>KVALITATIV OG KVANTITATIV SAMMENSÆTNING</w:t>
      </w:r>
    </w:p>
    <w:p w14:paraId="52FED44F" w14:textId="77777777" w:rsidR="00383815" w:rsidRPr="00AF0D56" w:rsidRDefault="00383815" w:rsidP="00E64570">
      <w:pPr>
        <w:ind w:left="851"/>
        <w:rPr>
          <w:sz w:val="24"/>
          <w:szCs w:val="24"/>
        </w:rPr>
      </w:pPr>
      <w:r w:rsidRPr="00AF0D56">
        <w:rPr>
          <w:sz w:val="24"/>
          <w:szCs w:val="24"/>
        </w:rPr>
        <w:t xml:space="preserve">Hver ml injektionsvæske, opløsning, indeholder 0,1 mg </w:t>
      </w:r>
      <w:bookmarkStart w:id="0" w:name="_Hlk59087220"/>
      <w:r w:rsidRPr="00AF0D56">
        <w:rPr>
          <w:sz w:val="24"/>
          <w:szCs w:val="24"/>
        </w:rPr>
        <w:t>atropinsulfatmonohydrat</w:t>
      </w:r>
      <w:bookmarkEnd w:id="0"/>
      <w:r w:rsidRPr="00AF0D56">
        <w:rPr>
          <w:sz w:val="24"/>
          <w:szCs w:val="24"/>
        </w:rPr>
        <w:t>, svarende til 0,083 mg atropin.</w:t>
      </w:r>
    </w:p>
    <w:p w14:paraId="1523C2DA" w14:textId="77777777" w:rsidR="00383815" w:rsidRPr="00AF0D56" w:rsidRDefault="00383815" w:rsidP="00E64570">
      <w:pPr>
        <w:ind w:left="851"/>
        <w:rPr>
          <w:sz w:val="24"/>
          <w:szCs w:val="24"/>
        </w:rPr>
      </w:pPr>
      <w:r w:rsidRPr="00AF0D56">
        <w:rPr>
          <w:sz w:val="24"/>
          <w:szCs w:val="24"/>
        </w:rPr>
        <w:t>Hver 5 ml sprøjte indeholder 0,5 mg atropinsulfat (som monohydrat) svarende til 0,415 mg atropin.</w:t>
      </w:r>
    </w:p>
    <w:p w14:paraId="17F6EB1B" w14:textId="77777777" w:rsidR="00383815" w:rsidRPr="00AF0D56" w:rsidRDefault="00383815" w:rsidP="00E64570">
      <w:pPr>
        <w:ind w:left="851"/>
        <w:rPr>
          <w:sz w:val="24"/>
          <w:szCs w:val="24"/>
        </w:rPr>
      </w:pPr>
      <w:r w:rsidRPr="00AF0D56">
        <w:rPr>
          <w:sz w:val="24"/>
          <w:szCs w:val="24"/>
        </w:rPr>
        <w:t>Hver 10 ml sprøjte indeholder 1 mg atropinsulfat (som monohydrat) svarende til 0,83 mg atropin.</w:t>
      </w:r>
    </w:p>
    <w:p w14:paraId="76A63057" w14:textId="77777777" w:rsidR="00383815" w:rsidRPr="00AF0D56" w:rsidRDefault="00383815" w:rsidP="00E64570">
      <w:pPr>
        <w:ind w:left="851"/>
        <w:rPr>
          <w:sz w:val="24"/>
          <w:szCs w:val="24"/>
        </w:rPr>
      </w:pPr>
    </w:p>
    <w:p w14:paraId="60996906" w14:textId="77777777" w:rsidR="00383815" w:rsidRPr="00AF0D56" w:rsidRDefault="00383815" w:rsidP="00E64570">
      <w:pPr>
        <w:ind w:left="851"/>
        <w:rPr>
          <w:sz w:val="24"/>
          <w:szCs w:val="24"/>
        </w:rPr>
      </w:pPr>
      <w:r w:rsidRPr="00AF0D56">
        <w:rPr>
          <w:sz w:val="24"/>
          <w:szCs w:val="24"/>
          <w:u w:val="single"/>
        </w:rPr>
        <w:t>Hjælpestof(fer), som behandleren skal være opmærksom på:</w:t>
      </w:r>
      <w:r w:rsidRPr="00AF0D56">
        <w:rPr>
          <w:sz w:val="24"/>
          <w:szCs w:val="24"/>
        </w:rPr>
        <w:t xml:space="preserve"> natrium</w:t>
      </w:r>
    </w:p>
    <w:p w14:paraId="785EE8E9" w14:textId="77777777" w:rsidR="00383815" w:rsidRPr="00AF0D56" w:rsidRDefault="00383815" w:rsidP="00E64570">
      <w:pPr>
        <w:ind w:left="851"/>
        <w:rPr>
          <w:sz w:val="24"/>
          <w:szCs w:val="24"/>
        </w:rPr>
      </w:pPr>
      <w:r w:rsidRPr="00AF0D56">
        <w:rPr>
          <w:sz w:val="24"/>
          <w:szCs w:val="24"/>
        </w:rPr>
        <w:t>Hver ml injektionsvæske, opløsning, indeholder 3,5 mg natrium svarende til ca. 0,154 mmol.</w:t>
      </w:r>
    </w:p>
    <w:p w14:paraId="6C1A3BC3" w14:textId="77777777" w:rsidR="00383815" w:rsidRPr="00AF0D56" w:rsidRDefault="00383815" w:rsidP="00E64570">
      <w:pPr>
        <w:ind w:left="851"/>
        <w:rPr>
          <w:sz w:val="24"/>
          <w:szCs w:val="24"/>
        </w:rPr>
      </w:pPr>
      <w:r w:rsidRPr="00AF0D56">
        <w:rPr>
          <w:sz w:val="24"/>
          <w:szCs w:val="24"/>
        </w:rPr>
        <w:t>Hver 5 ml sprøjte indeholder 17,7 mg natrium svarende til 0,770 mmol.</w:t>
      </w:r>
    </w:p>
    <w:p w14:paraId="45739144" w14:textId="77777777" w:rsidR="00383815" w:rsidRPr="00AF0D56" w:rsidRDefault="00383815" w:rsidP="00E64570">
      <w:pPr>
        <w:ind w:left="851"/>
        <w:rPr>
          <w:sz w:val="24"/>
          <w:szCs w:val="24"/>
        </w:rPr>
      </w:pPr>
      <w:r w:rsidRPr="00AF0D56">
        <w:rPr>
          <w:sz w:val="24"/>
          <w:szCs w:val="24"/>
        </w:rPr>
        <w:t>Hver 10 ml sprøjte indeholder 35,4 mg natrium svarende til 1,54 mmol.</w:t>
      </w:r>
    </w:p>
    <w:p w14:paraId="1FB2DB4F" w14:textId="77777777" w:rsidR="00AF0D56" w:rsidRDefault="00AF0D56" w:rsidP="00E64570">
      <w:pPr>
        <w:ind w:left="851"/>
        <w:rPr>
          <w:sz w:val="24"/>
          <w:szCs w:val="24"/>
        </w:rPr>
      </w:pPr>
    </w:p>
    <w:p w14:paraId="644DBD9E" w14:textId="029EC331" w:rsidR="00383815" w:rsidRPr="00AF0D56" w:rsidRDefault="00383815" w:rsidP="00E64570">
      <w:pPr>
        <w:ind w:left="851"/>
        <w:rPr>
          <w:sz w:val="24"/>
          <w:szCs w:val="24"/>
        </w:rPr>
      </w:pPr>
      <w:r w:rsidRPr="00AF0D56">
        <w:rPr>
          <w:sz w:val="24"/>
          <w:szCs w:val="24"/>
        </w:rPr>
        <w:t>Alle hjælpestoffer er anført under pkt. 6.1.</w:t>
      </w:r>
    </w:p>
    <w:p w14:paraId="1852A3B1" w14:textId="77777777" w:rsidR="009260DE" w:rsidRPr="00AF0D56" w:rsidRDefault="009260DE" w:rsidP="009260DE">
      <w:pPr>
        <w:tabs>
          <w:tab w:val="left" w:pos="851"/>
        </w:tabs>
        <w:ind w:left="851"/>
        <w:rPr>
          <w:sz w:val="24"/>
          <w:szCs w:val="24"/>
        </w:rPr>
      </w:pPr>
    </w:p>
    <w:p w14:paraId="355E7AD1" w14:textId="77777777" w:rsidR="009260DE" w:rsidRPr="00AF0D56" w:rsidRDefault="009260DE" w:rsidP="009260DE">
      <w:pPr>
        <w:tabs>
          <w:tab w:val="left" w:pos="851"/>
        </w:tabs>
        <w:ind w:left="851" w:hanging="851"/>
        <w:rPr>
          <w:b/>
          <w:sz w:val="24"/>
          <w:szCs w:val="24"/>
        </w:rPr>
      </w:pPr>
      <w:r w:rsidRPr="00AF0D56">
        <w:rPr>
          <w:b/>
          <w:sz w:val="24"/>
          <w:szCs w:val="24"/>
        </w:rPr>
        <w:t>3.</w:t>
      </w:r>
      <w:r w:rsidRPr="00AF0D56">
        <w:rPr>
          <w:b/>
          <w:sz w:val="24"/>
          <w:szCs w:val="24"/>
        </w:rPr>
        <w:tab/>
        <w:t>LÆGEMIDDELFORM</w:t>
      </w:r>
    </w:p>
    <w:p w14:paraId="714712D0" w14:textId="77777777" w:rsidR="00383815" w:rsidRPr="00AF0D56" w:rsidRDefault="00383815" w:rsidP="00E64570">
      <w:pPr>
        <w:ind w:left="851"/>
        <w:rPr>
          <w:sz w:val="24"/>
          <w:szCs w:val="24"/>
        </w:rPr>
      </w:pPr>
      <w:r w:rsidRPr="00AF0D56">
        <w:rPr>
          <w:sz w:val="24"/>
          <w:szCs w:val="24"/>
        </w:rPr>
        <w:t>Injektionsvæske, opløsning i fyldt injektionssprøjte.</w:t>
      </w:r>
    </w:p>
    <w:p w14:paraId="4EA99F36" w14:textId="77777777" w:rsidR="00383815" w:rsidRPr="00AF0D56" w:rsidRDefault="00383815" w:rsidP="00E64570">
      <w:pPr>
        <w:ind w:left="851"/>
        <w:rPr>
          <w:sz w:val="24"/>
          <w:szCs w:val="24"/>
        </w:rPr>
      </w:pPr>
      <w:r w:rsidRPr="00AF0D56">
        <w:rPr>
          <w:sz w:val="24"/>
          <w:szCs w:val="24"/>
        </w:rPr>
        <w:t>Klar og farveløs opløsning, fri for synlige partikler.</w:t>
      </w:r>
    </w:p>
    <w:p w14:paraId="5C4DB8F3" w14:textId="77777777" w:rsidR="00383815" w:rsidRPr="00AF0D56" w:rsidRDefault="00383815" w:rsidP="00E64570">
      <w:pPr>
        <w:ind w:left="851"/>
        <w:rPr>
          <w:sz w:val="24"/>
          <w:szCs w:val="24"/>
        </w:rPr>
      </w:pPr>
      <w:r w:rsidRPr="00AF0D56">
        <w:rPr>
          <w:sz w:val="24"/>
          <w:szCs w:val="24"/>
        </w:rPr>
        <w:t xml:space="preserve">pH 3,0 </w:t>
      </w:r>
      <w:r w:rsidRPr="00AF0D56">
        <w:rPr>
          <w:sz w:val="24"/>
          <w:szCs w:val="24"/>
        </w:rPr>
        <w:noBreakHyphen/>
        <w:t xml:space="preserve"> 4,0.</w:t>
      </w:r>
    </w:p>
    <w:p w14:paraId="36927178" w14:textId="77777777" w:rsidR="009260DE" w:rsidRPr="00AF0D56" w:rsidRDefault="009260DE" w:rsidP="009260DE">
      <w:pPr>
        <w:tabs>
          <w:tab w:val="left" w:pos="851"/>
        </w:tabs>
        <w:ind w:left="851"/>
        <w:rPr>
          <w:sz w:val="24"/>
          <w:szCs w:val="24"/>
        </w:rPr>
      </w:pPr>
    </w:p>
    <w:p w14:paraId="2B17E2A9" w14:textId="77777777" w:rsidR="009260DE" w:rsidRPr="00AF0D56" w:rsidRDefault="009260DE" w:rsidP="009260DE">
      <w:pPr>
        <w:tabs>
          <w:tab w:val="left" w:pos="851"/>
        </w:tabs>
        <w:ind w:left="851"/>
        <w:rPr>
          <w:sz w:val="24"/>
          <w:szCs w:val="24"/>
        </w:rPr>
      </w:pPr>
    </w:p>
    <w:p w14:paraId="4E5F2D9C" w14:textId="77777777" w:rsidR="009260DE" w:rsidRPr="00AF0D56" w:rsidRDefault="009260DE" w:rsidP="009260DE">
      <w:pPr>
        <w:tabs>
          <w:tab w:val="left" w:pos="851"/>
        </w:tabs>
        <w:ind w:left="851" w:hanging="851"/>
        <w:rPr>
          <w:b/>
          <w:sz w:val="24"/>
          <w:szCs w:val="24"/>
        </w:rPr>
      </w:pPr>
      <w:r w:rsidRPr="00AF0D56">
        <w:rPr>
          <w:b/>
          <w:sz w:val="24"/>
          <w:szCs w:val="24"/>
        </w:rPr>
        <w:t>4.</w:t>
      </w:r>
      <w:r w:rsidRPr="00AF0D56">
        <w:rPr>
          <w:b/>
          <w:sz w:val="24"/>
          <w:szCs w:val="24"/>
        </w:rPr>
        <w:tab/>
        <w:t>KLINISKE OPLYSNINGER</w:t>
      </w:r>
    </w:p>
    <w:p w14:paraId="346586B3" w14:textId="77777777" w:rsidR="009260DE" w:rsidRPr="00AF0D56" w:rsidRDefault="009260DE" w:rsidP="009260DE">
      <w:pPr>
        <w:tabs>
          <w:tab w:val="left" w:pos="851"/>
        </w:tabs>
        <w:ind w:left="851"/>
        <w:rPr>
          <w:b/>
          <w:sz w:val="24"/>
          <w:szCs w:val="24"/>
        </w:rPr>
      </w:pPr>
    </w:p>
    <w:p w14:paraId="35ED5061" w14:textId="77777777" w:rsidR="009260DE" w:rsidRPr="00AF0D56" w:rsidRDefault="009260DE" w:rsidP="009260DE">
      <w:pPr>
        <w:tabs>
          <w:tab w:val="left" w:pos="851"/>
        </w:tabs>
        <w:ind w:left="851" w:hanging="851"/>
        <w:rPr>
          <w:b/>
          <w:sz w:val="24"/>
          <w:szCs w:val="24"/>
          <w:u w:val="single"/>
        </w:rPr>
      </w:pPr>
      <w:r w:rsidRPr="00AF0D56">
        <w:rPr>
          <w:b/>
          <w:sz w:val="24"/>
          <w:szCs w:val="24"/>
        </w:rPr>
        <w:t>4.1</w:t>
      </w:r>
      <w:r w:rsidRPr="00AF0D56">
        <w:rPr>
          <w:b/>
          <w:sz w:val="24"/>
          <w:szCs w:val="24"/>
        </w:rPr>
        <w:tab/>
        <w:t>Terapeutiske indikationer</w:t>
      </w:r>
    </w:p>
    <w:p w14:paraId="0331A338" w14:textId="0490AC26" w:rsidR="00383815" w:rsidRPr="00AF0D56" w:rsidRDefault="00383815" w:rsidP="00E64570">
      <w:pPr>
        <w:ind w:left="851"/>
        <w:rPr>
          <w:sz w:val="24"/>
          <w:szCs w:val="24"/>
        </w:rPr>
      </w:pPr>
      <w:proofErr w:type="spellStart"/>
      <w:r w:rsidRPr="00AF0D56">
        <w:rPr>
          <w:sz w:val="24"/>
          <w:szCs w:val="24"/>
        </w:rPr>
        <w:t>Atropine</w:t>
      </w:r>
      <w:proofErr w:type="spellEnd"/>
      <w:r w:rsidRPr="00AF0D56">
        <w:rPr>
          <w:sz w:val="24"/>
          <w:szCs w:val="24"/>
        </w:rPr>
        <w:t xml:space="preserve"> </w:t>
      </w:r>
      <w:r w:rsidR="008378EB">
        <w:rPr>
          <w:sz w:val="24"/>
          <w:szCs w:val="24"/>
        </w:rPr>
        <w:t>"</w:t>
      </w:r>
      <w:proofErr w:type="spellStart"/>
      <w:r w:rsidR="008378EB">
        <w:rPr>
          <w:sz w:val="24"/>
          <w:szCs w:val="24"/>
        </w:rPr>
        <w:t>Accord</w:t>
      </w:r>
      <w:proofErr w:type="spellEnd"/>
      <w:r w:rsidR="008378EB">
        <w:rPr>
          <w:sz w:val="24"/>
          <w:szCs w:val="24"/>
        </w:rPr>
        <w:t>"</w:t>
      </w:r>
      <w:r w:rsidRPr="00AF0D56">
        <w:rPr>
          <w:sz w:val="24"/>
          <w:szCs w:val="24"/>
        </w:rPr>
        <w:t xml:space="preserve"> er indiceret til voksne og til børn fra fødslen, men med en kropsvægt over 3 kg (se pkt. 4.2).</w:t>
      </w:r>
    </w:p>
    <w:p w14:paraId="224F5D22" w14:textId="77777777" w:rsidR="00383815" w:rsidRPr="00AF0D56" w:rsidRDefault="00383815" w:rsidP="00E64570">
      <w:pPr>
        <w:numPr>
          <w:ilvl w:val="0"/>
          <w:numId w:val="6"/>
        </w:numPr>
        <w:ind w:left="1276" w:hanging="425"/>
        <w:rPr>
          <w:sz w:val="24"/>
          <w:szCs w:val="24"/>
        </w:rPr>
      </w:pPr>
      <w:r w:rsidRPr="00AF0D56">
        <w:rPr>
          <w:sz w:val="24"/>
          <w:szCs w:val="24"/>
        </w:rPr>
        <w:t xml:space="preserve">som præanæstetisk medicinering for at forhindre </w:t>
      </w:r>
      <w:proofErr w:type="spellStart"/>
      <w:r w:rsidRPr="00AF0D56">
        <w:rPr>
          <w:sz w:val="24"/>
          <w:szCs w:val="24"/>
        </w:rPr>
        <w:t>vagale</w:t>
      </w:r>
      <w:proofErr w:type="spellEnd"/>
      <w:r w:rsidRPr="00AF0D56">
        <w:rPr>
          <w:sz w:val="24"/>
          <w:szCs w:val="24"/>
        </w:rPr>
        <w:t xml:space="preserve"> reaktioner forbundet med </w:t>
      </w:r>
      <w:proofErr w:type="spellStart"/>
      <w:r w:rsidRPr="00AF0D56">
        <w:rPr>
          <w:sz w:val="24"/>
          <w:szCs w:val="24"/>
        </w:rPr>
        <w:t>trakeal</w:t>
      </w:r>
      <w:proofErr w:type="spellEnd"/>
      <w:r w:rsidRPr="00AF0D56">
        <w:rPr>
          <w:sz w:val="24"/>
          <w:szCs w:val="24"/>
        </w:rPr>
        <w:t xml:space="preserve"> </w:t>
      </w:r>
      <w:proofErr w:type="spellStart"/>
      <w:r w:rsidRPr="00AF0D56">
        <w:rPr>
          <w:sz w:val="24"/>
          <w:szCs w:val="24"/>
        </w:rPr>
        <w:t>intubation</w:t>
      </w:r>
      <w:proofErr w:type="spellEnd"/>
      <w:r w:rsidRPr="00AF0D56">
        <w:rPr>
          <w:sz w:val="24"/>
          <w:szCs w:val="24"/>
        </w:rPr>
        <w:t xml:space="preserve"> og kirurgisk manipulation</w:t>
      </w:r>
    </w:p>
    <w:p w14:paraId="59B4A743" w14:textId="77777777" w:rsidR="00383815" w:rsidRPr="00AF0D56" w:rsidRDefault="00383815" w:rsidP="00E64570">
      <w:pPr>
        <w:numPr>
          <w:ilvl w:val="0"/>
          <w:numId w:val="6"/>
        </w:numPr>
        <w:ind w:left="1276" w:hanging="425"/>
        <w:rPr>
          <w:sz w:val="24"/>
          <w:szCs w:val="24"/>
        </w:rPr>
      </w:pPr>
      <w:r w:rsidRPr="00AF0D56">
        <w:rPr>
          <w:sz w:val="24"/>
          <w:szCs w:val="24"/>
        </w:rPr>
        <w:lastRenderedPageBreak/>
        <w:t xml:space="preserve">for at begrænse de </w:t>
      </w:r>
      <w:proofErr w:type="spellStart"/>
      <w:r w:rsidRPr="00AF0D56">
        <w:rPr>
          <w:sz w:val="24"/>
          <w:szCs w:val="24"/>
        </w:rPr>
        <w:t>muskarine</w:t>
      </w:r>
      <w:proofErr w:type="spellEnd"/>
      <w:r w:rsidRPr="00AF0D56">
        <w:rPr>
          <w:sz w:val="24"/>
          <w:szCs w:val="24"/>
        </w:rPr>
        <w:t xml:space="preserve"> effekter af </w:t>
      </w:r>
      <w:proofErr w:type="spellStart"/>
      <w:r w:rsidRPr="00AF0D56">
        <w:rPr>
          <w:sz w:val="24"/>
          <w:szCs w:val="24"/>
        </w:rPr>
        <w:t>neostigmin</w:t>
      </w:r>
      <w:proofErr w:type="spellEnd"/>
      <w:r w:rsidRPr="00AF0D56">
        <w:rPr>
          <w:sz w:val="24"/>
          <w:szCs w:val="24"/>
        </w:rPr>
        <w:t>, når det gives postkirurgisk for at modvirke ikke-</w:t>
      </w:r>
      <w:proofErr w:type="spellStart"/>
      <w:r w:rsidRPr="00AF0D56">
        <w:rPr>
          <w:sz w:val="24"/>
          <w:szCs w:val="24"/>
        </w:rPr>
        <w:t>depolariserende</w:t>
      </w:r>
      <w:proofErr w:type="spellEnd"/>
      <w:r w:rsidRPr="00AF0D56">
        <w:rPr>
          <w:sz w:val="24"/>
          <w:szCs w:val="24"/>
        </w:rPr>
        <w:t xml:space="preserve"> </w:t>
      </w:r>
      <w:proofErr w:type="spellStart"/>
      <w:r w:rsidRPr="00AF0D56">
        <w:rPr>
          <w:sz w:val="24"/>
          <w:szCs w:val="24"/>
        </w:rPr>
        <w:t>muskelrelaksantia</w:t>
      </w:r>
      <w:proofErr w:type="spellEnd"/>
    </w:p>
    <w:p w14:paraId="028191E1" w14:textId="77777777" w:rsidR="00383815" w:rsidRPr="00AF0D56" w:rsidRDefault="00383815" w:rsidP="00E64570">
      <w:pPr>
        <w:numPr>
          <w:ilvl w:val="0"/>
          <w:numId w:val="6"/>
        </w:numPr>
        <w:ind w:left="1276" w:hanging="425"/>
        <w:rPr>
          <w:sz w:val="24"/>
          <w:szCs w:val="24"/>
        </w:rPr>
      </w:pPr>
      <w:r w:rsidRPr="00AF0D56">
        <w:rPr>
          <w:sz w:val="24"/>
          <w:szCs w:val="24"/>
        </w:rPr>
        <w:t xml:space="preserve">behandling af </w:t>
      </w:r>
      <w:proofErr w:type="spellStart"/>
      <w:r w:rsidRPr="00AF0D56">
        <w:rPr>
          <w:sz w:val="24"/>
          <w:szCs w:val="24"/>
        </w:rPr>
        <w:t>hæmodynamisk</w:t>
      </w:r>
      <w:proofErr w:type="spellEnd"/>
      <w:r w:rsidRPr="00AF0D56">
        <w:rPr>
          <w:sz w:val="24"/>
          <w:szCs w:val="24"/>
        </w:rPr>
        <w:t xml:space="preserve"> kompromitterende bradykardi og/eller </w:t>
      </w:r>
      <w:proofErr w:type="spellStart"/>
      <w:r w:rsidRPr="00AF0D56">
        <w:rPr>
          <w:sz w:val="24"/>
          <w:szCs w:val="24"/>
        </w:rPr>
        <w:t>atrioventrikulært</w:t>
      </w:r>
      <w:proofErr w:type="spellEnd"/>
      <w:r w:rsidRPr="00AF0D56">
        <w:rPr>
          <w:sz w:val="24"/>
          <w:szCs w:val="24"/>
        </w:rPr>
        <w:t xml:space="preserve"> blok på grund af overdreven </w:t>
      </w:r>
      <w:proofErr w:type="spellStart"/>
      <w:r w:rsidRPr="00AF0D56">
        <w:rPr>
          <w:sz w:val="24"/>
          <w:szCs w:val="24"/>
        </w:rPr>
        <w:t>vagal-tonus</w:t>
      </w:r>
      <w:proofErr w:type="spellEnd"/>
      <w:r w:rsidRPr="00AF0D56">
        <w:rPr>
          <w:sz w:val="24"/>
          <w:szCs w:val="24"/>
        </w:rPr>
        <w:t xml:space="preserve"> i nødsituation</w:t>
      </w:r>
    </w:p>
    <w:p w14:paraId="3FC624BA" w14:textId="77777777" w:rsidR="00383815" w:rsidRPr="00AF0D56" w:rsidRDefault="00383815" w:rsidP="00E64570">
      <w:pPr>
        <w:numPr>
          <w:ilvl w:val="0"/>
          <w:numId w:val="6"/>
        </w:numPr>
        <w:ind w:left="1276" w:hanging="425"/>
        <w:rPr>
          <w:sz w:val="24"/>
          <w:szCs w:val="24"/>
        </w:rPr>
      </w:pPr>
      <w:r w:rsidRPr="00AF0D56">
        <w:rPr>
          <w:sz w:val="24"/>
          <w:szCs w:val="24"/>
        </w:rPr>
        <w:t>hjerte-lunge-redning: til behandling af symptomatisk bradykardi og AV-blok</w:t>
      </w:r>
    </w:p>
    <w:p w14:paraId="2F7BD20F" w14:textId="77777777" w:rsidR="00383815" w:rsidRPr="00AF0D56" w:rsidRDefault="00383815" w:rsidP="00E64570">
      <w:pPr>
        <w:numPr>
          <w:ilvl w:val="0"/>
          <w:numId w:val="6"/>
        </w:numPr>
        <w:ind w:left="1276" w:hanging="425"/>
        <w:rPr>
          <w:sz w:val="24"/>
          <w:szCs w:val="24"/>
        </w:rPr>
      </w:pPr>
      <w:r w:rsidRPr="00AF0D56">
        <w:rPr>
          <w:sz w:val="24"/>
          <w:szCs w:val="24"/>
        </w:rPr>
        <w:t xml:space="preserve">som modgift efter overdosering eller forgiftning med </w:t>
      </w:r>
      <w:proofErr w:type="spellStart"/>
      <w:r w:rsidRPr="00AF0D56">
        <w:rPr>
          <w:sz w:val="24"/>
          <w:szCs w:val="24"/>
        </w:rPr>
        <w:t>acetylcholinesterase-hæmmere</w:t>
      </w:r>
      <w:proofErr w:type="spellEnd"/>
      <w:r w:rsidRPr="00AF0D56">
        <w:rPr>
          <w:sz w:val="24"/>
          <w:szCs w:val="24"/>
        </w:rPr>
        <w:t xml:space="preserve">, fx </w:t>
      </w:r>
      <w:proofErr w:type="spellStart"/>
      <w:r w:rsidRPr="00AF0D56">
        <w:rPr>
          <w:sz w:val="24"/>
          <w:szCs w:val="24"/>
        </w:rPr>
        <w:t>anticholinesteraser</w:t>
      </w:r>
      <w:proofErr w:type="spellEnd"/>
      <w:r w:rsidRPr="00AF0D56">
        <w:rPr>
          <w:sz w:val="24"/>
          <w:szCs w:val="24"/>
        </w:rPr>
        <w:t xml:space="preserve">, </w:t>
      </w:r>
      <w:proofErr w:type="spellStart"/>
      <w:r w:rsidRPr="00AF0D56">
        <w:rPr>
          <w:sz w:val="24"/>
          <w:szCs w:val="24"/>
        </w:rPr>
        <w:t>organofosfor</w:t>
      </w:r>
      <w:proofErr w:type="spellEnd"/>
      <w:r w:rsidRPr="00AF0D56">
        <w:rPr>
          <w:sz w:val="24"/>
          <w:szCs w:val="24"/>
        </w:rPr>
        <w:t xml:space="preserve">, </w:t>
      </w:r>
      <w:proofErr w:type="spellStart"/>
      <w:r w:rsidRPr="00AF0D56">
        <w:rPr>
          <w:sz w:val="24"/>
          <w:szCs w:val="24"/>
        </w:rPr>
        <w:t>carbamater</w:t>
      </w:r>
      <w:proofErr w:type="spellEnd"/>
      <w:r w:rsidRPr="00AF0D56">
        <w:rPr>
          <w:sz w:val="24"/>
          <w:szCs w:val="24"/>
        </w:rPr>
        <w:t xml:space="preserve"> og </w:t>
      </w:r>
      <w:proofErr w:type="spellStart"/>
      <w:r w:rsidRPr="00AF0D56">
        <w:rPr>
          <w:sz w:val="24"/>
          <w:szCs w:val="24"/>
        </w:rPr>
        <w:t>muscarine</w:t>
      </w:r>
      <w:proofErr w:type="spellEnd"/>
      <w:r w:rsidRPr="00AF0D56">
        <w:rPr>
          <w:sz w:val="24"/>
          <w:szCs w:val="24"/>
        </w:rPr>
        <w:t xml:space="preserve"> svampe.</w:t>
      </w:r>
    </w:p>
    <w:p w14:paraId="3C66E27C" w14:textId="77777777" w:rsidR="009260DE" w:rsidRPr="00AF0D56" w:rsidRDefault="009260DE" w:rsidP="009260DE">
      <w:pPr>
        <w:tabs>
          <w:tab w:val="left" w:pos="851"/>
        </w:tabs>
        <w:ind w:left="851"/>
        <w:rPr>
          <w:sz w:val="24"/>
          <w:szCs w:val="24"/>
        </w:rPr>
      </w:pPr>
    </w:p>
    <w:p w14:paraId="520B959F" w14:textId="77777777" w:rsidR="009260DE" w:rsidRPr="00AF0D56" w:rsidRDefault="009260DE" w:rsidP="009260DE">
      <w:pPr>
        <w:tabs>
          <w:tab w:val="left" w:pos="851"/>
        </w:tabs>
        <w:ind w:left="851" w:hanging="851"/>
        <w:rPr>
          <w:b/>
          <w:sz w:val="24"/>
          <w:szCs w:val="24"/>
        </w:rPr>
      </w:pPr>
      <w:r w:rsidRPr="00AF0D56">
        <w:rPr>
          <w:b/>
          <w:sz w:val="24"/>
          <w:szCs w:val="24"/>
        </w:rPr>
        <w:t>4.2</w:t>
      </w:r>
      <w:r w:rsidRPr="00AF0D56">
        <w:rPr>
          <w:b/>
          <w:sz w:val="24"/>
          <w:szCs w:val="24"/>
        </w:rPr>
        <w:tab/>
        <w:t>Dosering og indgivelsesmåde</w:t>
      </w:r>
    </w:p>
    <w:p w14:paraId="511DEC41" w14:textId="61749A10" w:rsidR="00B42B16" w:rsidRPr="00AF0D56" w:rsidRDefault="00B42B16" w:rsidP="00E64570">
      <w:pPr>
        <w:ind w:left="851"/>
        <w:rPr>
          <w:sz w:val="24"/>
          <w:szCs w:val="24"/>
        </w:rPr>
      </w:pPr>
      <w:proofErr w:type="spellStart"/>
      <w:r w:rsidRPr="00AF0D56">
        <w:rPr>
          <w:sz w:val="24"/>
          <w:szCs w:val="24"/>
        </w:rPr>
        <w:t>Atropine</w:t>
      </w:r>
      <w:proofErr w:type="spellEnd"/>
      <w:r w:rsidRPr="00AF0D56">
        <w:rPr>
          <w:sz w:val="24"/>
          <w:szCs w:val="24"/>
        </w:rPr>
        <w:t xml:space="preserve"> </w:t>
      </w:r>
      <w:r w:rsidR="008378EB">
        <w:rPr>
          <w:sz w:val="24"/>
          <w:szCs w:val="24"/>
        </w:rPr>
        <w:t>"</w:t>
      </w:r>
      <w:proofErr w:type="spellStart"/>
      <w:r w:rsidR="008378EB">
        <w:rPr>
          <w:sz w:val="24"/>
          <w:szCs w:val="24"/>
        </w:rPr>
        <w:t>Accord</w:t>
      </w:r>
      <w:proofErr w:type="spellEnd"/>
      <w:r w:rsidR="008378EB">
        <w:rPr>
          <w:sz w:val="24"/>
          <w:szCs w:val="24"/>
        </w:rPr>
        <w:t>"</w:t>
      </w:r>
      <w:r w:rsidRPr="00AF0D56">
        <w:rPr>
          <w:sz w:val="24"/>
          <w:szCs w:val="24"/>
        </w:rPr>
        <w:t xml:space="preserve"> skal administreres under lægetilsyn.</w:t>
      </w:r>
    </w:p>
    <w:p w14:paraId="03FD4D2A" w14:textId="77777777" w:rsidR="00B42B16" w:rsidRPr="00AF0D56" w:rsidRDefault="00B42B16" w:rsidP="00E64570">
      <w:pPr>
        <w:ind w:left="851"/>
        <w:rPr>
          <w:sz w:val="24"/>
          <w:szCs w:val="24"/>
          <w:u w:val="single"/>
        </w:rPr>
      </w:pPr>
    </w:p>
    <w:p w14:paraId="2785E5AD" w14:textId="77777777" w:rsidR="00B42B16" w:rsidRPr="00AF0D56" w:rsidRDefault="00B42B16" w:rsidP="00E64570">
      <w:pPr>
        <w:ind w:left="851"/>
        <w:rPr>
          <w:sz w:val="24"/>
          <w:szCs w:val="24"/>
          <w:u w:val="single"/>
        </w:rPr>
      </w:pPr>
      <w:r w:rsidRPr="00AF0D56">
        <w:rPr>
          <w:sz w:val="24"/>
          <w:szCs w:val="24"/>
          <w:u w:val="single"/>
        </w:rPr>
        <w:t>Dosering</w:t>
      </w:r>
    </w:p>
    <w:p w14:paraId="56C8F823" w14:textId="77777777" w:rsidR="00B42B16" w:rsidRPr="00AF0D56" w:rsidRDefault="00B42B16" w:rsidP="00E64570">
      <w:pPr>
        <w:ind w:left="851"/>
        <w:rPr>
          <w:sz w:val="24"/>
          <w:szCs w:val="24"/>
          <w:u w:val="single"/>
        </w:rPr>
      </w:pPr>
    </w:p>
    <w:p w14:paraId="76E42BD5" w14:textId="77777777" w:rsidR="00B42B16" w:rsidRPr="00AF0D56" w:rsidRDefault="00B42B16" w:rsidP="00E64570">
      <w:pPr>
        <w:ind w:left="851"/>
        <w:rPr>
          <w:i/>
          <w:sz w:val="24"/>
          <w:szCs w:val="24"/>
        </w:rPr>
      </w:pPr>
      <w:r w:rsidRPr="00AF0D56">
        <w:rPr>
          <w:i/>
          <w:sz w:val="24"/>
          <w:szCs w:val="24"/>
        </w:rPr>
        <w:t>Præanæstetisk medicinering</w:t>
      </w:r>
    </w:p>
    <w:p w14:paraId="2A727168" w14:textId="77777777" w:rsidR="00B42B16" w:rsidRPr="00AF0D56" w:rsidRDefault="00B42B16" w:rsidP="00E64570">
      <w:pPr>
        <w:ind w:left="851"/>
        <w:rPr>
          <w:bCs/>
          <w:iCs/>
          <w:sz w:val="24"/>
          <w:szCs w:val="24"/>
        </w:rPr>
      </w:pPr>
      <w:r w:rsidRPr="00AF0D56">
        <w:rPr>
          <w:sz w:val="24"/>
          <w:szCs w:val="24"/>
        </w:rPr>
        <w:t>Intravenøs indgivelse umiddelbart før operation. Hvis det er nødvendigt, er det muligt med en intramuskulær indgivelse 30-60 minutter før operation.</w:t>
      </w:r>
    </w:p>
    <w:p w14:paraId="03757355" w14:textId="77777777" w:rsidR="00B42B16" w:rsidRPr="00AF0D56" w:rsidRDefault="00B42B16" w:rsidP="00E64570">
      <w:pPr>
        <w:ind w:left="851"/>
        <w:rPr>
          <w:bCs/>
          <w:iCs/>
          <w:sz w:val="24"/>
          <w:szCs w:val="24"/>
        </w:rPr>
      </w:pPr>
    </w:p>
    <w:p w14:paraId="4BD64178" w14:textId="77777777" w:rsidR="00B42B16" w:rsidRPr="00AF0D56" w:rsidRDefault="00B42B16" w:rsidP="00E64570">
      <w:pPr>
        <w:ind w:left="851"/>
        <w:rPr>
          <w:bCs/>
          <w:iCs/>
          <w:sz w:val="24"/>
          <w:szCs w:val="24"/>
        </w:rPr>
      </w:pPr>
      <w:r w:rsidRPr="00AF0D56">
        <w:rPr>
          <w:sz w:val="24"/>
          <w:szCs w:val="24"/>
        </w:rPr>
        <w:t>Voksne:</w:t>
      </w:r>
    </w:p>
    <w:p w14:paraId="759A7E45" w14:textId="77777777" w:rsidR="00B42B16" w:rsidRPr="00AF0D56" w:rsidRDefault="00B42B16" w:rsidP="00E64570">
      <w:pPr>
        <w:ind w:left="851"/>
        <w:rPr>
          <w:bCs/>
          <w:iCs/>
          <w:sz w:val="24"/>
          <w:szCs w:val="24"/>
        </w:rPr>
      </w:pPr>
      <w:r w:rsidRPr="00AF0D56">
        <w:rPr>
          <w:sz w:val="24"/>
          <w:szCs w:val="24"/>
        </w:rPr>
        <w:t>0,3-0,6 mg IV (3-6 ml)</w:t>
      </w:r>
    </w:p>
    <w:p w14:paraId="42EB0990" w14:textId="77777777" w:rsidR="00B42B16" w:rsidRPr="00AF0D56" w:rsidRDefault="00B42B16" w:rsidP="00E64570">
      <w:pPr>
        <w:ind w:left="851"/>
        <w:rPr>
          <w:bCs/>
          <w:i/>
          <w:iCs/>
          <w:sz w:val="24"/>
          <w:szCs w:val="24"/>
        </w:rPr>
      </w:pPr>
    </w:p>
    <w:p w14:paraId="4DDAB3C0" w14:textId="77777777" w:rsidR="00B42B16" w:rsidRPr="00AF0D56" w:rsidRDefault="00B42B16" w:rsidP="00E64570">
      <w:pPr>
        <w:ind w:left="851"/>
        <w:rPr>
          <w:bCs/>
          <w:i/>
          <w:iCs/>
          <w:sz w:val="24"/>
          <w:szCs w:val="24"/>
        </w:rPr>
      </w:pPr>
      <w:r w:rsidRPr="00AF0D56">
        <w:rPr>
          <w:bCs/>
          <w:i/>
          <w:iCs/>
          <w:sz w:val="24"/>
          <w:szCs w:val="24"/>
        </w:rPr>
        <w:t>Pædiatrisk population:</w:t>
      </w:r>
    </w:p>
    <w:p w14:paraId="5A2EAFCE" w14:textId="77777777" w:rsidR="00B42B16" w:rsidRPr="00AF0D56" w:rsidRDefault="00B42B16" w:rsidP="00E64570">
      <w:pPr>
        <w:ind w:left="851"/>
        <w:rPr>
          <w:bCs/>
          <w:iCs/>
          <w:sz w:val="24"/>
          <w:szCs w:val="24"/>
        </w:rPr>
      </w:pPr>
      <w:r w:rsidRPr="00AF0D56">
        <w:rPr>
          <w:sz w:val="24"/>
          <w:szCs w:val="24"/>
        </w:rPr>
        <w:t>Den sædvanlige dosis til børn er mellem 0,01-0,02 mg/kg legemsvægt (maksimalt 0,6 mg pr. dosis). Dosis bør justeres i henhold til patientens respons og tolerance.</w:t>
      </w:r>
    </w:p>
    <w:p w14:paraId="4C1B509F" w14:textId="77777777" w:rsidR="00B42B16" w:rsidRPr="00AF0D56" w:rsidRDefault="00B42B16" w:rsidP="00E64570">
      <w:pPr>
        <w:ind w:left="851"/>
        <w:rPr>
          <w:i/>
          <w:sz w:val="24"/>
          <w:szCs w:val="24"/>
          <w:u w:val="single"/>
        </w:rPr>
      </w:pPr>
    </w:p>
    <w:p w14:paraId="4EF0B4FC" w14:textId="77777777" w:rsidR="00B42B16" w:rsidRPr="00AF0D56" w:rsidRDefault="00B42B16" w:rsidP="00E64570">
      <w:pPr>
        <w:ind w:left="851"/>
        <w:rPr>
          <w:iCs/>
          <w:sz w:val="24"/>
          <w:szCs w:val="24"/>
          <w:u w:val="single"/>
        </w:rPr>
      </w:pPr>
      <w:r w:rsidRPr="00AF0D56">
        <w:rPr>
          <w:iCs/>
          <w:sz w:val="24"/>
          <w:szCs w:val="24"/>
          <w:u w:val="single"/>
        </w:rPr>
        <w:t xml:space="preserve">I kombination med </w:t>
      </w:r>
      <w:proofErr w:type="spellStart"/>
      <w:r w:rsidRPr="00AF0D56">
        <w:rPr>
          <w:iCs/>
          <w:sz w:val="24"/>
          <w:szCs w:val="24"/>
          <w:u w:val="single"/>
        </w:rPr>
        <w:t>neostigmin</w:t>
      </w:r>
      <w:proofErr w:type="spellEnd"/>
      <w:r w:rsidRPr="00AF0D56">
        <w:rPr>
          <w:iCs/>
          <w:sz w:val="24"/>
          <w:szCs w:val="24"/>
          <w:u w:val="single"/>
        </w:rPr>
        <w:t xml:space="preserve"> for at begrænse dets </w:t>
      </w:r>
      <w:proofErr w:type="spellStart"/>
      <w:r w:rsidRPr="00AF0D56">
        <w:rPr>
          <w:iCs/>
          <w:sz w:val="24"/>
          <w:szCs w:val="24"/>
          <w:u w:val="single"/>
        </w:rPr>
        <w:t>muskarine</w:t>
      </w:r>
      <w:proofErr w:type="spellEnd"/>
      <w:r w:rsidRPr="00AF0D56">
        <w:rPr>
          <w:iCs/>
          <w:sz w:val="24"/>
          <w:szCs w:val="24"/>
          <w:u w:val="single"/>
        </w:rPr>
        <w:t xml:space="preserve"> virkninger:</w:t>
      </w:r>
    </w:p>
    <w:p w14:paraId="035BFD7E" w14:textId="77777777" w:rsidR="00B42B16" w:rsidRPr="00AF0D56" w:rsidRDefault="00B42B16" w:rsidP="00E64570">
      <w:pPr>
        <w:ind w:left="851"/>
        <w:rPr>
          <w:bCs/>
          <w:iCs/>
          <w:sz w:val="24"/>
          <w:szCs w:val="24"/>
        </w:rPr>
      </w:pPr>
    </w:p>
    <w:p w14:paraId="7B188B5C" w14:textId="77777777" w:rsidR="00B42B16" w:rsidRPr="00AF0D56" w:rsidRDefault="00B42B16" w:rsidP="00E64570">
      <w:pPr>
        <w:pStyle w:val="NormalWeb"/>
        <w:shd w:val="clear" w:color="auto" w:fill="FFFFFF"/>
        <w:spacing w:before="0" w:beforeAutospacing="0" w:after="0" w:afterAutospacing="0"/>
        <w:ind w:left="851"/>
      </w:pPr>
      <w:r w:rsidRPr="00AF0D56">
        <w:rPr>
          <w:i/>
          <w:iCs/>
        </w:rPr>
        <w:t>Voksne:</w:t>
      </w:r>
    </w:p>
    <w:p w14:paraId="77A73849" w14:textId="77777777" w:rsidR="00B42B16" w:rsidRPr="00AF0D56" w:rsidRDefault="00B42B16" w:rsidP="00E64570">
      <w:pPr>
        <w:pStyle w:val="NormalWeb"/>
        <w:shd w:val="clear" w:color="auto" w:fill="FFFFFF"/>
        <w:spacing w:before="0" w:beforeAutospacing="0" w:after="0" w:afterAutospacing="0"/>
        <w:ind w:left="851"/>
      </w:pPr>
      <w:r w:rsidRPr="00AF0D56">
        <w:t>0,6-1,2 mg IV (6-12 ml)</w:t>
      </w:r>
    </w:p>
    <w:p w14:paraId="65275010" w14:textId="77777777" w:rsidR="00B42B16" w:rsidRPr="00AF0D56" w:rsidRDefault="00B42B16" w:rsidP="00E64570">
      <w:pPr>
        <w:pStyle w:val="NormalWeb"/>
        <w:shd w:val="clear" w:color="auto" w:fill="FFFFFF"/>
        <w:spacing w:before="0" w:beforeAutospacing="0" w:after="0" w:afterAutospacing="0"/>
        <w:ind w:left="851"/>
      </w:pPr>
    </w:p>
    <w:p w14:paraId="30376648" w14:textId="77777777" w:rsidR="00B42B16" w:rsidRPr="00AF0D56" w:rsidRDefault="00B42B16" w:rsidP="00E64570">
      <w:pPr>
        <w:pStyle w:val="NormalWeb"/>
        <w:shd w:val="clear" w:color="auto" w:fill="FFFFFF"/>
        <w:spacing w:before="0" w:beforeAutospacing="0" w:after="0" w:afterAutospacing="0"/>
        <w:ind w:left="851"/>
        <w:rPr>
          <w:i/>
          <w:iCs/>
        </w:rPr>
      </w:pPr>
      <w:r w:rsidRPr="00AF0D56">
        <w:rPr>
          <w:i/>
          <w:iCs/>
        </w:rPr>
        <w:t>Pædiatrisk population</w:t>
      </w:r>
    </w:p>
    <w:p w14:paraId="585BA448" w14:textId="77777777" w:rsidR="00B42B16" w:rsidRPr="00AF0D56" w:rsidRDefault="00B42B16" w:rsidP="00E64570">
      <w:pPr>
        <w:pStyle w:val="NormalWeb"/>
        <w:shd w:val="clear" w:color="auto" w:fill="FFFFFF"/>
        <w:spacing w:before="0" w:beforeAutospacing="0" w:after="0" w:afterAutospacing="0"/>
        <w:ind w:left="851"/>
      </w:pPr>
      <w:r w:rsidRPr="00AF0D56">
        <w:t>0,02 mg/kg IV</w:t>
      </w:r>
    </w:p>
    <w:p w14:paraId="4EBA4CFA" w14:textId="77777777" w:rsidR="00B42B16" w:rsidRPr="00AF0D56" w:rsidRDefault="00B42B16" w:rsidP="00E64570">
      <w:pPr>
        <w:pStyle w:val="NormalWeb"/>
        <w:shd w:val="clear" w:color="auto" w:fill="FFFFFF"/>
        <w:spacing w:before="0" w:beforeAutospacing="0" w:after="0" w:afterAutospacing="0"/>
        <w:ind w:left="851"/>
        <w:rPr>
          <w:i/>
          <w:iCs/>
        </w:rPr>
      </w:pPr>
    </w:p>
    <w:p w14:paraId="5C27DF19" w14:textId="77777777" w:rsidR="00B42B16" w:rsidRPr="00AF0D56" w:rsidRDefault="00B42B16" w:rsidP="00E64570">
      <w:pPr>
        <w:pStyle w:val="NormalWeb"/>
        <w:shd w:val="clear" w:color="auto" w:fill="FFFFFF"/>
        <w:spacing w:before="0" w:beforeAutospacing="0" w:after="0" w:afterAutospacing="0"/>
        <w:ind w:left="851"/>
      </w:pPr>
      <w:r w:rsidRPr="00AF0D56">
        <w:rPr>
          <w:u w:val="single"/>
        </w:rPr>
        <w:t xml:space="preserve">Behandling af </w:t>
      </w:r>
      <w:proofErr w:type="spellStart"/>
      <w:r w:rsidRPr="00AF0D56">
        <w:rPr>
          <w:u w:val="single"/>
        </w:rPr>
        <w:t>hæmodynamisk</w:t>
      </w:r>
      <w:proofErr w:type="spellEnd"/>
      <w:r w:rsidRPr="00AF0D56">
        <w:rPr>
          <w:u w:val="single"/>
        </w:rPr>
        <w:t xml:space="preserve"> kompromitterende bradykardi, </w:t>
      </w:r>
      <w:proofErr w:type="spellStart"/>
      <w:r w:rsidRPr="00AF0D56">
        <w:rPr>
          <w:u w:val="single"/>
        </w:rPr>
        <w:t>atrioventrikulært</w:t>
      </w:r>
      <w:proofErr w:type="spellEnd"/>
      <w:r w:rsidRPr="00AF0D56">
        <w:rPr>
          <w:u w:val="single"/>
        </w:rPr>
        <w:t xml:space="preserve"> blok, hjerte-lunge-redning:</w:t>
      </w:r>
    </w:p>
    <w:p w14:paraId="00A6987B" w14:textId="77777777" w:rsidR="00B42B16" w:rsidRPr="00AF0D56" w:rsidRDefault="00B42B16" w:rsidP="00E64570">
      <w:pPr>
        <w:pStyle w:val="NormalWeb"/>
        <w:shd w:val="clear" w:color="auto" w:fill="FFFFFF"/>
        <w:spacing w:before="0" w:beforeAutospacing="0" w:after="0" w:afterAutospacing="0"/>
        <w:ind w:left="851"/>
        <w:rPr>
          <w:i/>
          <w:iCs/>
        </w:rPr>
      </w:pPr>
    </w:p>
    <w:p w14:paraId="1234445C" w14:textId="77777777" w:rsidR="00B42B16" w:rsidRPr="00AF0D56" w:rsidRDefault="00B42B16" w:rsidP="00E64570">
      <w:pPr>
        <w:pStyle w:val="NormalWeb"/>
        <w:shd w:val="clear" w:color="auto" w:fill="FFFFFF"/>
        <w:spacing w:before="0" w:beforeAutospacing="0" w:after="0" w:afterAutospacing="0"/>
        <w:ind w:left="851"/>
      </w:pPr>
      <w:r w:rsidRPr="00AF0D56">
        <w:rPr>
          <w:i/>
          <w:iCs/>
        </w:rPr>
        <w:t>Voksne:</w:t>
      </w:r>
    </w:p>
    <w:p w14:paraId="7A2F2E33" w14:textId="77777777" w:rsidR="00B42B16" w:rsidRPr="00AF0D56" w:rsidRDefault="00B42B16" w:rsidP="00E64570">
      <w:pPr>
        <w:pStyle w:val="NormalWeb"/>
        <w:numPr>
          <w:ilvl w:val="0"/>
          <w:numId w:val="7"/>
        </w:numPr>
        <w:shd w:val="clear" w:color="auto" w:fill="FFFFFF"/>
        <w:spacing w:before="0" w:beforeAutospacing="0" w:after="0" w:afterAutospacing="0"/>
        <w:ind w:left="1276" w:hanging="425"/>
      </w:pPr>
      <w:r w:rsidRPr="00AF0D56">
        <w:t>Sinusbradykardi: 0,5 mg IV (5 ml) hvert 2.-5. minut, indtil den ønskede hjerterytme er opnået.</w:t>
      </w:r>
    </w:p>
    <w:p w14:paraId="7F0C4961" w14:textId="77777777" w:rsidR="00B42B16" w:rsidRPr="00AF0D56" w:rsidRDefault="00B42B16" w:rsidP="00E64570">
      <w:pPr>
        <w:pStyle w:val="NormalWeb"/>
        <w:numPr>
          <w:ilvl w:val="0"/>
          <w:numId w:val="7"/>
        </w:numPr>
        <w:shd w:val="clear" w:color="auto" w:fill="FFFFFF"/>
        <w:spacing w:before="0" w:beforeAutospacing="0" w:after="0" w:afterAutospacing="0"/>
        <w:ind w:left="1276" w:hanging="425"/>
      </w:pPr>
      <w:r w:rsidRPr="00AF0D56">
        <w:t>AV-blok: 0,5 mg IV (5 ml), hvert 3.-5. minut (maks. 3 mg).</w:t>
      </w:r>
    </w:p>
    <w:p w14:paraId="15681796" w14:textId="77777777" w:rsidR="00B42B16" w:rsidRPr="00AF0D56" w:rsidRDefault="00B42B16" w:rsidP="00B42B16">
      <w:pPr>
        <w:pStyle w:val="NormalWeb"/>
        <w:shd w:val="clear" w:color="auto" w:fill="FFFFFF"/>
        <w:spacing w:before="0" w:beforeAutospacing="0" w:after="0" w:afterAutospacing="0"/>
        <w:rPr>
          <w:i/>
          <w:iCs/>
        </w:rPr>
      </w:pPr>
    </w:p>
    <w:p w14:paraId="555D8705" w14:textId="77777777" w:rsidR="00B42B16" w:rsidRPr="00AF0D56" w:rsidRDefault="00B42B16" w:rsidP="00E64570">
      <w:pPr>
        <w:pStyle w:val="NormalWeb"/>
        <w:shd w:val="clear" w:color="auto" w:fill="FFFFFF"/>
        <w:spacing w:before="0" w:beforeAutospacing="0" w:after="0" w:afterAutospacing="0"/>
        <w:ind w:left="851"/>
        <w:rPr>
          <w:i/>
          <w:iCs/>
        </w:rPr>
      </w:pPr>
      <w:r w:rsidRPr="00AF0D56">
        <w:rPr>
          <w:i/>
          <w:iCs/>
        </w:rPr>
        <w:t>Pædiatrisk population</w:t>
      </w:r>
    </w:p>
    <w:p w14:paraId="0011A722" w14:textId="77777777" w:rsidR="00B42B16" w:rsidRPr="00AF0D56" w:rsidRDefault="00B42B16" w:rsidP="00E64570">
      <w:pPr>
        <w:pStyle w:val="NormalWeb"/>
        <w:shd w:val="clear" w:color="auto" w:fill="FFFFFF"/>
        <w:spacing w:before="0" w:beforeAutospacing="0" w:after="0" w:afterAutospacing="0"/>
        <w:ind w:left="851"/>
      </w:pPr>
      <w:r w:rsidRPr="00AF0D56">
        <w:t>0,02 mg/kg IV i en enkelt dosis (maksimal dosis 0,6 mg).</w:t>
      </w:r>
    </w:p>
    <w:p w14:paraId="40456E70" w14:textId="77777777" w:rsidR="00B42B16" w:rsidRPr="00AF0D56" w:rsidRDefault="00B42B16" w:rsidP="00E64570">
      <w:pPr>
        <w:pStyle w:val="NormalWeb"/>
        <w:shd w:val="clear" w:color="auto" w:fill="FFFFFF"/>
        <w:spacing w:before="0" w:beforeAutospacing="0" w:after="0" w:afterAutospacing="0"/>
        <w:ind w:left="851"/>
      </w:pPr>
    </w:p>
    <w:p w14:paraId="42AA832C" w14:textId="77777777" w:rsidR="00B42B16" w:rsidRPr="00AF0D56" w:rsidRDefault="00B42B16" w:rsidP="00E64570">
      <w:pPr>
        <w:pStyle w:val="NormalWeb"/>
        <w:shd w:val="clear" w:color="auto" w:fill="FFFFFF"/>
        <w:spacing w:before="0" w:beforeAutospacing="0" w:after="0" w:afterAutospacing="0"/>
        <w:ind w:left="851"/>
        <w:rPr>
          <w:u w:val="single"/>
        </w:rPr>
      </w:pPr>
      <w:r w:rsidRPr="00AF0D56">
        <w:rPr>
          <w:u w:val="single"/>
        </w:rPr>
        <w:t xml:space="preserve">Som modgift mod </w:t>
      </w:r>
      <w:proofErr w:type="spellStart"/>
      <w:r w:rsidRPr="00AF0D56">
        <w:rPr>
          <w:u w:val="single"/>
        </w:rPr>
        <w:t>organofosfater</w:t>
      </w:r>
      <w:proofErr w:type="spellEnd"/>
      <w:r w:rsidRPr="00AF0D56">
        <w:rPr>
          <w:u w:val="single"/>
        </w:rPr>
        <w:t xml:space="preserve"> (pesticider, nervegasser), mod </w:t>
      </w:r>
      <w:proofErr w:type="spellStart"/>
      <w:r w:rsidRPr="00AF0D56">
        <w:rPr>
          <w:u w:val="single"/>
        </w:rPr>
        <w:t>cholinesterase-hæmmere</w:t>
      </w:r>
      <w:proofErr w:type="spellEnd"/>
      <w:r w:rsidRPr="00AF0D56">
        <w:rPr>
          <w:u w:val="single"/>
        </w:rPr>
        <w:t xml:space="preserve"> og ved </w:t>
      </w:r>
      <w:proofErr w:type="spellStart"/>
      <w:r w:rsidRPr="00AF0D56">
        <w:rPr>
          <w:u w:val="single"/>
        </w:rPr>
        <w:t>muscarin</w:t>
      </w:r>
      <w:proofErr w:type="spellEnd"/>
      <w:r w:rsidRPr="00AF0D56">
        <w:rPr>
          <w:u w:val="single"/>
        </w:rPr>
        <w:t xml:space="preserve"> svampeforgiftning:</w:t>
      </w:r>
    </w:p>
    <w:p w14:paraId="22771736" w14:textId="77777777" w:rsidR="00B42B16" w:rsidRPr="00AF0D56" w:rsidRDefault="00B42B16" w:rsidP="00E64570">
      <w:pPr>
        <w:pStyle w:val="NormalWeb"/>
        <w:shd w:val="clear" w:color="auto" w:fill="FFFFFF"/>
        <w:spacing w:before="0" w:beforeAutospacing="0" w:after="0" w:afterAutospacing="0"/>
        <w:ind w:left="851"/>
      </w:pPr>
    </w:p>
    <w:p w14:paraId="4DC23F7E" w14:textId="77777777" w:rsidR="00B42B16" w:rsidRPr="00AF0D56" w:rsidRDefault="00B42B16" w:rsidP="00E64570">
      <w:pPr>
        <w:pStyle w:val="NormalWeb"/>
        <w:shd w:val="clear" w:color="auto" w:fill="FFFFFF"/>
        <w:spacing w:before="0" w:beforeAutospacing="0" w:after="0" w:afterAutospacing="0"/>
        <w:ind w:left="851"/>
      </w:pPr>
      <w:r w:rsidRPr="00AF0D56">
        <w:t>Intravenøs anvendelse.</w:t>
      </w:r>
    </w:p>
    <w:p w14:paraId="300AAC8D" w14:textId="406742AA" w:rsidR="008159FC" w:rsidRDefault="008159FC">
      <w:pPr>
        <w:rPr>
          <w:i/>
          <w:iCs/>
          <w:sz w:val="24"/>
          <w:szCs w:val="24"/>
          <w:lang w:eastAsia="en-IN"/>
        </w:rPr>
      </w:pPr>
      <w:r>
        <w:rPr>
          <w:i/>
          <w:iCs/>
        </w:rPr>
        <w:br w:type="page"/>
      </w:r>
    </w:p>
    <w:p w14:paraId="547537F1" w14:textId="77777777" w:rsidR="00B42B16" w:rsidRPr="00AF0D56" w:rsidRDefault="00B42B16" w:rsidP="00E64570">
      <w:pPr>
        <w:pStyle w:val="NormalWeb"/>
        <w:shd w:val="clear" w:color="auto" w:fill="FFFFFF"/>
        <w:spacing w:before="0" w:beforeAutospacing="0" w:after="0" w:afterAutospacing="0"/>
        <w:ind w:left="851"/>
        <w:rPr>
          <w:i/>
          <w:iCs/>
        </w:rPr>
      </w:pPr>
    </w:p>
    <w:p w14:paraId="248A66A8" w14:textId="77777777" w:rsidR="00B42B16" w:rsidRPr="00AF0D56" w:rsidRDefault="00B42B16" w:rsidP="00E64570">
      <w:pPr>
        <w:pStyle w:val="NormalWeb"/>
        <w:shd w:val="clear" w:color="auto" w:fill="FFFFFF"/>
        <w:spacing w:before="0" w:beforeAutospacing="0" w:after="0" w:afterAutospacing="0"/>
        <w:ind w:left="851"/>
      </w:pPr>
      <w:r w:rsidRPr="00AF0D56">
        <w:rPr>
          <w:i/>
          <w:iCs/>
        </w:rPr>
        <w:t>Voksne:</w:t>
      </w:r>
    </w:p>
    <w:p w14:paraId="6C90EECE" w14:textId="77777777" w:rsidR="00B42B16" w:rsidRPr="00AF0D56" w:rsidRDefault="00B42B16" w:rsidP="00E64570">
      <w:pPr>
        <w:pStyle w:val="NormalWeb"/>
        <w:shd w:val="clear" w:color="auto" w:fill="FFFFFF"/>
        <w:spacing w:before="0" w:beforeAutospacing="0" w:after="0" w:afterAutospacing="0"/>
        <w:ind w:left="851"/>
      </w:pPr>
      <w:r w:rsidRPr="00AF0D56">
        <w:t>0,5-2 mg atropinsulfat (5-20 ml), kan gentages efter 5 minutter og efterfølgende hvert 10.-15. minut efter behov, indtil tegn og symptomer forsvinder (denne dosis må overskrides mange gange).</w:t>
      </w:r>
    </w:p>
    <w:p w14:paraId="0F264262" w14:textId="77777777" w:rsidR="00B42B16" w:rsidRPr="00AF0D56" w:rsidRDefault="00B42B16" w:rsidP="00E64570">
      <w:pPr>
        <w:pStyle w:val="NormalWeb"/>
        <w:shd w:val="clear" w:color="auto" w:fill="FFFFFF"/>
        <w:spacing w:before="0" w:beforeAutospacing="0" w:after="0" w:afterAutospacing="0"/>
        <w:ind w:left="851"/>
        <w:rPr>
          <w:i/>
          <w:iCs/>
        </w:rPr>
      </w:pPr>
    </w:p>
    <w:p w14:paraId="49CD72A8" w14:textId="77777777" w:rsidR="00B42B16" w:rsidRPr="00AF0D56" w:rsidRDefault="00B42B16" w:rsidP="00E64570">
      <w:pPr>
        <w:pStyle w:val="NormalWeb"/>
        <w:shd w:val="clear" w:color="auto" w:fill="FFFFFF"/>
        <w:spacing w:before="0" w:beforeAutospacing="0" w:after="0" w:afterAutospacing="0"/>
        <w:ind w:left="851"/>
      </w:pPr>
      <w:r w:rsidRPr="00AF0D56">
        <w:rPr>
          <w:i/>
          <w:iCs/>
        </w:rPr>
        <w:t>Pædiatrisk population:</w:t>
      </w:r>
    </w:p>
    <w:p w14:paraId="69B474B0" w14:textId="77777777" w:rsidR="00B42B16" w:rsidRPr="00AF0D56" w:rsidRDefault="00B42B16" w:rsidP="00E64570">
      <w:pPr>
        <w:pStyle w:val="NormalWeb"/>
        <w:shd w:val="clear" w:color="auto" w:fill="FFFFFF"/>
        <w:spacing w:before="0" w:beforeAutospacing="0" w:after="0" w:afterAutospacing="0"/>
        <w:ind w:left="851"/>
      </w:pPr>
      <w:r w:rsidRPr="00AF0D56">
        <w:t>0,02 mg atropinsulfat/kg legemsvægt gentages eventuelt flere gange, indtil tegn og symptomer forsvinder.</w:t>
      </w:r>
    </w:p>
    <w:p w14:paraId="4AED8616" w14:textId="77777777" w:rsidR="00B42B16" w:rsidRPr="00AF0D56" w:rsidRDefault="00B42B16" w:rsidP="00E64570">
      <w:pPr>
        <w:pStyle w:val="NormalWeb"/>
        <w:shd w:val="clear" w:color="auto" w:fill="FFFFFF"/>
        <w:spacing w:before="0" w:beforeAutospacing="0" w:after="0" w:afterAutospacing="0"/>
        <w:ind w:left="851"/>
        <w:rPr>
          <w:u w:val="single"/>
        </w:rPr>
      </w:pPr>
    </w:p>
    <w:p w14:paraId="153DE764" w14:textId="77777777" w:rsidR="00B42B16" w:rsidRPr="00AF0D56" w:rsidRDefault="00B42B16" w:rsidP="00E64570">
      <w:pPr>
        <w:pStyle w:val="NormalWeb"/>
        <w:shd w:val="clear" w:color="auto" w:fill="FFFFFF"/>
        <w:spacing w:before="0" w:beforeAutospacing="0" w:after="0" w:afterAutospacing="0"/>
        <w:ind w:left="851"/>
      </w:pPr>
      <w:r w:rsidRPr="00AF0D56">
        <w:rPr>
          <w:u w:val="single"/>
        </w:rPr>
        <w:t>Dosisjustering</w:t>
      </w:r>
    </w:p>
    <w:p w14:paraId="02E2A24D" w14:textId="77777777" w:rsidR="00B42B16" w:rsidRPr="00AF0D56" w:rsidRDefault="00B42B16" w:rsidP="00E64570">
      <w:pPr>
        <w:pStyle w:val="NormalWeb"/>
        <w:shd w:val="clear" w:color="auto" w:fill="FFFFFF"/>
        <w:spacing w:before="0" w:beforeAutospacing="0" w:after="0" w:afterAutospacing="0"/>
        <w:ind w:left="851"/>
      </w:pPr>
      <w:r w:rsidRPr="00AF0D56">
        <w:t>Generelt skal dosis justeres i henhold til patientens respons og tolerance.</w:t>
      </w:r>
    </w:p>
    <w:p w14:paraId="4B791593" w14:textId="77777777" w:rsidR="00B42B16" w:rsidRPr="00AF0D56" w:rsidRDefault="00B42B16" w:rsidP="00E64570">
      <w:pPr>
        <w:pStyle w:val="NormalWeb"/>
        <w:shd w:val="clear" w:color="auto" w:fill="FFFFFF"/>
        <w:spacing w:before="0" w:beforeAutospacing="0" w:after="0" w:afterAutospacing="0"/>
        <w:ind w:left="851"/>
      </w:pPr>
    </w:p>
    <w:p w14:paraId="7F3D8BAE" w14:textId="77777777" w:rsidR="00B42B16" w:rsidRPr="00AF0D56" w:rsidRDefault="00B42B16" w:rsidP="00E64570">
      <w:pPr>
        <w:pStyle w:val="NormalWeb"/>
        <w:shd w:val="clear" w:color="auto" w:fill="FFFFFF"/>
        <w:spacing w:before="0" w:beforeAutospacing="0" w:after="0" w:afterAutospacing="0"/>
        <w:ind w:left="851"/>
      </w:pPr>
      <w:r w:rsidRPr="00AF0D56">
        <w:t>Dosering til en samlet maksimal dosis på 3 mg hos voksne og 0,6 mg hos børn øges sædvanligvis indtil bivirkningerne bliver uudholdelige; herefter giver en lille reduktion i dosis generelt den højeste dosis, der tolereres af patienten.</w:t>
      </w:r>
    </w:p>
    <w:p w14:paraId="77249CE6" w14:textId="77777777" w:rsidR="00B42B16" w:rsidRPr="00AF0D56" w:rsidRDefault="00B42B16" w:rsidP="00E64570">
      <w:pPr>
        <w:pStyle w:val="NormalWeb"/>
        <w:shd w:val="clear" w:color="auto" w:fill="FFFFFF"/>
        <w:spacing w:before="0" w:beforeAutospacing="0" w:after="0" w:afterAutospacing="0"/>
        <w:ind w:left="851"/>
        <w:rPr>
          <w:i/>
          <w:iCs/>
        </w:rPr>
      </w:pPr>
    </w:p>
    <w:p w14:paraId="52A42C26" w14:textId="77777777" w:rsidR="00B42B16" w:rsidRPr="00AF0D56" w:rsidRDefault="00B42B16" w:rsidP="00E64570">
      <w:pPr>
        <w:pStyle w:val="NormalWeb"/>
        <w:shd w:val="clear" w:color="auto" w:fill="FFFFFF"/>
        <w:spacing w:before="0" w:beforeAutospacing="0" w:after="0" w:afterAutospacing="0"/>
        <w:ind w:left="851"/>
      </w:pPr>
      <w:r w:rsidRPr="00AF0D56">
        <w:rPr>
          <w:i/>
          <w:iCs/>
        </w:rPr>
        <w:t>Pædiatrisk population</w:t>
      </w:r>
    </w:p>
    <w:p w14:paraId="7F3E8CBC" w14:textId="77777777" w:rsidR="00B42B16" w:rsidRPr="00AF0D56" w:rsidRDefault="00B42B16" w:rsidP="00E64570">
      <w:pPr>
        <w:pStyle w:val="NormalWeb"/>
        <w:shd w:val="clear" w:color="auto" w:fill="FFFFFF"/>
        <w:spacing w:before="0" w:beforeAutospacing="0" w:after="0" w:afterAutospacing="0"/>
        <w:ind w:left="851"/>
      </w:pPr>
      <w:r w:rsidRPr="00AF0D56">
        <w:t>Dette lægemiddel er ikke egnet til at indgive en dosis på mindre end 0,5 ml og bør derfor ikke bruges til nyfødte, hvor legemsvægten er under 3 kg (se pkt. 4.1).</w:t>
      </w:r>
    </w:p>
    <w:p w14:paraId="1DAA0DD2" w14:textId="77777777" w:rsidR="00B42B16" w:rsidRPr="00AF0D56" w:rsidRDefault="00B42B16" w:rsidP="00E64570">
      <w:pPr>
        <w:pStyle w:val="NormalWeb"/>
        <w:shd w:val="clear" w:color="auto" w:fill="FFFFFF"/>
        <w:spacing w:before="0" w:beforeAutospacing="0" w:after="0" w:afterAutospacing="0"/>
        <w:ind w:left="851"/>
      </w:pPr>
    </w:p>
    <w:p w14:paraId="1FE0FF24" w14:textId="5AB1746D" w:rsidR="00B42B16" w:rsidRDefault="00B42B16" w:rsidP="00E64570">
      <w:pPr>
        <w:pStyle w:val="NormalWeb"/>
        <w:shd w:val="clear" w:color="auto" w:fill="FFFFFF"/>
        <w:spacing w:before="0" w:beforeAutospacing="0" w:after="0" w:afterAutospacing="0"/>
        <w:ind w:left="851"/>
      </w:pPr>
      <w:r w:rsidRPr="00AF0D56">
        <w:t>Nedenstående dosisområde for de pædiatriske vægtgrupper er vejledende værdier. Den sædvanlige dosis til børn er mellem 0,01-0,02 mg/kg legemsvægt (maksimalt 0,6 mg pr. dosis). Dosis bør justeres i henhold til patientens respons og tolerance.</w:t>
      </w:r>
    </w:p>
    <w:p w14:paraId="64CC5AED" w14:textId="77777777" w:rsidR="00AF0D56" w:rsidRPr="00AF0D56" w:rsidRDefault="00AF0D56" w:rsidP="00E64570">
      <w:pPr>
        <w:pStyle w:val="NormalWeb"/>
        <w:shd w:val="clear" w:color="auto" w:fill="FFFFFF"/>
        <w:spacing w:before="0" w:beforeAutospacing="0" w:after="0" w:afterAutospacing="0"/>
        <w:ind w:left="851"/>
      </w:pP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510"/>
        <w:gridCol w:w="3600"/>
      </w:tblGrid>
      <w:tr w:rsidR="00B42B16" w:rsidRPr="00AF0D56" w14:paraId="27086718" w14:textId="77777777" w:rsidTr="00AF0D56">
        <w:trPr>
          <w:tblHeader/>
        </w:trPr>
        <w:tc>
          <w:tcPr>
            <w:tcW w:w="1890" w:type="dxa"/>
            <w:tcBorders>
              <w:top w:val="single" w:sz="4" w:space="0" w:color="auto"/>
              <w:left w:val="single" w:sz="4" w:space="0" w:color="auto"/>
              <w:bottom w:val="single" w:sz="4" w:space="0" w:color="auto"/>
              <w:right w:val="single" w:sz="4" w:space="0" w:color="auto"/>
            </w:tcBorders>
            <w:hideMark/>
          </w:tcPr>
          <w:p w14:paraId="095A7848" w14:textId="2B943B7F" w:rsidR="00B42B16" w:rsidRPr="00AF0D56" w:rsidRDefault="00B42B16" w:rsidP="00AF0D56">
            <w:pPr>
              <w:pStyle w:val="NormalWeb"/>
              <w:spacing w:before="0" w:beforeAutospacing="0" w:after="0" w:afterAutospacing="0"/>
            </w:pPr>
            <w:r w:rsidRPr="00AF0D56">
              <w:rPr>
                <w:shd w:val="clear" w:color="auto" w:fill="FFFFFF"/>
              </w:rPr>
              <w:t>Legemsvægt (kg)</w:t>
            </w:r>
          </w:p>
        </w:tc>
        <w:tc>
          <w:tcPr>
            <w:tcW w:w="3510" w:type="dxa"/>
            <w:tcBorders>
              <w:top w:val="single" w:sz="4" w:space="0" w:color="auto"/>
              <w:left w:val="single" w:sz="4" w:space="0" w:color="auto"/>
              <w:bottom w:val="single" w:sz="4" w:space="0" w:color="auto"/>
              <w:right w:val="single" w:sz="4" w:space="0" w:color="auto"/>
            </w:tcBorders>
          </w:tcPr>
          <w:p w14:paraId="6EC51ACD" w14:textId="77777777" w:rsidR="00B42B16" w:rsidRPr="00AF0D56" w:rsidRDefault="00B42B16">
            <w:pPr>
              <w:pStyle w:val="NormalWeb"/>
              <w:shd w:val="clear" w:color="auto" w:fill="FFFFFF"/>
              <w:spacing w:before="0" w:beforeAutospacing="0" w:after="0" w:afterAutospacing="0"/>
              <w:jc w:val="center"/>
              <w:rPr>
                <w:b/>
                <w:bCs/>
              </w:rPr>
            </w:pPr>
            <w:r w:rsidRPr="00AF0D56">
              <w:rPr>
                <w:b/>
                <w:bCs/>
              </w:rPr>
              <w:t>Dosis på 0,01 mg/kg legemsvægt</w:t>
            </w:r>
          </w:p>
          <w:p w14:paraId="1AA2109A" w14:textId="77777777" w:rsidR="00B42B16" w:rsidRPr="00AF0D56" w:rsidRDefault="00B42B16">
            <w:pPr>
              <w:pStyle w:val="NormalWeb"/>
              <w:shd w:val="clear" w:color="auto" w:fill="FFFFFF"/>
              <w:spacing w:before="0" w:beforeAutospacing="0" w:after="0" w:afterAutospacing="0"/>
              <w:jc w:val="center"/>
            </w:pPr>
          </w:p>
          <w:p w14:paraId="5663AD99" w14:textId="36B55DE5" w:rsidR="00B42B16" w:rsidRPr="00AF0D56" w:rsidRDefault="00B42B16">
            <w:pPr>
              <w:pStyle w:val="NormalWeb"/>
              <w:shd w:val="clear" w:color="auto" w:fill="FFFFFF"/>
              <w:spacing w:before="0" w:beforeAutospacing="0" w:after="0" w:afterAutospacing="0"/>
              <w:jc w:val="center"/>
            </w:pPr>
            <w:proofErr w:type="spellStart"/>
            <w:r w:rsidRPr="00AF0D56">
              <w:t>Atropine</w:t>
            </w:r>
            <w:proofErr w:type="spellEnd"/>
            <w:r w:rsidRPr="00AF0D56">
              <w:t xml:space="preserve"> </w:t>
            </w:r>
            <w:r w:rsidR="008378EB">
              <w:t>"</w:t>
            </w:r>
            <w:proofErr w:type="spellStart"/>
            <w:r w:rsidR="008378EB">
              <w:t>Accord</w:t>
            </w:r>
            <w:proofErr w:type="spellEnd"/>
            <w:r w:rsidR="008378EB">
              <w:t>"</w:t>
            </w:r>
            <w:r w:rsidRPr="00AF0D56">
              <w:t xml:space="preserve"> 0,1 mg/ml injektionsvæske, opløsning (ml)</w:t>
            </w:r>
          </w:p>
        </w:tc>
        <w:tc>
          <w:tcPr>
            <w:tcW w:w="3600" w:type="dxa"/>
            <w:tcBorders>
              <w:top w:val="single" w:sz="4" w:space="0" w:color="auto"/>
              <w:left w:val="single" w:sz="4" w:space="0" w:color="auto"/>
              <w:bottom w:val="single" w:sz="4" w:space="0" w:color="auto"/>
              <w:right w:val="single" w:sz="4" w:space="0" w:color="auto"/>
            </w:tcBorders>
          </w:tcPr>
          <w:p w14:paraId="4907B5A0" w14:textId="77777777" w:rsidR="00B42B16" w:rsidRPr="00AF0D56" w:rsidRDefault="00B42B16">
            <w:pPr>
              <w:pStyle w:val="NormalWeb"/>
              <w:shd w:val="clear" w:color="auto" w:fill="FFFFFF"/>
              <w:spacing w:before="0" w:beforeAutospacing="0" w:after="0" w:afterAutospacing="0"/>
              <w:jc w:val="center"/>
              <w:rPr>
                <w:b/>
                <w:bCs/>
              </w:rPr>
            </w:pPr>
            <w:r w:rsidRPr="00AF0D56">
              <w:rPr>
                <w:b/>
                <w:bCs/>
              </w:rPr>
              <w:t>Dosis på 0,02 mg/kg legemsvægt</w:t>
            </w:r>
          </w:p>
          <w:p w14:paraId="47CF9C4F" w14:textId="77777777" w:rsidR="00B42B16" w:rsidRPr="00AF0D56" w:rsidRDefault="00B42B16">
            <w:pPr>
              <w:pStyle w:val="NormalWeb"/>
              <w:shd w:val="clear" w:color="auto" w:fill="FFFFFF"/>
              <w:spacing w:before="0" w:beforeAutospacing="0" w:after="0" w:afterAutospacing="0"/>
              <w:jc w:val="center"/>
            </w:pPr>
          </w:p>
          <w:p w14:paraId="02AC4CBC" w14:textId="39EC39B5" w:rsidR="00B42B16" w:rsidRPr="00AF0D56" w:rsidRDefault="00B42B16">
            <w:pPr>
              <w:pStyle w:val="NormalWeb"/>
              <w:shd w:val="clear" w:color="auto" w:fill="FFFFFF"/>
              <w:spacing w:before="0" w:beforeAutospacing="0" w:after="0" w:afterAutospacing="0"/>
              <w:jc w:val="center"/>
            </w:pPr>
            <w:proofErr w:type="spellStart"/>
            <w:r w:rsidRPr="00AF0D56">
              <w:t>Atropine</w:t>
            </w:r>
            <w:proofErr w:type="spellEnd"/>
            <w:r w:rsidRPr="00AF0D56">
              <w:t xml:space="preserve"> </w:t>
            </w:r>
            <w:r w:rsidR="008378EB">
              <w:t>"</w:t>
            </w:r>
            <w:proofErr w:type="spellStart"/>
            <w:r w:rsidR="008378EB">
              <w:t>Accord</w:t>
            </w:r>
            <w:proofErr w:type="spellEnd"/>
            <w:r w:rsidR="008378EB">
              <w:t>"</w:t>
            </w:r>
            <w:r w:rsidRPr="00AF0D56">
              <w:t xml:space="preserve"> 0,1 mg/ml injektionsvæske, opløsning (ml)</w:t>
            </w:r>
          </w:p>
        </w:tc>
      </w:tr>
      <w:tr w:rsidR="00B42B16" w:rsidRPr="00AF0D56" w14:paraId="6CD6CFEF"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0867D04D" w14:textId="77777777" w:rsidR="00B42B16" w:rsidRPr="00AF0D56" w:rsidRDefault="00B42B16">
            <w:pPr>
              <w:pStyle w:val="NormalWeb"/>
              <w:spacing w:before="0" w:beforeAutospacing="0" w:after="0" w:afterAutospacing="0"/>
              <w:jc w:val="center"/>
            </w:pPr>
            <w:r w:rsidRPr="00AF0D56">
              <w:rPr>
                <w:shd w:val="clear" w:color="auto" w:fill="FFFFFF"/>
              </w:rPr>
              <w:t>3-5</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1AED685" w14:textId="77777777" w:rsidR="00B42B16" w:rsidRPr="00AF0D56" w:rsidRDefault="00B42B16">
            <w:pPr>
              <w:pStyle w:val="NormalWeb"/>
              <w:spacing w:before="0" w:beforeAutospacing="0" w:after="0" w:afterAutospacing="0"/>
              <w:jc w:val="center"/>
            </w:pPr>
            <w:r w:rsidRPr="00AF0D56">
              <w:rPr>
                <w:shd w:val="clear" w:color="auto" w:fill="FFFFFF"/>
              </w:rPr>
              <w:t>0,5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B6856CC" w14:textId="77777777" w:rsidR="00B42B16" w:rsidRPr="00AF0D56" w:rsidRDefault="00B42B16">
            <w:pPr>
              <w:pStyle w:val="NormalWeb"/>
              <w:spacing w:before="0" w:beforeAutospacing="0" w:after="0" w:afterAutospacing="0"/>
              <w:jc w:val="center"/>
            </w:pPr>
            <w:r w:rsidRPr="00AF0D56">
              <w:t>0,5-1,0 ml</w:t>
            </w:r>
          </w:p>
        </w:tc>
      </w:tr>
      <w:tr w:rsidR="00B42B16" w:rsidRPr="00AF0D56" w14:paraId="6F3F6575"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07F3FF89" w14:textId="77777777" w:rsidR="00B42B16" w:rsidRPr="00AF0D56" w:rsidRDefault="00B42B16">
            <w:pPr>
              <w:pStyle w:val="NormalWeb"/>
              <w:spacing w:before="0" w:beforeAutospacing="0" w:after="0" w:afterAutospacing="0"/>
              <w:jc w:val="center"/>
            </w:pPr>
            <w:r w:rsidRPr="00AF0D56">
              <w:rPr>
                <w:shd w:val="clear" w:color="auto" w:fill="FFFFFF"/>
              </w:rPr>
              <w:t>5-10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69EDA0D" w14:textId="77777777" w:rsidR="00B42B16" w:rsidRPr="00AF0D56" w:rsidRDefault="00B42B16">
            <w:pPr>
              <w:pStyle w:val="NormalWeb"/>
              <w:spacing w:before="0" w:beforeAutospacing="0" w:after="0" w:afterAutospacing="0"/>
              <w:jc w:val="center"/>
            </w:pPr>
            <w:r w:rsidRPr="00AF0D56">
              <w:rPr>
                <w:shd w:val="clear" w:color="auto" w:fill="FFFFFF"/>
              </w:rPr>
              <w:t>0,5-1,0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071FEFCE" w14:textId="77777777" w:rsidR="00B42B16" w:rsidRPr="00AF0D56" w:rsidRDefault="00B42B16">
            <w:pPr>
              <w:pStyle w:val="NormalWeb"/>
              <w:spacing w:before="0" w:beforeAutospacing="0" w:after="0" w:afterAutospacing="0"/>
              <w:jc w:val="center"/>
            </w:pPr>
            <w:r w:rsidRPr="00AF0D56">
              <w:rPr>
                <w:shd w:val="clear" w:color="auto" w:fill="FFFFFF"/>
              </w:rPr>
              <w:t>1,0-2,0 ml</w:t>
            </w:r>
          </w:p>
        </w:tc>
      </w:tr>
      <w:tr w:rsidR="00B42B16" w:rsidRPr="00AF0D56" w14:paraId="541DC3B1"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6E243F79" w14:textId="77777777" w:rsidR="00B42B16" w:rsidRPr="00AF0D56" w:rsidRDefault="00B42B16">
            <w:pPr>
              <w:pStyle w:val="NormalWeb"/>
              <w:spacing w:before="0" w:beforeAutospacing="0" w:after="0" w:afterAutospacing="0"/>
              <w:jc w:val="center"/>
            </w:pPr>
            <w:r w:rsidRPr="00AF0D56">
              <w:rPr>
                <w:shd w:val="clear" w:color="auto" w:fill="FFFFFF"/>
              </w:rPr>
              <w:t>10-15</w:t>
            </w:r>
          </w:p>
        </w:tc>
        <w:tc>
          <w:tcPr>
            <w:tcW w:w="3510" w:type="dxa"/>
            <w:tcBorders>
              <w:top w:val="single" w:sz="4" w:space="0" w:color="auto"/>
              <w:left w:val="single" w:sz="4" w:space="0" w:color="auto"/>
              <w:bottom w:val="single" w:sz="4" w:space="0" w:color="auto"/>
              <w:right w:val="single" w:sz="4" w:space="0" w:color="auto"/>
            </w:tcBorders>
            <w:vAlign w:val="center"/>
            <w:hideMark/>
          </w:tcPr>
          <w:p w14:paraId="7FA3FC77" w14:textId="77777777" w:rsidR="00B42B16" w:rsidRPr="00AF0D56" w:rsidRDefault="00B42B16">
            <w:pPr>
              <w:pStyle w:val="NormalWeb"/>
              <w:spacing w:before="0" w:beforeAutospacing="0" w:after="0" w:afterAutospacing="0"/>
              <w:jc w:val="center"/>
            </w:pPr>
            <w:r w:rsidRPr="00AF0D56">
              <w:rPr>
                <w:shd w:val="clear" w:color="auto" w:fill="FFFFFF"/>
              </w:rPr>
              <w:t>1,0-1,5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11956A4" w14:textId="77777777" w:rsidR="00B42B16" w:rsidRPr="00AF0D56" w:rsidRDefault="00B42B16">
            <w:pPr>
              <w:pStyle w:val="NormalWeb"/>
              <w:spacing w:before="0" w:beforeAutospacing="0" w:after="0" w:afterAutospacing="0"/>
              <w:jc w:val="center"/>
            </w:pPr>
            <w:r w:rsidRPr="00AF0D56">
              <w:rPr>
                <w:shd w:val="clear" w:color="auto" w:fill="FFFFFF"/>
              </w:rPr>
              <w:t>2,0-3,0 ml</w:t>
            </w:r>
          </w:p>
        </w:tc>
      </w:tr>
      <w:tr w:rsidR="00B42B16" w:rsidRPr="00AF0D56" w14:paraId="4AF5E19C"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14E94FA5" w14:textId="77777777" w:rsidR="00B42B16" w:rsidRPr="00AF0D56" w:rsidRDefault="00B42B16">
            <w:pPr>
              <w:pStyle w:val="NormalWeb"/>
              <w:spacing w:before="0" w:beforeAutospacing="0" w:after="0" w:afterAutospacing="0"/>
              <w:jc w:val="center"/>
            </w:pPr>
            <w:r w:rsidRPr="00AF0D56">
              <w:rPr>
                <w:shd w:val="clear" w:color="auto" w:fill="FFFFFF"/>
              </w:rPr>
              <w:t>15-20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55A12776" w14:textId="77777777" w:rsidR="00B42B16" w:rsidRPr="00AF0D56" w:rsidRDefault="00B42B16">
            <w:pPr>
              <w:pStyle w:val="NormalWeb"/>
              <w:spacing w:before="0" w:beforeAutospacing="0" w:after="0" w:afterAutospacing="0"/>
              <w:jc w:val="center"/>
            </w:pPr>
            <w:r w:rsidRPr="00AF0D56">
              <w:t>1,5-2,0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2273AE63" w14:textId="77777777" w:rsidR="00B42B16" w:rsidRPr="00AF0D56" w:rsidRDefault="00B42B16">
            <w:pPr>
              <w:pStyle w:val="NormalWeb"/>
              <w:spacing w:before="0" w:beforeAutospacing="0" w:after="0" w:afterAutospacing="0"/>
              <w:jc w:val="center"/>
            </w:pPr>
            <w:r w:rsidRPr="00AF0D56">
              <w:t>3,0-4,0 ml</w:t>
            </w:r>
          </w:p>
        </w:tc>
      </w:tr>
      <w:tr w:rsidR="00B42B16" w:rsidRPr="00AF0D56" w14:paraId="401BB137"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55DCE8C0" w14:textId="77777777" w:rsidR="00B42B16" w:rsidRPr="00AF0D56" w:rsidRDefault="00B42B16">
            <w:pPr>
              <w:pStyle w:val="NormalWeb"/>
              <w:spacing w:before="0" w:beforeAutospacing="0" w:after="0" w:afterAutospacing="0"/>
              <w:jc w:val="center"/>
            </w:pPr>
            <w:r w:rsidRPr="00AF0D56">
              <w:rPr>
                <w:shd w:val="clear" w:color="auto" w:fill="FFFFFF"/>
              </w:rPr>
              <w:t>20-30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16D9E7BE" w14:textId="77777777" w:rsidR="00B42B16" w:rsidRPr="00AF0D56" w:rsidRDefault="00B42B16">
            <w:pPr>
              <w:pStyle w:val="NormalWeb"/>
              <w:spacing w:before="0" w:beforeAutospacing="0" w:after="0" w:afterAutospacing="0"/>
              <w:jc w:val="center"/>
            </w:pPr>
            <w:r w:rsidRPr="00AF0D56">
              <w:rPr>
                <w:shd w:val="clear" w:color="auto" w:fill="FFFFFF"/>
              </w:rPr>
              <w:t>2,0-3,0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409C1D45" w14:textId="77777777" w:rsidR="00B42B16" w:rsidRPr="00AF0D56" w:rsidRDefault="00B42B16">
            <w:pPr>
              <w:pStyle w:val="NormalWeb"/>
              <w:spacing w:before="0" w:beforeAutospacing="0" w:after="0" w:afterAutospacing="0"/>
              <w:jc w:val="center"/>
            </w:pPr>
            <w:r w:rsidRPr="00AF0D56">
              <w:rPr>
                <w:shd w:val="clear" w:color="auto" w:fill="FFFFFF"/>
              </w:rPr>
              <w:t>4,0-6,0 ml</w:t>
            </w:r>
          </w:p>
        </w:tc>
      </w:tr>
      <w:tr w:rsidR="00B42B16" w:rsidRPr="00AF0D56" w14:paraId="0EE1E1C5" w14:textId="77777777" w:rsidTr="00AF0D56">
        <w:tc>
          <w:tcPr>
            <w:tcW w:w="1890" w:type="dxa"/>
            <w:tcBorders>
              <w:top w:val="single" w:sz="4" w:space="0" w:color="auto"/>
              <w:left w:val="single" w:sz="4" w:space="0" w:color="auto"/>
              <w:bottom w:val="single" w:sz="4" w:space="0" w:color="auto"/>
              <w:right w:val="single" w:sz="4" w:space="0" w:color="auto"/>
            </w:tcBorders>
            <w:vAlign w:val="center"/>
            <w:hideMark/>
          </w:tcPr>
          <w:p w14:paraId="016A59F6" w14:textId="77777777" w:rsidR="00B42B16" w:rsidRPr="00AF0D56" w:rsidRDefault="00B42B16">
            <w:pPr>
              <w:pStyle w:val="NormalWeb"/>
              <w:spacing w:before="0" w:beforeAutospacing="0" w:after="0" w:afterAutospacing="0"/>
              <w:jc w:val="center"/>
            </w:pPr>
            <w:r w:rsidRPr="00AF0D56">
              <w:rPr>
                <w:shd w:val="clear" w:color="auto" w:fill="FFFFFF"/>
              </w:rPr>
              <w:t>30-50</w:t>
            </w:r>
          </w:p>
        </w:tc>
        <w:tc>
          <w:tcPr>
            <w:tcW w:w="3510" w:type="dxa"/>
            <w:tcBorders>
              <w:top w:val="single" w:sz="4" w:space="0" w:color="auto"/>
              <w:left w:val="single" w:sz="4" w:space="0" w:color="auto"/>
              <w:bottom w:val="single" w:sz="4" w:space="0" w:color="auto"/>
              <w:right w:val="single" w:sz="4" w:space="0" w:color="auto"/>
            </w:tcBorders>
            <w:vAlign w:val="center"/>
            <w:hideMark/>
          </w:tcPr>
          <w:p w14:paraId="6809D0B6" w14:textId="77777777" w:rsidR="00B42B16" w:rsidRPr="00AF0D56" w:rsidRDefault="00B42B16">
            <w:pPr>
              <w:pStyle w:val="NormalWeb"/>
              <w:spacing w:before="0" w:beforeAutospacing="0" w:after="0" w:afterAutospacing="0"/>
              <w:jc w:val="center"/>
            </w:pPr>
            <w:r w:rsidRPr="00AF0D56">
              <w:t>3,0-5,0 ml</w:t>
            </w:r>
          </w:p>
        </w:tc>
        <w:tc>
          <w:tcPr>
            <w:tcW w:w="3600" w:type="dxa"/>
            <w:tcBorders>
              <w:top w:val="single" w:sz="4" w:space="0" w:color="auto"/>
              <w:left w:val="single" w:sz="4" w:space="0" w:color="auto"/>
              <w:bottom w:val="single" w:sz="4" w:space="0" w:color="auto"/>
              <w:right w:val="single" w:sz="4" w:space="0" w:color="auto"/>
            </w:tcBorders>
            <w:vAlign w:val="center"/>
            <w:hideMark/>
          </w:tcPr>
          <w:p w14:paraId="5B98C59C" w14:textId="77777777" w:rsidR="00B42B16" w:rsidRPr="00AF0D56" w:rsidRDefault="00B42B16">
            <w:pPr>
              <w:pStyle w:val="NormalWeb"/>
              <w:spacing w:before="0" w:beforeAutospacing="0" w:after="0" w:afterAutospacing="0"/>
              <w:jc w:val="center"/>
            </w:pPr>
            <w:r w:rsidRPr="00AF0D56">
              <w:rPr>
                <w:shd w:val="clear" w:color="auto" w:fill="FFFFFF"/>
              </w:rPr>
              <w:t>6,0 ml</w:t>
            </w:r>
          </w:p>
        </w:tc>
      </w:tr>
    </w:tbl>
    <w:p w14:paraId="57ED1CE0" w14:textId="77777777" w:rsidR="00AF0D56" w:rsidRDefault="00AF0D56" w:rsidP="00AF0D56">
      <w:pPr>
        <w:pStyle w:val="NormalWeb"/>
        <w:shd w:val="clear" w:color="auto" w:fill="FFFFFF"/>
        <w:spacing w:before="0" w:beforeAutospacing="0" w:after="0" w:afterAutospacing="0"/>
        <w:ind w:left="851"/>
        <w:rPr>
          <w:u w:val="single"/>
        </w:rPr>
      </w:pPr>
    </w:p>
    <w:p w14:paraId="0DCAE742" w14:textId="0EC9346E" w:rsidR="00B42B16" w:rsidRPr="00AF0D56" w:rsidRDefault="00B42B16" w:rsidP="00AF0D56">
      <w:pPr>
        <w:pStyle w:val="NormalWeb"/>
        <w:shd w:val="clear" w:color="auto" w:fill="FFFFFF"/>
        <w:spacing w:before="0" w:beforeAutospacing="0" w:after="0" w:afterAutospacing="0"/>
        <w:ind w:left="851"/>
        <w:rPr>
          <w:u w:val="single"/>
        </w:rPr>
      </w:pPr>
      <w:r w:rsidRPr="00AF0D56">
        <w:rPr>
          <w:u w:val="single"/>
        </w:rPr>
        <w:t>Særlige populationer</w:t>
      </w:r>
    </w:p>
    <w:p w14:paraId="3C169962" w14:textId="77777777" w:rsidR="00B42B16" w:rsidRPr="00AF0D56" w:rsidRDefault="00B42B16" w:rsidP="00AF0D56">
      <w:pPr>
        <w:pStyle w:val="NormalWeb"/>
        <w:shd w:val="clear" w:color="auto" w:fill="FFFFFF"/>
        <w:spacing w:before="0" w:beforeAutospacing="0" w:after="0" w:afterAutospacing="0"/>
        <w:ind w:left="851"/>
      </w:pPr>
      <w:r w:rsidRPr="00AF0D56">
        <w:t>Der skal udvises forsigtighed ved anvendelse til patienter med nedsat nyre- eller leverfunktion og til ældre (se pkt. 4.4).</w:t>
      </w:r>
    </w:p>
    <w:p w14:paraId="4A07063D" w14:textId="77777777" w:rsidR="00B42B16" w:rsidRPr="00AF0D56" w:rsidRDefault="00B42B16" w:rsidP="00AF0D56">
      <w:pPr>
        <w:pStyle w:val="NormalWeb"/>
        <w:shd w:val="clear" w:color="auto" w:fill="FFFFFF"/>
        <w:spacing w:before="0" w:beforeAutospacing="0" w:after="0" w:afterAutospacing="0"/>
        <w:ind w:left="851"/>
      </w:pPr>
    </w:p>
    <w:p w14:paraId="0A873080" w14:textId="77777777" w:rsidR="00B42B16" w:rsidRPr="00AF0D56" w:rsidRDefault="00B42B16" w:rsidP="00AF0D56">
      <w:pPr>
        <w:pStyle w:val="NormalWeb"/>
        <w:shd w:val="clear" w:color="auto" w:fill="FFFFFF"/>
        <w:spacing w:before="0" w:beforeAutospacing="0" w:after="0" w:afterAutospacing="0"/>
        <w:ind w:left="851"/>
        <w:rPr>
          <w:u w:val="single"/>
        </w:rPr>
      </w:pPr>
      <w:r w:rsidRPr="00AF0D56">
        <w:rPr>
          <w:u w:val="single"/>
        </w:rPr>
        <w:t>Administration</w:t>
      </w:r>
    </w:p>
    <w:p w14:paraId="7F5C45E9" w14:textId="77777777" w:rsidR="00B42B16" w:rsidRPr="00AF0D56" w:rsidRDefault="00B42B16" w:rsidP="00AF0D56">
      <w:pPr>
        <w:pStyle w:val="NormalWeb"/>
        <w:shd w:val="clear" w:color="auto" w:fill="FFFFFF"/>
        <w:spacing w:before="0" w:beforeAutospacing="0" w:after="0" w:afterAutospacing="0"/>
        <w:ind w:left="851"/>
        <w:rPr>
          <w:u w:val="single"/>
        </w:rPr>
      </w:pPr>
      <w:r w:rsidRPr="00AF0D56">
        <w:t>Atropin administreres ved intravenøs injektion eller intramuskulær injektion. Andre farmaceutiske former/styrker kan være mere passende i de tilfælde, hvor en dosis over 1 mg er påkrævet.</w:t>
      </w:r>
    </w:p>
    <w:p w14:paraId="1011EF85" w14:textId="77777777" w:rsidR="009260DE" w:rsidRPr="00AF0D56" w:rsidRDefault="009260DE" w:rsidP="009260DE">
      <w:pPr>
        <w:tabs>
          <w:tab w:val="left" w:pos="851"/>
        </w:tabs>
        <w:ind w:left="851"/>
        <w:rPr>
          <w:sz w:val="24"/>
          <w:szCs w:val="24"/>
        </w:rPr>
      </w:pPr>
    </w:p>
    <w:p w14:paraId="1B1E8282" w14:textId="77777777" w:rsidR="009260DE" w:rsidRPr="00AF0D56" w:rsidRDefault="009260DE" w:rsidP="009260DE">
      <w:pPr>
        <w:tabs>
          <w:tab w:val="left" w:pos="851"/>
        </w:tabs>
        <w:ind w:left="851" w:hanging="851"/>
        <w:rPr>
          <w:b/>
          <w:sz w:val="24"/>
          <w:szCs w:val="24"/>
        </w:rPr>
      </w:pPr>
      <w:r w:rsidRPr="00AF0D56">
        <w:rPr>
          <w:b/>
          <w:sz w:val="24"/>
          <w:szCs w:val="24"/>
        </w:rPr>
        <w:t>4.3</w:t>
      </w:r>
      <w:r w:rsidRPr="00AF0D56">
        <w:rPr>
          <w:b/>
          <w:sz w:val="24"/>
          <w:szCs w:val="24"/>
        </w:rPr>
        <w:tab/>
        <w:t>Kontraindikationer</w:t>
      </w:r>
    </w:p>
    <w:p w14:paraId="730754C6" w14:textId="77777777" w:rsidR="00B42B16" w:rsidRPr="00AF0D56" w:rsidRDefault="00B42B16" w:rsidP="00AF0D56">
      <w:pPr>
        <w:numPr>
          <w:ilvl w:val="0"/>
          <w:numId w:val="8"/>
        </w:numPr>
        <w:ind w:left="1276" w:hanging="425"/>
        <w:rPr>
          <w:sz w:val="24"/>
          <w:szCs w:val="24"/>
        </w:rPr>
      </w:pPr>
      <w:r w:rsidRPr="00AF0D56">
        <w:rPr>
          <w:sz w:val="24"/>
          <w:szCs w:val="24"/>
        </w:rPr>
        <w:t>Overfølsomhed over for det aktive stof eller over for et eller flere af hjælpestofferne anført i pkt. 6.1</w:t>
      </w:r>
    </w:p>
    <w:p w14:paraId="7B4C35C0" w14:textId="77777777" w:rsidR="00B42B16" w:rsidRPr="00AF0D56" w:rsidRDefault="00B42B16" w:rsidP="00AF0D56">
      <w:pPr>
        <w:numPr>
          <w:ilvl w:val="0"/>
          <w:numId w:val="8"/>
        </w:numPr>
        <w:ind w:left="1276" w:hanging="425"/>
        <w:rPr>
          <w:sz w:val="24"/>
          <w:szCs w:val="24"/>
        </w:rPr>
      </w:pPr>
      <w:proofErr w:type="spellStart"/>
      <w:r w:rsidRPr="00AF0D56">
        <w:rPr>
          <w:sz w:val="24"/>
          <w:szCs w:val="24"/>
        </w:rPr>
        <w:t>Lukketvinklet</w:t>
      </w:r>
      <w:proofErr w:type="spellEnd"/>
      <w:r w:rsidRPr="00AF0D56">
        <w:rPr>
          <w:sz w:val="24"/>
          <w:szCs w:val="24"/>
        </w:rPr>
        <w:t xml:space="preserve"> </w:t>
      </w:r>
      <w:proofErr w:type="spellStart"/>
      <w:r w:rsidRPr="00AF0D56">
        <w:rPr>
          <w:sz w:val="24"/>
          <w:szCs w:val="24"/>
        </w:rPr>
        <w:t>glaukom</w:t>
      </w:r>
      <w:proofErr w:type="spellEnd"/>
    </w:p>
    <w:p w14:paraId="35B6F07A" w14:textId="77777777" w:rsidR="00B42B16" w:rsidRPr="00AF0D56" w:rsidRDefault="00B42B16" w:rsidP="00AF0D56">
      <w:pPr>
        <w:numPr>
          <w:ilvl w:val="0"/>
          <w:numId w:val="8"/>
        </w:numPr>
        <w:ind w:left="1276" w:hanging="425"/>
        <w:rPr>
          <w:sz w:val="24"/>
          <w:szCs w:val="24"/>
        </w:rPr>
      </w:pPr>
      <w:r w:rsidRPr="00AF0D56">
        <w:rPr>
          <w:sz w:val="24"/>
          <w:szCs w:val="24"/>
        </w:rPr>
        <w:t>Risiko for urinretention på grund af prostata- eller urinrørslidelse</w:t>
      </w:r>
    </w:p>
    <w:p w14:paraId="4634372F" w14:textId="77777777" w:rsidR="00B42B16" w:rsidRPr="00AF0D56" w:rsidRDefault="00B42B16" w:rsidP="00AF0D56">
      <w:pPr>
        <w:numPr>
          <w:ilvl w:val="0"/>
          <w:numId w:val="8"/>
        </w:numPr>
        <w:ind w:left="1276" w:hanging="425"/>
        <w:rPr>
          <w:sz w:val="24"/>
          <w:szCs w:val="24"/>
        </w:rPr>
      </w:pPr>
      <w:proofErr w:type="spellStart"/>
      <w:r w:rsidRPr="00AF0D56">
        <w:rPr>
          <w:sz w:val="24"/>
          <w:szCs w:val="24"/>
        </w:rPr>
        <w:t>Akalasi</w:t>
      </w:r>
      <w:proofErr w:type="spellEnd"/>
      <w:r w:rsidRPr="00AF0D56">
        <w:rPr>
          <w:sz w:val="24"/>
          <w:szCs w:val="24"/>
        </w:rPr>
        <w:t xml:space="preserve"> i spiserøret, paralytisk </w:t>
      </w:r>
      <w:proofErr w:type="spellStart"/>
      <w:r w:rsidRPr="00AF0D56">
        <w:rPr>
          <w:sz w:val="24"/>
          <w:szCs w:val="24"/>
        </w:rPr>
        <w:t>ileus</w:t>
      </w:r>
      <w:proofErr w:type="spellEnd"/>
      <w:r w:rsidRPr="00AF0D56">
        <w:rPr>
          <w:sz w:val="24"/>
          <w:szCs w:val="24"/>
        </w:rPr>
        <w:t xml:space="preserve"> og toksisk </w:t>
      </w:r>
      <w:proofErr w:type="spellStart"/>
      <w:r w:rsidRPr="00AF0D56">
        <w:rPr>
          <w:sz w:val="24"/>
          <w:szCs w:val="24"/>
        </w:rPr>
        <w:t>megacolon</w:t>
      </w:r>
      <w:proofErr w:type="spellEnd"/>
    </w:p>
    <w:p w14:paraId="5C35EF1F" w14:textId="77777777" w:rsidR="00B42B16" w:rsidRPr="00AF0D56" w:rsidRDefault="00B42B16" w:rsidP="00B42B16">
      <w:pPr>
        <w:rPr>
          <w:sz w:val="24"/>
          <w:szCs w:val="24"/>
        </w:rPr>
      </w:pPr>
    </w:p>
    <w:p w14:paraId="1C236B6E" w14:textId="77777777" w:rsidR="00B42B16" w:rsidRPr="00AF0D56" w:rsidRDefault="00B42B16" w:rsidP="00AF0D56">
      <w:pPr>
        <w:ind w:left="851"/>
        <w:rPr>
          <w:sz w:val="24"/>
          <w:szCs w:val="24"/>
        </w:rPr>
      </w:pPr>
      <w:r w:rsidRPr="00AF0D56">
        <w:rPr>
          <w:sz w:val="24"/>
          <w:szCs w:val="24"/>
        </w:rPr>
        <w:t xml:space="preserve">Kontraindikationer gælder ikke i forbindelse med brugen af atropin i livstruende situationer (såsom </w:t>
      </w:r>
      <w:proofErr w:type="spellStart"/>
      <w:r w:rsidRPr="00AF0D56">
        <w:rPr>
          <w:sz w:val="24"/>
          <w:szCs w:val="24"/>
        </w:rPr>
        <w:t>bradyarytmi</w:t>
      </w:r>
      <w:proofErr w:type="spellEnd"/>
      <w:r w:rsidRPr="00AF0D56">
        <w:rPr>
          <w:sz w:val="24"/>
          <w:szCs w:val="24"/>
        </w:rPr>
        <w:t>, forgiftning).</w:t>
      </w:r>
    </w:p>
    <w:p w14:paraId="0BC2D141" w14:textId="77777777" w:rsidR="009260DE" w:rsidRPr="00AF0D56" w:rsidRDefault="009260DE" w:rsidP="009260DE">
      <w:pPr>
        <w:tabs>
          <w:tab w:val="left" w:pos="851"/>
        </w:tabs>
        <w:ind w:left="851"/>
        <w:rPr>
          <w:sz w:val="24"/>
          <w:szCs w:val="24"/>
        </w:rPr>
      </w:pPr>
    </w:p>
    <w:p w14:paraId="4BE270AC" w14:textId="77777777" w:rsidR="009260DE" w:rsidRPr="00AF0D56" w:rsidRDefault="009260DE" w:rsidP="009260DE">
      <w:pPr>
        <w:tabs>
          <w:tab w:val="left" w:pos="851"/>
        </w:tabs>
        <w:ind w:left="851" w:hanging="851"/>
        <w:rPr>
          <w:b/>
          <w:sz w:val="24"/>
          <w:szCs w:val="24"/>
        </w:rPr>
      </w:pPr>
      <w:r w:rsidRPr="00AF0D56">
        <w:rPr>
          <w:b/>
          <w:sz w:val="24"/>
          <w:szCs w:val="24"/>
        </w:rPr>
        <w:t>4.4</w:t>
      </w:r>
      <w:r w:rsidRPr="00AF0D56">
        <w:rPr>
          <w:b/>
          <w:sz w:val="24"/>
          <w:szCs w:val="24"/>
        </w:rPr>
        <w:tab/>
        <w:t>Særlige advarsler og forsigtighedsregler vedrørende brugen</w:t>
      </w:r>
    </w:p>
    <w:p w14:paraId="32F681E2" w14:textId="77777777" w:rsidR="00B42B16" w:rsidRPr="00AF0D56" w:rsidRDefault="00B42B16" w:rsidP="00AF0D56">
      <w:pPr>
        <w:ind w:left="851"/>
        <w:rPr>
          <w:noProof/>
          <w:sz w:val="24"/>
          <w:szCs w:val="24"/>
        </w:rPr>
      </w:pPr>
      <w:r w:rsidRPr="00AF0D56">
        <w:rPr>
          <w:sz w:val="24"/>
          <w:szCs w:val="24"/>
        </w:rPr>
        <w:t>Bruges med forsigtighed i tilfælde af:</w:t>
      </w:r>
    </w:p>
    <w:p w14:paraId="35E1964A" w14:textId="77777777" w:rsidR="00B42B16" w:rsidRPr="00AF0D56" w:rsidRDefault="00B42B16" w:rsidP="00AF0D56">
      <w:pPr>
        <w:numPr>
          <w:ilvl w:val="0"/>
          <w:numId w:val="9"/>
        </w:numPr>
        <w:ind w:left="1276" w:hanging="425"/>
        <w:rPr>
          <w:noProof/>
          <w:sz w:val="24"/>
          <w:szCs w:val="24"/>
        </w:rPr>
      </w:pPr>
      <w:r w:rsidRPr="00AF0D56">
        <w:rPr>
          <w:sz w:val="24"/>
          <w:szCs w:val="24"/>
        </w:rPr>
        <w:t>Prostatahypertrofi</w:t>
      </w:r>
    </w:p>
    <w:p w14:paraId="2A4F70E5" w14:textId="77777777" w:rsidR="00B42B16" w:rsidRPr="00AF0D56" w:rsidRDefault="00B42B16" w:rsidP="00AF0D56">
      <w:pPr>
        <w:numPr>
          <w:ilvl w:val="0"/>
          <w:numId w:val="9"/>
        </w:numPr>
        <w:ind w:left="1276" w:hanging="425"/>
        <w:rPr>
          <w:noProof/>
          <w:sz w:val="24"/>
          <w:szCs w:val="24"/>
        </w:rPr>
      </w:pPr>
      <w:r w:rsidRPr="00AF0D56">
        <w:rPr>
          <w:sz w:val="24"/>
          <w:szCs w:val="24"/>
        </w:rPr>
        <w:t>Nyre- eller leverinsufficiens</w:t>
      </w:r>
    </w:p>
    <w:p w14:paraId="44AADD21" w14:textId="77777777" w:rsidR="00B42B16" w:rsidRPr="00AF0D56" w:rsidRDefault="00B42B16" w:rsidP="00AF0D56">
      <w:pPr>
        <w:numPr>
          <w:ilvl w:val="0"/>
          <w:numId w:val="9"/>
        </w:numPr>
        <w:ind w:left="1276" w:hanging="425"/>
        <w:rPr>
          <w:noProof/>
          <w:sz w:val="24"/>
          <w:szCs w:val="24"/>
        </w:rPr>
      </w:pPr>
      <w:r w:rsidRPr="00AF0D56">
        <w:rPr>
          <w:sz w:val="24"/>
          <w:szCs w:val="24"/>
        </w:rPr>
        <w:t xml:space="preserve">Hjertesvigt, </w:t>
      </w:r>
      <w:proofErr w:type="spellStart"/>
      <w:r w:rsidRPr="00AF0D56">
        <w:rPr>
          <w:sz w:val="24"/>
          <w:szCs w:val="24"/>
        </w:rPr>
        <w:t>arytmier</w:t>
      </w:r>
      <w:proofErr w:type="spellEnd"/>
      <w:r w:rsidRPr="00AF0D56">
        <w:rPr>
          <w:sz w:val="24"/>
          <w:szCs w:val="24"/>
        </w:rPr>
        <w:t xml:space="preserve">, </w:t>
      </w:r>
      <w:proofErr w:type="spellStart"/>
      <w:r w:rsidRPr="00AF0D56">
        <w:rPr>
          <w:sz w:val="24"/>
          <w:szCs w:val="24"/>
        </w:rPr>
        <w:t>hyperthyreoidisme</w:t>
      </w:r>
      <w:proofErr w:type="spellEnd"/>
    </w:p>
    <w:p w14:paraId="69F20FF4" w14:textId="77777777" w:rsidR="00B42B16" w:rsidRPr="00AF0D56" w:rsidRDefault="00B42B16" w:rsidP="00AF0D56">
      <w:pPr>
        <w:numPr>
          <w:ilvl w:val="0"/>
          <w:numId w:val="9"/>
        </w:numPr>
        <w:ind w:left="1276" w:hanging="425"/>
        <w:rPr>
          <w:noProof/>
          <w:sz w:val="24"/>
          <w:szCs w:val="24"/>
        </w:rPr>
      </w:pPr>
      <w:r w:rsidRPr="00AF0D56">
        <w:rPr>
          <w:sz w:val="24"/>
          <w:szCs w:val="24"/>
        </w:rPr>
        <w:t>Kronisk obstruktiv lungesygdom, eftersom en reduktion i bronkialsekretioner kan medføre dannelse af bronkiepropper</w:t>
      </w:r>
    </w:p>
    <w:p w14:paraId="065B0319" w14:textId="77777777" w:rsidR="00B42B16" w:rsidRPr="00AF0D56" w:rsidRDefault="00B42B16" w:rsidP="00AF0D56">
      <w:pPr>
        <w:numPr>
          <w:ilvl w:val="0"/>
          <w:numId w:val="9"/>
        </w:numPr>
        <w:ind w:left="1276" w:hanging="425"/>
        <w:rPr>
          <w:noProof/>
          <w:sz w:val="24"/>
          <w:szCs w:val="24"/>
        </w:rPr>
      </w:pPr>
      <w:r w:rsidRPr="00AF0D56">
        <w:rPr>
          <w:sz w:val="24"/>
          <w:szCs w:val="24"/>
        </w:rPr>
        <w:t>Tarmatoni hos ældre</w:t>
      </w:r>
    </w:p>
    <w:p w14:paraId="6C92886E" w14:textId="77777777" w:rsidR="00B42B16" w:rsidRPr="00AF0D56" w:rsidRDefault="00B42B16" w:rsidP="00AF0D56">
      <w:pPr>
        <w:numPr>
          <w:ilvl w:val="0"/>
          <w:numId w:val="9"/>
        </w:numPr>
        <w:ind w:left="1276" w:hanging="425"/>
        <w:rPr>
          <w:noProof/>
          <w:sz w:val="24"/>
          <w:szCs w:val="24"/>
        </w:rPr>
      </w:pPr>
      <w:proofErr w:type="spellStart"/>
      <w:r w:rsidRPr="00AF0D56">
        <w:rPr>
          <w:sz w:val="24"/>
          <w:szCs w:val="24"/>
        </w:rPr>
        <w:t>Pylorostenose</w:t>
      </w:r>
      <w:proofErr w:type="spellEnd"/>
    </w:p>
    <w:p w14:paraId="4C88E68F" w14:textId="77777777" w:rsidR="00B42B16" w:rsidRPr="00AF0D56" w:rsidRDefault="00B42B16" w:rsidP="00AF0D56">
      <w:pPr>
        <w:numPr>
          <w:ilvl w:val="0"/>
          <w:numId w:val="9"/>
        </w:numPr>
        <w:ind w:left="1276" w:hanging="425"/>
        <w:rPr>
          <w:noProof/>
          <w:sz w:val="24"/>
          <w:szCs w:val="24"/>
        </w:rPr>
      </w:pPr>
      <w:r w:rsidRPr="00AF0D56">
        <w:rPr>
          <w:sz w:val="24"/>
          <w:szCs w:val="24"/>
        </w:rPr>
        <w:t>Feber, eller når den omgivende temperatur er høj</w:t>
      </w:r>
    </w:p>
    <w:p w14:paraId="3B01ECDE" w14:textId="77777777" w:rsidR="00B42B16" w:rsidRPr="00AF0D56" w:rsidRDefault="00B42B16" w:rsidP="00AF0D56">
      <w:pPr>
        <w:numPr>
          <w:ilvl w:val="0"/>
          <w:numId w:val="9"/>
        </w:numPr>
        <w:ind w:left="1276" w:hanging="425"/>
        <w:rPr>
          <w:noProof/>
          <w:sz w:val="24"/>
          <w:szCs w:val="24"/>
        </w:rPr>
      </w:pPr>
      <w:r w:rsidRPr="00AF0D56">
        <w:rPr>
          <w:sz w:val="24"/>
          <w:szCs w:val="24"/>
        </w:rPr>
        <w:t>Til børn og ældre, som måske er mere disponerede for dets bivirkninger</w:t>
      </w:r>
    </w:p>
    <w:p w14:paraId="53E8D039" w14:textId="77777777" w:rsidR="00B42B16" w:rsidRPr="00AF0D56" w:rsidRDefault="00B42B16" w:rsidP="00AF0D56">
      <w:pPr>
        <w:numPr>
          <w:ilvl w:val="0"/>
          <w:numId w:val="9"/>
        </w:numPr>
        <w:ind w:left="1276" w:hanging="425"/>
        <w:rPr>
          <w:noProof/>
          <w:sz w:val="24"/>
          <w:szCs w:val="24"/>
        </w:rPr>
      </w:pPr>
      <w:r w:rsidRPr="00AF0D56">
        <w:rPr>
          <w:sz w:val="24"/>
          <w:szCs w:val="24"/>
        </w:rPr>
        <w:t xml:space="preserve">Ved </w:t>
      </w:r>
      <w:proofErr w:type="spellStart"/>
      <w:r w:rsidRPr="00AF0D56">
        <w:rPr>
          <w:sz w:val="24"/>
          <w:szCs w:val="24"/>
        </w:rPr>
        <w:t>refluksøsofagitis</w:t>
      </w:r>
      <w:proofErr w:type="spellEnd"/>
      <w:r w:rsidRPr="00AF0D56">
        <w:rPr>
          <w:sz w:val="24"/>
          <w:szCs w:val="24"/>
        </w:rPr>
        <w:t xml:space="preserve">, da atropin kan forsinke gastrisk tømning, reducere gastrisk </w:t>
      </w:r>
      <w:proofErr w:type="spellStart"/>
      <w:r w:rsidRPr="00AF0D56">
        <w:rPr>
          <w:sz w:val="24"/>
          <w:szCs w:val="24"/>
        </w:rPr>
        <w:t>motilitet</w:t>
      </w:r>
      <w:proofErr w:type="spellEnd"/>
      <w:r w:rsidRPr="00AF0D56">
        <w:rPr>
          <w:sz w:val="24"/>
          <w:szCs w:val="24"/>
        </w:rPr>
        <w:t xml:space="preserve"> og afslappe spiserørsmusklen.</w:t>
      </w:r>
    </w:p>
    <w:p w14:paraId="2588F0CD" w14:textId="77777777" w:rsidR="00B42B16" w:rsidRPr="00AF0D56" w:rsidRDefault="00B42B16" w:rsidP="00B42B16">
      <w:pPr>
        <w:rPr>
          <w:noProof/>
          <w:sz w:val="24"/>
          <w:szCs w:val="24"/>
        </w:rPr>
      </w:pPr>
    </w:p>
    <w:p w14:paraId="118AB700" w14:textId="77777777" w:rsidR="00B42B16" w:rsidRPr="00AF0D56" w:rsidRDefault="00B42B16" w:rsidP="00AF0D56">
      <w:pPr>
        <w:ind w:left="851"/>
        <w:rPr>
          <w:noProof/>
          <w:sz w:val="24"/>
          <w:szCs w:val="24"/>
        </w:rPr>
      </w:pPr>
      <w:r w:rsidRPr="00AF0D56">
        <w:rPr>
          <w:sz w:val="24"/>
          <w:szCs w:val="24"/>
        </w:rPr>
        <w:t xml:space="preserve">Atropin må ikke gives til patienter med </w:t>
      </w:r>
      <w:proofErr w:type="spellStart"/>
      <w:r w:rsidRPr="00AF0D56">
        <w:rPr>
          <w:sz w:val="24"/>
          <w:szCs w:val="24"/>
        </w:rPr>
        <w:t>myasthenia</w:t>
      </w:r>
      <w:proofErr w:type="spellEnd"/>
      <w:r w:rsidRPr="00AF0D56">
        <w:rPr>
          <w:sz w:val="24"/>
          <w:szCs w:val="24"/>
        </w:rPr>
        <w:t xml:space="preserve"> </w:t>
      </w:r>
      <w:proofErr w:type="spellStart"/>
      <w:r w:rsidRPr="00AF0D56">
        <w:rPr>
          <w:sz w:val="24"/>
          <w:szCs w:val="24"/>
        </w:rPr>
        <w:t>gravis</w:t>
      </w:r>
      <w:proofErr w:type="spellEnd"/>
      <w:r w:rsidRPr="00AF0D56">
        <w:rPr>
          <w:sz w:val="24"/>
          <w:szCs w:val="24"/>
        </w:rPr>
        <w:t xml:space="preserve">, medmindre det gives sammen med </w:t>
      </w:r>
      <w:proofErr w:type="spellStart"/>
      <w:r w:rsidRPr="00AF0D56">
        <w:rPr>
          <w:sz w:val="24"/>
          <w:szCs w:val="24"/>
        </w:rPr>
        <w:t>anticholinesterase</w:t>
      </w:r>
      <w:proofErr w:type="spellEnd"/>
      <w:r w:rsidRPr="00AF0D56">
        <w:rPr>
          <w:sz w:val="24"/>
          <w:szCs w:val="24"/>
        </w:rPr>
        <w:t>.</w:t>
      </w:r>
    </w:p>
    <w:p w14:paraId="119B3C44" w14:textId="77777777" w:rsidR="00B42B16" w:rsidRPr="00AF0D56" w:rsidRDefault="00B42B16" w:rsidP="00AF0D56">
      <w:pPr>
        <w:ind w:left="851"/>
        <w:rPr>
          <w:noProof/>
          <w:sz w:val="24"/>
          <w:szCs w:val="24"/>
        </w:rPr>
      </w:pPr>
    </w:p>
    <w:p w14:paraId="0B63B833" w14:textId="77777777" w:rsidR="00B42B16" w:rsidRPr="00AF0D56" w:rsidRDefault="00B42B16" w:rsidP="00AF0D56">
      <w:pPr>
        <w:ind w:left="851"/>
        <w:rPr>
          <w:noProof/>
          <w:sz w:val="24"/>
          <w:szCs w:val="24"/>
        </w:rPr>
      </w:pPr>
      <w:r w:rsidRPr="00AF0D56">
        <w:rPr>
          <w:sz w:val="24"/>
          <w:szCs w:val="24"/>
        </w:rPr>
        <w:t xml:space="preserve">Atropinadministration bør ikke forsinke implementeringen af ekstern </w:t>
      </w:r>
      <w:proofErr w:type="spellStart"/>
      <w:r w:rsidRPr="00AF0D56">
        <w:rPr>
          <w:sz w:val="24"/>
          <w:szCs w:val="24"/>
        </w:rPr>
        <w:t>pacing</w:t>
      </w:r>
      <w:proofErr w:type="spellEnd"/>
      <w:r w:rsidRPr="00AF0D56">
        <w:rPr>
          <w:sz w:val="24"/>
          <w:szCs w:val="24"/>
        </w:rPr>
        <w:t xml:space="preserve"> til ustabile patienter, især dem med blok af høj grad (</w:t>
      </w:r>
      <w:proofErr w:type="spellStart"/>
      <w:r w:rsidRPr="00AF0D56">
        <w:rPr>
          <w:sz w:val="24"/>
          <w:szCs w:val="24"/>
        </w:rPr>
        <w:t>Mobitz</w:t>
      </w:r>
      <w:proofErr w:type="spellEnd"/>
      <w:r w:rsidRPr="00AF0D56">
        <w:rPr>
          <w:sz w:val="24"/>
          <w:szCs w:val="24"/>
        </w:rPr>
        <w:t xml:space="preserve"> type II anden grad eller tredje grad).</w:t>
      </w:r>
    </w:p>
    <w:p w14:paraId="0B9E388C" w14:textId="77777777" w:rsidR="00B42B16" w:rsidRPr="00AF0D56" w:rsidRDefault="00B42B16" w:rsidP="00AF0D56">
      <w:pPr>
        <w:ind w:left="851"/>
        <w:rPr>
          <w:noProof/>
          <w:sz w:val="24"/>
          <w:szCs w:val="24"/>
        </w:rPr>
      </w:pPr>
    </w:p>
    <w:p w14:paraId="4FEC194B" w14:textId="77777777" w:rsidR="00B42B16" w:rsidRPr="00AF0D56" w:rsidRDefault="00B42B16" w:rsidP="00AF0D56">
      <w:pPr>
        <w:ind w:left="851"/>
        <w:rPr>
          <w:noProof/>
          <w:sz w:val="24"/>
          <w:szCs w:val="24"/>
        </w:rPr>
      </w:pPr>
      <w:proofErr w:type="spellStart"/>
      <w:r w:rsidRPr="00AF0D56">
        <w:rPr>
          <w:sz w:val="24"/>
          <w:szCs w:val="24"/>
        </w:rPr>
        <w:t>Antimuscarinika</w:t>
      </w:r>
      <w:proofErr w:type="spellEnd"/>
      <w:r w:rsidRPr="00AF0D56">
        <w:rPr>
          <w:sz w:val="24"/>
          <w:szCs w:val="24"/>
        </w:rPr>
        <w:t xml:space="preserve"> blokerer </w:t>
      </w:r>
      <w:proofErr w:type="spellStart"/>
      <w:r w:rsidRPr="00AF0D56">
        <w:rPr>
          <w:sz w:val="24"/>
          <w:szCs w:val="24"/>
        </w:rPr>
        <w:t>vagal</w:t>
      </w:r>
      <w:proofErr w:type="spellEnd"/>
      <w:r w:rsidRPr="00AF0D56">
        <w:rPr>
          <w:sz w:val="24"/>
          <w:szCs w:val="24"/>
        </w:rPr>
        <w:t xml:space="preserve"> hæmning af SA-knude-pacemakeren og skal derfor bruges med forsigtighed til patienter med </w:t>
      </w:r>
      <w:proofErr w:type="spellStart"/>
      <w:r w:rsidRPr="00AF0D56">
        <w:rPr>
          <w:sz w:val="24"/>
          <w:szCs w:val="24"/>
        </w:rPr>
        <w:t>takyarytmier</w:t>
      </w:r>
      <w:proofErr w:type="spellEnd"/>
      <w:r w:rsidRPr="00AF0D56">
        <w:rPr>
          <w:sz w:val="24"/>
          <w:szCs w:val="24"/>
        </w:rPr>
        <w:t xml:space="preserve">, kronisk hjerteinsufficiens eller </w:t>
      </w:r>
      <w:proofErr w:type="spellStart"/>
      <w:r w:rsidRPr="00AF0D56">
        <w:rPr>
          <w:sz w:val="24"/>
          <w:szCs w:val="24"/>
        </w:rPr>
        <w:t>koronar</w:t>
      </w:r>
      <w:proofErr w:type="spellEnd"/>
      <w:r w:rsidRPr="00AF0D56">
        <w:rPr>
          <w:sz w:val="24"/>
          <w:szCs w:val="24"/>
        </w:rPr>
        <w:t xml:space="preserve"> hjertesygdom.</w:t>
      </w:r>
    </w:p>
    <w:p w14:paraId="2F932232" w14:textId="77777777" w:rsidR="00B42B16" w:rsidRPr="00AF0D56" w:rsidRDefault="00B42B16" w:rsidP="00AF0D56">
      <w:pPr>
        <w:ind w:left="851"/>
        <w:rPr>
          <w:noProof/>
          <w:sz w:val="24"/>
          <w:szCs w:val="24"/>
        </w:rPr>
      </w:pPr>
    </w:p>
    <w:p w14:paraId="3A93AABC" w14:textId="77777777" w:rsidR="00B42B16" w:rsidRPr="00AF0D56" w:rsidRDefault="00B42B16" w:rsidP="00AF0D56">
      <w:pPr>
        <w:ind w:left="851"/>
        <w:rPr>
          <w:sz w:val="24"/>
          <w:szCs w:val="24"/>
        </w:rPr>
      </w:pPr>
      <w:r w:rsidRPr="00AF0D56">
        <w:rPr>
          <w:sz w:val="24"/>
          <w:szCs w:val="24"/>
        </w:rPr>
        <w:t>Dette lægemiddel indeholder 17,7 mg natrium pr. 5 ml fyldt injektionssprøjte, svarende til 0,885 % af WHO’s anbefalede maksimale daglige indtag af 2 g natrium for en voksen. En injektionssprøjte med 10 ml indeholder 35,4 mg natrium, svarende til 1,77 % af WHO’s anbefalede maksimale daglige indtag af 2 g natrium for en voksen.</w:t>
      </w:r>
    </w:p>
    <w:p w14:paraId="0466FCD2" w14:textId="77777777" w:rsidR="009260DE" w:rsidRPr="00AF0D56" w:rsidRDefault="009260DE" w:rsidP="009260DE">
      <w:pPr>
        <w:tabs>
          <w:tab w:val="left" w:pos="851"/>
        </w:tabs>
        <w:ind w:left="851"/>
        <w:rPr>
          <w:sz w:val="24"/>
          <w:szCs w:val="24"/>
        </w:rPr>
      </w:pPr>
    </w:p>
    <w:p w14:paraId="7DFDBC55" w14:textId="77777777" w:rsidR="009260DE" w:rsidRPr="00AF0D56" w:rsidRDefault="009260DE" w:rsidP="009260DE">
      <w:pPr>
        <w:tabs>
          <w:tab w:val="left" w:pos="851"/>
        </w:tabs>
        <w:ind w:left="851" w:hanging="851"/>
        <w:rPr>
          <w:b/>
          <w:sz w:val="24"/>
          <w:szCs w:val="24"/>
        </w:rPr>
      </w:pPr>
      <w:r w:rsidRPr="00AF0D56">
        <w:rPr>
          <w:b/>
          <w:sz w:val="24"/>
          <w:szCs w:val="24"/>
        </w:rPr>
        <w:t>4.5</w:t>
      </w:r>
      <w:r w:rsidRPr="00AF0D56">
        <w:rPr>
          <w:b/>
          <w:sz w:val="24"/>
          <w:szCs w:val="24"/>
        </w:rPr>
        <w:tab/>
        <w:t>Interaktion med andre lægemidler og andre former for interaktion</w:t>
      </w:r>
    </w:p>
    <w:p w14:paraId="24E1E49A" w14:textId="77777777" w:rsidR="008159FC" w:rsidRDefault="008159FC" w:rsidP="00AF0D56">
      <w:pPr>
        <w:ind w:left="851"/>
        <w:rPr>
          <w:sz w:val="24"/>
          <w:szCs w:val="24"/>
          <w:u w:val="single"/>
        </w:rPr>
      </w:pPr>
    </w:p>
    <w:p w14:paraId="436F5D33" w14:textId="2FEFFDA1" w:rsidR="00B42B16" w:rsidRPr="00AF0D56" w:rsidRDefault="00B42B16" w:rsidP="00AF0D56">
      <w:pPr>
        <w:ind w:left="851"/>
        <w:rPr>
          <w:sz w:val="24"/>
          <w:szCs w:val="24"/>
          <w:u w:val="single"/>
        </w:rPr>
      </w:pPr>
      <w:r w:rsidRPr="00AF0D56">
        <w:rPr>
          <w:sz w:val="24"/>
          <w:szCs w:val="24"/>
          <w:u w:val="single"/>
        </w:rPr>
        <w:t>Kombination, hvor der skal tages hensyn</w:t>
      </w:r>
    </w:p>
    <w:p w14:paraId="22574665" w14:textId="77777777" w:rsidR="00B42B16" w:rsidRPr="00AF0D56" w:rsidRDefault="00B42B16" w:rsidP="00AF0D56">
      <w:pPr>
        <w:ind w:left="851"/>
        <w:rPr>
          <w:sz w:val="24"/>
          <w:szCs w:val="24"/>
        </w:rPr>
      </w:pPr>
      <w:r w:rsidRPr="00AF0D56">
        <w:rPr>
          <w:sz w:val="24"/>
          <w:szCs w:val="24"/>
        </w:rPr>
        <w:t xml:space="preserve">Andre lægemidler med </w:t>
      </w:r>
      <w:proofErr w:type="spellStart"/>
      <w:r w:rsidRPr="00AF0D56">
        <w:rPr>
          <w:sz w:val="24"/>
          <w:szCs w:val="24"/>
        </w:rPr>
        <w:t>antikolinerg</w:t>
      </w:r>
      <w:proofErr w:type="spellEnd"/>
      <w:r w:rsidRPr="00AF0D56">
        <w:rPr>
          <w:sz w:val="24"/>
          <w:szCs w:val="24"/>
        </w:rPr>
        <w:t xml:space="preserve"> aktivitet, såsom tricykliske </w:t>
      </w:r>
      <w:proofErr w:type="spellStart"/>
      <w:r w:rsidRPr="00AF0D56">
        <w:rPr>
          <w:sz w:val="24"/>
          <w:szCs w:val="24"/>
        </w:rPr>
        <w:t>antidepressiva</w:t>
      </w:r>
      <w:proofErr w:type="spellEnd"/>
      <w:r w:rsidRPr="00AF0D56">
        <w:rPr>
          <w:sz w:val="24"/>
          <w:szCs w:val="24"/>
        </w:rPr>
        <w:t xml:space="preserve">, nogle H1-antihistaminer, Parkinsonmedicin, </w:t>
      </w:r>
      <w:proofErr w:type="spellStart"/>
      <w:r w:rsidRPr="00AF0D56">
        <w:rPr>
          <w:sz w:val="24"/>
          <w:szCs w:val="24"/>
        </w:rPr>
        <w:t>disopyramid</w:t>
      </w:r>
      <w:proofErr w:type="spellEnd"/>
      <w:r w:rsidRPr="00AF0D56">
        <w:rPr>
          <w:sz w:val="24"/>
          <w:szCs w:val="24"/>
        </w:rPr>
        <w:t xml:space="preserve">, </w:t>
      </w:r>
      <w:proofErr w:type="spellStart"/>
      <w:r w:rsidRPr="00AF0D56">
        <w:rPr>
          <w:sz w:val="24"/>
          <w:szCs w:val="24"/>
        </w:rPr>
        <w:t>mequitazin</w:t>
      </w:r>
      <w:proofErr w:type="spellEnd"/>
      <w:r w:rsidRPr="00AF0D56">
        <w:rPr>
          <w:sz w:val="24"/>
          <w:szCs w:val="24"/>
        </w:rPr>
        <w:t xml:space="preserve">, </w:t>
      </w:r>
      <w:proofErr w:type="spellStart"/>
      <w:r w:rsidRPr="00AF0D56">
        <w:rPr>
          <w:sz w:val="24"/>
          <w:szCs w:val="24"/>
        </w:rPr>
        <w:t>fenothiaziner</w:t>
      </w:r>
      <w:proofErr w:type="spellEnd"/>
      <w:r w:rsidRPr="00AF0D56">
        <w:rPr>
          <w:sz w:val="24"/>
          <w:szCs w:val="24"/>
        </w:rPr>
        <w:t xml:space="preserve">, </w:t>
      </w:r>
      <w:proofErr w:type="spellStart"/>
      <w:r w:rsidRPr="00AF0D56">
        <w:rPr>
          <w:sz w:val="24"/>
          <w:szCs w:val="24"/>
        </w:rPr>
        <w:t>neuroleptiske</w:t>
      </w:r>
      <w:proofErr w:type="spellEnd"/>
      <w:r w:rsidRPr="00AF0D56">
        <w:rPr>
          <w:sz w:val="24"/>
          <w:szCs w:val="24"/>
        </w:rPr>
        <w:t xml:space="preserve"> lægemidler, </w:t>
      </w:r>
      <w:proofErr w:type="spellStart"/>
      <w:r w:rsidRPr="00AF0D56">
        <w:rPr>
          <w:sz w:val="24"/>
          <w:szCs w:val="24"/>
        </w:rPr>
        <w:t>atropine</w:t>
      </w:r>
      <w:proofErr w:type="spellEnd"/>
      <w:r w:rsidRPr="00AF0D56">
        <w:rPr>
          <w:sz w:val="24"/>
          <w:szCs w:val="24"/>
        </w:rPr>
        <w:t xml:space="preserve"> </w:t>
      </w:r>
      <w:proofErr w:type="spellStart"/>
      <w:r w:rsidRPr="00AF0D56">
        <w:rPr>
          <w:sz w:val="24"/>
          <w:szCs w:val="24"/>
        </w:rPr>
        <w:t>spasmolytika</w:t>
      </w:r>
      <w:proofErr w:type="spellEnd"/>
      <w:r w:rsidRPr="00AF0D56">
        <w:rPr>
          <w:sz w:val="24"/>
          <w:szCs w:val="24"/>
        </w:rPr>
        <w:t xml:space="preserve">, </w:t>
      </w:r>
      <w:proofErr w:type="spellStart"/>
      <w:r w:rsidRPr="00AF0D56">
        <w:rPr>
          <w:sz w:val="24"/>
          <w:szCs w:val="24"/>
        </w:rPr>
        <w:t>clozapin</w:t>
      </w:r>
      <w:proofErr w:type="spellEnd"/>
      <w:r w:rsidRPr="00AF0D56">
        <w:rPr>
          <w:sz w:val="24"/>
          <w:szCs w:val="24"/>
        </w:rPr>
        <w:t xml:space="preserve"> og </w:t>
      </w:r>
      <w:proofErr w:type="spellStart"/>
      <w:r w:rsidRPr="00AF0D56">
        <w:rPr>
          <w:sz w:val="24"/>
          <w:szCs w:val="24"/>
        </w:rPr>
        <w:t>quinidin</w:t>
      </w:r>
      <w:proofErr w:type="spellEnd"/>
      <w:r w:rsidRPr="00AF0D56">
        <w:rPr>
          <w:sz w:val="24"/>
          <w:szCs w:val="24"/>
        </w:rPr>
        <w:t xml:space="preserve"> på grund af risikoen for </w:t>
      </w:r>
      <w:proofErr w:type="spellStart"/>
      <w:r w:rsidRPr="00AF0D56">
        <w:rPr>
          <w:sz w:val="24"/>
          <w:szCs w:val="24"/>
        </w:rPr>
        <w:t>potentialisering</w:t>
      </w:r>
      <w:proofErr w:type="spellEnd"/>
      <w:r w:rsidRPr="00AF0D56">
        <w:rPr>
          <w:sz w:val="24"/>
          <w:szCs w:val="24"/>
        </w:rPr>
        <w:t xml:space="preserve"> af </w:t>
      </w:r>
      <w:proofErr w:type="spellStart"/>
      <w:r w:rsidRPr="00AF0D56">
        <w:rPr>
          <w:sz w:val="24"/>
          <w:szCs w:val="24"/>
        </w:rPr>
        <w:t>atropine</w:t>
      </w:r>
      <w:proofErr w:type="spellEnd"/>
      <w:r w:rsidRPr="00AF0D56">
        <w:rPr>
          <w:sz w:val="24"/>
          <w:szCs w:val="24"/>
        </w:rPr>
        <w:t xml:space="preserve"> bivirkninger (urinretention, obstipation, tør mund).</w:t>
      </w:r>
    </w:p>
    <w:p w14:paraId="48B8C52B" w14:textId="77777777" w:rsidR="009260DE" w:rsidRPr="00AF0D56" w:rsidRDefault="009260DE" w:rsidP="009260DE">
      <w:pPr>
        <w:tabs>
          <w:tab w:val="left" w:pos="851"/>
        </w:tabs>
        <w:ind w:left="851"/>
        <w:rPr>
          <w:sz w:val="24"/>
          <w:szCs w:val="24"/>
        </w:rPr>
      </w:pPr>
    </w:p>
    <w:p w14:paraId="7370EEAA" w14:textId="77777777" w:rsidR="009260DE" w:rsidRPr="00AF0D56" w:rsidRDefault="009260DE" w:rsidP="009260DE">
      <w:pPr>
        <w:tabs>
          <w:tab w:val="left" w:pos="851"/>
        </w:tabs>
        <w:ind w:left="851" w:hanging="851"/>
        <w:rPr>
          <w:b/>
          <w:sz w:val="24"/>
          <w:szCs w:val="24"/>
        </w:rPr>
      </w:pPr>
      <w:r w:rsidRPr="00AF0D56">
        <w:rPr>
          <w:b/>
          <w:sz w:val="24"/>
          <w:szCs w:val="24"/>
        </w:rPr>
        <w:t>4.6</w:t>
      </w:r>
      <w:r w:rsidRPr="00AF0D56">
        <w:rPr>
          <w:b/>
          <w:sz w:val="24"/>
          <w:szCs w:val="24"/>
        </w:rPr>
        <w:tab/>
        <w:t>Graviditet og amning</w:t>
      </w:r>
    </w:p>
    <w:p w14:paraId="5D8A9E09" w14:textId="77777777" w:rsidR="00AF0D56" w:rsidRDefault="00AF0D56" w:rsidP="00AF0D56">
      <w:pPr>
        <w:ind w:left="851"/>
        <w:rPr>
          <w:sz w:val="24"/>
          <w:szCs w:val="24"/>
          <w:u w:val="single"/>
        </w:rPr>
      </w:pPr>
    </w:p>
    <w:p w14:paraId="24C0821C" w14:textId="3E79B111" w:rsidR="00B42B16" w:rsidRPr="00AF0D56" w:rsidRDefault="00B42B16" w:rsidP="00AF0D56">
      <w:pPr>
        <w:ind w:left="851"/>
        <w:rPr>
          <w:sz w:val="24"/>
          <w:szCs w:val="24"/>
          <w:u w:val="single"/>
        </w:rPr>
      </w:pPr>
      <w:r w:rsidRPr="00AF0D56">
        <w:rPr>
          <w:sz w:val="24"/>
          <w:szCs w:val="24"/>
          <w:u w:val="single"/>
        </w:rPr>
        <w:t>Graviditet</w:t>
      </w:r>
    </w:p>
    <w:p w14:paraId="084C38AD" w14:textId="77777777" w:rsidR="00B42B16" w:rsidRPr="00AF0D56" w:rsidRDefault="00B42B16" w:rsidP="00AF0D56">
      <w:pPr>
        <w:ind w:left="851"/>
        <w:rPr>
          <w:sz w:val="24"/>
          <w:szCs w:val="24"/>
        </w:rPr>
      </w:pPr>
      <w:r w:rsidRPr="00AF0D56">
        <w:rPr>
          <w:sz w:val="24"/>
          <w:szCs w:val="24"/>
        </w:rPr>
        <w:t xml:space="preserve">Data fra anvendelse af atropin hos et begrænset antal gravide kvinder (mellem 300 og 1000) indikerer ingen bivirkninger af atropin på graviditeten eller på den </w:t>
      </w:r>
      <w:proofErr w:type="spellStart"/>
      <w:r w:rsidRPr="00AF0D56">
        <w:rPr>
          <w:sz w:val="24"/>
          <w:szCs w:val="24"/>
        </w:rPr>
        <w:t>føtale</w:t>
      </w:r>
      <w:proofErr w:type="spellEnd"/>
      <w:r w:rsidRPr="00AF0D56">
        <w:rPr>
          <w:sz w:val="24"/>
          <w:szCs w:val="24"/>
        </w:rPr>
        <w:t xml:space="preserve">/neonatale sundhed. </w:t>
      </w:r>
    </w:p>
    <w:p w14:paraId="6F2709C7" w14:textId="77777777" w:rsidR="00B42B16" w:rsidRPr="00AF0D56" w:rsidRDefault="00B42B16" w:rsidP="00AF0D56">
      <w:pPr>
        <w:ind w:left="851"/>
        <w:rPr>
          <w:sz w:val="24"/>
          <w:szCs w:val="24"/>
        </w:rPr>
      </w:pPr>
    </w:p>
    <w:p w14:paraId="47AF1BB1" w14:textId="77777777" w:rsidR="00B42B16" w:rsidRPr="00AF0D56" w:rsidRDefault="00B42B16" w:rsidP="00AF0D56">
      <w:pPr>
        <w:ind w:left="851"/>
        <w:rPr>
          <w:sz w:val="24"/>
          <w:szCs w:val="24"/>
        </w:rPr>
      </w:pPr>
      <w:r w:rsidRPr="00AF0D56">
        <w:rPr>
          <w:sz w:val="24"/>
          <w:szCs w:val="24"/>
        </w:rPr>
        <w:t xml:space="preserve">Dyreforsøg indikerer hverken direkte eller indirekte skadelige virkninger, hvad angår reproduktionstoksicitet (se pkt. 5.3). Undersøgelser af atropins farmakokinetik hos mor og foster i slutningen af graviditeten indikerede, at atropin hurtigt passerer placentabarrieren. Intravenøs indgivelse af atropin under graviditet eller ved fødslen kan forårsage </w:t>
      </w:r>
      <w:proofErr w:type="spellStart"/>
      <w:r w:rsidRPr="00AF0D56">
        <w:rPr>
          <w:sz w:val="24"/>
          <w:szCs w:val="24"/>
        </w:rPr>
        <w:t>takykardi</w:t>
      </w:r>
      <w:proofErr w:type="spellEnd"/>
      <w:r w:rsidRPr="00AF0D56">
        <w:rPr>
          <w:sz w:val="24"/>
          <w:szCs w:val="24"/>
        </w:rPr>
        <w:t xml:space="preserve"> hos fosteret og moderen.</w:t>
      </w:r>
    </w:p>
    <w:p w14:paraId="23C62DA5" w14:textId="77777777" w:rsidR="00B42B16" w:rsidRPr="00AF0D56" w:rsidRDefault="00B42B16" w:rsidP="00AF0D56">
      <w:pPr>
        <w:ind w:left="851"/>
        <w:rPr>
          <w:sz w:val="24"/>
          <w:szCs w:val="24"/>
        </w:rPr>
      </w:pPr>
    </w:p>
    <w:p w14:paraId="04D1CC57" w14:textId="77777777" w:rsidR="00B42B16" w:rsidRPr="00AF0D56" w:rsidRDefault="00B42B16" w:rsidP="00AF0D56">
      <w:pPr>
        <w:ind w:left="851"/>
        <w:rPr>
          <w:sz w:val="24"/>
          <w:szCs w:val="24"/>
        </w:rPr>
      </w:pPr>
      <w:r w:rsidRPr="00AF0D56">
        <w:rPr>
          <w:sz w:val="24"/>
          <w:szCs w:val="24"/>
        </w:rPr>
        <w:t>Atropin bør ikke anvendes under graviditeten, medmindre det er nødvendigt.</w:t>
      </w:r>
    </w:p>
    <w:p w14:paraId="7F98DE53" w14:textId="77777777" w:rsidR="00B42B16" w:rsidRPr="00AF0D56" w:rsidRDefault="00B42B16" w:rsidP="00AF0D56">
      <w:pPr>
        <w:ind w:left="851"/>
        <w:rPr>
          <w:sz w:val="24"/>
          <w:szCs w:val="24"/>
        </w:rPr>
      </w:pPr>
    </w:p>
    <w:p w14:paraId="26960340" w14:textId="77777777" w:rsidR="00B42B16" w:rsidRPr="00AF0D56" w:rsidRDefault="00B42B16" w:rsidP="00AF0D56">
      <w:pPr>
        <w:ind w:left="851"/>
        <w:rPr>
          <w:sz w:val="24"/>
          <w:szCs w:val="24"/>
          <w:u w:val="single"/>
        </w:rPr>
      </w:pPr>
      <w:r w:rsidRPr="00AF0D56">
        <w:rPr>
          <w:sz w:val="24"/>
          <w:szCs w:val="24"/>
          <w:u w:val="single"/>
        </w:rPr>
        <w:t>Amning</w:t>
      </w:r>
    </w:p>
    <w:p w14:paraId="640773B5" w14:textId="4D134713" w:rsidR="00B42B16" w:rsidRPr="00AF0D56" w:rsidRDefault="00B42B16" w:rsidP="00AF0D56">
      <w:pPr>
        <w:ind w:left="851"/>
        <w:rPr>
          <w:sz w:val="24"/>
          <w:szCs w:val="24"/>
        </w:rPr>
      </w:pPr>
      <w:r w:rsidRPr="00AF0D56">
        <w:rPr>
          <w:sz w:val="24"/>
          <w:szCs w:val="24"/>
        </w:rPr>
        <w:t xml:space="preserve">Små mængder atropin kan passere over i modermælken. Spædbørn har en øget følsomhed over for atropins </w:t>
      </w:r>
      <w:proofErr w:type="spellStart"/>
      <w:r w:rsidRPr="00AF0D56">
        <w:rPr>
          <w:sz w:val="24"/>
          <w:szCs w:val="24"/>
        </w:rPr>
        <w:t>antikolinerge</w:t>
      </w:r>
      <w:proofErr w:type="spellEnd"/>
      <w:r w:rsidRPr="00AF0D56">
        <w:rPr>
          <w:sz w:val="24"/>
          <w:szCs w:val="24"/>
        </w:rPr>
        <w:t xml:space="preserve"> virkninger. Atropin kan hæmme mælkeproduktionen, især ved gentagen brug. Det skal besluttes, om amning skal ophøre, eller behandling med </w:t>
      </w:r>
      <w:proofErr w:type="spellStart"/>
      <w:r w:rsidRPr="00AF0D56">
        <w:rPr>
          <w:sz w:val="24"/>
          <w:szCs w:val="24"/>
        </w:rPr>
        <w:t>Atropine</w:t>
      </w:r>
      <w:proofErr w:type="spellEnd"/>
      <w:r w:rsidRPr="00AF0D56">
        <w:rPr>
          <w:sz w:val="24"/>
          <w:szCs w:val="24"/>
        </w:rPr>
        <w:t xml:space="preserve"> </w:t>
      </w:r>
      <w:r w:rsidR="008378EB">
        <w:rPr>
          <w:sz w:val="24"/>
          <w:szCs w:val="24"/>
        </w:rPr>
        <w:t>"</w:t>
      </w:r>
      <w:proofErr w:type="spellStart"/>
      <w:r w:rsidR="008378EB">
        <w:rPr>
          <w:sz w:val="24"/>
          <w:szCs w:val="24"/>
        </w:rPr>
        <w:t>Accord</w:t>
      </w:r>
      <w:proofErr w:type="spellEnd"/>
      <w:r w:rsidR="008378EB">
        <w:rPr>
          <w:sz w:val="24"/>
          <w:szCs w:val="24"/>
        </w:rPr>
        <w:t>"</w:t>
      </w:r>
      <w:r w:rsidRPr="00AF0D56">
        <w:rPr>
          <w:sz w:val="24"/>
          <w:szCs w:val="24"/>
        </w:rPr>
        <w:t xml:space="preserve"> seponeres/ikke igangsættes, idet der tages højde for fordelene ved amning for barnet i forhold til de terapeutiske fordele for moderen. Hvis det besluttes under behandling at fortsætte amningen, skal barnet overvåges for </w:t>
      </w:r>
      <w:proofErr w:type="spellStart"/>
      <w:r w:rsidRPr="00AF0D56">
        <w:rPr>
          <w:sz w:val="24"/>
          <w:szCs w:val="24"/>
        </w:rPr>
        <w:t>antikolinerge</w:t>
      </w:r>
      <w:proofErr w:type="spellEnd"/>
      <w:r w:rsidRPr="00AF0D56">
        <w:rPr>
          <w:sz w:val="24"/>
          <w:szCs w:val="24"/>
        </w:rPr>
        <w:t xml:space="preserve"> virkninger.</w:t>
      </w:r>
    </w:p>
    <w:p w14:paraId="0CEECF35" w14:textId="77777777" w:rsidR="00B42B16" w:rsidRPr="00AF0D56" w:rsidRDefault="00B42B16" w:rsidP="00AF0D56">
      <w:pPr>
        <w:ind w:left="851"/>
        <w:rPr>
          <w:sz w:val="24"/>
          <w:szCs w:val="24"/>
        </w:rPr>
      </w:pPr>
    </w:p>
    <w:p w14:paraId="408FDFAC" w14:textId="77777777" w:rsidR="00B42B16" w:rsidRPr="00AF0D56" w:rsidRDefault="00B42B16" w:rsidP="00AF0D56">
      <w:pPr>
        <w:ind w:left="851"/>
        <w:rPr>
          <w:sz w:val="24"/>
          <w:szCs w:val="24"/>
          <w:u w:val="single"/>
        </w:rPr>
      </w:pPr>
      <w:r w:rsidRPr="00AF0D56">
        <w:rPr>
          <w:sz w:val="24"/>
          <w:szCs w:val="24"/>
          <w:u w:val="single"/>
        </w:rPr>
        <w:t>Fertilitet</w:t>
      </w:r>
    </w:p>
    <w:p w14:paraId="6A84A4E5" w14:textId="77777777" w:rsidR="00B42B16" w:rsidRPr="00AF0D56" w:rsidRDefault="00B42B16" w:rsidP="00AF0D56">
      <w:pPr>
        <w:ind w:left="851"/>
        <w:rPr>
          <w:sz w:val="24"/>
          <w:szCs w:val="24"/>
        </w:rPr>
      </w:pPr>
      <w:r w:rsidRPr="00AF0D56">
        <w:rPr>
          <w:sz w:val="24"/>
          <w:szCs w:val="24"/>
        </w:rPr>
        <w:t>Der findes ingen data om atropinsulfats virkning på menneskers fertilitet. Atropinsulfat reducerede fertiliteten hos hanrotter, formodentlig som en konsekvens af en hæmmende effekt på transporten af sperm og sæd under emissionen.</w:t>
      </w:r>
    </w:p>
    <w:p w14:paraId="43154707" w14:textId="77777777" w:rsidR="009260DE" w:rsidRPr="00AF0D56" w:rsidRDefault="009260DE" w:rsidP="009260DE">
      <w:pPr>
        <w:tabs>
          <w:tab w:val="left" w:pos="851"/>
        </w:tabs>
        <w:ind w:left="851"/>
        <w:rPr>
          <w:sz w:val="24"/>
          <w:szCs w:val="24"/>
        </w:rPr>
      </w:pPr>
    </w:p>
    <w:p w14:paraId="2252BB0D" w14:textId="77777777" w:rsidR="009260DE" w:rsidRPr="00AF0D56" w:rsidRDefault="009260DE" w:rsidP="009260DE">
      <w:pPr>
        <w:tabs>
          <w:tab w:val="left" w:pos="851"/>
        </w:tabs>
        <w:ind w:left="851" w:hanging="851"/>
        <w:rPr>
          <w:b/>
          <w:sz w:val="24"/>
          <w:szCs w:val="24"/>
        </w:rPr>
      </w:pPr>
      <w:r w:rsidRPr="00AF0D56">
        <w:rPr>
          <w:b/>
          <w:sz w:val="24"/>
          <w:szCs w:val="24"/>
        </w:rPr>
        <w:t>4.7</w:t>
      </w:r>
      <w:r w:rsidRPr="00AF0D56">
        <w:rPr>
          <w:b/>
          <w:sz w:val="24"/>
          <w:szCs w:val="24"/>
        </w:rPr>
        <w:tab/>
        <w:t>Virkninger på evnen til at føre motorkøretøj eller betjene maskiner</w:t>
      </w:r>
    </w:p>
    <w:p w14:paraId="6462A9A1" w14:textId="77777777" w:rsidR="00F952E1" w:rsidRDefault="00F952E1" w:rsidP="00AF0D56">
      <w:pPr>
        <w:ind w:left="851"/>
        <w:rPr>
          <w:sz w:val="24"/>
          <w:szCs w:val="24"/>
        </w:rPr>
      </w:pPr>
      <w:r>
        <w:rPr>
          <w:sz w:val="24"/>
          <w:szCs w:val="24"/>
        </w:rPr>
        <w:t>Ikke mærkning.</w:t>
      </w:r>
    </w:p>
    <w:p w14:paraId="3A89E344" w14:textId="3A8A3D69" w:rsidR="00B42B16" w:rsidRPr="00AF0D56" w:rsidRDefault="00B42B16" w:rsidP="00AF0D56">
      <w:pPr>
        <w:ind w:left="851"/>
        <w:rPr>
          <w:sz w:val="24"/>
          <w:szCs w:val="24"/>
        </w:rPr>
      </w:pPr>
      <w:r w:rsidRPr="00AF0D56">
        <w:rPr>
          <w:sz w:val="24"/>
          <w:szCs w:val="24"/>
        </w:rPr>
        <w:t>Atropin kan forårsage forvirring eller sløret syn, og patienterne må ikke føre motorkøretøj eller betjene maskiner efter at have fået en injektion.</w:t>
      </w:r>
    </w:p>
    <w:p w14:paraId="295088B7" w14:textId="77777777" w:rsidR="009260DE" w:rsidRPr="00AF0D56" w:rsidRDefault="009260DE" w:rsidP="009260DE">
      <w:pPr>
        <w:tabs>
          <w:tab w:val="left" w:pos="851"/>
        </w:tabs>
        <w:ind w:left="851"/>
        <w:rPr>
          <w:sz w:val="24"/>
          <w:szCs w:val="24"/>
        </w:rPr>
      </w:pPr>
    </w:p>
    <w:p w14:paraId="1199ACAD" w14:textId="77777777" w:rsidR="009260DE" w:rsidRPr="00AF0D56" w:rsidRDefault="009260DE" w:rsidP="009260DE">
      <w:pPr>
        <w:tabs>
          <w:tab w:val="left" w:pos="851"/>
        </w:tabs>
        <w:ind w:left="851" w:hanging="851"/>
        <w:rPr>
          <w:b/>
          <w:sz w:val="24"/>
          <w:szCs w:val="24"/>
        </w:rPr>
      </w:pPr>
      <w:r w:rsidRPr="00AF0D56">
        <w:rPr>
          <w:b/>
          <w:sz w:val="24"/>
          <w:szCs w:val="24"/>
        </w:rPr>
        <w:t>4.8</w:t>
      </w:r>
      <w:r w:rsidRPr="00AF0D56">
        <w:rPr>
          <w:b/>
          <w:sz w:val="24"/>
          <w:szCs w:val="24"/>
        </w:rPr>
        <w:tab/>
        <w:t>Bivirkninger</w:t>
      </w:r>
    </w:p>
    <w:p w14:paraId="11DDA916" w14:textId="77777777" w:rsidR="00B42B16" w:rsidRPr="00AF0D56" w:rsidRDefault="00B42B16" w:rsidP="00AF0D56">
      <w:pPr>
        <w:ind w:left="851"/>
        <w:rPr>
          <w:sz w:val="24"/>
          <w:szCs w:val="24"/>
        </w:rPr>
      </w:pPr>
      <w:r w:rsidRPr="00AF0D56">
        <w:rPr>
          <w:sz w:val="24"/>
          <w:szCs w:val="24"/>
        </w:rPr>
        <w:t xml:space="preserve">Mønstret af bivirkninger, der er observeret i forbindelse med atropin, har oftest forbindelse med deres farmakologiske virkninger på </w:t>
      </w:r>
      <w:proofErr w:type="spellStart"/>
      <w:r w:rsidRPr="00AF0D56">
        <w:rPr>
          <w:sz w:val="24"/>
          <w:szCs w:val="24"/>
        </w:rPr>
        <w:t>muskarine</w:t>
      </w:r>
      <w:proofErr w:type="spellEnd"/>
      <w:r w:rsidRPr="00AF0D56">
        <w:rPr>
          <w:sz w:val="24"/>
          <w:szCs w:val="24"/>
        </w:rPr>
        <w:t xml:space="preserve"> receptorer og, ved høje doser, nikotinreceptorer. Bivirkningerne er dosisrelaterede og sædvanligvis reversible, når behandlingen seponeres. De mest almindelige bivirkninger, der forekommer ved relativt små doser, er synsforstyrrelser, nedsat bronkiesekretion, tør mund, forstoppelse, </w:t>
      </w:r>
      <w:proofErr w:type="spellStart"/>
      <w:r w:rsidRPr="00AF0D56">
        <w:rPr>
          <w:sz w:val="24"/>
          <w:szCs w:val="24"/>
        </w:rPr>
        <w:t>refluks</w:t>
      </w:r>
      <w:proofErr w:type="spellEnd"/>
      <w:r w:rsidRPr="00AF0D56">
        <w:rPr>
          <w:sz w:val="24"/>
          <w:szCs w:val="24"/>
        </w:rPr>
        <w:t xml:space="preserve">, rødme, vandladningsbesvær og tør hud. Der kan udvikles forbigående bradykardi efterfulgt af </w:t>
      </w:r>
      <w:proofErr w:type="spellStart"/>
      <w:r w:rsidRPr="00AF0D56">
        <w:rPr>
          <w:sz w:val="24"/>
          <w:szCs w:val="24"/>
        </w:rPr>
        <w:t>takykardi</w:t>
      </w:r>
      <w:proofErr w:type="spellEnd"/>
      <w:r w:rsidRPr="00AF0D56">
        <w:rPr>
          <w:sz w:val="24"/>
          <w:szCs w:val="24"/>
        </w:rPr>
        <w:t xml:space="preserve"> med </w:t>
      </w:r>
      <w:proofErr w:type="spellStart"/>
      <w:r w:rsidRPr="00AF0D56">
        <w:rPr>
          <w:sz w:val="24"/>
          <w:szCs w:val="24"/>
        </w:rPr>
        <w:t>palpitationer</w:t>
      </w:r>
      <w:proofErr w:type="spellEnd"/>
      <w:r w:rsidRPr="00AF0D56">
        <w:rPr>
          <w:sz w:val="24"/>
          <w:szCs w:val="24"/>
        </w:rPr>
        <w:t xml:space="preserve"> og </w:t>
      </w:r>
      <w:proofErr w:type="spellStart"/>
      <w:r w:rsidRPr="00AF0D56">
        <w:rPr>
          <w:sz w:val="24"/>
          <w:szCs w:val="24"/>
        </w:rPr>
        <w:t>arytmier</w:t>
      </w:r>
      <w:proofErr w:type="spellEnd"/>
      <w:r w:rsidRPr="00AF0D56">
        <w:rPr>
          <w:sz w:val="24"/>
          <w:szCs w:val="24"/>
        </w:rPr>
        <w:t>.</w:t>
      </w:r>
    </w:p>
    <w:p w14:paraId="33FCA9E5" w14:textId="77777777" w:rsidR="00F952E1" w:rsidRDefault="00F952E1" w:rsidP="00AF0D56">
      <w:pPr>
        <w:ind w:left="851"/>
        <w:rPr>
          <w:sz w:val="24"/>
          <w:szCs w:val="24"/>
        </w:rPr>
      </w:pPr>
    </w:p>
    <w:p w14:paraId="160F84D1" w14:textId="38126014" w:rsidR="00B42B16" w:rsidRPr="00AF0D56" w:rsidRDefault="00B42B16" w:rsidP="00AF0D56">
      <w:pPr>
        <w:ind w:left="851"/>
        <w:rPr>
          <w:sz w:val="24"/>
          <w:szCs w:val="24"/>
        </w:rPr>
      </w:pPr>
      <w:r w:rsidRPr="00AF0D56">
        <w:rPr>
          <w:sz w:val="24"/>
          <w:szCs w:val="24"/>
        </w:rPr>
        <w:t>Vurderingen af bivirkninger er baseret på følgende definition af hyppighed:</w:t>
      </w:r>
    </w:p>
    <w:p w14:paraId="6C670730" w14:textId="77777777" w:rsidR="00B42B16" w:rsidRPr="00AF0D56" w:rsidRDefault="00B42B16" w:rsidP="00AF0D56">
      <w:pPr>
        <w:ind w:left="851"/>
        <w:rPr>
          <w:sz w:val="24"/>
          <w:szCs w:val="24"/>
        </w:rPr>
      </w:pPr>
      <w:r w:rsidRPr="00AF0D56">
        <w:rPr>
          <w:sz w:val="24"/>
          <w:szCs w:val="24"/>
        </w:rPr>
        <w:t>Meget almindelig: ≥1/10</w:t>
      </w:r>
    </w:p>
    <w:p w14:paraId="478B9E4B" w14:textId="77777777" w:rsidR="00B42B16" w:rsidRPr="00AF0D56" w:rsidRDefault="00B42B16" w:rsidP="00AF0D56">
      <w:pPr>
        <w:ind w:left="851"/>
        <w:rPr>
          <w:sz w:val="24"/>
          <w:szCs w:val="24"/>
        </w:rPr>
      </w:pPr>
      <w:r w:rsidRPr="00AF0D56">
        <w:rPr>
          <w:sz w:val="24"/>
          <w:szCs w:val="24"/>
        </w:rPr>
        <w:t>Almindelig: ≥1/100 til &lt;1/10</w:t>
      </w:r>
    </w:p>
    <w:p w14:paraId="524485C7" w14:textId="77777777" w:rsidR="00B42B16" w:rsidRPr="00AF0D56" w:rsidRDefault="00B42B16" w:rsidP="00AF0D56">
      <w:pPr>
        <w:ind w:left="851"/>
        <w:rPr>
          <w:sz w:val="24"/>
          <w:szCs w:val="24"/>
        </w:rPr>
      </w:pPr>
      <w:r w:rsidRPr="00AF0D56">
        <w:rPr>
          <w:sz w:val="24"/>
          <w:szCs w:val="24"/>
        </w:rPr>
        <w:t>Ikke almindelig: ≥1/1.000 til &lt;1/100</w:t>
      </w:r>
    </w:p>
    <w:p w14:paraId="29CCF7AA" w14:textId="77777777" w:rsidR="00B42B16" w:rsidRPr="00AF0D56" w:rsidRDefault="00B42B16" w:rsidP="00AF0D56">
      <w:pPr>
        <w:ind w:left="851"/>
        <w:rPr>
          <w:sz w:val="24"/>
          <w:szCs w:val="24"/>
        </w:rPr>
      </w:pPr>
      <w:r w:rsidRPr="00AF0D56">
        <w:rPr>
          <w:sz w:val="24"/>
          <w:szCs w:val="24"/>
        </w:rPr>
        <w:t>Sjælden: ≥1/10.000 til &lt;1/1.000</w:t>
      </w:r>
    </w:p>
    <w:p w14:paraId="3745FC77" w14:textId="77777777" w:rsidR="00B42B16" w:rsidRPr="00AF0D56" w:rsidRDefault="00B42B16" w:rsidP="00AF0D56">
      <w:pPr>
        <w:ind w:left="851"/>
        <w:rPr>
          <w:sz w:val="24"/>
          <w:szCs w:val="24"/>
        </w:rPr>
      </w:pPr>
      <w:r w:rsidRPr="00AF0D56">
        <w:rPr>
          <w:sz w:val="24"/>
          <w:szCs w:val="24"/>
        </w:rPr>
        <w:t>Meget sjælden: &lt;1/10.000</w:t>
      </w:r>
    </w:p>
    <w:p w14:paraId="1733DE77" w14:textId="6C39DA44" w:rsidR="00B42B16" w:rsidRDefault="00B42B16" w:rsidP="00F952E1">
      <w:pPr>
        <w:ind w:left="851"/>
        <w:rPr>
          <w:sz w:val="24"/>
          <w:szCs w:val="24"/>
        </w:rPr>
      </w:pPr>
      <w:r w:rsidRPr="00AF0D56">
        <w:rPr>
          <w:sz w:val="24"/>
          <w:szCs w:val="24"/>
        </w:rPr>
        <w:t>Ikke kendt: kan ikke estimeres ud fra forhåndenværende data</w:t>
      </w:r>
    </w:p>
    <w:p w14:paraId="0277581F" w14:textId="77777777" w:rsidR="00F952E1" w:rsidRPr="00F952E1" w:rsidRDefault="00F952E1" w:rsidP="00F952E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607"/>
        <w:gridCol w:w="1461"/>
        <w:gridCol w:w="1117"/>
        <w:gridCol w:w="1106"/>
        <w:gridCol w:w="1355"/>
        <w:gridCol w:w="1488"/>
      </w:tblGrid>
      <w:tr w:rsidR="00F952E1" w:rsidRPr="008159FC" w14:paraId="7ADC25A9"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tcPr>
          <w:p w14:paraId="3BEA3B85" w14:textId="77777777" w:rsidR="00B42B16" w:rsidRPr="008159FC" w:rsidRDefault="00B42B16" w:rsidP="00F952E1">
            <w:pPr>
              <w:rPr>
                <w:b/>
                <w:sz w:val="20"/>
              </w:rPr>
            </w:pPr>
            <w:r w:rsidRPr="008159FC">
              <w:rPr>
                <w:b/>
                <w:sz w:val="20"/>
              </w:rPr>
              <w:t>Hyppighed</w:t>
            </w:r>
          </w:p>
          <w:p w14:paraId="23FA3150" w14:textId="77777777" w:rsidR="00B42B16" w:rsidRPr="008159FC" w:rsidRDefault="00B42B16" w:rsidP="00F952E1">
            <w:pPr>
              <w:rPr>
                <w:rFonts w:eastAsia="ArialMT"/>
                <w:b/>
                <w:sz w:val="20"/>
                <w:lang w:val="en-IN" w:eastAsia="en-IN"/>
              </w:rPr>
            </w:pPr>
          </w:p>
          <w:p w14:paraId="5042954A" w14:textId="77777777" w:rsidR="00B42B16" w:rsidRPr="008159FC" w:rsidRDefault="00B42B16" w:rsidP="00F952E1">
            <w:pPr>
              <w:rPr>
                <w:rFonts w:eastAsia="ArialMT"/>
                <w:b/>
                <w:sz w:val="20"/>
                <w:lang w:val="en-IN" w:eastAsia="en-IN"/>
              </w:rPr>
            </w:pPr>
          </w:p>
          <w:p w14:paraId="25661FCF" w14:textId="77777777" w:rsidR="00B42B16" w:rsidRPr="008159FC" w:rsidRDefault="00B42B16" w:rsidP="00F952E1">
            <w:pPr>
              <w:rPr>
                <w:rFonts w:eastAsia="ArialMT"/>
                <w:b/>
                <w:sz w:val="20"/>
              </w:rPr>
            </w:pPr>
            <w:r w:rsidRPr="008159FC">
              <w:rPr>
                <w:b/>
                <w:sz w:val="20"/>
              </w:rPr>
              <w:t>Systemorgan-klasse</w:t>
            </w:r>
          </w:p>
          <w:p w14:paraId="59DF1F90" w14:textId="77777777" w:rsidR="00B42B16" w:rsidRPr="008159FC" w:rsidRDefault="00B42B16" w:rsidP="00F952E1">
            <w:pPr>
              <w:rPr>
                <w:b/>
                <w:sz w:val="20"/>
              </w:rPr>
            </w:pPr>
          </w:p>
        </w:tc>
        <w:tc>
          <w:tcPr>
            <w:tcW w:w="851" w:type="pct"/>
            <w:tcBorders>
              <w:top w:val="single" w:sz="4" w:space="0" w:color="auto"/>
              <w:left w:val="single" w:sz="4" w:space="0" w:color="auto"/>
              <w:bottom w:val="single" w:sz="4" w:space="0" w:color="auto"/>
              <w:right w:val="single" w:sz="4" w:space="0" w:color="auto"/>
            </w:tcBorders>
            <w:hideMark/>
          </w:tcPr>
          <w:p w14:paraId="5FCACF92" w14:textId="77777777" w:rsidR="00B42B16" w:rsidRPr="008159FC" w:rsidRDefault="00B42B16" w:rsidP="00F952E1">
            <w:pPr>
              <w:rPr>
                <w:rFonts w:eastAsia="ArialMT"/>
                <w:b/>
                <w:sz w:val="20"/>
              </w:rPr>
            </w:pPr>
            <w:r w:rsidRPr="008159FC">
              <w:rPr>
                <w:b/>
                <w:sz w:val="20"/>
              </w:rPr>
              <w:t>Meget almindelig</w:t>
            </w:r>
          </w:p>
          <w:p w14:paraId="028A0256" w14:textId="77777777" w:rsidR="00B42B16" w:rsidRPr="008159FC" w:rsidRDefault="00B42B16" w:rsidP="00F952E1">
            <w:pPr>
              <w:rPr>
                <w:b/>
                <w:sz w:val="20"/>
              </w:rPr>
            </w:pPr>
            <w:r w:rsidRPr="008159FC">
              <w:rPr>
                <w:b/>
                <w:sz w:val="20"/>
              </w:rPr>
              <w:t>(≥1/10)</w:t>
            </w:r>
          </w:p>
        </w:tc>
        <w:tc>
          <w:tcPr>
            <w:tcW w:w="759" w:type="pct"/>
            <w:tcBorders>
              <w:top w:val="single" w:sz="4" w:space="0" w:color="auto"/>
              <w:left w:val="single" w:sz="4" w:space="0" w:color="auto"/>
              <w:bottom w:val="single" w:sz="4" w:space="0" w:color="auto"/>
              <w:right w:val="single" w:sz="4" w:space="0" w:color="auto"/>
            </w:tcBorders>
            <w:hideMark/>
          </w:tcPr>
          <w:p w14:paraId="03885F1C" w14:textId="77777777" w:rsidR="00B42B16" w:rsidRPr="008159FC" w:rsidRDefault="00B42B16" w:rsidP="00F952E1">
            <w:pPr>
              <w:rPr>
                <w:rFonts w:eastAsia="ArialMT"/>
                <w:b/>
                <w:sz w:val="20"/>
              </w:rPr>
            </w:pPr>
            <w:r w:rsidRPr="008159FC">
              <w:rPr>
                <w:b/>
                <w:sz w:val="20"/>
              </w:rPr>
              <w:t>Almindelig</w:t>
            </w:r>
          </w:p>
          <w:p w14:paraId="21B55BB1" w14:textId="77777777" w:rsidR="00B42B16" w:rsidRPr="008159FC" w:rsidRDefault="00B42B16" w:rsidP="00F952E1">
            <w:pPr>
              <w:rPr>
                <w:b/>
                <w:sz w:val="20"/>
              </w:rPr>
            </w:pPr>
            <w:r w:rsidRPr="008159FC">
              <w:rPr>
                <w:b/>
                <w:sz w:val="20"/>
              </w:rPr>
              <w:t>(≥1/100 til &lt;1/10)</w:t>
            </w:r>
          </w:p>
        </w:tc>
        <w:tc>
          <w:tcPr>
            <w:tcW w:w="592" w:type="pct"/>
            <w:tcBorders>
              <w:top w:val="single" w:sz="4" w:space="0" w:color="auto"/>
              <w:left w:val="single" w:sz="4" w:space="0" w:color="auto"/>
              <w:bottom w:val="single" w:sz="4" w:space="0" w:color="auto"/>
              <w:right w:val="single" w:sz="4" w:space="0" w:color="auto"/>
            </w:tcBorders>
            <w:hideMark/>
          </w:tcPr>
          <w:p w14:paraId="458B4758" w14:textId="77777777" w:rsidR="00B42B16" w:rsidRPr="008159FC" w:rsidRDefault="00B42B16" w:rsidP="00F952E1">
            <w:pPr>
              <w:rPr>
                <w:rFonts w:eastAsia="ArialMT"/>
                <w:b/>
                <w:sz w:val="20"/>
              </w:rPr>
            </w:pPr>
            <w:r w:rsidRPr="008159FC">
              <w:rPr>
                <w:b/>
                <w:sz w:val="20"/>
              </w:rPr>
              <w:t>Ikke almindelig</w:t>
            </w:r>
          </w:p>
          <w:p w14:paraId="0B3CD273" w14:textId="77777777" w:rsidR="00B42B16" w:rsidRPr="008159FC" w:rsidRDefault="00B42B16" w:rsidP="00F952E1">
            <w:pPr>
              <w:rPr>
                <w:b/>
                <w:sz w:val="20"/>
              </w:rPr>
            </w:pPr>
            <w:r w:rsidRPr="008159FC">
              <w:rPr>
                <w:b/>
                <w:sz w:val="20"/>
              </w:rPr>
              <w:t>(≥1/1.000 til &lt;1/100)</w:t>
            </w:r>
          </w:p>
        </w:tc>
        <w:tc>
          <w:tcPr>
            <w:tcW w:w="610" w:type="pct"/>
            <w:tcBorders>
              <w:top w:val="single" w:sz="4" w:space="0" w:color="auto"/>
              <w:left w:val="single" w:sz="4" w:space="0" w:color="auto"/>
              <w:bottom w:val="single" w:sz="4" w:space="0" w:color="auto"/>
              <w:right w:val="single" w:sz="4" w:space="0" w:color="auto"/>
            </w:tcBorders>
            <w:hideMark/>
          </w:tcPr>
          <w:p w14:paraId="37624EE9" w14:textId="77777777" w:rsidR="00B42B16" w:rsidRPr="008159FC" w:rsidRDefault="00B42B16" w:rsidP="00F952E1">
            <w:pPr>
              <w:rPr>
                <w:rFonts w:eastAsia="ArialMT"/>
                <w:b/>
                <w:sz w:val="20"/>
              </w:rPr>
            </w:pPr>
            <w:r w:rsidRPr="008159FC">
              <w:rPr>
                <w:b/>
                <w:sz w:val="20"/>
              </w:rPr>
              <w:t>Sjælden</w:t>
            </w:r>
          </w:p>
          <w:p w14:paraId="5179FEE9" w14:textId="77777777" w:rsidR="00B42B16" w:rsidRPr="008159FC" w:rsidRDefault="00B42B16" w:rsidP="00F952E1">
            <w:pPr>
              <w:rPr>
                <w:b/>
                <w:sz w:val="20"/>
              </w:rPr>
            </w:pPr>
            <w:r w:rsidRPr="008159FC">
              <w:rPr>
                <w:b/>
                <w:sz w:val="20"/>
              </w:rPr>
              <w:t>(≥1/10.000 til &lt;1/1.000)</w:t>
            </w:r>
          </w:p>
        </w:tc>
        <w:tc>
          <w:tcPr>
            <w:tcW w:w="659" w:type="pct"/>
            <w:tcBorders>
              <w:top w:val="single" w:sz="4" w:space="0" w:color="auto"/>
              <w:left w:val="single" w:sz="4" w:space="0" w:color="auto"/>
              <w:bottom w:val="single" w:sz="4" w:space="0" w:color="auto"/>
              <w:right w:val="single" w:sz="4" w:space="0" w:color="auto"/>
            </w:tcBorders>
            <w:hideMark/>
          </w:tcPr>
          <w:p w14:paraId="5035084F" w14:textId="77777777" w:rsidR="00B42B16" w:rsidRPr="008159FC" w:rsidRDefault="00B42B16" w:rsidP="00F952E1">
            <w:pPr>
              <w:rPr>
                <w:rFonts w:eastAsia="ArialMT"/>
                <w:b/>
                <w:sz w:val="20"/>
              </w:rPr>
            </w:pPr>
            <w:r w:rsidRPr="008159FC">
              <w:rPr>
                <w:b/>
                <w:sz w:val="20"/>
              </w:rPr>
              <w:t>Meget sjælden</w:t>
            </w:r>
          </w:p>
          <w:p w14:paraId="1D8CAC79" w14:textId="77777777" w:rsidR="00B42B16" w:rsidRPr="008159FC" w:rsidRDefault="00B42B16" w:rsidP="00F952E1">
            <w:pPr>
              <w:rPr>
                <w:b/>
                <w:sz w:val="20"/>
              </w:rPr>
            </w:pPr>
            <w:r w:rsidRPr="008159FC">
              <w:rPr>
                <w:b/>
                <w:sz w:val="20"/>
              </w:rPr>
              <w:t>(&lt;1/10.000)</w:t>
            </w:r>
          </w:p>
        </w:tc>
        <w:tc>
          <w:tcPr>
            <w:tcW w:w="790" w:type="pct"/>
            <w:tcBorders>
              <w:top w:val="single" w:sz="4" w:space="0" w:color="auto"/>
              <w:left w:val="single" w:sz="4" w:space="0" w:color="auto"/>
              <w:bottom w:val="single" w:sz="4" w:space="0" w:color="auto"/>
              <w:right w:val="single" w:sz="4" w:space="0" w:color="auto"/>
            </w:tcBorders>
          </w:tcPr>
          <w:p w14:paraId="38C15568" w14:textId="77777777" w:rsidR="00B42B16" w:rsidRPr="008159FC" w:rsidRDefault="00B42B16" w:rsidP="00F952E1">
            <w:pPr>
              <w:rPr>
                <w:rFonts w:eastAsia="ArialMT"/>
                <w:b/>
                <w:sz w:val="20"/>
              </w:rPr>
            </w:pPr>
            <w:r w:rsidRPr="008159FC">
              <w:rPr>
                <w:b/>
                <w:sz w:val="20"/>
              </w:rPr>
              <w:t>Ikke kendt</w:t>
            </w:r>
          </w:p>
          <w:p w14:paraId="60215C3B" w14:textId="3666A406" w:rsidR="00B42B16" w:rsidRPr="008159FC" w:rsidRDefault="00B42B16" w:rsidP="00F952E1">
            <w:pPr>
              <w:rPr>
                <w:b/>
                <w:sz w:val="20"/>
              </w:rPr>
            </w:pPr>
            <w:r w:rsidRPr="008159FC">
              <w:rPr>
                <w:b/>
                <w:sz w:val="20"/>
              </w:rPr>
              <w:t xml:space="preserve">(kan ikke estimeres ud fra </w:t>
            </w:r>
            <w:proofErr w:type="spellStart"/>
            <w:r w:rsidRPr="008159FC">
              <w:rPr>
                <w:b/>
                <w:sz w:val="20"/>
              </w:rPr>
              <w:t>forhånden-værende</w:t>
            </w:r>
            <w:proofErr w:type="spellEnd"/>
            <w:r w:rsidRPr="008159FC">
              <w:rPr>
                <w:b/>
                <w:sz w:val="20"/>
              </w:rPr>
              <w:t xml:space="preserve"> data) </w:t>
            </w:r>
          </w:p>
        </w:tc>
      </w:tr>
      <w:tr w:rsidR="00F952E1" w:rsidRPr="00F952E1" w14:paraId="6FC4FEF2"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tcPr>
          <w:p w14:paraId="424C8ABD" w14:textId="1AAF3E84" w:rsidR="00B42B16" w:rsidRPr="00F952E1" w:rsidRDefault="00B42B16" w:rsidP="00F952E1">
            <w:pPr>
              <w:tabs>
                <w:tab w:val="left" w:pos="1304"/>
              </w:tabs>
              <w:autoSpaceDE w:val="0"/>
              <w:autoSpaceDN w:val="0"/>
              <w:adjustRightInd w:val="0"/>
              <w:rPr>
                <w:sz w:val="20"/>
              </w:rPr>
            </w:pPr>
            <w:r w:rsidRPr="00F952E1">
              <w:rPr>
                <w:sz w:val="20"/>
              </w:rPr>
              <w:t>Immunsystemet</w:t>
            </w:r>
          </w:p>
        </w:tc>
        <w:tc>
          <w:tcPr>
            <w:tcW w:w="851" w:type="pct"/>
            <w:tcBorders>
              <w:top w:val="single" w:sz="4" w:space="0" w:color="auto"/>
              <w:left w:val="single" w:sz="4" w:space="0" w:color="auto"/>
              <w:bottom w:val="single" w:sz="4" w:space="0" w:color="auto"/>
              <w:right w:val="single" w:sz="4" w:space="0" w:color="auto"/>
            </w:tcBorders>
          </w:tcPr>
          <w:p w14:paraId="0D73546C" w14:textId="77777777" w:rsidR="00B42B16" w:rsidRPr="00F952E1" w:rsidRDefault="00B42B16">
            <w:pPr>
              <w:rPr>
                <w:sz w:val="20"/>
              </w:rPr>
            </w:pPr>
          </w:p>
        </w:tc>
        <w:tc>
          <w:tcPr>
            <w:tcW w:w="759" w:type="pct"/>
            <w:tcBorders>
              <w:top w:val="single" w:sz="4" w:space="0" w:color="auto"/>
              <w:left w:val="single" w:sz="4" w:space="0" w:color="auto"/>
              <w:bottom w:val="single" w:sz="4" w:space="0" w:color="auto"/>
              <w:right w:val="single" w:sz="4" w:space="0" w:color="auto"/>
            </w:tcBorders>
          </w:tcPr>
          <w:p w14:paraId="1C7A6BF5" w14:textId="77777777" w:rsidR="00B42B16" w:rsidRPr="00F952E1" w:rsidRDefault="00B42B16">
            <w:pPr>
              <w:rPr>
                <w:sz w:val="20"/>
              </w:rPr>
            </w:pPr>
          </w:p>
        </w:tc>
        <w:tc>
          <w:tcPr>
            <w:tcW w:w="592" w:type="pct"/>
            <w:tcBorders>
              <w:top w:val="single" w:sz="4" w:space="0" w:color="auto"/>
              <w:left w:val="single" w:sz="4" w:space="0" w:color="auto"/>
              <w:bottom w:val="single" w:sz="4" w:space="0" w:color="auto"/>
              <w:right w:val="single" w:sz="4" w:space="0" w:color="auto"/>
            </w:tcBorders>
          </w:tcPr>
          <w:p w14:paraId="1F8C5CBD"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hideMark/>
          </w:tcPr>
          <w:p w14:paraId="66CE841E" w14:textId="77777777" w:rsidR="00B42B16" w:rsidRPr="00F952E1" w:rsidRDefault="00B42B16">
            <w:pPr>
              <w:tabs>
                <w:tab w:val="left" w:pos="1304"/>
              </w:tabs>
              <w:autoSpaceDE w:val="0"/>
              <w:autoSpaceDN w:val="0"/>
              <w:adjustRightInd w:val="0"/>
              <w:rPr>
                <w:sz w:val="20"/>
              </w:rPr>
            </w:pPr>
            <w:r w:rsidRPr="00F952E1">
              <w:rPr>
                <w:sz w:val="20"/>
              </w:rPr>
              <w:t>Allergiske reaktioner</w:t>
            </w:r>
          </w:p>
        </w:tc>
        <w:tc>
          <w:tcPr>
            <w:tcW w:w="659" w:type="pct"/>
            <w:tcBorders>
              <w:top w:val="single" w:sz="4" w:space="0" w:color="auto"/>
              <w:left w:val="single" w:sz="4" w:space="0" w:color="auto"/>
              <w:bottom w:val="single" w:sz="4" w:space="0" w:color="auto"/>
              <w:right w:val="single" w:sz="4" w:space="0" w:color="auto"/>
            </w:tcBorders>
            <w:hideMark/>
          </w:tcPr>
          <w:p w14:paraId="1BAF5B5A" w14:textId="77777777" w:rsidR="00B42B16" w:rsidRPr="00F952E1" w:rsidRDefault="00B42B16">
            <w:pPr>
              <w:rPr>
                <w:sz w:val="20"/>
              </w:rPr>
            </w:pPr>
            <w:r w:rsidRPr="00F952E1">
              <w:rPr>
                <w:sz w:val="20"/>
              </w:rPr>
              <w:t>Anafylaksi</w:t>
            </w:r>
          </w:p>
        </w:tc>
        <w:tc>
          <w:tcPr>
            <w:tcW w:w="790" w:type="pct"/>
            <w:tcBorders>
              <w:top w:val="single" w:sz="4" w:space="0" w:color="auto"/>
              <w:left w:val="single" w:sz="4" w:space="0" w:color="auto"/>
              <w:bottom w:val="single" w:sz="4" w:space="0" w:color="auto"/>
              <w:right w:val="single" w:sz="4" w:space="0" w:color="auto"/>
            </w:tcBorders>
          </w:tcPr>
          <w:p w14:paraId="3150471D" w14:textId="77777777" w:rsidR="00B42B16" w:rsidRPr="00F952E1" w:rsidRDefault="00B42B16">
            <w:pPr>
              <w:rPr>
                <w:sz w:val="20"/>
              </w:rPr>
            </w:pPr>
          </w:p>
        </w:tc>
      </w:tr>
      <w:tr w:rsidR="00F952E1" w:rsidRPr="00F952E1" w14:paraId="77508CD0"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tcPr>
          <w:p w14:paraId="7CF60D06" w14:textId="4FFE1A9B" w:rsidR="00B42B16" w:rsidRPr="00F952E1" w:rsidRDefault="00B42B16" w:rsidP="00F952E1">
            <w:pPr>
              <w:tabs>
                <w:tab w:val="left" w:pos="1304"/>
              </w:tabs>
              <w:autoSpaceDE w:val="0"/>
              <w:autoSpaceDN w:val="0"/>
              <w:adjustRightInd w:val="0"/>
              <w:rPr>
                <w:sz w:val="20"/>
              </w:rPr>
            </w:pPr>
            <w:r w:rsidRPr="00F952E1">
              <w:rPr>
                <w:sz w:val="20"/>
              </w:rPr>
              <w:t>Nervesystemet</w:t>
            </w:r>
          </w:p>
        </w:tc>
        <w:tc>
          <w:tcPr>
            <w:tcW w:w="851" w:type="pct"/>
            <w:tcBorders>
              <w:top w:val="single" w:sz="4" w:space="0" w:color="auto"/>
              <w:left w:val="single" w:sz="4" w:space="0" w:color="auto"/>
              <w:bottom w:val="single" w:sz="4" w:space="0" w:color="auto"/>
              <w:right w:val="single" w:sz="4" w:space="0" w:color="auto"/>
            </w:tcBorders>
          </w:tcPr>
          <w:p w14:paraId="065EA2AF" w14:textId="77777777" w:rsidR="00B42B16" w:rsidRPr="00F952E1" w:rsidRDefault="00B42B16">
            <w:pPr>
              <w:rPr>
                <w:sz w:val="20"/>
              </w:rPr>
            </w:pPr>
          </w:p>
        </w:tc>
        <w:tc>
          <w:tcPr>
            <w:tcW w:w="759" w:type="pct"/>
            <w:tcBorders>
              <w:top w:val="single" w:sz="4" w:space="0" w:color="auto"/>
              <w:left w:val="single" w:sz="4" w:space="0" w:color="auto"/>
              <w:bottom w:val="single" w:sz="4" w:space="0" w:color="auto"/>
              <w:right w:val="single" w:sz="4" w:space="0" w:color="auto"/>
            </w:tcBorders>
            <w:hideMark/>
          </w:tcPr>
          <w:p w14:paraId="7793BEA8" w14:textId="77777777" w:rsidR="00B42B16" w:rsidRPr="00F952E1" w:rsidRDefault="00B42B16">
            <w:pPr>
              <w:tabs>
                <w:tab w:val="left" w:pos="1304"/>
              </w:tabs>
              <w:autoSpaceDE w:val="0"/>
              <w:autoSpaceDN w:val="0"/>
              <w:adjustRightInd w:val="0"/>
              <w:rPr>
                <w:sz w:val="20"/>
              </w:rPr>
            </w:pPr>
            <w:r w:rsidRPr="00F952E1">
              <w:rPr>
                <w:sz w:val="20"/>
              </w:rPr>
              <w:t xml:space="preserve">Ophidselse, koordinations-svigt, mental konfusion, og/eller hallucinationer (især ved højere doser), </w:t>
            </w:r>
            <w:proofErr w:type="spellStart"/>
            <w:r w:rsidRPr="00F952E1">
              <w:rPr>
                <w:sz w:val="20"/>
              </w:rPr>
              <w:t>hypertermi</w:t>
            </w:r>
            <w:proofErr w:type="spellEnd"/>
          </w:p>
        </w:tc>
        <w:tc>
          <w:tcPr>
            <w:tcW w:w="592" w:type="pct"/>
            <w:tcBorders>
              <w:top w:val="single" w:sz="4" w:space="0" w:color="auto"/>
              <w:left w:val="single" w:sz="4" w:space="0" w:color="auto"/>
              <w:bottom w:val="single" w:sz="4" w:space="0" w:color="auto"/>
              <w:right w:val="single" w:sz="4" w:space="0" w:color="auto"/>
            </w:tcBorders>
            <w:hideMark/>
          </w:tcPr>
          <w:p w14:paraId="7A061DE0" w14:textId="77777777" w:rsidR="00B42B16" w:rsidRPr="00F952E1" w:rsidRDefault="00B42B16">
            <w:pPr>
              <w:tabs>
                <w:tab w:val="left" w:pos="1304"/>
              </w:tabs>
              <w:autoSpaceDE w:val="0"/>
              <w:autoSpaceDN w:val="0"/>
              <w:adjustRightInd w:val="0"/>
              <w:rPr>
                <w:sz w:val="20"/>
              </w:rPr>
            </w:pPr>
            <w:r w:rsidRPr="00F952E1">
              <w:rPr>
                <w:sz w:val="20"/>
              </w:rPr>
              <w:t>Psykotiske reaktioner</w:t>
            </w:r>
          </w:p>
        </w:tc>
        <w:tc>
          <w:tcPr>
            <w:tcW w:w="610" w:type="pct"/>
            <w:tcBorders>
              <w:top w:val="single" w:sz="4" w:space="0" w:color="auto"/>
              <w:left w:val="single" w:sz="4" w:space="0" w:color="auto"/>
              <w:bottom w:val="single" w:sz="4" w:space="0" w:color="auto"/>
              <w:right w:val="single" w:sz="4" w:space="0" w:color="auto"/>
            </w:tcBorders>
            <w:hideMark/>
          </w:tcPr>
          <w:p w14:paraId="57B51B7A" w14:textId="77777777" w:rsidR="00B42B16" w:rsidRPr="00F952E1" w:rsidRDefault="00B42B16">
            <w:pPr>
              <w:tabs>
                <w:tab w:val="left" w:pos="1304"/>
              </w:tabs>
              <w:autoSpaceDE w:val="0"/>
              <w:autoSpaceDN w:val="0"/>
              <w:adjustRightInd w:val="0"/>
              <w:rPr>
                <w:sz w:val="20"/>
              </w:rPr>
            </w:pPr>
            <w:proofErr w:type="spellStart"/>
            <w:r w:rsidRPr="00F952E1">
              <w:rPr>
                <w:sz w:val="20"/>
              </w:rPr>
              <w:t>Krampe-anfald</w:t>
            </w:r>
            <w:proofErr w:type="spellEnd"/>
            <w:r w:rsidRPr="00F952E1">
              <w:rPr>
                <w:sz w:val="20"/>
              </w:rPr>
              <w:t>, døsighed</w:t>
            </w:r>
          </w:p>
        </w:tc>
        <w:tc>
          <w:tcPr>
            <w:tcW w:w="659" w:type="pct"/>
            <w:tcBorders>
              <w:top w:val="single" w:sz="4" w:space="0" w:color="auto"/>
              <w:left w:val="single" w:sz="4" w:space="0" w:color="auto"/>
              <w:bottom w:val="single" w:sz="4" w:space="0" w:color="auto"/>
              <w:right w:val="single" w:sz="4" w:space="0" w:color="auto"/>
            </w:tcBorders>
          </w:tcPr>
          <w:p w14:paraId="59EBEFF6"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hideMark/>
          </w:tcPr>
          <w:p w14:paraId="4B6185A3" w14:textId="77777777" w:rsidR="00B42B16" w:rsidRPr="00F952E1" w:rsidRDefault="00B42B16">
            <w:pPr>
              <w:tabs>
                <w:tab w:val="left" w:pos="1304"/>
              </w:tabs>
              <w:autoSpaceDE w:val="0"/>
              <w:autoSpaceDN w:val="0"/>
              <w:adjustRightInd w:val="0"/>
              <w:rPr>
                <w:sz w:val="20"/>
              </w:rPr>
            </w:pPr>
            <w:r w:rsidRPr="00F952E1">
              <w:rPr>
                <w:sz w:val="20"/>
              </w:rPr>
              <w:t xml:space="preserve">Hovedpine, rastløshed, </w:t>
            </w:r>
            <w:proofErr w:type="spellStart"/>
            <w:r w:rsidRPr="00F952E1">
              <w:rPr>
                <w:sz w:val="20"/>
              </w:rPr>
              <w:t>ataksi</w:t>
            </w:r>
            <w:proofErr w:type="spellEnd"/>
            <w:r w:rsidRPr="00F952E1">
              <w:rPr>
                <w:sz w:val="20"/>
              </w:rPr>
              <w:t>, søvnløshed</w:t>
            </w:r>
          </w:p>
        </w:tc>
      </w:tr>
      <w:tr w:rsidR="00F952E1" w:rsidRPr="00F952E1" w14:paraId="40786F6D"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6836F628" w14:textId="77777777" w:rsidR="00B42B16" w:rsidRPr="00F952E1" w:rsidRDefault="00B42B16">
            <w:pPr>
              <w:rPr>
                <w:sz w:val="20"/>
              </w:rPr>
            </w:pPr>
            <w:r w:rsidRPr="00F952E1">
              <w:rPr>
                <w:sz w:val="20"/>
              </w:rPr>
              <w:t>Øjne</w:t>
            </w:r>
          </w:p>
        </w:tc>
        <w:tc>
          <w:tcPr>
            <w:tcW w:w="851" w:type="pct"/>
            <w:tcBorders>
              <w:top w:val="single" w:sz="4" w:space="0" w:color="auto"/>
              <w:left w:val="single" w:sz="4" w:space="0" w:color="auto"/>
              <w:bottom w:val="single" w:sz="4" w:space="0" w:color="auto"/>
              <w:right w:val="single" w:sz="4" w:space="0" w:color="auto"/>
            </w:tcBorders>
            <w:hideMark/>
          </w:tcPr>
          <w:p w14:paraId="1F8E3A45" w14:textId="77777777" w:rsidR="00B42B16" w:rsidRPr="00F952E1" w:rsidRDefault="00B42B16">
            <w:pPr>
              <w:tabs>
                <w:tab w:val="left" w:pos="1304"/>
              </w:tabs>
              <w:autoSpaceDE w:val="0"/>
              <w:autoSpaceDN w:val="0"/>
              <w:adjustRightInd w:val="0"/>
              <w:rPr>
                <w:sz w:val="20"/>
              </w:rPr>
            </w:pPr>
            <w:r w:rsidRPr="00F952E1">
              <w:rPr>
                <w:sz w:val="20"/>
              </w:rPr>
              <w:t>Synsforstyrrelser (</w:t>
            </w:r>
            <w:proofErr w:type="spellStart"/>
            <w:r w:rsidRPr="00F952E1">
              <w:rPr>
                <w:sz w:val="20"/>
              </w:rPr>
              <w:t>mydriasis</w:t>
            </w:r>
            <w:proofErr w:type="spellEnd"/>
            <w:r w:rsidRPr="00F952E1">
              <w:rPr>
                <w:sz w:val="20"/>
              </w:rPr>
              <w:t>, hæmning af akkommodation, sløret syn, fotofobi)</w:t>
            </w:r>
          </w:p>
        </w:tc>
        <w:tc>
          <w:tcPr>
            <w:tcW w:w="759" w:type="pct"/>
            <w:tcBorders>
              <w:top w:val="single" w:sz="4" w:space="0" w:color="auto"/>
              <w:left w:val="single" w:sz="4" w:space="0" w:color="auto"/>
              <w:bottom w:val="single" w:sz="4" w:space="0" w:color="auto"/>
              <w:right w:val="single" w:sz="4" w:space="0" w:color="auto"/>
            </w:tcBorders>
          </w:tcPr>
          <w:p w14:paraId="2E5E2576" w14:textId="77777777" w:rsidR="00B42B16" w:rsidRPr="00F952E1" w:rsidRDefault="00B42B16">
            <w:pPr>
              <w:rPr>
                <w:sz w:val="20"/>
              </w:rPr>
            </w:pPr>
          </w:p>
        </w:tc>
        <w:tc>
          <w:tcPr>
            <w:tcW w:w="592" w:type="pct"/>
            <w:tcBorders>
              <w:top w:val="single" w:sz="4" w:space="0" w:color="auto"/>
              <w:left w:val="single" w:sz="4" w:space="0" w:color="auto"/>
              <w:bottom w:val="single" w:sz="4" w:space="0" w:color="auto"/>
              <w:right w:val="single" w:sz="4" w:space="0" w:color="auto"/>
            </w:tcBorders>
          </w:tcPr>
          <w:p w14:paraId="6CCFE2C7"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7E3BCDFF"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575AAA71"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4C49A62A" w14:textId="77777777" w:rsidR="00B42B16" w:rsidRPr="00F952E1" w:rsidRDefault="00B42B16">
            <w:pPr>
              <w:rPr>
                <w:sz w:val="20"/>
              </w:rPr>
            </w:pPr>
          </w:p>
        </w:tc>
      </w:tr>
      <w:tr w:rsidR="00F952E1" w:rsidRPr="00F952E1" w14:paraId="7BD14320"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67577E17" w14:textId="77777777" w:rsidR="00B42B16" w:rsidRPr="00F952E1" w:rsidRDefault="00B42B16">
            <w:pPr>
              <w:tabs>
                <w:tab w:val="left" w:pos="1304"/>
              </w:tabs>
              <w:autoSpaceDE w:val="0"/>
              <w:autoSpaceDN w:val="0"/>
              <w:adjustRightInd w:val="0"/>
              <w:rPr>
                <w:sz w:val="20"/>
              </w:rPr>
            </w:pPr>
            <w:r w:rsidRPr="00F952E1">
              <w:rPr>
                <w:sz w:val="20"/>
              </w:rPr>
              <w:t>Hjerte</w:t>
            </w:r>
          </w:p>
        </w:tc>
        <w:tc>
          <w:tcPr>
            <w:tcW w:w="851" w:type="pct"/>
            <w:tcBorders>
              <w:top w:val="single" w:sz="4" w:space="0" w:color="auto"/>
              <w:left w:val="single" w:sz="4" w:space="0" w:color="auto"/>
              <w:bottom w:val="single" w:sz="4" w:space="0" w:color="auto"/>
              <w:right w:val="single" w:sz="4" w:space="0" w:color="auto"/>
            </w:tcBorders>
          </w:tcPr>
          <w:p w14:paraId="228D1BDD" w14:textId="77777777" w:rsidR="00B42B16" w:rsidRPr="00F952E1" w:rsidRDefault="00B42B16">
            <w:pPr>
              <w:rPr>
                <w:sz w:val="20"/>
              </w:rPr>
            </w:pPr>
          </w:p>
        </w:tc>
        <w:tc>
          <w:tcPr>
            <w:tcW w:w="759" w:type="pct"/>
            <w:tcBorders>
              <w:top w:val="single" w:sz="4" w:space="0" w:color="auto"/>
              <w:left w:val="single" w:sz="4" w:space="0" w:color="auto"/>
              <w:bottom w:val="single" w:sz="4" w:space="0" w:color="auto"/>
              <w:right w:val="single" w:sz="4" w:space="0" w:color="auto"/>
            </w:tcBorders>
            <w:hideMark/>
          </w:tcPr>
          <w:p w14:paraId="1A72A928" w14:textId="77777777" w:rsidR="00B42B16" w:rsidRPr="00F952E1" w:rsidRDefault="00B42B16">
            <w:pPr>
              <w:tabs>
                <w:tab w:val="left" w:pos="1304"/>
              </w:tabs>
              <w:autoSpaceDE w:val="0"/>
              <w:autoSpaceDN w:val="0"/>
              <w:adjustRightInd w:val="0"/>
              <w:rPr>
                <w:sz w:val="20"/>
              </w:rPr>
            </w:pPr>
            <w:proofErr w:type="spellStart"/>
            <w:r w:rsidRPr="00F952E1">
              <w:rPr>
                <w:sz w:val="20"/>
              </w:rPr>
              <w:t>Takykardi</w:t>
            </w:r>
            <w:proofErr w:type="spellEnd"/>
            <w:r w:rsidRPr="00F952E1">
              <w:rPr>
                <w:sz w:val="20"/>
              </w:rPr>
              <w:t xml:space="preserve"> (</w:t>
            </w:r>
            <w:proofErr w:type="spellStart"/>
            <w:r w:rsidRPr="00F952E1">
              <w:rPr>
                <w:sz w:val="20"/>
              </w:rPr>
              <w:t>arytmier</w:t>
            </w:r>
            <w:proofErr w:type="spellEnd"/>
            <w:r w:rsidRPr="00F952E1">
              <w:rPr>
                <w:sz w:val="20"/>
              </w:rPr>
              <w:t xml:space="preserve">, forbigående </w:t>
            </w:r>
            <w:proofErr w:type="spellStart"/>
            <w:r w:rsidRPr="00F952E1">
              <w:rPr>
                <w:sz w:val="20"/>
              </w:rPr>
              <w:t>eksacerbation</w:t>
            </w:r>
            <w:proofErr w:type="spellEnd"/>
            <w:r w:rsidRPr="00F952E1">
              <w:rPr>
                <w:sz w:val="20"/>
              </w:rPr>
              <w:t xml:space="preserve"> af bradykardi)</w:t>
            </w:r>
          </w:p>
        </w:tc>
        <w:tc>
          <w:tcPr>
            <w:tcW w:w="592" w:type="pct"/>
            <w:tcBorders>
              <w:top w:val="single" w:sz="4" w:space="0" w:color="auto"/>
              <w:left w:val="single" w:sz="4" w:space="0" w:color="auto"/>
              <w:bottom w:val="single" w:sz="4" w:space="0" w:color="auto"/>
              <w:right w:val="single" w:sz="4" w:space="0" w:color="auto"/>
            </w:tcBorders>
          </w:tcPr>
          <w:p w14:paraId="3BD01C07"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39D010BC"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hideMark/>
          </w:tcPr>
          <w:p w14:paraId="7E1ECE1D" w14:textId="77777777" w:rsidR="00B42B16" w:rsidRPr="00F952E1" w:rsidRDefault="00B42B16">
            <w:pPr>
              <w:tabs>
                <w:tab w:val="left" w:pos="1304"/>
              </w:tabs>
              <w:autoSpaceDE w:val="0"/>
              <w:autoSpaceDN w:val="0"/>
              <w:adjustRightInd w:val="0"/>
              <w:rPr>
                <w:sz w:val="20"/>
              </w:rPr>
            </w:pPr>
            <w:proofErr w:type="spellStart"/>
            <w:r w:rsidRPr="00F952E1">
              <w:rPr>
                <w:sz w:val="20"/>
              </w:rPr>
              <w:t>Atriearytmier</w:t>
            </w:r>
            <w:proofErr w:type="spellEnd"/>
            <w:r w:rsidRPr="00F952E1">
              <w:rPr>
                <w:sz w:val="20"/>
              </w:rPr>
              <w:t xml:space="preserve">, ventrikel-flimren, angina, </w:t>
            </w:r>
            <w:proofErr w:type="spellStart"/>
            <w:r w:rsidRPr="00F952E1">
              <w:rPr>
                <w:sz w:val="20"/>
              </w:rPr>
              <w:t>hypertensiv</w:t>
            </w:r>
            <w:proofErr w:type="spellEnd"/>
            <w:r w:rsidRPr="00F952E1">
              <w:rPr>
                <w:sz w:val="20"/>
              </w:rPr>
              <w:t xml:space="preserve"> krise</w:t>
            </w:r>
          </w:p>
        </w:tc>
        <w:tc>
          <w:tcPr>
            <w:tcW w:w="790" w:type="pct"/>
            <w:tcBorders>
              <w:top w:val="single" w:sz="4" w:space="0" w:color="auto"/>
              <w:left w:val="single" w:sz="4" w:space="0" w:color="auto"/>
              <w:bottom w:val="single" w:sz="4" w:space="0" w:color="auto"/>
              <w:right w:val="single" w:sz="4" w:space="0" w:color="auto"/>
            </w:tcBorders>
          </w:tcPr>
          <w:p w14:paraId="7ED63C39" w14:textId="77777777" w:rsidR="00B42B16" w:rsidRPr="00F952E1" w:rsidRDefault="00B42B16">
            <w:pPr>
              <w:rPr>
                <w:sz w:val="20"/>
              </w:rPr>
            </w:pPr>
          </w:p>
        </w:tc>
      </w:tr>
      <w:tr w:rsidR="00F952E1" w:rsidRPr="00F952E1" w14:paraId="025F776A"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26091C89" w14:textId="77777777" w:rsidR="00B42B16" w:rsidRPr="00F952E1" w:rsidRDefault="00B42B16">
            <w:pPr>
              <w:tabs>
                <w:tab w:val="left" w:pos="1304"/>
              </w:tabs>
              <w:autoSpaceDE w:val="0"/>
              <w:autoSpaceDN w:val="0"/>
              <w:adjustRightInd w:val="0"/>
              <w:rPr>
                <w:rFonts w:eastAsia="ArialMT"/>
                <w:sz w:val="20"/>
              </w:rPr>
            </w:pPr>
            <w:proofErr w:type="spellStart"/>
            <w:r w:rsidRPr="00F952E1">
              <w:rPr>
                <w:sz w:val="20"/>
              </w:rPr>
              <w:t>Vaskulære</w:t>
            </w:r>
            <w:proofErr w:type="spellEnd"/>
            <w:r w:rsidRPr="00F952E1">
              <w:rPr>
                <w:sz w:val="20"/>
              </w:rPr>
              <w:t xml:space="preserve"> sygdomme</w:t>
            </w:r>
          </w:p>
        </w:tc>
        <w:tc>
          <w:tcPr>
            <w:tcW w:w="851" w:type="pct"/>
            <w:tcBorders>
              <w:top w:val="single" w:sz="4" w:space="0" w:color="auto"/>
              <w:left w:val="single" w:sz="4" w:space="0" w:color="auto"/>
              <w:bottom w:val="single" w:sz="4" w:space="0" w:color="auto"/>
              <w:right w:val="single" w:sz="4" w:space="0" w:color="auto"/>
            </w:tcBorders>
          </w:tcPr>
          <w:p w14:paraId="46987BA0" w14:textId="77777777" w:rsidR="00B42B16" w:rsidRPr="00F952E1" w:rsidRDefault="00B42B16">
            <w:pPr>
              <w:rPr>
                <w:sz w:val="20"/>
              </w:rPr>
            </w:pPr>
          </w:p>
        </w:tc>
        <w:tc>
          <w:tcPr>
            <w:tcW w:w="759" w:type="pct"/>
            <w:tcBorders>
              <w:top w:val="single" w:sz="4" w:space="0" w:color="auto"/>
              <w:left w:val="single" w:sz="4" w:space="0" w:color="auto"/>
              <w:bottom w:val="single" w:sz="4" w:space="0" w:color="auto"/>
              <w:right w:val="single" w:sz="4" w:space="0" w:color="auto"/>
            </w:tcBorders>
            <w:hideMark/>
          </w:tcPr>
          <w:p w14:paraId="62CB8A61" w14:textId="77777777" w:rsidR="00B42B16" w:rsidRPr="00F952E1" w:rsidRDefault="00B42B16">
            <w:pPr>
              <w:rPr>
                <w:sz w:val="20"/>
              </w:rPr>
            </w:pPr>
            <w:r w:rsidRPr="00F952E1">
              <w:rPr>
                <w:sz w:val="20"/>
              </w:rPr>
              <w:t>Rødmen</w:t>
            </w:r>
          </w:p>
        </w:tc>
        <w:tc>
          <w:tcPr>
            <w:tcW w:w="592" w:type="pct"/>
            <w:tcBorders>
              <w:top w:val="single" w:sz="4" w:space="0" w:color="auto"/>
              <w:left w:val="single" w:sz="4" w:space="0" w:color="auto"/>
              <w:bottom w:val="single" w:sz="4" w:space="0" w:color="auto"/>
              <w:right w:val="single" w:sz="4" w:space="0" w:color="auto"/>
            </w:tcBorders>
          </w:tcPr>
          <w:p w14:paraId="3588A29A"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55D2AEFB"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0E8FC680"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3CBEE4E2" w14:textId="77777777" w:rsidR="00B42B16" w:rsidRPr="00F952E1" w:rsidRDefault="00B42B16">
            <w:pPr>
              <w:rPr>
                <w:sz w:val="20"/>
              </w:rPr>
            </w:pPr>
          </w:p>
        </w:tc>
      </w:tr>
      <w:tr w:rsidR="00F952E1" w:rsidRPr="00F952E1" w14:paraId="0D78D08F"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2374D1A9" w14:textId="77777777" w:rsidR="00B42B16" w:rsidRPr="00F952E1" w:rsidRDefault="00B42B16">
            <w:pPr>
              <w:tabs>
                <w:tab w:val="left" w:pos="1304"/>
              </w:tabs>
              <w:autoSpaceDE w:val="0"/>
              <w:autoSpaceDN w:val="0"/>
              <w:adjustRightInd w:val="0"/>
              <w:rPr>
                <w:sz w:val="20"/>
              </w:rPr>
            </w:pPr>
            <w:r w:rsidRPr="00F952E1">
              <w:rPr>
                <w:sz w:val="20"/>
              </w:rPr>
              <w:t xml:space="preserve">Luftveje, thorax og </w:t>
            </w:r>
            <w:proofErr w:type="spellStart"/>
            <w:r w:rsidRPr="00F952E1">
              <w:rPr>
                <w:sz w:val="20"/>
              </w:rPr>
              <w:t>mediastinum</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539C040E" w14:textId="77777777" w:rsidR="00B42B16" w:rsidRPr="00F952E1" w:rsidRDefault="00B42B16">
            <w:pPr>
              <w:tabs>
                <w:tab w:val="left" w:pos="1304"/>
              </w:tabs>
              <w:autoSpaceDE w:val="0"/>
              <w:autoSpaceDN w:val="0"/>
              <w:adjustRightInd w:val="0"/>
              <w:rPr>
                <w:sz w:val="20"/>
              </w:rPr>
            </w:pPr>
            <w:r w:rsidRPr="00F952E1">
              <w:rPr>
                <w:sz w:val="20"/>
              </w:rPr>
              <w:t>Nedsat bronkiesekretion</w:t>
            </w:r>
          </w:p>
        </w:tc>
        <w:tc>
          <w:tcPr>
            <w:tcW w:w="759" w:type="pct"/>
            <w:tcBorders>
              <w:top w:val="single" w:sz="4" w:space="0" w:color="auto"/>
              <w:left w:val="single" w:sz="4" w:space="0" w:color="auto"/>
              <w:bottom w:val="single" w:sz="4" w:space="0" w:color="auto"/>
              <w:right w:val="single" w:sz="4" w:space="0" w:color="auto"/>
            </w:tcBorders>
          </w:tcPr>
          <w:p w14:paraId="23547EC1" w14:textId="77777777" w:rsidR="00B42B16" w:rsidRPr="00F952E1" w:rsidRDefault="00B42B16">
            <w:pPr>
              <w:rPr>
                <w:sz w:val="20"/>
              </w:rPr>
            </w:pPr>
          </w:p>
        </w:tc>
        <w:tc>
          <w:tcPr>
            <w:tcW w:w="592" w:type="pct"/>
            <w:tcBorders>
              <w:top w:val="single" w:sz="4" w:space="0" w:color="auto"/>
              <w:left w:val="single" w:sz="4" w:space="0" w:color="auto"/>
              <w:bottom w:val="single" w:sz="4" w:space="0" w:color="auto"/>
              <w:right w:val="single" w:sz="4" w:space="0" w:color="auto"/>
            </w:tcBorders>
          </w:tcPr>
          <w:p w14:paraId="7B8F7AA4"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4A60DF30"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015F06CA"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35941866" w14:textId="77777777" w:rsidR="00B42B16" w:rsidRPr="00F952E1" w:rsidRDefault="00B42B16">
            <w:pPr>
              <w:rPr>
                <w:sz w:val="20"/>
              </w:rPr>
            </w:pPr>
          </w:p>
        </w:tc>
      </w:tr>
      <w:tr w:rsidR="00F952E1" w:rsidRPr="00F952E1" w14:paraId="51D5AA99"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6EE5B22C" w14:textId="77777777" w:rsidR="00B42B16" w:rsidRPr="00F952E1" w:rsidRDefault="00B42B16">
            <w:pPr>
              <w:tabs>
                <w:tab w:val="left" w:pos="1304"/>
              </w:tabs>
              <w:autoSpaceDE w:val="0"/>
              <w:autoSpaceDN w:val="0"/>
              <w:adjustRightInd w:val="0"/>
              <w:rPr>
                <w:rFonts w:eastAsia="ArialMT"/>
                <w:sz w:val="20"/>
              </w:rPr>
            </w:pPr>
            <w:r w:rsidRPr="00F952E1">
              <w:rPr>
                <w:sz w:val="20"/>
              </w:rPr>
              <w:t>Mave-tarm-kanalen</w:t>
            </w:r>
          </w:p>
        </w:tc>
        <w:tc>
          <w:tcPr>
            <w:tcW w:w="851" w:type="pct"/>
            <w:tcBorders>
              <w:top w:val="single" w:sz="4" w:space="0" w:color="auto"/>
              <w:left w:val="single" w:sz="4" w:space="0" w:color="auto"/>
              <w:bottom w:val="single" w:sz="4" w:space="0" w:color="auto"/>
              <w:right w:val="single" w:sz="4" w:space="0" w:color="auto"/>
            </w:tcBorders>
            <w:hideMark/>
          </w:tcPr>
          <w:p w14:paraId="7CF132F9" w14:textId="77777777" w:rsidR="00B42B16" w:rsidRPr="00F952E1" w:rsidRDefault="00B42B16">
            <w:pPr>
              <w:tabs>
                <w:tab w:val="left" w:pos="1304"/>
              </w:tabs>
              <w:autoSpaceDE w:val="0"/>
              <w:autoSpaceDN w:val="0"/>
              <w:adjustRightInd w:val="0"/>
              <w:rPr>
                <w:rFonts w:eastAsia="ArialMT"/>
                <w:sz w:val="20"/>
              </w:rPr>
            </w:pPr>
            <w:r w:rsidRPr="00F952E1">
              <w:rPr>
                <w:sz w:val="20"/>
              </w:rPr>
              <w:t xml:space="preserve">Tørhed i munden (besvær med at synke og tale, tørst), parasympatisk hæmning af mave-tarm-kanalen (forstoppelse og </w:t>
            </w:r>
            <w:proofErr w:type="spellStart"/>
            <w:r w:rsidRPr="00F952E1">
              <w:rPr>
                <w:sz w:val="20"/>
              </w:rPr>
              <w:t>refluks</w:t>
            </w:r>
            <w:proofErr w:type="spellEnd"/>
            <w:r w:rsidRPr="00F952E1">
              <w:rPr>
                <w:sz w:val="20"/>
              </w:rPr>
              <w:t>), hæmning af gastrisk sekretion, tab af smagssans, kvalme, opkastning, følelse af oppustethed</w:t>
            </w:r>
          </w:p>
        </w:tc>
        <w:tc>
          <w:tcPr>
            <w:tcW w:w="759" w:type="pct"/>
            <w:tcBorders>
              <w:top w:val="single" w:sz="4" w:space="0" w:color="auto"/>
              <w:left w:val="single" w:sz="4" w:space="0" w:color="auto"/>
              <w:bottom w:val="single" w:sz="4" w:space="0" w:color="auto"/>
              <w:right w:val="single" w:sz="4" w:space="0" w:color="auto"/>
            </w:tcBorders>
          </w:tcPr>
          <w:p w14:paraId="4C3D775D" w14:textId="77777777" w:rsidR="00B42B16" w:rsidRPr="00F952E1" w:rsidRDefault="00B42B16">
            <w:pPr>
              <w:rPr>
                <w:sz w:val="20"/>
              </w:rPr>
            </w:pPr>
          </w:p>
        </w:tc>
        <w:tc>
          <w:tcPr>
            <w:tcW w:w="592" w:type="pct"/>
            <w:tcBorders>
              <w:top w:val="single" w:sz="4" w:space="0" w:color="auto"/>
              <w:left w:val="single" w:sz="4" w:space="0" w:color="auto"/>
              <w:bottom w:val="single" w:sz="4" w:space="0" w:color="auto"/>
              <w:right w:val="single" w:sz="4" w:space="0" w:color="auto"/>
            </w:tcBorders>
          </w:tcPr>
          <w:p w14:paraId="6D18FCD4"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72A84D3E"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3DA84A05"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7C2C7D73" w14:textId="77777777" w:rsidR="00B42B16" w:rsidRPr="00F952E1" w:rsidRDefault="00B42B16">
            <w:pPr>
              <w:rPr>
                <w:sz w:val="20"/>
              </w:rPr>
            </w:pPr>
          </w:p>
        </w:tc>
      </w:tr>
      <w:tr w:rsidR="00F952E1" w:rsidRPr="00F952E1" w14:paraId="25A77343"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0CFE994F" w14:textId="77777777" w:rsidR="00B42B16" w:rsidRPr="00F952E1" w:rsidRDefault="00B42B16">
            <w:pPr>
              <w:tabs>
                <w:tab w:val="left" w:pos="1304"/>
              </w:tabs>
              <w:autoSpaceDE w:val="0"/>
              <w:autoSpaceDN w:val="0"/>
              <w:adjustRightInd w:val="0"/>
              <w:rPr>
                <w:rFonts w:eastAsia="ArialMT"/>
                <w:sz w:val="20"/>
              </w:rPr>
            </w:pPr>
            <w:r w:rsidRPr="00F952E1">
              <w:rPr>
                <w:sz w:val="20"/>
              </w:rPr>
              <w:t>Hud og subkutane væv</w:t>
            </w:r>
          </w:p>
        </w:tc>
        <w:tc>
          <w:tcPr>
            <w:tcW w:w="851" w:type="pct"/>
            <w:tcBorders>
              <w:top w:val="single" w:sz="4" w:space="0" w:color="auto"/>
              <w:left w:val="single" w:sz="4" w:space="0" w:color="auto"/>
              <w:bottom w:val="single" w:sz="4" w:space="0" w:color="auto"/>
              <w:right w:val="single" w:sz="4" w:space="0" w:color="auto"/>
            </w:tcBorders>
            <w:hideMark/>
          </w:tcPr>
          <w:p w14:paraId="1E4C2A7E" w14:textId="77777777" w:rsidR="00B42B16" w:rsidRPr="00F952E1" w:rsidRDefault="00B42B16">
            <w:pPr>
              <w:tabs>
                <w:tab w:val="left" w:pos="1304"/>
              </w:tabs>
              <w:autoSpaceDE w:val="0"/>
              <w:autoSpaceDN w:val="0"/>
              <w:adjustRightInd w:val="0"/>
              <w:rPr>
                <w:rFonts w:eastAsia="ArialMT"/>
                <w:sz w:val="20"/>
              </w:rPr>
            </w:pPr>
            <w:proofErr w:type="spellStart"/>
            <w:r w:rsidRPr="00F952E1">
              <w:rPr>
                <w:sz w:val="20"/>
              </w:rPr>
              <w:t>Anhidrose</w:t>
            </w:r>
            <w:proofErr w:type="spellEnd"/>
            <w:r w:rsidRPr="00F952E1">
              <w:rPr>
                <w:sz w:val="20"/>
              </w:rPr>
              <w:t>, nældefeber, udslæt</w:t>
            </w:r>
          </w:p>
        </w:tc>
        <w:tc>
          <w:tcPr>
            <w:tcW w:w="759" w:type="pct"/>
            <w:tcBorders>
              <w:top w:val="single" w:sz="4" w:space="0" w:color="auto"/>
              <w:left w:val="single" w:sz="4" w:space="0" w:color="auto"/>
              <w:bottom w:val="single" w:sz="4" w:space="0" w:color="auto"/>
              <w:right w:val="single" w:sz="4" w:space="0" w:color="auto"/>
            </w:tcBorders>
          </w:tcPr>
          <w:p w14:paraId="6B06DF7D" w14:textId="77777777" w:rsidR="00B42B16" w:rsidRPr="00F952E1" w:rsidRDefault="00B42B16">
            <w:pPr>
              <w:rPr>
                <w:sz w:val="20"/>
              </w:rPr>
            </w:pPr>
          </w:p>
        </w:tc>
        <w:tc>
          <w:tcPr>
            <w:tcW w:w="592" w:type="pct"/>
            <w:tcBorders>
              <w:top w:val="single" w:sz="4" w:space="0" w:color="auto"/>
              <w:left w:val="single" w:sz="4" w:space="0" w:color="auto"/>
              <w:bottom w:val="single" w:sz="4" w:space="0" w:color="auto"/>
              <w:right w:val="single" w:sz="4" w:space="0" w:color="auto"/>
            </w:tcBorders>
          </w:tcPr>
          <w:p w14:paraId="01B8B5B3"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261F4E19"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1A03E629"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22A16B8B" w14:textId="77777777" w:rsidR="00B42B16" w:rsidRPr="00F952E1" w:rsidRDefault="00B42B16">
            <w:pPr>
              <w:rPr>
                <w:sz w:val="20"/>
              </w:rPr>
            </w:pPr>
          </w:p>
        </w:tc>
      </w:tr>
      <w:tr w:rsidR="00F952E1" w:rsidRPr="00F952E1" w14:paraId="28B9D24D" w14:textId="77777777" w:rsidTr="00AF0D56">
        <w:trPr>
          <w:trHeight w:val="144"/>
        </w:trPr>
        <w:tc>
          <w:tcPr>
            <w:tcW w:w="740" w:type="pct"/>
            <w:tcBorders>
              <w:top w:val="single" w:sz="4" w:space="0" w:color="auto"/>
              <w:left w:val="single" w:sz="4" w:space="0" w:color="auto"/>
              <w:bottom w:val="single" w:sz="4" w:space="0" w:color="auto"/>
              <w:right w:val="single" w:sz="4" w:space="0" w:color="auto"/>
            </w:tcBorders>
            <w:hideMark/>
          </w:tcPr>
          <w:p w14:paraId="23FD9AEC" w14:textId="77777777" w:rsidR="00B42B16" w:rsidRPr="00F952E1" w:rsidRDefault="00B42B16">
            <w:pPr>
              <w:tabs>
                <w:tab w:val="left" w:pos="1304"/>
              </w:tabs>
              <w:autoSpaceDE w:val="0"/>
              <w:autoSpaceDN w:val="0"/>
              <w:adjustRightInd w:val="0"/>
              <w:rPr>
                <w:rFonts w:eastAsia="ArialMT"/>
                <w:sz w:val="20"/>
              </w:rPr>
            </w:pPr>
            <w:r w:rsidRPr="00F952E1">
              <w:rPr>
                <w:sz w:val="20"/>
              </w:rPr>
              <w:t>Nyrer og urinveje</w:t>
            </w:r>
          </w:p>
        </w:tc>
        <w:tc>
          <w:tcPr>
            <w:tcW w:w="851" w:type="pct"/>
            <w:tcBorders>
              <w:top w:val="single" w:sz="4" w:space="0" w:color="auto"/>
              <w:left w:val="single" w:sz="4" w:space="0" w:color="auto"/>
              <w:bottom w:val="single" w:sz="4" w:space="0" w:color="auto"/>
              <w:right w:val="single" w:sz="4" w:space="0" w:color="auto"/>
            </w:tcBorders>
          </w:tcPr>
          <w:p w14:paraId="532D1172" w14:textId="77777777" w:rsidR="00B42B16" w:rsidRPr="00F952E1" w:rsidRDefault="00B42B16">
            <w:pPr>
              <w:tabs>
                <w:tab w:val="left" w:pos="1304"/>
              </w:tabs>
              <w:autoSpaceDE w:val="0"/>
              <w:autoSpaceDN w:val="0"/>
              <w:adjustRightInd w:val="0"/>
              <w:rPr>
                <w:rFonts w:eastAsia="ArialMT"/>
                <w:sz w:val="20"/>
                <w:lang w:val="en-IN" w:eastAsia="en-IN"/>
              </w:rPr>
            </w:pPr>
          </w:p>
        </w:tc>
        <w:tc>
          <w:tcPr>
            <w:tcW w:w="759" w:type="pct"/>
            <w:tcBorders>
              <w:top w:val="single" w:sz="4" w:space="0" w:color="auto"/>
              <w:left w:val="single" w:sz="4" w:space="0" w:color="auto"/>
              <w:bottom w:val="single" w:sz="4" w:space="0" w:color="auto"/>
              <w:right w:val="single" w:sz="4" w:space="0" w:color="auto"/>
            </w:tcBorders>
            <w:hideMark/>
          </w:tcPr>
          <w:p w14:paraId="030327B9" w14:textId="77777777" w:rsidR="00B42B16" w:rsidRPr="00F952E1" w:rsidRDefault="00B42B16">
            <w:pPr>
              <w:tabs>
                <w:tab w:val="left" w:pos="1304"/>
              </w:tabs>
              <w:autoSpaceDE w:val="0"/>
              <w:autoSpaceDN w:val="0"/>
              <w:adjustRightInd w:val="0"/>
              <w:rPr>
                <w:sz w:val="20"/>
              </w:rPr>
            </w:pPr>
            <w:r w:rsidRPr="00F952E1">
              <w:rPr>
                <w:sz w:val="20"/>
              </w:rPr>
              <w:t>Hæmning af den parasympatiske kontrol af urinblæren, urinretention</w:t>
            </w:r>
          </w:p>
        </w:tc>
        <w:tc>
          <w:tcPr>
            <w:tcW w:w="592" w:type="pct"/>
            <w:tcBorders>
              <w:top w:val="single" w:sz="4" w:space="0" w:color="auto"/>
              <w:left w:val="single" w:sz="4" w:space="0" w:color="auto"/>
              <w:bottom w:val="single" w:sz="4" w:space="0" w:color="auto"/>
              <w:right w:val="single" w:sz="4" w:space="0" w:color="auto"/>
            </w:tcBorders>
          </w:tcPr>
          <w:p w14:paraId="2B178780" w14:textId="77777777" w:rsidR="00B42B16" w:rsidRPr="00F952E1" w:rsidRDefault="00B42B16">
            <w:pPr>
              <w:rPr>
                <w:sz w:val="20"/>
              </w:rPr>
            </w:pPr>
          </w:p>
        </w:tc>
        <w:tc>
          <w:tcPr>
            <w:tcW w:w="610" w:type="pct"/>
            <w:tcBorders>
              <w:top w:val="single" w:sz="4" w:space="0" w:color="auto"/>
              <w:left w:val="single" w:sz="4" w:space="0" w:color="auto"/>
              <w:bottom w:val="single" w:sz="4" w:space="0" w:color="auto"/>
              <w:right w:val="single" w:sz="4" w:space="0" w:color="auto"/>
            </w:tcBorders>
          </w:tcPr>
          <w:p w14:paraId="40B6022F" w14:textId="77777777" w:rsidR="00B42B16" w:rsidRPr="00F952E1" w:rsidRDefault="00B42B16">
            <w:pPr>
              <w:rPr>
                <w:sz w:val="20"/>
              </w:rPr>
            </w:pPr>
          </w:p>
        </w:tc>
        <w:tc>
          <w:tcPr>
            <w:tcW w:w="659" w:type="pct"/>
            <w:tcBorders>
              <w:top w:val="single" w:sz="4" w:space="0" w:color="auto"/>
              <w:left w:val="single" w:sz="4" w:space="0" w:color="auto"/>
              <w:bottom w:val="single" w:sz="4" w:space="0" w:color="auto"/>
              <w:right w:val="single" w:sz="4" w:space="0" w:color="auto"/>
            </w:tcBorders>
          </w:tcPr>
          <w:p w14:paraId="217E96E6" w14:textId="77777777" w:rsidR="00B42B16" w:rsidRPr="00F952E1" w:rsidRDefault="00B42B16">
            <w:pPr>
              <w:rPr>
                <w:sz w:val="20"/>
              </w:rPr>
            </w:pPr>
          </w:p>
        </w:tc>
        <w:tc>
          <w:tcPr>
            <w:tcW w:w="790" w:type="pct"/>
            <w:tcBorders>
              <w:top w:val="single" w:sz="4" w:space="0" w:color="auto"/>
              <w:left w:val="single" w:sz="4" w:space="0" w:color="auto"/>
              <w:bottom w:val="single" w:sz="4" w:space="0" w:color="auto"/>
              <w:right w:val="single" w:sz="4" w:space="0" w:color="auto"/>
            </w:tcBorders>
          </w:tcPr>
          <w:p w14:paraId="106FB685" w14:textId="77777777" w:rsidR="00B42B16" w:rsidRPr="00F952E1" w:rsidRDefault="00B42B16">
            <w:pPr>
              <w:rPr>
                <w:sz w:val="20"/>
              </w:rPr>
            </w:pPr>
          </w:p>
        </w:tc>
      </w:tr>
    </w:tbl>
    <w:p w14:paraId="7BC5A079" w14:textId="77777777" w:rsidR="00B42B16" w:rsidRPr="00F952E1" w:rsidRDefault="00B42B16" w:rsidP="00B42B16">
      <w:pPr>
        <w:autoSpaceDE w:val="0"/>
        <w:autoSpaceDN w:val="0"/>
        <w:adjustRightInd w:val="0"/>
        <w:rPr>
          <w:sz w:val="24"/>
          <w:szCs w:val="24"/>
        </w:rPr>
      </w:pPr>
    </w:p>
    <w:p w14:paraId="67AA2D41" w14:textId="77777777" w:rsidR="00B42B16" w:rsidRPr="00F952E1" w:rsidRDefault="00B42B16" w:rsidP="00AF0D56">
      <w:pPr>
        <w:autoSpaceDE w:val="0"/>
        <w:autoSpaceDN w:val="0"/>
        <w:adjustRightInd w:val="0"/>
        <w:ind w:left="851"/>
        <w:rPr>
          <w:i/>
          <w:sz w:val="24"/>
          <w:szCs w:val="24"/>
        </w:rPr>
      </w:pPr>
      <w:r w:rsidRPr="00F952E1">
        <w:rPr>
          <w:i/>
          <w:sz w:val="24"/>
          <w:szCs w:val="24"/>
        </w:rPr>
        <w:t>Pædiatrisk population</w:t>
      </w:r>
    </w:p>
    <w:p w14:paraId="0696F4A7" w14:textId="77777777" w:rsidR="00B42B16" w:rsidRPr="00F952E1" w:rsidRDefault="00B42B16" w:rsidP="00AF0D56">
      <w:pPr>
        <w:autoSpaceDE w:val="0"/>
        <w:autoSpaceDN w:val="0"/>
        <w:adjustRightInd w:val="0"/>
        <w:ind w:left="851"/>
        <w:rPr>
          <w:sz w:val="24"/>
          <w:szCs w:val="24"/>
        </w:rPr>
      </w:pPr>
      <w:r w:rsidRPr="00F952E1">
        <w:rPr>
          <w:sz w:val="24"/>
          <w:szCs w:val="24"/>
        </w:rPr>
        <w:t xml:space="preserve">Spædbørn, børn og børn med spastisk lammelse eller hjerneskade kan være mere disponerede for </w:t>
      </w:r>
      <w:proofErr w:type="spellStart"/>
      <w:r w:rsidRPr="00F952E1">
        <w:rPr>
          <w:sz w:val="24"/>
          <w:szCs w:val="24"/>
        </w:rPr>
        <w:t>antimuskarine</w:t>
      </w:r>
      <w:proofErr w:type="spellEnd"/>
      <w:r w:rsidRPr="00F952E1">
        <w:rPr>
          <w:sz w:val="24"/>
          <w:szCs w:val="24"/>
        </w:rPr>
        <w:t xml:space="preserve"> effekter.</w:t>
      </w:r>
    </w:p>
    <w:p w14:paraId="68345C91" w14:textId="77777777" w:rsidR="00B42B16" w:rsidRPr="00F952E1" w:rsidRDefault="00B42B16" w:rsidP="00AF0D56">
      <w:pPr>
        <w:autoSpaceDE w:val="0"/>
        <w:autoSpaceDN w:val="0"/>
        <w:adjustRightInd w:val="0"/>
        <w:ind w:left="851"/>
        <w:rPr>
          <w:sz w:val="24"/>
          <w:szCs w:val="24"/>
        </w:rPr>
      </w:pPr>
    </w:p>
    <w:p w14:paraId="3BD025D4" w14:textId="77777777" w:rsidR="00B42B16" w:rsidRPr="00F952E1" w:rsidRDefault="00B42B16" w:rsidP="00AF0D56">
      <w:pPr>
        <w:autoSpaceDE w:val="0"/>
        <w:autoSpaceDN w:val="0"/>
        <w:adjustRightInd w:val="0"/>
        <w:ind w:left="851"/>
        <w:rPr>
          <w:i/>
          <w:sz w:val="24"/>
          <w:szCs w:val="24"/>
        </w:rPr>
      </w:pPr>
      <w:r w:rsidRPr="00F952E1">
        <w:rPr>
          <w:i/>
          <w:sz w:val="24"/>
          <w:szCs w:val="24"/>
        </w:rPr>
        <w:t>Særlige populationer</w:t>
      </w:r>
    </w:p>
    <w:p w14:paraId="3B481939" w14:textId="77777777" w:rsidR="00B42B16" w:rsidRPr="00F952E1" w:rsidRDefault="00B42B16" w:rsidP="00AF0D56">
      <w:pPr>
        <w:autoSpaceDE w:val="0"/>
        <w:autoSpaceDN w:val="0"/>
        <w:adjustRightInd w:val="0"/>
        <w:ind w:left="851"/>
        <w:rPr>
          <w:sz w:val="24"/>
          <w:szCs w:val="24"/>
        </w:rPr>
      </w:pPr>
      <w:r w:rsidRPr="00F952E1">
        <w:rPr>
          <w:sz w:val="24"/>
          <w:szCs w:val="24"/>
        </w:rPr>
        <w:t xml:space="preserve">Atropin kan give ophidselse, koordinationssvigt, konfusion og/eller hallucinationer, især hos ældre. I en epidemiologisk undersøgelse blev der ligeledes rapporteret om nedsat kognitiv funktion hos ældre patienter, der havde fået </w:t>
      </w:r>
      <w:proofErr w:type="spellStart"/>
      <w:r w:rsidRPr="00F952E1">
        <w:rPr>
          <w:sz w:val="24"/>
          <w:szCs w:val="24"/>
        </w:rPr>
        <w:t>antimuskarine</w:t>
      </w:r>
      <w:proofErr w:type="spellEnd"/>
      <w:r w:rsidRPr="00F952E1">
        <w:rPr>
          <w:sz w:val="24"/>
          <w:szCs w:val="24"/>
        </w:rPr>
        <w:t xml:space="preserve"> midler. Patienter med Downs syndrom kan være mere følsomme over for </w:t>
      </w:r>
      <w:proofErr w:type="spellStart"/>
      <w:r w:rsidRPr="00F952E1">
        <w:rPr>
          <w:sz w:val="24"/>
          <w:szCs w:val="24"/>
        </w:rPr>
        <w:t>antimuskarine</w:t>
      </w:r>
      <w:proofErr w:type="spellEnd"/>
      <w:r w:rsidRPr="00F952E1">
        <w:rPr>
          <w:sz w:val="24"/>
          <w:szCs w:val="24"/>
        </w:rPr>
        <w:t xml:space="preserve"> virkninger.</w:t>
      </w:r>
    </w:p>
    <w:p w14:paraId="57FC6610" w14:textId="77777777" w:rsidR="00B42B16" w:rsidRPr="00F952E1" w:rsidRDefault="00B42B16" w:rsidP="00AF0D56">
      <w:pPr>
        <w:autoSpaceDE w:val="0"/>
        <w:autoSpaceDN w:val="0"/>
        <w:adjustRightInd w:val="0"/>
        <w:ind w:left="851"/>
        <w:rPr>
          <w:sz w:val="24"/>
          <w:szCs w:val="24"/>
        </w:rPr>
      </w:pPr>
    </w:p>
    <w:p w14:paraId="08E46329" w14:textId="77777777" w:rsidR="00B42B16" w:rsidRPr="00F952E1" w:rsidRDefault="00B42B16" w:rsidP="00AF0D56">
      <w:pPr>
        <w:autoSpaceDE w:val="0"/>
        <w:autoSpaceDN w:val="0"/>
        <w:adjustRightInd w:val="0"/>
        <w:ind w:left="851"/>
        <w:rPr>
          <w:sz w:val="24"/>
          <w:szCs w:val="24"/>
          <w:u w:val="single"/>
        </w:rPr>
      </w:pPr>
      <w:r w:rsidRPr="00F952E1">
        <w:rPr>
          <w:sz w:val="24"/>
          <w:szCs w:val="24"/>
          <w:u w:val="single"/>
        </w:rPr>
        <w:t>Indberetning af formodede bivirkninger</w:t>
      </w:r>
    </w:p>
    <w:p w14:paraId="3CBCCC39" w14:textId="77777777" w:rsidR="00B42B16" w:rsidRPr="00F952E1" w:rsidRDefault="00B42B16" w:rsidP="00AF0D56">
      <w:pPr>
        <w:autoSpaceDE w:val="0"/>
        <w:autoSpaceDN w:val="0"/>
        <w:adjustRightInd w:val="0"/>
        <w:ind w:left="851"/>
        <w:rPr>
          <w:sz w:val="24"/>
          <w:szCs w:val="24"/>
        </w:rPr>
      </w:pPr>
      <w:r w:rsidRPr="00F952E1">
        <w:rPr>
          <w:sz w:val="24"/>
          <w:szCs w:val="24"/>
        </w:rPr>
        <w:t>Når lægemidlet er godkendt, er indberetning af formodede bivirkninger vigtig. Det muliggør løbende overvågning af benefit/</w:t>
      </w:r>
      <w:proofErr w:type="spellStart"/>
      <w:r w:rsidRPr="00F952E1">
        <w:rPr>
          <w:sz w:val="24"/>
          <w:szCs w:val="24"/>
        </w:rPr>
        <w:t>risk</w:t>
      </w:r>
      <w:proofErr w:type="spellEnd"/>
      <w:r w:rsidRPr="00F952E1">
        <w:rPr>
          <w:sz w:val="24"/>
          <w:szCs w:val="24"/>
        </w:rPr>
        <w:t>-forholdet for lægemidlet. Sundhedspersoner anmodes om at indberette alle formodede bivirkninger via:</w:t>
      </w:r>
    </w:p>
    <w:p w14:paraId="31F3869E" w14:textId="77777777" w:rsidR="00B42B16" w:rsidRPr="00F952E1" w:rsidRDefault="00B42B16" w:rsidP="00AF0D56">
      <w:pPr>
        <w:autoSpaceDE w:val="0"/>
        <w:autoSpaceDN w:val="0"/>
        <w:adjustRightInd w:val="0"/>
        <w:ind w:left="851"/>
        <w:rPr>
          <w:sz w:val="24"/>
          <w:szCs w:val="24"/>
        </w:rPr>
      </w:pPr>
      <w:r w:rsidRPr="00F952E1">
        <w:rPr>
          <w:sz w:val="24"/>
          <w:szCs w:val="24"/>
        </w:rPr>
        <w:br/>
        <w:t>Lægemiddelstyrelsen</w:t>
      </w:r>
    </w:p>
    <w:p w14:paraId="6680220E" w14:textId="77777777" w:rsidR="00B42B16" w:rsidRPr="00F952E1" w:rsidRDefault="00B42B16" w:rsidP="00AF0D56">
      <w:pPr>
        <w:autoSpaceDE w:val="0"/>
        <w:autoSpaceDN w:val="0"/>
        <w:adjustRightInd w:val="0"/>
        <w:ind w:left="851"/>
        <w:rPr>
          <w:sz w:val="24"/>
          <w:szCs w:val="24"/>
        </w:rPr>
      </w:pPr>
      <w:r w:rsidRPr="00F952E1">
        <w:rPr>
          <w:sz w:val="24"/>
          <w:szCs w:val="24"/>
        </w:rPr>
        <w:t>Axel Heides Gade 1</w:t>
      </w:r>
    </w:p>
    <w:p w14:paraId="5CA757F0" w14:textId="77777777" w:rsidR="00B42B16" w:rsidRPr="00F952E1" w:rsidRDefault="00B42B16" w:rsidP="00AF0D56">
      <w:pPr>
        <w:autoSpaceDE w:val="0"/>
        <w:autoSpaceDN w:val="0"/>
        <w:adjustRightInd w:val="0"/>
        <w:ind w:left="851"/>
        <w:rPr>
          <w:sz w:val="24"/>
          <w:szCs w:val="24"/>
        </w:rPr>
      </w:pPr>
      <w:r w:rsidRPr="00F952E1">
        <w:rPr>
          <w:sz w:val="24"/>
          <w:szCs w:val="24"/>
        </w:rPr>
        <w:t>DK-2300 København S</w:t>
      </w:r>
    </w:p>
    <w:p w14:paraId="1AE57EC3" w14:textId="77777777" w:rsidR="00B42B16" w:rsidRPr="00F952E1" w:rsidRDefault="00B42B16" w:rsidP="00AF0D56">
      <w:pPr>
        <w:autoSpaceDE w:val="0"/>
        <w:autoSpaceDN w:val="0"/>
        <w:adjustRightInd w:val="0"/>
        <w:ind w:left="851"/>
        <w:rPr>
          <w:b/>
          <w:sz w:val="24"/>
          <w:szCs w:val="24"/>
        </w:rPr>
      </w:pPr>
      <w:r w:rsidRPr="00F952E1">
        <w:rPr>
          <w:sz w:val="24"/>
          <w:szCs w:val="24"/>
        </w:rPr>
        <w:t xml:space="preserve">Websted: </w:t>
      </w:r>
      <w:hyperlink r:id="rId8" w:history="1">
        <w:r w:rsidRPr="00F952E1">
          <w:rPr>
            <w:rStyle w:val="Hyperlink"/>
            <w:color w:val="auto"/>
            <w:sz w:val="24"/>
            <w:szCs w:val="24"/>
          </w:rPr>
          <w:t>www.meldenbivirkning.dk</w:t>
        </w:r>
      </w:hyperlink>
      <w:r w:rsidRPr="00F952E1">
        <w:rPr>
          <w:sz w:val="24"/>
          <w:szCs w:val="24"/>
        </w:rPr>
        <w:t xml:space="preserve"> </w:t>
      </w:r>
    </w:p>
    <w:p w14:paraId="4C51DBA9" w14:textId="77777777" w:rsidR="009260DE" w:rsidRPr="00AF0D56" w:rsidRDefault="009260DE" w:rsidP="009260DE">
      <w:pPr>
        <w:pStyle w:val="Sidehoved"/>
        <w:tabs>
          <w:tab w:val="left" w:pos="851"/>
        </w:tabs>
        <w:ind w:left="851"/>
        <w:rPr>
          <w:szCs w:val="24"/>
        </w:rPr>
      </w:pPr>
    </w:p>
    <w:p w14:paraId="7B64CEBD" w14:textId="77777777" w:rsidR="009260DE" w:rsidRPr="00AF0D56" w:rsidRDefault="009260DE" w:rsidP="009260DE">
      <w:pPr>
        <w:tabs>
          <w:tab w:val="left" w:pos="851"/>
        </w:tabs>
        <w:ind w:left="851" w:hanging="851"/>
        <w:rPr>
          <w:b/>
          <w:sz w:val="24"/>
          <w:szCs w:val="24"/>
        </w:rPr>
      </w:pPr>
      <w:r w:rsidRPr="00AF0D56">
        <w:rPr>
          <w:b/>
          <w:sz w:val="24"/>
          <w:szCs w:val="24"/>
        </w:rPr>
        <w:t>4.9</w:t>
      </w:r>
      <w:r w:rsidRPr="00AF0D56">
        <w:rPr>
          <w:b/>
          <w:sz w:val="24"/>
          <w:szCs w:val="24"/>
        </w:rPr>
        <w:tab/>
        <w:t>Overdosering</w:t>
      </w:r>
    </w:p>
    <w:p w14:paraId="4E2CCB63" w14:textId="77777777" w:rsidR="00F952E1" w:rsidRDefault="00F952E1" w:rsidP="00AF0D56">
      <w:pPr>
        <w:ind w:left="851"/>
        <w:rPr>
          <w:sz w:val="24"/>
          <w:szCs w:val="24"/>
          <w:u w:val="single"/>
        </w:rPr>
      </w:pPr>
    </w:p>
    <w:p w14:paraId="1CEFAD94" w14:textId="618BE067" w:rsidR="00B42B16" w:rsidRPr="00AF0D56" w:rsidRDefault="00B42B16" w:rsidP="00AF0D56">
      <w:pPr>
        <w:ind w:left="851"/>
        <w:rPr>
          <w:noProof/>
          <w:sz w:val="24"/>
          <w:szCs w:val="24"/>
          <w:u w:val="single"/>
        </w:rPr>
      </w:pPr>
      <w:r w:rsidRPr="00AF0D56">
        <w:rPr>
          <w:sz w:val="24"/>
          <w:szCs w:val="24"/>
          <w:u w:val="single"/>
        </w:rPr>
        <w:t>Symptomer:</w:t>
      </w:r>
    </w:p>
    <w:p w14:paraId="31E2D7C4" w14:textId="24BC58F4" w:rsidR="00B42B16" w:rsidRPr="00AF0D56" w:rsidRDefault="00B42B16" w:rsidP="00AF0D56">
      <w:pPr>
        <w:ind w:left="851"/>
        <w:rPr>
          <w:noProof/>
          <w:sz w:val="24"/>
          <w:szCs w:val="24"/>
        </w:rPr>
      </w:pPr>
      <w:r w:rsidRPr="00AF0D56">
        <w:rPr>
          <w:sz w:val="24"/>
          <w:szCs w:val="24"/>
        </w:rPr>
        <w:t xml:space="preserve">Rødme og tør hud, udvidede pupiller med fotofobi, tør mund og tunge ledsaget af en brændende fornemmelse, synkebesvær, </w:t>
      </w:r>
      <w:proofErr w:type="spellStart"/>
      <w:r w:rsidRPr="00AF0D56">
        <w:rPr>
          <w:sz w:val="24"/>
          <w:szCs w:val="24"/>
        </w:rPr>
        <w:t>takykardi</w:t>
      </w:r>
      <w:proofErr w:type="spellEnd"/>
      <w:r w:rsidRPr="00AF0D56">
        <w:rPr>
          <w:sz w:val="24"/>
          <w:szCs w:val="24"/>
        </w:rPr>
        <w:t xml:space="preserve">, hurtigt åndedræt, </w:t>
      </w:r>
      <w:proofErr w:type="spellStart"/>
      <w:r w:rsidRPr="00AF0D56">
        <w:rPr>
          <w:sz w:val="24"/>
          <w:szCs w:val="24"/>
        </w:rPr>
        <w:t>hyperpyreksi</w:t>
      </w:r>
      <w:proofErr w:type="spellEnd"/>
      <w:r w:rsidRPr="00AF0D56">
        <w:rPr>
          <w:sz w:val="24"/>
          <w:szCs w:val="24"/>
        </w:rPr>
        <w:t xml:space="preserve">, kvalme, opkastning, hypertension, udslæt og ophidselse. Symptomer på </w:t>
      </w:r>
      <w:r w:rsidR="002A4648" w:rsidRPr="00AF0D56">
        <w:rPr>
          <w:sz w:val="24"/>
          <w:szCs w:val="24"/>
        </w:rPr>
        <w:t>CNS-stimulering</w:t>
      </w:r>
      <w:r w:rsidRPr="00AF0D56">
        <w:rPr>
          <w:sz w:val="24"/>
          <w:szCs w:val="24"/>
        </w:rPr>
        <w:t xml:space="preserve"> inkluderer rastløshed, konfusion, hallucinationer, paranoide og psykotiske reaktioner, koordinationssvigt, delirium og lejlighedsvise krampeanfald. Ved svær overdosering kan der forekomme døsighed, </w:t>
      </w:r>
      <w:proofErr w:type="spellStart"/>
      <w:r w:rsidRPr="00AF0D56">
        <w:rPr>
          <w:sz w:val="24"/>
          <w:szCs w:val="24"/>
        </w:rPr>
        <w:t>stupor</w:t>
      </w:r>
      <w:proofErr w:type="spellEnd"/>
      <w:r w:rsidRPr="00AF0D56">
        <w:rPr>
          <w:sz w:val="24"/>
          <w:szCs w:val="24"/>
        </w:rPr>
        <w:t xml:space="preserve"> og CNS-depression med koma, cirkulations- og respirationssvigt samt død.</w:t>
      </w:r>
    </w:p>
    <w:p w14:paraId="667C3B3D" w14:textId="77777777" w:rsidR="00B42B16" w:rsidRPr="00AF0D56" w:rsidRDefault="00B42B16" w:rsidP="00AF0D56">
      <w:pPr>
        <w:ind w:left="851"/>
        <w:rPr>
          <w:noProof/>
          <w:sz w:val="24"/>
          <w:szCs w:val="24"/>
          <w:u w:val="single"/>
        </w:rPr>
      </w:pPr>
    </w:p>
    <w:p w14:paraId="46F9867A" w14:textId="77777777" w:rsidR="00B42B16" w:rsidRPr="00AF0D56" w:rsidRDefault="00B42B16" w:rsidP="00AF0D56">
      <w:pPr>
        <w:ind w:left="851"/>
        <w:rPr>
          <w:noProof/>
          <w:sz w:val="24"/>
          <w:szCs w:val="24"/>
          <w:u w:val="single"/>
        </w:rPr>
      </w:pPr>
      <w:r w:rsidRPr="00AF0D56">
        <w:rPr>
          <w:sz w:val="24"/>
          <w:szCs w:val="24"/>
          <w:u w:val="single"/>
        </w:rPr>
        <w:t>Behandling:</w:t>
      </w:r>
    </w:p>
    <w:p w14:paraId="6DA8BEB3" w14:textId="77777777" w:rsidR="00B42B16" w:rsidRPr="00AF0D56" w:rsidRDefault="00B42B16" w:rsidP="00AF0D56">
      <w:pPr>
        <w:ind w:left="851"/>
        <w:rPr>
          <w:noProof/>
          <w:sz w:val="24"/>
          <w:szCs w:val="24"/>
        </w:rPr>
      </w:pPr>
      <w:r w:rsidRPr="00AF0D56">
        <w:rPr>
          <w:sz w:val="24"/>
          <w:szCs w:val="24"/>
        </w:rPr>
        <w:t xml:space="preserve">Behandlingen skal være understøttende. Der skal opretholdes frie luftveje. </w:t>
      </w:r>
      <w:proofErr w:type="spellStart"/>
      <w:r w:rsidRPr="00AF0D56">
        <w:rPr>
          <w:sz w:val="24"/>
          <w:szCs w:val="24"/>
        </w:rPr>
        <w:t>Diazepam</w:t>
      </w:r>
      <w:proofErr w:type="spellEnd"/>
      <w:r w:rsidRPr="00AF0D56">
        <w:rPr>
          <w:sz w:val="24"/>
          <w:szCs w:val="24"/>
        </w:rPr>
        <w:t xml:space="preserve"> kan administreres for at kontrollere ophidselse og krampeanfald, men risikoen for CNS-depression bør overvejes.</w:t>
      </w:r>
    </w:p>
    <w:p w14:paraId="1998CF0E" w14:textId="77777777" w:rsidR="009260DE" w:rsidRPr="00AF0D56" w:rsidRDefault="009260DE" w:rsidP="009260DE">
      <w:pPr>
        <w:tabs>
          <w:tab w:val="left" w:pos="851"/>
        </w:tabs>
        <w:ind w:left="851"/>
        <w:rPr>
          <w:sz w:val="24"/>
          <w:szCs w:val="24"/>
        </w:rPr>
      </w:pPr>
    </w:p>
    <w:p w14:paraId="164C0ABB" w14:textId="77777777" w:rsidR="009260DE" w:rsidRPr="00AF0D56" w:rsidRDefault="009260DE" w:rsidP="009260DE">
      <w:pPr>
        <w:tabs>
          <w:tab w:val="left" w:pos="851"/>
        </w:tabs>
        <w:ind w:left="851" w:hanging="851"/>
        <w:rPr>
          <w:b/>
          <w:sz w:val="24"/>
          <w:szCs w:val="24"/>
        </w:rPr>
      </w:pPr>
      <w:r w:rsidRPr="00AF0D56">
        <w:rPr>
          <w:b/>
          <w:sz w:val="24"/>
          <w:szCs w:val="24"/>
        </w:rPr>
        <w:t>4.10</w:t>
      </w:r>
      <w:r w:rsidRPr="00AF0D56">
        <w:rPr>
          <w:b/>
          <w:sz w:val="24"/>
          <w:szCs w:val="24"/>
        </w:rPr>
        <w:tab/>
        <w:t>Udlevering</w:t>
      </w:r>
    </w:p>
    <w:p w14:paraId="7E4455B6" w14:textId="3095EFEB" w:rsidR="009260DE" w:rsidRPr="00AF0D56" w:rsidRDefault="00245AA8" w:rsidP="009260DE">
      <w:pPr>
        <w:tabs>
          <w:tab w:val="left" w:pos="851"/>
        </w:tabs>
        <w:ind w:left="851"/>
        <w:rPr>
          <w:sz w:val="24"/>
          <w:szCs w:val="24"/>
        </w:rPr>
      </w:pPr>
      <w:r w:rsidRPr="00AF0D56">
        <w:rPr>
          <w:sz w:val="24"/>
          <w:szCs w:val="24"/>
        </w:rPr>
        <w:t>B</w:t>
      </w:r>
    </w:p>
    <w:p w14:paraId="1E9926A6" w14:textId="77777777" w:rsidR="009260DE" w:rsidRPr="00AF0D56" w:rsidRDefault="009260DE" w:rsidP="009260DE">
      <w:pPr>
        <w:tabs>
          <w:tab w:val="left" w:pos="851"/>
        </w:tabs>
        <w:ind w:left="851"/>
        <w:rPr>
          <w:sz w:val="24"/>
          <w:szCs w:val="24"/>
        </w:rPr>
      </w:pPr>
    </w:p>
    <w:p w14:paraId="746C67C6" w14:textId="77777777" w:rsidR="009260DE" w:rsidRPr="00AF0D56" w:rsidRDefault="009260DE" w:rsidP="009260DE">
      <w:pPr>
        <w:tabs>
          <w:tab w:val="left" w:pos="851"/>
        </w:tabs>
        <w:ind w:left="851"/>
        <w:rPr>
          <w:sz w:val="24"/>
          <w:szCs w:val="24"/>
        </w:rPr>
      </w:pPr>
    </w:p>
    <w:p w14:paraId="7DD5FCFB" w14:textId="77777777" w:rsidR="009260DE" w:rsidRPr="00AF0D56" w:rsidRDefault="009260DE" w:rsidP="009260DE">
      <w:pPr>
        <w:tabs>
          <w:tab w:val="left" w:pos="851"/>
        </w:tabs>
        <w:ind w:left="851" w:hanging="851"/>
        <w:rPr>
          <w:b/>
          <w:sz w:val="24"/>
          <w:szCs w:val="24"/>
        </w:rPr>
      </w:pPr>
      <w:r w:rsidRPr="00AF0D56">
        <w:rPr>
          <w:b/>
          <w:sz w:val="24"/>
          <w:szCs w:val="24"/>
        </w:rPr>
        <w:t>5.</w:t>
      </w:r>
      <w:r w:rsidRPr="00AF0D56">
        <w:rPr>
          <w:b/>
          <w:sz w:val="24"/>
          <w:szCs w:val="24"/>
        </w:rPr>
        <w:tab/>
        <w:t>FARMAKOLOGISKE EGENSKABER</w:t>
      </w:r>
    </w:p>
    <w:p w14:paraId="15571250" w14:textId="77777777" w:rsidR="009260DE" w:rsidRPr="00AF0D56" w:rsidRDefault="009260DE" w:rsidP="009260DE">
      <w:pPr>
        <w:tabs>
          <w:tab w:val="left" w:pos="851"/>
        </w:tabs>
        <w:ind w:left="851"/>
        <w:rPr>
          <w:sz w:val="24"/>
          <w:szCs w:val="24"/>
        </w:rPr>
      </w:pPr>
    </w:p>
    <w:p w14:paraId="4866348B" w14:textId="77777777" w:rsidR="009260DE" w:rsidRPr="00AF0D56" w:rsidRDefault="009260DE" w:rsidP="009260DE">
      <w:pPr>
        <w:tabs>
          <w:tab w:val="left" w:pos="851"/>
        </w:tabs>
        <w:ind w:left="851" w:hanging="851"/>
        <w:rPr>
          <w:b/>
          <w:sz w:val="24"/>
          <w:szCs w:val="24"/>
        </w:rPr>
      </w:pPr>
      <w:r w:rsidRPr="00AF0D56">
        <w:rPr>
          <w:b/>
          <w:sz w:val="24"/>
          <w:szCs w:val="24"/>
        </w:rPr>
        <w:t>5.0</w:t>
      </w:r>
      <w:r w:rsidRPr="00AF0D56">
        <w:rPr>
          <w:b/>
          <w:sz w:val="24"/>
          <w:szCs w:val="24"/>
        </w:rPr>
        <w:tab/>
        <w:t>Terapeutisk klassifikation</w:t>
      </w:r>
    </w:p>
    <w:p w14:paraId="14489EF7" w14:textId="29478300" w:rsidR="00B42B16" w:rsidRPr="00AF0D56" w:rsidRDefault="00AF0D56" w:rsidP="00AF0D56">
      <w:pPr>
        <w:ind w:left="851"/>
        <w:rPr>
          <w:bCs/>
          <w:sz w:val="24"/>
          <w:szCs w:val="24"/>
        </w:rPr>
      </w:pPr>
      <w:r w:rsidRPr="00AF0D56">
        <w:rPr>
          <w:bCs/>
          <w:sz w:val="24"/>
          <w:szCs w:val="24"/>
        </w:rPr>
        <w:t xml:space="preserve">ATC-kode: A 03 BA 01. </w:t>
      </w:r>
      <w:r w:rsidR="00B42B16" w:rsidRPr="00AF0D56">
        <w:rPr>
          <w:bCs/>
          <w:sz w:val="24"/>
          <w:szCs w:val="24"/>
        </w:rPr>
        <w:t xml:space="preserve">Belladonna-alkaloider, tertiære </w:t>
      </w:r>
      <w:proofErr w:type="spellStart"/>
      <w:r w:rsidR="00B42B16" w:rsidRPr="00AF0D56">
        <w:rPr>
          <w:bCs/>
          <w:sz w:val="24"/>
          <w:szCs w:val="24"/>
        </w:rPr>
        <w:t>aminer</w:t>
      </w:r>
      <w:proofErr w:type="spellEnd"/>
      <w:r w:rsidRPr="00AF0D56">
        <w:rPr>
          <w:bCs/>
          <w:sz w:val="24"/>
          <w:szCs w:val="24"/>
        </w:rPr>
        <w:t>.</w:t>
      </w:r>
    </w:p>
    <w:p w14:paraId="10454DFA" w14:textId="77777777" w:rsidR="009260DE" w:rsidRPr="00AF0D56" w:rsidRDefault="009260DE" w:rsidP="009260DE">
      <w:pPr>
        <w:tabs>
          <w:tab w:val="left" w:pos="851"/>
        </w:tabs>
        <w:ind w:left="851"/>
        <w:rPr>
          <w:sz w:val="24"/>
          <w:szCs w:val="24"/>
        </w:rPr>
      </w:pPr>
    </w:p>
    <w:p w14:paraId="4DCD2013" w14:textId="77777777" w:rsidR="009260DE" w:rsidRPr="00AF0D56" w:rsidRDefault="009260DE" w:rsidP="009260DE">
      <w:pPr>
        <w:tabs>
          <w:tab w:val="num" w:pos="851"/>
        </w:tabs>
        <w:ind w:left="851" w:hanging="851"/>
        <w:rPr>
          <w:b/>
          <w:sz w:val="24"/>
          <w:szCs w:val="24"/>
        </w:rPr>
      </w:pPr>
      <w:r w:rsidRPr="00AF0D56">
        <w:rPr>
          <w:b/>
          <w:sz w:val="24"/>
          <w:szCs w:val="24"/>
        </w:rPr>
        <w:t>5.1</w:t>
      </w:r>
      <w:r w:rsidRPr="00AF0D56">
        <w:rPr>
          <w:b/>
          <w:sz w:val="24"/>
          <w:szCs w:val="24"/>
        </w:rPr>
        <w:tab/>
      </w:r>
      <w:proofErr w:type="spellStart"/>
      <w:r w:rsidRPr="00AF0D56">
        <w:rPr>
          <w:b/>
          <w:sz w:val="24"/>
          <w:szCs w:val="24"/>
        </w:rPr>
        <w:t>Farmakodynamiske</w:t>
      </w:r>
      <w:proofErr w:type="spellEnd"/>
      <w:r w:rsidRPr="00AF0D56">
        <w:rPr>
          <w:b/>
          <w:sz w:val="24"/>
          <w:szCs w:val="24"/>
        </w:rPr>
        <w:t xml:space="preserve"> egenskaber</w:t>
      </w:r>
    </w:p>
    <w:p w14:paraId="0D4C8C4D" w14:textId="77777777" w:rsidR="00B42B16" w:rsidRPr="00AF0D56" w:rsidRDefault="00B42B16" w:rsidP="00AF0D56">
      <w:pPr>
        <w:autoSpaceDE w:val="0"/>
        <w:autoSpaceDN w:val="0"/>
        <w:adjustRightInd w:val="0"/>
        <w:ind w:left="851"/>
        <w:rPr>
          <w:noProof/>
          <w:sz w:val="24"/>
          <w:szCs w:val="24"/>
        </w:rPr>
      </w:pPr>
      <w:r w:rsidRPr="00AF0D56">
        <w:rPr>
          <w:sz w:val="24"/>
          <w:szCs w:val="24"/>
        </w:rPr>
        <w:t xml:space="preserve">Atropin er et </w:t>
      </w:r>
      <w:proofErr w:type="spellStart"/>
      <w:r w:rsidRPr="00AF0D56">
        <w:rPr>
          <w:sz w:val="24"/>
          <w:szCs w:val="24"/>
        </w:rPr>
        <w:t>antimuskarint</w:t>
      </w:r>
      <w:proofErr w:type="spellEnd"/>
      <w:r w:rsidRPr="00AF0D56">
        <w:rPr>
          <w:sz w:val="24"/>
          <w:szCs w:val="24"/>
        </w:rPr>
        <w:t xml:space="preserve"> middel, som </w:t>
      </w:r>
      <w:proofErr w:type="spellStart"/>
      <w:r w:rsidRPr="00AF0D56">
        <w:rPr>
          <w:sz w:val="24"/>
          <w:szCs w:val="24"/>
        </w:rPr>
        <w:t>kompetitivt</w:t>
      </w:r>
      <w:proofErr w:type="spellEnd"/>
      <w:r w:rsidRPr="00AF0D56">
        <w:rPr>
          <w:sz w:val="24"/>
          <w:szCs w:val="24"/>
        </w:rPr>
        <w:t xml:space="preserve"> </w:t>
      </w:r>
      <w:proofErr w:type="spellStart"/>
      <w:r w:rsidRPr="00AF0D56">
        <w:rPr>
          <w:sz w:val="24"/>
          <w:szCs w:val="24"/>
        </w:rPr>
        <w:t>antagoniserer</w:t>
      </w:r>
      <w:proofErr w:type="spellEnd"/>
      <w:r w:rsidRPr="00AF0D56">
        <w:rPr>
          <w:sz w:val="24"/>
          <w:szCs w:val="24"/>
        </w:rPr>
        <w:t xml:space="preserve"> </w:t>
      </w:r>
      <w:proofErr w:type="spellStart"/>
      <w:r w:rsidRPr="00AF0D56">
        <w:rPr>
          <w:sz w:val="24"/>
          <w:szCs w:val="24"/>
        </w:rPr>
        <w:t>acetylcholin</w:t>
      </w:r>
      <w:proofErr w:type="spellEnd"/>
      <w:r w:rsidRPr="00AF0D56">
        <w:rPr>
          <w:sz w:val="24"/>
          <w:szCs w:val="24"/>
        </w:rPr>
        <w:t xml:space="preserve"> ved de </w:t>
      </w:r>
      <w:proofErr w:type="spellStart"/>
      <w:r w:rsidRPr="00AF0D56">
        <w:rPr>
          <w:sz w:val="24"/>
          <w:szCs w:val="24"/>
        </w:rPr>
        <w:t>postganglionære</w:t>
      </w:r>
      <w:proofErr w:type="spellEnd"/>
      <w:r w:rsidRPr="00AF0D56">
        <w:rPr>
          <w:sz w:val="24"/>
          <w:szCs w:val="24"/>
        </w:rPr>
        <w:t xml:space="preserve"> nerveender og således påvirker receptorerne af de </w:t>
      </w:r>
      <w:proofErr w:type="spellStart"/>
      <w:r w:rsidRPr="00AF0D56">
        <w:rPr>
          <w:sz w:val="24"/>
          <w:szCs w:val="24"/>
        </w:rPr>
        <w:t>eksokrine</w:t>
      </w:r>
      <w:proofErr w:type="spellEnd"/>
      <w:r w:rsidRPr="00AF0D56">
        <w:rPr>
          <w:sz w:val="24"/>
          <w:szCs w:val="24"/>
        </w:rPr>
        <w:t xml:space="preserve"> kirtler, den glatte muskulatur, hjertemusklen og centralnervesystemet.</w:t>
      </w:r>
    </w:p>
    <w:p w14:paraId="4CAF1853" w14:textId="77777777" w:rsidR="00B42B16" w:rsidRPr="00AF0D56" w:rsidRDefault="00B42B16" w:rsidP="00AF0D56">
      <w:pPr>
        <w:autoSpaceDE w:val="0"/>
        <w:autoSpaceDN w:val="0"/>
        <w:adjustRightInd w:val="0"/>
        <w:ind w:left="851"/>
        <w:rPr>
          <w:noProof/>
          <w:sz w:val="24"/>
          <w:szCs w:val="24"/>
        </w:rPr>
      </w:pPr>
    </w:p>
    <w:p w14:paraId="74450463" w14:textId="77777777" w:rsidR="00B42B16" w:rsidRPr="00AF0D56" w:rsidRDefault="00B42B16" w:rsidP="00AF0D56">
      <w:pPr>
        <w:autoSpaceDE w:val="0"/>
        <w:autoSpaceDN w:val="0"/>
        <w:adjustRightInd w:val="0"/>
        <w:ind w:left="851"/>
        <w:rPr>
          <w:noProof/>
          <w:sz w:val="24"/>
          <w:szCs w:val="24"/>
        </w:rPr>
      </w:pPr>
      <w:r w:rsidRPr="00AF0D56">
        <w:rPr>
          <w:sz w:val="24"/>
          <w:szCs w:val="24"/>
        </w:rPr>
        <w:t xml:space="preserve">Perifere virkninger omfatter nedsat produktion af spyt, sved og sekret fra næse, tårekanaler og mave, nedsat </w:t>
      </w:r>
      <w:proofErr w:type="spellStart"/>
      <w:r w:rsidRPr="00AF0D56">
        <w:rPr>
          <w:sz w:val="24"/>
          <w:szCs w:val="24"/>
        </w:rPr>
        <w:t>tarmmotilitet</w:t>
      </w:r>
      <w:proofErr w:type="spellEnd"/>
      <w:r w:rsidRPr="00AF0D56">
        <w:rPr>
          <w:sz w:val="24"/>
          <w:szCs w:val="24"/>
        </w:rPr>
        <w:t xml:space="preserve"> og hæmning af </w:t>
      </w:r>
      <w:proofErr w:type="spellStart"/>
      <w:r w:rsidRPr="00AF0D56">
        <w:rPr>
          <w:sz w:val="24"/>
          <w:szCs w:val="24"/>
        </w:rPr>
        <w:t>urinering</w:t>
      </w:r>
      <w:proofErr w:type="spellEnd"/>
      <w:r w:rsidRPr="00AF0D56">
        <w:rPr>
          <w:sz w:val="24"/>
          <w:szCs w:val="24"/>
        </w:rPr>
        <w:t>.</w:t>
      </w:r>
    </w:p>
    <w:p w14:paraId="16C63ACF" w14:textId="77777777" w:rsidR="00B42B16" w:rsidRPr="00AF0D56" w:rsidRDefault="00B42B16" w:rsidP="00AF0D56">
      <w:pPr>
        <w:autoSpaceDE w:val="0"/>
        <w:autoSpaceDN w:val="0"/>
        <w:adjustRightInd w:val="0"/>
        <w:ind w:left="851"/>
        <w:rPr>
          <w:noProof/>
          <w:sz w:val="24"/>
          <w:szCs w:val="24"/>
        </w:rPr>
      </w:pPr>
    </w:p>
    <w:p w14:paraId="4DCADFF4" w14:textId="77777777" w:rsidR="00B42B16" w:rsidRPr="00AF0D56" w:rsidRDefault="00B42B16" w:rsidP="00AF0D56">
      <w:pPr>
        <w:autoSpaceDE w:val="0"/>
        <w:autoSpaceDN w:val="0"/>
        <w:adjustRightInd w:val="0"/>
        <w:ind w:left="851"/>
        <w:rPr>
          <w:noProof/>
          <w:sz w:val="24"/>
          <w:szCs w:val="24"/>
        </w:rPr>
      </w:pPr>
      <w:r w:rsidRPr="00AF0D56">
        <w:rPr>
          <w:sz w:val="24"/>
          <w:szCs w:val="24"/>
        </w:rPr>
        <w:t>Atropin øger sinusfrekvensen og sinus- og AV-overledning. Normalt øges hjertefrekvensen, men der kan være en indledende bradykardi.</w:t>
      </w:r>
    </w:p>
    <w:p w14:paraId="7AFE7BCA" w14:textId="77777777" w:rsidR="00B42B16" w:rsidRPr="00AF0D56" w:rsidRDefault="00B42B16" w:rsidP="00AF0D56">
      <w:pPr>
        <w:autoSpaceDE w:val="0"/>
        <w:autoSpaceDN w:val="0"/>
        <w:adjustRightInd w:val="0"/>
        <w:ind w:left="851"/>
        <w:rPr>
          <w:noProof/>
          <w:sz w:val="24"/>
          <w:szCs w:val="24"/>
        </w:rPr>
      </w:pPr>
    </w:p>
    <w:p w14:paraId="0FDFE0A8" w14:textId="77777777" w:rsidR="00B42B16" w:rsidRPr="00AF0D56" w:rsidRDefault="00B42B16" w:rsidP="00AF0D56">
      <w:pPr>
        <w:autoSpaceDE w:val="0"/>
        <w:autoSpaceDN w:val="0"/>
        <w:adjustRightInd w:val="0"/>
        <w:ind w:left="851"/>
        <w:rPr>
          <w:noProof/>
          <w:sz w:val="24"/>
          <w:szCs w:val="24"/>
        </w:rPr>
      </w:pPr>
      <w:r w:rsidRPr="00AF0D56">
        <w:rPr>
          <w:sz w:val="24"/>
          <w:szCs w:val="24"/>
        </w:rPr>
        <w:t xml:space="preserve">Atropin hæmmer sekretion i luftvejene og medfører afslapning af den glatte muskulatur i bronkierne og giver </w:t>
      </w:r>
      <w:proofErr w:type="spellStart"/>
      <w:r w:rsidRPr="00AF0D56">
        <w:rPr>
          <w:sz w:val="24"/>
          <w:szCs w:val="24"/>
        </w:rPr>
        <w:t>bronkodilatation</w:t>
      </w:r>
      <w:proofErr w:type="spellEnd"/>
      <w:r w:rsidRPr="00AF0D56">
        <w:rPr>
          <w:sz w:val="24"/>
          <w:szCs w:val="24"/>
        </w:rPr>
        <w:t>.</w:t>
      </w:r>
    </w:p>
    <w:p w14:paraId="2AD49640" w14:textId="68AD4867" w:rsidR="002A4648" w:rsidRDefault="002A4648">
      <w:pPr>
        <w:rPr>
          <w:sz w:val="24"/>
          <w:szCs w:val="24"/>
        </w:rPr>
      </w:pPr>
      <w:r>
        <w:rPr>
          <w:sz w:val="24"/>
          <w:szCs w:val="24"/>
        </w:rPr>
        <w:br w:type="page"/>
      </w:r>
    </w:p>
    <w:p w14:paraId="5ABF875C" w14:textId="77777777" w:rsidR="009260DE" w:rsidRPr="00AF0D56" w:rsidRDefault="009260DE" w:rsidP="009260DE">
      <w:pPr>
        <w:tabs>
          <w:tab w:val="left" w:pos="851"/>
        </w:tabs>
        <w:ind w:left="851"/>
        <w:rPr>
          <w:sz w:val="24"/>
          <w:szCs w:val="24"/>
        </w:rPr>
      </w:pPr>
    </w:p>
    <w:p w14:paraId="3894D35E" w14:textId="77777777" w:rsidR="009260DE" w:rsidRPr="00AF0D56" w:rsidRDefault="009260DE" w:rsidP="009260DE">
      <w:pPr>
        <w:tabs>
          <w:tab w:val="left" w:pos="851"/>
        </w:tabs>
        <w:ind w:left="851" w:hanging="851"/>
        <w:rPr>
          <w:b/>
          <w:sz w:val="24"/>
          <w:szCs w:val="24"/>
        </w:rPr>
      </w:pPr>
      <w:r w:rsidRPr="00AF0D56">
        <w:rPr>
          <w:b/>
          <w:sz w:val="24"/>
          <w:szCs w:val="24"/>
        </w:rPr>
        <w:t>5.2</w:t>
      </w:r>
      <w:r w:rsidRPr="00AF0D56">
        <w:rPr>
          <w:b/>
          <w:sz w:val="24"/>
          <w:szCs w:val="24"/>
        </w:rPr>
        <w:tab/>
      </w:r>
      <w:proofErr w:type="spellStart"/>
      <w:r w:rsidRPr="00AF0D56">
        <w:rPr>
          <w:b/>
          <w:sz w:val="24"/>
          <w:szCs w:val="24"/>
        </w:rPr>
        <w:t>Farmakokinetiske</w:t>
      </w:r>
      <w:proofErr w:type="spellEnd"/>
      <w:r w:rsidRPr="00AF0D56">
        <w:rPr>
          <w:b/>
          <w:sz w:val="24"/>
          <w:szCs w:val="24"/>
        </w:rPr>
        <w:t xml:space="preserve"> egenskaber</w:t>
      </w:r>
    </w:p>
    <w:p w14:paraId="786404D3" w14:textId="77777777" w:rsidR="00F952E1" w:rsidRDefault="00F952E1" w:rsidP="00AF0D56">
      <w:pPr>
        <w:ind w:left="851"/>
        <w:rPr>
          <w:iCs/>
          <w:sz w:val="24"/>
          <w:szCs w:val="24"/>
          <w:u w:val="single"/>
        </w:rPr>
      </w:pPr>
    </w:p>
    <w:p w14:paraId="64DF9E88" w14:textId="27836FC8" w:rsidR="00B42B16" w:rsidRPr="00AF0D56" w:rsidRDefault="00B42B16" w:rsidP="00AF0D56">
      <w:pPr>
        <w:ind w:left="851"/>
        <w:rPr>
          <w:iCs/>
          <w:noProof/>
          <w:sz w:val="24"/>
          <w:szCs w:val="24"/>
          <w:u w:val="single"/>
        </w:rPr>
      </w:pPr>
      <w:r w:rsidRPr="00AF0D56">
        <w:rPr>
          <w:iCs/>
          <w:sz w:val="24"/>
          <w:szCs w:val="24"/>
          <w:u w:val="single"/>
        </w:rPr>
        <w:t>Absorption</w:t>
      </w:r>
    </w:p>
    <w:p w14:paraId="71D1BF11" w14:textId="77777777" w:rsidR="00B42B16" w:rsidRPr="00AF0D56" w:rsidRDefault="00B42B16" w:rsidP="00AF0D56">
      <w:pPr>
        <w:ind w:left="851"/>
        <w:rPr>
          <w:iCs/>
          <w:noProof/>
          <w:sz w:val="24"/>
          <w:szCs w:val="24"/>
        </w:rPr>
      </w:pPr>
      <w:r w:rsidRPr="00AF0D56">
        <w:rPr>
          <w:sz w:val="24"/>
          <w:szCs w:val="24"/>
        </w:rPr>
        <w:t>Den maksimale stigning i hjerterytmen forekommer inden for 2 til 4 minutter efter intravenøs administration. Maksimal plasmakoncentration af atropin opnås 30 minutter efter intramuskulær injektion, selv om maksimale virkninger på hjertet, svedtendens og spytproduktion kan forekomme 1 time efter intramuskulær administration.</w:t>
      </w:r>
    </w:p>
    <w:p w14:paraId="169BD78E" w14:textId="77777777" w:rsidR="00B42B16" w:rsidRPr="00F952E1" w:rsidRDefault="00B42B16" w:rsidP="00AF0D56">
      <w:pPr>
        <w:ind w:left="851"/>
        <w:rPr>
          <w:iCs/>
          <w:noProof/>
          <w:sz w:val="24"/>
          <w:szCs w:val="24"/>
        </w:rPr>
      </w:pPr>
    </w:p>
    <w:p w14:paraId="73A9171C" w14:textId="77777777" w:rsidR="00B42B16" w:rsidRPr="00AF0D56" w:rsidRDefault="00B42B16" w:rsidP="00AF0D56">
      <w:pPr>
        <w:ind w:left="851"/>
        <w:rPr>
          <w:iCs/>
          <w:noProof/>
          <w:sz w:val="24"/>
          <w:szCs w:val="24"/>
          <w:u w:val="single"/>
        </w:rPr>
      </w:pPr>
      <w:r w:rsidRPr="00AF0D56">
        <w:rPr>
          <w:iCs/>
          <w:sz w:val="24"/>
          <w:szCs w:val="24"/>
          <w:u w:val="single"/>
        </w:rPr>
        <w:t>Fordeling</w:t>
      </w:r>
    </w:p>
    <w:p w14:paraId="38E873AD" w14:textId="77777777" w:rsidR="00B42B16" w:rsidRPr="00AF0D56" w:rsidRDefault="00B42B16" w:rsidP="00AF0D56">
      <w:pPr>
        <w:ind w:left="851"/>
        <w:rPr>
          <w:iCs/>
          <w:noProof/>
          <w:sz w:val="24"/>
          <w:szCs w:val="24"/>
        </w:rPr>
      </w:pPr>
      <w:r w:rsidRPr="00AF0D56">
        <w:rPr>
          <w:sz w:val="24"/>
          <w:szCs w:val="24"/>
        </w:rPr>
        <w:t>Plasmaniveauer efter intramuskulær og intravenøs injektion er sammenlignelige efter 1 time. Atropin fordeles i stor udstrækning i hele kroppen og krydser blodhjernebarrieren og placentabarrieren.</w:t>
      </w:r>
    </w:p>
    <w:p w14:paraId="48AA79E8" w14:textId="77777777" w:rsidR="00B42B16" w:rsidRPr="00AF0D56" w:rsidRDefault="00B42B16" w:rsidP="00AF0D56">
      <w:pPr>
        <w:ind w:left="851"/>
        <w:rPr>
          <w:iCs/>
          <w:noProof/>
          <w:sz w:val="24"/>
          <w:szCs w:val="24"/>
          <w:u w:val="single"/>
        </w:rPr>
      </w:pPr>
    </w:p>
    <w:p w14:paraId="4F138CC0" w14:textId="77777777" w:rsidR="00B42B16" w:rsidRPr="00AF0D56" w:rsidRDefault="00B42B16" w:rsidP="00AF0D56">
      <w:pPr>
        <w:ind w:left="851"/>
        <w:rPr>
          <w:iCs/>
          <w:noProof/>
          <w:sz w:val="24"/>
          <w:szCs w:val="24"/>
          <w:u w:val="single"/>
        </w:rPr>
      </w:pPr>
      <w:r w:rsidRPr="00AF0D56">
        <w:rPr>
          <w:iCs/>
          <w:sz w:val="24"/>
          <w:szCs w:val="24"/>
          <w:u w:val="single"/>
        </w:rPr>
        <w:t>Biotransformation</w:t>
      </w:r>
    </w:p>
    <w:p w14:paraId="3C0B88ED" w14:textId="77777777" w:rsidR="00B42B16" w:rsidRPr="00AF0D56" w:rsidRDefault="00B42B16" w:rsidP="00AF0D56">
      <w:pPr>
        <w:ind w:left="851"/>
        <w:rPr>
          <w:iCs/>
          <w:noProof/>
          <w:sz w:val="24"/>
          <w:szCs w:val="24"/>
        </w:rPr>
      </w:pPr>
      <w:r w:rsidRPr="00AF0D56">
        <w:rPr>
          <w:sz w:val="24"/>
          <w:szCs w:val="24"/>
        </w:rPr>
        <w:t xml:space="preserve">Atropin </w:t>
      </w:r>
      <w:proofErr w:type="spellStart"/>
      <w:r w:rsidRPr="00AF0D56">
        <w:rPr>
          <w:sz w:val="24"/>
          <w:szCs w:val="24"/>
        </w:rPr>
        <w:t>metaboliseres</w:t>
      </w:r>
      <w:proofErr w:type="spellEnd"/>
      <w:r w:rsidRPr="00AF0D56">
        <w:rPr>
          <w:sz w:val="24"/>
          <w:szCs w:val="24"/>
        </w:rPr>
        <w:t xml:space="preserve"> ufuldstændigt i leveren og udskilles i urinen som uforandret lægemiddel og metabolitter. Cirka 50 % af dosis udskilles inden for 4 timer, og 90 % udskilles inden for 24 timer.</w:t>
      </w:r>
    </w:p>
    <w:p w14:paraId="2190CA82" w14:textId="77777777" w:rsidR="00B42B16" w:rsidRPr="00AF0D56" w:rsidRDefault="00B42B16" w:rsidP="00AF0D56">
      <w:pPr>
        <w:ind w:left="851"/>
        <w:rPr>
          <w:iCs/>
          <w:noProof/>
          <w:sz w:val="24"/>
          <w:szCs w:val="24"/>
        </w:rPr>
      </w:pPr>
    </w:p>
    <w:p w14:paraId="4AB5B1F8" w14:textId="77777777" w:rsidR="00B42B16" w:rsidRPr="00AF0D56" w:rsidRDefault="00B42B16" w:rsidP="00AF0D56">
      <w:pPr>
        <w:ind w:left="851"/>
        <w:rPr>
          <w:iCs/>
          <w:noProof/>
          <w:sz w:val="24"/>
          <w:szCs w:val="24"/>
          <w:u w:val="single"/>
        </w:rPr>
      </w:pPr>
      <w:r w:rsidRPr="00AF0D56">
        <w:rPr>
          <w:iCs/>
          <w:sz w:val="24"/>
          <w:szCs w:val="24"/>
          <w:u w:val="single"/>
        </w:rPr>
        <w:t>Elimination</w:t>
      </w:r>
    </w:p>
    <w:p w14:paraId="377961A5" w14:textId="77777777" w:rsidR="00B42B16" w:rsidRPr="00AF0D56" w:rsidRDefault="00B42B16" w:rsidP="00AF0D56">
      <w:pPr>
        <w:ind w:left="851"/>
        <w:rPr>
          <w:iCs/>
          <w:noProof/>
          <w:sz w:val="24"/>
          <w:szCs w:val="24"/>
        </w:rPr>
      </w:pPr>
      <w:r w:rsidRPr="00AF0D56">
        <w:rPr>
          <w:sz w:val="24"/>
          <w:szCs w:val="24"/>
        </w:rPr>
        <w:t>Eliminationshalveringstiden er ca. 2-5 timer. Op til 50 % af dosis er proteinbundet.</w:t>
      </w:r>
    </w:p>
    <w:p w14:paraId="46A3B5A8" w14:textId="77777777" w:rsidR="00B42B16" w:rsidRPr="00AF0D56" w:rsidRDefault="00B42B16" w:rsidP="00AF0D56">
      <w:pPr>
        <w:ind w:left="851"/>
        <w:rPr>
          <w:iCs/>
          <w:noProof/>
          <w:sz w:val="24"/>
          <w:szCs w:val="24"/>
        </w:rPr>
      </w:pPr>
    </w:p>
    <w:p w14:paraId="117CC926" w14:textId="77777777" w:rsidR="00B42B16" w:rsidRPr="00AF0D56" w:rsidRDefault="00B42B16" w:rsidP="00AF0D56">
      <w:pPr>
        <w:ind w:left="851"/>
        <w:rPr>
          <w:iCs/>
          <w:noProof/>
          <w:sz w:val="24"/>
          <w:szCs w:val="24"/>
          <w:u w:val="single"/>
        </w:rPr>
      </w:pPr>
      <w:r w:rsidRPr="00AF0D56">
        <w:rPr>
          <w:iCs/>
          <w:sz w:val="24"/>
          <w:szCs w:val="24"/>
          <w:u w:val="single"/>
        </w:rPr>
        <w:t>Pædiatrisk population</w:t>
      </w:r>
    </w:p>
    <w:p w14:paraId="7B3D657B" w14:textId="77777777" w:rsidR="00B42B16" w:rsidRPr="00AF0D56" w:rsidRDefault="00B42B16" w:rsidP="00AF0D56">
      <w:pPr>
        <w:ind w:left="851"/>
        <w:rPr>
          <w:iCs/>
          <w:noProof/>
          <w:sz w:val="24"/>
          <w:szCs w:val="24"/>
        </w:rPr>
      </w:pPr>
      <w:r w:rsidRPr="00AF0D56">
        <w:rPr>
          <w:sz w:val="24"/>
          <w:szCs w:val="24"/>
        </w:rPr>
        <w:t>Børn, især yngre end to år, kan være mere følsomme over for atropins virkning. Eliminationshalveringstiden er mere end fordoblet hos børn under to år sammenlignet med voksne.</w:t>
      </w:r>
    </w:p>
    <w:p w14:paraId="7D6B261A" w14:textId="77777777" w:rsidR="00B42B16" w:rsidRPr="00AF0D56" w:rsidRDefault="00B42B16" w:rsidP="00AF0D56">
      <w:pPr>
        <w:ind w:left="851"/>
        <w:rPr>
          <w:iCs/>
          <w:noProof/>
          <w:sz w:val="24"/>
          <w:szCs w:val="24"/>
          <w:u w:val="single"/>
        </w:rPr>
      </w:pPr>
    </w:p>
    <w:p w14:paraId="12A1AE8E" w14:textId="77777777" w:rsidR="00B42B16" w:rsidRPr="00AF0D56" w:rsidRDefault="00B42B16" w:rsidP="00AF0D56">
      <w:pPr>
        <w:ind w:left="851"/>
        <w:rPr>
          <w:iCs/>
          <w:noProof/>
          <w:sz w:val="24"/>
          <w:szCs w:val="24"/>
          <w:u w:val="single"/>
        </w:rPr>
      </w:pPr>
      <w:r w:rsidRPr="00AF0D56">
        <w:rPr>
          <w:iCs/>
          <w:sz w:val="24"/>
          <w:szCs w:val="24"/>
          <w:u w:val="single"/>
        </w:rPr>
        <w:t>Ældre</w:t>
      </w:r>
    </w:p>
    <w:p w14:paraId="5FB241D8" w14:textId="77777777" w:rsidR="00B42B16" w:rsidRPr="00AF0D56" w:rsidRDefault="00B42B16" w:rsidP="00AF0D56">
      <w:pPr>
        <w:ind w:left="851"/>
        <w:rPr>
          <w:iCs/>
          <w:noProof/>
          <w:sz w:val="24"/>
          <w:szCs w:val="24"/>
        </w:rPr>
      </w:pPr>
      <w:r w:rsidRPr="00AF0D56">
        <w:rPr>
          <w:sz w:val="24"/>
          <w:szCs w:val="24"/>
        </w:rPr>
        <w:t>Eliminationshalveringstiden for atropin er mere end fordoblet hos ældre (&gt;65 år gammel) sammenlignet med andre voksne.</w:t>
      </w:r>
    </w:p>
    <w:p w14:paraId="2AAC3564" w14:textId="77777777" w:rsidR="009260DE" w:rsidRPr="00AF0D56" w:rsidRDefault="009260DE" w:rsidP="009260DE">
      <w:pPr>
        <w:tabs>
          <w:tab w:val="left" w:pos="851"/>
        </w:tabs>
        <w:ind w:left="851"/>
        <w:rPr>
          <w:sz w:val="24"/>
          <w:szCs w:val="24"/>
        </w:rPr>
      </w:pPr>
    </w:p>
    <w:p w14:paraId="2B88F407" w14:textId="77777777" w:rsidR="009260DE" w:rsidRPr="00AF0D56" w:rsidRDefault="009260DE" w:rsidP="009260DE">
      <w:pPr>
        <w:tabs>
          <w:tab w:val="left" w:pos="851"/>
        </w:tabs>
        <w:ind w:left="851" w:hanging="851"/>
        <w:rPr>
          <w:b/>
          <w:sz w:val="24"/>
          <w:szCs w:val="24"/>
        </w:rPr>
      </w:pPr>
      <w:r w:rsidRPr="00AF0D56">
        <w:rPr>
          <w:b/>
          <w:sz w:val="24"/>
          <w:szCs w:val="24"/>
        </w:rPr>
        <w:t>5.3</w:t>
      </w:r>
      <w:r w:rsidRPr="00AF0D56">
        <w:rPr>
          <w:b/>
          <w:sz w:val="24"/>
          <w:szCs w:val="24"/>
        </w:rPr>
        <w:tab/>
        <w:t>Prækliniske sikkerhedsdata</w:t>
      </w:r>
    </w:p>
    <w:p w14:paraId="681FBEAE" w14:textId="77777777" w:rsidR="00B42B16" w:rsidRPr="00AF0D56" w:rsidRDefault="00B42B16" w:rsidP="00AF0D56">
      <w:pPr>
        <w:ind w:left="851"/>
        <w:rPr>
          <w:sz w:val="24"/>
          <w:szCs w:val="24"/>
        </w:rPr>
      </w:pPr>
      <w:r w:rsidRPr="00AF0D56">
        <w:rPr>
          <w:sz w:val="24"/>
          <w:szCs w:val="24"/>
        </w:rPr>
        <w:t>I non-kliniske studier blev der kun iagttaget virkninger ved doser, der anses for at overstige den maksimale humane eksponering i tilstrækkelig grad. Disse virkninger vurderes derfor til at være af ringe klinisk relevans.</w:t>
      </w:r>
    </w:p>
    <w:p w14:paraId="24E301E3" w14:textId="77777777" w:rsidR="00B42B16" w:rsidRPr="00AF0D56" w:rsidRDefault="00B42B16" w:rsidP="00AF0D56">
      <w:pPr>
        <w:ind w:left="851"/>
        <w:rPr>
          <w:sz w:val="24"/>
          <w:szCs w:val="24"/>
        </w:rPr>
      </w:pPr>
    </w:p>
    <w:p w14:paraId="33CC31CA" w14:textId="77777777" w:rsidR="00B42B16" w:rsidRPr="00AF0D56" w:rsidRDefault="00B42B16" w:rsidP="00AF0D56">
      <w:pPr>
        <w:ind w:left="851"/>
        <w:rPr>
          <w:sz w:val="24"/>
          <w:szCs w:val="24"/>
        </w:rPr>
      </w:pPr>
      <w:r w:rsidRPr="00AF0D56">
        <w:rPr>
          <w:sz w:val="24"/>
          <w:szCs w:val="24"/>
        </w:rPr>
        <w:t>Atropinsulfat reducerede fertiliteten hos hanrotter, formodentlig som en konsekvens af en hæmmende effekt på transporten af sperm og sæd under emissionen.</w:t>
      </w:r>
    </w:p>
    <w:p w14:paraId="53A77DEA" w14:textId="77777777" w:rsidR="009260DE" w:rsidRPr="00AF0D56" w:rsidRDefault="009260DE" w:rsidP="009260DE">
      <w:pPr>
        <w:tabs>
          <w:tab w:val="left" w:pos="851"/>
        </w:tabs>
        <w:ind w:left="851"/>
        <w:rPr>
          <w:sz w:val="24"/>
          <w:szCs w:val="24"/>
        </w:rPr>
      </w:pPr>
    </w:p>
    <w:p w14:paraId="5B965857" w14:textId="77777777" w:rsidR="009260DE" w:rsidRPr="00AF0D56" w:rsidRDefault="009260DE" w:rsidP="009260DE">
      <w:pPr>
        <w:tabs>
          <w:tab w:val="left" w:pos="851"/>
        </w:tabs>
        <w:ind w:left="851"/>
        <w:rPr>
          <w:sz w:val="24"/>
          <w:szCs w:val="24"/>
        </w:rPr>
      </w:pPr>
    </w:p>
    <w:p w14:paraId="31C7F5BF" w14:textId="77777777" w:rsidR="009260DE" w:rsidRPr="00AF0D56" w:rsidRDefault="009260DE" w:rsidP="009260DE">
      <w:pPr>
        <w:tabs>
          <w:tab w:val="left" w:pos="851"/>
        </w:tabs>
        <w:ind w:left="851" w:hanging="851"/>
        <w:rPr>
          <w:b/>
          <w:sz w:val="24"/>
          <w:szCs w:val="24"/>
        </w:rPr>
      </w:pPr>
      <w:r w:rsidRPr="00AF0D56">
        <w:rPr>
          <w:b/>
          <w:sz w:val="24"/>
          <w:szCs w:val="24"/>
        </w:rPr>
        <w:t>6.</w:t>
      </w:r>
      <w:r w:rsidRPr="00AF0D56">
        <w:rPr>
          <w:b/>
          <w:sz w:val="24"/>
          <w:szCs w:val="24"/>
        </w:rPr>
        <w:tab/>
        <w:t>FARMACEUTISKE OPLYSNINGER</w:t>
      </w:r>
    </w:p>
    <w:p w14:paraId="5F2B68B1" w14:textId="77777777" w:rsidR="009260DE" w:rsidRPr="00AF0D56" w:rsidRDefault="009260DE" w:rsidP="009260DE">
      <w:pPr>
        <w:tabs>
          <w:tab w:val="left" w:pos="851"/>
        </w:tabs>
        <w:ind w:left="851"/>
        <w:rPr>
          <w:sz w:val="24"/>
          <w:szCs w:val="24"/>
        </w:rPr>
      </w:pPr>
    </w:p>
    <w:p w14:paraId="1F5C3302" w14:textId="77777777" w:rsidR="009260DE" w:rsidRPr="00AF0D56" w:rsidRDefault="009260DE" w:rsidP="009260DE">
      <w:pPr>
        <w:tabs>
          <w:tab w:val="left" w:pos="851"/>
        </w:tabs>
        <w:ind w:left="851" w:hanging="851"/>
        <w:rPr>
          <w:b/>
          <w:sz w:val="24"/>
          <w:szCs w:val="24"/>
        </w:rPr>
      </w:pPr>
      <w:r w:rsidRPr="00AF0D56">
        <w:rPr>
          <w:b/>
          <w:sz w:val="24"/>
          <w:szCs w:val="24"/>
        </w:rPr>
        <w:t>6.1</w:t>
      </w:r>
      <w:r w:rsidRPr="00AF0D56">
        <w:rPr>
          <w:b/>
          <w:sz w:val="24"/>
          <w:szCs w:val="24"/>
        </w:rPr>
        <w:tab/>
        <w:t>Hjælpestoffer</w:t>
      </w:r>
    </w:p>
    <w:p w14:paraId="04222075" w14:textId="77777777" w:rsidR="00B42B16" w:rsidRPr="00AF0D56" w:rsidRDefault="00B42B16" w:rsidP="00AF0D56">
      <w:pPr>
        <w:ind w:left="851"/>
        <w:rPr>
          <w:noProof/>
          <w:sz w:val="24"/>
          <w:szCs w:val="24"/>
        </w:rPr>
      </w:pPr>
      <w:proofErr w:type="spellStart"/>
      <w:r w:rsidRPr="00AF0D56">
        <w:rPr>
          <w:sz w:val="24"/>
          <w:szCs w:val="24"/>
        </w:rPr>
        <w:t>Natriumchlorid</w:t>
      </w:r>
      <w:proofErr w:type="spellEnd"/>
    </w:p>
    <w:p w14:paraId="2C43E712" w14:textId="77777777" w:rsidR="00B42B16" w:rsidRPr="00AF0D56" w:rsidRDefault="00B42B16" w:rsidP="00AF0D56">
      <w:pPr>
        <w:ind w:left="851"/>
        <w:rPr>
          <w:bCs/>
          <w:noProof/>
          <w:sz w:val="24"/>
          <w:szCs w:val="24"/>
        </w:rPr>
      </w:pPr>
      <w:r w:rsidRPr="00AF0D56">
        <w:rPr>
          <w:sz w:val="24"/>
          <w:szCs w:val="24"/>
        </w:rPr>
        <w:t>Svovlsyre (til pH-justering)</w:t>
      </w:r>
    </w:p>
    <w:p w14:paraId="44046AB7" w14:textId="77777777" w:rsidR="00B42B16" w:rsidRPr="00AF0D56" w:rsidRDefault="00B42B16" w:rsidP="00AF0D56">
      <w:pPr>
        <w:ind w:left="851"/>
        <w:rPr>
          <w:noProof/>
          <w:sz w:val="24"/>
          <w:szCs w:val="24"/>
        </w:rPr>
      </w:pPr>
      <w:r w:rsidRPr="00AF0D56">
        <w:rPr>
          <w:sz w:val="24"/>
          <w:szCs w:val="24"/>
        </w:rPr>
        <w:t>Natriumhydroxid (til pH-justering)</w:t>
      </w:r>
    </w:p>
    <w:p w14:paraId="787ECBC3" w14:textId="77777777" w:rsidR="00B42B16" w:rsidRPr="00AF0D56" w:rsidRDefault="00B42B16" w:rsidP="00AF0D56">
      <w:pPr>
        <w:ind w:left="851"/>
        <w:rPr>
          <w:noProof/>
          <w:sz w:val="24"/>
          <w:szCs w:val="24"/>
        </w:rPr>
      </w:pPr>
      <w:r w:rsidRPr="00AF0D56">
        <w:rPr>
          <w:sz w:val="24"/>
          <w:szCs w:val="24"/>
        </w:rPr>
        <w:t>Vand til injektionsvæsker</w:t>
      </w:r>
    </w:p>
    <w:p w14:paraId="1B909F4A" w14:textId="77777777" w:rsidR="009260DE" w:rsidRPr="00AF0D56" w:rsidRDefault="009260DE" w:rsidP="009260DE">
      <w:pPr>
        <w:tabs>
          <w:tab w:val="left" w:pos="851"/>
        </w:tabs>
        <w:ind w:left="851"/>
        <w:rPr>
          <w:sz w:val="24"/>
          <w:szCs w:val="24"/>
        </w:rPr>
      </w:pPr>
    </w:p>
    <w:p w14:paraId="163B91B5" w14:textId="77777777" w:rsidR="009260DE" w:rsidRPr="00AF0D56" w:rsidRDefault="009260DE" w:rsidP="009260DE">
      <w:pPr>
        <w:tabs>
          <w:tab w:val="left" w:pos="851"/>
        </w:tabs>
        <w:ind w:left="851" w:hanging="851"/>
        <w:rPr>
          <w:b/>
          <w:sz w:val="24"/>
          <w:szCs w:val="24"/>
        </w:rPr>
      </w:pPr>
      <w:r w:rsidRPr="00AF0D56">
        <w:rPr>
          <w:b/>
          <w:sz w:val="24"/>
          <w:szCs w:val="24"/>
        </w:rPr>
        <w:t>6.2</w:t>
      </w:r>
      <w:r w:rsidRPr="00AF0D56">
        <w:rPr>
          <w:b/>
          <w:sz w:val="24"/>
          <w:szCs w:val="24"/>
        </w:rPr>
        <w:tab/>
        <w:t>Uforligeligheder</w:t>
      </w:r>
    </w:p>
    <w:p w14:paraId="2A919D01" w14:textId="77777777" w:rsidR="00B42B16" w:rsidRPr="00AF0D56" w:rsidRDefault="00B42B16" w:rsidP="00AF0D56">
      <w:pPr>
        <w:ind w:left="851"/>
        <w:rPr>
          <w:noProof/>
          <w:sz w:val="24"/>
          <w:szCs w:val="24"/>
        </w:rPr>
      </w:pPr>
      <w:r w:rsidRPr="00AF0D56">
        <w:rPr>
          <w:sz w:val="24"/>
          <w:szCs w:val="24"/>
        </w:rPr>
        <w:t>Dette lægemiddel må ikke blandes med andre lægemidler.</w:t>
      </w:r>
    </w:p>
    <w:p w14:paraId="018B73C5" w14:textId="77777777" w:rsidR="009260DE" w:rsidRPr="00AF0D56" w:rsidRDefault="009260DE" w:rsidP="009260DE">
      <w:pPr>
        <w:tabs>
          <w:tab w:val="left" w:pos="851"/>
        </w:tabs>
        <w:ind w:left="851"/>
        <w:rPr>
          <w:sz w:val="24"/>
          <w:szCs w:val="24"/>
        </w:rPr>
      </w:pPr>
    </w:p>
    <w:p w14:paraId="5DE50A28" w14:textId="77777777" w:rsidR="009260DE" w:rsidRPr="00AF0D56" w:rsidRDefault="009260DE" w:rsidP="009260DE">
      <w:pPr>
        <w:tabs>
          <w:tab w:val="left" w:pos="851"/>
        </w:tabs>
        <w:ind w:left="851" w:hanging="851"/>
        <w:rPr>
          <w:b/>
          <w:sz w:val="24"/>
          <w:szCs w:val="24"/>
        </w:rPr>
      </w:pPr>
      <w:r w:rsidRPr="00AF0D56">
        <w:rPr>
          <w:b/>
          <w:sz w:val="24"/>
          <w:szCs w:val="24"/>
        </w:rPr>
        <w:t>6.3</w:t>
      </w:r>
      <w:r w:rsidRPr="00AF0D56">
        <w:rPr>
          <w:b/>
          <w:sz w:val="24"/>
          <w:szCs w:val="24"/>
        </w:rPr>
        <w:tab/>
        <w:t>Opbevaringstid</w:t>
      </w:r>
    </w:p>
    <w:p w14:paraId="0675C64C" w14:textId="6A180C5B" w:rsidR="00B42B16" w:rsidRDefault="00B42B16" w:rsidP="00AF0D56">
      <w:pPr>
        <w:ind w:left="851"/>
        <w:rPr>
          <w:sz w:val="24"/>
          <w:szCs w:val="24"/>
        </w:rPr>
      </w:pPr>
      <w:r w:rsidRPr="00AF0D56">
        <w:rPr>
          <w:sz w:val="24"/>
          <w:szCs w:val="24"/>
        </w:rPr>
        <w:t>Uåbnet injektionssprøjte:</w:t>
      </w:r>
    </w:p>
    <w:p w14:paraId="67019E0C" w14:textId="77777777" w:rsidR="004164AE" w:rsidRDefault="004164AE" w:rsidP="004164AE">
      <w:pPr>
        <w:ind w:left="851"/>
        <w:rPr>
          <w:sz w:val="24"/>
          <w:szCs w:val="24"/>
        </w:rPr>
      </w:pPr>
      <w:r>
        <w:rPr>
          <w:sz w:val="24"/>
          <w:szCs w:val="24"/>
        </w:rPr>
        <w:t xml:space="preserve">5 ml: </w:t>
      </w:r>
      <w:r w:rsidRPr="00AF0D56">
        <w:rPr>
          <w:sz w:val="24"/>
          <w:szCs w:val="24"/>
        </w:rPr>
        <w:t>2 år</w:t>
      </w:r>
    </w:p>
    <w:p w14:paraId="379EED47" w14:textId="14625F3F" w:rsidR="004164AE" w:rsidRDefault="004164AE" w:rsidP="004164AE">
      <w:pPr>
        <w:ind w:left="851"/>
        <w:rPr>
          <w:sz w:val="24"/>
          <w:szCs w:val="24"/>
        </w:rPr>
      </w:pPr>
      <w:r>
        <w:rPr>
          <w:sz w:val="24"/>
          <w:szCs w:val="24"/>
        </w:rPr>
        <w:t>10 ml: 3 år</w:t>
      </w:r>
    </w:p>
    <w:p w14:paraId="2B27566B" w14:textId="77777777" w:rsidR="00F952E1" w:rsidRPr="00AF0D56" w:rsidRDefault="00F952E1" w:rsidP="00AF0D56">
      <w:pPr>
        <w:ind w:left="851"/>
        <w:rPr>
          <w:sz w:val="24"/>
          <w:szCs w:val="24"/>
        </w:rPr>
      </w:pPr>
    </w:p>
    <w:p w14:paraId="5FB5EB66" w14:textId="77777777" w:rsidR="009260DE" w:rsidRPr="00AF0D56" w:rsidRDefault="009260DE" w:rsidP="009260DE">
      <w:pPr>
        <w:tabs>
          <w:tab w:val="left" w:pos="851"/>
        </w:tabs>
        <w:ind w:left="851" w:hanging="851"/>
        <w:rPr>
          <w:b/>
          <w:sz w:val="24"/>
          <w:szCs w:val="24"/>
        </w:rPr>
      </w:pPr>
      <w:r w:rsidRPr="00AF0D56">
        <w:rPr>
          <w:b/>
          <w:sz w:val="24"/>
          <w:szCs w:val="24"/>
        </w:rPr>
        <w:t>6.4</w:t>
      </w:r>
      <w:r w:rsidRPr="00AF0D56">
        <w:rPr>
          <w:b/>
          <w:sz w:val="24"/>
          <w:szCs w:val="24"/>
        </w:rPr>
        <w:tab/>
        <w:t>Særlige opbevaringsforhold</w:t>
      </w:r>
    </w:p>
    <w:p w14:paraId="731479AA" w14:textId="77777777" w:rsidR="00B42B16" w:rsidRPr="00AF0D56" w:rsidRDefault="00B42B16" w:rsidP="00AF0D56">
      <w:pPr>
        <w:ind w:left="851"/>
        <w:rPr>
          <w:noProof/>
          <w:sz w:val="24"/>
          <w:szCs w:val="24"/>
        </w:rPr>
      </w:pPr>
      <w:r w:rsidRPr="00AF0D56">
        <w:rPr>
          <w:sz w:val="24"/>
          <w:szCs w:val="24"/>
        </w:rPr>
        <w:t>Dette lægemiddel kræver ingen særlige forholdsregler vedrørende opbevaringen.</w:t>
      </w:r>
    </w:p>
    <w:p w14:paraId="6F684A94" w14:textId="77777777" w:rsidR="009260DE" w:rsidRPr="00AF0D56" w:rsidRDefault="009260DE" w:rsidP="009260DE">
      <w:pPr>
        <w:tabs>
          <w:tab w:val="left" w:pos="851"/>
        </w:tabs>
        <w:ind w:left="851"/>
        <w:rPr>
          <w:sz w:val="24"/>
          <w:szCs w:val="24"/>
        </w:rPr>
      </w:pPr>
    </w:p>
    <w:p w14:paraId="0F0205A2" w14:textId="77777777" w:rsidR="009260DE" w:rsidRPr="00AF0D56" w:rsidRDefault="009260DE" w:rsidP="009260DE">
      <w:pPr>
        <w:tabs>
          <w:tab w:val="left" w:pos="851"/>
        </w:tabs>
        <w:ind w:left="851" w:hanging="851"/>
        <w:rPr>
          <w:b/>
          <w:sz w:val="24"/>
          <w:szCs w:val="24"/>
        </w:rPr>
      </w:pPr>
      <w:r w:rsidRPr="00AF0D56">
        <w:rPr>
          <w:b/>
          <w:sz w:val="24"/>
          <w:szCs w:val="24"/>
        </w:rPr>
        <w:t>6.5</w:t>
      </w:r>
      <w:r w:rsidRPr="00AF0D56">
        <w:rPr>
          <w:b/>
          <w:sz w:val="24"/>
          <w:szCs w:val="24"/>
        </w:rPr>
        <w:tab/>
        <w:t>Emballagetyper og pakningsstørrelser</w:t>
      </w:r>
    </w:p>
    <w:p w14:paraId="5F0756CE" w14:textId="77777777" w:rsidR="00B42B16" w:rsidRPr="00AF0D56" w:rsidRDefault="00B42B16" w:rsidP="00AF0D56">
      <w:pPr>
        <w:ind w:left="851"/>
        <w:rPr>
          <w:sz w:val="24"/>
          <w:szCs w:val="24"/>
        </w:rPr>
      </w:pPr>
      <w:r w:rsidRPr="00AF0D56">
        <w:rPr>
          <w:sz w:val="24"/>
          <w:szCs w:val="24"/>
        </w:rPr>
        <w:t>5 ml fyldt injektionssprøjte af klart glas (klart glas af type I) med nålehætte, stempelstopper (</w:t>
      </w:r>
      <w:proofErr w:type="spellStart"/>
      <w:r w:rsidRPr="00AF0D56">
        <w:rPr>
          <w:sz w:val="24"/>
          <w:szCs w:val="24"/>
        </w:rPr>
        <w:t>bromobutylgummi</w:t>
      </w:r>
      <w:proofErr w:type="spellEnd"/>
      <w:r w:rsidRPr="00AF0D56">
        <w:rPr>
          <w:sz w:val="24"/>
          <w:szCs w:val="24"/>
        </w:rPr>
        <w:t>) og stempelstang (polypropylen). Injektionssprøjten har gradueringer for hver 0,5 ml fra 0 ml til 5 ml.</w:t>
      </w:r>
    </w:p>
    <w:p w14:paraId="379A0942" w14:textId="77777777" w:rsidR="00B42B16" w:rsidRPr="00AF0D56" w:rsidRDefault="00B42B16" w:rsidP="00AF0D56">
      <w:pPr>
        <w:ind w:left="851"/>
        <w:rPr>
          <w:sz w:val="24"/>
          <w:szCs w:val="24"/>
        </w:rPr>
      </w:pPr>
      <w:r w:rsidRPr="00AF0D56">
        <w:rPr>
          <w:sz w:val="24"/>
          <w:szCs w:val="24"/>
        </w:rPr>
        <w:t>10 ml injektionssprøjte af klart glas (klart glas af type I) med kanylehætte, stempelstopper (</w:t>
      </w:r>
      <w:proofErr w:type="spellStart"/>
      <w:r w:rsidRPr="00AF0D56">
        <w:rPr>
          <w:sz w:val="24"/>
          <w:szCs w:val="24"/>
        </w:rPr>
        <w:t>bromobutylgummi</w:t>
      </w:r>
      <w:proofErr w:type="spellEnd"/>
      <w:r w:rsidRPr="00AF0D56">
        <w:rPr>
          <w:sz w:val="24"/>
          <w:szCs w:val="24"/>
        </w:rPr>
        <w:t>) og stempelstang (polypropylen). Injektionssprøjten har gradueringer for hver 1 ml fra 0 ml til 10 ml.</w:t>
      </w:r>
    </w:p>
    <w:p w14:paraId="2B61FC73" w14:textId="77777777" w:rsidR="00B42B16" w:rsidRPr="00AF0D56" w:rsidRDefault="00B42B16" w:rsidP="00AF0D56">
      <w:pPr>
        <w:ind w:left="851"/>
        <w:rPr>
          <w:sz w:val="24"/>
          <w:szCs w:val="24"/>
        </w:rPr>
      </w:pPr>
    </w:p>
    <w:p w14:paraId="691E8897" w14:textId="77777777" w:rsidR="00B42B16" w:rsidRPr="00AF0D56" w:rsidRDefault="00B42B16" w:rsidP="00AF0D56">
      <w:pPr>
        <w:ind w:left="851"/>
        <w:rPr>
          <w:sz w:val="24"/>
          <w:szCs w:val="24"/>
        </w:rPr>
      </w:pPr>
      <w:r w:rsidRPr="00AF0D56">
        <w:rPr>
          <w:sz w:val="24"/>
          <w:szCs w:val="24"/>
        </w:rPr>
        <w:t xml:space="preserve">Den fyldte injektionssprøjte leveres uden kanyle. Pakket i en ydre karton. </w:t>
      </w:r>
    </w:p>
    <w:p w14:paraId="536AE744" w14:textId="77777777" w:rsidR="00B42B16" w:rsidRPr="00AF0D56" w:rsidRDefault="00B42B16" w:rsidP="00AF0D56">
      <w:pPr>
        <w:ind w:left="851"/>
        <w:rPr>
          <w:sz w:val="24"/>
          <w:szCs w:val="24"/>
        </w:rPr>
      </w:pPr>
    </w:p>
    <w:p w14:paraId="4736F072" w14:textId="77777777" w:rsidR="00B42B16" w:rsidRPr="00AF0D56" w:rsidRDefault="00B42B16" w:rsidP="00AF0D56">
      <w:pPr>
        <w:ind w:left="851"/>
        <w:rPr>
          <w:sz w:val="24"/>
          <w:szCs w:val="24"/>
        </w:rPr>
      </w:pPr>
      <w:r w:rsidRPr="00AF0D56">
        <w:rPr>
          <w:sz w:val="24"/>
          <w:szCs w:val="24"/>
        </w:rPr>
        <w:t>Pakningsstørrelser: 1 fyldt injektionssprøjte</w:t>
      </w:r>
    </w:p>
    <w:p w14:paraId="7452F98D" w14:textId="77777777" w:rsidR="009260DE" w:rsidRPr="00AF0D56" w:rsidRDefault="009260DE" w:rsidP="009260DE">
      <w:pPr>
        <w:tabs>
          <w:tab w:val="left" w:pos="851"/>
        </w:tabs>
        <w:ind w:left="851"/>
        <w:rPr>
          <w:sz w:val="24"/>
          <w:szCs w:val="24"/>
        </w:rPr>
      </w:pPr>
    </w:p>
    <w:p w14:paraId="2E3C795B" w14:textId="77777777" w:rsidR="009260DE" w:rsidRPr="00AF0D56" w:rsidRDefault="009260DE" w:rsidP="009260DE">
      <w:pPr>
        <w:tabs>
          <w:tab w:val="left" w:pos="851"/>
        </w:tabs>
        <w:ind w:left="851" w:hanging="851"/>
        <w:rPr>
          <w:b/>
          <w:sz w:val="24"/>
          <w:szCs w:val="24"/>
        </w:rPr>
      </w:pPr>
      <w:r w:rsidRPr="00AF0D56">
        <w:rPr>
          <w:b/>
          <w:sz w:val="24"/>
          <w:szCs w:val="24"/>
        </w:rPr>
        <w:t>6.6</w:t>
      </w:r>
      <w:r w:rsidRPr="00AF0D56">
        <w:rPr>
          <w:b/>
          <w:sz w:val="24"/>
          <w:szCs w:val="24"/>
        </w:rPr>
        <w:tab/>
        <w:t>Regler for destruktion og anden håndtering</w:t>
      </w:r>
    </w:p>
    <w:p w14:paraId="573FD64A" w14:textId="77777777" w:rsidR="00B42B16" w:rsidRPr="00AF0D56" w:rsidRDefault="00B42B16" w:rsidP="00AF0D56">
      <w:pPr>
        <w:ind w:left="851"/>
        <w:rPr>
          <w:sz w:val="24"/>
          <w:szCs w:val="24"/>
        </w:rPr>
      </w:pPr>
      <w:r w:rsidRPr="00AF0D56">
        <w:rPr>
          <w:sz w:val="24"/>
          <w:szCs w:val="24"/>
        </w:rPr>
        <w:t>Den fyldte injektionssprøjte må kun bruges til én patient. Bortskaf sprøjten efter brug. MÅ IKKE GENBRUGES.</w:t>
      </w:r>
    </w:p>
    <w:p w14:paraId="470CAA87" w14:textId="77777777" w:rsidR="00B42B16" w:rsidRPr="00AF0D56" w:rsidRDefault="00B42B16" w:rsidP="00AF0D56">
      <w:pPr>
        <w:ind w:left="851"/>
        <w:rPr>
          <w:sz w:val="24"/>
          <w:szCs w:val="24"/>
        </w:rPr>
      </w:pPr>
    </w:p>
    <w:p w14:paraId="4BF6C81F" w14:textId="77777777" w:rsidR="00B42B16" w:rsidRPr="00AF0D56" w:rsidRDefault="00B42B16" w:rsidP="00AF0D56">
      <w:pPr>
        <w:ind w:left="851"/>
        <w:rPr>
          <w:sz w:val="24"/>
          <w:szCs w:val="24"/>
        </w:rPr>
      </w:pPr>
      <w:r w:rsidRPr="00AF0D56">
        <w:rPr>
          <w:sz w:val="24"/>
          <w:szCs w:val="24"/>
        </w:rPr>
        <w:t>Præparatet skal undersøges visuelt for partikler og misfarvning før indgivelse. Der må kun bruges klar, farveløs opløsning uden partikler eller udfældning.</w:t>
      </w:r>
    </w:p>
    <w:p w14:paraId="55682740" w14:textId="77777777" w:rsidR="00B42B16" w:rsidRPr="00AF0D56" w:rsidRDefault="00B42B16" w:rsidP="00AF0D56">
      <w:pPr>
        <w:ind w:left="851"/>
        <w:rPr>
          <w:sz w:val="24"/>
          <w:szCs w:val="24"/>
        </w:rPr>
      </w:pPr>
    </w:p>
    <w:p w14:paraId="17B6A1DC" w14:textId="77777777" w:rsidR="00B42B16" w:rsidRPr="00AF0D56" w:rsidRDefault="00B42B16" w:rsidP="00AF0D56">
      <w:pPr>
        <w:tabs>
          <w:tab w:val="left" w:pos="1304"/>
        </w:tabs>
        <w:autoSpaceDE w:val="0"/>
        <w:autoSpaceDN w:val="0"/>
        <w:adjustRightInd w:val="0"/>
        <w:ind w:left="851"/>
        <w:rPr>
          <w:rFonts w:eastAsia="ArialMT"/>
          <w:sz w:val="24"/>
          <w:szCs w:val="24"/>
        </w:rPr>
      </w:pPr>
      <w:r w:rsidRPr="00AF0D56">
        <w:rPr>
          <w:sz w:val="24"/>
          <w:szCs w:val="24"/>
        </w:rPr>
        <w:t>Den passende kanylestørrelse til brug med injektionssprøjten er 23 til 20 gauge til IV-indgivelse og 23 til 21 gauge til IM-indgivelse.</w:t>
      </w:r>
    </w:p>
    <w:p w14:paraId="546C4611" w14:textId="77777777" w:rsidR="00B42B16" w:rsidRPr="00AF0D56" w:rsidRDefault="00B42B16" w:rsidP="00AF0D56">
      <w:pPr>
        <w:ind w:left="851"/>
        <w:rPr>
          <w:rFonts w:eastAsia="ArialMT"/>
          <w:sz w:val="24"/>
          <w:szCs w:val="24"/>
          <w:lang w:eastAsia="en-IN"/>
        </w:rPr>
      </w:pPr>
    </w:p>
    <w:p w14:paraId="58C8EF83" w14:textId="77777777" w:rsidR="00B42B16" w:rsidRPr="00AF0D56" w:rsidRDefault="00B42B16" w:rsidP="00AF0D56">
      <w:pPr>
        <w:ind w:left="851"/>
        <w:rPr>
          <w:sz w:val="24"/>
          <w:szCs w:val="24"/>
        </w:rPr>
      </w:pPr>
      <w:r w:rsidRPr="00AF0D56">
        <w:rPr>
          <w:sz w:val="24"/>
          <w:szCs w:val="24"/>
        </w:rPr>
        <w:t>Ikke anvendt lægemiddel samt affald heraf skal bortskaffes i henhold til lokale retningslinjer.</w:t>
      </w:r>
    </w:p>
    <w:p w14:paraId="181283C1" w14:textId="77777777" w:rsidR="009260DE" w:rsidRPr="00AF0D56" w:rsidRDefault="009260DE" w:rsidP="009260DE">
      <w:pPr>
        <w:tabs>
          <w:tab w:val="left" w:pos="851"/>
        </w:tabs>
        <w:ind w:left="851"/>
        <w:jc w:val="both"/>
        <w:rPr>
          <w:sz w:val="24"/>
          <w:szCs w:val="24"/>
        </w:rPr>
      </w:pPr>
    </w:p>
    <w:p w14:paraId="19552EF3" w14:textId="77777777" w:rsidR="009260DE" w:rsidRPr="00AF0D56" w:rsidRDefault="009260DE" w:rsidP="009260DE">
      <w:pPr>
        <w:tabs>
          <w:tab w:val="left" w:pos="851"/>
        </w:tabs>
        <w:ind w:left="851" w:hanging="851"/>
        <w:rPr>
          <w:b/>
          <w:sz w:val="24"/>
          <w:szCs w:val="24"/>
        </w:rPr>
      </w:pPr>
      <w:r w:rsidRPr="00AF0D56">
        <w:rPr>
          <w:b/>
          <w:sz w:val="24"/>
          <w:szCs w:val="24"/>
        </w:rPr>
        <w:t>7.</w:t>
      </w:r>
      <w:r w:rsidRPr="00AF0D56">
        <w:rPr>
          <w:b/>
          <w:sz w:val="24"/>
          <w:szCs w:val="24"/>
        </w:rPr>
        <w:tab/>
        <w:t>INDEHAVER AF MARKEDSFØRINGSTILLADELSEN</w:t>
      </w:r>
    </w:p>
    <w:p w14:paraId="1222054C" w14:textId="77777777" w:rsidR="00F20CB7" w:rsidRPr="00AF0D56" w:rsidRDefault="00F20CB7" w:rsidP="00AF0D56">
      <w:pPr>
        <w:ind w:left="851"/>
        <w:rPr>
          <w:sz w:val="24"/>
          <w:szCs w:val="24"/>
        </w:rPr>
      </w:pPr>
      <w:bookmarkStart w:id="1" w:name="_Hlk47626855"/>
      <w:proofErr w:type="spellStart"/>
      <w:r w:rsidRPr="00AF0D56">
        <w:rPr>
          <w:sz w:val="24"/>
          <w:szCs w:val="24"/>
        </w:rPr>
        <w:t>Accord</w:t>
      </w:r>
      <w:proofErr w:type="spellEnd"/>
      <w:r w:rsidRPr="00AF0D56">
        <w:rPr>
          <w:sz w:val="24"/>
          <w:szCs w:val="24"/>
        </w:rPr>
        <w:t xml:space="preserve"> Healthcare B.V.</w:t>
      </w:r>
    </w:p>
    <w:p w14:paraId="3E31E743" w14:textId="77777777" w:rsidR="00F20CB7" w:rsidRPr="00AF0D56" w:rsidRDefault="00F20CB7" w:rsidP="00AF0D56">
      <w:pPr>
        <w:ind w:left="851"/>
        <w:rPr>
          <w:sz w:val="24"/>
          <w:szCs w:val="24"/>
        </w:rPr>
      </w:pPr>
      <w:proofErr w:type="spellStart"/>
      <w:r w:rsidRPr="00AF0D56">
        <w:rPr>
          <w:sz w:val="24"/>
          <w:szCs w:val="24"/>
        </w:rPr>
        <w:t>Winthontlaan</w:t>
      </w:r>
      <w:proofErr w:type="spellEnd"/>
      <w:r w:rsidRPr="00AF0D56">
        <w:rPr>
          <w:sz w:val="24"/>
          <w:szCs w:val="24"/>
        </w:rPr>
        <w:t xml:space="preserve"> 200,</w:t>
      </w:r>
    </w:p>
    <w:p w14:paraId="1B81D297" w14:textId="77777777" w:rsidR="00F20CB7" w:rsidRPr="00AF0D56" w:rsidRDefault="00F20CB7" w:rsidP="00AF0D56">
      <w:pPr>
        <w:ind w:left="851"/>
        <w:rPr>
          <w:sz w:val="24"/>
          <w:szCs w:val="24"/>
        </w:rPr>
      </w:pPr>
      <w:r w:rsidRPr="00AF0D56">
        <w:rPr>
          <w:sz w:val="24"/>
          <w:szCs w:val="24"/>
        </w:rPr>
        <w:t>3526KV Utrecht</w:t>
      </w:r>
    </w:p>
    <w:p w14:paraId="5E78B389" w14:textId="77777777" w:rsidR="00F20CB7" w:rsidRPr="00AF0D56" w:rsidRDefault="00F20CB7" w:rsidP="00AF0D56">
      <w:pPr>
        <w:ind w:left="851"/>
        <w:rPr>
          <w:noProof/>
          <w:sz w:val="24"/>
          <w:szCs w:val="24"/>
        </w:rPr>
      </w:pPr>
      <w:r w:rsidRPr="00AF0D56">
        <w:rPr>
          <w:sz w:val="24"/>
          <w:szCs w:val="24"/>
        </w:rPr>
        <w:t>Holland</w:t>
      </w:r>
      <w:bookmarkEnd w:id="1"/>
    </w:p>
    <w:p w14:paraId="60A4B395" w14:textId="77777777" w:rsidR="009260DE" w:rsidRPr="00AF0D56" w:rsidRDefault="009260DE" w:rsidP="009260DE">
      <w:pPr>
        <w:tabs>
          <w:tab w:val="left" w:pos="851"/>
        </w:tabs>
        <w:ind w:left="851"/>
        <w:rPr>
          <w:sz w:val="24"/>
          <w:szCs w:val="24"/>
        </w:rPr>
      </w:pPr>
    </w:p>
    <w:p w14:paraId="298A4FF2" w14:textId="77777777" w:rsidR="009260DE" w:rsidRPr="00AF0D56" w:rsidRDefault="009260DE" w:rsidP="009260DE">
      <w:pPr>
        <w:tabs>
          <w:tab w:val="left" w:pos="851"/>
        </w:tabs>
        <w:ind w:left="851" w:hanging="851"/>
        <w:rPr>
          <w:b/>
          <w:sz w:val="24"/>
          <w:szCs w:val="24"/>
        </w:rPr>
      </w:pPr>
      <w:r w:rsidRPr="00AF0D56">
        <w:rPr>
          <w:b/>
          <w:sz w:val="24"/>
          <w:szCs w:val="24"/>
        </w:rPr>
        <w:t>8.</w:t>
      </w:r>
      <w:r w:rsidRPr="00AF0D56">
        <w:rPr>
          <w:b/>
          <w:sz w:val="24"/>
          <w:szCs w:val="24"/>
        </w:rPr>
        <w:tab/>
        <w:t>MARKEDSFØRINGSTILLADELSESNUMMER (NUMRE)</w:t>
      </w:r>
    </w:p>
    <w:p w14:paraId="3A29B135" w14:textId="23E8B955" w:rsidR="009260DE" w:rsidRPr="00AF0D56" w:rsidRDefault="00A6096F" w:rsidP="009260DE">
      <w:pPr>
        <w:tabs>
          <w:tab w:val="left" w:pos="851"/>
        </w:tabs>
        <w:ind w:left="851"/>
        <w:rPr>
          <w:sz w:val="24"/>
          <w:szCs w:val="24"/>
        </w:rPr>
      </w:pPr>
      <w:r w:rsidRPr="00AF0D56">
        <w:rPr>
          <w:sz w:val="24"/>
          <w:szCs w:val="24"/>
        </w:rPr>
        <w:t>62560</w:t>
      </w:r>
    </w:p>
    <w:p w14:paraId="6C80243B" w14:textId="77777777" w:rsidR="009260DE" w:rsidRPr="00AF0D56" w:rsidRDefault="009260DE" w:rsidP="009260DE">
      <w:pPr>
        <w:tabs>
          <w:tab w:val="left" w:pos="851"/>
        </w:tabs>
        <w:ind w:left="851"/>
        <w:jc w:val="both"/>
        <w:rPr>
          <w:sz w:val="24"/>
          <w:szCs w:val="24"/>
        </w:rPr>
      </w:pPr>
    </w:p>
    <w:p w14:paraId="0AFACD72" w14:textId="77777777" w:rsidR="009260DE" w:rsidRPr="00AF0D56" w:rsidRDefault="009260DE" w:rsidP="009260DE">
      <w:pPr>
        <w:tabs>
          <w:tab w:val="left" w:pos="851"/>
        </w:tabs>
        <w:ind w:left="851" w:hanging="851"/>
        <w:rPr>
          <w:b/>
          <w:sz w:val="24"/>
          <w:szCs w:val="24"/>
        </w:rPr>
      </w:pPr>
      <w:r w:rsidRPr="00AF0D56">
        <w:rPr>
          <w:b/>
          <w:sz w:val="24"/>
          <w:szCs w:val="24"/>
        </w:rPr>
        <w:t>9.</w:t>
      </w:r>
      <w:r w:rsidRPr="00AF0D56">
        <w:rPr>
          <w:b/>
          <w:sz w:val="24"/>
          <w:szCs w:val="24"/>
        </w:rPr>
        <w:tab/>
        <w:t>DATO FOR FØRSTE MARKEDSFØRINGSTILLADELSE</w:t>
      </w:r>
    </w:p>
    <w:p w14:paraId="52A83201" w14:textId="16D180B8" w:rsidR="009260DE" w:rsidRPr="00AF0D56" w:rsidRDefault="00D155FD" w:rsidP="009260DE">
      <w:pPr>
        <w:tabs>
          <w:tab w:val="left" w:pos="851"/>
        </w:tabs>
        <w:ind w:left="851"/>
        <w:rPr>
          <w:sz w:val="24"/>
          <w:szCs w:val="24"/>
        </w:rPr>
      </w:pPr>
      <w:r>
        <w:rPr>
          <w:sz w:val="24"/>
          <w:szCs w:val="24"/>
        </w:rPr>
        <w:t>17. december 2020</w:t>
      </w:r>
    </w:p>
    <w:p w14:paraId="199334EB" w14:textId="77777777" w:rsidR="009260DE" w:rsidRPr="00AF0D56" w:rsidRDefault="009260DE" w:rsidP="009260DE">
      <w:pPr>
        <w:tabs>
          <w:tab w:val="left" w:pos="851"/>
        </w:tabs>
        <w:ind w:left="851"/>
        <w:rPr>
          <w:sz w:val="24"/>
          <w:szCs w:val="24"/>
        </w:rPr>
      </w:pPr>
    </w:p>
    <w:p w14:paraId="3F61EC12" w14:textId="77777777" w:rsidR="009260DE" w:rsidRPr="00AF0D56" w:rsidRDefault="009260DE" w:rsidP="009260DE">
      <w:pPr>
        <w:tabs>
          <w:tab w:val="left" w:pos="851"/>
        </w:tabs>
        <w:ind w:left="851" w:hanging="851"/>
        <w:rPr>
          <w:b/>
          <w:sz w:val="24"/>
          <w:szCs w:val="24"/>
        </w:rPr>
      </w:pPr>
      <w:r w:rsidRPr="00AF0D56">
        <w:rPr>
          <w:b/>
          <w:sz w:val="24"/>
          <w:szCs w:val="24"/>
        </w:rPr>
        <w:t>10.</w:t>
      </w:r>
      <w:r w:rsidRPr="00AF0D56">
        <w:rPr>
          <w:b/>
          <w:sz w:val="24"/>
          <w:szCs w:val="24"/>
        </w:rPr>
        <w:tab/>
        <w:t>DATO FOR ÆNDRING AF TEKSTEN</w:t>
      </w:r>
    </w:p>
    <w:p w14:paraId="2AAA3A12" w14:textId="592F3108" w:rsidR="009260DE" w:rsidRPr="00AF0D56" w:rsidRDefault="004164AE" w:rsidP="009260DE">
      <w:pPr>
        <w:tabs>
          <w:tab w:val="left" w:pos="851"/>
        </w:tabs>
        <w:ind w:left="851"/>
        <w:rPr>
          <w:sz w:val="24"/>
          <w:szCs w:val="24"/>
        </w:rPr>
      </w:pPr>
      <w:r>
        <w:rPr>
          <w:sz w:val="24"/>
          <w:szCs w:val="24"/>
        </w:rPr>
        <w:t>21. august 2024</w:t>
      </w:r>
      <w:bookmarkStart w:id="2" w:name="_GoBack"/>
      <w:bookmarkEnd w:id="2"/>
    </w:p>
    <w:sectPr w:rsidR="009260DE" w:rsidRPr="00AF0D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7728" w14:textId="77777777" w:rsidR="001272B4" w:rsidRDefault="001272B4">
      <w:r>
        <w:separator/>
      </w:r>
    </w:p>
  </w:endnote>
  <w:endnote w:type="continuationSeparator" w:id="0">
    <w:p w14:paraId="4BB15CDF" w14:textId="77777777" w:rsidR="001272B4" w:rsidRDefault="001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0BA93" w14:textId="77777777" w:rsidR="000259B9" w:rsidRDefault="000259B9">
    <w:pPr>
      <w:pStyle w:val="Sidefod"/>
      <w:pBdr>
        <w:bottom w:val="single" w:sz="6" w:space="1" w:color="auto"/>
      </w:pBdr>
    </w:pPr>
  </w:p>
  <w:p w14:paraId="2BD281A1" w14:textId="77777777" w:rsidR="000259B9" w:rsidRDefault="000259B9" w:rsidP="00C42586">
    <w:pPr>
      <w:pStyle w:val="Sidefod"/>
      <w:tabs>
        <w:tab w:val="clear" w:pos="4819"/>
        <w:tab w:val="left" w:pos="8505"/>
      </w:tabs>
      <w:rPr>
        <w:i/>
        <w:sz w:val="18"/>
        <w:szCs w:val="18"/>
      </w:rPr>
    </w:pPr>
  </w:p>
  <w:p w14:paraId="45C3CA5D" w14:textId="1CFA10E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159FC">
      <w:rPr>
        <w:i/>
        <w:noProof/>
        <w:sz w:val="18"/>
        <w:szCs w:val="18"/>
      </w:rPr>
      <w:t>Atropine Accord, injektionsvæske, opløsning i fyldt injektionssprøjte 0,1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AE0B" w14:textId="77777777" w:rsidR="001272B4" w:rsidRDefault="001272B4">
      <w:r>
        <w:separator/>
      </w:r>
    </w:p>
  </w:footnote>
  <w:footnote w:type="continuationSeparator" w:id="0">
    <w:p w14:paraId="1077A574" w14:textId="77777777" w:rsidR="001272B4" w:rsidRDefault="0012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197EB4"/>
    <w:multiLevelType w:val="hybridMultilevel"/>
    <w:tmpl w:val="3F8C671E"/>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763F43"/>
    <w:multiLevelType w:val="hybridMultilevel"/>
    <w:tmpl w:val="626A0A12"/>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3BE68A4"/>
    <w:multiLevelType w:val="hybridMultilevel"/>
    <w:tmpl w:val="5A22646E"/>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E26A1D"/>
    <w:multiLevelType w:val="hybridMultilevel"/>
    <w:tmpl w:val="62E66AEA"/>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B4"/>
    <w:rsid w:val="000259B9"/>
    <w:rsid w:val="00041491"/>
    <w:rsid w:val="00050D16"/>
    <w:rsid w:val="00074F2A"/>
    <w:rsid w:val="000A1CA8"/>
    <w:rsid w:val="000A466B"/>
    <w:rsid w:val="000B058C"/>
    <w:rsid w:val="000E4EE6"/>
    <w:rsid w:val="001272B4"/>
    <w:rsid w:val="001454E2"/>
    <w:rsid w:val="00203881"/>
    <w:rsid w:val="00206CE8"/>
    <w:rsid w:val="0021526C"/>
    <w:rsid w:val="00245AA8"/>
    <w:rsid w:val="00283A2B"/>
    <w:rsid w:val="002A4648"/>
    <w:rsid w:val="002B30AD"/>
    <w:rsid w:val="002C2C01"/>
    <w:rsid w:val="00321153"/>
    <w:rsid w:val="00383815"/>
    <w:rsid w:val="003A29AE"/>
    <w:rsid w:val="003A32D7"/>
    <w:rsid w:val="003B4074"/>
    <w:rsid w:val="003C769A"/>
    <w:rsid w:val="003F1838"/>
    <w:rsid w:val="004164AE"/>
    <w:rsid w:val="0045746C"/>
    <w:rsid w:val="0049104B"/>
    <w:rsid w:val="004E3B12"/>
    <w:rsid w:val="00532310"/>
    <w:rsid w:val="00565F0F"/>
    <w:rsid w:val="00594A86"/>
    <w:rsid w:val="00596D86"/>
    <w:rsid w:val="00637F5A"/>
    <w:rsid w:val="006560B1"/>
    <w:rsid w:val="006756DD"/>
    <w:rsid w:val="00734C18"/>
    <w:rsid w:val="00737275"/>
    <w:rsid w:val="00740EEC"/>
    <w:rsid w:val="0078011A"/>
    <w:rsid w:val="00782AF4"/>
    <w:rsid w:val="00790EE7"/>
    <w:rsid w:val="007B6649"/>
    <w:rsid w:val="008159FC"/>
    <w:rsid w:val="0082576E"/>
    <w:rsid w:val="008378EB"/>
    <w:rsid w:val="00907F75"/>
    <w:rsid w:val="009260DE"/>
    <w:rsid w:val="0093258A"/>
    <w:rsid w:val="009C7BA3"/>
    <w:rsid w:val="009D1F5A"/>
    <w:rsid w:val="00A6096F"/>
    <w:rsid w:val="00A7323C"/>
    <w:rsid w:val="00AF0D56"/>
    <w:rsid w:val="00B003BF"/>
    <w:rsid w:val="00B373D7"/>
    <w:rsid w:val="00B42B16"/>
    <w:rsid w:val="00C36276"/>
    <w:rsid w:val="00C42586"/>
    <w:rsid w:val="00C60CCD"/>
    <w:rsid w:val="00C84483"/>
    <w:rsid w:val="00C95551"/>
    <w:rsid w:val="00CB20D7"/>
    <w:rsid w:val="00D020B0"/>
    <w:rsid w:val="00D11748"/>
    <w:rsid w:val="00D155FD"/>
    <w:rsid w:val="00D366CF"/>
    <w:rsid w:val="00E108AA"/>
    <w:rsid w:val="00E3749A"/>
    <w:rsid w:val="00E64570"/>
    <w:rsid w:val="00E7437F"/>
    <w:rsid w:val="00E865B8"/>
    <w:rsid w:val="00EC0B9B"/>
    <w:rsid w:val="00ED5E9F"/>
    <w:rsid w:val="00F20CB7"/>
    <w:rsid w:val="00F66D4F"/>
    <w:rsid w:val="00F952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7271"/>
  <w15:chartTrackingRefBased/>
  <w15:docId w15:val="{8F7C3649-5546-4C32-9688-7F91997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B42B16"/>
    <w:pPr>
      <w:spacing w:before="100" w:beforeAutospacing="1" w:after="100" w:afterAutospacing="1"/>
    </w:pPr>
    <w:rPr>
      <w:sz w:val="24"/>
      <w:szCs w:val="24"/>
      <w:lang w:eastAsia="en-IN"/>
    </w:rPr>
  </w:style>
  <w:style w:type="character" w:styleId="Hyperlink">
    <w:name w:val="Hyperlink"/>
    <w:semiHidden/>
    <w:unhideWhenUsed/>
    <w:rsid w:val="00B42B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2985">
      <w:bodyDiv w:val="1"/>
      <w:marLeft w:val="0"/>
      <w:marRight w:val="0"/>
      <w:marTop w:val="0"/>
      <w:marBottom w:val="0"/>
      <w:divBdr>
        <w:top w:val="none" w:sz="0" w:space="0" w:color="auto"/>
        <w:left w:val="none" w:sz="0" w:space="0" w:color="auto"/>
        <w:bottom w:val="none" w:sz="0" w:space="0" w:color="auto"/>
        <w:right w:val="none" w:sz="0" w:space="0" w:color="auto"/>
      </w:divBdr>
    </w:div>
    <w:div w:id="1602408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496359">
      <w:bodyDiv w:val="1"/>
      <w:marLeft w:val="0"/>
      <w:marRight w:val="0"/>
      <w:marTop w:val="0"/>
      <w:marBottom w:val="0"/>
      <w:divBdr>
        <w:top w:val="none" w:sz="0" w:space="0" w:color="auto"/>
        <w:left w:val="none" w:sz="0" w:space="0" w:color="auto"/>
        <w:bottom w:val="none" w:sz="0" w:space="0" w:color="auto"/>
        <w:right w:val="none" w:sz="0" w:space="0" w:color="auto"/>
      </w:divBdr>
    </w:div>
    <w:div w:id="402869655">
      <w:bodyDiv w:val="1"/>
      <w:marLeft w:val="0"/>
      <w:marRight w:val="0"/>
      <w:marTop w:val="0"/>
      <w:marBottom w:val="0"/>
      <w:divBdr>
        <w:top w:val="none" w:sz="0" w:space="0" w:color="auto"/>
        <w:left w:val="none" w:sz="0" w:space="0" w:color="auto"/>
        <w:bottom w:val="none" w:sz="0" w:space="0" w:color="auto"/>
        <w:right w:val="none" w:sz="0" w:space="0" w:color="auto"/>
      </w:divBdr>
    </w:div>
    <w:div w:id="542014062">
      <w:bodyDiv w:val="1"/>
      <w:marLeft w:val="0"/>
      <w:marRight w:val="0"/>
      <w:marTop w:val="0"/>
      <w:marBottom w:val="0"/>
      <w:divBdr>
        <w:top w:val="none" w:sz="0" w:space="0" w:color="auto"/>
        <w:left w:val="none" w:sz="0" w:space="0" w:color="auto"/>
        <w:bottom w:val="none" w:sz="0" w:space="0" w:color="auto"/>
        <w:right w:val="none" w:sz="0" w:space="0" w:color="auto"/>
      </w:divBdr>
    </w:div>
    <w:div w:id="706493134">
      <w:bodyDiv w:val="1"/>
      <w:marLeft w:val="0"/>
      <w:marRight w:val="0"/>
      <w:marTop w:val="0"/>
      <w:marBottom w:val="0"/>
      <w:divBdr>
        <w:top w:val="none" w:sz="0" w:space="0" w:color="auto"/>
        <w:left w:val="none" w:sz="0" w:space="0" w:color="auto"/>
        <w:bottom w:val="none" w:sz="0" w:space="0" w:color="auto"/>
        <w:right w:val="none" w:sz="0" w:space="0" w:color="auto"/>
      </w:divBdr>
    </w:div>
    <w:div w:id="786852898">
      <w:bodyDiv w:val="1"/>
      <w:marLeft w:val="0"/>
      <w:marRight w:val="0"/>
      <w:marTop w:val="0"/>
      <w:marBottom w:val="0"/>
      <w:divBdr>
        <w:top w:val="none" w:sz="0" w:space="0" w:color="auto"/>
        <w:left w:val="none" w:sz="0" w:space="0" w:color="auto"/>
        <w:bottom w:val="none" w:sz="0" w:space="0" w:color="auto"/>
        <w:right w:val="none" w:sz="0" w:space="0" w:color="auto"/>
      </w:divBdr>
    </w:div>
    <w:div w:id="794762533">
      <w:bodyDiv w:val="1"/>
      <w:marLeft w:val="0"/>
      <w:marRight w:val="0"/>
      <w:marTop w:val="0"/>
      <w:marBottom w:val="0"/>
      <w:divBdr>
        <w:top w:val="none" w:sz="0" w:space="0" w:color="auto"/>
        <w:left w:val="none" w:sz="0" w:space="0" w:color="auto"/>
        <w:bottom w:val="none" w:sz="0" w:space="0" w:color="auto"/>
        <w:right w:val="none" w:sz="0" w:space="0" w:color="auto"/>
      </w:divBdr>
    </w:div>
    <w:div w:id="830413923">
      <w:bodyDiv w:val="1"/>
      <w:marLeft w:val="0"/>
      <w:marRight w:val="0"/>
      <w:marTop w:val="0"/>
      <w:marBottom w:val="0"/>
      <w:divBdr>
        <w:top w:val="none" w:sz="0" w:space="0" w:color="auto"/>
        <w:left w:val="none" w:sz="0" w:space="0" w:color="auto"/>
        <w:bottom w:val="none" w:sz="0" w:space="0" w:color="auto"/>
        <w:right w:val="none" w:sz="0" w:space="0" w:color="auto"/>
      </w:divBdr>
    </w:div>
    <w:div w:id="904030838">
      <w:bodyDiv w:val="1"/>
      <w:marLeft w:val="0"/>
      <w:marRight w:val="0"/>
      <w:marTop w:val="0"/>
      <w:marBottom w:val="0"/>
      <w:divBdr>
        <w:top w:val="none" w:sz="0" w:space="0" w:color="auto"/>
        <w:left w:val="none" w:sz="0" w:space="0" w:color="auto"/>
        <w:bottom w:val="none" w:sz="0" w:space="0" w:color="auto"/>
        <w:right w:val="none" w:sz="0" w:space="0" w:color="auto"/>
      </w:divBdr>
    </w:div>
    <w:div w:id="1065297830">
      <w:bodyDiv w:val="1"/>
      <w:marLeft w:val="0"/>
      <w:marRight w:val="0"/>
      <w:marTop w:val="0"/>
      <w:marBottom w:val="0"/>
      <w:divBdr>
        <w:top w:val="none" w:sz="0" w:space="0" w:color="auto"/>
        <w:left w:val="none" w:sz="0" w:space="0" w:color="auto"/>
        <w:bottom w:val="none" w:sz="0" w:space="0" w:color="auto"/>
        <w:right w:val="none" w:sz="0" w:space="0" w:color="auto"/>
      </w:divBdr>
    </w:div>
    <w:div w:id="1215501974">
      <w:bodyDiv w:val="1"/>
      <w:marLeft w:val="0"/>
      <w:marRight w:val="0"/>
      <w:marTop w:val="0"/>
      <w:marBottom w:val="0"/>
      <w:divBdr>
        <w:top w:val="none" w:sz="0" w:space="0" w:color="auto"/>
        <w:left w:val="none" w:sz="0" w:space="0" w:color="auto"/>
        <w:bottom w:val="none" w:sz="0" w:space="0" w:color="auto"/>
        <w:right w:val="none" w:sz="0" w:space="0" w:color="auto"/>
      </w:divBdr>
    </w:div>
    <w:div w:id="1307323618">
      <w:bodyDiv w:val="1"/>
      <w:marLeft w:val="0"/>
      <w:marRight w:val="0"/>
      <w:marTop w:val="0"/>
      <w:marBottom w:val="0"/>
      <w:divBdr>
        <w:top w:val="none" w:sz="0" w:space="0" w:color="auto"/>
        <w:left w:val="none" w:sz="0" w:space="0" w:color="auto"/>
        <w:bottom w:val="none" w:sz="0" w:space="0" w:color="auto"/>
        <w:right w:val="none" w:sz="0" w:space="0" w:color="auto"/>
      </w:divBdr>
    </w:div>
    <w:div w:id="1517382252">
      <w:bodyDiv w:val="1"/>
      <w:marLeft w:val="0"/>
      <w:marRight w:val="0"/>
      <w:marTop w:val="0"/>
      <w:marBottom w:val="0"/>
      <w:divBdr>
        <w:top w:val="none" w:sz="0" w:space="0" w:color="auto"/>
        <w:left w:val="none" w:sz="0" w:space="0" w:color="auto"/>
        <w:bottom w:val="none" w:sz="0" w:space="0" w:color="auto"/>
        <w:right w:val="none" w:sz="0" w:space="0" w:color="auto"/>
      </w:divBdr>
    </w:div>
    <w:div w:id="1533690994">
      <w:bodyDiv w:val="1"/>
      <w:marLeft w:val="0"/>
      <w:marRight w:val="0"/>
      <w:marTop w:val="0"/>
      <w:marBottom w:val="0"/>
      <w:divBdr>
        <w:top w:val="none" w:sz="0" w:space="0" w:color="auto"/>
        <w:left w:val="none" w:sz="0" w:space="0" w:color="auto"/>
        <w:bottom w:val="none" w:sz="0" w:space="0" w:color="auto"/>
        <w:right w:val="none" w:sz="0" w:space="0" w:color="auto"/>
      </w:divBdr>
    </w:div>
    <w:div w:id="1541436228">
      <w:bodyDiv w:val="1"/>
      <w:marLeft w:val="0"/>
      <w:marRight w:val="0"/>
      <w:marTop w:val="0"/>
      <w:marBottom w:val="0"/>
      <w:divBdr>
        <w:top w:val="none" w:sz="0" w:space="0" w:color="auto"/>
        <w:left w:val="none" w:sz="0" w:space="0" w:color="auto"/>
        <w:bottom w:val="none" w:sz="0" w:space="0" w:color="auto"/>
        <w:right w:val="none" w:sz="0" w:space="0" w:color="auto"/>
      </w:divBdr>
    </w:div>
    <w:div w:id="1556233126">
      <w:bodyDiv w:val="1"/>
      <w:marLeft w:val="0"/>
      <w:marRight w:val="0"/>
      <w:marTop w:val="0"/>
      <w:marBottom w:val="0"/>
      <w:divBdr>
        <w:top w:val="none" w:sz="0" w:space="0" w:color="auto"/>
        <w:left w:val="none" w:sz="0" w:space="0" w:color="auto"/>
        <w:bottom w:val="none" w:sz="0" w:space="0" w:color="auto"/>
        <w:right w:val="none" w:sz="0" w:space="0" w:color="auto"/>
      </w:divBdr>
    </w:div>
    <w:div w:id="1609770554">
      <w:bodyDiv w:val="1"/>
      <w:marLeft w:val="0"/>
      <w:marRight w:val="0"/>
      <w:marTop w:val="0"/>
      <w:marBottom w:val="0"/>
      <w:divBdr>
        <w:top w:val="none" w:sz="0" w:space="0" w:color="auto"/>
        <w:left w:val="none" w:sz="0" w:space="0" w:color="auto"/>
        <w:bottom w:val="none" w:sz="0" w:space="0" w:color="auto"/>
        <w:right w:val="none" w:sz="0" w:space="0" w:color="auto"/>
      </w:divBdr>
    </w:div>
    <w:div w:id="1627927862">
      <w:bodyDiv w:val="1"/>
      <w:marLeft w:val="0"/>
      <w:marRight w:val="0"/>
      <w:marTop w:val="0"/>
      <w:marBottom w:val="0"/>
      <w:divBdr>
        <w:top w:val="none" w:sz="0" w:space="0" w:color="auto"/>
        <w:left w:val="none" w:sz="0" w:space="0" w:color="auto"/>
        <w:bottom w:val="none" w:sz="0" w:space="0" w:color="auto"/>
        <w:right w:val="none" w:sz="0" w:space="0" w:color="auto"/>
      </w:divBdr>
    </w:div>
    <w:div w:id="1766265782">
      <w:bodyDiv w:val="1"/>
      <w:marLeft w:val="0"/>
      <w:marRight w:val="0"/>
      <w:marTop w:val="0"/>
      <w:marBottom w:val="0"/>
      <w:divBdr>
        <w:top w:val="none" w:sz="0" w:space="0" w:color="auto"/>
        <w:left w:val="none" w:sz="0" w:space="0" w:color="auto"/>
        <w:bottom w:val="none" w:sz="0" w:space="0" w:color="auto"/>
        <w:right w:val="none" w:sz="0" w:space="0" w:color="auto"/>
      </w:divBdr>
    </w:div>
    <w:div w:id="1867257247">
      <w:bodyDiv w:val="1"/>
      <w:marLeft w:val="0"/>
      <w:marRight w:val="0"/>
      <w:marTop w:val="0"/>
      <w:marBottom w:val="0"/>
      <w:divBdr>
        <w:top w:val="none" w:sz="0" w:space="0" w:color="auto"/>
        <w:left w:val="none" w:sz="0" w:space="0" w:color="auto"/>
        <w:bottom w:val="none" w:sz="0" w:space="0" w:color="auto"/>
        <w:right w:val="none" w:sz="0" w:space="0" w:color="auto"/>
      </w:divBdr>
    </w:div>
    <w:div w:id="1918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2188</Words>
  <Characters>14527</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2024074630, punkt 6.3</dc:description>
  <cp:lastModifiedBy>Alexandra Wæver</cp:lastModifiedBy>
  <cp:revision>2</cp:revision>
  <cp:lastPrinted>2012-08-22T08:53:00Z</cp:lastPrinted>
  <dcterms:created xsi:type="dcterms:W3CDTF">2024-08-21T10:22:00Z</dcterms:created>
  <dcterms:modified xsi:type="dcterms:W3CDTF">2024-08-21T10:22:00Z</dcterms:modified>
</cp:coreProperties>
</file>