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E54C55"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3CEB3288" wp14:editId="25FE644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3AE1439" w14:textId="77777777" w:rsidR="009260DE" w:rsidRPr="00C84483" w:rsidRDefault="009260DE" w:rsidP="009260DE">
      <w:pPr>
        <w:pStyle w:val="Titel"/>
        <w:tabs>
          <w:tab w:val="right" w:pos="9356"/>
        </w:tabs>
        <w:jc w:val="left"/>
        <w:rPr>
          <w:b w:val="0"/>
          <w:szCs w:val="24"/>
          <w:lang w:eastAsia="en-US"/>
        </w:rPr>
      </w:pPr>
    </w:p>
    <w:p w14:paraId="684AA326" w14:textId="566C96E5"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E2160">
        <w:rPr>
          <w:szCs w:val="24"/>
        </w:rPr>
        <w:t>1. april 2025</w:t>
      </w:r>
    </w:p>
    <w:p w14:paraId="1261DDD9" w14:textId="77777777" w:rsidR="009260DE" w:rsidRPr="00C84483" w:rsidRDefault="009260DE" w:rsidP="009260DE">
      <w:pPr>
        <w:pStyle w:val="Titel"/>
        <w:tabs>
          <w:tab w:val="left" w:pos="8222"/>
        </w:tabs>
        <w:jc w:val="left"/>
        <w:rPr>
          <w:b w:val="0"/>
          <w:szCs w:val="24"/>
        </w:rPr>
      </w:pPr>
    </w:p>
    <w:p w14:paraId="4F8876AB" w14:textId="77777777" w:rsidR="009260DE" w:rsidRPr="00C84483" w:rsidRDefault="009260DE" w:rsidP="009260DE">
      <w:pPr>
        <w:pStyle w:val="Titel"/>
        <w:jc w:val="left"/>
        <w:rPr>
          <w:b w:val="0"/>
          <w:szCs w:val="24"/>
        </w:rPr>
      </w:pPr>
    </w:p>
    <w:p w14:paraId="413D57BC" w14:textId="77777777" w:rsidR="009260DE" w:rsidRPr="00C84483" w:rsidRDefault="009260DE" w:rsidP="009260DE">
      <w:pPr>
        <w:pStyle w:val="Titel"/>
        <w:jc w:val="left"/>
        <w:rPr>
          <w:b w:val="0"/>
          <w:szCs w:val="24"/>
        </w:rPr>
      </w:pPr>
    </w:p>
    <w:p w14:paraId="695BAA6D" w14:textId="77777777" w:rsidR="009260DE" w:rsidRPr="00C84483" w:rsidRDefault="009260DE" w:rsidP="009260DE">
      <w:pPr>
        <w:jc w:val="center"/>
        <w:rPr>
          <w:b/>
          <w:sz w:val="24"/>
          <w:szCs w:val="24"/>
        </w:rPr>
      </w:pPr>
      <w:r w:rsidRPr="00C84483">
        <w:rPr>
          <w:b/>
          <w:sz w:val="24"/>
          <w:szCs w:val="24"/>
        </w:rPr>
        <w:t>PRODUKTRESUMÉ</w:t>
      </w:r>
    </w:p>
    <w:p w14:paraId="7CA5FD59" w14:textId="77777777" w:rsidR="009260DE" w:rsidRPr="00C84483" w:rsidRDefault="009260DE" w:rsidP="009260DE">
      <w:pPr>
        <w:jc w:val="center"/>
        <w:rPr>
          <w:b/>
          <w:sz w:val="24"/>
          <w:szCs w:val="24"/>
        </w:rPr>
      </w:pPr>
    </w:p>
    <w:p w14:paraId="06F532CD" w14:textId="77777777" w:rsidR="009260DE" w:rsidRDefault="009260DE" w:rsidP="009260DE">
      <w:pPr>
        <w:jc w:val="center"/>
        <w:rPr>
          <w:b/>
          <w:sz w:val="24"/>
          <w:szCs w:val="24"/>
        </w:rPr>
      </w:pPr>
      <w:r w:rsidRPr="00C84483">
        <w:rPr>
          <w:b/>
          <w:sz w:val="24"/>
          <w:szCs w:val="24"/>
        </w:rPr>
        <w:t>for</w:t>
      </w:r>
    </w:p>
    <w:p w14:paraId="07AA9281" w14:textId="77777777" w:rsidR="000B058C" w:rsidRPr="00C84483" w:rsidRDefault="000B058C" w:rsidP="009260DE">
      <w:pPr>
        <w:jc w:val="center"/>
        <w:rPr>
          <w:b/>
          <w:sz w:val="24"/>
          <w:szCs w:val="24"/>
        </w:rPr>
      </w:pPr>
    </w:p>
    <w:p w14:paraId="35C322E6" w14:textId="77777777" w:rsidR="009260DE" w:rsidRPr="00C84483" w:rsidRDefault="00595A3B" w:rsidP="009260DE">
      <w:pPr>
        <w:jc w:val="center"/>
        <w:rPr>
          <w:b/>
          <w:sz w:val="24"/>
          <w:szCs w:val="24"/>
        </w:rPr>
      </w:pPr>
      <w:r>
        <w:rPr>
          <w:b/>
          <w:sz w:val="24"/>
          <w:szCs w:val="24"/>
        </w:rPr>
        <w:t>Atropine "Noridem", injektionsvæske, opløsning</w:t>
      </w:r>
    </w:p>
    <w:p w14:paraId="1A1EA8B3" w14:textId="77777777" w:rsidR="009260DE" w:rsidRPr="00C84483" w:rsidRDefault="009260DE" w:rsidP="009260DE">
      <w:pPr>
        <w:jc w:val="both"/>
        <w:rPr>
          <w:sz w:val="24"/>
          <w:szCs w:val="24"/>
        </w:rPr>
      </w:pPr>
    </w:p>
    <w:p w14:paraId="253A9805" w14:textId="77777777" w:rsidR="009260DE" w:rsidRPr="00C84483" w:rsidRDefault="009260DE" w:rsidP="009260DE">
      <w:pPr>
        <w:jc w:val="both"/>
        <w:rPr>
          <w:sz w:val="24"/>
          <w:szCs w:val="24"/>
        </w:rPr>
      </w:pPr>
    </w:p>
    <w:p w14:paraId="53E6CC1C"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58313546" w14:textId="6BD4BB7E" w:rsidR="009260DE" w:rsidRPr="00C84483" w:rsidRDefault="00AE10B7" w:rsidP="009260DE">
      <w:pPr>
        <w:tabs>
          <w:tab w:val="left" w:pos="851"/>
        </w:tabs>
        <w:ind w:left="851"/>
        <w:rPr>
          <w:sz w:val="24"/>
          <w:szCs w:val="24"/>
        </w:rPr>
      </w:pPr>
      <w:r>
        <w:rPr>
          <w:sz w:val="24"/>
          <w:szCs w:val="24"/>
        </w:rPr>
        <w:t>34129</w:t>
      </w:r>
    </w:p>
    <w:p w14:paraId="72D595DE" w14:textId="77777777" w:rsidR="009260DE" w:rsidRPr="00C84483" w:rsidRDefault="009260DE" w:rsidP="009260DE">
      <w:pPr>
        <w:tabs>
          <w:tab w:val="left" w:pos="851"/>
        </w:tabs>
        <w:ind w:left="851"/>
        <w:rPr>
          <w:sz w:val="24"/>
          <w:szCs w:val="24"/>
        </w:rPr>
      </w:pPr>
    </w:p>
    <w:p w14:paraId="06E364E1"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CA1CFB2" w14:textId="62E23542" w:rsidR="009260DE" w:rsidRPr="00C84483" w:rsidRDefault="00AE10B7" w:rsidP="009260DE">
      <w:pPr>
        <w:tabs>
          <w:tab w:val="left" w:pos="851"/>
        </w:tabs>
        <w:ind w:left="851"/>
        <w:rPr>
          <w:sz w:val="24"/>
          <w:szCs w:val="24"/>
        </w:rPr>
      </w:pPr>
      <w:r>
        <w:rPr>
          <w:sz w:val="24"/>
          <w:szCs w:val="24"/>
        </w:rPr>
        <w:t>Atropine "Noridem"</w:t>
      </w:r>
    </w:p>
    <w:p w14:paraId="46A9D633" w14:textId="77777777" w:rsidR="009260DE" w:rsidRPr="00C84483" w:rsidRDefault="009260DE" w:rsidP="009260DE">
      <w:pPr>
        <w:tabs>
          <w:tab w:val="left" w:pos="851"/>
        </w:tabs>
        <w:ind w:left="851"/>
        <w:rPr>
          <w:sz w:val="24"/>
          <w:szCs w:val="24"/>
        </w:rPr>
      </w:pPr>
    </w:p>
    <w:p w14:paraId="7C8B4A00"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0CAFE597" w14:textId="77777777" w:rsidR="006D6D59" w:rsidRPr="006D6D59" w:rsidRDefault="006D6D59" w:rsidP="006D6D59">
      <w:pPr>
        <w:tabs>
          <w:tab w:val="left" w:pos="851"/>
        </w:tabs>
        <w:ind w:left="851"/>
        <w:rPr>
          <w:sz w:val="24"/>
          <w:szCs w:val="24"/>
        </w:rPr>
      </w:pPr>
      <w:r w:rsidRPr="006D6D59">
        <w:rPr>
          <w:sz w:val="24"/>
          <w:szCs w:val="24"/>
        </w:rPr>
        <w:t xml:space="preserve">Hver 1 ml ampul indeholder 1 mg atropinsulfat. </w:t>
      </w:r>
    </w:p>
    <w:p w14:paraId="530782C8" w14:textId="77777777" w:rsidR="006D6D59" w:rsidRPr="006D6D59" w:rsidRDefault="006D6D59" w:rsidP="006D6D59">
      <w:pPr>
        <w:tabs>
          <w:tab w:val="left" w:pos="851"/>
        </w:tabs>
        <w:ind w:left="851"/>
        <w:rPr>
          <w:sz w:val="24"/>
          <w:szCs w:val="24"/>
        </w:rPr>
      </w:pPr>
    </w:p>
    <w:p w14:paraId="623123F2" w14:textId="598A88D6" w:rsidR="006D6D59" w:rsidRPr="006D6D59" w:rsidRDefault="006D6D59" w:rsidP="006D6D59">
      <w:pPr>
        <w:tabs>
          <w:tab w:val="left" w:pos="851"/>
        </w:tabs>
        <w:ind w:left="851"/>
        <w:rPr>
          <w:sz w:val="24"/>
          <w:szCs w:val="24"/>
          <w:u w:val="single"/>
        </w:rPr>
      </w:pPr>
      <w:r w:rsidRPr="006D6D59">
        <w:rPr>
          <w:sz w:val="24"/>
          <w:szCs w:val="24"/>
          <w:u w:val="single"/>
        </w:rPr>
        <w:t>Hjælpestof, som behandleren skal være opmærksom på</w:t>
      </w:r>
    </w:p>
    <w:p w14:paraId="123CED55" w14:textId="77777777" w:rsidR="006D6D59" w:rsidRPr="006D6D59" w:rsidRDefault="006D6D59" w:rsidP="006D6D59">
      <w:pPr>
        <w:tabs>
          <w:tab w:val="left" w:pos="851"/>
        </w:tabs>
        <w:ind w:left="851"/>
        <w:rPr>
          <w:sz w:val="24"/>
          <w:szCs w:val="24"/>
        </w:rPr>
      </w:pPr>
      <w:r w:rsidRPr="006D6D59">
        <w:rPr>
          <w:sz w:val="24"/>
          <w:szCs w:val="24"/>
        </w:rPr>
        <w:t>Hver milliliter (ml) Atropine "Noridem" indeholder ca. 3,54 mg (0,154 mmol) natrium.</w:t>
      </w:r>
    </w:p>
    <w:p w14:paraId="4669975E" w14:textId="77777777" w:rsidR="006D6D59" w:rsidRPr="006D6D59" w:rsidRDefault="006D6D59" w:rsidP="006D6D59">
      <w:pPr>
        <w:tabs>
          <w:tab w:val="left" w:pos="851"/>
        </w:tabs>
        <w:ind w:left="851"/>
        <w:rPr>
          <w:sz w:val="24"/>
          <w:szCs w:val="24"/>
          <w:lang w:val="sv-SE"/>
        </w:rPr>
      </w:pPr>
    </w:p>
    <w:p w14:paraId="5BE0C18C" w14:textId="77777777" w:rsidR="006D6D59" w:rsidRPr="006D6D59" w:rsidRDefault="006D6D59" w:rsidP="006D6D59">
      <w:pPr>
        <w:tabs>
          <w:tab w:val="left" w:pos="851"/>
        </w:tabs>
        <w:ind w:left="851"/>
        <w:rPr>
          <w:sz w:val="24"/>
          <w:szCs w:val="24"/>
        </w:rPr>
      </w:pPr>
      <w:r w:rsidRPr="006D6D59">
        <w:rPr>
          <w:sz w:val="24"/>
          <w:szCs w:val="24"/>
        </w:rPr>
        <w:t>Alle hjælpestoffer er anført under pkt. 6.1.</w:t>
      </w:r>
    </w:p>
    <w:p w14:paraId="30E9A0C8" w14:textId="77777777" w:rsidR="009260DE" w:rsidRPr="00C84483" w:rsidRDefault="009260DE" w:rsidP="009260DE">
      <w:pPr>
        <w:tabs>
          <w:tab w:val="left" w:pos="851"/>
        </w:tabs>
        <w:ind w:left="851"/>
        <w:rPr>
          <w:sz w:val="24"/>
          <w:szCs w:val="24"/>
        </w:rPr>
      </w:pPr>
    </w:p>
    <w:p w14:paraId="0DC9DE58"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609D5AC6" w14:textId="51E8013C" w:rsidR="006D6D59" w:rsidRDefault="006D6D59" w:rsidP="006D6D59">
      <w:pPr>
        <w:tabs>
          <w:tab w:val="left" w:pos="851"/>
        </w:tabs>
        <w:ind w:left="851"/>
        <w:rPr>
          <w:sz w:val="24"/>
          <w:szCs w:val="24"/>
        </w:rPr>
      </w:pPr>
      <w:r w:rsidRPr="006D6D59">
        <w:rPr>
          <w:sz w:val="24"/>
          <w:szCs w:val="24"/>
        </w:rPr>
        <w:t>Injektionsvæske, opløsning</w:t>
      </w:r>
    </w:p>
    <w:p w14:paraId="4C842A5F" w14:textId="77777777" w:rsidR="006D6D59" w:rsidRPr="006D6D59" w:rsidRDefault="006D6D59" w:rsidP="006D6D59">
      <w:pPr>
        <w:tabs>
          <w:tab w:val="left" w:pos="851"/>
        </w:tabs>
        <w:ind w:left="851"/>
        <w:rPr>
          <w:sz w:val="24"/>
          <w:szCs w:val="24"/>
        </w:rPr>
      </w:pPr>
    </w:p>
    <w:p w14:paraId="0FB0366C" w14:textId="77777777" w:rsidR="006D6D59" w:rsidRPr="006D6D59" w:rsidRDefault="006D6D59" w:rsidP="006D6D59">
      <w:pPr>
        <w:tabs>
          <w:tab w:val="left" w:pos="851"/>
        </w:tabs>
        <w:ind w:left="851"/>
        <w:rPr>
          <w:sz w:val="24"/>
          <w:szCs w:val="24"/>
        </w:rPr>
      </w:pPr>
      <w:r w:rsidRPr="006D6D59">
        <w:rPr>
          <w:sz w:val="24"/>
          <w:szCs w:val="24"/>
        </w:rPr>
        <w:t xml:space="preserve">Klar, farveløs opløsning. </w:t>
      </w:r>
    </w:p>
    <w:p w14:paraId="76249490" w14:textId="055A549C" w:rsidR="006D6D59" w:rsidRPr="006D6D59" w:rsidRDefault="006D6D59" w:rsidP="006D6D59">
      <w:pPr>
        <w:tabs>
          <w:tab w:val="left" w:pos="851"/>
        </w:tabs>
        <w:ind w:left="851"/>
        <w:rPr>
          <w:sz w:val="24"/>
          <w:szCs w:val="24"/>
        </w:rPr>
      </w:pPr>
      <w:r w:rsidRPr="006D6D59">
        <w:rPr>
          <w:sz w:val="24"/>
          <w:szCs w:val="24"/>
        </w:rPr>
        <w:t>pH: 3,00</w:t>
      </w:r>
      <w:r w:rsidRPr="006D6D59">
        <w:rPr>
          <w:sz w:val="24"/>
          <w:szCs w:val="24"/>
        </w:rPr>
        <w:noBreakHyphen/>
        <w:t>4,50</w:t>
      </w:r>
      <w:r>
        <w:rPr>
          <w:sz w:val="24"/>
          <w:szCs w:val="24"/>
        </w:rPr>
        <w:t>.</w:t>
      </w:r>
    </w:p>
    <w:p w14:paraId="74645584" w14:textId="756C8CD5" w:rsidR="006D6D59" w:rsidRPr="006D6D59" w:rsidRDefault="006D6D59" w:rsidP="006D6D59">
      <w:pPr>
        <w:tabs>
          <w:tab w:val="left" w:pos="851"/>
        </w:tabs>
        <w:ind w:left="851"/>
        <w:rPr>
          <w:sz w:val="24"/>
          <w:szCs w:val="24"/>
        </w:rPr>
      </w:pPr>
      <w:r w:rsidRPr="006D6D59">
        <w:rPr>
          <w:sz w:val="24"/>
          <w:szCs w:val="24"/>
        </w:rPr>
        <w:t>Osmolalitet: 270</w:t>
      </w:r>
      <w:r w:rsidRPr="006D6D59">
        <w:rPr>
          <w:sz w:val="24"/>
          <w:szCs w:val="24"/>
        </w:rPr>
        <w:noBreakHyphen/>
        <w:t>310 mOsm/kg</w:t>
      </w:r>
      <w:r>
        <w:rPr>
          <w:sz w:val="24"/>
          <w:szCs w:val="24"/>
        </w:rPr>
        <w:t>.</w:t>
      </w:r>
    </w:p>
    <w:p w14:paraId="492F7100" w14:textId="77777777" w:rsidR="009260DE" w:rsidRPr="00C84483" w:rsidRDefault="009260DE" w:rsidP="009260DE">
      <w:pPr>
        <w:tabs>
          <w:tab w:val="left" w:pos="851"/>
        </w:tabs>
        <w:ind w:left="851"/>
        <w:rPr>
          <w:sz w:val="24"/>
          <w:szCs w:val="24"/>
        </w:rPr>
      </w:pPr>
    </w:p>
    <w:p w14:paraId="3C0EE989" w14:textId="77777777" w:rsidR="009260DE" w:rsidRPr="00C84483" w:rsidRDefault="009260DE" w:rsidP="009260DE">
      <w:pPr>
        <w:tabs>
          <w:tab w:val="left" w:pos="851"/>
        </w:tabs>
        <w:ind w:left="851"/>
        <w:rPr>
          <w:sz w:val="24"/>
          <w:szCs w:val="24"/>
        </w:rPr>
      </w:pPr>
    </w:p>
    <w:p w14:paraId="23221320"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D446ABE" w14:textId="77777777" w:rsidR="009260DE" w:rsidRPr="00C84483" w:rsidRDefault="009260DE" w:rsidP="009260DE">
      <w:pPr>
        <w:tabs>
          <w:tab w:val="left" w:pos="851"/>
        </w:tabs>
        <w:ind w:left="851"/>
        <w:rPr>
          <w:b/>
          <w:sz w:val="24"/>
          <w:szCs w:val="24"/>
        </w:rPr>
      </w:pPr>
    </w:p>
    <w:p w14:paraId="74BFFD19"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F5872A7" w14:textId="77777777" w:rsidR="006D6D59" w:rsidRDefault="006D6D59" w:rsidP="006D6D59">
      <w:pPr>
        <w:tabs>
          <w:tab w:val="left" w:pos="851"/>
        </w:tabs>
        <w:ind w:left="851"/>
        <w:rPr>
          <w:sz w:val="24"/>
          <w:szCs w:val="24"/>
          <w:u w:val="single"/>
        </w:rPr>
      </w:pPr>
    </w:p>
    <w:p w14:paraId="02D9CB3F" w14:textId="45502997" w:rsidR="006D6D59" w:rsidRPr="006D6D59" w:rsidRDefault="006D6D59" w:rsidP="006D6D59">
      <w:pPr>
        <w:tabs>
          <w:tab w:val="left" w:pos="851"/>
        </w:tabs>
        <w:ind w:left="851"/>
        <w:rPr>
          <w:sz w:val="24"/>
          <w:szCs w:val="24"/>
        </w:rPr>
      </w:pPr>
      <w:r w:rsidRPr="006D6D59">
        <w:rPr>
          <w:sz w:val="24"/>
          <w:szCs w:val="24"/>
        </w:rPr>
        <w:t xml:space="preserve">Atropine "Noridem" er indiceret til den pædiatriske population i alle aldre og til voksne til behandling: </w:t>
      </w:r>
    </w:p>
    <w:p w14:paraId="7856E90E" w14:textId="77777777" w:rsidR="006D6D59" w:rsidRPr="006D6D59" w:rsidRDefault="006D6D59" w:rsidP="006D6D59">
      <w:pPr>
        <w:tabs>
          <w:tab w:val="left" w:pos="851"/>
        </w:tabs>
        <w:ind w:left="851"/>
        <w:rPr>
          <w:sz w:val="24"/>
          <w:szCs w:val="24"/>
        </w:rPr>
      </w:pPr>
      <w:r w:rsidRPr="006D6D59">
        <w:rPr>
          <w:sz w:val="24"/>
          <w:szCs w:val="24"/>
        </w:rPr>
        <w:t>af bradykardi induceret af anæstesi eller andre lægemidler.</w:t>
      </w:r>
    </w:p>
    <w:p w14:paraId="3937AEA2" w14:textId="77777777" w:rsidR="006D6D59" w:rsidRPr="006D6D59" w:rsidRDefault="006D6D59" w:rsidP="006D6D59">
      <w:pPr>
        <w:numPr>
          <w:ilvl w:val="0"/>
          <w:numId w:val="6"/>
        </w:numPr>
        <w:tabs>
          <w:tab w:val="left" w:pos="851"/>
        </w:tabs>
        <w:ind w:left="1134" w:hanging="283"/>
        <w:rPr>
          <w:sz w:val="24"/>
          <w:szCs w:val="24"/>
        </w:rPr>
      </w:pPr>
      <w:r w:rsidRPr="006D6D59">
        <w:rPr>
          <w:sz w:val="24"/>
          <w:szCs w:val="24"/>
        </w:rPr>
        <w:t>i kombination med neostigmin under revertering af virkningen af ikke</w:t>
      </w:r>
      <w:r w:rsidRPr="006D6D59">
        <w:rPr>
          <w:sz w:val="24"/>
          <w:szCs w:val="24"/>
        </w:rPr>
        <w:noBreakHyphen/>
        <w:t xml:space="preserve">depolariserende muskelrelaksantia. </w:t>
      </w:r>
    </w:p>
    <w:p w14:paraId="283340AA" w14:textId="77777777" w:rsidR="006D6D59" w:rsidRPr="006D6D59" w:rsidRDefault="006D6D59" w:rsidP="006D6D59">
      <w:pPr>
        <w:numPr>
          <w:ilvl w:val="0"/>
          <w:numId w:val="6"/>
        </w:numPr>
        <w:tabs>
          <w:tab w:val="left" w:pos="851"/>
        </w:tabs>
        <w:ind w:left="1134" w:hanging="283"/>
        <w:rPr>
          <w:sz w:val="24"/>
          <w:szCs w:val="24"/>
        </w:rPr>
      </w:pPr>
      <w:r w:rsidRPr="006D6D59">
        <w:rPr>
          <w:sz w:val="24"/>
          <w:szCs w:val="24"/>
        </w:rPr>
        <w:t>af forgiftning med organofosfatpesticider og andre anticholinesteraser.</w:t>
      </w:r>
    </w:p>
    <w:p w14:paraId="51447BFE" w14:textId="77777777" w:rsidR="006D6D59" w:rsidRPr="006D6D59" w:rsidRDefault="006D6D59" w:rsidP="006D6D59">
      <w:pPr>
        <w:tabs>
          <w:tab w:val="left" w:pos="851"/>
        </w:tabs>
        <w:ind w:left="851"/>
        <w:rPr>
          <w:sz w:val="24"/>
          <w:szCs w:val="24"/>
        </w:rPr>
      </w:pPr>
    </w:p>
    <w:p w14:paraId="4B55AEFE" w14:textId="77777777" w:rsidR="006D6D59" w:rsidRPr="006D6D59" w:rsidRDefault="006D6D59" w:rsidP="006D6D59">
      <w:pPr>
        <w:tabs>
          <w:tab w:val="left" w:pos="851"/>
        </w:tabs>
        <w:ind w:left="851"/>
        <w:rPr>
          <w:sz w:val="24"/>
          <w:szCs w:val="24"/>
        </w:rPr>
      </w:pPr>
      <w:r w:rsidRPr="006D6D59">
        <w:rPr>
          <w:sz w:val="24"/>
          <w:szCs w:val="24"/>
        </w:rPr>
        <w:lastRenderedPageBreak/>
        <w:t>Atropine "Noridem" kan endvidere anvendes som præmedicinering forud for induktion af generel anæstesi (mindsker risikoen for vagal hæmning og reducerer spyt- og bronkialsekretion).</w:t>
      </w:r>
    </w:p>
    <w:p w14:paraId="1430F6C2" w14:textId="77777777" w:rsidR="009260DE" w:rsidRPr="00C84483" w:rsidRDefault="009260DE" w:rsidP="009260DE">
      <w:pPr>
        <w:tabs>
          <w:tab w:val="left" w:pos="851"/>
        </w:tabs>
        <w:ind w:left="851"/>
        <w:rPr>
          <w:sz w:val="24"/>
          <w:szCs w:val="24"/>
        </w:rPr>
      </w:pPr>
    </w:p>
    <w:p w14:paraId="357728AC"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34B5074" w14:textId="77777777" w:rsidR="006D6D59" w:rsidRPr="006D6D59" w:rsidRDefault="006D6D59" w:rsidP="006D6D59">
      <w:pPr>
        <w:tabs>
          <w:tab w:val="left" w:pos="851"/>
        </w:tabs>
        <w:ind w:left="851"/>
        <w:rPr>
          <w:b/>
          <w:sz w:val="24"/>
          <w:szCs w:val="24"/>
          <w:lang w:val="en-US"/>
        </w:rPr>
      </w:pPr>
    </w:p>
    <w:p w14:paraId="3B5A53FF" w14:textId="77777777" w:rsidR="006D6D59" w:rsidRPr="006D6D59" w:rsidRDefault="006D6D59" w:rsidP="006D6D59">
      <w:pPr>
        <w:tabs>
          <w:tab w:val="left" w:pos="851"/>
        </w:tabs>
        <w:ind w:left="851"/>
        <w:rPr>
          <w:b/>
          <w:sz w:val="24"/>
          <w:szCs w:val="24"/>
        </w:rPr>
      </w:pPr>
      <w:r w:rsidRPr="006D6D59">
        <w:rPr>
          <w:b/>
          <w:sz w:val="24"/>
          <w:szCs w:val="24"/>
        </w:rPr>
        <w:t>Dosering</w:t>
      </w:r>
    </w:p>
    <w:p w14:paraId="13554005" w14:textId="77777777" w:rsidR="006D6D59" w:rsidRPr="006D6D59" w:rsidRDefault="006D6D59" w:rsidP="006D6D59">
      <w:pPr>
        <w:tabs>
          <w:tab w:val="left" w:pos="851"/>
        </w:tabs>
        <w:ind w:left="851"/>
        <w:rPr>
          <w:b/>
          <w:sz w:val="24"/>
          <w:szCs w:val="24"/>
          <w:lang w:val="en-US"/>
        </w:rPr>
      </w:pPr>
    </w:p>
    <w:p w14:paraId="4885C640" w14:textId="77777777" w:rsidR="006D6D59" w:rsidRPr="006D6D59" w:rsidRDefault="006D6D59" w:rsidP="006D6D59">
      <w:pPr>
        <w:tabs>
          <w:tab w:val="left" w:pos="851"/>
        </w:tabs>
        <w:ind w:left="851"/>
        <w:rPr>
          <w:sz w:val="24"/>
          <w:szCs w:val="24"/>
          <w:u w:val="single"/>
        </w:rPr>
      </w:pPr>
      <w:bookmarkStart w:id="1" w:name="_Hlk21085998"/>
      <w:r w:rsidRPr="006D6D59">
        <w:rPr>
          <w:sz w:val="24"/>
          <w:szCs w:val="24"/>
          <w:u w:val="single"/>
        </w:rPr>
        <w:t>Voksne</w:t>
      </w:r>
    </w:p>
    <w:p w14:paraId="4F135533"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Behandling af bradykardi: 0,5 mg administreret intravenøst. Dosis gentages om nødvendigt hvert 3. til 5. minut op til en samlet dosis på 3 mg.</w:t>
      </w:r>
    </w:p>
    <w:p w14:paraId="33B85819"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I kombination med neostigmin under revertering af virkningen af ikke</w:t>
      </w:r>
      <w:r w:rsidRPr="006D6D59">
        <w:rPr>
          <w:sz w:val="24"/>
          <w:szCs w:val="24"/>
        </w:rPr>
        <w:noBreakHyphen/>
        <w:t>depolariserende muskelrelaksantia: 0,6</w:t>
      </w:r>
      <w:r w:rsidRPr="006D6D59">
        <w:rPr>
          <w:sz w:val="24"/>
          <w:szCs w:val="24"/>
        </w:rPr>
        <w:noBreakHyphen/>
        <w:t xml:space="preserve">1,2 mg administreret intravenøst. </w:t>
      </w:r>
    </w:p>
    <w:p w14:paraId="4218975D"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Præmedicinering (for at reducere risikoen for vagal hæmning samt spyt- og bronkialsekretion): 0,3 til 0,6 mg administreret intravenøst umiddelbart før induktion af anæstesi eller intramuskulært/subkutant 30</w:t>
      </w:r>
      <w:r w:rsidRPr="006D6D59">
        <w:rPr>
          <w:sz w:val="24"/>
          <w:szCs w:val="24"/>
        </w:rPr>
        <w:noBreakHyphen/>
        <w:t xml:space="preserve">60 minutter før induktion af anæstesi. </w:t>
      </w:r>
    </w:p>
    <w:p w14:paraId="4473B449"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Som antidot (behandling af forgiftning med antikolinesteraser, f.eks. organofosfatpesticider, og behandling af svampeforgiftning): 0,5 til 2 mg atropinsulfat administreret intravenøst. Dosen kan gentages efter 5 minutter og derefter hvert 10. til 15. minut efter behov, indtil tegn og symptomer forsvinder (denne dosis kan overskrides flere gange).</w:t>
      </w:r>
    </w:p>
    <w:p w14:paraId="25D824C5" w14:textId="77777777" w:rsidR="006D6D59" w:rsidRPr="006D6D59" w:rsidRDefault="006D6D59" w:rsidP="006D6D59">
      <w:pPr>
        <w:tabs>
          <w:tab w:val="left" w:pos="851"/>
        </w:tabs>
        <w:ind w:left="851"/>
        <w:rPr>
          <w:i/>
          <w:sz w:val="24"/>
          <w:szCs w:val="24"/>
          <w:lang w:val="nl-NL"/>
        </w:rPr>
      </w:pPr>
    </w:p>
    <w:p w14:paraId="700761A5" w14:textId="77777777" w:rsidR="006D6D59" w:rsidRPr="006D6D59" w:rsidRDefault="006D6D59" w:rsidP="006D6D59">
      <w:pPr>
        <w:tabs>
          <w:tab w:val="left" w:pos="851"/>
        </w:tabs>
        <w:ind w:left="851"/>
        <w:rPr>
          <w:sz w:val="24"/>
          <w:szCs w:val="24"/>
          <w:u w:val="single"/>
        </w:rPr>
      </w:pPr>
      <w:r w:rsidRPr="006D6D59">
        <w:rPr>
          <w:sz w:val="24"/>
          <w:szCs w:val="24"/>
          <w:u w:val="single"/>
        </w:rPr>
        <w:t>Pædiatrisk population</w:t>
      </w:r>
    </w:p>
    <w:p w14:paraId="6639ED1A"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Behandling af bradykardi: 0,02 mg/kg legemsvægt administreret intravenøst som en enkeltdosis, op til maksimalt 0,6 mg.</w:t>
      </w:r>
    </w:p>
    <w:p w14:paraId="5749E984" w14:textId="77777777" w:rsidR="006D6D59" w:rsidRPr="006D6D59" w:rsidRDefault="006D6D59" w:rsidP="006D6D59">
      <w:pPr>
        <w:numPr>
          <w:ilvl w:val="0"/>
          <w:numId w:val="7"/>
        </w:numPr>
        <w:tabs>
          <w:tab w:val="left" w:pos="851"/>
        </w:tabs>
        <w:ind w:left="1134" w:hanging="283"/>
        <w:rPr>
          <w:sz w:val="24"/>
          <w:szCs w:val="24"/>
        </w:rPr>
      </w:pPr>
      <w:bookmarkStart w:id="2" w:name="_Hlk21085370"/>
      <w:r w:rsidRPr="006D6D59">
        <w:rPr>
          <w:sz w:val="24"/>
          <w:szCs w:val="24"/>
        </w:rPr>
        <w:t>I kombination med neostigmin under reversering af virkningen af ikke</w:t>
      </w:r>
      <w:r w:rsidRPr="006D6D59">
        <w:rPr>
          <w:sz w:val="24"/>
          <w:szCs w:val="24"/>
        </w:rPr>
        <w:noBreakHyphen/>
        <w:t>depolariserende muskelrelaksantia: 0,02 mg/kg legemsvægt administreret intravenøst.</w:t>
      </w:r>
    </w:p>
    <w:p w14:paraId="49905C72" w14:textId="1D08DF0C" w:rsidR="006D6D59" w:rsidRPr="006D6D59" w:rsidRDefault="006D6D59" w:rsidP="006D6D59">
      <w:pPr>
        <w:tabs>
          <w:tab w:val="left" w:pos="851"/>
        </w:tabs>
        <w:ind w:left="1134" w:hanging="283"/>
        <w:rPr>
          <w:sz w:val="24"/>
          <w:szCs w:val="24"/>
        </w:rPr>
      </w:pPr>
      <w:r>
        <w:rPr>
          <w:sz w:val="24"/>
          <w:szCs w:val="24"/>
        </w:rPr>
        <w:tab/>
      </w:r>
      <w:r w:rsidRPr="006D6D59">
        <w:rPr>
          <w:sz w:val="24"/>
          <w:szCs w:val="24"/>
        </w:rPr>
        <w:t>Præmedicinering (for at reducere risikoen for vagal hæmning samt spyt- og bronkialsekretion): 0,01</w:t>
      </w:r>
      <w:r w:rsidRPr="006D6D59">
        <w:rPr>
          <w:sz w:val="24"/>
          <w:szCs w:val="24"/>
        </w:rPr>
        <w:noBreakHyphen/>
        <w:t>0,02 mg/kg kropsvægt (maks. 0,6 mg pr. dosis) administreret intravenøst umiddelbart før induktion af anæstesi eller intramuskulært/subkutant 30</w:t>
      </w:r>
      <w:r w:rsidRPr="006D6D59">
        <w:rPr>
          <w:sz w:val="24"/>
          <w:szCs w:val="24"/>
        </w:rPr>
        <w:noBreakHyphen/>
        <w:t xml:space="preserve">60 minutter før induktion af anæstesi. </w:t>
      </w:r>
    </w:p>
    <w:bookmarkEnd w:id="1"/>
    <w:bookmarkEnd w:id="2"/>
    <w:p w14:paraId="4237660B"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Som antidot (behandling af forgiftning med antikolinesteraser, f.eks. organofosfatpesticider, og behandling af svampeforgiftning): 0,02 mg/kg legemsvægt administreret intravenøst. Gentag flere gange, indtil tegn og symptomer på muskarinforgiftning forsvinder.</w:t>
      </w:r>
    </w:p>
    <w:p w14:paraId="62528BA9" w14:textId="77777777" w:rsidR="006D6D59" w:rsidRPr="006D6D59" w:rsidRDefault="006D6D59" w:rsidP="006D6D59">
      <w:pPr>
        <w:tabs>
          <w:tab w:val="left" w:pos="851"/>
        </w:tabs>
        <w:ind w:left="851"/>
        <w:rPr>
          <w:sz w:val="24"/>
          <w:szCs w:val="24"/>
        </w:rPr>
      </w:pPr>
    </w:p>
    <w:p w14:paraId="13C4C02B" w14:textId="77777777" w:rsidR="006D6D59" w:rsidRPr="006D6D59" w:rsidRDefault="006D6D59" w:rsidP="006D6D59">
      <w:pPr>
        <w:tabs>
          <w:tab w:val="left" w:pos="851"/>
        </w:tabs>
        <w:ind w:left="851"/>
        <w:rPr>
          <w:sz w:val="24"/>
          <w:szCs w:val="24"/>
          <w:u w:val="single"/>
        </w:rPr>
      </w:pPr>
      <w:r w:rsidRPr="006D6D59">
        <w:rPr>
          <w:sz w:val="24"/>
          <w:szCs w:val="24"/>
          <w:u w:val="single"/>
        </w:rPr>
        <w:t>Dosisjustering</w:t>
      </w:r>
    </w:p>
    <w:p w14:paraId="7E0CE911" w14:textId="77777777" w:rsidR="006D6D59" w:rsidRPr="006D6D59" w:rsidRDefault="006D6D59" w:rsidP="006D6D59">
      <w:pPr>
        <w:tabs>
          <w:tab w:val="left" w:pos="851"/>
        </w:tabs>
        <w:ind w:left="851"/>
        <w:rPr>
          <w:sz w:val="24"/>
          <w:szCs w:val="24"/>
        </w:rPr>
      </w:pPr>
      <w:r w:rsidRPr="006D6D59">
        <w:rPr>
          <w:sz w:val="24"/>
          <w:szCs w:val="24"/>
        </w:rPr>
        <w:t>Generelt skal dosis justeres i henhold til patientens respons og tolerance.</w:t>
      </w:r>
    </w:p>
    <w:p w14:paraId="50561AE6" w14:textId="77777777" w:rsidR="006D6D59" w:rsidRPr="006D6D59" w:rsidRDefault="006D6D59" w:rsidP="006D6D59">
      <w:pPr>
        <w:tabs>
          <w:tab w:val="left" w:pos="851"/>
        </w:tabs>
        <w:ind w:left="851"/>
        <w:rPr>
          <w:sz w:val="24"/>
          <w:szCs w:val="24"/>
        </w:rPr>
      </w:pPr>
      <w:r w:rsidRPr="006D6D59">
        <w:rPr>
          <w:sz w:val="24"/>
          <w:szCs w:val="24"/>
        </w:rPr>
        <w:t>Dosis øges sædvanligvis, indtil bivirkningerne bliver utålelige, op til en maksimal dosis på 3 mg hos voksne og 0,6 mg hos børn. En mindre dosisreduktion giver derefter den maksimale dosis, som patienten kan tolerere.</w:t>
      </w:r>
    </w:p>
    <w:p w14:paraId="1252CEC9" w14:textId="77777777" w:rsidR="006D6D59" w:rsidRPr="006D6D59" w:rsidRDefault="006D6D59" w:rsidP="006D6D59">
      <w:pPr>
        <w:tabs>
          <w:tab w:val="left" w:pos="851"/>
        </w:tabs>
        <w:ind w:left="851"/>
        <w:rPr>
          <w:b/>
          <w:sz w:val="24"/>
          <w:szCs w:val="24"/>
          <w:lang w:val="nl-NL"/>
        </w:rPr>
      </w:pPr>
    </w:p>
    <w:p w14:paraId="0DD3B7B6" w14:textId="77777777" w:rsidR="006D6D59" w:rsidRPr="006D6D59" w:rsidRDefault="006D6D59" w:rsidP="006D6D59">
      <w:pPr>
        <w:tabs>
          <w:tab w:val="left" w:pos="851"/>
        </w:tabs>
        <w:ind w:left="851"/>
        <w:rPr>
          <w:sz w:val="24"/>
          <w:szCs w:val="24"/>
          <w:u w:val="single"/>
        </w:rPr>
      </w:pPr>
      <w:r w:rsidRPr="006D6D59">
        <w:rPr>
          <w:sz w:val="24"/>
          <w:szCs w:val="24"/>
          <w:u w:val="single"/>
        </w:rPr>
        <w:t>Særlige populationer</w:t>
      </w:r>
    </w:p>
    <w:p w14:paraId="0E3B678F" w14:textId="77777777" w:rsidR="006D6D59" w:rsidRPr="006D6D59" w:rsidRDefault="006D6D59" w:rsidP="006D6D59">
      <w:pPr>
        <w:tabs>
          <w:tab w:val="left" w:pos="851"/>
        </w:tabs>
        <w:ind w:left="851"/>
        <w:rPr>
          <w:sz w:val="24"/>
          <w:szCs w:val="24"/>
        </w:rPr>
      </w:pPr>
      <w:r w:rsidRPr="006D6D59">
        <w:rPr>
          <w:sz w:val="24"/>
          <w:szCs w:val="24"/>
        </w:rPr>
        <w:t>Der tilrådes forsigtighed hos ældre personer og hos patienter med nedsat nyre- eller leverfunktion (se pkt. 4.4).</w:t>
      </w:r>
    </w:p>
    <w:p w14:paraId="18009365" w14:textId="77777777" w:rsidR="006D6D59" w:rsidRPr="006D6D59" w:rsidRDefault="006D6D59" w:rsidP="006D6D59">
      <w:pPr>
        <w:tabs>
          <w:tab w:val="left" w:pos="851"/>
        </w:tabs>
        <w:ind w:left="851"/>
        <w:rPr>
          <w:sz w:val="24"/>
          <w:szCs w:val="24"/>
          <w:lang w:val="nl-NL"/>
        </w:rPr>
      </w:pPr>
    </w:p>
    <w:p w14:paraId="6923573D" w14:textId="77777777" w:rsidR="006D6D59" w:rsidRPr="006D6D59" w:rsidRDefault="006D6D59" w:rsidP="006D6D59">
      <w:pPr>
        <w:tabs>
          <w:tab w:val="left" w:pos="851"/>
        </w:tabs>
        <w:ind w:left="851"/>
        <w:rPr>
          <w:b/>
          <w:sz w:val="24"/>
          <w:szCs w:val="24"/>
        </w:rPr>
      </w:pPr>
      <w:r w:rsidRPr="006D6D59">
        <w:rPr>
          <w:b/>
          <w:sz w:val="24"/>
          <w:szCs w:val="24"/>
        </w:rPr>
        <w:t>Administration</w:t>
      </w:r>
    </w:p>
    <w:p w14:paraId="48754496" w14:textId="77777777" w:rsidR="006D6D59" w:rsidRPr="006D6D59" w:rsidRDefault="006D6D59" w:rsidP="006D6D59">
      <w:pPr>
        <w:tabs>
          <w:tab w:val="left" w:pos="851"/>
        </w:tabs>
        <w:ind w:left="851"/>
        <w:rPr>
          <w:sz w:val="24"/>
          <w:szCs w:val="24"/>
        </w:rPr>
      </w:pPr>
      <w:r w:rsidRPr="006D6D59">
        <w:rPr>
          <w:sz w:val="24"/>
          <w:szCs w:val="24"/>
        </w:rPr>
        <w:t>Atropin gives som intravenøs, subkutan eller intramuskulær injektion.</w:t>
      </w:r>
    </w:p>
    <w:p w14:paraId="004AFA91" w14:textId="4CC1A3C8" w:rsidR="006D6D59" w:rsidRDefault="006D6D59">
      <w:pPr>
        <w:rPr>
          <w:sz w:val="24"/>
          <w:szCs w:val="24"/>
          <w:lang w:val="nl-NL"/>
        </w:rPr>
      </w:pPr>
      <w:r>
        <w:rPr>
          <w:sz w:val="24"/>
          <w:szCs w:val="24"/>
          <w:lang w:val="nl-NL"/>
        </w:rPr>
        <w:br w:type="page"/>
      </w:r>
    </w:p>
    <w:p w14:paraId="3BB4FD95" w14:textId="77777777" w:rsidR="009260DE" w:rsidRPr="006D6D59" w:rsidRDefault="009260DE" w:rsidP="009260DE">
      <w:pPr>
        <w:tabs>
          <w:tab w:val="left" w:pos="851"/>
        </w:tabs>
        <w:ind w:left="851"/>
        <w:rPr>
          <w:sz w:val="24"/>
          <w:szCs w:val="24"/>
          <w:lang w:val="nl-NL"/>
        </w:rPr>
      </w:pPr>
    </w:p>
    <w:p w14:paraId="577B4C24"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4039619C" w14:textId="77777777" w:rsidR="006D6D59" w:rsidRPr="006D6D59" w:rsidRDefault="006D6D59" w:rsidP="006D6D59">
      <w:pPr>
        <w:tabs>
          <w:tab w:val="left" w:pos="851"/>
        </w:tabs>
        <w:ind w:left="851"/>
        <w:rPr>
          <w:sz w:val="24"/>
          <w:szCs w:val="24"/>
        </w:rPr>
      </w:pPr>
      <w:r w:rsidRPr="006D6D59">
        <w:rPr>
          <w:sz w:val="24"/>
          <w:szCs w:val="24"/>
        </w:rPr>
        <w:t>Overfølsomhed over for det aktive stof eller over for et eller flere af hjælpestofferne anført i pkt. 6.1.</w:t>
      </w:r>
    </w:p>
    <w:p w14:paraId="74628226" w14:textId="77777777" w:rsidR="006D6D59" w:rsidRPr="006D6D59" w:rsidRDefault="006D6D59" w:rsidP="006D6D59">
      <w:pPr>
        <w:tabs>
          <w:tab w:val="left" w:pos="851"/>
        </w:tabs>
        <w:ind w:left="851"/>
        <w:rPr>
          <w:b/>
          <w:sz w:val="24"/>
          <w:szCs w:val="24"/>
          <w:lang w:val="nl-NL"/>
        </w:rPr>
      </w:pPr>
    </w:p>
    <w:p w14:paraId="0227DBE7" w14:textId="77777777" w:rsidR="006D6D59" w:rsidRPr="006D6D59" w:rsidRDefault="006D6D59" w:rsidP="006D6D59">
      <w:pPr>
        <w:tabs>
          <w:tab w:val="left" w:pos="851"/>
        </w:tabs>
        <w:ind w:left="851"/>
        <w:rPr>
          <w:sz w:val="24"/>
          <w:szCs w:val="24"/>
        </w:rPr>
      </w:pPr>
      <w:r w:rsidRPr="006D6D59">
        <w:rPr>
          <w:sz w:val="24"/>
          <w:szCs w:val="24"/>
        </w:rPr>
        <w:t>Anvendelse af atropin er endvidere kontraindiceret:</w:t>
      </w:r>
    </w:p>
    <w:p w14:paraId="4E2BD634"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prostatahypertrofi, idet stoffet stimulerer urinretention.</w:t>
      </w:r>
    </w:p>
    <w:p w14:paraId="02C565F5"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obstruktion i mave-tarm-kanalen (f.eks. pylorusstenose).</w:t>
      </w:r>
    </w:p>
    <w:p w14:paraId="69E5230C"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paralytisk ileus eller tarmatoni (især hos geriatriske og svækkede patienter).</w:t>
      </w:r>
    </w:p>
    <w:p w14:paraId="167E624C"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colitis ulcerosa, da det kan føre til ileus (tarmslyng) eller megacolon (unormal og voldsom udvidelse af tyktarmen).</w:t>
      </w:r>
    </w:p>
    <w:p w14:paraId="098DCD69"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myasthenia gravis (medmindre det administreres med det formål at reducere negative muskarine virkninger forårsaget af antikolinesteraser).</w:t>
      </w:r>
    </w:p>
    <w:p w14:paraId="200DF9C8"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 xml:space="preserve">ved vinkellukning og snævertvinklet glaukom mellem iris og cornea, da det kan øge det intraokulære tryk. </w:t>
      </w:r>
    </w:p>
    <w:p w14:paraId="53342FD1"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Hvis omgivelsestemperaturen er høj, især hos børn og ved hypertermi.</w:t>
      </w:r>
    </w:p>
    <w:p w14:paraId="141B4DAE"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hjertesvigt, hjertekirurgi og takykardi, da det kan øge hjertefrekvensen yderligere.</w:t>
      </w:r>
    </w:p>
    <w:p w14:paraId="767FBD23"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akut blødning ledsaget af ustabil kardiovaskulær funktion.</w:t>
      </w:r>
    </w:p>
    <w:p w14:paraId="1D87D902" w14:textId="77777777" w:rsidR="006D6D59" w:rsidRPr="006D6D59" w:rsidRDefault="006D6D59" w:rsidP="006D6D59">
      <w:pPr>
        <w:numPr>
          <w:ilvl w:val="0"/>
          <w:numId w:val="7"/>
        </w:numPr>
        <w:tabs>
          <w:tab w:val="left" w:pos="851"/>
        </w:tabs>
        <w:ind w:left="1134" w:hanging="283"/>
        <w:rPr>
          <w:sz w:val="24"/>
          <w:szCs w:val="24"/>
        </w:rPr>
      </w:pPr>
      <w:r w:rsidRPr="006D6D59">
        <w:rPr>
          <w:sz w:val="24"/>
          <w:szCs w:val="24"/>
        </w:rPr>
        <w:t>ved thyrotoksikose.</w:t>
      </w:r>
    </w:p>
    <w:p w14:paraId="7F9CEDC6" w14:textId="77777777" w:rsidR="006D6D59" w:rsidRPr="006D6D59" w:rsidRDefault="006D6D59" w:rsidP="006D6D59">
      <w:pPr>
        <w:tabs>
          <w:tab w:val="left" w:pos="851"/>
        </w:tabs>
        <w:ind w:left="1134" w:hanging="283"/>
        <w:rPr>
          <w:sz w:val="24"/>
          <w:szCs w:val="24"/>
          <w:lang w:val="en-US"/>
        </w:rPr>
      </w:pPr>
    </w:p>
    <w:p w14:paraId="425AD325" w14:textId="77777777" w:rsidR="006D6D59" w:rsidRPr="006D6D59" w:rsidRDefault="006D6D59" w:rsidP="006D6D59">
      <w:pPr>
        <w:tabs>
          <w:tab w:val="left" w:pos="851"/>
        </w:tabs>
        <w:ind w:left="851"/>
        <w:rPr>
          <w:sz w:val="24"/>
          <w:szCs w:val="24"/>
        </w:rPr>
      </w:pPr>
      <w:r w:rsidRPr="006D6D59">
        <w:rPr>
          <w:sz w:val="24"/>
          <w:szCs w:val="24"/>
        </w:rPr>
        <w:t>Disse kontraindikationer er ikke relevante i livstruende situationer som f.eks. ved bradykardi eller forgiftning med organofosfatpesticider.</w:t>
      </w:r>
    </w:p>
    <w:p w14:paraId="1011F364" w14:textId="77777777" w:rsidR="009260DE" w:rsidRPr="006D6D59" w:rsidRDefault="009260DE" w:rsidP="009260DE">
      <w:pPr>
        <w:tabs>
          <w:tab w:val="left" w:pos="851"/>
        </w:tabs>
        <w:ind w:left="851"/>
        <w:rPr>
          <w:sz w:val="24"/>
          <w:szCs w:val="24"/>
          <w:lang w:val="sv-SE"/>
        </w:rPr>
      </w:pPr>
    </w:p>
    <w:p w14:paraId="1BB2FBFA"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D3FA6B0" w14:textId="77777777" w:rsidR="00686F6C" w:rsidRPr="00686F6C" w:rsidRDefault="00686F6C" w:rsidP="00686F6C">
      <w:pPr>
        <w:tabs>
          <w:tab w:val="left" w:pos="851"/>
        </w:tabs>
        <w:ind w:left="851"/>
        <w:rPr>
          <w:sz w:val="24"/>
          <w:szCs w:val="24"/>
        </w:rPr>
      </w:pPr>
      <w:r w:rsidRPr="00686F6C">
        <w:rPr>
          <w:sz w:val="24"/>
          <w:szCs w:val="24"/>
        </w:rPr>
        <w:t xml:space="preserve">Atropin skal administreres med forsigtighed til børn og ældre, da disse grupper er særligt disponerede for bivirkninger. Samme forsigtighedsregel gør sig gældende ved pseudomembranøs kolitis, diarré, hyperthyroidisme, gastrointestinal infektion (f.eks. dysenteri), lever- eller nyresygdom og forhøjet blodtryk. </w:t>
      </w:r>
    </w:p>
    <w:p w14:paraId="1DEA8FA3" w14:textId="77777777" w:rsidR="00686F6C" w:rsidRPr="00686F6C" w:rsidRDefault="00686F6C" w:rsidP="00686F6C">
      <w:pPr>
        <w:tabs>
          <w:tab w:val="left" w:pos="851"/>
        </w:tabs>
        <w:ind w:left="851"/>
        <w:rPr>
          <w:sz w:val="24"/>
          <w:szCs w:val="24"/>
          <w:lang w:val="nl-NL"/>
        </w:rPr>
      </w:pPr>
    </w:p>
    <w:p w14:paraId="4A952560" w14:textId="77777777" w:rsidR="00686F6C" w:rsidRPr="00686F6C" w:rsidRDefault="00686F6C" w:rsidP="00686F6C">
      <w:pPr>
        <w:tabs>
          <w:tab w:val="left" w:pos="851"/>
        </w:tabs>
        <w:ind w:left="851"/>
        <w:rPr>
          <w:sz w:val="24"/>
          <w:szCs w:val="24"/>
        </w:rPr>
      </w:pPr>
      <w:r w:rsidRPr="00686F6C">
        <w:rPr>
          <w:sz w:val="24"/>
          <w:szCs w:val="24"/>
        </w:rPr>
        <w:t>Systemisk administration af antimuskarinika til svækkede patienter med kronisk lungesygdom kan føre til dannelse af bronkiale slimpropper på grund af nedsat bronkialsekretion.</w:t>
      </w:r>
    </w:p>
    <w:p w14:paraId="56C7A073" w14:textId="77777777" w:rsidR="00686F6C" w:rsidRPr="00686F6C" w:rsidRDefault="00686F6C" w:rsidP="00686F6C">
      <w:pPr>
        <w:tabs>
          <w:tab w:val="left" w:pos="851"/>
        </w:tabs>
        <w:ind w:left="851"/>
        <w:rPr>
          <w:sz w:val="24"/>
          <w:szCs w:val="24"/>
          <w:lang w:val="nl-NL"/>
        </w:rPr>
      </w:pPr>
    </w:p>
    <w:p w14:paraId="43634E0B" w14:textId="77777777" w:rsidR="00686F6C" w:rsidRPr="00686F6C" w:rsidRDefault="00686F6C" w:rsidP="00686F6C">
      <w:pPr>
        <w:tabs>
          <w:tab w:val="left" w:pos="851"/>
        </w:tabs>
        <w:ind w:left="851"/>
        <w:rPr>
          <w:sz w:val="24"/>
          <w:szCs w:val="24"/>
        </w:rPr>
      </w:pPr>
      <w:r w:rsidRPr="00686F6C">
        <w:rPr>
          <w:sz w:val="24"/>
          <w:szCs w:val="24"/>
        </w:rPr>
        <w:t>Ved behandling af parkinsonisme skal en øgning af atropindosen samt ændring af behandlingen ske gradvist (behandling med antimuskarinika må ikke seponeres pludseligt).</w:t>
      </w:r>
    </w:p>
    <w:p w14:paraId="53B5D5E9" w14:textId="77777777" w:rsidR="00686F6C" w:rsidRPr="00686F6C" w:rsidRDefault="00686F6C" w:rsidP="00686F6C">
      <w:pPr>
        <w:tabs>
          <w:tab w:val="left" w:pos="851"/>
        </w:tabs>
        <w:ind w:left="851"/>
        <w:rPr>
          <w:sz w:val="24"/>
          <w:szCs w:val="24"/>
          <w:lang w:val="nl-NL"/>
        </w:rPr>
      </w:pPr>
    </w:p>
    <w:p w14:paraId="01DC244A" w14:textId="77777777" w:rsidR="00686F6C" w:rsidRPr="00686F6C" w:rsidRDefault="00686F6C" w:rsidP="00686F6C">
      <w:pPr>
        <w:tabs>
          <w:tab w:val="left" w:pos="851"/>
        </w:tabs>
        <w:ind w:left="851"/>
        <w:rPr>
          <w:sz w:val="24"/>
          <w:szCs w:val="24"/>
        </w:rPr>
      </w:pPr>
      <w:r w:rsidRPr="00686F6C">
        <w:rPr>
          <w:sz w:val="24"/>
          <w:szCs w:val="24"/>
        </w:rPr>
        <w:t>Personer med Downs syndrom synes at have en øget følsomhed over for atropin. Omvendt udviser personer med albinisme en vis resistens over for dette lægemiddel.</w:t>
      </w:r>
    </w:p>
    <w:p w14:paraId="7568D9C9" w14:textId="77777777" w:rsidR="00686F6C" w:rsidRPr="00686F6C" w:rsidRDefault="00686F6C" w:rsidP="00686F6C">
      <w:pPr>
        <w:tabs>
          <w:tab w:val="left" w:pos="851"/>
        </w:tabs>
        <w:ind w:left="851"/>
        <w:rPr>
          <w:sz w:val="24"/>
          <w:szCs w:val="24"/>
          <w:lang w:val="nl-NL"/>
        </w:rPr>
      </w:pPr>
    </w:p>
    <w:p w14:paraId="5277E8FC" w14:textId="77777777" w:rsidR="00686F6C" w:rsidRPr="00686F6C" w:rsidRDefault="00686F6C" w:rsidP="00686F6C">
      <w:pPr>
        <w:tabs>
          <w:tab w:val="left" w:pos="851"/>
        </w:tabs>
        <w:ind w:left="851"/>
        <w:rPr>
          <w:sz w:val="24"/>
          <w:szCs w:val="24"/>
        </w:rPr>
      </w:pPr>
      <w:r w:rsidRPr="00686F6C">
        <w:rPr>
          <w:sz w:val="24"/>
          <w:szCs w:val="24"/>
        </w:rPr>
        <w:t>Administration af små doser kan forårsage paroksysmal bradykardi.</w:t>
      </w:r>
    </w:p>
    <w:p w14:paraId="5D31EAC7" w14:textId="77777777" w:rsidR="00686F6C" w:rsidRPr="00686F6C" w:rsidRDefault="00686F6C" w:rsidP="00686F6C">
      <w:pPr>
        <w:tabs>
          <w:tab w:val="left" w:pos="851"/>
        </w:tabs>
        <w:ind w:left="851"/>
        <w:rPr>
          <w:sz w:val="24"/>
          <w:szCs w:val="24"/>
          <w:lang w:val="nl-NL"/>
        </w:rPr>
      </w:pPr>
    </w:p>
    <w:p w14:paraId="5F08CF53" w14:textId="77777777" w:rsidR="00686F6C" w:rsidRPr="00686F6C" w:rsidRDefault="00686F6C" w:rsidP="00686F6C">
      <w:pPr>
        <w:tabs>
          <w:tab w:val="left" w:pos="851"/>
        </w:tabs>
        <w:ind w:left="851"/>
        <w:rPr>
          <w:sz w:val="24"/>
          <w:szCs w:val="24"/>
        </w:rPr>
      </w:pPr>
      <w:r w:rsidRPr="00686F6C">
        <w:rPr>
          <w:sz w:val="24"/>
          <w:szCs w:val="24"/>
        </w:rPr>
        <w:t>Idet antimuskarinika kan forsinke ventrikeltømningen, kan de føre til stase hos patienter med ventrikelulcus. Der skal endvidere udvises forsigtighed hos patienter med øsofageal refluks eller hos patienter med hiatushernie i forbindelse med gastroøsofageal refluks, idet antimuskarinika nedsætter gastrisk motilitet og trykket fra den nedre øsofagussfinkter.</w:t>
      </w:r>
    </w:p>
    <w:p w14:paraId="700686BB" w14:textId="77777777" w:rsidR="00686F6C" w:rsidRPr="00686F6C" w:rsidRDefault="00686F6C" w:rsidP="00686F6C">
      <w:pPr>
        <w:tabs>
          <w:tab w:val="left" w:pos="851"/>
        </w:tabs>
        <w:ind w:left="851"/>
        <w:rPr>
          <w:sz w:val="24"/>
          <w:szCs w:val="24"/>
        </w:rPr>
      </w:pPr>
    </w:p>
    <w:p w14:paraId="456B9D22" w14:textId="77777777" w:rsidR="00686F6C" w:rsidRPr="00686F6C" w:rsidRDefault="00686F6C" w:rsidP="00686F6C">
      <w:pPr>
        <w:tabs>
          <w:tab w:val="left" w:pos="851"/>
        </w:tabs>
        <w:ind w:left="851"/>
        <w:rPr>
          <w:sz w:val="24"/>
          <w:szCs w:val="24"/>
        </w:rPr>
      </w:pPr>
      <w:r w:rsidRPr="00686F6C">
        <w:rPr>
          <w:sz w:val="24"/>
          <w:szCs w:val="24"/>
        </w:rPr>
        <w:t xml:space="preserve">Antimuskarinika interfererer med mavesyresekretionstesten i laboratorietest. Det frarådes at administrere antimuskarinika i de sidste 24 timer før testen, idet disse lægemidler modvirker pentagastrins og histamins virkning i evalueringen af mavesyresekretionsfunktionen. Antimuskarinika, og især atropin, forstyrrer udskillelsen af phenolrødt (PSP). Atropin anvender den samme tubulære sekretionsmekanisme som </w:t>
      </w:r>
      <w:r w:rsidRPr="00686F6C">
        <w:rPr>
          <w:sz w:val="24"/>
          <w:szCs w:val="24"/>
        </w:rPr>
        <w:lastRenderedPageBreak/>
        <w:t>phenolrødt (PSP), hvilket resulterer i et fald i urinudskillelsen af PSP. Patienter, der får foretaget denne test, må ikke få atropin samtidigt.</w:t>
      </w:r>
    </w:p>
    <w:p w14:paraId="4C77FC17" w14:textId="77777777" w:rsidR="00686F6C" w:rsidRPr="00686F6C" w:rsidRDefault="00686F6C" w:rsidP="00686F6C">
      <w:pPr>
        <w:tabs>
          <w:tab w:val="left" w:pos="851"/>
        </w:tabs>
        <w:ind w:left="851"/>
        <w:rPr>
          <w:sz w:val="24"/>
          <w:szCs w:val="24"/>
          <w:lang w:val="nl-NL"/>
        </w:rPr>
      </w:pPr>
    </w:p>
    <w:p w14:paraId="320ED6EC" w14:textId="77777777" w:rsidR="00686F6C" w:rsidRPr="00686F6C" w:rsidRDefault="00686F6C" w:rsidP="00686F6C">
      <w:pPr>
        <w:tabs>
          <w:tab w:val="left" w:pos="851"/>
        </w:tabs>
        <w:ind w:left="851"/>
        <w:rPr>
          <w:sz w:val="24"/>
          <w:szCs w:val="24"/>
        </w:rPr>
      </w:pPr>
      <w:r w:rsidRPr="00686F6C">
        <w:rPr>
          <w:sz w:val="24"/>
          <w:szCs w:val="24"/>
        </w:rPr>
        <w:t>Da antimuskarinika kan øge det intraokulære tryk, anbefales det, hos visse patienter og afhængigt af deres tilstand, at overvåge denne parameter.</w:t>
      </w:r>
    </w:p>
    <w:p w14:paraId="7E57EA08" w14:textId="77777777" w:rsidR="00686F6C" w:rsidRPr="00686F6C" w:rsidRDefault="00686F6C" w:rsidP="00686F6C">
      <w:pPr>
        <w:tabs>
          <w:tab w:val="left" w:pos="851"/>
        </w:tabs>
        <w:ind w:left="851"/>
        <w:rPr>
          <w:sz w:val="24"/>
          <w:szCs w:val="24"/>
          <w:lang w:val="nl-NL"/>
        </w:rPr>
      </w:pPr>
    </w:p>
    <w:p w14:paraId="0DBA2DFE" w14:textId="77777777" w:rsidR="00686F6C" w:rsidRPr="00686F6C" w:rsidRDefault="00686F6C" w:rsidP="00686F6C">
      <w:pPr>
        <w:tabs>
          <w:tab w:val="left" w:pos="851"/>
        </w:tabs>
        <w:ind w:left="851"/>
        <w:rPr>
          <w:sz w:val="24"/>
          <w:szCs w:val="24"/>
        </w:rPr>
      </w:pPr>
      <w:r w:rsidRPr="00686F6C">
        <w:rPr>
          <w:sz w:val="24"/>
          <w:szCs w:val="24"/>
        </w:rPr>
        <w:t>Lægemidlet skal kasseres, hvis det er uklart eller har aflejringer, eller hvis beholderen ikke er intakt.</w:t>
      </w:r>
    </w:p>
    <w:p w14:paraId="3A833121" w14:textId="77777777" w:rsidR="00686F6C" w:rsidRPr="00686F6C" w:rsidRDefault="00686F6C" w:rsidP="00686F6C">
      <w:pPr>
        <w:tabs>
          <w:tab w:val="left" w:pos="851"/>
        </w:tabs>
        <w:ind w:left="851"/>
        <w:rPr>
          <w:sz w:val="24"/>
          <w:szCs w:val="24"/>
        </w:rPr>
      </w:pPr>
      <w:r w:rsidRPr="00686F6C">
        <w:rPr>
          <w:sz w:val="24"/>
          <w:szCs w:val="24"/>
        </w:rPr>
        <w:t>Produktet skal håndteres under de sædvanlige aseptiske forhold, der gælder for injicerbare opløsninger. Ikke anvendt opløsning skal bortskaffes.</w:t>
      </w:r>
    </w:p>
    <w:p w14:paraId="5600A03F" w14:textId="77777777" w:rsidR="00686F6C" w:rsidRPr="00686F6C" w:rsidRDefault="00686F6C" w:rsidP="00686F6C">
      <w:pPr>
        <w:tabs>
          <w:tab w:val="left" w:pos="851"/>
        </w:tabs>
        <w:ind w:left="851"/>
        <w:rPr>
          <w:sz w:val="24"/>
          <w:szCs w:val="24"/>
        </w:rPr>
      </w:pPr>
    </w:p>
    <w:p w14:paraId="711061E2" w14:textId="77777777" w:rsidR="00686F6C" w:rsidRPr="00686F6C" w:rsidRDefault="00686F6C" w:rsidP="00686F6C">
      <w:pPr>
        <w:tabs>
          <w:tab w:val="left" w:pos="851"/>
        </w:tabs>
        <w:ind w:left="851"/>
        <w:rPr>
          <w:sz w:val="24"/>
          <w:szCs w:val="24"/>
          <w:u w:val="single"/>
        </w:rPr>
      </w:pPr>
      <w:r w:rsidRPr="00686F6C">
        <w:rPr>
          <w:sz w:val="24"/>
          <w:szCs w:val="24"/>
          <w:u w:val="single"/>
        </w:rPr>
        <w:t>Natriumindtag</w:t>
      </w:r>
    </w:p>
    <w:p w14:paraId="1C880281" w14:textId="77777777" w:rsidR="00686F6C" w:rsidRPr="00686F6C" w:rsidRDefault="00686F6C" w:rsidP="00686F6C">
      <w:pPr>
        <w:tabs>
          <w:tab w:val="left" w:pos="851"/>
        </w:tabs>
        <w:ind w:left="851"/>
        <w:rPr>
          <w:sz w:val="24"/>
          <w:szCs w:val="24"/>
        </w:rPr>
      </w:pPr>
      <w:r w:rsidRPr="00686F6C">
        <w:rPr>
          <w:sz w:val="24"/>
          <w:szCs w:val="24"/>
        </w:rPr>
        <w:t>Dette lægemiddel indeholder mindre end 1 mmol (23 mg) natrium pr. ml, dvs. det er i det væsentlige natriumfrit.</w:t>
      </w:r>
    </w:p>
    <w:p w14:paraId="183AF513" w14:textId="77777777" w:rsidR="009260DE" w:rsidRPr="00C84483" w:rsidRDefault="009260DE" w:rsidP="009260DE">
      <w:pPr>
        <w:tabs>
          <w:tab w:val="left" w:pos="851"/>
        </w:tabs>
        <w:ind w:left="851"/>
        <w:rPr>
          <w:sz w:val="24"/>
          <w:szCs w:val="24"/>
        </w:rPr>
      </w:pPr>
    </w:p>
    <w:p w14:paraId="28D89B9E"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44F31BD5" w14:textId="77777777" w:rsidR="00686F6C" w:rsidRPr="00686F6C" w:rsidRDefault="00686F6C" w:rsidP="00686F6C">
      <w:pPr>
        <w:tabs>
          <w:tab w:val="left" w:pos="851"/>
        </w:tabs>
        <w:ind w:left="851"/>
        <w:rPr>
          <w:sz w:val="24"/>
          <w:szCs w:val="24"/>
        </w:rPr>
      </w:pPr>
    </w:p>
    <w:p w14:paraId="3D7F8502" w14:textId="77777777" w:rsidR="00686F6C" w:rsidRPr="00686F6C" w:rsidRDefault="00686F6C" w:rsidP="00686F6C">
      <w:pPr>
        <w:tabs>
          <w:tab w:val="left" w:pos="851"/>
        </w:tabs>
        <w:ind w:left="851"/>
        <w:rPr>
          <w:i/>
          <w:sz w:val="24"/>
          <w:szCs w:val="24"/>
        </w:rPr>
      </w:pPr>
      <w:r w:rsidRPr="00686F6C">
        <w:rPr>
          <w:i/>
          <w:sz w:val="24"/>
          <w:szCs w:val="24"/>
        </w:rPr>
        <w:t>a) Med lægemidler med antikolinerge egenskaber</w:t>
      </w:r>
    </w:p>
    <w:p w14:paraId="601E7444" w14:textId="77777777" w:rsidR="00686F6C" w:rsidRPr="00686F6C" w:rsidRDefault="00686F6C" w:rsidP="00686F6C">
      <w:pPr>
        <w:tabs>
          <w:tab w:val="left" w:pos="851"/>
        </w:tabs>
        <w:ind w:left="851"/>
        <w:rPr>
          <w:sz w:val="24"/>
          <w:szCs w:val="24"/>
        </w:rPr>
      </w:pPr>
      <w:r w:rsidRPr="00686F6C">
        <w:rPr>
          <w:sz w:val="24"/>
          <w:szCs w:val="24"/>
        </w:rPr>
        <w:t>Patienter, der får antimuskarinika sammen med amantadin, antihistaminer, antiparkinsonmidler, butyrophenoner eller phenothiaziner, tricykliske antidepressiva eller antiarytmika med antikolinerge egenskaber (f.eks. procainamid), har en øget risiko for at udvikle antikolinerge bivirkninger.</w:t>
      </w:r>
    </w:p>
    <w:p w14:paraId="0B5F4D0B" w14:textId="77777777" w:rsidR="00686F6C" w:rsidRPr="00686F6C" w:rsidRDefault="00686F6C" w:rsidP="00686F6C">
      <w:pPr>
        <w:tabs>
          <w:tab w:val="left" w:pos="851"/>
        </w:tabs>
        <w:ind w:left="851"/>
        <w:rPr>
          <w:sz w:val="24"/>
          <w:szCs w:val="24"/>
        </w:rPr>
      </w:pPr>
    </w:p>
    <w:p w14:paraId="621B4788" w14:textId="77777777" w:rsidR="00686F6C" w:rsidRPr="00686F6C" w:rsidRDefault="00686F6C" w:rsidP="00686F6C">
      <w:pPr>
        <w:tabs>
          <w:tab w:val="left" w:pos="851"/>
        </w:tabs>
        <w:ind w:left="851"/>
        <w:rPr>
          <w:i/>
          <w:sz w:val="24"/>
          <w:szCs w:val="24"/>
        </w:rPr>
      </w:pPr>
      <w:r w:rsidRPr="00686F6C">
        <w:rPr>
          <w:i/>
          <w:sz w:val="24"/>
          <w:szCs w:val="24"/>
        </w:rPr>
        <w:t>b) Virkninger på lægemiddelabsorption i mave-tarm-kanalen</w:t>
      </w:r>
    </w:p>
    <w:p w14:paraId="4B941083" w14:textId="77777777" w:rsidR="00686F6C" w:rsidRPr="00686F6C" w:rsidRDefault="00686F6C" w:rsidP="00686F6C">
      <w:pPr>
        <w:tabs>
          <w:tab w:val="left" w:pos="851"/>
        </w:tabs>
        <w:ind w:left="851"/>
        <w:rPr>
          <w:sz w:val="24"/>
          <w:szCs w:val="24"/>
        </w:rPr>
      </w:pPr>
      <w:r w:rsidRPr="00686F6C">
        <w:rPr>
          <w:sz w:val="24"/>
          <w:szCs w:val="24"/>
        </w:rPr>
        <w:t>Den nedsatte gastriske motilitet forårsaget af antimuskarinika kan påvirke absorptionen af visse lægemidler. For eksempel kan samtidig administration af et antimuskarinikum og levodopa nedsætte optagelsen af levodopa i tarmen, da det øger metabolisering af lægemidlet i ventriklen. Hvis administration af antimuskarinikummet seponeres uden samtidig at nedsætte levodopadosen, kan der opstå toksiske virkninger som følge af den øgede levodopa-absorption.</w:t>
      </w:r>
    </w:p>
    <w:p w14:paraId="0A4A3ED8" w14:textId="77777777" w:rsidR="00686F6C" w:rsidRPr="00686F6C" w:rsidRDefault="00686F6C" w:rsidP="00686F6C">
      <w:pPr>
        <w:tabs>
          <w:tab w:val="left" w:pos="851"/>
        </w:tabs>
        <w:ind w:left="851"/>
        <w:rPr>
          <w:sz w:val="24"/>
          <w:szCs w:val="24"/>
          <w:lang w:val="nl-NL"/>
        </w:rPr>
      </w:pPr>
    </w:p>
    <w:p w14:paraId="5D59A25C" w14:textId="77777777" w:rsidR="00686F6C" w:rsidRPr="00686F6C" w:rsidRDefault="00686F6C" w:rsidP="00686F6C">
      <w:pPr>
        <w:tabs>
          <w:tab w:val="left" w:pos="851"/>
        </w:tabs>
        <w:ind w:left="851"/>
        <w:rPr>
          <w:sz w:val="24"/>
          <w:szCs w:val="24"/>
        </w:rPr>
      </w:pPr>
      <w:r w:rsidRPr="00686F6C">
        <w:rPr>
          <w:sz w:val="24"/>
          <w:szCs w:val="24"/>
        </w:rPr>
        <w:t>Patienter, der er i behandling med antimuskarinika og digoxin på samme tid, skal overvåges, da de kan udvikle digitalistoksicitet.</w:t>
      </w:r>
    </w:p>
    <w:p w14:paraId="52B67E9C" w14:textId="77777777" w:rsidR="00686F6C" w:rsidRPr="00686F6C" w:rsidRDefault="00686F6C" w:rsidP="00686F6C">
      <w:pPr>
        <w:tabs>
          <w:tab w:val="left" w:pos="851"/>
        </w:tabs>
        <w:ind w:left="851"/>
        <w:rPr>
          <w:sz w:val="24"/>
          <w:szCs w:val="24"/>
          <w:lang w:val="nl-NL"/>
        </w:rPr>
      </w:pPr>
    </w:p>
    <w:p w14:paraId="3E2402AF" w14:textId="77777777" w:rsidR="00686F6C" w:rsidRPr="00686F6C" w:rsidRDefault="00686F6C" w:rsidP="00686F6C">
      <w:pPr>
        <w:tabs>
          <w:tab w:val="left" w:pos="851"/>
        </w:tabs>
        <w:ind w:left="851"/>
        <w:rPr>
          <w:sz w:val="24"/>
          <w:szCs w:val="24"/>
        </w:rPr>
      </w:pPr>
      <w:r w:rsidRPr="00686F6C">
        <w:rPr>
          <w:sz w:val="24"/>
          <w:szCs w:val="24"/>
        </w:rPr>
        <w:t>Da antimuskarinika kan nedsætte produktionen af saltsyre i ventriklen og/eller øge den gastriske pH</w:t>
      </w:r>
      <w:r w:rsidRPr="00686F6C">
        <w:rPr>
          <w:sz w:val="24"/>
          <w:szCs w:val="24"/>
        </w:rPr>
        <w:noBreakHyphen/>
        <w:t>værdi, kan de nedsætte absorptionen af ketoconazol i mave-tarm-kanalen. Hvis samtidig behandling er nødvendig, skal antimuskarinikummet gives mindst to timer efter administration af ketoconazol.</w:t>
      </w:r>
    </w:p>
    <w:p w14:paraId="0687CF84" w14:textId="77777777" w:rsidR="00686F6C" w:rsidRPr="00686F6C" w:rsidRDefault="00686F6C" w:rsidP="00686F6C">
      <w:pPr>
        <w:tabs>
          <w:tab w:val="left" w:pos="851"/>
        </w:tabs>
        <w:ind w:left="851"/>
        <w:rPr>
          <w:sz w:val="24"/>
          <w:szCs w:val="24"/>
        </w:rPr>
      </w:pPr>
    </w:p>
    <w:p w14:paraId="2330A990" w14:textId="77777777" w:rsidR="00686F6C" w:rsidRPr="00686F6C" w:rsidRDefault="00686F6C" w:rsidP="00686F6C">
      <w:pPr>
        <w:tabs>
          <w:tab w:val="left" w:pos="851"/>
        </w:tabs>
        <w:ind w:left="851"/>
        <w:rPr>
          <w:sz w:val="24"/>
          <w:szCs w:val="24"/>
        </w:rPr>
      </w:pPr>
      <w:r w:rsidRPr="00686F6C">
        <w:rPr>
          <w:sz w:val="24"/>
          <w:szCs w:val="24"/>
        </w:rPr>
        <w:t>Potentielt kan antimuskarinika forsinke den terapeutiske virkning (f.eks. analgesi, antipyretisk virkning) af paracetamol.</w:t>
      </w:r>
    </w:p>
    <w:p w14:paraId="1CE5AC0B" w14:textId="77777777" w:rsidR="00686F6C" w:rsidRPr="00686F6C" w:rsidRDefault="00686F6C" w:rsidP="00686F6C">
      <w:pPr>
        <w:tabs>
          <w:tab w:val="left" w:pos="851"/>
        </w:tabs>
        <w:ind w:left="851"/>
        <w:rPr>
          <w:sz w:val="24"/>
          <w:szCs w:val="24"/>
        </w:rPr>
      </w:pPr>
    </w:p>
    <w:p w14:paraId="3205D459" w14:textId="77777777" w:rsidR="00686F6C" w:rsidRPr="00686F6C" w:rsidRDefault="00686F6C" w:rsidP="00686F6C">
      <w:pPr>
        <w:tabs>
          <w:tab w:val="left" w:pos="851"/>
        </w:tabs>
        <w:ind w:left="851"/>
        <w:rPr>
          <w:i/>
          <w:sz w:val="24"/>
          <w:szCs w:val="24"/>
        </w:rPr>
      </w:pPr>
      <w:r w:rsidRPr="00686F6C">
        <w:rPr>
          <w:i/>
          <w:sz w:val="24"/>
          <w:szCs w:val="24"/>
        </w:rPr>
        <w:t>c) Med glukokortikoider, kortikotropin (ACTH) eller haloperidol</w:t>
      </w:r>
    </w:p>
    <w:p w14:paraId="24B03692" w14:textId="77777777" w:rsidR="00686F6C" w:rsidRPr="00686F6C" w:rsidRDefault="00686F6C" w:rsidP="00686F6C">
      <w:pPr>
        <w:tabs>
          <w:tab w:val="left" w:pos="851"/>
        </w:tabs>
        <w:ind w:left="851"/>
        <w:rPr>
          <w:sz w:val="24"/>
          <w:szCs w:val="24"/>
        </w:rPr>
      </w:pPr>
      <w:r w:rsidRPr="00686F6C">
        <w:rPr>
          <w:sz w:val="24"/>
          <w:szCs w:val="24"/>
        </w:rPr>
        <w:t>Samtidig langvarig antimuskarinbehandling kan føre til øget intraokulært tryk. Desuden kan haloperidols antipsykotiske virkning aftage hos patienter med skizofreni.</w:t>
      </w:r>
    </w:p>
    <w:p w14:paraId="172A4985" w14:textId="77777777" w:rsidR="00686F6C" w:rsidRPr="00686F6C" w:rsidRDefault="00686F6C" w:rsidP="00686F6C">
      <w:pPr>
        <w:tabs>
          <w:tab w:val="left" w:pos="851"/>
        </w:tabs>
        <w:ind w:left="851"/>
        <w:rPr>
          <w:sz w:val="24"/>
          <w:szCs w:val="24"/>
        </w:rPr>
      </w:pPr>
    </w:p>
    <w:p w14:paraId="4C533BEC" w14:textId="77777777" w:rsidR="00686F6C" w:rsidRPr="00686F6C" w:rsidRDefault="00686F6C" w:rsidP="00686F6C">
      <w:pPr>
        <w:tabs>
          <w:tab w:val="left" w:pos="851"/>
        </w:tabs>
        <w:ind w:left="851"/>
        <w:rPr>
          <w:i/>
          <w:sz w:val="24"/>
          <w:szCs w:val="24"/>
        </w:rPr>
      </w:pPr>
      <w:r w:rsidRPr="00686F6C">
        <w:rPr>
          <w:i/>
          <w:sz w:val="24"/>
          <w:szCs w:val="24"/>
        </w:rPr>
        <w:t>d) Med urinalkaliserende midler (syreneutraliserende midler, der indeholder calcium og/eller magnesium, kulsyreanhydrasehæmmere, citrater og natriumbikarbonat).</w:t>
      </w:r>
    </w:p>
    <w:p w14:paraId="302EA6F3" w14:textId="77777777" w:rsidR="00686F6C" w:rsidRPr="00686F6C" w:rsidRDefault="00686F6C" w:rsidP="00686F6C">
      <w:pPr>
        <w:tabs>
          <w:tab w:val="left" w:pos="851"/>
        </w:tabs>
        <w:ind w:left="851"/>
        <w:rPr>
          <w:sz w:val="24"/>
          <w:szCs w:val="24"/>
        </w:rPr>
      </w:pPr>
      <w:r w:rsidRPr="00686F6C">
        <w:rPr>
          <w:sz w:val="24"/>
          <w:szCs w:val="24"/>
        </w:rPr>
        <w:t>Udskillelsen af antimuskarininka i urinen kan blive forsinket på grund af alkalisering af urinen, hvilket maksimerer de terapeutiske og/eller skadelige virkninger af denne type lægemidler.</w:t>
      </w:r>
    </w:p>
    <w:p w14:paraId="08C7866E" w14:textId="77777777" w:rsidR="00686F6C" w:rsidRPr="00686F6C" w:rsidRDefault="00686F6C" w:rsidP="00686F6C">
      <w:pPr>
        <w:tabs>
          <w:tab w:val="left" w:pos="851"/>
        </w:tabs>
        <w:ind w:left="851"/>
        <w:rPr>
          <w:sz w:val="24"/>
          <w:szCs w:val="24"/>
          <w:lang w:val="nl-NL"/>
        </w:rPr>
      </w:pPr>
    </w:p>
    <w:p w14:paraId="697CEEBE" w14:textId="77777777" w:rsidR="00686F6C" w:rsidRPr="00686F6C" w:rsidRDefault="00686F6C" w:rsidP="00686F6C">
      <w:pPr>
        <w:tabs>
          <w:tab w:val="left" w:pos="851"/>
        </w:tabs>
        <w:ind w:left="851"/>
        <w:rPr>
          <w:i/>
          <w:sz w:val="24"/>
          <w:szCs w:val="24"/>
        </w:rPr>
      </w:pPr>
      <w:r w:rsidRPr="00686F6C">
        <w:rPr>
          <w:i/>
          <w:sz w:val="24"/>
          <w:szCs w:val="24"/>
        </w:rPr>
        <w:t>e) Med cyklopropan</w:t>
      </w:r>
    </w:p>
    <w:p w14:paraId="78DFE57B" w14:textId="77777777" w:rsidR="00686F6C" w:rsidRPr="00686F6C" w:rsidRDefault="00686F6C" w:rsidP="00686F6C">
      <w:pPr>
        <w:tabs>
          <w:tab w:val="left" w:pos="851"/>
        </w:tabs>
        <w:ind w:left="851"/>
        <w:rPr>
          <w:sz w:val="24"/>
          <w:szCs w:val="24"/>
        </w:rPr>
      </w:pPr>
      <w:r w:rsidRPr="00686F6C">
        <w:rPr>
          <w:sz w:val="24"/>
          <w:szCs w:val="24"/>
        </w:rPr>
        <w:t>Samtidig intravenøs administration af antimuskarinika og anæstetikummet cyklopropan kan udløse ventrikulære arytmier.</w:t>
      </w:r>
    </w:p>
    <w:p w14:paraId="4073A68E" w14:textId="77777777" w:rsidR="00686F6C" w:rsidRPr="00686F6C" w:rsidRDefault="00686F6C" w:rsidP="00686F6C">
      <w:pPr>
        <w:tabs>
          <w:tab w:val="left" w:pos="851"/>
        </w:tabs>
        <w:ind w:left="851"/>
        <w:rPr>
          <w:sz w:val="24"/>
          <w:szCs w:val="24"/>
          <w:lang w:val="nl-NL"/>
        </w:rPr>
      </w:pPr>
    </w:p>
    <w:p w14:paraId="2FC96DA1" w14:textId="77777777" w:rsidR="00686F6C" w:rsidRPr="00686F6C" w:rsidRDefault="00686F6C" w:rsidP="00686F6C">
      <w:pPr>
        <w:tabs>
          <w:tab w:val="left" w:pos="851"/>
        </w:tabs>
        <w:ind w:left="851"/>
        <w:rPr>
          <w:i/>
          <w:sz w:val="24"/>
          <w:szCs w:val="24"/>
        </w:rPr>
      </w:pPr>
      <w:r w:rsidRPr="00686F6C">
        <w:rPr>
          <w:i/>
          <w:sz w:val="24"/>
          <w:szCs w:val="24"/>
        </w:rPr>
        <w:t>f) Med guanadrel, guanethidin</w:t>
      </w:r>
    </w:p>
    <w:p w14:paraId="5D7F7D5F" w14:textId="77777777" w:rsidR="00686F6C" w:rsidRPr="00686F6C" w:rsidRDefault="00686F6C" w:rsidP="00686F6C">
      <w:pPr>
        <w:tabs>
          <w:tab w:val="left" w:pos="851"/>
        </w:tabs>
        <w:ind w:left="851"/>
        <w:rPr>
          <w:sz w:val="24"/>
          <w:szCs w:val="24"/>
        </w:rPr>
      </w:pPr>
      <w:r w:rsidRPr="00686F6C">
        <w:rPr>
          <w:sz w:val="24"/>
          <w:szCs w:val="24"/>
        </w:rPr>
        <w:t>Samtidig administration kan modvirke den antimuskarine hæmmende virkning på gastrisk sekretion af saltsyre.</w:t>
      </w:r>
    </w:p>
    <w:p w14:paraId="7EF99514" w14:textId="77777777" w:rsidR="00686F6C" w:rsidRPr="00686F6C" w:rsidRDefault="00686F6C" w:rsidP="00686F6C">
      <w:pPr>
        <w:tabs>
          <w:tab w:val="left" w:pos="851"/>
        </w:tabs>
        <w:ind w:left="851"/>
        <w:rPr>
          <w:sz w:val="24"/>
          <w:szCs w:val="24"/>
          <w:lang w:val="nl-NL"/>
        </w:rPr>
      </w:pPr>
    </w:p>
    <w:p w14:paraId="47D90BDD" w14:textId="77777777" w:rsidR="00686F6C" w:rsidRPr="00686F6C" w:rsidRDefault="00686F6C" w:rsidP="00686F6C">
      <w:pPr>
        <w:tabs>
          <w:tab w:val="left" w:pos="851"/>
        </w:tabs>
        <w:ind w:left="851"/>
        <w:rPr>
          <w:i/>
          <w:sz w:val="24"/>
          <w:szCs w:val="24"/>
        </w:rPr>
      </w:pPr>
      <w:r w:rsidRPr="00686F6C">
        <w:rPr>
          <w:i/>
          <w:sz w:val="24"/>
          <w:szCs w:val="24"/>
        </w:rPr>
        <w:t>g) Med monoaminoxidase (MAO)-hæmmere, herunder furazolidon, procarbazin og pargylin.</w:t>
      </w:r>
    </w:p>
    <w:p w14:paraId="6CA8F0D4" w14:textId="77777777" w:rsidR="00686F6C" w:rsidRPr="00686F6C" w:rsidRDefault="00686F6C" w:rsidP="00686F6C">
      <w:pPr>
        <w:tabs>
          <w:tab w:val="left" w:pos="851"/>
        </w:tabs>
        <w:ind w:left="851"/>
        <w:rPr>
          <w:sz w:val="24"/>
          <w:szCs w:val="24"/>
        </w:rPr>
      </w:pPr>
      <w:r w:rsidRPr="00686F6C">
        <w:rPr>
          <w:sz w:val="24"/>
          <w:szCs w:val="24"/>
        </w:rPr>
        <w:t>Samtidig administration kan forstærke muskarine bivirkninger på grund af den sekundære antimuskarine virkning af disse lægemidler. MAO</w:t>
      </w:r>
      <w:r w:rsidRPr="00686F6C">
        <w:rPr>
          <w:sz w:val="24"/>
          <w:szCs w:val="24"/>
        </w:rPr>
        <w:noBreakHyphen/>
        <w:t>hæmmere kan desuden blokere den antimuskarine detoksifikation og dermed forstærke virkningen.</w:t>
      </w:r>
    </w:p>
    <w:p w14:paraId="282BE329" w14:textId="77777777" w:rsidR="00686F6C" w:rsidRPr="00686F6C" w:rsidRDefault="00686F6C" w:rsidP="00686F6C">
      <w:pPr>
        <w:tabs>
          <w:tab w:val="left" w:pos="851"/>
        </w:tabs>
        <w:ind w:left="851"/>
        <w:rPr>
          <w:sz w:val="24"/>
          <w:szCs w:val="24"/>
          <w:lang w:val="nl-NL"/>
        </w:rPr>
      </w:pPr>
    </w:p>
    <w:p w14:paraId="36B67655" w14:textId="77777777" w:rsidR="00686F6C" w:rsidRPr="00686F6C" w:rsidRDefault="00686F6C" w:rsidP="00686F6C">
      <w:pPr>
        <w:tabs>
          <w:tab w:val="left" w:pos="851"/>
        </w:tabs>
        <w:ind w:left="851"/>
        <w:rPr>
          <w:i/>
          <w:sz w:val="24"/>
          <w:szCs w:val="24"/>
        </w:rPr>
      </w:pPr>
      <w:r w:rsidRPr="00686F6C">
        <w:rPr>
          <w:i/>
          <w:sz w:val="24"/>
          <w:szCs w:val="24"/>
        </w:rPr>
        <w:t>h) Med opioid-analgetika</w:t>
      </w:r>
    </w:p>
    <w:p w14:paraId="10E67DF0" w14:textId="77777777" w:rsidR="00686F6C" w:rsidRPr="00686F6C" w:rsidRDefault="00686F6C" w:rsidP="00686F6C">
      <w:pPr>
        <w:tabs>
          <w:tab w:val="left" w:pos="851"/>
        </w:tabs>
        <w:ind w:left="851"/>
        <w:rPr>
          <w:sz w:val="24"/>
          <w:szCs w:val="24"/>
        </w:rPr>
      </w:pPr>
      <w:r w:rsidRPr="00686F6C">
        <w:rPr>
          <w:sz w:val="24"/>
          <w:szCs w:val="24"/>
        </w:rPr>
        <w:t>Samtidig administration af antimuskarinika kan øge risikoen for svær obstipation, som kan føre til paralytisk ileus og/eller urinretention.</w:t>
      </w:r>
    </w:p>
    <w:p w14:paraId="757A189B" w14:textId="77777777" w:rsidR="00686F6C" w:rsidRPr="00686F6C" w:rsidRDefault="00686F6C" w:rsidP="00686F6C">
      <w:pPr>
        <w:tabs>
          <w:tab w:val="left" w:pos="851"/>
        </w:tabs>
        <w:ind w:left="851"/>
        <w:rPr>
          <w:sz w:val="24"/>
          <w:szCs w:val="24"/>
          <w:lang w:val="nl-NL"/>
        </w:rPr>
      </w:pPr>
    </w:p>
    <w:p w14:paraId="680EE9E4" w14:textId="77777777" w:rsidR="00686F6C" w:rsidRPr="00686F6C" w:rsidRDefault="00686F6C" w:rsidP="00686F6C">
      <w:pPr>
        <w:tabs>
          <w:tab w:val="left" w:pos="851"/>
        </w:tabs>
        <w:ind w:left="851"/>
        <w:rPr>
          <w:i/>
          <w:sz w:val="24"/>
          <w:szCs w:val="24"/>
        </w:rPr>
      </w:pPr>
      <w:r w:rsidRPr="00686F6C">
        <w:rPr>
          <w:i/>
          <w:sz w:val="24"/>
          <w:szCs w:val="24"/>
        </w:rPr>
        <w:t>i) Med kaliumchlorid, især voksmatrix-præparater</w:t>
      </w:r>
    </w:p>
    <w:p w14:paraId="1F2FCC23" w14:textId="77777777" w:rsidR="00686F6C" w:rsidRPr="00686F6C" w:rsidRDefault="00686F6C" w:rsidP="00686F6C">
      <w:pPr>
        <w:tabs>
          <w:tab w:val="left" w:pos="851"/>
        </w:tabs>
        <w:ind w:left="851"/>
        <w:rPr>
          <w:sz w:val="24"/>
          <w:szCs w:val="24"/>
        </w:rPr>
      </w:pPr>
      <w:r w:rsidRPr="00686F6C">
        <w:rPr>
          <w:sz w:val="24"/>
          <w:szCs w:val="24"/>
        </w:rPr>
        <w:t>Samtidig administration med antimuskarinika kan øge sværhedsgraden af de gastrointestinale forstyrrelser, der induceres af kaliumchlorid.</w:t>
      </w:r>
    </w:p>
    <w:p w14:paraId="00DDC244" w14:textId="77777777" w:rsidR="009260DE" w:rsidRPr="00C84483" w:rsidRDefault="009260DE" w:rsidP="009260DE">
      <w:pPr>
        <w:tabs>
          <w:tab w:val="left" w:pos="851"/>
        </w:tabs>
        <w:ind w:left="851"/>
        <w:rPr>
          <w:sz w:val="24"/>
          <w:szCs w:val="24"/>
        </w:rPr>
      </w:pPr>
    </w:p>
    <w:p w14:paraId="56724D0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31CC94D" w14:textId="77777777" w:rsidR="00DB7F82" w:rsidRPr="00DB7F82" w:rsidRDefault="00DB7F82" w:rsidP="00DB7F82">
      <w:pPr>
        <w:tabs>
          <w:tab w:val="left" w:pos="851"/>
        </w:tabs>
        <w:ind w:left="851"/>
        <w:rPr>
          <w:sz w:val="24"/>
          <w:szCs w:val="24"/>
          <w:lang w:val="sv-SE"/>
        </w:rPr>
      </w:pPr>
    </w:p>
    <w:p w14:paraId="326389A2" w14:textId="77777777" w:rsidR="00DB7F82" w:rsidRPr="00DB7F82" w:rsidRDefault="00DB7F82" w:rsidP="00DB7F82">
      <w:pPr>
        <w:tabs>
          <w:tab w:val="left" w:pos="851"/>
        </w:tabs>
        <w:ind w:left="851"/>
        <w:rPr>
          <w:sz w:val="24"/>
          <w:szCs w:val="24"/>
          <w:u w:val="single"/>
        </w:rPr>
      </w:pPr>
      <w:r w:rsidRPr="00DB7F82">
        <w:rPr>
          <w:sz w:val="24"/>
          <w:szCs w:val="24"/>
          <w:u w:val="single"/>
        </w:rPr>
        <w:t xml:space="preserve">Graviditet </w:t>
      </w:r>
    </w:p>
    <w:p w14:paraId="2FA3CCAA" w14:textId="77777777" w:rsidR="00DB7F82" w:rsidRPr="00DB7F82" w:rsidRDefault="00DB7F82" w:rsidP="00DB7F82">
      <w:pPr>
        <w:tabs>
          <w:tab w:val="left" w:pos="851"/>
        </w:tabs>
        <w:ind w:left="851"/>
        <w:rPr>
          <w:sz w:val="24"/>
          <w:szCs w:val="24"/>
        </w:rPr>
      </w:pPr>
      <w:r w:rsidRPr="00DB7F82">
        <w:rPr>
          <w:sz w:val="24"/>
          <w:szCs w:val="24"/>
        </w:rPr>
        <w:t>Atropin passerer placentabarrieren.</w:t>
      </w:r>
    </w:p>
    <w:p w14:paraId="39EF742B" w14:textId="77777777" w:rsidR="00DB7F82" w:rsidRPr="00DB7F82" w:rsidRDefault="00DB7F82" w:rsidP="00DB7F82">
      <w:pPr>
        <w:tabs>
          <w:tab w:val="left" w:pos="851"/>
        </w:tabs>
        <w:ind w:left="851"/>
        <w:rPr>
          <w:sz w:val="24"/>
          <w:szCs w:val="24"/>
        </w:rPr>
      </w:pPr>
      <w:r w:rsidRPr="00DB7F82">
        <w:rPr>
          <w:sz w:val="24"/>
          <w:szCs w:val="24"/>
        </w:rPr>
        <w:t xml:space="preserve">Selvom der ikke er udført velkontrollerede studier hos mennesker, indikerer dyreforsøg hverken direkte eller indirekte skadelige virkninger hvad angår reproduktionstoksicitet (se pkt. 5.3). </w:t>
      </w:r>
    </w:p>
    <w:p w14:paraId="32486A5E" w14:textId="77777777" w:rsidR="00DB7F82" w:rsidRPr="00DB7F82" w:rsidRDefault="00DB7F82" w:rsidP="00DB7F82">
      <w:pPr>
        <w:tabs>
          <w:tab w:val="left" w:pos="851"/>
        </w:tabs>
        <w:ind w:left="851"/>
        <w:rPr>
          <w:sz w:val="24"/>
          <w:szCs w:val="24"/>
        </w:rPr>
      </w:pPr>
      <w:r w:rsidRPr="00DB7F82">
        <w:rPr>
          <w:sz w:val="24"/>
          <w:szCs w:val="24"/>
        </w:rPr>
        <w:t>Intravenøs administration af atropin under graviditet kan føre til takykardi hos fosteret. Atropin bør derfor kun administreres under graviditet, hvis de potentielle fordele opvejer de mulige risici for fosteret.</w:t>
      </w:r>
    </w:p>
    <w:p w14:paraId="1F255C56" w14:textId="77777777" w:rsidR="00DB7F82" w:rsidRPr="00DB7F82" w:rsidRDefault="00DB7F82" w:rsidP="00DB7F82">
      <w:pPr>
        <w:tabs>
          <w:tab w:val="left" w:pos="851"/>
        </w:tabs>
        <w:ind w:left="851"/>
        <w:rPr>
          <w:sz w:val="24"/>
          <w:szCs w:val="24"/>
          <w:lang w:val="nl-NL"/>
        </w:rPr>
      </w:pPr>
    </w:p>
    <w:p w14:paraId="77540DF4" w14:textId="77777777" w:rsidR="00DB7F82" w:rsidRPr="00DB7F82" w:rsidRDefault="00DB7F82" w:rsidP="00DB7F82">
      <w:pPr>
        <w:tabs>
          <w:tab w:val="left" w:pos="851"/>
        </w:tabs>
        <w:ind w:left="851"/>
        <w:rPr>
          <w:sz w:val="24"/>
          <w:szCs w:val="24"/>
          <w:u w:val="single"/>
        </w:rPr>
      </w:pPr>
      <w:r w:rsidRPr="00DB7F82">
        <w:rPr>
          <w:sz w:val="24"/>
          <w:szCs w:val="24"/>
          <w:u w:val="single"/>
        </w:rPr>
        <w:t>Amning</w:t>
      </w:r>
    </w:p>
    <w:p w14:paraId="6EA84B1D" w14:textId="77777777" w:rsidR="00DB7F82" w:rsidRPr="00DB7F82" w:rsidRDefault="00DB7F82" w:rsidP="00DB7F82">
      <w:pPr>
        <w:tabs>
          <w:tab w:val="left" w:pos="851"/>
        </w:tabs>
        <w:ind w:left="851"/>
        <w:rPr>
          <w:sz w:val="24"/>
          <w:szCs w:val="24"/>
        </w:rPr>
      </w:pPr>
      <w:r w:rsidRPr="00DB7F82">
        <w:rPr>
          <w:sz w:val="24"/>
          <w:szCs w:val="24"/>
        </w:rPr>
        <w:t>Der er ikke rapporteret om problemer hos mennesker hvad angår administration af atropin under amning. Der skal dog tages højde for forholdet mellem fordele og risici, da små mængder atropin udskilles i human mælk, og børn er særligt følsomme over for disse lægemidler.</w:t>
      </w:r>
    </w:p>
    <w:p w14:paraId="495692F1" w14:textId="77777777" w:rsidR="00DB7F82" w:rsidRPr="00DB7F82" w:rsidRDefault="00DB7F82" w:rsidP="00DB7F82">
      <w:pPr>
        <w:tabs>
          <w:tab w:val="left" w:pos="851"/>
        </w:tabs>
        <w:ind w:left="851"/>
        <w:rPr>
          <w:sz w:val="24"/>
          <w:szCs w:val="24"/>
        </w:rPr>
      </w:pPr>
      <w:r w:rsidRPr="00DB7F82">
        <w:rPr>
          <w:sz w:val="24"/>
          <w:szCs w:val="24"/>
        </w:rPr>
        <w:t>Antimuskarinika undertrykker laktation.</w:t>
      </w:r>
    </w:p>
    <w:p w14:paraId="195007B0" w14:textId="77777777" w:rsidR="00DB7F82" w:rsidRPr="00DB7F82" w:rsidRDefault="00DB7F82" w:rsidP="00DB7F82">
      <w:pPr>
        <w:tabs>
          <w:tab w:val="left" w:pos="851"/>
        </w:tabs>
        <w:ind w:left="851"/>
        <w:rPr>
          <w:sz w:val="24"/>
          <w:szCs w:val="24"/>
        </w:rPr>
      </w:pPr>
    </w:p>
    <w:p w14:paraId="2E43A023" w14:textId="77777777" w:rsidR="00DB7F82" w:rsidRPr="00DB7F82" w:rsidRDefault="00DB7F82" w:rsidP="00DB7F82">
      <w:pPr>
        <w:tabs>
          <w:tab w:val="left" w:pos="851"/>
        </w:tabs>
        <w:ind w:left="851"/>
        <w:rPr>
          <w:sz w:val="24"/>
          <w:szCs w:val="24"/>
          <w:u w:val="single"/>
        </w:rPr>
      </w:pPr>
      <w:r w:rsidRPr="00DB7F82">
        <w:rPr>
          <w:sz w:val="24"/>
          <w:szCs w:val="24"/>
          <w:u w:val="single"/>
        </w:rPr>
        <w:t>Fertilitet</w:t>
      </w:r>
    </w:p>
    <w:p w14:paraId="73633734" w14:textId="77777777" w:rsidR="00DB7F82" w:rsidRPr="00DB7F82" w:rsidRDefault="00DB7F82" w:rsidP="00DB7F82">
      <w:pPr>
        <w:tabs>
          <w:tab w:val="left" w:pos="851"/>
        </w:tabs>
        <w:ind w:left="851"/>
        <w:rPr>
          <w:sz w:val="24"/>
          <w:szCs w:val="24"/>
        </w:rPr>
      </w:pPr>
      <w:r w:rsidRPr="00DB7F82">
        <w:rPr>
          <w:sz w:val="24"/>
          <w:szCs w:val="24"/>
        </w:rPr>
        <w:t>Atropinsulfat reducerede fertiliteten hos hanrotter, formentlig som følge af en hæmmende virkning på transporten af spermatozoer og sæd under ejakuleringsprocessen.</w:t>
      </w:r>
    </w:p>
    <w:p w14:paraId="2A7DC77F" w14:textId="77777777" w:rsidR="009260DE" w:rsidRPr="00C84483" w:rsidRDefault="009260DE" w:rsidP="009260DE">
      <w:pPr>
        <w:tabs>
          <w:tab w:val="left" w:pos="851"/>
        </w:tabs>
        <w:ind w:left="851"/>
        <w:rPr>
          <w:sz w:val="24"/>
          <w:szCs w:val="24"/>
        </w:rPr>
      </w:pPr>
    </w:p>
    <w:p w14:paraId="365B105B"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53FB3E52" w14:textId="5DFDF199" w:rsidR="00DB7F82" w:rsidRPr="00DB7F82" w:rsidRDefault="00DB7F82" w:rsidP="00DB7F82">
      <w:pPr>
        <w:tabs>
          <w:tab w:val="left" w:pos="851"/>
        </w:tabs>
        <w:ind w:left="851"/>
        <w:rPr>
          <w:sz w:val="24"/>
          <w:szCs w:val="24"/>
        </w:rPr>
      </w:pPr>
      <w:r w:rsidRPr="00DB7F82">
        <w:rPr>
          <w:sz w:val="24"/>
          <w:szCs w:val="24"/>
        </w:rPr>
        <w:t>Ikke mærkning</w:t>
      </w:r>
      <w:r>
        <w:rPr>
          <w:sz w:val="24"/>
          <w:szCs w:val="24"/>
        </w:rPr>
        <w:t>.</w:t>
      </w:r>
    </w:p>
    <w:p w14:paraId="6892ACD9" w14:textId="77777777" w:rsidR="00DB7F82" w:rsidRPr="00DB7F82" w:rsidRDefault="00DB7F82" w:rsidP="00DB7F82">
      <w:pPr>
        <w:tabs>
          <w:tab w:val="left" w:pos="851"/>
        </w:tabs>
        <w:ind w:left="851"/>
        <w:rPr>
          <w:sz w:val="24"/>
          <w:szCs w:val="24"/>
        </w:rPr>
      </w:pPr>
      <w:r w:rsidRPr="00DB7F82">
        <w:rPr>
          <w:sz w:val="24"/>
          <w:szCs w:val="24"/>
        </w:rPr>
        <w:t>Da antimuskarinika kan virke søvndyssende og give sløret syn, må patienter i denne type behandling ikke udføre aktiviteter, der kræver mental eller visuel skarphed (f.eks. betjening af maskiner).</w:t>
      </w:r>
    </w:p>
    <w:p w14:paraId="37136CEE" w14:textId="77777777" w:rsidR="009260DE" w:rsidRPr="00C84483" w:rsidRDefault="009260DE" w:rsidP="009260DE">
      <w:pPr>
        <w:tabs>
          <w:tab w:val="left" w:pos="851"/>
        </w:tabs>
        <w:ind w:left="851"/>
        <w:rPr>
          <w:sz w:val="24"/>
          <w:szCs w:val="24"/>
        </w:rPr>
      </w:pPr>
    </w:p>
    <w:p w14:paraId="7F46BF06" w14:textId="77777777" w:rsidR="009260DE" w:rsidRPr="00C84483" w:rsidRDefault="009260DE" w:rsidP="009260DE">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14:paraId="3100E361" w14:textId="77777777" w:rsidR="00F43752" w:rsidRPr="00F43752" w:rsidRDefault="00F43752" w:rsidP="00F43752">
      <w:pPr>
        <w:ind w:left="851"/>
        <w:rPr>
          <w:sz w:val="24"/>
          <w:szCs w:val="24"/>
        </w:rPr>
      </w:pPr>
      <w:r w:rsidRPr="00F43752">
        <w:rPr>
          <w:sz w:val="24"/>
          <w:szCs w:val="24"/>
        </w:rPr>
        <w:t>Bivirkninger for atropin er sædvanligvis hyppige og er i de fleste tilfælde relateret til forlænget farmakologisk virkning og afhænger af doseringen.</w:t>
      </w:r>
    </w:p>
    <w:p w14:paraId="0A1FBE95" w14:textId="77777777" w:rsidR="00F43752" w:rsidRPr="00F43752" w:rsidRDefault="00F43752" w:rsidP="00F43752">
      <w:pPr>
        <w:ind w:left="851"/>
        <w:rPr>
          <w:sz w:val="24"/>
          <w:szCs w:val="24"/>
          <w:lang w:val="nl-NL"/>
        </w:rPr>
      </w:pPr>
    </w:p>
    <w:p w14:paraId="4ED1BCB4" w14:textId="611B036B" w:rsidR="00F43752" w:rsidRDefault="00F43752" w:rsidP="00F43752">
      <w:pPr>
        <w:pStyle w:val="Bodytext20"/>
        <w:shd w:val="clear" w:color="auto" w:fill="auto"/>
        <w:spacing w:before="0" w:after="0" w:line="240" w:lineRule="auto"/>
        <w:ind w:left="851" w:firstLine="0"/>
        <w:rPr>
          <w:sz w:val="24"/>
          <w:szCs w:val="24"/>
        </w:rPr>
      </w:pPr>
      <w:r w:rsidRPr="00F43752">
        <w:rPr>
          <w:sz w:val="24"/>
          <w:szCs w:val="24"/>
        </w:rPr>
        <w:t xml:space="preserve">Bivirkninger, der anses for at være relateret til lægemidlet, er anført nedenfor i tabelform efter systemorganklasse og hyppighed i henhold til følgende konvention: </w:t>
      </w:r>
      <w:r>
        <w:rPr>
          <w:sz w:val="24"/>
          <w:szCs w:val="24"/>
        </w:rPr>
        <w:t>M</w:t>
      </w:r>
      <w:r w:rsidRPr="00F43752">
        <w:rPr>
          <w:sz w:val="24"/>
          <w:szCs w:val="24"/>
        </w:rPr>
        <w:t>eget almindelig (≥1/10); almindelig (≥1/100 til &lt;1/10); sjælden (≥1/1.000 til &lt;1/100); sjælden (≥1/10.000 til &lt;1/1.000); meget sjælden (&lt;1/10.000)); ikke kendt (kan ikke estimeres ud fra forhåndenværende data).</w:t>
      </w:r>
    </w:p>
    <w:p w14:paraId="62E5CE10" w14:textId="77777777" w:rsidR="00F94D83" w:rsidRPr="00F43752" w:rsidRDefault="00F94D83" w:rsidP="00F94D83">
      <w:pPr>
        <w:pStyle w:val="Bodytext20"/>
        <w:shd w:val="clear" w:color="auto" w:fill="auto"/>
        <w:spacing w:before="0" w:after="0" w:line="240" w:lineRule="auto"/>
        <w:ind w:firstLine="0"/>
        <w:rPr>
          <w:sz w:val="24"/>
          <w:szCs w:val="24"/>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1787"/>
        <w:gridCol w:w="1413"/>
        <w:gridCol w:w="1508"/>
        <w:gridCol w:w="1039"/>
        <w:gridCol w:w="1265"/>
        <w:gridCol w:w="1213"/>
        <w:gridCol w:w="1145"/>
      </w:tblGrid>
      <w:tr w:rsidR="00F94D83" w:rsidRPr="00F94D83" w14:paraId="532CC2E7" w14:textId="77777777" w:rsidTr="00F94D83">
        <w:trPr>
          <w:trHeight w:hRule="exact" w:val="86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F4123B9" w14:textId="77777777" w:rsidR="00F43752" w:rsidRPr="00F94D83" w:rsidRDefault="00F43752" w:rsidP="00F94D83">
            <w:pPr>
              <w:rPr>
                <w:b/>
                <w:bCs/>
                <w:sz w:val="20"/>
              </w:rPr>
            </w:pPr>
            <w:r w:rsidRPr="00F94D83">
              <w:rPr>
                <w:rStyle w:val="Bodytext29"/>
                <w:rFonts w:eastAsiaTheme="minorHAnsi"/>
                <w:b/>
                <w:bCs/>
                <w:sz w:val="20"/>
                <w:szCs w:val="20"/>
              </w:rPr>
              <w:t>MedDRA systemorganklasse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1046458" w14:textId="77777777" w:rsidR="00F43752" w:rsidRPr="00F94D83" w:rsidRDefault="00F43752" w:rsidP="00F94D83">
            <w:pPr>
              <w:pStyle w:val="Bodytext20"/>
              <w:shd w:val="clear" w:color="auto" w:fill="auto"/>
              <w:spacing w:before="0" w:after="0" w:line="240" w:lineRule="auto"/>
              <w:ind w:firstLine="0"/>
              <w:rPr>
                <w:b/>
                <w:bCs/>
              </w:rPr>
            </w:pPr>
            <w:r w:rsidRPr="00F94D83">
              <w:rPr>
                <w:rStyle w:val="Bodytext29"/>
                <w:b/>
                <w:bCs/>
                <w:sz w:val="20"/>
                <w:szCs w:val="20"/>
              </w:rPr>
              <w:t>Meget almindelig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08A72A4" w14:textId="77777777" w:rsidR="00F43752" w:rsidRPr="00F94D83" w:rsidRDefault="00F43752" w:rsidP="00F94D83">
            <w:pPr>
              <w:pStyle w:val="Bodytext20"/>
              <w:shd w:val="clear" w:color="auto" w:fill="auto"/>
              <w:spacing w:before="0" w:after="0" w:line="240" w:lineRule="auto"/>
              <w:ind w:firstLine="0"/>
              <w:rPr>
                <w:b/>
                <w:bCs/>
              </w:rPr>
            </w:pPr>
            <w:r w:rsidRPr="00F94D83">
              <w:rPr>
                <w:rStyle w:val="Bodytext29"/>
                <w:b/>
                <w:bCs/>
                <w:sz w:val="20"/>
                <w:szCs w:val="20"/>
              </w:rPr>
              <w:t>Almindelig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A5CBBEB" w14:textId="77777777" w:rsidR="00F43752" w:rsidRPr="00F94D83" w:rsidRDefault="00F43752" w:rsidP="00F94D83">
            <w:pPr>
              <w:pStyle w:val="Bodytext20"/>
              <w:shd w:val="clear" w:color="auto" w:fill="auto"/>
              <w:spacing w:before="0" w:after="0" w:line="240" w:lineRule="auto"/>
              <w:ind w:firstLine="0"/>
              <w:rPr>
                <w:b/>
                <w:bCs/>
              </w:rPr>
            </w:pPr>
            <w:r w:rsidRPr="00F94D83">
              <w:rPr>
                <w:rStyle w:val="Bodytext29"/>
                <w:b/>
                <w:bCs/>
                <w:sz w:val="20"/>
                <w:szCs w:val="20"/>
              </w:rPr>
              <w:t>Ikke almindelig</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2A20502" w14:textId="77777777" w:rsidR="00F43752" w:rsidRPr="00F94D83" w:rsidRDefault="00F43752" w:rsidP="00F94D83">
            <w:pPr>
              <w:pStyle w:val="Bodytext20"/>
              <w:shd w:val="clear" w:color="auto" w:fill="auto"/>
              <w:spacing w:before="0" w:after="0" w:line="240" w:lineRule="auto"/>
              <w:ind w:firstLine="0"/>
              <w:rPr>
                <w:b/>
                <w:bCs/>
              </w:rPr>
            </w:pPr>
            <w:r w:rsidRPr="00F94D83">
              <w:rPr>
                <w:rStyle w:val="Bodytext29"/>
                <w:b/>
                <w:bCs/>
                <w:sz w:val="20"/>
                <w:szCs w:val="20"/>
              </w:rPr>
              <w:t>Sjælden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CA6EC7B"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b/>
                <w:bCs/>
                <w:sz w:val="20"/>
                <w:szCs w:val="20"/>
              </w:rPr>
              <w:t>Meget sjælden</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CADA7C" w14:textId="77777777" w:rsidR="00F43752" w:rsidRPr="00F94D83" w:rsidRDefault="00F43752" w:rsidP="00F94D83">
            <w:pPr>
              <w:pStyle w:val="Bodytext20"/>
              <w:shd w:val="clear" w:color="auto" w:fill="auto"/>
              <w:spacing w:before="0" w:after="0" w:line="240" w:lineRule="auto"/>
              <w:ind w:firstLine="0"/>
              <w:rPr>
                <w:rStyle w:val="Bodytext29"/>
                <w:b/>
                <w:bCs/>
                <w:sz w:val="20"/>
                <w:szCs w:val="20"/>
              </w:rPr>
            </w:pPr>
            <w:r w:rsidRPr="00F94D83">
              <w:rPr>
                <w:rStyle w:val="Bodytext29"/>
                <w:b/>
                <w:bCs/>
                <w:sz w:val="20"/>
                <w:szCs w:val="20"/>
              </w:rPr>
              <w:t>Ikke kendt</w:t>
            </w:r>
          </w:p>
        </w:tc>
      </w:tr>
      <w:tr w:rsidR="00F94D83" w:rsidRPr="00F94D83" w14:paraId="5095B053" w14:textId="77777777" w:rsidTr="00F94D83">
        <w:trPr>
          <w:trHeight w:hRule="exact" w:val="57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73DFB7F"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Blod og lymfesystem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FE62057"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735DFB"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E93EC0"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D191A0E" w14:textId="77777777" w:rsidR="00F43752" w:rsidRPr="00F94D83" w:rsidRDefault="00F43752" w:rsidP="00F94D83">
            <w:pPr>
              <w:pStyle w:val="Bodytext20"/>
              <w:shd w:val="clear" w:color="auto" w:fill="auto"/>
              <w:spacing w:before="0" w:after="0" w:line="240" w:lineRule="auto"/>
              <w:ind w:firstLine="0"/>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093772" w14:textId="77777777" w:rsidR="00F43752" w:rsidRPr="00F94D83" w:rsidRDefault="00F43752" w:rsidP="00F94D83">
            <w:pPr>
              <w:pStyle w:val="Bodytext20"/>
              <w:shd w:val="clear" w:color="auto" w:fill="auto"/>
              <w:spacing w:before="0" w:after="0" w:line="240" w:lineRule="auto"/>
              <w:ind w:firstLine="0"/>
              <w:rPr>
                <w:rStyle w:val="Bodytext29"/>
                <w:rFonts w:eastAsiaTheme="minorHAnsi"/>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A0D845" w14:textId="77777777" w:rsidR="00F43752" w:rsidRPr="00F94D83" w:rsidRDefault="00F43752" w:rsidP="00F94D83">
            <w:pPr>
              <w:pStyle w:val="Bodytext20"/>
              <w:shd w:val="clear" w:color="auto" w:fill="auto"/>
              <w:spacing w:before="0" w:after="0" w:line="240" w:lineRule="auto"/>
              <w:ind w:firstLine="0"/>
            </w:pPr>
            <w:r w:rsidRPr="00F94D83">
              <w:rPr>
                <w:rStyle w:val="Bodytext29"/>
                <w:sz w:val="20"/>
                <w:szCs w:val="20"/>
              </w:rPr>
              <w:t>Leukocytose</w:t>
            </w:r>
          </w:p>
        </w:tc>
      </w:tr>
      <w:tr w:rsidR="00F94D83" w:rsidRPr="00F94D83" w14:paraId="22B5149D" w14:textId="77777777" w:rsidTr="00F94D83">
        <w:trPr>
          <w:trHeight w:hRule="exact" w:val="1276"/>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99A3127"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Immunsystemet</w:t>
            </w:r>
          </w:p>
        </w:tc>
        <w:tc>
          <w:tcPr>
            <w:tcW w:w="0" w:type="auto"/>
            <w:tcBorders>
              <w:top w:val="single" w:sz="4" w:space="0" w:color="auto"/>
              <w:left w:val="single" w:sz="4" w:space="0" w:color="auto"/>
              <w:bottom w:val="single" w:sz="4" w:space="0" w:color="auto"/>
              <w:right w:val="single" w:sz="4" w:space="0" w:color="auto"/>
            </w:tcBorders>
            <w:shd w:val="clear" w:color="auto" w:fill="FFFFFF"/>
            <w:tcFitText/>
            <w:vAlign w:val="center"/>
          </w:tcPr>
          <w:p w14:paraId="4B5C6635"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2C9CC35"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2ABD5A4"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52F9387" w14:textId="77777777" w:rsidR="00F43752" w:rsidRPr="00F94D83" w:rsidRDefault="00F43752" w:rsidP="00F94D83">
            <w:pPr>
              <w:pStyle w:val="Bodytext20"/>
              <w:shd w:val="clear" w:color="auto" w:fill="auto"/>
              <w:spacing w:before="0" w:after="0" w:line="240" w:lineRule="auto"/>
              <w:ind w:firstLine="0"/>
            </w:pPr>
            <w:r w:rsidRPr="00F94D83">
              <w:rPr>
                <w:rStyle w:val="Bodytext29"/>
                <w:sz w:val="20"/>
                <w:szCs w:val="20"/>
              </w:rPr>
              <w:t>Overfølsomhed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D3B5632" w14:textId="77777777" w:rsidR="00F43752" w:rsidRPr="00F94D83" w:rsidRDefault="00F43752" w:rsidP="00F94D83">
            <w:pPr>
              <w:pStyle w:val="Bodytext20"/>
              <w:shd w:val="clear" w:color="auto" w:fill="auto"/>
              <w:spacing w:before="0" w:after="0" w:line="240" w:lineRule="auto"/>
              <w:ind w:firstLine="0"/>
            </w:pPr>
            <w:r w:rsidRPr="00F94D83">
              <w:rPr>
                <w:rStyle w:val="Bodytext29"/>
                <w:sz w:val="20"/>
                <w:szCs w:val="20"/>
              </w:rPr>
              <w:t>Anafylaktiske reaktioner, herunder anafylaktisk shock</w:t>
            </w: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486696D4" w14:textId="77777777" w:rsidR="00F43752" w:rsidRPr="00F94D83" w:rsidRDefault="00F43752" w:rsidP="00F94D83">
            <w:pPr>
              <w:pStyle w:val="Bodytext20"/>
              <w:shd w:val="clear" w:color="auto" w:fill="auto"/>
              <w:spacing w:before="0" w:after="0" w:line="240" w:lineRule="auto"/>
              <w:ind w:firstLine="0"/>
              <w:rPr>
                <w:lang w:val="nl-NL"/>
              </w:rPr>
            </w:pPr>
          </w:p>
        </w:tc>
      </w:tr>
      <w:tr w:rsidR="00F94D83" w:rsidRPr="00F94D83" w14:paraId="2782F465" w14:textId="77777777" w:rsidTr="00F94D83">
        <w:trPr>
          <w:trHeight w:hRule="exact" w:val="706"/>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7E49D76"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Psykiske forstyrrelser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87963DA"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3F86D93" w14:textId="77777777" w:rsidR="00F43752" w:rsidRPr="00F94D83" w:rsidRDefault="00F43752" w:rsidP="00F94D83">
            <w:pPr>
              <w:rPr>
                <w:rStyle w:val="Bodytext29"/>
                <w:sz w:val="20"/>
                <w:szCs w:val="20"/>
              </w:rPr>
            </w:pPr>
            <w:r w:rsidRPr="00F94D83">
              <w:rPr>
                <w:rStyle w:val="Bodytext29"/>
                <w:rFonts w:eastAsiaTheme="minorHAnsi"/>
                <w:sz w:val="20"/>
                <w:szCs w:val="20"/>
              </w:rPr>
              <w:t>Hallucinationer</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C906FE8"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C21C00B" w14:textId="77777777" w:rsidR="00F43752" w:rsidRPr="00F94D83" w:rsidRDefault="00F43752" w:rsidP="00F94D83">
            <w:pPr>
              <w:pStyle w:val="Bodytext20"/>
              <w:shd w:val="clear" w:color="auto" w:fill="auto"/>
              <w:spacing w:before="0" w:after="0" w:line="240" w:lineRule="auto"/>
              <w:ind w:firstLine="0"/>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5D138A4" w14:textId="77777777" w:rsidR="00F43752" w:rsidRPr="00F94D83" w:rsidRDefault="00F43752" w:rsidP="00F94D83">
            <w:pPr>
              <w:pStyle w:val="Bodytext20"/>
              <w:shd w:val="clear" w:color="auto" w:fill="auto"/>
              <w:spacing w:before="0" w:after="0" w:line="240" w:lineRule="auto"/>
              <w:ind w:firstLine="0"/>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5676D2D4" w14:textId="77777777" w:rsidR="00F43752" w:rsidRPr="00F94D83" w:rsidRDefault="00F43752" w:rsidP="00F94D83">
            <w:pPr>
              <w:pStyle w:val="Bodytext20"/>
              <w:shd w:val="clear" w:color="auto" w:fill="auto"/>
              <w:spacing w:before="0" w:after="0" w:line="240" w:lineRule="auto"/>
              <w:ind w:firstLine="0"/>
            </w:pPr>
          </w:p>
        </w:tc>
      </w:tr>
      <w:tr w:rsidR="00F94D83" w:rsidRPr="00F94D83" w14:paraId="5CDD5219" w14:textId="77777777" w:rsidTr="00F94D83">
        <w:trPr>
          <w:trHeight w:hRule="exact" w:val="1286"/>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5E69750"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Nervesystemet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A47C2FC"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0E101F1B" w14:textId="77777777" w:rsidR="00F43752" w:rsidRPr="00F94D83" w:rsidRDefault="00F43752" w:rsidP="00F94D83">
            <w:pPr>
              <w:rPr>
                <w:rStyle w:val="Bodytext29"/>
                <w:sz w:val="20"/>
                <w:szCs w:val="20"/>
              </w:rPr>
            </w:pPr>
            <w:r w:rsidRPr="00F94D83">
              <w:rPr>
                <w:rStyle w:val="Bodytext29"/>
                <w:rFonts w:eastAsiaTheme="minorHAnsi"/>
                <w:sz w:val="20"/>
                <w:szCs w:val="20"/>
              </w:rPr>
              <w:t>Hovedpine, rumlig og tidsmæssig desorientering, søvnighed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B861552" w14:textId="77777777" w:rsidR="00F43752" w:rsidRPr="00F94D83" w:rsidRDefault="00F43752" w:rsidP="00F94D83">
            <w:pPr>
              <w:rPr>
                <w:rFonts w:asciiTheme="minorHAnsi" w:eastAsiaTheme="minorHAnsi" w:hAnsiTheme="minorHAnsi" w:cstheme="minorBidi"/>
                <w:sz w:val="20"/>
              </w:rPr>
            </w:pPr>
            <w:r w:rsidRPr="00F94D83">
              <w:rPr>
                <w:rStyle w:val="Bodytext29"/>
                <w:rFonts w:eastAsiaTheme="minorHAnsi"/>
                <w:sz w:val="20"/>
                <w:szCs w:val="20"/>
              </w:rPr>
              <w:t>Insomni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1EC9B59" w14:textId="77777777" w:rsidR="00F43752" w:rsidRPr="00F94D83" w:rsidRDefault="00F43752" w:rsidP="00F94D83">
            <w:pPr>
              <w:pStyle w:val="Bodytext20"/>
              <w:shd w:val="clear" w:color="auto" w:fill="auto"/>
              <w:spacing w:before="0" w:after="0" w:line="240" w:lineRule="auto"/>
              <w:ind w:firstLine="0"/>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D104D6B" w14:textId="77777777" w:rsidR="00F43752" w:rsidRPr="00F94D83" w:rsidRDefault="00F43752" w:rsidP="00F94D83">
            <w:pPr>
              <w:pStyle w:val="Bodytext20"/>
              <w:shd w:val="clear" w:color="auto" w:fill="auto"/>
              <w:spacing w:before="0" w:after="0" w:line="240" w:lineRule="auto"/>
              <w:ind w:firstLine="0"/>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2576E288" w14:textId="77777777" w:rsidR="00F43752" w:rsidRPr="00F94D83" w:rsidRDefault="00F43752" w:rsidP="00F94D83">
            <w:pPr>
              <w:pStyle w:val="Bodytext20"/>
              <w:shd w:val="clear" w:color="auto" w:fill="auto"/>
              <w:spacing w:before="0" w:after="0" w:line="240" w:lineRule="auto"/>
              <w:ind w:firstLine="0"/>
            </w:pPr>
          </w:p>
        </w:tc>
      </w:tr>
      <w:tr w:rsidR="00F94D83" w:rsidRPr="00F94D83" w14:paraId="59D6B568" w14:textId="77777777" w:rsidTr="00F94D83">
        <w:trPr>
          <w:trHeight w:hRule="exact" w:val="2115"/>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1A368FE" w14:textId="77777777" w:rsidR="00F43752" w:rsidRPr="00F94D83" w:rsidRDefault="00F43752" w:rsidP="00F94D83">
            <w:pPr>
              <w:pStyle w:val="Bodytext20"/>
              <w:shd w:val="clear" w:color="auto" w:fill="auto"/>
              <w:spacing w:before="0" w:after="0" w:line="240" w:lineRule="auto"/>
              <w:ind w:firstLine="0"/>
            </w:pPr>
            <w:r w:rsidRPr="00F94D83">
              <w:rPr>
                <w:rStyle w:val="Bodytext29"/>
                <w:sz w:val="20"/>
                <w:szCs w:val="20"/>
              </w:rPr>
              <w:t>Øjne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4FF9EEE"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Sløret syn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D80F551" w14:textId="77777777" w:rsidR="00F43752" w:rsidRPr="00F94D83" w:rsidRDefault="00F43752" w:rsidP="00F94D83">
            <w:pPr>
              <w:rPr>
                <w:rStyle w:val="Bodytext29"/>
                <w:sz w:val="20"/>
                <w:szCs w:val="20"/>
              </w:rPr>
            </w:pPr>
            <w:r w:rsidRPr="00F94D83">
              <w:rPr>
                <w:rStyle w:val="Bodytext29"/>
                <w:rFonts w:eastAsiaTheme="minorHAnsi"/>
                <w:sz w:val="20"/>
                <w:szCs w:val="20"/>
              </w:rPr>
              <w:t>Udvidede pupiller (mydriasis) med tab af okulær akkommodation (cykloplegi), fotofobi, glaukom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74FEAA3" w14:textId="77777777" w:rsidR="00F43752" w:rsidRPr="00F94D83" w:rsidRDefault="00F43752" w:rsidP="00F94D83">
            <w:pPr>
              <w:rPr>
                <w:rFonts w:asciiTheme="minorHAnsi" w:eastAsiaTheme="minorHAnsi" w:hAnsiTheme="minorHAnsi" w:cstheme="minorBidi"/>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E92A41" w14:textId="77777777" w:rsidR="00F43752" w:rsidRPr="00F94D83" w:rsidRDefault="00F43752" w:rsidP="00F94D83">
            <w:pPr>
              <w:pStyle w:val="Bodytext20"/>
              <w:shd w:val="clear" w:color="auto" w:fill="auto"/>
              <w:spacing w:before="0" w:after="0" w:line="240" w:lineRule="auto"/>
              <w:ind w:firstLine="0"/>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0704E9" w14:textId="77777777" w:rsidR="00F43752" w:rsidRPr="00F94D83" w:rsidRDefault="00F43752" w:rsidP="00F94D83">
            <w:pPr>
              <w:pStyle w:val="Bodytext20"/>
              <w:shd w:val="clear" w:color="auto" w:fill="auto"/>
              <w:spacing w:before="0" w:after="0" w:line="240" w:lineRule="auto"/>
              <w:ind w:firstLine="0"/>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2B543DE1" w14:textId="77777777" w:rsidR="00F43752" w:rsidRPr="00F94D83" w:rsidRDefault="00F43752" w:rsidP="00F94D83">
            <w:pPr>
              <w:pStyle w:val="Bodytext20"/>
              <w:shd w:val="clear" w:color="auto" w:fill="auto"/>
              <w:spacing w:before="0" w:after="0" w:line="240" w:lineRule="auto"/>
              <w:ind w:firstLine="0"/>
            </w:pPr>
          </w:p>
        </w:tc>
      </w:tr>
      <w:tr w:rsidR="00F94D83" w:rsidRPr="00F94D83" w14:paraId="53ED0B74" w14:textId="77777777" w:rsidTr="00F94D83">
        <w:trPr>
          <w:trHeight w:hRule="exact" w:val="583"/>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CFA3A5D"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Øre og labyrint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69DC49F"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D8CE280"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0DA2112" w14:textId="77777777" w:rsidR="00F43752" w:rsidRPr="00F94D83" w:rsidRDefault="00F43752" w:rsidP="00F94D83">
            <w:pPr>
              <w:rPr>
                <w:rFonts w:asciiTheme="minorHAnsi" w:eastAsiaTheme="minorHAnsi" w:hAnsiTheme="minorHAnsi" w:cstheme="minorBidi"/>
                <w:sz w:val="20"/>
              </w:rPr>
            </w:pPr>
            <w:r w:rsidRPr="00F94D83">
              <w:rPr>
                <w:rStyle w:val="Bodytext29"/>
                <w:rFonts w:eastAsiaTheme="minorHAnsi"/>
                <w:sz w:val="20"/>
                <w:szCs w:val="20"/>
              </w:rPr>
              <w:t>Svimmelhed</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33577A" w14:textId="77777777" w:rsidR="00F43752" w:rsidRPr="00F94D83" w:rsidRDefault="00F43752" w:rsidP="00F94D83">
            <w:pPr>
              <w:pStyle w:val="Bodytext20"/>
              <w:shd w:val="clear" w:color="auto" w:fill="auto"/>
              <w:spacing w:before="0" w:after="0" w:line="240" w:lineRule="auto"/>
              <w:ind w:firstLine="0"/>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BAFB60B" w14:textId="77777777" w:rsidR="00F43752" w:rsidRPr="00F94D83" w:rsidRDefault="00F43752" w:rsidP="00F94D83">
            <w:pPr>
              <w:pStyle w:val="Bodytext20"/>
              <w:shd w:val="clear" w:color="auto" w:fill="auto"/>
              <w:spacing w:before="0" w:after="0" w:line="240" w:lineRule="auto"/>
              <w:ind w:firstLine="0"/>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3EE78BDA" w14:textId="77777777" w:rsidR="00F43752" w:rsidRPr="00F94D83" w:rsidRDefault="00F43752" w:rsidP="00F94D83">
            <w:pPr>
              <w:pStyle w:val="Bodytext20"/>
              <w:shd w:val="clear" w:color="auto" w:fill="auto"/>
              <w:spacing w:before="0" w:after="0" w:line="240" w:lineRule="auto"/>
              <w:ind w:firstLine="0"/>
            </w:pPr>
          </w:p>
        </w:tc>
      </w:tr>
      <w:tr w:rsidR="00F94D83" w:rsidRPr="00F94D83" w14:paraId="09D62DF7" w14:textId="77777777" w:rsidTr="00F94D83">
        <w:trPr>
          <w:trHeight w:hRule="exact" w:val="212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7DD3223"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Hjerte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0BD9501F" w14:textId="77777777" w:rsidR="00F43752" w:rsidRPr="00F94D83" w:rsidRDefault="00F43752" w:rsidP="00F94D83">
            <w:pPr>
              <w:pStyle w:val="Bodytext20"/>
              <w:shd w:val="clear" w:color="auto" w:fill="auto"/>
              <w:spacing w:before="0" w:after="0" w:line="240" w:lineRule="auto"/>
              <w:ind w:firstLine="0"/>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AE35BDA" w14:textId="77777777" w:rsidR="00F43752" w:rsidRPr="00F94D83" w:rsidRDefault="00F43752" w:rsidP="00F94D83">
            <w:pPr>
              <w:rPr>
                <w:rStyle w:val="Bodytext29"/>
                <w:rFonts w:eastAsiaTheme="minorHAnsi"/>
                <w:sz w:val="20"/>
                <w:szCs w:val="20"/>
              </w:rPr>
            </w:pPr>
            <w:r w:rsidRPr="00F94D83">
              <w:rPr>
                <w:rStyle w:val="Bodytext29"/>
                <w:rFonts w:eastAsiaTheme="minorHAnsi"/>
                <w:sz w:val="20"/>
                <w:szCs w:val="20"/>
              </w:rPr>
              <w:t>Bradykardi (efter administration af lave doser), takykardi (efter administration af høje doser), palpitationer og hjertearytmi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F478293" w14:textId="77777777" w:rsidR="00F43752" w:rsidRPr="00F94D83" w:rsidRDefault="00F43752" w:rsidP="00F94D83">
            <w:pPr>
              <w:rPr>
                <w:rFonts w:asciiTheme="minorHAnsi" w:eastAsiaTheme="minorHAnsi" w:hAnsiTheme="minorHAnsi" w:cstheme="minorBidi"/>
                <w:sz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5692D14" w14:textId="77777777" w:rsidR="00F43752" w:rsidRPr="00F94D83" w:rsidRDefault="00F43752" w:rsidP="00F94D83">
            <w:pPr>
              <w:pStyle w:val="Bodytext20"/>
              <w:shd w:val="clear" w:color="auto" w:fill="auto"/>
              <w:spacing w:before="0" w:after="0" w:line="240" w:lineRule="auto"/>
              <w:ind w:firstLine="0"/>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F30C7D" w14:textId="77777777" w:rsidR="00F43752" w:rsidRPr="00F94D83" w:rsidRDefault="00F43752" w:rsidP="00F94D83">
            <w:pPr>
              <w:pStyle w:val="Bodytext20"/>
              <w:shd w:val="clear" w:color="auto" w:fill="auto"/>
              <w:spacing w:before="0" w:after="0" w:line="240" w:lineRule="auto"/>
              <w:ind w:firstLine="0"/>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5D330867" w14:textId="77777777" w:rsidR="00F43752" w:rsidRPr="00F94D83" w:rsidRDefault="00F43752" w:rsidP="00F94D83">
            <w:pPr>
              <w:pStyle w:val="Bodytext20"/>
              <w:shd w:val="clear" w:color="auto" w:fill="auto"/>
              <w:spacing w:before="0" w:after="0" w:line="240" w:lineRule="auto"/>
              <w:ind w:firstLine="0"/>
            </w:pPr>
          </w:p>
        </w:tc>
      </w:tr>
      <w:tr w:rsidR="00F94D83" w:rsidRPr="00F94D83" w14:paraId="0DB5F27B" w14:textId="77777777" w:rsidTr="00F94D83">
        <w:trPr>
          <w:trHeight w:hRule="exact" w:val="70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8AE0856"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Luftveje, thorax og mediastinum</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782C081"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1FF90A"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BA1EF38" w14:textId="77777777" w:rsidR="00F43752" w:rsidRPr="00F94D83" w:rsidRDefault="00F43752" w:rsidP="00F94D83">
            <w:pPr>
              <w:pStyle w:val="Bodytext20"/>
              <w:shd w:val="clear" w:color="auto" w:fill="auto"/>
              <w:spacing w:before="0" w:after="0" w:line="240" w:lineRule="auto"/>
              <w:ind w:firstLine="0"/>
            </w:pPr>
            <w:r w:rsidRPr="00F94D83">
              <w:rPr>
                <w:rStyle w:val="Bodytext29"/>
                <w:sz w:val="20"/>
                <w:szCs w:val="20"/>
              </w:rPr>
              <w:t>Tilstoppet næse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E62F11C" w14:textId="77777777" w:rsidR="00F43752" w:rsidRPr="00F94D83" w:rsidRDefault="00F43752" w:rsidP="00F94D83">
            <w:pPr>
              <w:pStyle w:val="Bodytext20"/>
              <w:shd w:val="clear" w:color="auto" w:fill="auto"/>
              <w:spacing w:before="0" w:after="0" w:line="240" w:lineRule="auto"/>
              <w:ind w:firstLine="0"/>
              <w:rPr>
                <w:lang w:val="en-US"/>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34C8C119" w14:textId="77777777" w:rsidR="00F43752" w:rsidRPr="00F94D83" w:rsidRDefault="00F43752" w:rsidP="00F94D83">
            <w:pPr>
              <w:pStyle w:val="Bodytext20"/>
              <w:shd w:val="clear" w:color="auto" w:fill="auto"/>
              <w:spacing w:before="0" w:after="0" w:line="240" w:lineRule="auto"/>
              <w:ind w:firstLine="0"/>
              <w:rPr>
                <w:lang w:val="en-US"/>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14A4B4BA" w14:textId="77777777" w:rsidR="00F43752" w:rsidRPr="00F94D83" w:rsidRDefault="00F43752" w:rsidP="00F94D83">
            <w:pPr>
              <w:pStyle w:val="Bodytext20"/>
              <w:shd w:val="clear" w:color="auto" w:fill="auto"/>
              <w:spacing w:before="0" w:after="0" w:line="240" w:lineRule="auto"/>
              <w:ind w:firstLine="0"/>
              <w:rPr>
                <w:lang w:val="en-US"/>
              </w:rPr>
            </w:pPr>
          </w:p>
        </w:tc>
      </w:tr>
      <w:tr w:rsidR="00F94D83" w:rsidRPr="00F94D83" w14:paraId="0D3CEB33" w14:textId="77777777" w:rsidTr="00F94D83">
        <w:trPr>
          <w:trHeight w:hRule="exact" w:val="2277"/>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182400EC" w14:textId="77777777" w:rsidR="00F43752" w:rsidRPr="00F94D83" w:rsidRDefault="00F43752" w:rsidP="00F94D83">
            <w:pPr>
              <w:pStyle w:val="Bodytext20"/>
              <w:shd w:val="clear" w:color="auto" w:fill="auto"/>
              <w:spacing w:before="0" w:after="0" w:line="240" w:lineRule="auto"/>
              <w:ind w:firstLine="0"/>
            </w:pPr>
            <w:r w:rsidRPr="00F94D83">
              <w:rPr>
                <w:rStyle w:val="Bodytext29"/>
                <w:sz w:val="20"/>
                <w:szCs w:val="20"/>
              </w:rPr>
              <w:lastRenderedPageBreak/>
              <w:t>Mave-tarm-kanalen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384425F7"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Mundtørhed (xerostomi)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9715278"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Nedsat tonicitet og motilitet i mave-tarm-kanalen, obstipation, opkastning, paralytisk ileus, dysfagi, ændret smagssans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7581FC" w14:textId="77777777" w:rsidR="00F43752" w:rsidRPr="00F94D83" w:rsidRDefault="00F43752" w:rsidP="00F94D83">
            <w:pPr>
              <w:pStyle w:val="Bodytext20"/>
              <w:shd w:val="clear" w:color="auto" w:fill="auto"/>
              <w:spacing w:before="0" w:after="0" w:line="240" w:lineRule="auto"/>
              <w:ind w:firstLine="0"/>
              <w:rPr>
                <w:lang w:val="sv-S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60889D2" w14:textId="77777777" w:rsidR="00F43752" w:rsidRPr="00F94D83" w:rsidRDefault="00F43752" w:rsidP="00F94D83">
            <w:pPr>
              <w:pStyle w:val="Bodytext20"/>
              <w:shd w:val="clear" w:color="auto" w:fill="auto"/>
              <w:spacing w:before="0" w:after="0" w:line="240" w:lineRule="auto"/>
              <w:ind w:firstLine="0"/>
              <w:rPr>
                <w:lang w:val="sv-SE"/>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09C1F11" w14:textId="77777777" w:rsidR="00F43752" w:rsidRPr="00F94D83" w:rsidRDefault="00F43752" w:rsidP="00F94D83">
            <w:pPr>
              <w:pStyle w:val="Bodytext20"/>
              <w:shd w:val="clear" w:color="auto" w:fill="auto"/>
              <w:spacing w:before="0" w:after="0" w:line="240" w:lineRule="auto"/>
              <w:ind w:firstLine="0"/>
              <w:rPr>
                <w:lang w:val="sv-SE"/>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3060D0F4" w14:textId="77777777" w:rsidR="00F43752" w:rsidRPr="00F94D83" w:rsidRDefault="00F43752" w:rsidP="00F94D83">
            <w:pPr>
              <w:pStyle w:val="Bodytext20"/>
              <w:shd w:val="clear" w:color="auto" w:fill="auto"/>
              <w:spacing w:before="0" w:after="0" w:line="240" w:lineRule="auto"/>
              <w:ind w:firstLine="0"/>
              <w:rPr>
                <w:lang w:val="sv-SE"/>
              </w:rPr>
            </w:pPr>
          </w:p>
        </w:tc>
      </w:tr>
      <w:tr w:rsidR="00F94D83" w:rsidRPr="00F94D83" w14:paraId="0CDE37EF" w14:textId="77777777" w:rsidTr="00F94D83">
        <w:trPr>
          <w:trHeight w:hRule="exact" w:val="702"/>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517ACBC"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Hud og subkutane væv</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4AA4C1"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529F4EB6" w14:textId="77777777" w:rsidR="00F43752" w:rsidRPr="00F94D83" w:rsidRDefault="00F43752" w:rsidP="00F94D83">
            <w:pPr>
              <w:rPr>
                <w:rStyle w:val="Bodytext29"/>
                <w:rFonts w:eastAsiaTheme="minorHAnsi"/>
                <w:sz w:val="20"/>
                <w:szCs w:val="20"/>
              </w:rPr>
            </w:pPr>
            <w:r w:rsidRPr="00F94D83">
              <w:rPr>
                <w:rStyle w:val="Bodytext29"/>
                <w:rFonts w:eastAsiaTheme="minorHAnsi"/>
                <w:sz w:val="20"/>
                <w:szCs w:val="20"/>
              </w:rPr>
              <w:t xml:space="preserve">Rødme og tør hud, urticaria </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49B8AB6"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E2545DB"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6F59EF4"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67DFB98D"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r>
      <w:tr w:rsidR="00F94D83" w:rsidRPr="00F94D83" w14:paraId="21FEBF43" w14:textId="77777777" w:rsidTr="00F94D83">
        <w:trPr>
          <w:trHeight w:hRule="exact" w:val="710"/>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1479E8"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Nyrer og urinveje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09587F4"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638D9134" w14:textId="77777777" w:rsidR="00F43752" w:rsidRPr="00F94D83" w:rsidRDefault="00F43752" w:rsidP="00F94D83">
            <w:pPr>
              <w:rPr>
                <w:rStyle w:val="Bodytext29"/>
                <w:rFonts w:eastAsiaTheme="minorHAnsi"/>
                <w:sz w:val="20"/>
                <w:szCs w:val="20"/>
              </w:rPr>
            </w:pPr>
            <w:r w:rsidRPr="00F94D83">
              <w:rPr>
                <w:rStyle w:val="Bodytext29"/>
                <w:rFonts w:eastAsiaTheme="minorHAnsi"/>
                <w:sz w:val="20"/>
                <w:szCs w:val="20"/>
              </w:rPr>
              <w:t>Dysuri og urinretention</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9085181"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F2BA4FE" w14:textId="77777777" w:rsidR="00F43752" w:rsidRPr="00F94D83" w:rsidRDefault="00F43752" w:rsidP="00F94D83">
            <w:pPr>
              <w:pStyle w:val="Bodytext20"/>
              <w:shd w:val="clear" w:color="auto" w:fill="auto"/>
              <w:spacing w:before="0" w:after="0" w:line="240" w:lineRule="auto"/>
              <w:ind w:firstLine="0"/>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28658A07" w14:textId="77777777" w:rsidR="00F43752" w:rsidRPr="00F94D83" w:rsidRDefault="00F43752" w:rsidP="00F94D83">
            <w:pPr>
              <w:pStyle w:val="Bodytext20"/>
              <w:shd w:val="clear" w:color="auto" w:fill="auto"/>
              <w:spacing w:before="0" w:after="0" w:line="240" w:lineRule="auto"/>
              <w:ind w:firstLine="0"/>
              <w:rPr>
                <w:rStyle w:val="Bodytext29"/>
                <w:rFonts w:eastAsiaTheme="minorHAnsi"/>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5A6CFBA5" w14:textId="77777777" w:rsidR="00F43752" w:rsidRPr="00F94D83" w:rsidRDefault="00F43752" w:rsidP="00F94D83">
            <w:pPr>
              <w:pStyle w:val="Bodytext20"/>
              <w:shd w:val="clear" w:color="auto" w:fill="auto"/>
              <w:spacing w:before="0" w:after="0" w:line="240" w:lineRule="auto"/>
              <w:ind w:firstLine="0"/>
              <w:rPr>
                <w:rStyle w:val="Bodytext29"/>
                <w:rFonts w:eastAsiaTheme="minorHAnsi"/>
                <w:sz w:val="20"/>
                <w:szCs w:val="20"/>
              </w:rPr>
            </w:pPr>
          </w:p>
        </w:tc>
      </w:tr>
      <w:tr w:rsidR="00F94D83" w:rsidRPr="00F94D83" w14:paraId="3A15D3C9" w14:textId="77777777" w:rsidTr="00F94D83">
        <w:trPr>
          <w:trHeight w:hRule="exact" w:val="998"/>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44FC2A68"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Det reproduktive system og mammae</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18F3B30C"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58288FFA"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272841A3" w14:textId="77777777" w:rsidR="00F43752" w:rsidRPr="00F94D83" w:rsidRDefault="00F43752" w:rsidP="00F94D83">
            <w:pPr>
              <w:rPr>
                <w:rStyle w:val="Bodytext29"/>
                <w:rFonts w:eastAsiaTheme="minorHAnsi"/>
                <w:sz w:val="20"/>
                <w:szCs w:val="20"/>
              </w:rPr>
            </w:pPr>
            <w:r w:rsidRPr="00F94D83">
              <w:rPr>
                <w:rStyle w:val="Bodytext29"/>
                <w:rFonts w:eastAsiaTheme="minorHAnsi"/>
                <w:sz w:val="20"/>
                <w:szCs w:val="20"/>
              </w:rPr>
              <w:t>Impotens</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4E6ADF8F"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50F4684"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6611206D"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r>
      <w:tr w:rsidR="00F94D83" w:rsidRPr="00F94D83" w14:paraId="50617E60" w14:textId="77777777" w:rsidTr="00F94D83">
        <w:trPr>
          <w:trHeight w:hRule="exact" w:val="1271"/>
        </w:trPr>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26A85DB"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r w:rsidRPr="00F94D83">
              <w:rPr>
                <w:rStyle w:val="Bodytext29"/>
                <w:sz w:val="20"/>
                <w:szCs w:val="20"/>
              </w:rPr>
              <w:t>Almene symptomer og reaktioner på administrationsstedet</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9E1977" w14:textId="77777777" w:rsidR="00F43752" w:rsidRPr="00F94D83" w:rsidRDefault="00F43752" w:rsidP="00F94D83">
            <w:pPr>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7B43F49F" w14:textId="77777777" w:rsidR="00F43752" w:rsidRPr="00F94D83" w:rsidRDefault="00F43752" w:rsidP="00F94D83">
            <w:pPr>
              <w:rPr>
                <w:rStyle w:val="Bodytext29"/>
                <w:rFonts w:eastAsiaTheme="minorHAnsi"/>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hideMark/>
          </w:tcPr>
          <w:p w14:paraId="790C647B" w14:textId="77777777" w:rsidR="00F43752" w:rsidRPr="00F94D83" w:rsidRDefault="00F43752" w:rsidP="00F94D83">
            <w:pPr>
              <w:rPr>
                <w:rStyle w:val="Bodytext29"/>
                <w:rFonts w:eastAsiaTheme="minorHAnsi"/>
                <w:sz w:val="20"/>
                <w:szCs w:val="20"/>
              </w:rPr>
            </w:pPr>
            <w:r w:rsidRPr="00F94D83">
              <w:rPr>
                <w:rStyle w:val="Bodytext29"/>
                <w:rFonts w:eastAsiaTheme="minorHAnsi"/>
                <w:sz w:val="20"/>
                <w:szCs w:val="20"/>
              </w:rPr>
              <w:t>Hypertermi</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B77B21A"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14:paraId="69F86D2E"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c>
          <w:tcPr>
            <w:tcW w:w="1145" w:type="dxa"/>
            <w:tcBorders>
              <w:top w:val="single" w:sz="4" w:space="0" w:color="auto"/>
              <w:left w:val="single" w:sz="4" w:space="0" w:color="auto"/>
              <w:bottom w:val="single" w:sz="4" w:space="0" w:color="auto"/>
              <w:right w:val="single" w:sz="4" w:space="0" w:color="auto"/>
            </w:tcBorders>
            <w:shd w:val="clear" w:color="auto" w:fill="FFFFFF"/>
            <w:vAlign w:val="center"/>
          </w:tcPr>
          <w:p w14:paraId="7A81608A" w14:textId="77777777" w:rsidR="00F43752" w:rsidRPr="00F94D83" w:rsidRDefault="00F43752" w:rsidP="00F94D83">
            <w:pPr>
              <w:pStyle w:val="Bodytext20"/>
              <w:shd w:val="clear" w:color="auto" w:fill="auto"/>
              <w:spacing w:before="0" w:after="0" w:line="240" w:lineRule="auto"/>
              <w:ind w:firstLine="0"/>
              <w:rPr>
                <w:rStyle w:val="Bodytext29"/>
                <w:sz w:val="20"/>
                <w:szCs w:val="20"/>
              </w:rPr>
            </w:pPr>
          </w:p>
        </w:tc>
      </w:tr>
    </w:tbl>
    <w:p w14:paraId="473A069C" w14:textId="77777777" w:rsidR="00F43752" w:rsidRPr="00F43752" w:rsidRDefault="00F43752" w:rsidP="00F43752">
      <w:pPr>
        <w:ind w:left="851"/>
        <w:rPr>
          <w:sz w:val="24"/>
          <w:szCs w:val="24"/>
          <w:lang w:val="en-US"/>
        </w:rPr>
      </w:pPr>
    </w:p>
    <w:p w14:paraId="181C716E" w14:textId="77777777" w:rsidR="00F43752" w:rsidRPr="00F43752" w:rsidRDefault="00F43752" w:rsidP="00F43752">
      <w:pPr>
        <w:ind w:left="851"/>
        <w:rPr>
          <w:sz w:val="24"/>
          <w:szCs w:val="24"/>
          <w:u w:val="single"/>
        </w:rPr>
      </w:pPr>
      <w:r w:rsidRPr="00F43752">
        <w:rPr>
          <w:sz w:val="24"/>
          <w:szCs w:val="24"/>
          <w:u w:val="single"/>
        </w:rPr>
        <w:t>Indberetning af formodede bivirkninger</w:t>
      </w:r>
    </w:p>
    <w:p w14:paraId="16384BE0" w14:textId="736DB2FD" w:rsidR="00F43752" w:rsidRPr="00F43752" w:rsidRDefault="00F43752" w:rsidP="00F43752">
      <w:pPr>
        <w:ind w:left="851"/>
        <w:rPr>
          <w:sz w:val="24"/>
          <w:szCs w:val="24"/>
        </w:rPr>
      </w:pPr>
      <w:r w:rsidRPr="00F43752">
        <w:rPr>
          <w:sz w:val="24"/>
          <w:szCs w:val="24"/>
        </w:rPr>
        <w:t>Når</w:t>
      </w:r>
      <w:r w:rsidRPr="00F43752">
        <w:rPr>
          <w:spacing w:val="-2"/>
          <w:sz w:val="24"/>
          <w:szCs w:val="24"/>
        </w:rPr>
        <w:t xml:space="preserve"> </w:t>
      </w:r>
      <w:r w:rsidRPr="00F43752">
        <w:rPr>
          <w:sz w:val="24"/>
          <w:szCs w:val="24"/>
        </w:rPr>
        <w:t>lægemidlet</w:t>
      </w:r>
      <w:r w:rsidRPr="00F43752">
        <w:rPr>
          <w:spacing w:val="-5"/>
          <w:sz w:val="24"/>
          <w:szCs w:val="24"/>
        </w:rPr>
        <w:t xml:space="preserve"> </w:t>
      </w:r>
      <w:r w:rsidRPr="00F43752">
        <w:rPr>
          <w:sz w:val="24"/>
          <w:szCs w:val="24"/>
        </w:rPr>
        <w:t>er</w:t>
      </w:r>
      <w:r w:rsidRPr="00F43752">
        <w:rPr>
          <w:spacing w:val="-2"/>
          <w:sz w:val="24"/>
          <w:szCs w:val="24"/>
        </w:rPr>
        <w:t xml:space="preserve"> </w:t>
      </w:r>
      <w:r w:rsidRPr="00F43752">
        <w:rPr>
          <w:sz w:val="24"/>
          <w:szCs w:val="24"/>
        </w:rPr>
        <w:t>godkendt,</w:t>
      </w:r>
      <w:r w:rsidRPr="00F43752">
        <w:rPr>
          <w:spacing w:val="-3"/>
          <w:sz w:val="24"/>
          <w:szCs w:val="24"/>
        </w:rPr>
        <w:t xml:space="preserve"> </w:t>
      </w:r>
      <w:r w:rsidRPr="00F43752">
        <w:rPr>
          <w:sz w:val="24"/>
          <w:szCs w:val="24"/>
        </w:rPr>
        <w:t>er</w:t>
      </w:r>
      <w:r w:rsidRPr="00F43752">
        <w:rPr>
          <w:spacing w:val="-4"/>
          <w:sz w:val="24"/>
          <w:szCs w:val="24"/>
        </w:rPr>
        <w:t xml:space="preserve"> </w:t>
      </w:r>
      <w:r w:rsidRPr="00F43752">
        <w:rPr>
          <w:sz w:val="24"/>
          <w:szCs w:val="24"/>
        </w:rPr>
        <w:t>indberetning</w:t>
      </w:r>
      <w:r w:rsidRPr="00F43752">
        <w:rPr>
          <w:spacing w:val="-3"/>
          <w:sz w:val="24"/>
          <w:szCs w:val="24"/>
        </w:rPr>
        <w:t xml:space="preserve"> </w:t>
      </w:r>
      <w:r w:rsidRPr="00F43752">
        <w:rPr>
          <w:sz w:val="24"/>
          <w:szCs w:val="24"/>
        </w:rPr>
        <w:t>af</w:t>
      </w:r>
      <w:r w:rsidRPr="00F43752">
        <w:rPr>
          <w:spacing w:val="-5"/>
          <w:sz w:val="24"/>
          <w:szCs w:val="24"/>
        </w:rPr>
        <w:t xml:space="preserve"> </w:t>
      </w:r>
      <w:r w:rsidRPr="00F43752">
        <w:rPr>
          <w:sz w:val="24"/>
          <w:szCs w:val="24"/>
        </w:rPr>
        <w:t>formodede</w:t>
      </w:r>
      <w:r w:rsidRPr="00F43752">
        <w:rPr>
          <w:spacing w:val="-3"/>
          <w:sz w:val="24"/>
          <w:szCs w:val="24"/>
        </w:rPr>
        <w:t xml:space="preserve"> </w:t>
      </w:r>
      <w:r w:rsidRPr="00F43752">
        <w:rPr>
          <w:sz w:val="24"/>
          <w:szCs w:val="24"/>
        </w:rPr>
        <w:t>bivirkninger</w:t>
      </w:r>
      <w:r w:rsidRPr="00F43752">
        <w:rPr>
          <w:spacing w:val="-2"/>
          <w:sz w:val="24"/>
          <w:szCs w:val="24"/>
        </w:rPr>
        <w:t xml:space="preserve"> </w:t>
      </w:r>
      <w:r w:rsidRPr="00F43752">
        <w:rPr>
          <w:sz w:val="24"/>
          <w:szCs w:val="24"/>
        </w:rPr>
        <w:t>vigtig.</w:t>
      </w:r>
      <w:r w:rsidRPr="00F43752">
        <w:rPr>
          <w:spacing w:val="-3"/>
          <w:sz w:val="24"/>
          <w:szCs w:val="24"/>
        </w:rPr>
        <w:t xml:space="preserve"> </w:t>
      </w:r>
      <w:r w:rsidRPr="00F43752">
        <w:rPr>
          <w:sz w:val="24"/>
          <w:szCs w:val="24"/>
        </w:rPr>
        <w:t>Det</w:t>
      </w:r>
      <w:r w:rsidRPr="00F43752">
        <w:rPr>
          <w:spacing w:val="-4"/>
          <w:sz w:val="24"/>
          <w:szCs w:val="24"/>
        </w:rPr>
        <w:t xml:space="preserve"> </w:t>
      </w:r>
      <w:r w:rsidRPr="00F43752">
        <w:rPr>
          <w:sz w:val="24"/>
          <w:szCs w:val="24"/>
        </w:rPr>
        <w:t>muliggør</w:t>
      </w:r>
      <w:r w:rsidRPr="00F43752">
        <w:rPr>
          <w:spacing w:val="-3"/>
          <w:sz w:val="24"/>
          <w:szCs w:val="24"/>
        </w:rPr>
        <w:t xml:space="preserve"> </w:t>
      </w:r>
      <w:r w:rsidRPr="00F43752">
        <w:rPr>
          <w:sz w:val="24"/>
          <w:szCs w:val="24"/>
        </w:rPr>
        <w:t>løbende overvågning af benefit/risk-forholdet for lægemidlet. Sundhedspersoner anmodes om at indberette alle formodede bivirkninger via</w:t>
      </w:r>
      <w:r w:rsidR="00F94D83">
        <w:rPr>
          <w:sz w:val="24"/>
          <w:szCs w:val="24"/>
        </w:rPr>
        <w:t>:</w:t>
      </w:r>
    </w:p>
    <w:p w14:paraId="08C38BB9" w14:textId="77777777" w:rsidR="00F43752" w:rsidRPr="00F43752" w:rsidRDefault="00F43752" w:rsidP="00F43752">
      <w:pPr>
        <w:ind w:left="851"/>
        <w:rPr>
          <w:sz w:val="24"/>
          <w:szCs w:val="24"/>
        </w:rPr>
      </w:pPr>
    </w:p>
    <w:p w14:paraId="50D3E64A" w14:textId="77777777" w:rsidR="00F43752" w:rsidRPr="00F43752" w:rsidRDefault="00F43752" w:rsidP="00F43752">
      <w:pPr>
        <w:ind w:left="851"/>
        <w:rPr>
          <w:rFonts w:eastAsia="Calibri"/>
          <w:color w:val="000000"/>
          <w:sz w:val="24"/>
          <w:szCs w:val="24"/>
          <w:lang w:eastAsia="zh-CN"/>
        </w:rPr>
      </w:pPr>
      <w:r w:rsidRPr="00F43752">
        <w:rPr>
          <w:sz w:val="24"/>
          <w:szCs w:val="24"/>
        </w:rPr>
        <w:t>Lægemiddelstyrelsen</w:t>
      </w:r>
    </w:p>
    <w:p w14:paraId="6C36738E" w14:textId="77777777" w:rsidR="00F43752" w:rsidRPr="00F43752" w:rsidRDefault="00F43752" w:rsidP="00F43752">
      <w:pPr>
        <w:ind w:left="851"/>
        <w:rPr>
          <w:rFonts w:eastAsia="Calibri"/>
          <w:noProof/>
          <w:sz w:val="24"/>
          <w:szCs w:val="24"/>
          <w:lang w:eastAsia="zh-CN"/>
        </w:rPr>
      </w:pPr>
      <w:r w:rsidRPr="00F43752">
        <w:rPr>
          <w:rFonts w:eastAsia="Calibri"/>
          <w:sz w:val="24"/>
          <w:szCs w:val="24"/>
          <w:lang w:eastAsia="zh-CN"/>
        </w:rPr>
        <w:t>Axel Heides Gade 1</w:t>
      </w:r>
    </w:p>
    <w:p w14:paraId="7FFC0425" w14:textId="77777777" w:rsidR="00F43752" w:rsidRPr="00F43752" w:rsidRDefault="00F43752" w:rsidP="00F43752">
      <w:pPr>
        <w:ind w:left="851"/>
        <w:rPr>
          <w:rFonts w:eastAsia="Calibri"/>
          <w:noProof/>
          <w:sz w:val="24"/>
          <w:szCs w:val="24"/>
          <w:lang w:eastAsia="zh-CN"/>
        </w:rPr>
      </w:pPr>
      <w:r w:rsidRPr="00F43752">
        <w:rPr>
          <w:rFonts w:eastAsia="Calibri"/>
          <w:noProof/>
          <w:sz w:val="24"/>
          <w:szCs w:val="24"/>
          <w:lang w:eastAsia="zh-CN"/>
        </w:rPr>
        <w:t xml:space="preserve">DK-2300 </w:t>
      </w:r>
      <w:r w:rsidRPr="00F43752">
        <w:rPr>
          <w:rFonts w:eastAsia="Calibri"/>
          <w:sz w:val="24"/>
          <w:szCs w:val="24"/>
          <w:lang w:eastAsia="zh-CN"/>
        </w:rPr>
        <w:t>København S</w:t>
      </w:r>
    </w:p>
    <w:p w14:paraId="0237FF7F" w14:textId="312FC2F5" w:rsidR="00F43752" w:rsidRPr="00F43752" w:rsidRDefault="00F43752" w:rsidP="00F43752">
      <w:pPr>
        <w:ind w:left="851"/>
        <w:rPr>
          <w:rFonts w:eastAsia="Calibri"/>
          <w:noProof/>
          <w:sz w:val="24"/>
          <w:szCs w:val="24"/>
          <w:lang w:eastAsia="zh-CN"/>
        </w:rPr>
      </w:pPr>
      <w:r w:rsidRPr="00F43752">
        <w:rPr>
          <w:rFonts w:eastAsia="Calibri"/>
          <w:sz w:val="24"/>
          <w:szCs w:val="24"/>
          <w:lang w:eastAsia="zh-CN"/>
        </w:rPr>
        <w:t>Websted</w:t>
      </w:r>
      <w:r w:rsidRPr="00F43752">
        <w:rPr>
          <w:rFonts w:eastAsia="Calibri"/>
          <w:noProof/>
          <w:sz w:val="24"/>
          <w:szCs w:val="24"/>
          <w:lang w:eastAsia="zh-CN"/>
        </w:rPr>
        <w:t xml:space="preserve">: </w:t>
      </w:r>
      <w:r w:rsidRPr="00F94D83">
        <w:rPr>
          <w:rFonts w:eastAsia="Calibri"/>
          <w:noProof/>
          <w:sz w:val="24"/>
          <w:szCs w:val="24"/>
          <w:lang w:eastAsia="zh-CN"/>
        </w:rPr>
        <w:t>www.meldenbivirkning.dk</w:t>
      </w:r>
    </w:p>
    <w:p w14:paraId="28205A44" w14:textId="77777777" w:rsidR="009260DE" w:rsidRPr="00F43752" w:rsidRDefault="009260DE" w:rsidP="00F43752">
      <w:pPr>
        <w:tabs>
          <w:tab w:val="left" w:pos="851"/>
        </w:tabs>
        <w:ind w:left="851"/>
        <w:rPr>
          <w:sz w:val="24"/>
          <w:szCs w:val="24"/>
        </w:rPr>
      </w:pPr>
    </w:p>
    <w:p w14:paraId="7C33B186"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2D42129F" w14:textId="77777777" w:rsidR="001F7FE3" w:rsidRDefault="001F7FE3" w:rsidP="001F7FE3">
      <w:pPr>
        <w:tabs>
          <w:tab w:val="left" w:pos="851"/>
        </w:tabs>
        <w:ind w:left="851"/>
        <w:rPr>
          <w:b/>
          <w:sz w:val="24"/>
          <w:szCs w:val="24"/>
        </w:rPr>
      </w:pPr>
    </w:p>
    <w:p w14:paraId="14E09C4A" w14:textId="51A11F7E" w:rsidR="001F7FE3" w:rsidRPr="001F7FE3" w:rsidRDefault="001F7FE3" w:rsidP="001F7FE3">
      <w:pPr>
        <w:tabs>
          <w:tab w:val="left" w:pos="851"/>
        </w:tabs>
        <w:ind w:left="851"/>
        <w:rPr>
          <w:sz w:val="24"/>
          <w:szCs w:val="24"/>
          <w:u w:val="single"/>
        </w:rPr>
      </w:pPr>
      <w:r w:rsidRPr="001F7FE3">
        <w:rPr>
          <w:sz w:val="24"/>
          <w:szCs w:val="24"/>
          <w:u w:val="single"/>
        </w:rPr>
        <w:t xml:space="preserve">Symptomer </w:t>
      </w:r>
    </w:p>
    <w:p w14:paraId="07D87444" w14:textId="77777777" w:rsidR="001F7FE3" w:rsidRPr="001F7FE3" w:rsidRDefault="001F7FE3" w:rsidP="001F7FE3">
      <w:pPr>
        <w:tabs>
          <w:tab w:val="left" w:pos="851"/>
        </w:tabs>
        <w:ind w:left="851"/>
        <w:rPr>
          <w:sz w:val="24"/>
          <w:szCs w:val="24"/>
        </w:rPr>
      </w:pPr>
      <w:r w:rsidRPr="001F7FE3">
        <w:rPr>
          <w:sz w:val="24"/>
          <w:szCs w:val="24"/>
        </w:rPr>
        <w:t>Atropinforgiftning opstår, hvis patienten får for høje doser. Det er nødvendigt at tage højde for, at følsomheden over for atropin varierer fra person til person.</w:t>
      </w:r>
    </w:p>
    <w:p w14:paraId="15F0FCB8" w14:textId="77777777" w:rsidR="001F7FE3" w:rsidRPr="001F7FE3" w:rsidRDefault="001F7FE3" w:rsidP="001F7FE3">
      <w:pPr>
        <w:tabs>
          <w:tab w:val="left" w:pos="851"/>
        </w:tabs>
        <w:ind w:left="851"/>
        <w:rPr>
          <w:sz w:val="24"/>
          <w:szCs w:val="24"/>
          <w:lang w:val="sv-SE"/>
        </w:rPr>
      </w:pPr>
    </w:p>
    <w:p w14:paraId="591BD22B" w14:textId="77777777" w:rsidR="001F7FE3" w:rsidRPr="001F7FE3" w:rsidRDefault="001F7FE3" w:rsidP="001F7FE3">
      <w:pPr>
        <w:tabs>
          <w:tab w:val="left" w:pos="851"/>
        </w:tabs>
        <w:ind w:left="851"/>
        <w:rPr>
          <w:sz w:val="24"/>
          <w:szCs w:val="24"/>
        </w:rPr>
      </w:pPr>
      <w:r w:rsidRPr="001F7FE3">
        <w:rPr>
          <w:sz w:val="24"/>
          <w:szCs w:val="24"/>
        </w:rPr>
        <w:t>Administration af toksiske doser af dette lægemiddel forårsager takykardi, hurtig vejrtrækning, hyperpyreksi og stimulation af centralnervesystemet. Det fører til angst, forvirring, ophidselse, psykotiske reaktioner, hallucinationer og delirium. Der kan undertiden forekomme anfald. Derudover kan der opstå hududslæt i ansigtet og på overkroppen. I tilfælde af alvorlig forgiftning kan central stimulation føre til depression af centralnervesystemet, koma, respirations- eller cirkulationssvigt og død.</w:t>
      </w:r>
    </w:p>
    <w:p w14:paraId="1B5AA5B9" w14:textId="77777777" w:rsidR="001F7FE3" w:rsidRPr="001F7FE3" w:rsidRDefault="001F7FE3" w:rsidP="001F7FE3">
      <w:pPr>
        <w:tabs>
          <w:tab w:val="left" w:pos="851"/>
        </w:tabs>
        <w:ind w:left="851"/>
        <w:rPr>
          <w:sz w:val="24"/>
          <w:szCs w:val="24"/>
        </w:rPr>
      </w:pPr>
    </w:p>
    <w:p w14:paraId="7F946579" w14:textId="77777777" w:rsidR="001F7FE3" w:rsidRPr="001F7FE3" w:rsidRDefault="001F7FE3" w:rsidP="001F7FE3">
      <w:pPr>
        <w:tabs>
          <w:tab w:val="left" w:pos="851"/>
        </w:tabs>
        <w:ind w:left="851"/>
        <w:rPr>
          <w:sz w:val="24"/>
          <w:szCs w:val="24"/>
          <w:u w:val="single"/>
        </w:rPr>
      </w:pPr>
      <w:r w:rsidRPr="001F7FE3">
        <w:rPr>
          <w:sz w:val="24"/>
          <w:szCs w:val="24"/>
          <w:u w:val="single"/>
        </w:rPr>
        <w:t>Behandling</w:t>
      </w:r>
    </w:p>
    <w:p w14:paraId="7B05C6CB" w14:textId="77777777" w:rsidR="001F7FE3" w:rsidRPr="001F7FE3" w:rsidRDefault="001F7FE3" w:rsidP="001F7FE3">
      <w:pPr>
        <w:tabs>
          <w:tab w:val="left" w:pos="851"/>
        </w:tabs>
        <w:ind w:left="851"/>
        <w:rPr>
          <w:sz w:val="24"/>
          <w:szCs w:val="24"/>
        </w:rPr>
      </w:pPr>
      <w:r w:rsidRPr="001F7FE3">
        <w:rPr>
          <w:sz w:val="24"/>
          <w:szCs w:val="24"/>
        </w:rPr>
        <w:t>For at modvirke antikolinerge symptomer kan der gives kolinerge lægemidler som neostigmin (1 mg neostigmin intramuskulært hver 2.</w:t>
      </w:r>
      <w:r w:rsidRPr="001F7FE3">
        <w:rPr>
          <w:sz w:val="24"/>
          <w:szCs w:val="24"/>
        </w:rPr>
        <w:noBreakHyphen/>
        <w:t>3. time). Den største fare er dette lægemiddels centrale virkninger, da de ikke modvirkes af parasympatomimetika og kun er i stand til at behandle symptomerne. Således gælder, at hvis symptomet er ophidselse, anvendes CNS</w:t>
      </w:r>
      <w:r w:rsidRPr="001F7FE3">
        <w:rPr>
          <w:sz w:val="24"/>
          <w:szCs w:val="24"/>
        </w:rPr>
        <w:noBreakHyphen/>
        <w:t xml:space="preserve">deprimerende lægemidler såsom diazepam – hvis den depressive fase nået, </w:t>
      </w:r>
      <w:r w:rsidRPr="001F7FE3">
        <w:rPr>
          <w:sz w:val="24"/>
          <w:szCs w:val="24"/>
        </w:rPr>
        <w:lastRenderedPageBreak/>
        <w:t>kan der desuden indtages koffein. Hvis blodtrykket falder for meget, kan der gives vasopressorer. Ved alvorlig respirationsdepression anvendes kunstig ventilation med administration af ilt.</w:t>
      </w:r>
    </w:p>
    <w:p w14:paraId="1CEC6729" w14:textId="77777777" w:rsidR="009260DE" w:rsidRPr="00C84483" w:rsidRDefault="009260DE" w:rsidP="009260DE">
      <w:pPr>
        <w:tabs>
          <w:tab w:val="left" w:pos="851"/>
        </w:tabs>
        <w:ind w:left="851"/>
        <w:rPr>
          <w:sz w:val="24"/>
          <w:szCs w:val="24"/>
        </w:rPr>
      </w:pPr>
    </w:p>
    <w:p w14:paraId="343E5461"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5637E7D3" w14:textId="5B3C8493" w:rsidR="009260DE" w:rsidRPr="00C84483" w:rsidRDefault="001F7FE3" w:rsidP="009260DE">
      <w:pPr>
        <w:tabs>
          <w:tab w:val="left" w:pos="851"/>
        </w:tabs>
        <w:ind w:left="851"/>
        <w:rPr>
          <w:sz w:val="24"/>
          <w:szCs w:val="24"/>
        </w:rPr>
      </w:pPr>
      <w:r>
        <w:rPr>
          <w:sz w:val="24"/>
          <w:szCs w:val="24"/>
        </w:rPr>
        <w:t>B</w:t>
      </w:r>
    </w:p>
    <w:p w14:paraId="39C57AA5" w14:textId="77777777" w:rsidR="009260DE" w:rsidRPr="00C84483" w:rsidRDefault="009260DE" w:rsidP="009260DE">
      <w:pPr>
        <w:tabs>
          <w:tab w:val="left" w:pos="851"/>
        </w:tabs>
        <w:ind w:left="851"/>
        <w:rPr>
          <w:sz w:val="24"/>
          <w:szCs w:val="24"/>
        </w:rPr>
      </w:pPr>
    </w:p>
    <w:p w14:paraId="67FEE27B" w14:textId="77777777" w:rsidR="009260DE" w:rsidRPr="00C84483" w:rsidRDefault="009260DE" w:rsidP="009260DE">
      <w:pPr>
        <w:tabs>
          <w:tab w:val="left" w:pos="851"/>
        </w:tabs>
        <w:ind w:left="851"/>
        <w:rPr>
          <w:sz w:val="24"/>
          <w:szCs w:val="24"/>
        </w:rPr>
      </w:pPr>
    </w:p>
    <w:p w14:paraId="38438105"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10B96BB8" w14:textId="77777777" w:rsidR="009260DE" w:rsidRPr="00C84483" w:rsidRDefault="009260DE" w:rsidP="009260DE">
      <w:pPr>
        <w:tabs>
          <w:tab w:val="left" w:pos="851"/>
        </w:tabs>
        <w:ind w:left="851"/>
        <w:rPr>
          <w:sz w:val="24"/>
          <w:szCs w:val="24"/>
        </w:rPr>
      </w:pPr>
    </w:p>
    <w:p w14:paraId="34662F96"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02B7DA70" w14:textId="29CEF2F5" w:rsidR="007F5A7D" w:rsidRPr="007F5A7D" w:rsidRDefault="007F5A7D" w:rsidP="007F5A7D">
      <w:pPr>
        <w:tabs>
          <w:tab w:val="left" w:pos="851"/>
        </w:tabs>
        <w:ind w:left="851"/>
        <w:rPr>
          <w:sz w:val="24"/>
          <w:szCs w:val="24"/>
        </w:rPr>
      </w:pPr>
      <w:r w:rsidRPr="007F5A7D">
        <w:rPr>
          <w:sz w:val="24"/>
          <w:szCs w:val="24"/>
        </w:rPr>
        <w:t>Farmakoterapeutisk klassifikation: Belladonna og derivater, usammensatte præparater, belladonna-alkaloider, tertiære aminer</w:t>
      </w:r>
      <w:r>
        <w:rPr>
          <w:sz w:val="24"/>
          <w:szCs w:val="24"/>
        </w:rPr>
        <w:t xml:space="preserve">, </w:t>
      </w:r>
      <w:r w:rsidRPr="007F5A7D">
        <w:rPr>
          <w:sz w:val="24"/>
          <w:szCs w:val="24"/>
        </w:rPr>
        <w:t>ATC</w:t>
      </w:r>
      <w:r w:rsidRPr="007F5A7D">
        <w:rPr>
          <w:sz w:val="24"/>
          <w:szCs w:val="24"/>
        </w:rPr>
        <w:noBreakHyphen/>
        <w:t>kode: A03BA01</w:t>
      </w:r>
      <w:r>
        <w:rPr>
          <w:sz w:val="24"/>
          <w:szCs w:val="24"/>
        </w:rPr>
        <w:t>.</w:t>
      </w:r>
    </w:p>
    <w:p w14:paraId="624399B5" w14:textId="77777777" w:rsidR="007F5A7D" w:rsidRPr="007F5A7D" w:rsidRDefault="007F5A7D" w:rsidP="007F5A7D">
      <w:pPr>
        <w:tabs>
          <w:tab w:val="left" w:pos="851"/>
        </w:tabs>
        <w:ind w:left="851"/>
        <w:rPr>
          <w:sz w:val="24"/>
          <w:szCs w:val="24"/>
        </w:rPr>
      </w:pPr>
    </w:p>
    <w:p w14:paraId="566C963D" w14:textId="77777777" w:rsidR="007F5A7D" w:rsidRPr="007F5A7D" w:rsidRDefault="007F5A7D" w:rsidP="007F5A7D">
      <w:pPr>
        <w:tabs>
          <w:tab w:val="left" w:pos="851"/>
        </w:tabs>
        <w:ind w:left="851"/>
        <w:rPr>
          <w:sz w:val="24"/>
          <w:szCs w:val="24"/>
        </w:rPr>
      </w:pPr>
      <w:r w:rsidRPr="007F5A7D">
        <w:rPr>
          <w:sz w:val="24"/>
          <w:szCs w:val="24"/>
        </w:rPr>
        <w:t xml:space="preserve">Alkalider i Solanaceae-familien – atropin og skopolamin – har to grundlæggende virkningsmekanismer: </w:t>
      </w:r>
    </w:p>
    <w:p w14:paraId="1ECC78B4" w14:textId="77777777" w:rsidR="007F5A7D" w:rsidRPr="007F5A7D" w:rsidRDefault="007F5A7D" w:rsidP="007F5A7D">
      <w:pPr>
        <w:tabs>
          <w:tab w:val="left" w:pos="851"/>
        </w:tabs>
        <w:ind w:left="851"/>
        <w:rPr>
          <w:sz w:val="24"/>
          <w:szCs w:val="24"/>
        </w:rPr>
      </w:pPr>
      <w:r w:rsidRPr="007F5A7D">
        <w:rPr>
          <w:sz w:val="24"/>
          <w:szCs w:val="24"/>
        </w:rPr>
        <w:t xml:space="preserve">a) antikolinergt eller parasympatolytisk – blokerer den muskarine virkning af acetylcholin </w:t>
      </w:r>
    </w:p>
    <w:p w14:paraId="253F635D" w14:textId="77777777" w:rsidR="007F5A7D" w:rsidRPr="007F5A7D" w:rsidRDefault="007F5A7D" w:rsidP="007F5A7D">
      <w:pPr>
        <w:tabs>
          <w:tab w:val="left" w:pos="851"/>
        </w:tabs>
        <w:ind w:left="851"/>
        <w:rPr>
          <w:sz w:val="24"/>
          <w:szCs w:val="24"/>
        </w:rPr>
      </w:pPr>
      <w:r w:rsidRPr="007F5A7D">
        <w:rPr>
          <w:sz w:val="24"/>
          <w:szCs w:val="24"/>
        </w:rPr>
        <w:t>b) stimulerende eller deprimerende virkning på centralnervesystemet, afhængigt af tilfældet. Den første af disse virkninger er den vigtigste.</w:t>
      </w:r>
    </w:p>
    <w:p w14:paraId="0BD3B5B0" w14:textId="77777777" w:rsidR="007F5A7D" w:rsidRPr="007F5A7D" w:rsidRDefault="007F5A7D" w:rsidP="007F5A7D">
      <w:pPr>
        <w:tabs>
          <w:tab w:val="left" w:pos="851"/>
        </w:tabs>
        <w:ind w:left="851"/>
        <w:rPr>
          <w:sz w:val="24"/>
          <w:szCs w:val="24"/>
          <w:lang w:val="nl-NL"/>
        </w:rPr>
      </w:pPr>
    </w:p>
    <w:p w14:paraId="53EDDEAD" w14:textId="77777777" w:rsidR="007F5A7D" w:rsidRPr="007F5A7D" w:rsidRDefault="007F5A7D" w:rsidP="007F5A7D">
      <w:pPr>
        <w:tabs>
          <w:tab w:val="left" w:pos="851"/>
        </w:tabs>
        <w:ind w:left="851"/>
        <w:rPr>
          <w:sz w:val="24"/>
          <w:szCs w:val="24"/>
        </w:rPr>
      </w:pPr>
      <w:r w:rsidRPr="007F5A7D">
        <w:rPr>
          <w:sz w:val="24"/>
          <w:szCs w:val="24"/>
        </w:rPr>
        <w:t>Atropins (tertiær amin) farmakologiske virkning skyldes hovedsageligt virkningen af I</w:t>
      </w:r>
      <w:r w:rsidRPr="007F5A7D">
        <w:rPr>
          <w:sz w:val="24"/>
          <w:szCs w:val="24"/>
        </w:rPr>
        <w:noBreakHyphen/>
        <w:t>hyoscyamin – d</w:t>
      </w:r>
      <w:r w:rsidRPr="007F5A7D">
        <w:rPr>
          <w:sz w:val="24"/>
          <w:szCs w:val="24"/>
        </w:rPr>
        <w:noBreakHyphen/>
        <w:t>hyoscyamin har så godt som ingen antimuskarin virkning. Generelt er atropin mere potent end skopolamin hvad angår antimuskarin virkning på hjertet og den glatte muskulatur i tarmene og bronkierne, og det er mindre potent end skopolamin hvad angår antimuskarin virkning på iris, corpus ciliare og visse sekretoriske kirtler (spyt-, bronkie- og svedkirtler).</w:t>
      </w:r>
    </w:p>
    <w:p w14:paraId="67848676" w14:textId="77777777" w:rsidR="007F5A7D" w:rsidRPr="007F5A7D" w:rsidRDefault="007F5A7D" w:rsidP="007F5A7D">
      <w:pPr>
        <w:tabs>
          <w:tab w:val="left" w:pos="851"/>
        </w:tabs>
        <w:ind w:left="851"/>
        <w:rPr>
          <w:sz w:val="24"/>
          <w:szCs w:val="24"/>
        </w:rPr>
      </w:pPr>
      <w:r w:rsidRPr="007F5A7D">
        <w:rPr>
          <w:sz w:val="24"/>
          <w:szCs w:val="24"/>
        </w:rPr>
        <w:t>I modsætning til skopolamin stimulerer atropin centralnervesystemet ved normale doser.</w:t>
      </w:r>
    </w:p>
    <w:p w14:paraId="6227411F" w14:textId="77777777" w:rsidR="007F5A7D" w:rsidRPr="007F5A7D" w:rsidRDefault="007F5A7D" w:rsidP="007F5A7D">
      <w:pPr>
        <w:tabs>
          <w:tab w:val="left" w:pos="851"/>
        </w:tabs>
        <w:ind w:left="851"/>
        <w:rPr>
          <w:i/>
          <w:sz w:val="24"/>
          <w:szCs w:val="24"/>
        </w:rPr>
      </w:pPr>
    </w:p>
    <w:p w14:paraId="16FA1D74" w14:textId="77777777" w:rsidR="007F5A7D" w:rsidRPr="007F5A7D" w:rsidRDefault="007F5A7D" w:rsidP="007F5A7D">
      <w:pPr>
        <w:tabs>
          <w:tab w:val="left" w:pos="851"/>
        </w:tabs>
        <w:ind w:left="851"/>
        <w:rPr>
          <w:sz w:val="24"/>
          <w:szCs w:val="24"/>
          <w:u w:val="single"/>
        </w:rPr>
      </w:pPr>
      <w:r w:rsidRPr="007F5A7D">
        <w:rPr>
          <w:sz w:val="24"/>
          <w:szCs w:val="24"/>
          <w:u w:val="single"/>
        </w:rPr>
        <w:t>Virkninger på øjet</w:t>
      </w:r>
    </w:p>
    <w:p w14:paraId="1448A0CB" w14:textId="77777777" w:rsidR="007F5A7D" w:rsidRPr="007F5A7D" w:rsidRDefault="007F5A7D" w:rsidP="007F5A7D">
      <w:pPr>
        <w:tabs>
          <w:tab w:val="left" w:pos="851"/>
        </w:tabs>
        <w:ind w:left="851"/>
        <w:rPr>
          <w:sz w:val="24"/>
          <w:szCs w:val="24"/>
        </w:rPr>
      </w:pPr>
      <w:r w:rsidRPr="007F5A7D">
        <w:rPr>
          <w:sz w:val="24"/>
          <w:szCs w:val="24"/>
        </w:rPr>
        <w:t>Når atropin dryppes i øjet, udløser det mydriasis (pupiludvidelse) og cykloplegi (tab af okulær akkommodation). Pupillen forbliver meget udvidet og ubeskyttet, hvad angår lys, hvilket fremmer forekomsten af fotofobi og hovedpine.</w:t>
      </w:r>
    </w:p>
    <w:p w14:paraId="414D4152" w14:textId="77777777" w:rsidR="007F5A7D" w:rsidRPr="007F5A7D" w:rsidRDefault="007F5A7D" w:rsidP="007F5A7D">
      <w:pPr>
        <w:tabs>
          <w:tab w:val="left" w:pos="851"/>
        </w:tabs>
        <w:ind w:left="851"/>
        <w:rPr>
          <w:sz w:val="24"/>
          <w:szCs w:val="24"/>
        </w:rPr>
      </w:pPr>
      <w:r w:rsidRPr="007F5A7D">
        <w:rPr>
          <w:sz w:val="24"/>
          <w:szCs w:val="24"/>
        </w:rPr>
        <w:t>Det intraokulære tryk har en tendens til at stige en smule i det normale øjeæble. I tilfælde af glaukom kan denne stigning dog være intens og føre til akut glaukom. Det forekommer hyppigere i tilfælde af lukketvinklet glaukom, som kan føre til blindhed.</w:t>
      </w:r>
    </w:p>
    <w:p w14:paraId="4BCFBBC2" w14:textId="77777777" w:rsidR="007F5A7D" w:rsidRPr="007F5A7D" w:rsidRDefault="007F5A7D" w:rsidP="007F5A7D">
      <w:pPr>
        <w:tabs>
          <w:tab w:val="left" w:pos="851"/>
        </w:tabs>
        <w:ind w:left="851"/>
        <w:rPr>
          <w:sz w:val="24"/>
          <w:szCs w:val="24"/>
          <w:lang w:val="nl-NL"/>
        </w:rPr>
      </w:pPr>
    </w:p>
    <w:p w14:paraId="1A67C565" w14:textId="77777777" w:rsidR="007F5A7D" w:rsidRPr="007F5A7D" w:rsidRDefault="007F5A7D" w:rsidP="007F5A7D">
      <w:pPr>
        <w:tabs>
          <w:tab w:val="left" w:pos="851"/>
        </w:tabs>
        <w:ind w:left="851"/>
        <w:rPr>
          <w:sz w:val="24"/>
          <w:szCs w:val="24"/>
          <w:u w:val="single"/>
        </w:rPr>
      </w:pPr>
      <w:r w:rsidRPr="007F5A7D">
        <w:rPr>
          <w:sz w:val="24"/>
          <w:szCs w:val="24"/>
          <w:u w:val="single"/>
        </w:rPr>
        <w:t>Virkninger på det kardiovaskulære system</w:t>
      </w:r>
    </w:p>
    <w:p w14:paraId="1A0C6991" w14:textId="77777777" w:rsidR="007F5A7D" w:rsidRPr="007F5A7D" w:rsidRDefault="007F5A7D" w:rsidP="007F5A7D">
      <w:pPr>
        <w:tabs>
          <w:tab w:val="left" w:pos="851"/>
        </w:tabs>
        <w:ind w:left="851"/>
        <w:rPr>
          <w:sz w:val="24"/>
          <w:szCs w:val="24"/>
        </w:rPr>
      </w:pPr>
      <w:r w:rsidRPr="007F5A7D">
        <w:rPr>
          <w:sz w:val="24"/>
          <w:szCs w:val="24"/>
        </w:rPr>
        <w:t>Den antimuskarine virkning på hjertet er dosisafhængig. Administration af gennemsnitlige antimuskarinikadoser (f.eks. 0,4</w:t>
      </w:r>
      <w:r w:rsidRPr="007F5A7D">
        <w:rPr>
          <w:sz w:val="24"/>
          <w:szCs w:val="24"/>
        </w:rPr>
        <w:noBreakHyphen/>
        <w:t>0,6 mg atropin) kan give et let fald i hjertefrekvensen og tilskrives en central stimulation af vagusnerven. Dette finder sted før en perifer kolinerg blokering. Administration af højere doser (f.eks. 1</w:t>
      </w:r>
      <w:r w:rsidRPr="007F5A7D">
        <w:rPr>
          <w:sz w:val="24"/>
          <w:szCs w:val="24"/>
        </w:rPr>
        <w:noBreakHyphen/>
        <w:t>2 mg atropin) fører gradvist til takykardi ved at blokere den normale vagale hæmning af nodus sinuatrialis. Virkningen af antimuskarinika på hjertet er undertiden uforudsigelig og paradoksal, afhængigt af hjertestimulansens ledningssystem og hjertets fysiologiske tilstand.</w:t>
      </w:r>
    </w:p>
    <w:p w14:paraId="693AAA27" w14:textId="77777777" w:rsidR="007F5A7D" w:rsidRPr="007F5A7D" w:rsidRDefault="007F5A7D" w:rsidP="007F5A7D">
      <w:pPr>
        <w:tabs>
          <w:tab w:val="left" w:pos="851"/>
        </w:tabs>
        <w:ind w:left="851"/>
        <w:rPr>
          <w:sz w:val="24"/>
          <w:szCs w:val="24"/>
          <w:lang w:val="nl-NL"/>
        </w:rPr>
      </w:pPr>
    </w:p>
    <w:p w14:paraId="0A9E8924" w14:textId="77777777" w:rsidR="007F5A7D" w:rsidRPr="007F5A7D" w:rsidRDefault="007F5A7D" w:rsidP="007F5A7D">
      <w:pPr>
        <w:tabs>
          <w:tab w:val="left" w:pos="851"/>
        </w:tabs>
        <w:ind w:left="851"/>
        <w:rPr>
          <w:sz w:val="24"/>
          <w:szCs w:val="24"/>
        </w:rPr>
      </w:pPr>
      <w:r w:rsidRPr="007F5A7D">
        <w:rPr>
          <w:sz w:val="24"/>
          <w:szCs w:val="24"/>
        </w:rPr>
        <w:t>Antimuskarinika kan endvidere forårsage kutan vasodilatation, særligt ved administration i toksiske doser.</w:t>
      </w:r>
    </w:p>
    <w:p w14:paraId="7EFFDDED" w14:textId="77777777" w:rsidR="007F5A7D" w:rsidRPr="007F5A7D" w:rsidRDefault="007F5A7D" w:rsidP="007F5A7D">
      <w:pPr>
        <w:tabs>
          <w:tab w:val="left" w:pos="851"/>
        </w:tabs>
        <w:ind w:left="851"/>
        <w:rPr>
          <w:sz w:val="24"/>
          <w:szCs w:val="24"/>
          <w:lang w:val="nl-NL"/>
        </w:rPr>
      </w:pPr>
    </w:p>
    <w:p w14:paraId="38F1C19D" w14:textId="77777777" w:rsidR="007F5A7D" w:rsidRPr="007F5A7D" w:rsidRDefault="007F5A7D" w:rsidP="007F5A7D">
      <w:pPr>
        <w:tabs>
          <w:tab w:val="left" w:pos="851"/>
        </w:tabs>
        <w:ind w:left="851"/>
        <w:rPr>
          <w:sz w:val="24"/>
          <w:szCs w:val="24"/>
        </w:rPr>
      </w:pPr>
      <w:r w:rsidRPr="007F5A7D">
        <w:rPr>
          <w:sz w:val="24"/>
          <w:szCs w:val="24"/>
        </w:rPr>
        <w:t xml:space="preserve">Ved diagnosticering, evaluering og behandling af hjerteproblemer er atropin det vigtigste antimuskarinikum. Atropin har en positiv kronotropisk virkning, idet det accelererer sinusrytmen via direkte parasympatisk blokering. Selvom atropin er effektivt ved sekundær </w:t>
      </w:r>
      <w:r w:rsidRPr="007F5A7D">
        <w:rPr>
          <w:sz w:val="24"/>
          <w:szCs w:val="24"/>
        </w:rPr>
        <w:lastRenderedPageBreak/>
        <w:t>sinusbradykardi, dvs. med ekstrakardiale årsager, har det ringe eller ingen virkning ved sinusbradykardi forårsaget af nodus sinoatrialis-sygdom. Atropins virkning på His</w:t>
      </w:r>
      <w:r w:rsidRPr="007F5A7D">
        <w:rPr>
          <w:sz w:val="24"/>
          <w:szCs w:val="24"/>
        </w:rPr>
        <w:noBreakHyphen/>
        <w:t>Purkinje-systemet er uforudsigelig.</w:t>
      </w:r>
    </w:p>
    <w:p w14:paraId="2D9D68E5" w14:textId="77777777" w:rsidR="007F5A7D" w:rsidRPr="007F5A7D" w:rsidRDefault="007F5A7D" w:rsidP="007F5A7D">
      <w:pPr>
        <w:tabs>
          <w:tab w:val="left" w:pos="851"/>
        </w:tabs>
        <w:ind w:left="851"/>
        <w:rPr>
          <w:sz w:val="24"/>
          <w:szCs w:val="24"/>
        </w:rPr>
      </w:pPr>
    </w:p>
    <w:p w14:paraId="0ACDF043" w14:textId="77777777" w:rsidR="007F5A7D" w:rsidRPr="007F5A7D" w:rsidRDefault="007F5A7D" w:rsidP="007F5A7D">
      <w:pPr>
        <w:tabs>
          <w:tab w:val="left" w:pos="851"/>
        </w:tabs>
        <w:ind w:left="851"/>
        <w:rPr>
          <w:sz w:val="24"/>
          <w:szCs w:val="24"/>
        </w:rPr>
      </w:pPr>
      <w:r w:rsidRPr="007F5A7D">
        <w:rPr>
          <w:sz w:val="24"/>
          <w:szCs w:val="24"/>
        </w:rPr>
        <w:t>Under behandling med antimuskarinika kan der forekomme atriel arytmi, atrioventrikulær dissociation, ventrikulær takykardi og fibrillation. Unge, raske voksne lader til at være mere modtagelige over for disse virkninger sammenlignet med andre aldersgrupper, formentlig på grund af den øgede betydning af hjertets vagale tonus hos denne aldersgruppe. Det er uvist, om denne vasodilatation er en kompenserende reaktion for at udligne en stigning i kropstemperaturen eller en direkte virkning af lægemidlet i kutant blod.</w:t>
      </w:r>
    </w:p>
    <w:p w14:paraId="1986F05E" w14:textId="77777777" w:rsidR="007F5A7D" w:rsidRPr="007F5A7D" w:rsidRDefault="007F5A7D" w:rsidP="007F5A7D">
      <w:pPr>
        <w:tabs>
          <w:tab w:val="left" w:pos="851"/>
        </w:tabs>
        <w:ind w:left="851"/>
        <w:rPr>
          <w:sz w:val="24"/>
          <w:szCs w:val="24"/>
          <w:lang w:val="nl-NL"/>
        </w:rPr>
      </w:pPr>
    </w:p>
    <w:p w14:paraId="68BFF833" w14:textId="77777777" w:rsidR="007F5A7D" w:rsidRPr="007F5A7D" w:rsidRDefault="007F5A7D" w:rsidP="007F5A7D">
      <w:pPr>
        <w:tabs>
          <w:tab w:val="left" w:pos="851"/>
        </w:tabs>
        <w:ind w:left="851"/>
        <w:rPr>
          <w:sz w:val="24"/>
          <w:szCs w:val="24"/>
          <w:u w:val="single"/>
        </w:rPr>
      </w:pPr>
      <w:r w:rsidRPr="007F5A7D">
        <w:rPr>
          <w:sz w:val="24"/>
          <w:szCs w:val="24"/>
          <w:u w:val="single"/>
        </w:rPr>
        <w:t>Virkninger på respirationssystemet</w:t>
      </w:r>
    </w:p>
    <w:p w14:paraId="27A1A341" w14:textId="77777777" w:rsidR="007F5A7D" w:rsidRPr="007F5A7D" w:rsidRDefault="007F5A7D" w:rsidP="007F5A7D">
      <w:pPr>
        <w:tabs>
          <w:tab w:val="left" w:pos="851"/>
        </w:tabs>
        <w:ind w:left="851"/>
        <w:rPr>
          <w:sz w:val="24"/>
          <w:szCs w:val="24"/>
        </w:rPr>
      </w:pPr>
      <w:r w:rsidRPr="007F5A7D">
        <w:rPr>
          <w:sz w:val="24"/>
          <w:szCs w:val="24"/>
        </w:rPr>
        <w:t>Antimuskarinika reducerer mængden af sekret fra næse, mund, svælg og bronkier. De afslapper de glatte muskler i bronkierne og bronkiolerne og reducerer dermed luftmodstanden. Atropin er en potent bronkodilatator, som er særlig effektiv ved bronkokonstriktion induceret af parasympatisk stimulation. Skønt nogle læger er forsigtige med anvendelsen af antimuskarinika til astmapatienter, grundet lægemidlernes reduktion af fysiologisk sekretion, er anvendelsen af atropin via oral inhalation effektiv og verificeret til forebyggelse af bronkospasmer af antigenisk oprindelse og induceret af fysisk træning eller af metakolin hos denne type personer.</w:t>
      </w:r>
    </w:p>
    <w:p w14:paraId="7F00CF93" w14:textId="77777777" w:rsidR="007F5A7D" w:rsidRPr="007F5A7D" w:rsidRDefault="007F5A7D" w:rsidP="007F5A7D">
      <w:pPr>
        <w:tabs>
          <w:tab w:val="left" w:pos="851"/>
        </w:tabs>
        <w:ind w:left="851"/>
        <w:rPr>
          <w:sz w:val="24"/>
          <w:szCs w:val="24"/>
          <w:lang w:val="nl-NL"/>
        </w:rPr>
      </w:pPr>
    </w:p>
    <w:p w14:paraId="5D2827DF" w14:textId="77777777" w:rsidR="007F5A7D" w:rsidRPr="007F5A7D" w:rsidRDefault="007F5A7D" w:rsidP="007F5A7D">
      <w:pPr>
        <w:tabs>
          <w:tab w:val="left" w:pos="851"/>
        </w:tabs>
        <w:ind w:left="851"/>
        <w:rPr>
          <w:sz w:val="24"/>
          <w:szCs w:val="24"/>
        </w:rPr>
      </w:pPr>
      <w:r w:rsidRPr="007F5A7D">
        <w:rPr>
          <w:sz w:val="24"/>
          <w:szCs w:val="24"/>
        </w:rPr>
        <w:t>Både atropin og skopolamin reducerer forekomsten af laryngospasme under generel anæstesi. De virker indirekte ved at reducere sekretionen, som kan stimulere laryngospasme-refluks. Der synes ikke at være nogen direkte blokering af skeletmuskulaturen i larynx. Antimuskarinika blokerer stimulationen af acetylcholin-induceret guanylcyklase og reducerer dermed vævskoncentrationen af cyklisk guanosinmonophosphat (cGMP), som er en mediator for bronkokonstriktion.</w:t>
      </w:r>
    </w:p>
    <w:p w14:paraId="688E7E62" w14:textId="77777777" w:rsidR="007F5A7D" w:rsidRPr="007F5A7D" w:rsidRDefault="007F5A7D" w:rsidP="007F5A7D">
      <w:pPr>
        <w:tabs>
          <w:tab w:val="left" w:pos="851"/>
        </w:tabs>
        <w:ind w:left="851"/>
        <w:rPr>
          <w:sz w:val="24"/>
          <w:szCs w:val="24"/>
        </w:rPr>
      </w:pPr>
    </w:p>
    <w:p w14:paraId="3D9376C7" w14:textId="77777777" w:rsidR="007F5A7D" w:rsidRPr="007F5A7D" w:rsidRDefault="007F5A7D" w:rsidP="007F5A7D">
      <w:pPr>
        <w:tabs>
          <w:tab w:val="left" w:pos="851"/>
        </w:tabs>
        <w:ind w:left="851"/>
        <w:rPr>
          <w:sz w:val="24"/>
          <w:szCs w:val="24"/>
          <w:u w:val="single"/>
        </w:rPr>
      </w:pPr>
      <w:r w:rsidRPr="007F5A7D">
        <w:rPr>
          <w:sz w:val="24"/>
          <w:szCs w:val="24"/>
          <w:u w:val="single"/>
        </w:rPr>
        <w:t>Virkninger på centralnervesystemet</w:t>
      </w:r>
    </w:p>
    <w:p w14:paraId="5D408FD3" w14:textId="77777777" w:rsidR="007F5A7D" w:rsidRPr="007F5A7D" w:rsidRDefault="007F5A7D" w:rsidP="007F5A7D">
      <w:pPr>
        <w:tabs>
          <w:tab w:val="left" w:pos="851"/>
        </w:tabs>
        <w:ind w:left="851"/>
        <w:rPr>
          <w:sz w:val="24"/>
          <w:szCs w:val="24"/>
        </w:rPr>
      </w:pPr>
      <w:r w:rsidRPr="007F5A7D">
        <w:rPr>
          <w:sz w:val="24"/>
          <w:szCs w:val="24"/>
        </w:rPr>
        <w:t>Atropin stimulerer rygmarven og de øvre hjernecentre og påvirker centralnervesystemet. Det gælder f.eks. antimuskarinika, som anvendes til behandling af Parkinsons sygdom (trihexyphenidyl). Centralnervesystemets kolinerge overledning involverer hovedsageligt nikotinreceptorer i hjernen. Virkningerne på centralnervesystemet ved normale doser af atropin og beslægtede lægemidler skyldes dets centrale antimuskarine virkning. Denne virkning er normalt begrænset til moderat stimulation af vagusnerven, hvilket resulterer i et fald i hjertefrekvensen. Administration af atropin og beslægtede lægemidler ved toksiske doser resulterer i en kraftig central stimulation, der fører til situationer med angst, irritabilitet, desorientering, hallucinationer og delirium. Denne type virkning skyldes sandsynligvis blandt andet de antimuskarine virkninger. I takt med at antimuskarinikumdosen øges, vil stimulationen omsider føre til depression, koma, rygmarvslammelse og død. Antimuskarinika lader til at bevirke en øget frigivelse og omsætning af acetylcholin i centralnervesystemet, hvilket kan aktivere hjernens nikotinreceptorer.</w:t>
      </w:r>
    </w:p>
    <w:p w14:paraId="10DA8233" w14:textId="77777777" w:rsidR="007F5A7D" w:rsidRPr="007F5A7D" w:rsidRDefault="007F5A7D" w:rsidP="007F5A7D">
      <w:pPr>
        <w:tabs>
          <w:tab w:val="left" w:pos="851"/>
        </w:tabs>
        <w:ind w:left="851"/>
        <w:rPr>
          <w:sz w:val="24"/>
          <w:szCs w:val="24"/>
        </w:rPr>
      </w:pPr>
    </w:p>
    <w:p w14:paraId="29C18B43" w14:textId="77777777" w:rsidR="007F5A7D" w:rsidRPr="007F5A7D" w:rsidRDefault="007F5A7D" w:rsidP="007F5A7D">
      <w:pPr>
        <w:tabs>
          <w:tab w:val="left" w:pos="851"/>
        </w:tabs>
        <w:ind w:left="851"/>
        <w:rPr>
          <w:sz w:val="24"/>
          <w:szCs w:val="24"/>
          <w:u w:val="single"/>
        </w:rPr>
      </w:pPr>
      <w:r w:rsidRPr="007F5A7D">
        <w:rPr>
          <w:sz w:val="24"/>
          <w:szCs w:val="24"/>
          <w:u w:val="single"/>
        </w:rPr>
        <w:t>Virkninger på mave-tarmkanalen</w:t>
      </w:r>
    </w:p>
    <w:p w14:paraId="01084DAE" w14:textId="77777777" w:rsidR="007F5A7D" w:rsidRPr="007F5A7D" w:rsidRDefault="007F5A7D" w:rsidP="007F5A7D">
      <w:pPr>
        <w:tabs>
          <w:tab w:val="left" w:pos="851"/>
        </w:tabs>
        <w:ind w:left="851"/>
        <w:rPr>
          <w:sz w:val="24"/>
          <w:szCs w:val="24"/>
        </w:rPr>
      </w:pPr>
      <w:r w:rsidRPr="007F5A7D">
        <w:rPr>
          <w:sz w:val="24"/>
          <w:szCs w:val="24"/>
        </w:rPr>
        <w:t>Antimuskarinika har flere antisekretoriske virkninger på mave-tarm-kanalen. Reducerer spytmængden og forårsager xerostomi. Receptorvirkningerne på spytkirtlerne er typisk mere følsomme over for antimuskarin blokering end andre muskarinreceptorer (f.eks. dem, der medierer gastrisk sekretion).</w:t>
      </w:r>
    </w:p>
    <w:p w14:paraId="3698B280" w14:textId="77777777" w:rsidR="007F5A7D" w:rsidRPr="007F5A7D" w:rsidRDefault="007F5A7D" w:rsidP="007F5A7D">
      <w:pPr>
        <w:tabs>
          <w:tab w:val="left" w:pos="851"/>
        </w:tabs>
        <w:ind w:left="851"/>
        <w:rPr>
          <w:sz w:val="24"/>
          <w:szCs w:val="24"/>
        </w:rPr>
      </w:pPr>
      <w:r w:rsidRPr="007F5A7D">
        <w:rPr>
          <w:sz w:val="24"/>
          <w:szCs w:val="24"/>
        </w:rPr>
        <w:lastRenderedPageBreak/>
        <w:t xml:space="preserve"> Generelt reducerer antimuskarinika også mængden af gastrisk sekretion. Den gastriske syresekretion reduceres dog ikke nødvendigvis. Antimuskarinika kan tilsyneladende ikke effektivt kontrollere den gastriske syresekretion, hvis de anvendte doser er uden uønskede virkninger. </w:t>
      </w:r>
    </w:p>
    <w:p w14:paraId="1B04AB60" w14:textId="77777777" w:rsidR="007F5A7D" w:rsidRPr="007F5A7D" w:rsidRDefault="007F5A7D" w:rsidP="007F5A7D">
      <w:pPr>
        <w:tabs>
          <w:tab w:val="left" w:pos="851"/>
        </w:tabs>
        <w:ind w:left="851"/>
        <w:rPr>
          <w:sz w:val="24"/>
          <w:szCs w:val="24"/>
          <w:lang w:val="nl-NL"/>
        </w:rPr>
      </w:pPr>
    </w:p>
    <w:p w14:paraId="1D2F3CC5" w14:textId="77777777" w:rsidR="007F5A7D" w:rsidRPr="007F5A7D" w:rsidRDefault="007F5A7D" w:rsidP="007F5A7D">
      <w:pPr>
        <w:tabs>
          <w:tab w:val="left" w:pos="851"/>
        </w:tabs>
        <w:ind w:left="851"/>
        <w:rPr>
          <w:sz w:val="24"/>
          <w:szCs w:val="24"/>
        </w:rPr>
      </w:pPr>
      <w:r w:rsidRPr="007F5A7D">
        <w:rPr>
          <w:sz w:val="24"/>
          <w:szCs w:val="24"/>
        </w:rPr>
        <w:t>Den gastriske syresekretion stimuleret af cholin-estere (f.eks. metakolin, carbachol) eller af pilocarpin blokeres fuldstændigt af atropin. Alkohols, histamins og koffeins stimulation på den gastriske syresekretion reduceres, men fjernes ikke af atropin. Antimuskarinika kan nedsætte koncentrationen af mucin og enzymer i mave-tarm-sekretet. Atropin og andre antimuskarinika har en lille direkte virkning på pankreas-, galdevejs- eller tarmsekretionen, idet disse sekretioner i det væsentlige styres af hormonelle og ikke-vagale mekanismer. Administration af antimuskarinika ved terapeutiske doser har en langvarig hæmmende virkning på øsofagus-, ventrikel-, duodenum-, jejunum-, ileum- og kolonmotiliteten. Disse virkninger er kendetegnet ved et fald i tonus samt i amplituden og hyppigheden af peristaltiske sammentrækninger. Antimuskarinika forlænger den gastrointestinale transittid og kan potentielt ændre absorptionen af andre lægemidler.</w:t>
      </w:r>
    </w:p>
    <w:p w14:paraId="383B2291" w14:textId="77777777" w:rsidR="007F5A7D" w:rsidRPr="007F5A7D" w:rsidRDefault="007F5A7D" w:rsidP="007F5A7D">
      <w:pPr>
        <w:tabs>
          <w:tab w:val="left" w:pos="851"/>
        </w:tabs>
        <w:ind w:left="851"/>
        <w:rPr>
          <w:sz w:val="24"/>
          <w:szCs w:val="24"/>
          <w:lang w:val="nl-NL"/>
        </w:rPr>
      </w:pPr>
    </w:p>
    <w:p w14:paraId="4FA9D5B7" w14:textId="77777777" w:rsidR="007F5A7D" w:rsidRPr="007F5A7D" w:rsidRDefault="007F5A7D" w:rsidP="007F5A7D">
      <w:pPr>
        <w:tabs>
          <w:tab w:val="left" w:pos="851"/>
        </w:tabs>
        <w:ind w:left="851"/>
        <w:rPr>
          <w:sz w:val="24"/>
          <w:szCs w:val="24"/>
        </w:rPr>
      </w:pPr>
      <w:r w:rsidRPr="007F5A7D">
        <w:rPr>
          <w:sz w:val="24"/>
          <w:szCs w:val="24"/>
        </w:rPr>
        <w:t>Øget gastrointestinal tonus og motilitet som følge af insulininduceret hypoglykæmi, følelsesmæssig stimulation eller administration af morfin og parasympatomimetiske lægemidler hæmmes normalt hurtigt af antimuskarinika. I visse tilfælde er øget gastrointestinal tonus og motilitet dog resistent over for antimuskarin hæmning (f.eks. direkte gastrointestinal stimulation som følge af virkningen af vasopressin eller histamin). Antimuskarinika virker afslappende på den nedre øsofagus-sfinkter, hvilket resulterer i et fald i sfinktertrykket. Antimuskarinika har en antispasmodisk virkning på galdeblæren og galdegangene, hvilket normalt er utilstrækkeligt til en terapeutisk virkning.</w:t>
      </w:r>
    </w:p>
    <w:p w14:paraId="41789A6F" w14:textId="77777777" w:rsidR="007F5A7D" w:rsidRPr="007F5A7D" w:rsidRDefault="007F5A7D" w:rsidP="007F5A7D">
      <w:pPr>
        <w:tabs>
          <w:tab w:val="left" w:pos="851"/>
        </w:tabs>
        <w:ind w:left="851"/>
        <w:rPr>
          <w:sz w:val="24"/>
          <w:szCs w:val="24"/>
        </w:rPr>
      </w:pPr>
    </w:p>
    <w:p w14:paraId="4AC95CB4" w14:textId="77777777" w:rsidR="007F5A7D" w:rsidRPr="007F5A7D" w:rsidRDefault="007F5A7D" w:rsidP="007F5A7D">
      <w:pPr>
        <w:tabs>
          <w:tab w:val="left" w:pos="851"/>
        </w:tabs>
        <w:ind w:left="851"/>
        <w:rPr>
          <w:sz w:val="24"/>
          <w:szCs w:val="24"/>
        </w:rPr>
      </w:pPr>
      <w:r w:rsidRPr="007F5A7D">
        <w:rPr>
          <w:sz w:val="24"/>
          <w:szCs w:val="24"/>
        </w:rPr>
        <w:t>Der kræves sædvanligvis relativt høje doser af antimuskarinika (f.eks. mere end 1 mg atropin i.v.) for at reducere den gastriske syresekretion. Disse doser reducerer generelt den basale eller natlige gastriske syresekretion med ca. 50 %, reducerer den gastriske syresekretion stimuleret af histamin eller pentagastrin med ca. 40 % og reducerer den gastriske syresekretion stimuleret af fødeindtagelse med ca. 30 %. Administration af disse relativt høje doser af antimuskarinika kan eliminere den gastriske syresekretion hos raske personer. Denne virkning er dog mindre udtalt hos personer med peptisk ulcus.</w:t>
      </w:r>
    </w:p>
    <w:p w14:paraId="29F65110" w14:textId="77777777" w:rsidR="007F5A7D" w:rsidRPr="007F5A7D" w:rsidRDefault="007F5A7D" w:rsidP="007F5A7D">
      <w:pPr>
        <w:tabs>
          <w:tab w:val="left" w:pos="851"/>
        </w:tabs>
        <w:ind w:left="851"/>
        <w:rPr>
          <w:sz w:val="24"/>
          <w:szCs w:val="24"/>
          <w:lang w:val="nl-NL"/>
        </w:rPr>
      </w:pPr>
    </w:p>
    <w:p w14:paraId="6990AD53" w14:textId="77777777" w:rsidR="007F5A7D" w:rsidRPr="007F5A7D" w:rsidRDefault="007F5A7D" w:rsidP="007F5A7D">
      <w:pPr>
        <w:tabs>
          <w:tab w:val="left" w:pos="851"/>
        </w:tabs>
        <w:ind w:left="851"/>
        <w:rPr>
          <w:sz w:val="24"/>
          <w:szCs w:val="24"/>
        </w:rPr>
      </w:pPr>
      <w:r w:rsidRPr="007F5A7D">
        <w:rPr>
          <w:sz w:val="24"/>
          <w:szCs w:val="24"/>
        </w:rPr>
        <w:t>Skønt virkningsmekanismen er ukendt, er det blevet foreslået, at antimuskarinika, når de forsinker gastrointestinal transit, også kan forsinke sekretinfrigivelsen og dermed syrestimulansens indtræden i duodenum. Denne virkning kan indirekte mindske mængden og aktiviteten af pankreassekretion. Atropin reducerer amylasesekretionen hos visse patienter, hvis pankreassekretion stimuleres af sekretin, sekretin og insulin eller sekretin og cholecystokinin, og hos visse patienter med akut pankreatitis. Der er imidlertid kun få beviser for, at antimuskarinika forbedrer prognosen for akut pankreatitis. De antisekretoriske virkninger af antimuskarinika varer tilsyneladende ikke ved i længere tid (normalt mindre end 48 timer) efter endt behandling.</w:t>
      </w:r>
    </w:p>
    <w:p w14:paraId="6E56332C" w14:textId="77777777" w:rsidR="007F5A7D" w:rsidRPr="007F5A7D" w:rsidRDefault="007F5A7D" w:rsidP="007F5A7D">
      <w:pPr>
        <w:tabs>
          <w:tab w:val="left" w:pos="851"/>
        </w:tabs>
        <w:ind w:left="851"/>
        <w:rPr>
          <w:sz w:val="24"/>
          <w:szCs w:val="24"/>
        </w:rPr>
      </w:pPr>
    </w:p>
    <w:p w14:paraId="7BF62002" w14:textId="77777777" w:rsidR="007F5A7D" w:rsidRPr="007F5A7D" w:rsidRDefault="007F5A7D" w:rsidP="007F5A7D">
      <w:pPr>
        <w:tabs>
          <w:tab w:val="left" w:pos="851"/>
        </w:tabs>
        <w:ind w:left="851"/>
        <w:rPr>
          <w:sz w:val="24"/>
          <w:szCs w:val="24"/>
          <w:u w:val="single"/>
        </w:rPr>
      </w:pPr>
      <w:r w:rsidRPr="007F5A7D">
        <w:rPr>
          <w:sz w:val="24"/>
          <w:szCs w:val="24"/>
          <w:u w:val="single"/>
        </w:rPr>
        <w:t>Virkninger på det urogenitale system</w:t>
      </w:r>
    </w:p>
    <w:p w14:paraId="2C36E4D7" w14:textId="77777777" w:rsidR="007F5A7D" w:rsidRPr="007F5A7D" w:rsidRDefault="007F5A7D" w:rsidP="007F5A7D">
      <w:pPr>
        <w:tabs>
          <w:tab w:val="left" w:pos="851"/>
        </w:tabs>
        <w:ind w:left="851"/>
        <w:rPr>
          <w:sz w:val="24"/>
          <w:szCs w:val="24"/>
        </w:rPr>
      </w:pPr>
      <w:r w:rsidRPr="007F5A7D">
        <w:rPr>
          <w:sz w:val="24"/>
          <w:szCs w:val="24"/>
        </w:rPr>
        <w:t xml:space="preserve">Atropin og andre antimuskarinika reducerer tonus og amplituden af sammentrækningerne i ureter og blære. Dog blokeres den kolinerge innervation ikke fuldstændigt af disse lægemidler. Blærens glatte muskulatur er tilsyneladende mindre følsom over for disse lægemidlers antimuskarine virkninger end andre glat muskulatur (f.eks. i mave-tarm-kanalen). Hos patienter med obstruktiv uropati kan antimuskarinika forårsage urinretention. Antimuskarinika udviser mere udtalte virkninger på neurogene blærer. Hos </w:t>
      </w:r>
      <w:r w:rsidRPr="007F5A7D">
        <w:rPr>
          <w:sz w:val="24"/>
          <w:szCs w:val="24"/>
        </w:rPr>
        <w:lastRenderedPageBreak/>
        <w:t>patienter med en refleks eller uhæmmet neurogen blære reduceres omfanget og hyppigheden af uhæmmede sammentrækninger, og blærekapaciteten øges under behandling med atropin (1</w:t>
      </w:r>
      <w:r w:rsidRPr="007F5A7D">
        <w:rPr>
          <w:sz w:val="24"/>
          <w:szCs w:val="24"/>
        </w:rPr>
        <w:noBreakHyphen/>
        <w:t xml:space="preserve">4 mg atropin administreret oralt eller 1,2 mg administreret intravenøst). Herved mindskes inkontinens og uhæmmede sammentrækninger, og resturinmængden og vandladningshyppigheden normaliseres hos disse patienter. Antimuskarinika er ineffektive i hæmningen af ikke-neurogen eller funktionel enuresis. Administration af atropin (0,5 mg i.m.) til raske personer har ingen virkning på blærekapaciteten, urinen eller uretraltrykket. </w:t>
      </w:r>
    </w:p>
    <w:p w14:paraId="50F5C62D" w14:textId="77777777" w:rsidR="007F5A7D" w:rsidRPr="007F5A7D" w:rsidRDefault="007F5A7D" w:rsidP="007F5A7D">
      <w:pPr>
        <w:tabs>
          <w:tab w:val="left" w:pos="851"/>
        </w:tabs>
        <w:ind w:left="851"/>
        <w:rPr>
          <w:sz w:val="24"/>
          <w:szCs w:val="24"/>
        </w:rPr>
      </w:pPr>
      <w:r w:rsidRPr="007F5A7D">
        <w:rPr>
          <w:sz w:val="24"/>
          <w:szCs w:val="24"/>
        </w:rPr>
        <w:t>Administration af 1,2 mg atropin i.v. fører til udvidelse af pelvis, calyx og ureter og er blevet anvendt til at forbedre visningen af urinvejene under urografiske undersøgelser af udskillelsen.</w:t>
      </w:r>
    </w:p>
    <w:p w14:paraId="7FC07D6B" w14:textId="77777777" w:rsidR="007F5A7D" w:rsidRPr="007F5A7D" w:rsidRDefault="007F5A7D" w:rsidP="007F5A7D">
      <w:pPr>
        <w:tabs>
          <w:tab w:val="left" w:pos="851"/>
        </w:tabs>
        <w:ind w:left="851"/>
        <w:rPr>
          <w:sz w:val="24"/>
          <w:szCs w:val="24"/>
        </w:rPr>
      </w:pPr>
      <w:r w:rsidRPr="007F5A7D">
        <w:rPr>
          <w:sz w:val="24"/>
          <w:szCs w:val="24"/>
        </w:rPr>
        <w:t>Atropin synes ikke at have en farmakologisk virkning på uterus.</w:t>
      </w:r>
    </w:p>
    <w:p w14:paraId="1698603E" w14:textId="77777777" w:rsidR="007F5A7D" w:rsidRPr="007F5A7D" w:rsidRDefault="007F5A7D" w:rsidP="007F5A7D">
      <w:pPr>
        <w:tabs>
          <w:tab w:val="left" w:pos="851"/>
        </w:tabs>
        <w:ind w:left="851"/>
        <w:rPr>
          <w:sz w:val="24"/>
          <w:szCs w:val="24"/>
        </w:rPr>
      </w:pPr>
    </w:p>
    <w:p w14:paraId="6EB0F36D" w14:textId="77777777" w:rsidR="007F5A7D" w:rsidRPr="007F5A7D" w:rsidRDefault="007F5A7D" w:rsidP="007F5A7D">
      <w:pPr>
        <w:tabs>
          <w:tab w:val="left" w:pos="851"/>
        </w:tabs>
        <w:ind w:left="851"/>
        <w:rPr>
          <w:sz w:val="24"/>
          <w:szCs w:val="24"/>
          <w:u w:val="single"/>
        </w:rPr>
      </w:pPr>
      <w:r w:rsidRPr="007F5A7D">
        <w:rPr>
          <w:sz w:val="24"/>
          <w:szCs w:val="24"/>
          <w:u w:val="single"/>
        </w:rPr>
        <w:t>Virkninger på kirtler</w:t>
      </w:r>
    </w:p>
    <w:p w14:paraId="157792B0" w14:textId="77777777" w:rsidR="007F5A7D" w:rsidRPr="007F5A7D" w:rsidRDefault="007F5A7D" w:rsidP="007F5A7D">
      <w:pPr>
        <w:tabs>
          <w:tab w:val="left" w:pos="851"/>
        </w:tabs>
        <w:ind w:left="851"/>
        <w:rPr>
          <w:sz w:val="24"/>
          <w:szCs w:val="24"/>
        </w:rPr>
      </w:pPr>
      <w:r w:rsidRPr="007F5A7D">
        <w:rPr>
          <w:sz w:val="24"/>
          <w:szCs w:val="24"/>
        </w:rPr>
        <w:t>Antimuskarinika reducerer svedmængden, idet de hæmmer sekretionen fra svedkirtlerne. Antimuskarinika administreret ved toksiske doser kan reducere svedtendensen, hvorved legemstemperaturen øges.</w:t>
      </w:r>
    </w:p>
    <w:p w14:paraId="59720F47" w14:textId="77777777" w:rsidR="009260DE" w:rsidRPr="007F5A7D" w:rsidRDefault="009260DE" w:rsidP="009260DE">
      <w:pPr>
        <w:tabs>
          <w:tab w:val="left" w:pos="851"/>
        </w:tabs>
        <w:ind w:left="851"/>
        <w:rPr>
          <w:sz w:val="24"/>
          <w:szCs w:val="24"/>
          <w:lang w:val="nl-NL"/>
        </w:rPr>
      </w:pPr>
    </w:p>
    <w:p w14:paraId="07C0F1F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028E92B4" w14:textId="77777777" w:rsidR="0016107A" w:rsidRPr="0016107A" w:rsidRDefault="0016107A" w:rsidP="0016107A">
      <w:pPr>
        <w:tabs>
          <w:tab w:val="left" w:pos="851"/>
        </w:tabs>
        <w:ind w:left="851"/>
        <w:rPr>
          <w:sz w:val="24"/>
          <w:szCs w:val="24"/>
          <w:lang w:val="nl-NL"/>
        </w:rPr>
      </w:pPr>
    </w:p>
    <w:p w14:paraId="329EB90A" w14:textId="77777777" w:rsidR="0016107A" w:rsidRPr="0016107A" w:rsidRDefault="0016107A" w:rsidP="0016107A">
      <w:pPr>
        <w:tabs>
          <w:tab w:val="left" w:pos="851"/>
        </w:tabs>
        <w:ind w:left="851"/>
        <w:rPr>
          <w:sz w:val="24"/>
          <w:szCs w:val="24"/>
        </w:rPr>
      </w:pPr>
      <w:r w:rsidRPr="0016107A">
        <w:rPr>
          <w:sz w:val="24"/>
          <w:szCs w:val="24"/>
          <w:u w:val="single"/>
        </w:rPr>
        <w:t>Absorption</w:t>
      </w:r>
    </w:p>
    <w:p w14:paraId="0E2D9093" w14:textId="77777777" w:rsidR="0016107A" w:rsidRPr="0016107A" w:rsidRDefault="0016107A" w:rsidP="0016107A">
      <w:pPr>
        <w:tabs>
          <w:tab w:val="left" w:pos="851"/>
        </w:tabs>
        <w:ind w:left="851"/>
        <w:rPr>
          <w:sz w:val="24"/>
          <w:szCs w:val="24"/>
        </w:rPr>
      </w:pPr>
      <w:r w:rsidRPr="0016107A">
        <w:rPr>
          <w:sz w:val="24"/>
          <w:szCs w:val="24"/>
        </w:rPr>
        <w:t>Atropin absorberes hurtigt i mave-tarm-kanalen. Det optages endvidere i slimhinderne, øjnene og til en vis grad i intakt hud.</w:t>
      </w:r>
    </w:p>
    <w:p w14:paraId="05101D04" w14:textId="77777777" w:rsidR="0016107A" w:rsidRPr="0016107A" w:rsidRDefault="0016107A" w:rsidP="0016107A">
      <w:pPr>
        <w:tabs>
          <w:tab w:val="left" w:pos="851"/>
        </w:tabs>
        <w:ind w:left="851"/>
        <w:rPr>
          <w:sz w:val="24"/>
          <w:szCs w:val="24"/>
          <w:lang w:val="nl-NL"/>
        </w:rPr>
      </w:pPr>
    </w:p>
    <w:p w14:paraId="5635CC1D" w14:textId="77777777" w:rsidR="0016107A" w:rsidRPr="0016107A" w:rsidRDefault="0016107A" w:rsidP="0016107A">
      <w:pPr>
        <w:tabs>
          <w:tab w:val="left" w:pos="851"/>
        </w:tabs>
        <w:ind w:left="851"/>
        <w:rPr>
          <w:sz w:val="24"/>
          <w:szCs w:val="24"/>
        </w:rPr>
      </w:pPr>
      <w:r w:rsidRPr="0016107A">
        <w:rPr>
          <w:sz w:val="24"/>
          <w:szCs w:val="24"/>
          <w:u w:val="single"/>
        </w:rPr>
        <w:t>Fordeling</w:t>
      </w:r>
    </w:p>
    <w:p w14:paraId="68E44E13" w14:textId="77777777" w:rsidR="0016107A" w:rsidRPr="0016107A" w:rsidRDefault="0016107A" w:rsidP="0016107A">
      <w:pPr>
        <w:tabs>
          <w:tab w:val="left" w:pos="851"/>
        </w:tabs>
        <w:ind w:left="851"/>
        <w:rPr>
          <w:sz w:val="24"/>
          <w:szCs w:val="24"/>
        </w:rPr>
      </w:pPr>
      <w:r w:rsidRPr="0016107A">
        <w:rPr>
          <w:sz w:val="24"/>
          <w:szCs w:val="24"/>
        </w:rPr>
        <w:t>Atropin fordeles hurtigt i hele kroppen. Det penetrerer blod-hjerne-barrieren. Det metaboliseres delvist i leveren, bindes i moderat grad til plasmaproteiner og udskilles i urinen, intakt og metaboliseret. Halveringstiden er ca. 4 timer.</w:t>
      </w:r>
    </w:p>
    <w:p w14:paraId="19940B11" w14:textId="77777777" w:rsidR="0016107A" w:rsidRPr="0016107A" w:rsidRDefault="0016107A" w:rsidP="0016107A">
      <w:pPr>
        <w:tabs>
          <w:tab w:val="left" w:pos="851"/>
        </w:tabs>
        <w:ind w:left="851"/>
        <w:rPr>
          <w:sz w:val="24"/>
          <w:szCs w:val="24"/>
        </w:rPr>
      </w:pPr>
      <w:r w:rsidRPr="0016107A">
        <w:rPr>
          <w:sz w:val="24"/>
          <w:szCs w:val="24"/>
        </w:rPr>
        <w:t>Atropin penetrerer placenta og udskilles i små mængder i human mælk.</w:t>
      </w:r>
    </w:p>
    <w:p w14:paraId="5F794EAF" w14:textId="77777777" w:rsidR="0016107A" w:rsidRPr="0016107A" w:rsidRDefault="0016107A" w:rsidP="0016107A">
      <w:pPr>
        <w:tabs>
          <w:tab w:val="left" w:pos="851"/>
        </w:tabs>
        <w:ind w:left="851"/>
        <w:rPr>
          <w:sz w:val="24"/>
          <w:szCs w:val="24"/>
        </w:rPr>
      </w:pPr>
      <w:r w:rsidRPr="0016107A">
        <w:rPr>
          <w:sz w:val="24"/>
          <w:szCs w:val="24"/>
        </w:rPr>
        <w:t>Efter intramuskulær administration absorberes atropin hurtigt og når maksimal koncentration efter 15</w:t>
      </w:r>
      <w:r w:rsidRPr="0016107A">
        <w:rPr>
          <w:sz w:val="24"/>
          <w:szCs w:val="24"/>
        </w:rPr>
        <w:noBreakHyphen/>
        <w:t>50 minutter og maksimal muskarin virkning inden for 30</w:t>
      </w:r>
      <w:r w:rsidRPr="0016107A">
        <w:rPr>
          <w:sz w:val="24"/>
          <w:szCs w:val="24"/>
        </w:rPr>
        <w:noBreakHyphen/>
        <w:t>45 minutter.</w:t>
      </w:r>
    </w:p>
    <w:p w14:paraId="4BCC82AA" w14:textId="77777777" w:rsidR="0016107A" w:rsidRPr="0016107A" w:rsidRDefault="0016107A" w:rsidP="0016107A">
      <w:pPr>
        <w:tabs>
          <w:tab w:val="left" w:pos="851"/>
        </w:tabs>
        <w:ind w:left="851"/>
        <w:rPr>
          <w:sz w:val="24"/>
          <w:szCs w:val="24"/>
        </w:rPr>
      </w:pPr>
    </w:p>
    <w:p w14:paraId="7FBD8D98" w14:textId="77777777" w:rsidR="0016107A" w:rsidRPr="0016107A" w:rsidRDefault="0016107A" w:rsidP="0016107A">
      <w:pPr>
        <w:tabs>
          <w:tab w:val="left" w:pos="851"/>
        </w:tabs>
        <w:ind w:left="851"/>
        <w:rPr>
          <w:sz w:val="24"/>
          <w:szCs w:val="24"/>
        </w:rPr>
      </w:pPr>
      <w:r w:rsidRPr="0016107A">
        <w:rPr>
          <w:sz w:val="24"/>
          <w:szCs w:val="24"/>
          <w:u w:val="single"/>
        </w:rPr>
        <w:t>Elimination</w:t>
      </w:r>
    </w:p>
    <w:p w14:paraId="25EDF841" w14:textId="77777777" w:rsidR="0016107A" w:rsidRPr="0016107A" w:rsidRDefault="0016107A" w:rsidP="0016107A">
      <w:pPr>
        <w:tabs>
          <w:tab w:val="left" w:pos="851"/>
        </w:tabs>
        <w:ind w:left="851"/>
        <w:rPr>
          <w:sz w:val="24"/>
          <w:szCs w:val="24"/>
        </w:rPr>
      </w:pPr>
      <w:r w:rsidRPr="0016107A">
        <w:rPr>
          <w:sz w:val="24"/>
          <w:szCs w:val="24"/>
        </w:rPr>
        <w:t>Ca. 30</w:t>
      </w:r>
      <w:r w:rsidRPr="0016107A">
        <w:rPr>
          <w:sz w:val="24"/>
          <w:szCs w:val="24"/>
        </w:rPr>
        <w:noBreakHyphen/>
        <w:t>50 % af atropindosen, administreret i.m., udskilles uomdannet i urinen – atropin, tropesyre og andre metabolitter udskilles også i urinen. Små mængder (op til 3 % af den samlede administrerede dosis) af atropin udskilles desuden som kuldioxid i udåndingsluften.</w:t>
      </w:r>
    </w:p>
    <w:p w14:paraId="3559AF27" w14:textId="77777777" w:rsidR="0016107A" w:rsidRPr="0016107A" w:rsidRDefault="0016107A" w:rsidP="0016107A">
      <w:pPr>
        <w:tabs>
          <w:tab w:val="left" w:pos="851"/>
        </w:tabs>
        <w:ind w:left="851"/>
        <w:rPr>
          <w:sz w:val="24"/>
          <w:szCs w:val="24"/>
        </w:rPr>
      </w:pPr>
      <w:r w:rsidRPr="0016107A">
        <w:rPr>
          <w:sz w:val="24"/>
          <w:szCs w:val="24"/>
        </w:rPr>
        <w:t>Tilsyneladende kan atropin ikke fjernes ved hæmodialyse.</w:t>
      </w:r>
    </w:p>
    <w:p w14:paraId="51CA881A" w14:textId="77777777" w:rsidR="009260DE" w:rsidRPr="00C84483" w:rsidRDefault="009260DE" w:rsidP="009260DE">
      <w:pPr>
        <w:tabs>
          <w:tab w:val="left" w:pos="851"/>
        </w:tabs>
        <w:ind w:left="851"/>
        <w:rPr>
          <w:sz w:val="24"/>
          <w:szCs w:val="24"/>
        </w:rPr>
      </w:pPr>
    </w:p>
    <w:p w14:paraId="61D4226A"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1E2AE5D3" w14:textId="77777777" w:rsidR="0016107A" w:rsidRPr="0016107A" w:rsidRDefault="0016107A" w:rsidP="0016107A">
      <w:pPr>
        <w:tabs>
          <w:tab w:val="left" w:pos="851"/>
        </w:tabs>
        <w:ind w:left="851"/>
        <w:rPr>
          <w:sz w:val="24"/>
          <w:szCs w:val="24"/>
        </w:rPr>
      </w:pPr>
      <w:r w:rsidRPr="0016107A">
        <w:rPr>
          <w:sz w:val="24"/>
          <w:szCs w:val="24"/>
        </w:rPr>
        <w:t>I non-kliniske studier blev der kun iagttaget virkninger ved doser, der anses for at overstige den maksimale humane eksponering i tilstrækkelig grad. Disse virkninger vurderes derfor til at være af ringe klinisk relevans. Atropinsulfat reducerede fertiliteten hos hanrotter, formentlig som følge af en hæmmende virkning på transporten af spermatozoer og sæd under ejakuleringsprocessen.</w:t>
      </w:r>
    </w:p>
    <w:p w14:paraId="6EBF88F8" w14:textId="77777777" w:rsidR="0016107A" w:rsidRPr="0016107A" w:rsidRDefault="0016107A" w:rsidP="0016107A">
      <w:pPr>
        <w:tabs>
          <w:tab w:val="left" w:pos="851"/>
        </w:tabs>
        <w:ind w:left="851"/>
        <w:rPr>
          <w:sz w:val="24"/>
          <w:szCs w:val="24"/>
        </w:rPr>
      </w:pPr>
      <w:r w:rsidRPr="0016107A">
        <w:rPr>
          <w:sz w:val="24"/>
          <w:szCs w:val="24"/>
        </w:rPr>
        <w:t>Resultaterne af mutagenicitetstest udført på bakterier var negative eller inkonklusive.</w:t>
      </w:r>
    </w:p>
    <w:p w14:paraId="02FE674D" w14:textId="77777777" w:rsidR="009260DE" w:rsidRPr="00C84483" w:rsidRDefault="009260DE" w:rsidP="009260DE">
      <w:pPr>
        <w:tabs>
          <w:tab w:val="left" w:pos="851"/>
        </w:tabs>
        <w:ind w:left="851"/>
        <w:rPr>
          <w:sz w:val="24"/>
          <w:szCs w:val="24"/>
        </w:rPr>
      </w:pPr>
    </w:p>
    <w:p w14:paraId="74CDAAD8" w14:textId="2A12426C" w:rsidR="0016107A" w:rsidRDefault="0016107A">
      <w:pPr>
        <w:rPr>
          <w:sz w:val="24"/>
          <w:szCs w:val="24"/>
        </w:rPr>
      </w:pPr>
      <w:r>
        <w:rPr>
          <w:sz w:val="24"/>
          <w:szCs w:val="24"/>
        </w:rPr>
        <w:br w:type="page"/>
      </w:r>
    </w:p>
    <w:p w14:paraId="198AF943" w14:textId="77777777" w:rsidR="009260DE" w:rsidRPr="00C84483" w:rsidRDefault="009260DE" w:rsidP="009260DE">
      <w:pPr>
        <w:tabs>
          <w:tab w:val="left" w:pos="851"/>
        </w:tabs>
        <w:ind w:left="851"/>
        <w:rPr>
          <w:sz w:val="24"/>
          <w:szCs w:val="24"/>
        </w:rPr>
      </w:pPr>
    </w:p>
    <w:p w14:paraId="11201151"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64509C0" w14:textId="77777777" w:rsidR="009260DE" w:rsidRPr="00BA09F1" w:rsidRDefault="009260DE" w:rsidP="009260DE">
      <w:pPr>
        <w:tabs>
          <w:tab w:val="left" w:pos="851"/>
        </w:tabs>
        <w:ind w:left="851"/>
        <w:rPr>
          <w:sz w:val="24"/>
          <w:szCs w:val="24"/>
        </w:rPr>
      </w:pPr>
    </w:p>
    <w:p w14:paraId="7193BC80"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B23008F" w14:textId="77777777" w:rsidR="0016107A" w:rsidRPr="0016107A" w:rsidRDefault="0016107A" w:rsidP="0016107A">
      <w:pPr>
        <w:tabs>
          <w:tab w:val="left" w:pos="851"/>
        </w:tabs>
        <w:ind w:left="851"/>
        <w:rPr>
          <w:sz w:val="24"/>
          <w:szCs w:val="24"/>
        </w:rPr>
      </w:pPr>
      <w:r w:rsidRPr="0016107A">
        <w:rPr>
          <w:sz w:val="24"/>
          <w:szCs w:val="24"/>
        </w:rPr>
        <w:t xml:space="preserve">Natriumchlorid </w:t>
      </w:r>
    </w:p>
    <w:p w14:paraId="78D93F65" w14:textId="77777777" w:rsidR="0016107A" w:rsidRPr="0016107A" w:rsidRDefault="0016107A" w:rsidP="0016107A">
      <w:pPr>
        <w:tabs>
          <w:tab w:val="left" w:pos="851"/>
        </w:tabs>
        <w:ind w:left="851"/>
        <w:rPr>
          <w:sz w:val="24"/>
          <w:szCs w:val="24"/>
        </w:rPr>
      </w:pPr>
      <w:r w:rsidRPr="0016107A">
        <w:rPr>
          <w:sz w:val="24"/>
          <w:szCs w:val="24"/>
        </w:rPr>
        <w:t>Svovlsyre</w:t>
      </w:r>
    </w:p>
    <w:p w14:paraId="6555B8DE" w14:textId="1693F730" w:rsidR="0016107A" w:rsidRPr="0016107A" w:rsidRDefault="0016107A" w:rsidP="0016107A">
      <w:pPr>
        <w:tabs>
          <w:tab w:val="left" w:pos="851"/>
        </w:tabs>
        <w:ind w:left="851"/>
        <w:rPr>
          <w:b/>
          <w:sz w:val="24"/>
          <w:szCs w:val="24"/>
        </w:rPr>
      </w:pPr>
      <w:r w:rsidRPr="0016107A">
        <w:rPr>
          <w:sz w:val="24"/>
          <w:szCs w:val="24"/>
        </w:rPr>
        <w:t>Vand til injektionsvæsker</w:t>
      </w:r>
    </w:p>
    <w:p w14:paraId="3D383701" w14:textId="77777777" w:rsidR="009260DE" w:rsidRPr="00C84483" w:rsidRDefault="009260DE" w:rsidP="009260DE">
      <w:pPr>
        <w:tabs>
          <w:tab w:val="left" w:pos="851"/>
        </w:tabs>
        <w:ind w:left="851"/>
        <w:rPr>
          <w:sz w:val="24"/>
          <w:szCs w:val="24"/>
        </w:rPr>
      </w:pPr>
    </w:p>
    <w:p w14:paraId="30A2EDF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7E5E270" w14:textId="77777777" w:rsidR="0016107A" w:rsidRPr="0016107A" w:rsidRDefault="0016107A" w:rsidP="0016107A">
      <w:pPr>
        <w:tabs>
          <w:tab w:val="left" w:pos="851"/>
        </w:tabs>
        <w:ind w:left="851"/>
        <w:rPr>
          <w:b/>
          <w:sz w:val="24"/>
          <w:szCs w:val="24"/>
        </w:rPr>
      </w:pPr>
      <w:r w:rsidRPr="0016107A">
        <w:rPr>
          <w:sz w:val="24"/>
          <w:szCs w:val="24"/>
        </w:rPr>
        <w:t>Atropinsulfat er forligeligt med butorphanoltartrat og buprenorphinhydrochlorid.</w:t>
      </w:r>
    </w:p>
    <w:p w14:paraId="592CC405" w14:textId="77777777" w:rsidR="0016107A" w:rsidRPr="0016107A" w:rsidRDefault="0016107A" w:rsidP="0016107A">
      <w:pPr>
        <w:tabs>
          <w:tab w:val="left" w:pos="851"/>
        </w:tabs>
        <w:ind w:left="851"/>
        <w:rPr>
          <w:sz w:val="24"/>
          <w:szCs w:val="24"/>
          <w:lang w:val="nl-NL"/>
        </w:rPr>
      </w:pPr>
    </w:p>
    <w:p w14:paraId="2568CBC9" w14:textId="77777777" w:rsidR="0016107A" w:rsidRPr="0016107A" w:rsidRDefault="0016107A" w:rsidP="0016107A">
      <w:pPr>
        <w:tabs>
          <w:tab w:val="left" w:pos="851"/>
        </w:tabs>
        <w:ind w:left="851"/>
        <w:rPr>
          <w:sz w:val="24"/>
          <w:szCs w:val="24"/>
        </w:rPr>
      </w:pPr>
      <w:r w:rsidRPr="0016107A">
        <w:rPr>
          <w:sz w:val="24"/>
          <w:szCs w:val="24"/>
        </w:rPr>
        <w:t xml:space="preserve">Det er uforligeligt med bromider, jodider, baser (f.eks. natriumbicarbonat, barbiturater), noradrenalinbitartrat og metaraminolbitartrat. </w:t>
      </w:r>
    </w:p>
    <w:p w14:paraId="0A5DF60F" w14:textId="77777777" w:rsidR="009260DE" w:rsidRPr="00C84483" w:rsidRDefault="009260DE" w:rsidP="009260DE">
      <w:pPr>
        <w:tabs>
          <w:tab w:val="left" w:pos="851"/>
        </w:tabs>
        <w:ind w:left="851"/>
        <w:rPr>
          <w:sz w:val="24"/>
          <w:szCs w:val="24"/>
        </w:rPr>
      </w:pPr>
    </w:p>
    <w:p w14:paraId="51B54FBA"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74A7598C" w14:textId="6BDF2024" w:rsidR="0016107A" w:rsidRDefault="0016107A" w:rsidP="0016107A">
      <w:pPr>
        <w:tabs>
          <w:tab w:val="left" w:pos="851"/>
        </w:tabs>
        <w:ind w:left="851"/>
        <w:rPr>
          <w:sz w:val="24"/>
          <w:szCs w:val="24"/>
        </w:rPr>
      </w:pPr>
      <w:r w:rsidRPr="0016107A">
        <w:rPr>
          <w:sz w:val="24"/>
          <w:szCs w:val="24"/>
        </w:rPr>
        <w:t>3 år</w:t>
      </w:r>
      <w:r>
        <w:rPr>
          <w:sz w:val="24"/>
          <w:szCs w:val="24"/>
        </w:rPr>
        <w:t>.</w:t>
      </w:r>
    </w:p>
    <w:p w14:paraId="69E0FA30" w14:textId="77777777" w:rsidR="0016107A" w:rsidRPr="0016107A" w:rsidRDefault="0016107A" w:rsidP="0016107A">
      <w:pPr>
        <w:tabs>
          <w:tab w:val="left" w:pos="851"/>
        </w:tabs>
        <w:ind w:left="851"/>
        <w:rPr>
          <w:sz w:val="24"/>
          <w:szCs w:val="24"/>
        </w:rPr>
      </w:pPr>
    </w:p>
    <w:p w14:paraId="557F23D0" w14:textId="77777777" w:rsidR="0016107A" w:rsidRPr="0016107A" w:rsidRDefault="0016107A" w:rsidP="0016107A">
      <w:pPr>
        <w:tabs>
          <w:tab w:val="left" w:pos="851"/>
        </w:tabs>
        <w:ind w:left="851"/>
        <w:rPr>
          <w:sz w:val="24"/>
          <w:szCs w:val="24"/>
          <w:u w:val="single"/>
        </w:rPr>
      </w:pPr>
      <w:r w:rsidRPr="0016107A">
        <w:rPr>
          <w:sz w:val="24"/>
          <w:szCs w:val="24"/>
          <w:u w:val="single"/>
        </w:rPr>
        <w:t>Efter første åbning</w:t>
      </w:r>
    </w:p>
    <w:p w14:paraId="53233F47" w14:textId="7432A209" w:rsidR="0016107A" w:rsidRPr="0016107A" w:rsidRDefault="0016107A" w:rsidP="0016107A">
      <w:pPr>
        <w:tabs>
          <w:tab w:val="left" w:pos="851"/>
        </w:tabs>
        <w:ind w:left="851"/>
        <w:rPr>
          <w:sz w:val="24"/>
          <w:szCs w:val="24"/>
        </w:rPr>
      </w:pPr>
      <w:r w:rsidRPr="0016107A">
        <w:rPr>
          <w:sz w:val="24"/>
          <w:szCs w:val="24"/>
        </w:rPr>
        <w:t>Dette lægemiddel skal anvendes straks. Hvis opløsningen ikke anvendes med det samme, er opbevaringstider og -betingelser brugerens ansvar.</w:t>
      </w:r>
    </w:p>
    <w:p w14:paraId="775C71B4" w14:textId="77777777" w:rsidR="009260DE" w:rsidRPr="00C84483" w:rsidRDefault="009260DE" w:rsidP="009260DE">
      <w:pPr>
        <w:tabs>
          <w:tab w:val="left" w:pos="851"/>
        </w:tabs>
        <w:ind w:left="851"/>
        <w:rPr>
          <w:sz w:val="24"/>
          <w:szCs w:val="24"/>
        </w:rPr>
      </w:pPr>
    </w:p>
    <w:p w14:paraId="3082F4FC"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8BC6507" w14:textId="6BFCDAFB" w:rsidR="0016107A" w:rsidRDefault="0016107A" w:rsidP="0016107A">
      <w:pPr>
        <w:tabs>
          <w:tab w:val="left" w:pos="851"/>
        </w:tabs>
        <w:ind w:left="851"/>
        <w:rPr>
          <w:sz w:val="24"/>
          <w:szCs w:val="24"/>
        </w:rPr>
      </w:pPr>
      <w:r w:rsidRPr="0016107A">
        <w:rPr>
          <w:sz w:val="24"/>
          <w:szCs w:val="24"/>
        </w:rPr>
        <w:t>Opbevares ved temperaturer under 30 °C. Opbevar ampullerne i den ydre karton for at beskytte mod lys.</w:t>
      </w:r>
    </w:p>
    <w:p w14:paraId="5E69CC76" w14:textId="77777777" w:rsidR="0016107A" w:rsidRPr="0016107A" w:rsidRDefault="0016107A" w:rsidP="0016107A">
      <w:pPr>
        <w:tabs>
          <w:tab w:val="left" w:pos="851"/>
        </w:tabs>
        <w:ind w:left="851"/>
        <w:rPr>
          <w:sz w:val="24"/>
          <w:szCs w:val="24"/>
        </w:rPr>
      </w:pPr>
    </w:p>
    <w:p w14:paraId="4E7CA4CB" w14:textId="77777777" w:rsidR="0016107A" w:rsidRPr="0016107A" w:rsidRDefault="0016107A" w:rsidP="0016107A">
      <w:pPr>
        <w:tabs>
          <w:tab w:val="left" w:pos="851"/>
        </w:tabs>
        <w:ind w:left="851"/>
        <w:rPr>
          <w:sz w:val="24"/>
          <w:szCs w:val="24"/>
        </w:rPr>
      </w:pPr>
      <w:r w:rsidRPr="0016107A">
        <w:rPr>
          <w:sz w:val="24"/>
          <w:szCs w:val="24"/>
        </w:rPr>
        <w:t>Opbevaringsforhold efter åbning af lægemidlet, se pkt. 6.3.</w:t>
      </w:r>
    </w:p>
    <w:p w14:paraId="5157BDE9" w14:textId="77777777" w:rsidR="009260DE" w:rsidRPr="0016107A" w:rsidRDefault="009260DE" w:rsidP="009260DE">
      <w:pPr>
        <w:tabs>
          <w:tab w:val="left" w:pos="851"/>
        </w:tabs>
        <w:ind w:left="851"/>
        <w:rPr>
          <w:sz w:val="24"/>
          <w:szCs w:val="24"/>
          <w:lang w:val="nl-NL"/>
        </w:rPr>
      </w:pPr>
    </w:p>
    <w:p w14:paraId="2E1D7CEC"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3CB6D8FA" w14:textId="75CA88FB" w:rsidR="0016107A" w:rsidRPr="0016107A" w:rsidRDefault="0016107A" w:rsidP="0016107A">
      <w:pPr>
        <w:tabs>
          <w:tab w:val="left" w:pos="851"/>
        </w:tabs>
        <w:ind w:left="851"/>
        <w:rPr>
          <w:sz w:val="24"/>
          <w:szCs w:val="24"/>
        </w:rPr>
      </w:pPr>
      <w:r w:rsidRPr="0016107A">
        <w:rPr>
          <w:sz w:val="24"/>
          <w:szCs w:val="24"/>
        </w:rPr>
        <w:t>2 ml, klar, farveløs type I-glas-ampul</w:t>
      </w:r>
      <w:r>
        <w:rPr>
          <w:sz w:val="24"/>
          <w:szCs w:val="24"/>
        </w:rPr>
        <w:t>, i æske.</w:t>
      </w:r>
    </w:p>
    <w:p w14:paraId="4DAED1CD" w14:textId="77777777" w:rsidR="0016107A" w:rsidRPr="0016107A" w:rsidRDefault="0016107A" w:rsidP="0016107A">
      <w:pPr>
        <w:tabs>
          <w:tab w:val="left" w:pos="851"/>
        </w:tabs>
        <w:ind w:left="851"/>
        <w:rPr>
          <w:sz w:val="24"/>
          <w:szCs w:val="24"/>
          <w:lang w:val="sv-SE"/>
        </w:rPr>
      </w:pPr>
    </w:p>
    <w:p w14:paraId="46B37D4A" w14:textId="6F1DAA3D" w:rsidR="0016107A" w:rsidRDefault="0016107A" w:rsidP="0016107A">
      <w:pPr>
        <w:tabs>
          <w:tab w:val="left" w:pos="851"/>
        </w:tabs>
        <w:ind w:left="851"/>
        <w:rPr>
          <w:sz w:val="24"/>
          <w:szCs w:val="24"/>
        </w:rPr>
      </w:pPr>
      <w:r>
        <w:rPr>
          <w:sz w:val="24"/>
          <w:szCs w:val="24"/>
        </w:rPr>
        <w:t xml:space="preserve">Pakningsstørrelser: </w:t>
      </w:r>
      <w:r w:rsidRPr="0016107A">
        <w:rPr>
          <w:sz w:val="24"/>
          <w:szCs w:val="24"/>
        </w:rPr>
        <w:t xml:space="preserve">5, 10, 20, 50 </w:t>
      </w:r>
      <w:r>
        <w:rPr>
          <w:sz w:val="24"/>
          <w:szCs w:val="24"/>
        </w:rPr>
        <w:t>og</w:t>
      </w:r>
      <w:r w:rsidRPr="0016107A">
        <w:rPr>
          <w:sz w:val="24"/>
          <w:szCs w:val="24"/>
        </w:rPr>
        <w:t xml:space="preserve"> 100 stk.</w:t>
      </w:r>
    </w:p>
    <w:p w14:paraId="6018EADB" w14:textId="0F3AA335" w:rsidR="0016107A" w:rsidRPr="0016107A" w:rsidRDefault="0016107A" w:rsidP="0016107A">
      <w:pPr>
        <w:tabs>
          <w:tab w:val="left" w:pos="851"/>
        </w:tabs>
        <w:ind w:left="851"/>
        <w:rPr>
          <w:sz w:val="24"/>
          <w:szCs w:val="24"/>
        </w:rPr>
      </w:pPr>
      <w:r>
        <w:rPr>
          <w:sz w:val="24"/>
          <w:szCs w:val="24"/>
        </w:rPr>
        <w:t>Ikke alle pakningsstørrelser er nødvendigvis markedsført.</w:t>
      </w:r>
    </w:p>
    <w:p w14:paraId="1CF144B6" w14:textId="77777777" w:rsidR="009260DE" w:rsidRPr="00C84483" w:rsidRDefault="009260DE" w:rsidP="009260DE">
      <w:pPr>
        <w:tabs>
          <w:tab w:val="left" w:pos="851"/>
        </w:tabs>
        <w:ind w:left="851"/>
        <w:rPr>
          <w:sz w:val="24"/>
          <w:szCs w:val="24"/>
        </w:rPr>
      </w:pPr>
    </w:p>
    <w:p w14:paraId="6EE5C8C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E39906B" w14:textId="77777777" w:rsidR="00380526" w:rsidRPr="00380526" w:rsidRDefault="00380526" w:rsidP="00380526">
      <w:pPr>
        <w:tabs>
          <w:tab w:val="left" w:pos="851"/>
        </w:tabs>
        <w:ind w:left="851"/>
        <w:rPr>
          <w:sz w:val="24"/>
          <w:szCs w:val="24"/>
        </w:rPr>
      </w:pPr>
      <w:r w:rsidRPr="00380526">
        <w:rPr>
          <w:sz w:val="24"/>
          <w:szCs w:val="24"/>
        </w:rPr>
        <w:t>Kun til engangsbrug. Ikke anvendt lægemiddel skal bortskaffes.</w:t>
      </w:r>
    </w:p>
    <w:p w14:paraId="41661BDB" w14:textId="77777777" w:rsidR="00380526" w:rsidRPr="00380526" w:rsidRDefault="00380526" w:rsidP="00380526">
      <w:pPr>
        <w:tabs>
          <w:tab w:val="left" w:pos="851"/>
        </w:tabs>
        <w:ind w:left="851"/>
        <w:rPr>
          <w:sz w:val="24"/>
          <w:szCs w:val="24"/>
          <w:lang w:val="nl-NL"/>
        </w:rPr>
      </w:pPr>
    </w:p>
    <w:p w14:paraId="0547893D" w14:textId="77777777" w:rsidR="00380526" w:rsidRPr="00380526" w:rsidRDefault="00380526" w:rsidP="00380526">
      <w:pPr>
        <w:tabs>
          <w:tab w:val="left" w:pos="851"/>
        </w:tabs>
        <w:ind w:left="851"/>
        <w:rPr>
          <w:sz w:val="24"/>
          <w:szCs w:val="24"/>
        </w:rPr>
      </w:pPr>
      <w:r w:rsidRPr="00380526">
        <w:rPr>
          <w:sz w:val="24"/>
          <w:szCs w:val="24"/>
        </w:rPr>
        <w:t xml:space="preserve">Opløsningen skal være klar og farveløs. </w:t>
      </w:r>
    </w:p>
    <w:p w14:paraId="2468931F" w14:textId="77777777" w:rsidR="00380526" w:rsidRPr="00380526" w:rsidRDefault="00380526" w:rsidP="00380526">
      <w:pPr>
        <w:tabs>
          <w:tab w:val="left" w:pos="851"/>
        </w:tabs>
        <w:ind w:left="851"/>
        <w:rPr>
          <w:sz w:val="24"/>
          <w:szCs w:val="24"/>
          <w:lang w:val="nl-NL"/>
        </w:rPr>
      </w:pPr>
    </w:p>
    <w:p w14:paraId="5AE0DB4F" w14:textId="77777777" w:rsidR="00380526" w:rsidRPr="00380526" w:rsidRDefault="00380526" w:rsidP="00380526">
      <w:pPr>
        <w:tabs>
          <w:tab w:val="left" w:pos="851"/>
        </w:tabs>
        <w:ind w:left="851"/>
        <w:rPr>
          <w:sz w:val="24"/>
          <w:szCs w:val="24"/>
        </w:rPr>
      </w:pPr>
      <w:r w:rsidRPr="00380526">
        <w:rPr>
          <w:sz w:val="24"/>
          <w:szCs w:val="24"/>
        </w:rPr>
        <w:t xml:space="preserve">Ikke anvendt lægemiddel samt affald heraf skal bortskaffes i henhold til lokale retningslinjer. </w:t>
      </w:r>
    </w:p>
    <w:p w14:paraId="5393379A" w14:textId="131BD925" w:rsidR="00380526" w:rsidRDefault="00380526">
      <w:pPr>
        <w:rPr>
          <w:sz w:val="24"/>
          <w:szCs w:val="24"/>
        </w:rPr>
      </w:pPr>
      <w:r>
        <w:rPr>
          <w:sz w:val="24"/>
          <w:szCs w:val="24"/>
        </w:rPr>
        <w:br w:type="page"/>
      </w:r>
    </w:p>
    <w:p w14:paraId="2E662993" w14:textId="77777777" w:rsidR="009260DE" w:rsidRPr="00C84483" w:rsidRDefault="009260DE" w:rsidP="000730CA">
      <w:pPr>
        <w:tabs>
          <w:tab w:val="left" w:pos="851"/>
        </w:tabs>
        <w:ind w:left="851"/>
        <w:rPr>
          <w:sz w:val="24"/>
          <w:szCs w:val="24"/>
        </w:rPr>
      </w:pPr>
    </w:p>
    <w:p w14:paraId="51C8F90B"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B55B3CD" w14:textId="77777777" w:rsidR="00380526" w:rsidRPr="005E2160" w:rsidRDefault="00380526" w:rsidP="00380526">
      <w:pPr>
        <w:tabs>
          <w:tab w:val="left" w:pos="851"/>
        </w:tabs>
        <w:ind w:left="851"/>
        <w:rPr>
          <w:sz w:val="24"/>
          <w:szCs w:val="24"/>
        </w:rPr>
      </w:pPr>
      <w:r w:rsidRPr="005E2160">
        <w:rPr>
          <w:sz w:val="24"/>
          <w:szCs w:val="24"/>
        </w:rPr>
        <w:t>Noridem Enterprises Limited</w:t>
      </w:r>
    </w:p>
    <w:p w14:paraId="21DFC9CB" w14:textId="77777777" w:rsidR="00380526" w:rsidRPr="00380526" w:rsidRDefault="00380526" w:rsidP="00380526">
      <w:pPr>
        <w:tabs>
          <w:tab w:val="left" w:pos="851"/>
        </w:tabs>
        <w:ind w:left="851"/>
        <w:rPr>
          <w:sz w:val="24"/>
          <w:szCs w:val="24"/>
          <w:lang w:val="en-GB"/>
        </w:rPr>
      </w:pPr>
      <w:r w:rsidRPr="00380526">
        <w:rPr>
          <w:sz w:val="24"/>
          <w:szCs w:val="24"/>
          <w:lang w:val="en-GB"/>
        </w:rPr>
        <w:t>Evagorou &amp; Markariou</w:t>
      </w:r>
    </w:p>
    <w:p w14:paraId="214D3036" w14:textId="77777777" w:rsidR="00380526" w:rsidRPr="00380526" w:rsidRDefault="00380526" w:rsidP="00380526">
      <w:pPr>
        <w:tabs>
          <w:tab w:val="left" w:pos="851"/>
        </w:tabs>
        <w:ind w:left="851"/>
        <w:rPr>
          <w:sz w:val="24"/>
          <w:szCs w:val="24"/>
          <w:lang w:val="en-GB"/>
        </w:rPr>
      </w:pPr>
      <w:r w:rsidRPr="00380526">
        <w:rPr>
          <w:sz w:val="24"/>
          <w:szCs w:val="24"/>
          <w:lang w:val="en-GB"/>
        </w:rPr>
        <w:t>Mitsi Building 3, Office 115</w:t>
      </w:r>
    </w:p>
    <w:p w14:paraId="293F5BB0" w14:textId="77777777" w:rsidR="00380526" w:rsidRPr="00380526" w:rsidRDefault="00380526" w:rsidP="00380526">
      <w:pPr>
        <w:tabs>
          <w:tab w:val="left" w:pos="851"/>
        </w:tabs>
        <w:ind w:left="851"/>
        <w:rPr>
          <w:sz w:val="24"/>
          <w:szCs w:val="24"/>
          <w:lang w:val="en-US"/>
        </w:rPr>
      </w:pPr>
      <w:r w:rsidRPr="00380526">
        <w:rPr>
          <w:sz w:val="24"/>
          <w:szCs w:val="24"/>
          <w:lang w:val="en-US"/>
        </w:rPr>
        <w:t>10 65 Nicosia</w:t>
      </w:r>
    </w:p>
    <w:p w14:paraId="7EAD4121" w14:textId="77777777" w:rsidR="00380526" w:rsidRPr="00380526" w:rsidRDefault="00380526" w:rsidP="00380526">
      <w:pPr>
        <w:tabs>
          <w:tab w:val="left" w:pos="851"/>
        </w:tabs>
        <w:ind w:left="851"/>
        <w:rPr>
          <w:sz w:val="24"/>
          <w:szCs w:val="24"/>
          <w:lang w:val="en-US"/>
        </w:rPr>
      </w:pPr>
      <w:r w:rsidRPr="00380526">
        <w:rPr>
          <w:sz w:val="24"/>
          <w:szCs w:val="24"/>
          <w:lang w:val="en-US"/>
        </w:rPr>
        <w:t>Cypern</w:t>
      </w:r>
    </w:p>
    <w:p w14:paraId="57A89928" w14:textId="77777777" w:rsidR="00380526" w:rsidRPr="00380526" w:rsidRDefault="00380526" w:rsidP="00380526">
      <w:pPr>
        <w:tabs>
          <w:tab w:val="left" w:pos="851"/>
        </w:tabs>
        <w:ind w:left="851"/>
        <w:rPr>
          <w:sz w:val="24"/>
          <w:szCs w:val="24"/>
          <w:lang w:val="en-US"/>
        </w:rPr>
      </w:pPr>
    </w:p>
    <w:p w14:paraId="7A086B45" w14:textId="77777777" w:rsidR="00380526" w:rsidRPr="00380526" w:rsidRDefault="00380526" w:rsidP="00380526">
      <w:pPr>
        <w:tabs>
          <w:tab w:val="left" w:pos="851"/>
        </w:tabs>
        <w:ind w:left="851"/>
        <w:rPr>
          <w:sz w:val="24"/>
          <w:szCs w:val="24"/>
          <w:lang w:val="en-US"/>
        </w:rPr>
      </w:pPr>
      <w:r w:rsidRPr="00380526">
        <w:rPr>
          <w:b/>
          <w:sz w:val="24"/>
          <w:szCs w:val="24"/>
          <w:lang w:val="en-US"/>
        </w:rPr>
        <w:t>Repræsentant</w:t>
      </w:r>
    </w:p>
    <w:p w14:paraId="30082ACE" w14:textId="77777777" w:rsidR="00380526" w:rsidRPr="00380526" w:rsidRDefault="00380526" w:rsidP="00380526">
      <w:pPr>
        <w:tabs>
          <w:tab w:val="left" w:pos="851"/>
        </w:tabs>
        <w:ind w:left="851"/>
        <w:rPr>
          <w:sz w:val="24"/>
          <w:szCs w:val="24"/>
          <w:lang w:val="en-US"/>
        </w:rPr>
      </w:pPr>
      <w:r w:rsidRPr="00380526">
        <w:rPr>
          <w:sz w:val="24"/>
          <w:szCs w:val="24"/>
          <w:lang w:val="en-US"/>
        </w:rPr>
        <w:t>FrostPharma AB</w:t>
      </w:r>
    </w:p>
    <w:p w14:paraId="445EFAAD" w14:textId="77777777" w:rsidR="00380526" w:rsidRPr="00380526" w:rsidRDefault="00380526" w:rsidP="00380526">
      <w:pPr>
        <w:tabs>
          <w:tab w:val="left" w:pos="851"/>
        </w:tabs>
        <w:ind w:left="851"/>
        <w:rPr>
          <w:sz w:val="24"/>
          <w:szCs w:val="24"/>
          <w:lang w:val="en-US"/>
        </w:rPr>
      </w:pPr>
      <w:r w:rsidRPr="00380526">
        <w:rPr>
          <w:sz w:val="24"/>
          <w:szCs w:val="24"/>
          <w:lang w:val="en-US"/>
        </w:rPr>
        <w:t>Berga Backe 2</w:t>
      </w:r>
    </w:p>
    <w:p w14:paraId="0AC39086" w14:textId="77777777" w:rsidR="00380526" w:rsidRPr="00380526" w:rsidRDefault="00380526" w:rsidP="00380526">
      <w:pPr>
        <w:tabs>
          <w:tab w:val="left" w:pos="851"/>
        </w:tabs>
        <w:ind w:left="851"/>
        <w:rPr>
          <w:sz w:val="24"/>
          <w:szCs w:val="24"/>
        </w:rPr>
      </w:pPr>
      <w:r w:rsidRPr="00380526">
        <w:rPr>
          <w:sz w:val="24"/>
          <w:szCs w:val="24"/>
        </w:rPr>
        <w:t>182 53 Danderyd</w:t>
      </w:r>
    </w:p>
    <w:p w14:paraId="0B8C17B6" w14:textId="77777777" w:rsidR="00380526" w:rsidRPr="00380526" w:rsidRDefault="00380526" w:rsidP="00380526">
      <w:pPr>
        <w:tabs>
          <w:tab w:val="left" w:pos="851"/>
        </w:tabs>
        <w:ind w:left="851"/>
        <w:rPr>
          <w:sz w:val="24"/>
          <w:szCs w:val="24"/>
        </w:rPr>
      </w:pPr>
      <w:r w:rsidRPr="00380526">
        <w:rPr>
          <w:sz w:val="24"/>
          <w:szCs w:val="24"/>
        </w:rPr>
        <w:t>Sverige</w:t>
      </w:r>
    </w:p>
    <w:p w14:paraId="38403081" w14:textId="77777777" w:rsidR="00641C65" w:rsidRPr="00641C65" w:rsidRDefault="00641C65" w:rsidP="009260DE">
      <w:pPr>
        <w:tabs>
          <w:tab w:val="left" w:pos="851"/>
        </w:tabs>
        <w:ind w:left="851"/>
        <w:rPr>
          <w:sz w:val="24"/>
          <w:szCs w:val="24"/>
        </w:rPr>
      </w:pPr>
    </w:p>
    <w:p w14:paraId="11918D52"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7E74F12" w14:textId="5AE901FF" w:rsidR="009260DE" w:rsidRPr="00C84483" w:rsidRDefault="00920A21" w:rsidP="009260DE">
      <w:pPr>
        <w:tabs>
          <w:tab w:val="left" w:pos="851"/>
        </w:tabs>
        <w:ind w:left="851"/>
        <w:rPr>
          <w:sz w:val="24"/>
          <w:szCs w:val="24"/>
        </w:rPr>
      </w:pPr>
      <w:r>
        <w:rPr>
          <w:sz w:val="24"/>
          <w:szCs w:val="24"/>
        </w:rPr>
        <w:t>72200</w:t>
      </w:r>
    </w:p>
    <w:p w14:paraId="1FD11592" w14:textId="77777777" w:rsidR="009260DE" w:rsidRPr="00C84483" w:rsidRDefault="009260DE" w:rsidP="009260DE">
      <w:pPr>
        <w:tabs>
          <w:tab w:val="left" w:pos="851"/>
        </w:tabs>
        <w:ind w:left="851"/>
        <w:jc w:val="both"/>
        <w:rPr>
          <w:sz w:val="24"/>
          <w:szCs w:val="24"/>
        </w:rPr>
      </w:pPr>
    </w:p>
    <w:p w14:paraId="33354613"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1DCE1E0C" w14:textId="416ED670" w:rsidR="009260DE" w:rsidRPr="00C84483" w:rsidRDefault="005E2160" w:rsidP="009260DE">
      <w:pPr>
        <w:tabs>
          <w:tab w:val="left" w:pos="851"/>
        </w:tabs>
        <w:ind w:left="851"/>
        <w:rPr>
          <w:sz w:val="24"/>
          <w:szCs w:val="24"/>
        </w:rPr>
      </w:pPr>
      <w:r>
        <w:rPr>
          <w:sz w:val="24"/>
          <w:szCs w:val="24"/>
        </w:rPr>
        <w:t>1. april 2025</w:t>
      </w:r>
    </w:p>
    <w:p w14:paraId="07636F5B" w14:textId="77777777" w:rsidR="009260DE" w:rsidRPr="00C84483" w:rsidRDefault="009260DE" w:rsidP="009260DE">
      <w:pPr>
        <w:tabs>
          <w:tab w:val="left" w:pos="851"/>
        </w:tabs>
        <w:ind w:left="851"/>
        <w:rPr>
          <w:sz w:val="24"/>
          <w:szCs w:val="24"/>
        </w:rPr>
      </w:pPr>
    </w:p>
    <w:p w14:paraId="0CB3A3FE"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2A70802" w14:textId="2EE8868B" w:rsidR="009260DE" w:rsidRPr="00C84483" w:rsidRDefault="00920A21"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7800C" w14:textId="77777777" w:rsidR="00595A3B" w:rsidRDefault="00595A3B">
      <w:r>
        <w:separator/>
      </w:r>
    </w:p>
  </w:endnote>
  <w:endnote w:type="continuationSeparator" w:id="0">
    <w:p w14:paraId="7C378BB2" w14:textId="77777777" w:rsidR="00595A3B" w:rsidRDefault="00595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9CA6EA" w14:textId="77777777" w:rsidR="000259B9" w:rsidRDefault="000259B9">
    <w:pPr>
      <w:pStyle w:val="Sidefod"/>
      <w:pBdr>
        <w:bottom w:val="single" w:sz="6" w:space="1" w:color="auto"/>
      </w:pBdr>
    </w:pPr>
  </w:p>
  <w:p w14:paraId="63BC17E0" w14:textId="77777777" w:rsidR="000259B9" w:rsidRDefault="000259B9" w:rsidP="00C42586">
    <w:pPr>
      <w:pStyle w:val="Sidefod"/>
      <w:tabs>
        <w:tab w:val="clear" w:pos="4819"/>
        <w:tab w:val="left" w:pos="8505"/>
      </w:tabs>
      <w:rPr>
        <w:i/>
        <w:sz w:val="18"/>
        <w:szCs w:val="18"/>
      </w:rPr>
    </w:pPr>
  </w:p>
  <w:p w14:paraId="41ECE768" w14:textId="238FACB9"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D6D59">
      <w:rPr>
        <w:i/>
        <w:noProof/>
        <w:sz w:val="18"/>
        <w:szCs w:val="18"/>
      </w:rPr>
      <w:t>Atropine Noridem,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4EDAD" w14:textId="77777777" w:rsidR="00595A3B" w:rsidRDefault="00595A3B">
      <w:r>
        <w:separator/>
      </w:r>
    </w:p>
  </w:footnote>
  <w:footnote w:type="continuationSeparator" w:id="0">
    <w:p w14:paraId="14E21999" w14:textId="77777777" w:rsidR="00595A3B" w:rsidRDefault="00595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B16F0"/>
    <w:multiLevelType w:val="hybridMultilevel"/>
    <w:tmpl w:val="8ACE8F1C"/>
    <w:lvl w:ilvl="0" w:tplc="54E42FE0">
      <w:start w:val="4"/>
      <w:numFmt w:val="bullet"/>
      <w:lvlText w:val="-"/>
      <w:lvlJc w:val="left"/>
      <w:pPr>
        <w:ind w:left="2140" w:hanging="360"/>
      </w:pPr>
      <w:rPr>
        <w:rFonts w:ascii="Times New Roman" w:eastAsiaTheme="minorHAnsi" w:hAnsi="Times New Roman" w:cs="Times New Roman" w:hint="default"/>
      </w:rPr>
    </w:lvl>
    <w:lvl w:ilvl="1" w:tplc="04080003">
      <w:start w:val="1"/>
      <w:numFmt w:val="bullet"/>
      <w:lvlText w:val="o"/>
      <w:lvlJc w:val="left"/>
      <w:pPr>
        <w:ind w:left="2860" w:hanging="360"/>
      </w:pPr>
      <w:rPr>
        <w:rFonts w:ascii="Courier New" w:hAnsi="Courier New" w:cs="Courier New" w:hint="default"/>
      </w:rPr>
    </w:lvl>
    <w:lvl w:ilvl="2" w:tplc="04080005">
      <w:start w:val="1"/>
      <w:numFmt w:val="bullet"/>
      <w:lvlText w:val=""/>
      <w:lvlJc w:val="left"/>
      <w:pPr>
        <w:ind w:left="3580" w:hanging="360"/>
      </w:pPr>
      <w:rPr>
        <w:rFonts w:ascii="Wingdings" w:hAnsi="Wingdings" w:hint="default"/>
      </w:rPr>
    </w:lvl>
    <w:lvl w:ilvl="3" w:tplc="04080001">
      <w:start w:val="1"/>
      <w:numFmt w:val="bullet"/>
      <w:lvlText w:val=""/>
      <w:lvlJc w:val="left"/>
      <w:pPr>
        <w:ind w:left="4300" w:hanging="360"/>
      </w:pPr>
      <w:rPr>
        <w:rFonts w:ascii="Symbol" w:hAnsi="Symbol" w:hint="default"/>
      </w:rPr>
    </w:lvl>
    <w:lvl w:ilvl="4" w:tplc="04080003">
      <w:start w:val="1"/>
      <w:numFmt w:val="bullet"/>
      <w:lvlText w:val="o"/>
      <w:lvlJc w:val="left"/>
      <w:pPr>
        <w:ind w:left="5020" w:hanging="360"/>
      </w:pPr>
      <w:rPr>
        <w:rFonts w:ascii="Courier New" w:hAnsi="Courier New" w:cs="Courier New" w:hint="default"/>
      </w:rPr>
    </w:lvl>
    <w:lvl w:ilvl="5" w:tplc="04080005">
      <w:start w:val="1"/>
      <w:numFmt w:val="bullet"/>
      <w:lvlText w:val=""/>
      <w:lvlJc w:val="left"/>
      <w:pPr>
        <w:ind w:left="5740" w:hanging="360"/>
      </w:pPr>
      <w:rPr>
        <w:rFonts w:ascii="Wingdings" w:hAnsi="Wingdings" w:hint="default"/>
      </w:rPr>
    </w:lvl>
    <w:lvl w:ilvl="6" w:tplc="04080001">
      <w:start w:val="1"/>
      <w:numFmt w:val="bullet"/>
      <w:lvlText w:val=""/>
      <w:lvlJc w:val="left"/>
      <w:pPr>
        <w:ind w:left="6460" w:hanging="360"/>
      </w:pPr>
      <w:rPr>
        <w:rFonts w:ascii="Symbol" w:hAnsi="Symbol" w:hint="default"/>
      </w:rPr>
    </w:lvl>
    <w:lvl w:ilvl="7" w:tplc="04080003">
      <w:start w:val="1"/>
      <w:numFmt w:val="bullet"/>
      <w:lvlText w:val="o"/>
      <w:lvlJc w:val="left"/>
      <w:pPr>
        <w:ind w:left="7180" w:hanging="360"/>
      </w:pPr>
      <w:rPr>
        <w:rFonts w:ascii="Courier New" w:hAnsi="Courier New" w:cs="Courier New" w:hint="default"/>
      </w:rPr>
    </w:lvl>
    <w:lvl w:ilvl="8" w:tplc="04080005">
      <w:start w:val="1"/>
      <w:numFmt w:val="bullet"/>
      <w:lvlText w:val=""/>
      <w:lvlJc w:val="left"/>
      <w:pPr>
        <w:ind w:left="790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76D0B4C"/>
    <w:multiLevelType w:val="hybridMultilevel"/>
    <w:tmpl w:val="EF5AF04C"/>
    <w:lvl w:ilvl="0" w:tplc="54E42FE0">
      <w:start w:val="4"/>
      <w:numFmt w:val="bullet"/>
      <w:lvlText w:val="-"/>
      <w:lvlJc w:val="left"/>
      <w:pPr>
        <w:ind w:left="720" w:hanging="360"/>
      </w:pPr>
      <w:rPr>
        <w:rFonts w:ascii="Times New Roman" w:eastAsiaTheme="minorHAnsi" w:hAnsi="Times New Roman"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A3B"/>
    <w:rsid w:val="000259B9"/>
    <w:rsid w:val="00041491"/>
    <w:rsid w:val="00050D16"/>
    <w:rsid w:val="000730CA"/>
    <w:rsid w:val="00074F2A"/>
    <w:rsid w:val="000A1CA8"/>
    <w:rsid w:val="000A466B"/>
    <w:rsid w:val="000B058C"/>
    <w:rsid w:val="000D68B0"/>
    <w:rsid w:val="000E4EE6"/>
    <w:rsid w:val="001454E2"/>
    <w:rsid w:val="0016107A"/>
    <w:rsid w:val="001F7FE3"/>
    <w:rsid w:val="00206CE8"/>
    <w:rsid w:val="0021526C"/>
    <w:rsid w:val="00283A2B"/>
    <w:rsid w:val="002B30AD"/>
    <w:rsid w:val="002C1EC0"/>
    <w:rsid w:val="002C2C01"/>
    <w:rsid w:val="00380526"/>
    <w:rsid w:val="003A29AE"/>
    <w:rsid w:val="003A32D7"/>
    <w:rsid w:val="003B4074"/>
    <w:rsid w:val="003C769A"/>
    <w:rsid w:val="003D3A90"/>
    <w:rsid w:val="003F1838"/>
    <w:rsid w:val="004251C1"/>
    <w:rsid w:val="0045746C"/>
    <w:rsid w:val="0049104B"/>
    <w:rsid w:val="004E3B12"/>
    <w:rsid w:val="00532310"/>
    <w:rsid w:val="00565F0F"/>
    <w:rsid w:val="00594A86"/>
    <w:rsid w:val="00595A3B"/>
    <w:rsid w:val="00596D86"/>
    <w:rsid w:val="005E2160"/>
    <w:rsid w:val="00637F5A"/>
    <w:rsid w:val="00641C65"/>
    <w:rsid w:val="006560B1"/>
    <w:rsid w:val="006756DD"/>
    <w:rsid w:val="00686F6C"/>
    <w:rsid w:val="006D6D59"/>
    <w:rsid w:val="0071241E"/>
    <w:rsid w:val="00737275"/>
    <w:rsid w:val="00740EEC"/>
    <w:rsid w:val="0078011A"/>
    <w:rsid w:val="00782AF4"/>
    <w:rsid w:val="00790EE7"/>
    <w:rsid w:val="007B6649"/>
    <w:rsid w:val="007F5A7D"/>
    <w:rsid w:val="0082576E"/>
    <w:rsid w:val="0089346F"/>
    <w:rsid w:val="00907F75"/>
    <w:rsid w:val="00920A21"/>
    <w:rsid w:val="009260DE"/>
    <w:rsid w:val="0093258A"/>
    <w:rsid w:val="009C7BA3"/>
    <w:rsid w:val="009D1F5A"/>
    <w:rsid w:val="00A10294"/>
    <w:rsid w:val="00AE10B7"/>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7F82"/>
    <w:rsid w:val="00E108AA"/>
    <w:rsid w:val="00E3749A"/>
    <w:rsid w:val="00E7437F"/>
    <w:rsid w:val="00E865B8"/>
    <w:rsid w:val="00EC0B9B"/>
    <w:rsid w:val="00ED5E9F"/>
    <w:rsid w:val="00F43752"/>
    <w:rsid w:val="00F66D4F"/>
    <w:rsid w:val="00F94D8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27D73"/>
  <w15:chartTrackingRefBased/>
  <w15:docId w15:val="{09446F84-2214-4007-B451-1F95CCA70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Bodytext2">
    <w:name w:val="Body text (2)_"/>
    <w:basedOn w:val="Standardskrifttypeiafsnit"/>
    <w:link w:val="Bodytext20"/>
    <w:locked/>
    <w:rsid w:val="00F43752"/>
    <w:rPr>
      <w:shd w:val="clear" w:color="auto" w:fill="FFFFFF"/>
    </w:rPr>
  </w:style>
  <w:style w:type="paragraph" w:customStyle="1" w:styleId="Bodytext20">
    <w:name w:val="Body text (2)"/>
    <w:basedOn w:val="Normal"/>
    <w:link w:val="Bodytext2"/>
    <w:rsid w:val="00F43752"/>
    <w:pPr>
      <w:widowControl w:val="0"/>
      <w:shd w:val="clear" w:color="auto" w:fill="FFFFFF"/>
      <w:spacing w:before="260" w:after="540" w:line="244" w:lineRule="exact"/>
      <w:ind w:hanging="360"/>
    </w:pPr>
    <w:rPr>
      <w:sz w:val="20"/>
      <w:lang w:eastAsia="da-DK"/>
    </w:rPr>
  </w:style>
  <w:style w:type="character" w:customStyle="1" w:styleId="Bodytext29">
    <w:name w:val="Body text (2) + 9"/>
    <w:aliases w:val="5 pt"/>
    <w:basedOn w:val="Bodytext2"/>
    <w:rsid w:val="00F43752"/>
    <w:rPr>
      <w:color w:val="000000"/>
      <w:spacing w:val="0"/>
      <w:w w:val="100"/>
      <w:position w:val="0"/>
      <w:sz w:val="19"/>
      <w:szCs w:val="19"/>
      <w:shd w:val="clear" w:color="auto" w:fill="FFFFFF"/>
      <w:lang w:val="da-DK" w:eastAsia="en-US" w:bidi="en-US"/>
    </w:rPr>
  </w:style>
  <w:style w:type="character" w:styleId="Hyperlink">
    <w:name w:val="Hyperlink"/>
    <w:basedOn w:val="Standardskrifttypeiafsnit"/>
    <w:uiPriority w:val="99"/>
    <w:semiHidden/>
    <w:unhideWhenUsed/>
    <w:rsid w:val="00F437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398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5243427">
      <w:bodyDiv w:val="1"/>
      <w:marLeft w:val="0"/>
      <w:marRight w:val="0"/>
      <w:marTop w:val="0"/>
      <w:marBottom w:val="0"/>
      <w:divBdr>
        <w:top w:val="none" w:sz="0" w:space="0" w:color="auto"/>
        <w:left w:val="none" w:sz="0" w:space="0" w:color="auto"/>
        <w:bottom w:val="none" w:sz="0" w:space="0" w:color="auto"/>
        <w:right w:val="none" w:sz="0" w:space="0" w:color="auto"/>
      </w:divBdr>
    </w:div>
    <w:div w:id="282076830">
      <w:bodyDiv w:val="1"/>
      <w:marLeft w:val="0"/>
      <w:marRight w:val="0"/>
      <w:marTop w:val="0"/>
      <w:marBottom w:val="0"/>
      <w:divBdr>
        <w:top w:val="none" w:sz="0" w:space="0" w:color="auto"/>
        <w:left w:val="none" w:sz="0" w:space="0" w:color="auto"/>
        <w:bottom w:val="none" w:sz="0" w:space="0" w:color="auto"/>
        <w:right w:val="none" w:sz="0" w:space="0" w:color="auto"/>
      </w:divBdr>
    </w:div>
    <w:div w:id="284845858">
      <w:bodyDiv w:val="1"/>
      <w:marLeft w:val="0"/>
      <w:marRight w:val="0"/>
      <w:marTop w:val="0"/>
      <w:marBottom w:val="0"/>
      <w:divBdr>
        <w:top w:val="none" w:sz="0" w:space="0" w:color="auto"/>
        <w:left w:val="none" w:sz="0" w:space="0" w:color="auto"/>
        <w:bottom w:val="none" w:sz="0" w:space="0" w:color="auto"/>
        <w:right w:val="none" w:sz="0" w:space="0" w:color="auto"/>
      </w:divBdr>
    </w:div>
    <w:div w:id="293145209">
      <w:bodyDiv w:val="1"/>
      <w:marLeft w:val="0"/>
      <w:marRight w:val="0"/>
      <w:marTop w:val="0"/>
      <w:marBottom w:val="0"/>
      <w:divBdr>
        <w:top w:val="none" w:sz="0" w:space="0" w:color="auto"/>
        <w:left w:val="none" w:sz="0" w:space="0" w:color="auto"/>
        <w:bottom w:val="none" w:sz="0" w:space="0" w:color="auto"/>
        <w:right w:val="none" w:sz="0" w:space="0" w:color="auto"/>
      </w:divBdr>
    </w:div>
    <w:div w:id="312874613">
      <w:bodyDiv w:val="1"/>
      <w:marLeft w:val="0"/>
      <w:marRight w:val="0"/>
      <w:marTop w:val="0"/>
      <w:marBottom w:val="0"/>
      <w:divBdr>
        <w:top w:val="none" w:sz="0" w:space="0" w:color="auto"/>
        <w:left w:val="none" w:sz="0" w:space="0" w:color="auto"/>
        <w:bottom w:val="none" w:sz="0" w:space="0" w:color="auto"/>
        <w:right w:val="none" w:sz="0" w:space="0" w:color="auto"/>
      </w:divBdr>
    </w:div>
    <w:div w:id="332223875">
      <w:bodyDiv w:val="1"/>
      <w:marLeft w:val="0"/>
      <w:marRight w:val="0"/>
      <w:marTop w:val="0"/>
      <w:marBottom w:val="0"/>
      <w:divBdr>
        <w:top w:val="none" w:sz="0" w:space="0" w:color="auto"/>
        <w:left w:val="none" w:sz="0" w:space="0" w:color="auto"/>
        <w:bottom w:val="none" w:sz="0" w:space="0" w:color="auto"/>
        <w:right w:val="none" w:sz="0" w:space="0" w:color="auto"/>
      </w:divBdr>
    </w:div>
    <w:div w:id="360740947">
      <w:bodyDiv w:val="1"/>
      <w:marLeft w:val="0"/>
      <w:marRight w:val="0"/>
      <w:marTop w:val="0"/>
      <w:marBottom w:val="0"/>
      <w:divBdr>
        <w:top w:val="none" w:sz="0" w:space="0" w:color="auto"/>
        <w:left w:val="none" w:sz="0" w:space="0" w:color="auto"/>
        <w:bottom w:val="none" w:sz="0" w:space="0" w:color="auto"/>
        <w:right w:val="none" w:sz="0" w:space="0" w:color="auto"/>
      </w:divBdr>
    </w:div>
    <w:div w:id="413361260">
      <w:bodyDiv w:val="1"/>
      <w:marLeft w:val="0"/>
      <w:marRight w:val="0"/>
      <w:marTop w:val="0"/>
      <w:marBottom w:val="0"/>
      <w:divBdr>
        <w:top w:val="none" w:sz="0" w:space="0" w:color="auto"/>
        <w:left w:val="none" w:sz="0" w:space="0" w:color="auto"/>
        <w:bottom w:val="none" w:sz="0" w:space="0" w:color="auto"/>
        <w:right w:val="none" w:sz="0" w:space="0" w:color="auto"/>
      </w:divBdr>
    </w:div>
    <w:div w:id="415714814">
      <w:bodyDiv w:val="1"/>
      <w:marLeft w:val="0"/>
      <w:marRight w:val="0"/>
      <w:marTop w:val="0"/>
      <w:marBottom w:val="0"/>
      <w:divBdr>
        <w:top w:val="none" w:sz="0" w:space="0" w:color="auto"/>
        <w:left w:val="none" w:sz="0" w:space="0" w:color="auto"/>
        <w:bottom w:val="none" w:sz="0" w:space="0" w:color="auto"/>
        <w:right w:val="none" w:sz="0" w:space="0" w:color="auto"/>
      </w:divBdr>
    </w:div>
    <w:div w:id="433208932">
      <w:bodyDiv w:val="1"/>
      <w:marLeft w:val="0"/>
      <w:marRight w:val="0"/>
      <w:marTop w:val="0"/>
      <w:marBottom w:val="0"/>
      <w:divBdr>
        <w:top w:val="none" w:sz="0" w:space="0" w:color="auto"/>
        <w:left w:val="none" w:sz="0" w:space="0" w:color="auto"/>
        <w:bottom w:val="none" w:sz="0" w:space="0" w:color="auto"/>
        <w:right w:val="none" w:sz="0" w:space="0" w:color="auto"/>
      </w:divBdr>
    </w:div>
    <w:div w:id="482280714">
      <w:bodyDiv w:val="1"/>
      <w:marLeft w:val="0"/>
      <w:marRight w:val="0"/>
      <w:marTop w:val="0"/>
      <w:marBottom w:val="0"/>
      <w:divBdr>
        <w:top w:val="none" w:sz="0" w:space="0" w:color="auto"/>
        <w:left w:val="none" w:sz="0" w:space="0" w:color="auto"/>
        <w:bottom w:val="none" w:sz="0" w:space="0" w:color="auto"/>
        <w:right w:val="none" w:sz="0" w:space="0" w:color="auto"/>
      </w:divBdr>
    </w:div>
    <w:div w:id="526481345">
      <w:bodyDiv w:val="1"/>
      <w:marLeft w:val="0"/>
      <w:marRight w:val="0"/>
      <w:marTop w:val="0"/>
      <w:marBottom w:val="0"/>
      <w:divBdr>
        <w:top w:val="none" w:sz="0" w:space="0" w:color="auto"/>
        <w:left w:val="none" w:sz="0" w:space="0" w:color="auto"/>
        <w:bottom w:val="none" w:sz="0" w:space="0" w:color="auto"/>
        <w:right w:val="none" w:sz="0" w:space="0" w:color="auto"/>
      </w:divBdr>
    </w:div>
    <w:div w:id="561214360">
      <w:bodyDiv w:val="1"/>
      <w:marLeft w:val="0"/>
      <w:marRight w:val="0"/>
      <w:marTop w:val="0"/>
      <w:marBottom w:val="0"/>
      <w:divBdr>
        <w:top w:val="none" w:sz="0" w:space="0" w:color="auto"/>
        <w:left w:val="none" w:sz="0" w:space="0" w:color="auto"/>
        <w:bottom w:val="none" w:sz="0" w:space="0" w:color="auto"/>
        <w:right w:val="none" w:sz="0" w:space="0" w:color="auto"/>
      </w:divBdr>
    </w:div>
    <w:div w:id="634993612">
      <w:bodyDiv w:val="1"/>
      <w:marLeft w:val="0"/>
      <w:marRight w:val="0"/>
      <w:marTop w:val="0"/>
      <w:marBottom w:val="0"/>
      <w:divBdr>
        <w:top w:val="none" w:sz="0" w:space="0" w:color="auto"/>
        <w:left w:val="none" w:sz="0" w:space="0" w:color="auto"/>
        <w:bottom w:val="none" w:sz="0" w:space="0" w:color="auto"/>
        <w:right w:val="none" w:sz="0" w:space="0" w:color="auto"/>
      </w:divBdr>
    </w:div>
    <w:div w:id="746421549">
      <w:bodyDiv w:val="1"/>
      <w:marLeft w:val="0"/>
      <w:marRight w:val="0"/>
      <w:marTop w:val="0"/>
      <w:marBottom w:val="0"/>
      <w:divBdr>
        <w:top w:val="none" w:sz="0" w:space="0" w:color="auto"/>
        <w:left w:val="none" w:sz="0" w:space="0" w:color="auto"/>
        <w:bottom w:val="none" w:sz="0" w:space="0" w:color="auto"/>
        <w:right w:val="none" w:sz="0" w:space="0" w:color="auto"/>
      </w:divBdr>
    </w:div>
    <w:div w:id="753285280">
      <w:bodyDiv w:val="1"/>
      <w:marLeft w:val="0"/>
      <w:marRight w:val="0"/>
      <w:marTop w:val="0"/>
      <w:marBottom w:val="0"/>
      <w:divBdr>
        <w:top w:val="none" w:sz="0" w:space="0" w:color="auto"/>
        <w:left w:val="none" w:sz="0" w:space="0" w:color="auto"/>
        <w:bottom w:val="none" w:sz="0" w:space="0" w:color="auto"/>
        <w:right w:val="none" w:sz="0" w:space="0" w:color="auto"/>
      </w:divBdr>
    </w:div>
    <w:div w:id="761801782">
      <w:bodyDiv w:val="1"/>
      <w:marLeft w:val="0"/>
      <w:marRight w:val="0"/>
      <w:marTop w:val="0"/>
      <w:marBottom w:val="0"/>
      <w:divBdr>
        <w:top w:val="none" w:sz="0" w:space="0" w:color="auto"/>
        <w:left w:val="none" w:sz="0" w:space="0" w:color="auto"/>
        <w:bottom w:val="none" w:sz="0" w:space="0" w:color="auto"/>
        <w:right w:val="none" w:sz="0" w:space="0" w:color="auto"/>
      </w:divBdr>
    </w:div>
    <w:div w:id="906837094">
      <w:bodyDiv w:val="1"/>
      <w:marLeft w:val="0"/>
      <w:marRight w:val="0"/>
      <w:marTop w:val="0"/>
      <w:marBottom w:val="0"/>
      <w:divBdr>
        <w:top w:val="none" w:sz="0" w:space="0" w:color="auto"/>
        <w:left w:val="none" w:sz="0" w:space="0" w:color="auto"/>
        <w:bottom w:val="none" w:sz="0" w:space="0" w:color="auto"/>
        <w:right w:val="none" w:sz="0" w:space="0" w:color="auto"/>
      </w:divBdr>
    </w:div>
    <w:div w:id="978723685">
      <w:bodyDiv w:val="1"/>
      <w:marLeft w:val="0"/>
      <w:marRight w:val="0"/>
      <w:marTop w:val="0"/>
      <w:marBottom w:val="0"/>
      <w:divBdr>
        <w:top w:val="none" w:sz="0" w:space="0" w:color="auto"/>
        <w:left w:val="none" w:sz="0" w:space="0" w:color="auto"/>
        <w:bottom w:val="none" w:sz="0" w:space="0" w:color="auto"/>
        <w:right w:val="none" w:sz="0" w:space="0" w:color="auto"/>
      </w:divBdr>
    </w:div>
    <w:div w:id="1002273195">
      <w:bodyDiv w:val="1"/>
      <w:marLeft w:val="0"/>
      <w:marRight w:val="0"/>
      <w:marTop w:val="0"/>
      <w:marBottom w:val="0"/>
      <w:divBdr>
        <w:top w:val="none" w:sz="0" w:space="0" w:color="auto"/>
        <w:left w:val="none" w:sz="0" w:space="0" w:color="auto"/>
        <w:bottom w:val="none" w:sz="0" w:space="0" w:color="auto"/>
        <w:right w:val="none" w:sz="0" w:space="0" w:color="auto"/>
      </w:divBdr>
    </w:div>
    <w:div w:id="1034697096">
      <w:bodyDiv w:val="1"/>
      <w:marLeft w:val="0"/>
      <w:marRight w:val="0"/>
      <w:marTop w:val="0"/>
      <w:marBottom w:val="0"/>
      <w:divBdr>
        <w:top w:val="none" w:sz="0" w:space="0" w:color="auto"/>
        <w:left w:val="none" w:sz="0" w:space="0" w:color="auto"/>
        <w:bottom w:val="none" w:sz="0" w:space="0" w:color="auto"/>
        <w:right w:val="none" w:sz="0" w:space="0" w:color="auto"/>
      </w:divBdr>
    </w:div>
    <w:div w:id="1051687857">
      <w:bodyDiv w:val="1"/>
      <w:marLeft w:val="0"/>
      <w:marRight w:val="0"/>
      <w:marTop w:val="0"/>
      <w:marBottom w:val="0"/>
      <w:divBdr>
        <w:top w:val="none" w:sz="0" w:space="0" w:color="auto"/>
        <w:left w:val="none" w:sz="0" w:space="0" w:color="auto"/>
        <w:bottom w:val="none" w:sz="0" w:space="0" w:color="auto"/>
        <w:right w:val="none" w:sz="0" w:space="0" w:color="auto"/>
      </w:divBdr>
    </w:div>
    <w:div w:id="1059012518">
      <w:bodyDiv w:val="1"/>
      <w:marLeft w:val="0"/>
      <w:marRight w:val="0"/>
      <w:marTop w:val="0"/>
      <w:marBottom w:val="0"/>
      <w:divBdr>
        <w:top w:val="none" w:sz="0" w:space="0" w:color="auto"/>
        <w:left w:val="none" w:sz="0" w:space="0" w:color="auto"/>
        <w:bottom w:val="none" w:sz="0" w:space="0" w:color="auto"/>
        <w:right w:val="none" w:sz="0" w:space="0" w:color="auto"/>
      </w:divBdr>
    </w:div>
    <w:div w:id="1085613915">
      <w:bodyDiv w:val="1"/>
      <w:marLeft w:val="0"/>
      <w:marRight w:val="0"/>
      <w:marTop w:val="0"/>
      <w:marBottom w:val="0"/>
      <w:divBdr>
        <w:top w:val="none" w:sz="0" w:space="0" w:color="auto"/>
        <w:left w:val="none" w:sz="0" w:space="0" w:color="auto"/>
        <w:bottom w:val="none" w:sz="0" w:space="0" w:color="auto"/>
        <w:right w:val="none" w:sz="0" w:space="0" w:color="auto"/>
      </w:divBdr>
    </w:div>
    <w:div w:id="1152522512">
      <w:bodyDiv w:val="1"/>
      <w:marLeft w:val="0"/>
      <w:marRight w:val="0"/>
      <w:marTop w:val="0"/>
      <w:marBottom w:val="0"/>
      <w:divBdr>
        <w:top w:val="none" w:sz="0" w:space="0" w:color="auto"/>
        <w:left w:val="none" w:sz="0" w:space="0" w:color="auto"/>
        <w:bottom w:val="none" w:sz="0" w:space="0" w:color="auto"/>
        <w:right w:val="none" w:sz="0" w:space="0" w:color="auto"/>
      </w:divBdr>
    </w:div>
    <w:div w:id="1201632207">
      <w:bodyDiv w:val="1"/>
      <w:marLeft w:val="0"/>
      <w:marRight w:val="0"/>
      <w:marTop w:val="0"/>
      <w:marBottom w:val="0"/>
      <w:divBdr>
        <w:top w:val="none" w:sz="0" w:space="0" w:color="auto"/>
        <w:left w:val="none" w:sz="0" w:space="0" w:color="auto"/>
        <w:bottom w:val="none" w:sz="0" w:space="0" w:color="auto"/>
        <w:right w:val="none" w:sz="0" w:space="0" w:color="auto"/>
      </w:divBdr>
    </w:div>
    <w:div w:id="1214268466">
      <w:bodyDiv w:val="1"/>
      <w:marLeft w:val="0"/>
      <w:marRight w:val="0"/>
      <w:marTop w:val="0"/>
      <w:marBottom w:val="0"/>
      <w:divBdr>
        <w:top w:val="none" w:sz="0" w:space="0" w:color="auto"/>
        <w:left w:val="none" w:sz="0" w:space="0" w:color="auto"/>
        <w:bottom w:val="none" w:sz="0" w:space="0" w:color="auto"/>
        <w:right w:val="none" w:sz="0" w:space="0" w:color="auto"/>
      </w:divBdr>
    </w:div>
    <w:div w:id="1310742604">
      <w:bodyDiv w:val="1"/>
      <w:marLeft w:val="0"/>
      <w:marRight w:val="0"/>
      <w:marTop w:val="0"/>
      <w:marBottom w:val="0"/>
      <w:divBdr>
        <w:top w:val="none" w:sz="0" w:space="0" w:color="auto"/>
        <w:left w:val="none" w:sz="0" w:space="0" w:color="auto"/>
        <w:bottom w:val="none" w:sz="0" w:space="0" w:color="auto"/>
        <w:right w:val="none" w:sz="0" w:space="0" w:color="auto"/>
      </w:divBdr>
    </w:div>
    <w:div w:id="1323698029">
      <w:bodyDiv w:val="1"/>
      <w:marLeft w:val="0"/>
      <w:marRight w:val="0"/>
      <w:marTop w:val="0"/>
      <w:marBottom w:val="0"/>
      <w:divBdr>
        <w:top w:val="none" w:sz="0" w:space="0" w:color="auto"/>
        <w:left w:val="none" w:sz="0" w:space="0" w:color="auto"/>
        <w:bottom w:val="none" w:sz="0" w:space="0" w:color="auto"/>
        <w:right w:val="none" w:sz="0" w:space="0" w:color="auto"/>
      </w:divBdr>
    </w:div>
    <w:div w:id="1445658742">
      <w:bodyDiv w:val="1"/>
      <w:marLeft w:val="0"/>
      <w:marRight w:val="0"/>
      <w:marTop w:val="0"/>
      <w:marBottom w:val="0"/>
      <w:divBdr>
        <w:top w:val="none" w:sz="0" w:space="0" w:color="auto"/>
        <w:left w:val="none" w:sz="0" w:space="0" w:color="auto"/>
        <w:bottom w:val="none" w:sz="0" w:space="0" w:color="auto"/>
        <w:right w:val="none" w:sz="0" w:space="0" w:color="auto"/>
      </w:divBdr>
    </w:div>
    <w:div w:id="1565335535">
      <w:bodyDiv w:val="1"/>
      <w:marLeft w:val="0"/>
      <w:marRight w:val="0"/>
      <w:marTop w:val="0"/>
      <w:marBottom w:val="0"/>
      <w:divBdr>
        <w:top w:val="none" w:sz="0" w:space="0" w:color="auto"/>
        <w:left w:val="none" w:sz="0" w:space="0" w:color="auto"/>
        <w:bottom w:val="none" w:sz="0" w:space="0" w:color="auto"/>
        <w:right w:val="none" w:sz="0" w:space="0" w:color="auto"/>
      </w:divBdr>
    </w:div>
    <w:div w:id="1594364183">
      <w:bodyDiv w:val="1"/>
      <w:marLeft w:val="0"/>
      <w:marRight w:val="0"/>
      <w:marTop w:val="0"/>
      <w:marBottom w:val="0"/>
      <w:divBdr>
        <w:top w:val="none" w:sz="0" w:space="0" w:color="auto"/>
        <w:left w:val="none" w:sz="0" w:space="0" w:color="auto"/>
        <w:bottom w:val="none" w:sz="0" w:space="0" w:color="auto"/>
        <w:right w:val="none" w:sz="0" w:space="0" w:color="auto"/>
      </w:divBdr>
    </w:div>
    <w:div w:id="1622111879">
      <w:bodyDiv w:val="1"/>
      <w:marLeft w:val="0"/>
      <w:marRight w:val="0"/>
      <w:marTop w:val="0"/>
      <w:marBottom w:val="0"/>
      <w:divBdr>
        <w:top w:val="none" w:sz="0" w:space="0" w:color="auto"/>
        <w:left w:val="none" w:sz="0" w:space="0" w:color="auto"/>
        <w:bottom w:val="none" w:sz="0" w:space="0" w:color="auto"/>
        <w:right w:val="none" w:sz="0" w:space="0" w:color="auto"/>
      </w:divBdr>
    </w:div>
    <w:div w:id="1652057571">
      <w:bodyDiv w:val="1"/>
      <w:marLeft w:val="0"/>
      <w:marRight w:val="0"/>
      <w:marTop w:val="0"/>
      <w:marBottom w:val="0"/>
      <w:divBdr>
        <w:top w:val="none" w:sz="0" w:space="0" w:color="auto"/>
        <w:left w:val="none" w:sz="0" w:space="0" w:color="auto"/>
        <w:bottom w:val="none" w:sz="0" w:space="0" w:color="auto"/>
        <w:right w:val="none" w:sz="0" w:space="0" w:color="auto"/>
      </w:divBdr>
    </w:div>
    <w:div w:id="1747728864">
      <w:bodyDiv w:val="1"/>
      <w:marLeft w:val="0"/>
      <w:marRight w:val="0"/>
      <w:marTop w:val="0"/>
      <w:marBottom w:val="0"/>
      <w:divBdr>
        <w:top w:val="none" w:sz="0" w:space="0" w:color="auto"/>
        <w:left w:val="none" w:sz="0" w:space="0" w:color="auto"/>
        <w:bottom w:val="none" w:sz="0" w:space="0" w:color="auto"/>
        <w:right w:val="none" w:sz="0" w:space="0" w:color="auto"/>
      </w:divBdr>
    </w:div>
    <w:div w:id="1759986887">
      <w:bodyDiv w:val="1"/>
      <w:marLeft w:val="0"/>
      <w:marRight w:val="0"/>
      <w:marTop w:val="0"/>
      <w:marBottom w:val="0"/>
      <w:divBdr>
        <w:top w:val="none" w:sz="0" w:space="0" w:color="auto"/>
        <w:left w:val="none" w:sz="0" w:space="0" w:color="auto"/>
        <w:bottom w:val="none" w:sz="0" w:space="0" w:color="auto"/>
        <w:right w:val="none" w:sz="0" w:space="0" w:color="auto"/>
      </w:divBdr>
    </w:div>
    <w:div w:id="1782262407">
      <w:bodyDiv w:val="1"/>
      <w:marLeft w:val="0"/>
      <w:marRight w:val="0"/>
      <w:marTop w:val="0"/>
      <w:marBottom w:val="0"/>
      <w:divBdr>
        <w:top w:val="none" w:sz="0" w:space="0" w:color="auto"/>
        <w:left w:val="none" w:sz="0" w:space="0" w:color="auto"/>
        <w:bottom w:val="none" w:sz="0" w:space="0" w:color="auto"/>
        <w:right w:val="none" w:sz="0" w:space="0" w:color="auto"/>
      </w:divBdr>
    </w:div>
    <w:div w:id="1796438603">
      <w:bodyDiv w:val="1"/>
      <w:marLeft w:val="0"/>
      <w:marRight w:val="0"/>
      <w:marTop w:val="0"/>
      <w:marBottom w:val="0"/>
      <w:divBdr>
        <w:top w:val="none" w:sz="0" w:space="0" w:color="auto"/>
        <w:left w:val="none" w:sz="0" w:space="0" w:color="auto"/>
        <w:bottom w:val="none" w:sz="0" w:space="0" w:color="auto"/>
        <w:right w:val="none" w:sz="0" w:space="0" w:color="auto"/>
      </w:divBdr>
    </w:div>
    <w:div w:id="1800996135">
      <w:bodyDiv w:val="1"/>
      <w:marLeft w:val="0"/>
      <w:marRight w:val="0"/>
      <w:marTop w:val="0"/>
      <w:marBottom w:val="0"/>
      <w:divBdr>
        <w:top w:val="none" w:sz="0" w:space="0" w:color="auto"/>
        <w:left w:val="none" w:sz="0" w:space="0" w:color="auto"/>
        <w:bottom w:val="none" w:sz="0" w:space="0" w:color="auto"/>
        <w:right w:val="none" w:sz="0" w:space="0" w:color="auto"/>
      </w:divBdr>
    </w:div>
    <w:div w:id="1920285358">
      <w:bodyDiv w:val="1"/>
      <w:marLeft w:val="0"/>
      <w:marRight w:val="0"/>
      <w:marTop w:val="0"/>
      <w:marBottom w:val="0"/>
      <w:divBdr>
        <w:top w:val="none" w:sz="0" w:space="0" w:color="auto"/>
        <w:left w:val="none" w:sz="0" w:space="0" w:color="auto"/>
        <w:bottom w:val="none" w:sz="0" w:space="0" w:color="auto"/>
        <w:right w:val="none" w:sz="0" w:space="0" w:color="auto"/>
      </w:divBdr>
    </w:div>
    <w:div w:id="2027095887">
      <w:bodyDiv w:val="1"/>
      <w:marLeft w:val="0"/>
      <w:marRight w:val="0"/>
      <w:marTop w:val="0"/>
      <w:marBottom w:val="0"/>
      <w:divBdr>
        <w:top w:val="none" w:sz="0" w:space="0" w:color="auto"/>
        <w:left w:val="none" w:sz="0" w:space="0" w:color="auto"/>
        <w:bottom w:val="none" w:sz="0" w:space="0" w:color="auto"/>
        <w:right w:val="none" w:sz="0" w:space="0" w:color="auto"/>
      </w:divBdr>
    </w:div>
    <w:div w:id="204217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19</TotalTime>
  <Pages>13</Pages>
  <Words>3586</Words>
  <Characters>24877</Characters>
  <Application>Microsoft Office Word</Application>
  <DocSecurity>0</DocSecurity>
  <Lines>207</Lines>
  <Paragraphs>56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2024073901 mt</dc:description>
  <cp:lastModifiedBy>Hanne Thy Iversen</cp:lastModifiedBy>
  <cp:revision>12</cp:revision>
  <cp:lastPrinted>2012-08-22T08:53:00Z</cp:lastPrinted>
  <dcterms:created xsi:type="dcterms:W3CDTF">2025-04-01T08:08:00Z</dcterms:created>
  <dcterms:modified xsi:type="dcterms:W3CDTF">2025-04-01T09:23:00Z</dcterms:modified>
</cp:coreProperties>
</file>