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3F51D"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4A99E98" wp14:editId="0A360FD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BF969A6" w14:textId="22705322" w:rsidR="009260DE" w:rsidRPr="000C6E24" w:rsidRDefault="009260DE" w:rsidP="009260DE">
      <w:pPr>
        <w:pStyle w:val="Titel"/>
        <w:tabs>
          <w:tab w:val="right" w:pos="9356"/>
        </w:tabs>
        <w:jc w:val="left"/>
        <w:rPr>
          <w:b w:val="0"/>
          <w:szCs w:val="24"/>
          <w:lang w:eastAsia="en-US"/>
        </w:rPr>
      </w:pPr>
      <w:r w:rsidRPr="00C84483">
        <w:rPr>
          <w:b w:val="0"/>
          <w:szCs w:val="24"/>
          <w:lang w:eastAsia="en-US"/>
        </w:rPr>
        <w:tab/>
      </w:r>
      <w:r w:rsidR="00525A3F">
        <w:rPr>
          <w:szCs w:val="24"/>
        </w:rPr>
        <w:t>13</w:t>
      </w:r>
      <w:r w:rsidR="00AB28B2">
        <w:rPr>
          <w:szCs w:val="24"/>
        </w:rPr>
        <w:t xml:space="preserve">. </w:t>
      </w:r>
      <w:r w:rsidR="00525A3F">
        <w:rPr>
          <w:szCs w:val="24"/>
        </w:rPr>
        <w:t>januar</w:t>
      </w:r>
      <w:r w:rsidR="000F424E" w:rsidRPr="000C6E24">
        <w:rPr>
          <w:szCs w:val="24"/>
        </w:rPr>
        <w:t xml:space="preserve"> 202</w:t>
      </w:r>
      <w:r w:rsidR="00525A3F">
        <w:rPr>
          <w:szCs w:val="24"/>
        </w:rPr>
        <w:t>5</w:t>
      </w:r>
    </w:p>
    <w:p w14:paraId="7A56AD2A" w14:textId="2D5CD925" w:rsidR="009260DE" w:rsidRPr="000C6E24" w:rsidRDefault="009260DE" w:rsidP="009260DE">
      <w:pPr>
        <w:pStyle w:val="Titel"/>
        <w:tabs>
          <w:tab w:val="left" w:pos="8222"/>
        </w:tabs>
        <w:jc w:val="left"/>
        <w:rPr>
          <w:b w:val="0"/>
          <w:szCs w:val="24"/>
        </w:rPr>
      </w:pPr>
    </w:p>
    <w:p w14:paraId="6A3E165F" w14:textId="77777777" w:rsidR="009260DE" w:rsidRPr="000C6E24" w:rsidRDefault="009260DE" w:rsidP="009260DE">
      <w:pPr>
        <w:pStyle w:val="Titel"/>
        <w:jc w:val="left"/>
        <w:rPr>
          <w:b w:val="0"/>
          <w:szCs w:val="24"/>
        </w:rPr>
      </w:pPr>
    </w:p>
    <w:p w14:paraId="6AED2CED" w14:textId="77777777" w:rsidR="009260DE" w:rsidRPr="000C6E24" w:rsidRDefault="009260DE" w:rsidP="009260DE">
      <w:pPr>
        <w:pStyle w:val="Titel"/>
        <w:jc w:val="left"/>
        <w:rPr>
          <w:b w:val="0"/>
          <w:szCs w:val="24"/>
        </w:rPr>
      </w:pPr>
    </w:p>
    <w:p w14:paraId="27E167F3" w14:textId="77777777" w:rsidR="009260DE" w:rsidRPr="000F424E" w:rsidRDefault="009260DE" w:rsidP="009260DE">
      <w:pPr>
        <w:jc w:val="center"/>
        <w:rPr>
          <w:b/>
          <w:sz w:val="24"/>
          <w:szCs w:val="24"/>
        </w:rPr>
      </w:pPr>
      <w:r w:rsidRPr="000F424E">
        <w:rPr>
          <w:b/>
          <w:sz w:val="24"/>
          <w:szCs w:val="24"/>
        </w:rPr>
        <w:t>PRODUKTRESUMÉ</w:t>
      </w:r>
    </w:p>
    <w:p w14:paraId="0D5DA5D4" w14:textId="77777777" w:rsidR="009260DE" w:rsidRPr="000F424E" w:rsidRDefault="009260DE" w:rsidP="009260DE">
      <w:pPr>
        <w:jc w:val="center"/>
        <w:rPr>
          <w:b/>
          <w:sz w:val="24"/>
          <w:szCs w:val="24"/>
        </w:rPr>
      </w:pPr>
    </w:p>
    <w:p w14:paraId="5CAF739B" w14:textId="77777777" w:rsidR="009260DE" w:rsidRPr="000F424E" w:rsidRDefault="009260DE" w:rsidP="009260DE">
      <w:pPr>
        <w:jc w:val="center"/>
        <w:rPr>
          <w:b/>
          <w:sz w:val="24"/>
          <w:szCs w:val="24"/>
        </w:rPr>
      </w:pPr>
      <w:r w:rsidRPr="000F424E">
        <w:rPr>
          <w:b/>
          <w:sz w:val="24"/>
          <w:szCs w:val="24"/>
        </w:rPr>
        <w:t>for</w:t>
      </w:r>
    </w:p>
    <w:p w14:paraId="51F2E6FC" w14:textId="77777777" w:rsidR="000B058C" w:rsidRPr="000F424E" w:rsidRDefault="000B058C" w:rsidP="009260DE">
      <w:pPr>
        <w:jc w:val="center"/>
        <w:rPr>
          <w:b/>
          <w:sz w:val="24"/>
          <w:szCs w:val="24"/>
        </w:rPr>
      </w:pPr>
    </w:p>
    <w:p w14:paraId="6E943E0A" w14:textId="77777777" w:rsidR="009260DE" w:rsidRPr="006B0E06" w:rsidRDefault="006B0E06" w:rsidP="009260DE">
      <w:pPr>
        <w:jc w:val="center"/>
        <w:rPr>
          <w:b/>
          <w:sz w:val="24"/>
          <w:szCs w:val="24"/>
        </w:rPr>
      </w:pPr>
      <w:proofErr w:type="spellStart"/>
      <w:r w:rsidRPr="006B0E06">
        <w:rPr>
          <w:b/>
          <w:sz w:val="24"/>
          <w:szCs w:val="24"/>
        </w:rPr>
        <w:t>Avaxim</w:t>
      </w:r>
      <w:proofErr w:type="spellEnd"/>
      <w:r w:rsidRPr="006B0E06">
        <w:rPr>
          <w:b/>
          <w:sz w:val="24"/>
          <w:szCs w:val="24"/>
        </w:rPr>
        <w:t xml:space="preserve"> Junior, injektionsvæske, </w:t>
      </w:r>
      <w:r>
        <w:rPr>
          <w:b/>
          <w:sz w:val="24"/>
          <w:szCs w:val="24"/>
        </w:rPr>
        <w:t>suspension i fyldt injektionssprøjte</w:t>
      </w:r>
    </w:p>
    <w:p w14:paraId="481D066F" w14:textId="77777777" w:rsidR="009260DE" w:rsidRPr="006B0E06" w:rsidRDefault="009260DE" w:rsidP="009260DE">
      <w:pPr>
        <w:jc w:val="both"/>
        <w:rPr>
          <w:sz w:val="24"/>
          <w:szCs w:val="24"/>
        </w:rPr>
      </w:pPr>
    </w:p>
    <w:p w14:paraId="1C8CB375" w14:textId="77777777" w:rsidR="009260DE" w:rsidRPr="006B0E06" w:rsidRDefault="009260DE" w:rsidP="009260DE">
      <w:pPr>
        <w:jc w:val="both"/>
        <w:rPr>
          <w:sz w:val="24"/>
          <w:szCs w:val="24"/>
        </w:rPr>
      </w:pPr>
    </w:p>
    <w:p w14:paraId="5CCD4EE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B58744B" w14:textId="77777777" w:rsidR="009260DE" w:rsidRPr="00C84483" w:rsidRDefault="00E076CC" w:rsidP="009260DE">
      <w:pPr>
        <w:tabs>
          <w:tab w:val="left" w:pos="851"/>
        </w:tabs>
        <w:ind w:left="851"/>
        <w:rPr>
          <w:sz w:val="24"/>
          <w:szCs w:val="24"/>
        </w:rPr>
      </w:pPr>
      <w:r>
        <w:rPr>
          <w:sz w:val="24"/>
          <w:szCs w:val="24"/>
        </w:rPr>
        <w:t>09623</w:t>
      </w:r>
    </w:p>
    <w:p w14:paraId="1B723791" w14:textId="77777777" w:rsidR="009260DE" w:rsidRPr="00C84483" w:rsidRDefault="009260DE" w:rsidP="009260DE">
      <w:pPr>
        <w:tabs>
          <w:tab w:val="left" w:pos="851"/>
        </w:tabs>
        <w:ind w:left="851"/>
        <w:rPr>
          <w:sz w:val="24"/>
          <w:szCs w:val="24"/>
        </w:rPr>
      </w:pPr>
    </w:p>
    <w:p w14:paraId="07CA72B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CA0BE48" w14:textId="77777777" w:rsidR="009260DE" w:rsidRPr="00C84483" w:rsidRDefault="00E076CC" w:rsidP="009260DE">
      <w:pPr>
        <w:tabs>
          <w:tab w:val="left" w:pos="851"/>
        </w:tabs>
        <w:ind w:left="851"/>
        <w:rPr>
          <w:sz w:val="24"/>
          <w:szCs w:val="24"/>
        </w:rPr>
      </w:pPr>
      <w:proofErr w:type="spellStart"/>
      <w:r>
        <w:rPr>
          <w:sz w:val="24"/>
          <w:szCs w:val="24"/>
        </w:rPr>
        <w:t>Avaxim</w:t>
      </w:r>
      <w:proofErr w:type="spellEnd"/>
      <w:r>
        <w:rPr>
          <w:sz w:val="24"/>
          <w:szCs w:val="24"/>
        </w:rPr>
        <w:t xml:space="preserve"> Junior</w:t>
      </w:r>
    </w:p>
    <w:p w14:paraId="3DB0D980" w14:textId="77777777" w:rsidR="009260DE" w:rsidRPr="00C84483" w:rsidRDefault="009260DE" w:rsidP="009260DE">
      <w:pPr>
        <w:tabs>
          <w:tab w:val="left" w:pos="851"/>
        </w:tabs>
        <w:ind w:left="851"/>
        <w:rPr>
          <w:sz w:val="24"/>
          <w:szCs w:val="24"/>
        </w:rPr>
      </w:pPr>
    </w:p>
    <w:p w14:paraId="4494DB6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DB167A4" w14:textId="77777777" w:rsidR="00E076CC" w:rsidRPr="00E076CC" w:rsidRDefault="00E076CC" w:rsidP="00E076CC">
      <w:pPr>
        <w:tabs>
          <w:tab w:val="left" w:pos="851"/>
        </w:tabs>
        <w:ind w:left="851"/>
        <w:rPr>
          <w:sz w:val="24"/>
          <w:szCs w:val="24"/>
        </w:rPr>
      </w:pPr>
    </w:p>
    <w:p w14:paraId="39E1D007" w14:textId="77777777" w:rsidR="00E076CC" w:rsidRPr="00E8433F" w:rsidRDefault="00E076CC" w:rsidP="00E076CC">
      <w:pPr>
        <w:tabs>
          <w:tab w:val="left" w:pos="851"/>
        </w:tabs>
        <w:ind w:left="851"/>
        <w:rPr>
          <w:sz w:val="24"/>
          <w:szCs w:val="24"/>
          <w:u w:val="single"/>
        </w:rPr>
      </w:pPr>
      <w:bookmarkStart w:id="0" w:name="_Hlk58837893"/>
      <w:r w:rsidRPr="00E8433F">
        <w:rPr>
          <w:sz w:val="24"/>
          <w:szCs w:val="24"/>
          <w:u w:val="single"/>
        </w:rPr>
        <w:t>En 0,5 ml dosis indeholder</w:t>
      </w:r>
    </w:p>
    <w:p w14:paraId="26F66107" w14:textId="77777777" w:rsidR="00E076CC" w:rsidRPr="00E076CC" w:rsidRDefault="00E076CC" w:rsidP="00E076CC">
      <w:pPr>
        <w:tabs>
          <w:tab w:val="left" w:pos="851"/>
        </w:tabs>
        <w:ind w:left="851"/>
        <w:rPr>
          <w:sz w:val="24"/>
          <w:szCs w:val="24"/>
        </w:rPr>
      </w:pPr>
    </w:p>
    <w:p w14:paraId="54F52421" w14:textId="77777777" w:rsidR="00E076CC" w:rsidRPr="00E076CC" w:rsidRDefault="00E076CC" w:rsidP="00E076CC">
      <w:pPr>
        <w:tabs>
          <w:tab w:val="left" w:pos="851"/>
        </w:tabs>
        <w:ind w:left="851"/>
        <w:rPr>
          <w:sz w:val="24"/>
          <w:szCs w:val="24"/>
        </w:rPr>
      </w:pPr>
      <w:r w:rsidRPr="00E076CC">
        <w:rPr>
          <w:sz w:val="24"/>
          <w:szCs w:val="24"/>
        </w:rPr>
        <w:t xml:space="preserve">Hepatitis A-virus, GBM-stamme (inaktiveret) </w:t>
      </w:r>
      <w:r w:rsidRPr="00E076CC">
        <w:rPr>
          <w:sz w:val="24"/>
          <w:szCs w:val="24"/>
          <w:vertAlign w:val="superscript"/>
        </w:rPr>
        <w:t>1, 2</w:t>
      </w:r>
      <w:r w:rsidRPr="00E076CC">
        <w:rPr>
          <w:sz w:val="24"/>
          <w:szCs w:val="24"/>
        </w:rPr>
        <w:t xml:space="preserve"> ......</w:t>
      </w:r>
      <w:r w:rsidR="00F27804">
        <w:rPr>
          <w:sz w:val="24"/>
          <w:szCs w:val="24"/>
        </w:rPr>
        <w:t>...</w:t>
      </w:r>
      <w:r w:rsidRPr="00E076CC">
        <w:rPr>
          <w:sz w:val="24"/>
          <w:szCs w:val="24"/>
        </w:rPr>
        <w:t>80 ELISA-enheder</w:t>
      </w:r>
      <w:r w:rsidRPr="00E076CC">
        <w:rPr>
          <w:sz w:val="24"/>
          <w:szCs w:val="24"/>
          <w:vertAlign w:val="superscript"/>
        </w:rPr>
        <w:t>3</w:t>
      </w:r>
    </w:p>
    <w:p w14:paraId="5B77F6FB" w14:textId="77777777" w:rsidR="00E076CC" w:rsidRPr="00E076CC" w:rsidRDefault="00E076CC" w:rsidP="00E076CC">
      <w:pPr>
        <w:tabs>
          <w:tab w:val="left" w:pos="851"/>
        </w:tabs>
        <w:ind w:left="851"/>
        <w:rPr>
          <w:sz w:val="24"/>
          <w:szCs w:val="24"/>
        </w:rPr>
      </w:pPr>
    </w:p>
    <w:p w14:paraId="244AD1BA" w14:textId="77777777" w:rsidR="00E076CC" w:rsidRPr="00E8433F" w:rsidRDefault="00E076CC" w:rsidP="00E8433F">
      <w:pPr>
        <w:ind w:left="993" w:hanging="142"/>
        <w:rPr>
          <w:sz w:val="20"/>
        </w:rPr>
      </w:pPr>
      <w:r w:rsidRPr="00E8433F">
        <w:rPr>
          <w:sz w:val="20"/>
          <w:vertAlign w:val="superscript"/>
        </w:rPr>
        <w:t>1</w:t>
      </w:r>
      <w:r w:rsidR="00E8433F">
        <w:rPr>
          <w:sz w:val="20"/>
          <w:vertAlign w:val="superscript"/>
        </w:rPr>
        <w:tab/>
      </w:r>
      <w:r w:rsidRPr="00E8433F">
        <w:rPr>
          <w:sz w:val="20"/>
        </w:rPr>
        <w:t xml:space="preserve">dyrket på humane </w:t>
      </w:r>
      <w:proofErr w:type="spellStart"/>
      <w:r w:rsidRPr="00E8433F">
        <w:rPr>
          <w:sz w:val="20"/>
        </w:rPr>
        <w:t>diploide</w:t>
      </w:r>
      <w:proofErr w:type="spellEnd"/>
      <w:r w:rsidRPr="00E8433F">
        <w:rPr>
          <w:sz w:val="20"/>
        </w:rPr>
        <w:t xml:space="preserve"> (MRC-5) celler</w:t>
      </w:r>
    </w:p>
    <w:p w14:paraId="655C9E8A" w14:textId="77777777" w:rsidR="00E076CC" w:rsidRPr="00E8433F" w:rsidRDefault="00E076CC" w:rsidP="00E8433F">
      <w:pPr>
        <w:ind w:left="993" w:hanging="142"/>
        <w:rPr>
          <w:sz w:val="20"/>
        </w:rPr>
      </w:pPr>
      <w:r w:rsidRPr="00E8433F">
        <w:rPr>
          <w:sz w:val="20"/>
          <w:vertAlign w:val="superscript"/>
        </w:rPr>
        <w:t>2</w:t>
      </w:r>
      <w:r w:rsidR="00E8433F">
        <w:rPr>
          <w:sz w:val="20"/>
        </w:rPr>
        <w:tab/>
      </w:r>
      <w:r w:rsidRPr="00E8433F">
        <w:rPr>
          <w:sz w:val="20"/>
        </w:rPr>
        <w:t>adsorberet på aluminiumhydroxid, hydreret (0,15 mg Al</w:t>
      </w:r>
      <w:r w:rsidRPr="00E8433F">
        <w:rPr>
          <w:sz w:val="20"/>
          <w:vertAlign w:val="superscript"/>
        </w:rPr>
        <w:t>3+</w:t>
      </w:r>
      <w:r w:rsidRPr="00E8433F">
        <w:rPr>
          <w:sz w:val="20"/>
        </w:rPr>
        <w:t>)</w:t>
      </w:r>
    </w:p>
    <w:p w14:paraId="2D3B0966" w14:textId="77777777" w:rsidR="00E076CC" w:rsidRPr="00E8433F" w:rsidRDefault="00E076CC" w:rsidP="00E8433F">
      <w:pPr>
        <w:ind w:left="993" w:hanging="142"/>
        <w:rPr>
          <w:sz w:val="20"/>
        </w:rPr>
      </w:pPr>
      <w:r w:rsidRPr="00E8433F">
        <w:rPr>
          <w:sz w:val="20"/>
          <w:vertAlign w:val="superscript"/>
        </w:rPr>
        <w:t>3</w:t>
      </w:r>
      <w:r w:rsidR="00E8433F">
        <w:rPr>
          <w:sz w:val="20"/>
        </w:rPr>
        <w:tab/>
      </w:r>
      <w:r w:rsidRPr="00E8433F">
        <w:rPr>
          <w:sz w:val="20"/>
        </w:rPr>
        <w:t>ELISA-enhed. Da der ikke findes en international standardiseret reference, udtrykkes antigenindholdet ved hjælp af en intern reference.</w:t>
      </w:r>
    </w:p>
    <w:bookmarkEnd w:id="0"/>
    <w:p w14:paraId="4CE44BCC" w14:textId="77777777" w:rsidR="00E076CC" w:rsidRPr="00E076CC" w:rsidRDefault="00E076CC" w:rsidP="00E076CC">
      <w:pPr>
        <w:tabs>
          <w:tab w:val="left" w:pos="851"/>
        </w:tabs>
        <w:ind w:left="851"/>
        <w:rPr>
          <w:sz w:val="24"/>
          <w:szCs w:val="24"/>
        </w:rPr>
      </w:pPr>
    </w:p>
    <w:p w14:paraId="6D3C9E5C" w14:textId="77777777" w:rsidR="00E076CC" w:rsidRPr="00E076CC" w:rsidRDefault="00E076CC" w:rsidP="00E076CC">
      <w:pPr>
        <w:tabs>
          <w:tab w:val="left" w:pos="851"/>
        </w:tabs>
        <w:ind w:left="851"/>
        <w:rPr>
          <w:sz w:val="24"/>
          <w:szCs w:val="24"/>
          <w:u w:val="single"/>
        </w:rPr>
      </w:pPr>
      <w:r w:rsidRPr="00E076CC">
        <w:rPr>
          <w:sz w:val="24"/>
          <w:szCs w:val="24"/>
          <w:u w:val="single"/>
        </w:rPr>
        <w:t>Reststoffer af klinisk relevans</w:t>
      </w:r>
    </w:p>
    <w:p w14:paraId="499413AD" w14:textId="77777777" w:rsidR="00E076CC" w:rsidRPr="00E076CC" w:rsidRDefault="00E076CC" w:rsidP="00E076CC">
      <w:pPr>
        <w:tabs>
          <w:tab w:val="left" w:pos="851"/>
        </w:tabs>
        <w:ind w:left="851"/>
        <w:rPr>
          <w:sz w:val="24"/>
          <w:szCs w:val="24"/>
        </w:rPr>
      </w:pPr>
      <w:r w:rsidRPr="00E076CC">
        <w:rPr>
          <w:sz w:val="24"/>
          <w:szCs w:val="24"/>
        </w:rPr>
        <w:t xml:space="preserve">Vaccinen kan indeholde spor af </w:t>
      </w:r>
      <w:proofErr w:type="spellStart"/>
      <w:r w:rsidRPr="00E076CC">
        <w:rPr>
          <w:sz w:val="24"/>
          <w:szCs w:val="24"/>
        </w:rPr>
        <w:t>neomycin</w:t>
      </w:r>
      <w:proofErr w:type="spellEnd"/>
      <w:r w:rsidRPr="00E076CC">
        <w:rPr>
          <w:sz w:val="24"/>
          <w:szCs w:val="24"/>
        </w:rPr>
        <w:t xml:space="preserve">, som anvendes i fremstillingsprocessen (se pkt. 4.3). </w:t>
      </w:r>
    </w:p>
    <w:p w14:paraId="50C3AF2F" w14:textId="77777777" w:rsidR="00E076CC" w:rsidRPr="00E076CC" w:rsidRDefault="00E076CC" w:rsidP="00E076CC">
      <w:pPr>
        <w:tabs>
          <w:tab w:val="left" w:pos="851"/>
        </w:tabs>
        <w:ind w:left="851"/>
        <w:rPr>
          <w:sz w:val="24"/>
          <w:szCs w:val="24"/>
        </w:rPr>
      </w:pPr>
    </w:p>
    <w:p w14:paraId="7E248805" w14:textId="77777777" w:rsidR="00E076CC" w:rsidRPr="00E076CC" w:rsidRDefault="00E076CC" w:rsidP="00E076CC">
      <w:pPr>
        <w:tabs>
          <w:tab w:val="left" w:pos="851"/>
        </w:tabs>
        <w:ind w:left="851"/>
        <w:rPr>
          <w:sz w:val="24"/>
          <w:szCs w:val="24"/>
          <w:u w:val="single"/>
        </w:rPr>
      </w:pPr>
      <w:r w:rsidRPr="00E076CC">
        <w:rPr>
          <w:sz w:val="24"/>
          <w:szCs w:val="24"/>
          <w:u w:val="single"/>
        </w:rPr>
        <w:t>Hjælpestof, som behandleren skal være opmærksom på (se pkt. 4.4)</w:t>
      </w:r>
    </w:p>
    <w:p w14:paraId="5A8321E0" w14:textId="77777777" w:rsidR="00E076CC" w:rsidRPr="00E076CC" w:rsidRDefault="00E076CC" w:rsidP="00E076CC">
      <w:pPr>
        <w:tabs>
          <w:tab w:val="left" w:pos="851"/>
        </w:tabs>
        <w:ind w:left="851"/>
        <w:rPr>
          <w:sz w:val="24"/>
          <w:szCs w:val="24"/>
        </w:rPr>
      </w:pPr>
      <w:proofErr w:type="spellStart"/>
      <w:r w:rsidRPr="00E076CC">
        <w:rPr>
          <w:sz w:val="24"/>
          <w:szCs w:val="24"/>
        </w:rPr>
        <w:t>Phenylalanin</w:t>
      </w:r>
      <w:proofErr w:type="spellEnd"/>
      <w:r w:rsidRPr="00E076CC">
        <w:rPr>
          <w:sz w:val="24"/>
          <w:szCs w:val="24"/>
        </w:rPr>
        <w:t>………………</w:t>
      </w:r>
      <w:r w:rsidR="00F27804">
        <w:rPr>
          <w:sz w:val="24"/>
          <w:szCs w:val="24"/>
        </w:rPr>
        <w:t>…………………</w:t>
      </w:r>
      <w:proofErr w:type="gramStart"/>
      <w:r w:rsidR="00F27804">
        <w:rPr>
          <w:sz w:val="24"/>
          <w:szCs w:val="24"/>
        </w:rPr>
        <w:t>………….</w:t>
      </w:r>
      <w:proofErr w:type="gramEnd"/>
      <w:r w:rsidRPr="00E076CC">
        <w:rPr>
          <w:sz w:val="24"/>
          <w:szCs w:val="24"/>
        </w:rPr>
        <w:t>10 mikrogram</w:t>
      </w:r>
    </w:p>
    <w:p w14:paraId="73B7642A" w14:textId="77777777" w:rsidR="00E076CC" w:rsidRPr="00E076CC" w:rsidRDefault="00E076CC" w:rsidP="00E076CC">
      <w:pPr>
        <w:tabs>
          <w:tab w:val="left" w:pos="851"/>
        </w:tabs>
        <w:ind w:left="851"/>
        <w:rPr>
          <w:sz w:val="24"/>
          <w:szCs w:val="24"/>
          <w:u w:val="single"/>
        </w:rPr>
      </w:pPr>
    </w:p>
    <w:p w14:paraId="5D8A9EA2" w14:textId="77777777" w:rsidR="00E076CC" w:rsidRPr="00E076CC" w:rsidRDefault="00E076CC" w:rsidP="00E076CC">
      <w:pPr>
        <w:tabs>
          <w:tab w:val="left" w:pos="851"/>
        </w:tabs>
        <w:ind w:left="851"/>
        <w:rPr>
          <w:sz w:val="24"/>
          <w:szCs w:val="24"/>
        </w:rPr>
      </w:pPr>
      <w:r w:rsidRPr="00E076CC">
        <w:rPr>
          <w:sz w:val="24"/>
          <w:szCs w:val="24"/>
        </w:rPr>
        <w:t>Alle hjælpestoffer er anført under pkt. 6.1.</w:t>
      </w:r>
    </w:p>
    <w:p w14:paraId="29F4A4F7" w14:textId="77777777" w:rsidR="009260DE" w:rsidRPr="00C84483" w:rsidRDefault="009260DE" w:rsidP="009260DE">
      <w:pPr>
        <w:tabs>
          <w:tab w:val="left" w:pos="851"/>
        </w:tabs>
        <w:ind w:left="851"/>
        <w:rPr>
          <w:sz w:val="24"/>
          <w:szCs w:val="24"/>
        </w:rPr>
      </w:pPr>
    </w:p>
    <w:p w14:paraId="296951B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87116AD" w14:textId="77777777" w:rsidR="00F27804" w:rsidRDefault="00F27804" w:rsidP="00F27804">
      <w:pPr>
        <w:tabs>
          <w:tab w:val="left" w:pos="851"/>
        </w:tabs>
        <w:ind w:left="851"/>
        <w:rPr>
          <w:sz w:val="24"/>
          <w:szCs w:val="24"/>
        </w:rPr>
      </w:pPr>
      <w:r w:rsidRPr="00F27804">
        <w:rPr>
          <w:sz w:val="24"/>
          <w:szCs w:val="24"/>
        </w:rPr>
        <w:t>Injektionsvæske, suspension i fyldt injektionssprøjte</w:t>
      </w:r>
    </w:p>
    <w:p w14:paraId="357FB6FA" w14:textId="77777777" w:rsidR="00F27804" w:rsidRPr="00F27804" w:rsidRDefault="00F27804" w:rsidP="00F27804">
      <w:pPr>
        <w:tabs>
          <w:tab w:val="left" w:pos="851"/>
        </w:tabs>
        <w:ind w:left="851"/>
        <w:rPr>
          <w:sz w:val="24"/>
          <w:szCs w:val="24"/>
        </w:rPr>
      </w:pPr>
    </w:p>
    <w:p w14:paraId="7F9B5D46" w14:textId="77777777" w:rsidR="00F27804" w:rsidRPr="00F27804" w:rsidRDefault="00F27804" w:rsidP="00F27804">
      <w:pPr>
        <w:tabs>
          <w:tab w:val="left" w:pos="851"/>
        </w:tabs>
        <w:ind w:left="851"/>
        <w:rPr>
          <w:sz w:val="24"/>
          <w:szCs w:val="24"/>
        </w:rPr>
      </w:pPr>
      <w:r w:rsidRPr="00F27804">
        <w:rPr>
          <w:sz w:val="24"/>
          <w:szCs w:val="24"/>
        </w:rPr>
        <w:t>Hepatitis A-vaccine (inaktiveret, adsorberet) er en uklar og hvidlig suspension.</w:t>
      </w:r>
    </w:p>
    <w:p w14:paraId="06563913" w14:textId="77777777" w:rsidR="009260DE" w:rsidRPr="00C84483" w:rsidRDefault="009260DE" w:rsidP="009260DE">
      <w:pPr>
        <w:tabs>
          <w:tab w:val="left" w:pos="851"/>
        </w:tabs>
        <w:ind w:left="851"/>
        <w:rPr>
          <w:sz w:val="24"/>
          <w:szCs w:val="24"/>
        </w:rPr>
      </w:pPr>
    </w:p>
    <w:p w14:paraId="34D83E15" w14:textId="77777777" w:rsidR="00AE740B" w:rsidRDefault="00AE740B">
      <w:pPr>
        <w:rPr>
          <w:sz w:val="24"/>
          <w:szCs w:val="24"/>
        </w:rPr>
      </w:pPr>
      <w:r>
        <w:rPr>
          <w:sz w:val="24"/>
          <w:szCs w:val="24"/>
        </w:rPr>
        <w:br w:type="page"/>
      </w:r>
    </w:p>
    <w:p w14:paraId="66D27D99" w14:textId="77777777" w:rsidR="009260DE" w:rsidRPr="00C84483" w:rsidRDefault="009260DE" w:rsidP="009260DE">
      <w:pPr>
        <w:tabs>
          <w:tab w:val="left" w:pos="851"/>
        </w:tabs>
        <w:ind w:left="851"/>
        <w:rPr>
          <w:sz w:val="24"/>
          <w:szCs w:val="24"/>
        </w:rPr>
      </w:pPr>
    </w:p>
    <w:p w14:paraId="34294BD9"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F4F8193" w14:textId="77777777" w:rsidR="009260DE" w:rsidRPr="00C84483" w:rsidRDefault="009260DE" w:rsidP="009260DE">
      <w:pPr>
        <w:tabs>
          <w:tab w:val="left" w:pos="851"/>
        </w:tabs>
        <w:ind w:left="851"/>
        <w:rPr>
          <w:b/>
          <w:sz w:val="24"/>
          <w:szCs w:val="24"/>
        </w:rPr>
      </w:pPr>
    </w:p>
    <w:p w14:paraId="182AB1A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8EE37EC" w14:textId="77777777" w:rsidR="00AE740B" w:rsidRPr="00AE740B" w:rsidRDefault="00AE740B" w:rsidP="00AE740B">
      <w:pPr>
        <w:tabs>
          <w:tab w:val="left" w:pos="851"/>
        </w:tabs>
        <w:ind w:left="851"/>
        <w:rPr>
          <w:sz w:val="24"/>
          <w:szCs w:val="24"/>
        </w:rPr>
      </w:pPr>
      <w:r w:rsidRPr="00AE740B">
        <w:rPr>
          <w:sz w:val="24"/>
          <w:szCs w:val="24"/>
        </w:rPr>
        <w:t>Aktiv immunisering mod infektion forårsaget af hepatitis A-virus hos børn i alderen fra 1 år og til og med 15 år.</w:t>
      </w:r>
    </w:p>
    <w:p w14:paraId="25E433ED" w14:textId="77777777" w:rsidR="00AE740B" w:rsidRPr="00AE740B" w:rsidRDefault="00AE740B" w:rsidP="00AE740B">
      <w:pPr>
        <w:tabs>
          <w:tab w:val="left" w:pos="851"/>
        </w:tabs>
        <w:ind w:left="851"/>
        <w:rPr>
          <w:sz w:val="24"/>
          <w:szCs w:val="24"/>
        </w:rPr>
      </w:pPr>
    </w:p>
    <w:p w14:paraId="3EA8C0BF" w14:textId="77777777" w:rsidR="00AE740B" w:rsidRPr="00AE740B" w:rsidRDefault="00AE740B" w:rsidP="00AE740B">
      <w:pPr>
        <w:tabs>
          <w:tab w:val="left" w:pos="851"/>
        </w:tabs>
        <w:ind w:left="851"/>
        <w:rPr>
          <w:sz w:val="24"/>
          <w:szCs w:val="24"/>
        </w:rPr>
      </w:pPr>
      <w:proofErr w:type="spellStart"/>
      <w:r w:rsidRPr="00AE740B">
        <w:rPr>
          <w:sz w:val="24"/>
          <w:szCs w:val="24"/>
        </w:rPr>
        <w:t>Avaxim</w:t>
      </w:r>
      <w:proofErr w:type="spellEnd"/>
      <w:r w:rsidRPr="00AE740B">
        <w:rPr>
          <w:sz w:val="24"/>
          <w:szCs w:val="24"/>
        </w:rPr>
        <w:t xml:space="preserve"> Junior skal anvendes i overensstemmelse med officielle anbefalinger. </w:t>
      </w:r>
    </w:p>
    <w:p w14:paraId="6AF73B52" w14:textId="77777777" w:rsidR="009260DE" w:rsidRPr="00C84483" w:rsidRDefault="009260DE" w:rsidP="009260DE">
      <w:pPr>
        <w:tabs>
          <w:tab w:val="left" w:pos="851"/>
        </w:tabs>
        <w:ind w:left="851"/>
        <w:rPr>
          <w:sz w:val="24"/>
          <w:szCs w:val="24"/>
        </w:rPr>
      </w:pPr>
    </w:p>
    <w:p w14:paraId="29ABB41F" w14:textId="621A4491"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B28B2">
        <w:rPr>
          <w:b/>
          <w:sz w:val="24"/>
          <w:szCs w:val="24"/>
        </w:rPr>
        <w:t>administration</w:t>
      </w:r>
    </w:p>
    <w:p w14:paraId="3B29E280" w14:textId="77777777" w:rsidR="00AE740B" w:rsidRDefault="00AE740B" w:rsidP="00AE740B">
      <w:pPr>
        <w:tabs>
          <w:tab w:val="left" w:pos="851"/>
        </w:tabs>
        <w:ind w:left="851"/>
        <w:rPr>
          <w:sz w:val="24"/>
          <w:szCs w:val="24"/>
          <w:u w:val="single"/>
        </w:rPr>
      </w:pPr>
    </w:p>
    <w:p w14:paraId="50E32F27" w14:textId="77777777" w:rsidR="00AE740B" w:rsidRPr="00AE740B" w:rsidRDefault="00AE740B" w:rsidP="00AE740B">
      <w:pPr>
        <w:tabs>
          <w:tab w:val="left" w:pos="851"/>
        </w:tabs>
        <w:ind w:left="851"/>
        <w:rPr>
          <w:sz w:val="24"/>
          <w:szCs w:val="24"/>
          <w:u w:val="single"/>
        </w:rPr>
      </w:pPr>
      <w:r w:rsidRPr="00AE740B">
        <w:rPr>
          <w:sz w:val="24"/>
          <w:szCs w:val="24"/>
          <w:u w:val="single"/>
        </w:rPr>
        <w:t>Dosering</w:t>
      </w:r>
    </w:p>
    <w:p w14:paraId="3694BF2A" w14:textId="77777777" w:rsidR="00AE740B" w:rsidRPr="00AE740B" w:rsidRDefault="00AE740B" w:rsidP="00AE740B">
      <w:pPr>
        <w:tabs>
          <w:tab w:val="left" w:pos="851"/>
        </w:tabs>
        <w:ind w:left="851"/>
        <w:rPr>
          <w:iCs/>
          <w:sz w:val="24"/>
          <w:szCs w:val="24"/>
        </w:rPr>
      </w:pPr>
      <w:r w:rsidRPr="00AE740B">
        <w:rPr>
          <w:iCs/>
          <w:sz w:val="24"/>
          <w:szCs w:val="24"/>
        </w:rPr>
        <w:t xml:space="preserve">Primærvaccination består af én dosis på 0,5 ml. Indledende beskyttelse nås inden for 2 uger efter administration. </w:t>
      </w:r>
    </w:p>
    <w:p w14:paraId="0376797D" w14:textId="77777777" w:rsidR="00AE740B" w:rsidRPr="00AE740B" w:rsidRDefault="00AE740B" w:rsidP="00AE740B">
      <w:pPr>
        <w:tabs>
          <w:tab w:val="left" w:pos="851"/>
        </w:tabs>
        <w:ind w:left="851"/>
        <w:rPr>
          <w:iCs/>
          <w:sz w:val="24"/>
          <w:szCs w:val="24"/>
        </w:rPr>
      </w:pPr>
    </w:p>
    <w:p w14:paraId="6E129FEE" w14:textId="77777777" w:rsidR="00AB28B2" w:rsidRDefault="00AB28B2" w:rsidP="00AB28B2">
      <w:pPr>
        <w:tabs>
          <w:tab w:val="left" w:pos="851"/>
        </w:tabs>
        <w:ind w:left="851"/>
        <w:rPr>
          <w:iCs/>
          <w:sz w:val="24"/>
          <w:szCs w:val="24"/>
        </w:rPr>
      </w:pPr>
      <w:r>
        <w:rPr>
          <w:iCs/>
          <w:sz w:val="24"/>
          <w:szCs w:val="24"/>
        </w:rPr>
        <w:t xml:space="preserve">For at opnå langtidsbeskyttelse anbefales en anden dosis (booster) af vaccinen gives. Denne booster-dosis bør indgives 6 måneder til 10 år efter første dosis (se pkt. 5.1). </w:t>
      </w:r>
    </w:p>
    <w:p w14:paraId="5B8E6352" w14:textId="77777777" w:rsidR="00AB28B2" w:rsidRDefault="00AB28B2" w:rsidP="00AB28B2">
      <w:pPr>
        <w:tabs>
          <w:tab w:val="left" w:pos="851"/>
        </w:tabs>
        <w:ind w:left="851"/>
        <w:rPr>
          <w:iCs/>
          <w:sz w:val="24"/>
          <w:szCs w:val="24"/>
        </w:rPr>
      </w:pPr>
    </w:p>
    <w:p w14:paraId="0085365B" w14:textId="77777777" w:rsidR="00AB28B2" w:rsidRDefault="00AB28B2" w:rsidP="00AB28B2">
      <w:pPr>
        <w:tabs>
          <w:tab w:val="left" w:pos="851"/>
        </w:tabs>
        <w:ind w:left="851"/>
        <w:rPr>
          <w:sz w:val="24"/>
          <w:szCs w:val="24"/>
        </w:rPr>
      </w:pPr>
      <w:r>
        <w:rPr>
          <w:sz w:val="24"/>
          <w:szCs w:val="24"/>
        </w:rPr>
        <w:t xml:space="preserve">I overensstemmelse med WHO’s anbefalinger kan der i børnevaccinationsprogrammet i tilfælde af overgang fra høj til </w:t>
      </w:r>
      <w:proofErr w:type="spellStart"/>
      <w:r>
        <w:rPr>
          <w:sz w:val="24"/>
          <w:szCs w:val="24"/>
        </w:rPr>
        <w:t>intermediær</w:t>
      </w:r>
      <w:proofErr w:type="spellEnd"/>
      <w:r>
        <w:rPr>
          <w:sz w:val="24"/>
          <w:szCs w:val="24"/>
        </w:rPr>
        <w:t xml:space="preserve"> endemisk tilstand enten anvendes en enkeltdosis eller to doser (primær vaccination og booster).</w:t>
      </w:r>
    </w:p>
    <w:p w14:paraId="7FFD2CE4" w14:textId="77777777" w:rsidR="00AE740B" w:rsidRPr="00AE740B" w:rsidRDefault="00AE740B" w:rsidP="00AE740B">
      <w:pPr>
        <w:tabs>
          <w:tab w:val="left" w:pos="851"/>
        </w:tabs>
        <w:ind w:left="851"/>
        <w:rPr>
          <w:iCs/>
          <w:sz w:val="24"/>
          <w:szCs w:val="24"/>
        </w:rPr>
      </w:pPr>
    </w:p>
    <w:p w14:paraId="2EB02D2D" w14:textId="77777777" w:rsidR="00AE740B" w:rsidRPr="00AE740B" w:rsidRDefault="00AE740B" w:rsidP="00AE740B">
      <w:pPr>
        <w:tabs>
          <w:tab w:val="left" w:pos="851"/>
        </w:tabs>
        <w:ind w:left="851"/>
        <w:rPr>
          <w:iCs/>
          <w:sz w:val="24"/>
          <w:szCs w:val="24"/>
        </w:rPr>
      </w:pPr>
      <w:r w:rsidRPr="00AE740B">
        <w:rPr>
          <w:sz w:val="24"/>
          <w:szCs w:val="24"/>
        </w:rPr>
        <w:t>Vaccinen kan anvendes som booster-vaccine hos personer, som tidligere er blevet vaccineret med en anden inaktiveret hepatitis A-vaccine.</w:t>
      </w:r>
    </w:p>
    <w:p w14:paraId="37C1E50D" w14:textId="77777777" w:rsidR="00AE740B" w:rsidRPr="00AE740B" w:rsidRDefault="00AE740B" w:rsidP="00AE740B">
      <w:pPr>
        <w:tabs>
          <w:tab w:val="left" w:pos="851"/>
        </w:tabs>
        <w:ind w:left="851"/>
        <w:rPr>
          <w:iCs/>
          <w:sz w:val="24"/>
          <w:szCs w:val="24"/>
        </w:rPr>
      </w:pPr>
    </w:p>
    <w:p w14:paraId="247CE510" w14:textId="77777777" w:rsidR="00AE740B" w:rsidRPr="00AE740B" w:rsidRDefault="00AE740B" w:rsidP="00AE740B">
      <w:pPr>
        <w:tabs>
          <w:tab w:val="left" w:pos="851"/>
        </w:tabs>
        <w:ind w:left="851"/>
        <w:rPr>
          <w:sz w:val="24"/>
          <w:szCs w:val="24"/>
          <w:u w:val="single"/>
        </w:rPr>
      </w:pPr>
      <w:r w:rsidRPr="00AE740B">
        <w:rPr>
          <w:sz w:val="24"/>
          <w:szCs w:val="24"/>
          <w:u w:val="single"/>
        </w:rPr>
        <w:t>Administration</w:t>
      </w:r>
    </w:p>
    <w:p w14:paraId="666C5946" w14:textId="77777777" w:rsidR="00AE740B" w:rsidRPr="00AE740B" w:rsidRDefault="00AE740B" w:rsidP="00AE740B">
      <w:pPr>
        <w:tabs>
          <w:tab w:val="left" w:pos="851"/>
        </w:tabs>
        <w:ind w:left="851"/>
        <w:rPr>
          <w:sz w:val="24"/>
          <w:szCs w:val="24"/>
        </w:rPr>
      </w:pPr>
      <w:proofErr w:type="spellStart"/>
      <w:r w:rsidRPr="00AE740B">
        <w:rPr>
          <w:sz w:val="24"/>
          <w:szCs w:val="24"/>
        </w:rPr>
        <w:t>Avaxim</w:t>
      </w:r>
      <w:proofErr w:type="spellEnd"/>
      <w:r w:rsidRPr="00AE740B">
        <w:rPr>
          <w:sz w:val="24"/>
          <w:szCs w:val="24"/>
        </w:rPr>
        <w:t xml:space="preserve"> Junior bør administreres ved intramuskulært i </w:t>
      </w:r>
      <w:proofErr w:type="spellStart"/>
      <w:r w:rsidRPr="00AE740B">
        <w:rPr>
          <w:sz w:val="24"/>
          <w:szCs w:val="24"/>
        </w:rPr>
        <w:t>deltoidregionen</w:t>
      </w:r>
      <w:proofErr w:type="spellEnd"/>
      <w:r w:rsidRPr="00AE740B">
        <w:rPr>
          <w:sz w:val="24"/>
          <w:szCs w:val="24"/>
        </w:rPr>
        <w:t xml:space="preserve"> hos større børn og unge, og i det </w:t>
      </w:r>
      <w:proofErr w:type="spellStart"/>
      <w:r w:rsidRPr="00AE740B">
        <w:rPr>
          <w:sz w:val="24"/>
          <w:szCs w:val="24"/>
        </w:rPr>
        <w:t>anterolaterale</w:t>
      </w:r>
      <w:proofErr w:type="spellEnd"/>
      <w:r w:rsidRPr="00AE740B">
        <w:rPr>
          <w:sz w:val="24"/>
          <w:szCs w:val="24"/>
        </w:rPr>
        <w:t xml:space="preserve"> område af låret hos mindre børn.</w:t>
      </w:r>
    </w:p>
    <w:p w14:paraId="65A9B0B0" w14:textId="77777777" w:rsidR="00AE740B" w:rsidRPr="00AE740B" w:rsidRDefault="00AE740B" w:rsidP="00AE740B">
      <w:pPr>
        <w:tabs>
          <w:tab w:val="left" w:pos="851"/>
        </w:tabs>
        <w:ind w:left="851"/>
        <w:rPr>
          <w:sz w:val="24"/>
          <w:szCs w:val="24"/>
        </w:rPr>
      </w:pPr>
    </w:p>
    <w:p w14:paraId="39EC3D1C" w14:textId="77777777" w:rsidR="00AE740B" w:rsidRPr="00AE740B" w:rsidRDefault="00AE740B" w:rsidP="00AE740B">
      <w:pPr>
        <w:tabs>
          <w:tab w:val="left" w:pos="851"/>
        </w:tabs>
        <w:ind w:left="851"/>
        <w:rPr>
          <w:sz w:val="24"/>
          <w:szCs w:val="24"/>
        </w:rPr>
      </w:pPr>
      <w:proofErr w:type="spellStart"/>
      <w:r w:rsidRPr="00AE740B">
        <w:rPr>
          <w:sz w:val="24"/>
          <w:szCs w:val="24"/>
        </w:rPr>
        <w:t>Avaxim</w:t>
      </w:r>
      <w:proofErr w:type="spellEnd"/>
      <w:r w:rsidRPr="00AE740B">
        <w:rPr>
          <w:sz w:val="24"/>
          <w:szCs w:val="24"/>
        </w:rPr>
        <w:t xml:space="preserve"> Junior må ikke indgives </w:t>
      </w:r>
      <w:proofErr w:type="spellStart"/>
      <w:r w:rsidRPr="00AE740B">
        <w:rPr>
          <w:sz w:val="24"/>
          <w:szCs w:val="24"/>
        </w:rPr>
        <w:t>intradermalt</w:t>
      </w:r>
      <w:proofErr w:type="spellEnd"/>
      <w:r w:rsidRPr="00AE740B">
        <w:rPr>
          <w:sz w:val="24"/>
          <w:szCs w:val="24"/>
        </w:rPr>
        <w:t xml:space="preserve"> eller </w:t>
      </w:r>
      <w:proofErr w:type="spellStart"/>
      <w:r w:rsidRPr="00AE740B">
        <w:rPr>
          <w:sz w:val="24"/>
          <w:szCs w:val="24"/>
        </w:rPr>
        <w:t>intravaskulært</w:t>
      </w:r>
      <w:proofErr w:type="spellEnd"/>
      <w:r w:rsidRPr="00AE740B">
        <w:rPr>
          <w:sz w:val="24"/>
          <w:szCs w:val="24"/>
        </w:rPr>
        <w:t>. Det skal sikres, at kanylen ikke penetrerer en blodåre.</w:t>
      </w:r>
    </w:p>
    <w:p w14:paraId="36F1279A" w14:textId="77777777" w:rsidR="00AE740B" w:rsidRPr="00AE740B" w:rsidRDefault="00AE740B" w:rsidP="00AE740B">
      <w:pPr>
        <w:tabs>
          <w:tab w:val="left" w:pos="851"/>
        </w:tabs>
        <w:ind w:left="851"/>
        <w:rPr>
          <w:sz w:val="24"/>
          <w:szCs w:val="24"/>
        </w:rPr>
      </w:pPr>
    </w:p>
    <w:p w14:paraId="5C88FCE9" w14:textId="77777777" w:rsidR="00AE740B" w:rsidRPr="00AE740B" w:rsidRDefault="00AE740B" w:rsidP="00AE740B">
      <w:pPr>
        <w:tabs>
          <w:tab w:val="left" w:pos="851"/>
        </w:tabs>
        <w:ind w:left="851"/>
        <w:rPr>
          <w:sz w:val="24"/>
          <w:szCs w:val="24"/>
        </w:rPr>
      </w:pPr>
      <w:r w:rsidRPr="00AE740B">
        <w:rPr>
          <w:sz w:val="24"/>
          <w:szCs w:val="24"/>
        </w:rPr>
        <w:t xml:space="preserve">Undtagelsesvis (f.eks. hos patienter med </w:t>
      </w:r>
      <w:proofErr w:type="spellStart"/>
      <w:r w:rsidRPr="00AE740B">
        <w:rPr>
          <w:sz w:val="24"/>
          <w:szCs w:val="24"/>
        </w:rPr>
        <w:t>trombocytopeni</w:t>
      </w:r>
      <w:proofErr w:type="spellEnd"/>
      <w:r w:rsidRPr="00AE740B">
        <w:rPr>
          <w:sz w:val="24"/>
          <w:szCs w:val="24"/>
        </w:rPr>
        <w:t xml:space="preserve"> eller hos patienter med blødningsrisiko), kan vaccinen injiceres subkutant.</w:t>
      </w:r>
    </w:p>
    <w:p w14:paraId="0E5B58CE" w14:textId="77777777" w:rsidR="00AE740B" w:rsidRPr="00AE740B" w:rsidRDefault="00AE740B" w:rsidP="00AE740B">
      <w:pPr>
        <w:tabs>
          <w:tab w:val="left" w:pos="851"/>
        </w:tabs>
        <w:ind w:left="851"/>
        <w:rPr>
          <w:sz w:val="24"/>
          <w:szCs w:val="24"/>
        </w:rPr>
      </w:pPr>
    </w:p>
    <w:p w14:paraId="616A885D" w14:textId="77777777" w:rsidR="00AE740B" w:rsidRPr="00AE740B" w:rsidRDefault="00AE740B" w:rsidP="00AE740B">
      <w:pPr>
        <w:tabs>
          <w:tab w:val="left" w:pos="851"/>
        </w:tabs>
        <w:ind w:left="851"/>
        <w:rPr>
          <w:sz w:val="24"/>
          <w:szCs w:val="24"/>
        </w:rPr>
      </w:pPr>
      <w:r w:rsidRPr="00AE740B">
        <w:rPr>
          <w:sz w:val="24"/>
          <w:szCs w:val="24"/>
        </w:rPr>
        <w:t>Vaccinen bør ikke administreres i sædemusklen på grund af den varierende mængde fedtvæv i dette område, som kan bidrage til varierende effekt af vaccinen.</w:t>
      </w:r>
    </w:p>
    <w:p w14:paraId="4EFE3419" w14:textId="77777777" w:rsidR="00AE740B" w:rsidRPr="00AE740B" w:rsidRDefault="00AE740B" w:rsidP="00AE740B">
      <w:pPr>
        <w:tabs>
          <w:tab w:val="left" w:pos="851"/>
        </w:tabs>
        <w:ind w:left="851"/>
        <w:rPr>
          <w:sz w:val="24"/>
          <w:szCs w:val="24"/>
        </w:rPr>
      </w:pPr>
    </w:p>
    <w:p w14:paraId="09217488" w14:textId="77777777" w:rsidR="00AE740B" w:rsidRPr="00AE740B" w:rsidRDefault="00AE740B" w:rsidP="00AE740B">
      <w:pPr>
        <w:tabs>
          <w:tab w:val="left" w:pos="851"/>
        </w:tabs>
        <w:ind w:left="851"/>
        <w:rPr>
          <w:i/>
          <w:sz w:val="24"/>
          <w:szCs w:val="24"/>
        </w:rPr>
      </w:pPr>
      <w:r w:rsidRPr="00AE740B">
        <w:rPr>
          <w:i/>
          <w:sz w:val="24"/>
          <w:szCs w:val="24"/>
        </w:rPr>
        <w:t>Sikkerhedsforanstaltninger, der skal tages før håndtering og administration af lægemidlet</w:t>
      </w:r>
    </w:p>
    <w:p w14:paraId="638049E4" w14:textId="77777777" w:rsidR="00AE740B" w:rsidRPr="00AE740B" w:rsidRDefault="00AE740B" w:rsidP="00AE740B">
      <w:pPr>
        <w:tabs>
          <w:tab w:val="left" w:pos="851"/>
        </w:tabs>
        <w:ind w:left="851"/>
        <w:rPr>
          <w:sz w:val="24"/>
          <w:szCs w:val="24"/>
        </w:rPr>
      </w:pPr>
      <w:r w:rsidRPr="00AE740B">
        <w:rPr>
          <w:sz w:val="24"/>
          <w:szCs w:val="24"/>
        </w:rPr>
        <w:t>For instruktioner om klargøring af lægemidlet før administration, se pkt. 6.6.</w:t>
      </w:r>
    </w:p>
    <w:p w14:paraId="4B9F8A6B" w14:textId="77777777" w:rsidR="009260DE" w:rsidRPr="00C84483" w:rsidRDefault="009260DE" w:rsidP="009260DE">
      <w:pPr>
        <w:tabs>
          <w:tab w:val="left" w:pos="851"/>
        </w:tabs>
        <w:ind w:left="851"/>
        <w:rPr>
          <w:sz w:val="24"/>
          <w:szCs w:val="24"/>
        </w:rPr>
      </w:pPr>
    </w:p>
    <w:p w14:paraId="428DF58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B10060A" w14:textId="77777777" w:rsidR="001A6B09" w:rsidRPr="001A6B09" w:rsidRDefault="001A6B09" w:rsidP="001A6B09">
      <w:pPr>
        <w:numPr>
          <w:ilvl w:val="0"/>
          <w:numId w:val="6"/>
        </w:numPr>
        <w:tabs>
          <w:tab w:val="clear" w:pos="360"/>
          <w:tab w:val="left" w:pos="1134"/>
        </w:tabs>
        <w:ind w:left="1134" w:hanging="283"/>
        <w:rPr>
          <w:sz w:val="24"/>
          <w:szCs w:val="24"/>
        </w:rPr>
      </w:pPr>
      <w:r w:rsidRPr="001A6B09">
        <w:rPr>
          <w:sz w:val="24"/>
          <w:szCs w:val="24"/>
        </w:rPr>
        <w:t xml:space="preserve">Overfølsomhed over for det aktive stof eller over for et eller flere af hjælpestofferne anført i pkt. 6.1 eller over for </w:t>
      </w:r>
      <w:proofErr w:type="spellStart"/>
      <w:r w:rsidRPr="001A6B09">
        <w:rPr>
          <w:sz w:val="24"/>
          <w:szCs w:val="24"/>
        </w:rPr>
        <w:t>neomycin</w:t>
      </w:r>
      <w:proofErr w:type="spellEnd"/>
      <w:r w:rsidRPr="001A6B09">
        <w:rPr>
          <w:sz w:val="24"/>
          <w:szCs w:val="24"/>
        </w:rPr>
        <w:t>, som kan være til stede i vaccinen i spormængder.</w:t>
      </w:r>
    </w:p>
    <w:p w14:paraId="10C4A5F9" w14:textId="77777777" w:rsidR="001A6B09" w:rsidRPr="001A6B09" w:rsidRDefault="001A6B09" w:rsidP="001A6B09">
      <w:pPr>
        <w:numPr>
          <w:ilvl w:val="0"/>
          <w:numId w:val="6"/>
        </w:numPr>
        <w:tabs>
          <w:tab w:val="clear" w:pos="360"/>
          <w:tab w:val="left" w:pos="1134"/>
        </w:tabs>
        <w:ind w:left="1134" w:hanging="283"/>
        <w:rPr>
          <w:sz w:val="24"/>
          <w:szCs w:val="24"/>
        </w:rPr>
      </w:pPr>
      <w:r w:rsidRPr="001A6B09">
        <w:rPr>
          <w:sz w:val="24"/>
          <w:szCs w:val="24"/>
        </w:rPr>
        <w:t xml:space="preserve">Overfølsomhed efter en tidligere injektion af denne vaccine. </w:t>
      </w:r>
    </w:p>
    <w:p w14:paraId="631FE9FE" w14:textId="77777777" w:rsidR="001A6B09" w:rsidRPr="001A6B09" w:rsidRDefault="001A6B09" w:rsidP="001A6B09">
      <w:pPr>
        <w:numPr>
          <w:ilvl w:val="0"/>
          <w:numId w:val="6"/>
        </w:numPr>
        <w:tabs>
          <w:tab w:val="clear" w:pos="360"/>
          <w:tab w:val="left" w:pos="1134"/>
        </w:tabs>
        <w:ind w:left="1134" w:hanging="283"/>
        <w:rPr>
          <w:sz w:val="24"/>
          <w:szCs w:val="24"/>
        </w:rPr>
      </w:pPr>
      <w:r w:rsidRPr="001A6B09">
        <w:rPr>
          <w:sz w:val="24"/>
          <w:szCs w:val="24"/>
        </w:rPr>
        <w:t>Vaccination bør udsættes hos personer med akut, svær febril sygdom.</w:t>
      </w:r>
    </w:p>
    <w:p w14:paraId="5A609960" w14:textId="77777777" w:rsidR="0021241A" w:rsidRDefault="0021241A">
      <w:pPr>
        <w:rPr>
          <w:sz w:val="24"/>
          <w:szCs w:val="24"/>
        </w:rPr>
      </w:pPr>
      <w:r>
        <w:rPr>
          <w:sz w:val="24"/>
          <w:szCs w:val="24"/>
        </w:rPr>
        <w:br w:type="page"/>
      </w:r>
    </w:p>
    <w:p w14:paraId="46E8EB7D" w14:textId="77777777" w:rsidR="001A6B09" w:rsidRPr="001A6B09" w:rsidRDefault="001A6B09" w:rsidP="001A6B09">
      <w:pPr>
        <w:tabs>
          <w:tab w:val="left" w:pos="1134"/>
        </w:tabs>
        <w:ind w:left="1134" w:hanging="283"/>
        <w:rPr>
          <w:sz w:val="24"/>
          <w:szCs w:val="24"/>
        </w:rPr>
      </w:pPr>
    </w:p>
    <w:p w14:paraId="709EFEA9"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E9C9AF3" w14:textId="77777777" w:rsidR="0021241A" w:rsidRPr="0021241A" w:rsidRDefault="0021241A" w:rsidP="0021241A">
      <w:pPr>
        <w:tabs>
          <w:tab w:val="left" w:pos="851"/>
        </w:tabs>
        <w:ind w:left="851"/>
        <w:rPr>
          <w:sz w:val="24"/>
          <w:szCs w:val="24"/>
        </w:rPr>
      </w:pPr>
    </w:p>
    <w:p w14:paraId="78F111FF" w14:textId="77777777" w:rsidR="0021241A" w:rsidRPr="0021241A" w:rsidRDefault="0021241A" w:rsidP="0021241A">
      <w:pPr>
        <w:tabs>
          <w:tab w:val="left" w:pos="851"/>
        </w:tabs>
        <w:ind w:left="851"/>
        <w:rPr>
          <w:sz w:val="24"/>
          <w:szCs w:val="24"/>
          <w:u w:val="single"/>
        </w:rPr>
      </w:pPr>
      <w:proofErr w:type="spellStart"/>
      <w:r w:rsidRPr="0021241A">
        <w:rPr>
          <w:sz w:val="24"/>
          <w:szCs w:val="24"/>
          <w:u w:val="single"/>
        </w:rPr>
        <w:t>Anafylaktisk</w:t>
      </w:r>
      <w:proofErr w:type="spellEnd"/>
      <w:r w:rsidRPr="0021241A">
        <w:rPr>
          <w:sz w:val="24"/>
          <w:szCs w:val="24"/>
          <w:u w:val="single"/>
        </w:rPr>
        <w:t xml:space="preserve"> reaktion</w:t>
      </w:r>
    </w:p>
    <w:p w14:paraId="534C6CE8" w14:textId="77777777" w:rsidR="0021241A" w:rsidRPr="0021241A" w:rsidRDefault="0021241A" w:rsidP="0021241A">
      <w:pPr>
        <w:tabs>
          <w:tab w:val="left" w:pos="851"/>
        </w:tabs>
        <w:ind w:left="851"/>
        <w:rPr>
          <w:sz w:val="24"/>
          <w:szCs w:val="24"/>
        </w:rPr>
      </w:pPr>
      <w:r w:rsidRPr="0021241A">
        <w:rPr>
          <w:sz w:val="24"/>
          <w:szCs w:val="24"/>
        </w:rPr>
        <w:t xml:space="preserve">Som ved enhver vaccine skal fornødne behandlingsfaciliteter og medicin være let tilgængelige til øjeblikkelig anvendelse i tilfælde af, at en sjælden </w:t>
      </w:r>
      <w:proofErr w:type="spellStart"/>
      <w:r w:rsidRPr="0021241A">
        <w:rPr>
          <w:sz w:val="24"/>
          <w:szCs w:val="24"/>
        </w:rPr>
        <w:t>anafylaktisk</w:t>
      </w:r>
      <w:proofErr w:type="spellEnd"/>
      <w:r w:rsidRPr="0021241A">
        <w:rPr>
          <w:sz w:val="24"/>
          <w:szCs w:val="24"/>
        </w:rPr>
        <w:t xml:space="preserve"> reaktion skulle forekomme efter vaccination. </w:t>
      </w:r>
      <w:proofErr w:type="spellStart"/>
      <w:r w:rsidRPr="0021241A">
        <w:rPr>
          <w:sz w:val="24"/>
          <w:szCs w:val="24"/>
        </w:rPr>
        <w:t>Avaxim</w:t>
      </w:r>
      <w:proofErr w:type="spellEnd"/>
      <w:r w:rsidRPr="0021241A">
        <w:rPr>
          <w:sz w:val="24"/>
          <w:szCs w:val="24"/>
        </w:rPr>
        <w:t xml:space="preserve"> Junior bør kun gives af en læge eller af sundhedspersonale, som er uddannet i administration af vacciner.</w:t>
      </w:r>
    </w:p>
    <w:p w14:paraId="35FAD121" w14:textId="77777777" w:rsidR="0021241A" w:rsidRPr="0021241A" w:rsidRDefault="0021241A" w:rsidP="0021241A">
      <w:pPr>
        <w:tabs>
          <w:tab w:val="left" w:pos="851"/>
        </w:tabs>
        <w:ind w:left="851"/>
        <w:rPr>
          <w:sz w:val="24"/>
          <w:szCs w:val="24"/>
        </w:rPr>
      </w:pPr>
    </w:p>
    <w:p w14:paraId="7235B873" w14:textId="77777777" w:rsidR="0021241A" w:rsidRPr="0021241A" w:rsidRDefault="0021241A" w:rsidP="0021241A">
      <w:pPr>
        <w:tabs>
          <w:tab w:val="left" w:pos="851"/>
        </w:tabs>
        <w:ind w:left="851"/>
        <w:rPr>
          <w:sz w:val="24"/>
          <w:szCs w:val="24"/>
          <w:u w:val="single"/>
        </w:rPr>
      </w:pPr>
      <w:r w:rsidRPr="0021241A">
        <w:rPr>
          <w:sz w:val="24"/>
          <w:szCs w:val="24"/>
          <w:u w:val="single"/>
        </w:rPr>
        <w:t>Angstrelaterede reaktioner</w:t>
      </w:r>
    </w:p>
    <w:p w14:paraId="11F20F56" w14:textId="77777777" w:rsidR="0021241A" w:rsidRPr="0021241A" w:rsidRDefault="0021241A" w:rsidP="0021241A">
      <w:pPr>
        <w:tabs>
          <w:tab w:val="left" w:pos="851"/>
        </w:tabs>
        <w:ind w:left="851"/>
        <w:rPr>
          <w:sz w:val="24"/>
          <w:szCs w:val="24"/>
        </w:rPr>
      </w:pPr>
      <w:r w:rsidRPr="0021241A">
        <w:rPr>
          <w:sz w:val="24"/>
          <w:szCs w:val="24"/>
        </w:rPr>
        <w:t xml:space="preserve">Synkope (besvimelse) kan opstå efter, eller endda før, en vaccination, især hos unge som en psykogen reaktion på injektionen med kanylen. Dette kan være ledsaget af flere neurologiske tegn og symptomer som f.eks. forbigående synsforstyrrelse, </w:t>
      </w:r>
      <w:proofErr w:type="spellStart"/>
      <w:r w:rsidRPr="0021241A">
        <w:rPr>
          <w:sz w:val="24"/>
          <w:szCs w:val="24"/>
        </w:rPr>
        <w:t>paræstesi</w:t>
      </w:r>
      <w:proofErr w:type="spellEnd"/>
      <w:r w:rsidRPr="0021241A">
        <w:rPr>
          <w:sz w:val="24"/>
          <w:szCs w:val="24"/>
        </w:rPr>
        <w:t xml:space="preserve"> og tonisk-kloniske bevægelser med arme og ben under bedringen. Det er vigtigt, at der findes procedurer til stede til at undgå skader som følge af besvimelse.</w:t>
      </w:r>
    </w:p>
    <w:p w14:paraId="0E431DF4" w14:textId="77777777" w:rsidR="0021241A" w:rsidRPr="0021241A" w:rsidRDefault="0021241A" w:rsidP="0021241A">
      <w:pPr>
        <w:tabs>
          <w:tab w:val="left" w:pos="851"/>
        </w:tabs>
        <w:ind w:left="851"/>
        <w:rPr>
          <w:sz w:val="24"/>
          <w:szCs w:val="24"/>
          <w:u w:val="single"/>
        </w:rPr>
      </w:pPr>
    </w:p>
    <w:p w14:paraId="3FE0C699" w14:textId="77777777" w:rsidR="0021241A" w:rsidRPr="0021241A" w:rsidRDefault="0021241A" w:rsidP="0021241A">
      <w:pPr>
        <w:tabs>
          <w:tab w:val="left" w:pos="851"/>
        </w:tabs>
        <w:ind w:left="851"/>
        <w:rPr>
          <w:sz w:val="24"/>
          <w:szCs w:val="24"/>
          <w:u w:val="single"/>
        </w:rPr>
      </w:pPr>
      <w:r w:rsidRPr="0021241A">
        <w:rPr>
          <w:sz w:val="24"/>
          <w:szCs w:val="24"/>
          <w:u w:val="single"/>
        </w:rPr>
        <w:t>Nedsat immunitet</w:t>
      </w:r>
    </w:p>
    <w:p w14:paraId="2D2FB4D3" w14:textId="77777777" w:rsidR="0021241A" w:rsidRPr="0021241A" w:rsidRDefault="0021241A" w:rsidP="0021241A">
      <w:pPr>
        <w:tabs>
          <w:tab w:val="left" w:pos="851"/>
        </w:tabs>
        <w:ind w:left="851"/>
        <w:rPr>
          <w:sz w:val="24"/>
          <w:szCs w:val="24"/>
        </w:rPr>
      </w:pPr>
      <w:proofErr w:type="spellStart"/>
      <w:r w:rsidRPr="0021241A">
        <w:rPr>
          <w:sz w:val="24"/>
          <w:szCs w:val="24"/>
        </w:rPr>
        <w:t>Avaxim</w:t>
      </w:r>
      <w:proofErr w:type="spellEnd"/>
      <w:r w:rsidRPr="0021241A">
        <w:rPr>
          <w:sz w:val="24"/>
          <w:szCs w:val="24"/>
        </w:rPr>
        <w:t xml:space="preserve"> Junior er ikke blevet undersøgt hos patienter med nedsat immunitet. Immunresponset på vaccinen kan svækkes af immunsuppressiv behandling eller af immuninsufficiens. I sådanne tilfælde anbefales det at måle antistofresponset for at være sikker på beskyttelse og - om muligt - at vente med at vaccinere, til immunsuppressiv behandling er afsluttet. Uanset om antistofresponset er begrænset, anbefales vaccination af personer med kronisk immuninsufficiens som f.eks. HIV-infektion.</w:t>
      </w:r>
    </w:p>
    <w:p w14:paraId="1A38C2F2" w14:textId="77777777" w:rsidR="0021241A" w:rsidRPr="0021241A" w:rsidRDefault="0021241A" w:rsidP="0021241A">
      <w:pPr>
        <w:tabs>
          <w:tab w:val="left" w:pos="851"/>
        </w:tabs>
        <w:ind w:left="851"/>
        <w:rPr>
          <w:sz w:val="24"/>
          <w:szCs w:val="24"/>
        </w:rPr>
      </w:pPr>
    </w:p>
    <w:p w14:paraId="0E9B6B8C" w14:textId="77777777" w:rsidR="0021241A" w:rsidRPr="0021241A" w:rsidRDefault="0021241A" w:rsidP="0021241A">
      <w:pPr>
        <w:tabs>
          <w:tab w:val="left" w:pos="851"/>
        </w:tabs>
        <w:ind w:left="851"/>
        <w:rPr>
          <w:sz w:val="24"/>
          <w:szCs w:val="24"/>
          <w:u w:val="single"/>
        </w:rPr>
      </w:pPr>
      <w:r w:rsidRPr="0021241A">
        <w:rPr>
          <w:sz w:val="24"/>
          <w:szCs w:val="24"/>
          <w:u w:val="single"/>
        </w:rPr>
        <w:t>Vaccination i inkubationsperioden</w:t>
      </w:r>
    </w:p>
    <w:p w14:paraId="7B79A516" w14:textId="77777777" w:rsidR="0021241A" w:rsidRPr="0021241A" w:rsidRDefault="0021241A" w:rsidP="0021241A">
      <w:pPr>
        <w:tabs>
          <w:tab w:val="left" w:pos="851"/>
        </w:tabs>
        <w:ind w:left="851"/>
        <w:rPr>
          <w:sz w:val="24"/>
          <w:szCs w:val="24"/>
        </w:rPr>
      </w:pPr>
      <w:r w:rsidRPr="0021241A">
        <w:rPr>
          <w:sz w:val="24"/>
          <w:szCs w:val="24"/>
        </w:rPr>
        <w:t xml:space="preserve">På grund af hepatitis A's inkubationsperiode kan infektion være til stede på tidspunktet for vaccination, uden at dette kan observeres klinisk. Effekten af </w:t>
      </w:r>
      <w:proofErr w:type="spellStart"/>
      <w:r w:rsidRPr="0021241A">
        <w:rPr>
          <w:sz w:val="24"/>
          <w:szCs w:val="24"/>
        </w:rPr>
        <w:t>Avaxim</w:t>
      </w:r>
      <w:proofErr w:type="spellEnd"/>
      <w:r w:rsidRPr="0021241A">
        <w:rPr>
          <w:sz w:val="24"/>
          <w:szCs w:val="24"/>
        </w:rPr>
        <w:t xml:space="preserve"> Junior hos personer sent i hepatitis A-inkubationsperioden er ikke blevet dokumenteret. I sådanne tilfælde vil en vaccination muligvis ikke ændre infektionsforløbet.</w:t>
      </w:r>
    </w:p>
    <w:p w14:paraId="04BF24EC" w14:textId="77777777" w:rsidR="0021241A" w:rsidRPr="0021241A" w:rsidRDefault="0021241A" w:rsidP="0021241A">
      <w:pPr>
        <w:tabs>
          <w:tab w:val="left" w:pos="851"/>
        </w:tabs>
        <w:ind w:left="851"/>
        <w:rPr>
          <w:sz w:val="24"/>
          <w:szCs w:val="24"/>
        </w:rPr>
      </w:pPr>
    </w:p>
    <w:p w14:paraId="33F822D0" w14:textId="77777777" w:rsidR="0021241A" w:rsidRPr="0021241A" w:rsidRDefault="0021241A" w:rsidP="0021241A">
      <w:pPr>
        <w:tabs>
          <w:tab w:val="left" w:pos="851"/>
        </w:tabs>
        <w:ind w:left="851"/>
        <w:rPr>
          <w:sz w:val="24"/>
          <w:szCs w:val="24"/>
          <w:u w:val="single"/>
        </w:rPr>
      </w:pPr>
      <w:r w:rsidRPr="0021241A">
        <w:rPr>
          <w:sz w:val="24"/>
          <w:szCs w:val="24"/>
          <w:u w:val="single"/>
        </w:rPr>
        <w:t>Vaccination af allerede immuniserede personer</w:t>
      </w:r>
    </w:p>
    <w:p w14:paraId="515C5E6D" w14:textId="77777777" w:rsidR="0021241A" w:rsidRPr="0021241A" w:rsidRDefault="0021241A" w:rsidP="0021241A">
      <w:pPr>
        <w:tabs>
          <w:tab w:val="left" w:pos="851"/>
        </w:tabs>
        <w:ind w:left="851"/>
        <w:rPr>
          <w:sz w:val="24"/>
          <w:szCs w:val="24"/>
        </w:rPr>
      </w:pPr>
      <w:r w:rsidRPr="0021241A">
        <w:rPr>
          <w:sz w:val="24"/>
          <w:szCs w:val="24"/>
        </w:rPr>
        <w:t xml:space="preserve">Personer, som er opvokset i hepatitis A højendemiske områder og/eller med gulsot i anamnesen, kan være immune over for hepatitis A, og hos disse personer er vaccination unødvendigt. I sådanne tilfælde bør det overvejes at teste for antistoffer mod hepatitis A forud for eventuel vaccination. </w:t>
      </w:r>
      <w:proofErr w:type="spellStart"/>
      <w:r w:rsidRPr="0021241A">
        <w:rPr>
          <w:sz w:val="24"/>
          <w:szCs w:val="24"/>
        </w:rPr>
        <w:t>Seropositivitet</w:t>
      </w:r>
      <w:proofErr w:type="spellEnd"/>
      <w:r w:rsidRPr="0021241A">
        <w:rPr>
          <w:sz w:val="24"/>
          <w:szCs w:val="24"/>
        </w:rPr>
        <w:t xml:space="preserve"> over for hepatitis A er dog ingen kontraindikation, hvis der ikke testes.</w:t>
      </w:r>
    </w:p>
    <w:p w14:paraId="5F9F65C5" w14:textId="77777777" w:rsidR="0021241A" w:rsidRPr="0021241A" w:rsidRDefault="0021241A" w:rsidP="0021241A">
      <w:pPr>
        <w:tabs>
          <w:tab w:val="left" w:pos="851"/>
        </w:tabs>
        <w:ind w:left="851"/>
        <w:rPr>
          <w:sz w:val="24"/>
          <w:szCs w:val="24"/>
        </w:rPr>
      </w:pPr>
    </w:p>
    <w:p w14:paraId="01101F2C" w14:textId="77777777" w:rsidR="0021241A" w:rsidRPr="0021241A" w:rsidRDefault="0021241A" w:rsidP="0021241A">
      <w:pPr>
        <w:tabs>
          <w:tab w:val="left" w:pos="851"/>
        </w:tabs>
        <w:ind w:left="851"/>
        <w:rPr>
          <w:sz w:val="24"/>
          <w:szCs w:val="24"/>
          <w:u w:val="single"/>
        </w:rPr>
      </w:pPr>
      <w:r w:rsidRPr="0021241A">
        <w:rPr>
          <w:sz w:val="24"/>
          <w:szCs w:val="24"/>
          <w:u w:val="single"/>
        </w:rPr>
        <w:t>Beskyttelse</w:t>
      </w:r>
    </w:p>
    <w:p w14:paraId="62887DF9" w14:textId="77777777" w:rsidR="0021241A" w:rsidRPr="0021241A" w:rsidRDefault="0021241A" w:rsidP="0021241A">
      <w:pPr>
        <w:tabs>
          <w:tab w:val="left" w:pos="851"/>
        </w:tabs>
        <w:ind w:left="851"/>
        <w:rPr>
          <w:sz w:val="24"/>
          <w:szCs w:val="24"/>
        </w:rPr>
      </w:pPr>
      <w:proofErr w:type="spellStart"/>
      <w:r w:rsidRPr="0021241A">
        <w:rPr>
          <w:sz w:val="24"/>
          <w:szCs w:val="24"/>
        </w:rPr>
        <w:t>Avaxim</w:t>
      </w:r>
      <w:proofErr w:type="spellEnd"/>
      <w:r w:rsidRPr="0021241A">
        <w:rPr>
          <w:sz w:val="24"/>
          <w:szCs w:val="24"/>
        </w:rPr>
        <w:t xml:space="preserve"> Junior giver ikke beskyttelse mod infektioner som skyldes hepatitis B-virus, hepatitis C-virus, hepatitis E-virus eller andre </w:t>
      </w:r>
      <w:proofErr w:type="spellStart"/>
      <w:r w:rsidRPr="0021241A">
        <w:rPr>
          <w:sz w:val="24"/>
          <w:szCs w:val="24"/>
        </w:rPr>
        <w:t>leverpatogener</w:t>
      </w:r>
      <w:proofErr w:type="spellEnd"/>
      <w:r w:rsidRPr="0021241A">
        <w:rPr>
          <w:sz w:val="24"/>
          <w:szCs w:val="24"/>
        </w:rPr>
        <w:t>.</w:t>
      </w:r>
    </w:p>
    <w:p w14:paraId="2955B2FE" w14:textId="77777777" w:rsidR="0021241A" w:rsidRPr="0021241A" w:rsidRDefault="0021241A" w:rsidP="0021241A">
      <w:pPr>
        <w:tabs>
          <w:tab w:val="left" w:pos="851"/>
        </w:tabs>
        <w:ind w:left="851"/>
        <w:rPr>
          <w:sz w:val="24"/>
          <w:szCs w:val="24"/>
        </w:rPr>
      </w:pPr>
      <w:r w:rsidRPr="0021241A">
        <w:rPr>
          <w:sz w:val="24"/>
          <w:szCs w:val="24"/>
        </w:rPr>
        <w:t>Som ved alle vacciner er der ikke sikkerhed for, at der opnås et beskyttende immunrespons hos alle vaccinerede personer.</w:t>
      </w:r>
    </w:p>
    <w:p w14:paraId="57C0910A" w14:textId="77777777" w:rsidR="0021241A" w:rsidRPr="0021241A" w:rsidRDefault="0021241A" w:rsidP="0021241A">
      <w:pPr>
        <w:tabs>
          <w:tab w:val="left" w:pos="851"/>
        </w:tabs>
        <w:ind w:left="851"/>
        <w:rPr>
          <w:sz w:val="24"/>
          <w:szCs w:val="24"/>
        </w:rPr>
      </w:pPr>
    </w:p>
    <w:p w14:paraId="11891383" w14:textId="77777777" w:rsidR="0021241A" w:rsidRPr="0021241A" w:rsidRDefault="0021241A" w:rsidP="0021241A">
      <w:pPr>
        <w:tabs>
          <w:tab w:val="left" w:pos="851"/>
        </w:tabs>
        <w:ind w:left="851"/>
        <w:rPr>
          <w:sz w:val="24"/>
          <w:szCs w:val="24"/>
          <w:u w:val="single"/>
        </w:rPr>
      </w:pPr>
      <w:proofErr w:type="spellStart"/>
      <w:r w:rsidRPr="0021241A">
        <w:rPr>
          <w:sz w:val="24"/>
          <w:szCs w:val="24"/>
          <w:u w:val="single"/>
        </w:rPr>
        <w:t>Avaxim</w:t>
      </w:r>
      <w:proofErr w:type="spellEnd"/>
      <w:r w:rsidRPr="0021241A">
        <w:rPr>
          <w:sz w:val="24"/>
          <w:szCs w:val="24"/>
          <w:u w:val="single"/>
        </w:rPr>
        <w:t xml:space="preserve"> Junior indeholder </w:t>
      </w:r>
      <w:proofErr w:type="spellStart"/>
      <w:r w:rsidRPr="0021241A">
        <w:rPr>
          <w:sz w:val="24"/>
          <w:szCs w:val="24"/>
          <w:u w:val="single"/>
        </w:rPr>
        <w:t>phenylalanin</w:t>
      </w:r>
      <w:proofErr w:type="spellEnd"/>
      <w:r w:rsidRPr="0021241A">
        <w:rPr>
          <w:sz w:val="24"/>
          <w:szCs w:val="24"/>
          <w:u w:val="single"/>
        </w:rPr>
        <w:t xml:space="preserve">, </w:t>
      </w:r>
      <w:proofErr w:type="spellStart"/>
      <w:r w:rsidRPr="0021241A">
        <w:rPr>
          <w:sz w:val="24"/>
          <w:szCs w:val="24"/>
          <w:u w:val="single"/>
        </w:rPr>
        <w:t>ethanol</w:t>
      </w:r>
      <w:proofErr w:type="spellEnd"/>
      <w:r w:rsidRPr="0021241A">
        <w:rPr>
          <w:sz w:val="24"/>
          <w:szCs w:val="24"/>
          <w:u w:val="single"/>
        </w:rPr>
        <w:t>, kalium og natrium</w:t>
      </w:r>
    </w:p>
    <w:p w14:paraId="52BE4B20" w14:textId="77777777" w:rsidR="0021241A" w:rsidRPr="0021241A" w:rsidRDefault="0021241A" w:rsidP="0021241A">
      <w:pPr>
        <w:numPr>
          <w:ilvl w:val="0"/>
          <w:numId w:val="7"/>
        </w:numPr>
        <w:tabs>
          <w:tab w:val="left" w:pos="851"/>
        </w:tabs>
        <w:ind w:left="1134" w:hanging="283"/>
        <w:rPr>
          <w:sz w:val="24"/>
          <w:szCs w:val="24"/>
        </w:rPr>
      </w:pPr>
      <w:proofErr w:type="spellStart"/>
      <w:r w:rsidRPr="0021241A">
        <w:rPr>
          <w:sz w:val="24"/>
          <w:szCs w:val="24"/>
        </w:rPr>
        <w:t>Avaxim</w:t>
      </w:r>
      <w:proofErr w:type="spellEnd"/>
      <w:r w:rsidRPr="0021241A">
        <w:rPr>
          <w:sz w:val="24"/>
          <w:szCs w:val="24"/>
        </w:rPr>
        <w:t xml:space="preserve"> Junior indeholder 10 mikrogram </w:t>
      </w:r>
      <w:proofErr w:type="spellStart"/>
      <w:r w:rsidRPr="0021241A">
        <w:rPr>
          <w:sz w:val="24"/>
          <w:szCs w:val="24"/>
        </w:rPr>
        <w:t>phenylalanin</w:t>
      </w:r>
      <w:proofErr w:type="spellEnd"/>
      <w:r w:rsidRPr="0021241A">
        <w:rPr>
          <w:sz w:val="24"/>
          <w:szCs w:val="24"/>
        </w:rPr>
        <w:t xml:space="preserve"> i hver 0,5 ml dosis, svarende til 0,17 mikrogram/kg hos en person, der vejer 60 kg. </w:t>
      </w:r>
      <w:proofErr w:type="spellStart"/>
      <w:r w:rsidRPr="0021241A">
        <w:rPr>
          <w:sz w:val="24"/>
          <w:szCs w:val="24"/>
        </w:rPr>
        <w:t>Phenylalanin</w:t>
      </w:r>
      <w:proofErr w:type="spellEnd"/>
      <w:r w:rsidRPr="0021241A">
        <w:rPr>
          <w:sz w:val="24"/>
          <w:szCs w:val="24"/>
        </w:rPr>
        <w:t xml:space="preserve"> kan være skadeligt for personer, der har </w:t>
      </w:r>
      <w:proofErr w:type="spellStart"/>
      <w:r w:rsidRPr="0021241A">
        <w:rPr>
          <w:sz w:val="24"/>
          <w:szCs w:val="24"/>
        </w:rPr>
        <w:t>phenylketonuri</w:t>
      </w:r>
      <w:proofErr w:type="spellEnd"/>
      <w:r w:rsidRPr="0021241A">
        <w:rPr>
          <w:sz w:val="24"/>
          <w:szCs w:val="24"/>
        </w:rPr>
        <w:t xml:space="preserve"> (PKU, </w:t>
      </w:r>
      <w:proofErr w:type="spellStart"/>
      <w:r w:rsidRPr="0021241A">
        <w:rPr>
          <w:sz w:val="24"/>
          <w:szCs w:val="24"/>
        </w:rPr>
        <w:t>Føllings</w:t>
      </w:r>
      <w:proofErr w:type="spellEnd"/>
      <w:r w:rsidRPr="0021241A">
        <w:rPr>
          <w:sz w:val="24"/>
          <w:szCs w:val="24"/>
        </w:rPr>
        <w:t xml:space="preserve"> sygdom), en sjælden genetisk lidelse, hvor </w:t>
      </w:r>
      <w:proofErr w:type="spellStart"/>
      <w:r w:rsidRPr="0021241A">
        <w:rPr>
          <w:sz w:val="24"/>
          <w:szCs w:val="24"/>
        </w:rPr>
        <w:t>phenylalanin</w:t>
      </w:r>
      <w:proofErr w:type="spellEnd"/>
      <w:r w:rsidRPr="0021241A">
        <w:rPr>
          <w:sz w:val="24"/>
          <w:szCs w:val="24"/>
        </w:rPr>
        <w:t xml:space="preserve"> ophobes, fordi kroppen ikke kan fjerne det ordentligt.</w:t>
      </w:r>
    </w:p>
    <w:p w14:paraId="6954EFDA" w14:textId="77777777" w:rsidR="0021241A" w:rsidRPr="0021241A" w:rsidRDefault="0021241A" w:rsidP="0021241A">
      <w:pPr>
        <w:numPr>
          <w:ilvl w:val="0"/>
          <w:numId w:val="7"/>
        </w:numPr>
        <w:tabs>
          <w:tab w:val="left" w:pos="851"/>
        </w:tabs>
        <w:ind w:left="1134" w:hanging="283"/>
        <w:rPr>
          <w:sz w:val="24"/>
          <w:szCs w:val="24"/>
        </w:rPr>
      </w:pPr>
      <w:proofErr w:type="spellStart"/>
      <w:r w:rsidRPr="0021241A">
        <w:rPr>
          <w:sz w:val="24"/>
          <w:szCs w:val="24"/>
        </w:rPr>
        <w:t>Avaxim</w:t>
      </w:r>
      <w:proofErr w:type="spellEnd"/>
      <w:r w:rsidRPr="0021241A">
        <w:rPr>
          <w:sz w:val="24"/>
          <w:szCs w:val="24"/>
        </w:rPr>
        <w:t xml:space="preserve"> Junior indeholder 2 mg alkohol (</w:t>
      </w:r>
      <w:proofErr w:type="spellStart"/>
      <w:r w:rsidRPr="0021241A">
        <w:rPr>
          <w:sz w:val="24"/>
          <w:szCs w:val="24"/>
        </w:rPr>
        <w:t>ethanol</w:t>
      </w:r>
      <w:proofErr w:type="spellEnd"/>
      <w:r w:rsidRPr="0021241A">
        <w:rPr>
          <w:sz w:val="24"/>
          <w:szCs w:val="24"/>
        </w:rPr>
        <w:t>) i hver 0,5 ml dosis. Den mindre mængde alkohol i dette lægemiddel vil ikke have nogen nævneværdig effekt.</w:t>
      </w:r>
    </w:p>
    <w:p w14:paraId="7A82673E" w14:textId="77777777" w:rsidR="0021241A" w:rsidRPr="0021241A" w:rsidRDefault="0021241A" w:rsidP="0021241A">
      <w:pPr>
        <w:numPr>
          <w:ilvl w:val="0"/>
          <w:numId w:val="7"/>
        </w:numPr>
        <w:tabs>
          <w:tab w:val="left" w:pos="851"/>
        </w:tabs>
        <w:ind w:left="1134" w:hanging="283"/>
        <w:rPr>
          <w:sz w:val="24"/>
          <w:szCs w:val="24"/>
        </w:rPr>
      </w:pPr>
      <w:proofErr w:type="spellStart"/>
      <w:r w:rsidRPr="0021241A">
        <w:rPr>
          <w:sz w:val="24"/>
          <w:szCs w:val="24"/>
        </w:rPr>
        <w:lastRenderedPageBreak/>
        <w:t>Avaxim</w:t>
      </w:r>
      <w:proofErr w:type="spellEnd"/>
      <w:r w:rsidRPr="0021241A">
        <w:rPr>
          <w:sz w:val="24"/>
          <w:szCs w:val="24"/>
        </w:rPr>
        <w:t xml:space="preserve"> Junior indeholder mindre end 1 mmol kalium (39 mg) og natrium (23 mg) pr. dosis, dvs. det er i det væsentlige kaliumfrit og natriumfrit.</w:t>
      </w:r>
    </w:p>
    <w:p w14:paraId="77BFA8AF" w14:textId="77777777" w:rsidR="0021241A" w:rsidRPr="0021241A" w:rsidRDefault="0021241A" w:rsidP="0021241A">
      <w:pPr>
        <w:tabs>
          <w:tab w:val="left" w:pos="851"/>
        </w:tabs>
        <w:ind w:left="851"/>
        <w:rPr>
          <w:sz w:val="24"/>
          <w:szCs w:val="24"/>
        </w:rPr>
      </w:pPr>
    </w:p>
    <w:p w14:paraId="0EB748D3" w14:textId="77777777" w:rsidR="0021241A" w:rsidRPr="0021241A" w:rsidRDefault="0021241A" w:rsidP="0021241A">
      <w:pPr>
        <w:tabs>
          <w:tab w:val="left" w:pos="851"/>
        </w:tabs>
        <w:ind w:left="851"/>
        <w:rPr>
          <w:sz w:val="24"/>
          <w:szCs w:val="24"/>
          <w:u w:val="single"/>
        </w:rPr>
      </w:pPr>
      <w:r w:rsidRPr="0021241A">
        <w:rPr>
          <w:sz w:val="24"/>
          <w:szCs w:val="24"/>
          <w:u w:val="single"/>
        </w:rPr>
        <w:t>Sporbarhed</w:t>
      </w:r>
    </w:p>
    <w:p w14:paraId="287174E3" w14:textId="77777777" w:rsidR="0021241A" w:rsidRPr="0021241A" w:rsidRDefault="0021241A" w:rsidP="0021241A">
      <w:pPr>
        <w:tabs>
          <w:tab w:val="left" w:pos="851"/>
        </w:tabs>
        <w:ind w:left="851"/>
        <w:rPr>
          <w:sz w:val="24"/>
          <w:szCs w:val="24"/>
        </w:rPr>
      </w:pPr>
      <w:r w:rsidRPr="0021241A">
        <w:rPr>
          <w:sz w:val="24"/>
          <w:szCs w:val="24"/>
        </w:rPr>
        <w:t>For at forbedre sporbarheden af biologiske lægemidler skal det administrerede produkts navn og batchnummer tydeligt registreres.</w:t>
      </w:r>
    </w:p>
    <w:p w14:paraId="239DDEB7" w14:textId="77777777" w:rsidR="009260DE" w:rsidRPr="00C84483" w:rsidRDefault="009260DE" w:rsidP="009260DE">
      <w:pPr>
        <w:tabs>
          <w:tab w:val="left" w:pos="851"/>
        </w:tabs>
        <w:ind w:left="851"/>
        <w:rPr>
          <w:sz w:val="24"/>
          <w:szCs w:val="24"/>
        </w:rPr>
      </w:pPr>
    </w:p>
    <w:p w14:paraId="7A75D96F"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623780E" w14:textId="77777777" w:rsidR="00246A32" w:rsidRPr="00246A32" w:rsidRDefault="00246A32" w:rsidP="00246A32">
      <w:pPr>
        <w:tabs>
          <w:tab w:val="left" w:pos="851"/>
        </w:tabs>
        <w:ind w:left="851"/>
        <w:rPr>
          <w:sz w:val="24"/>
          <w:szCs w:val="24"/>
        </w:rPr>
      </w:pPr>
      <w:r w:rsidRPr="00246A32">
        <w:rPr>
          <w:sz w:val="24"/>
          <w:szCs w:val="24"/>
        </w:rPr>
        <w:t>Der skal anvendes separate injektionssteder og kanyler ved samtidig administration af andre lægemidler.</w:t>
      </w:r>
    </w:p>
    <w:p w14:paraId="69C166F5" w14:textId="77777777" w:rsidR="00246A32" w:rsidRPr="00246A32" w:rsidRDefault="00246A32" w:rsidP="00246A32">
      <w:pPr>
        <w:tabs>
          <w:tab w:val="left" w:pos="851"/>
        </w:tabs>
        <w:ind w:left="851"/>
        <w:rPr>
          <w:sz w:val="24"/>
          <w:szCs w:val="24"/>
        </w:rPr>
      </w:pPr>
    </w:p>
    <w:p w14:paraId="3B97B5D9" w14:textId="77777777" w:rsidR="00246A32" w:rsidRPr="00246A32" w:rsidRDefault="00246A32" w:rsidP="00246A32">
      <w:pPr>
        <w:tabs>
          <w:tab w:val="left" w:pos="851"/>
        </w:tabs>
        <w:ind w:left="851"/>
        <w:rPr>
          <w:sz w:val="24"/>
          <w:szCs w:val="24"/>
        </w:rPr>
      </w:pPr>
      <w:proofErr w:type="spellStart"/>
      <w:r w:rsidRPr="00246A32">
        <w:rPr>
          <w:sz w:val="24"/>
          <w:szCs w:val="24"/>
        </w:rPr>
        <w:t>Avaxim</w:t>
      </w:r>
      <w:proofErr w:type="spellEnd"/>
      <w:r w:rsidRPr="00246A32">
        <w:rPr>
          <w:sz w:val="24"/>
          <w:szCs w:val="24"/>
        </w:rPr>
        <w:t xml:space="preserve"> Junior kan anvendes samtidigt med vacciner, der indeholder en eller flere af følgende valenser: difteri, tetanus, </w:t>
      </w:r>
      <w:proofErr w:type="spellStart"/>
      <w:r w:rsidRPr="00246A32">
        <w:rPr>
          <w:sz w:val="24"/>
          <w:szCs w:val="24"/>
        </w:rPr>
        <w:t>pertussis</w:t>
      </w:r>
      <w:proofErr w:type="spellEnd"/>
      <w:r w:rsidRPr="00246A32">
        <w:rPr>
          <w:sz w:val="24"/>
          <w:szCs w:val="24"/>
        </w:rPr>
        <w:t xml:space="preserve"> (</w:t>
      </w:r>
      <w:proofErr w:type="spellStart"/>
      <w:r w:rsidRPr="00246A32">
        <w:rPr>
          <w:sz w:val="24"/>
          <w:szCs w:val="24"/>
        </w:rPr>
        <w:t>acellulær</w:t>
      </w:r>
      <w:proofErr w:type="spellEnd"/>
      <w:r w:rsidRPr="00246A32">
        <w:rPr>
          <w:sz w:val="24"/>
          <w:szCs w:val="24"/>
        </w:rPr>
        <w:t xml:space="preserve"> eller helcellet), </w:t>
      </w:r>
      <w:proofErr w:type="spellStart"/>
      <w:r w:rsidRPr="00246A32">
        <w:rPr>
          <w:i/>
          <w:sz w:val="24"/>
          <w:szCs w:val="24"/>
        </w:rPr>
        <w:t>Haemophilus</w:t>
      </w:r>
      <w:proofErr w:type="spellEnd"/>
      <w:r w:rsidRPr="00246A32">
        <w:rPr>
          <w:i/>
          <w:sz w:val="24"/>
          <w:szCs w:val="24"/>
        </w:rPr>
        <w:t xml:space="preserve"> </w:t>
      </w:r>
      <w:proofErr w:type="spellStart"/>
      <w:r w:rsidRPr="00246A32">
        <w:rPr>
          <w:i/>
          <w:sz w:val="24"/>
          <w:szCs w:val="24"/>
        </w:rPr>
        <w:t>influenzae</w:t>
      </w:r>
      <w:proofErr w:type="spellEnd"/>
      <w:r w:rsidRPr="00246A32">
        <w:rPr>
          <w:sz w:val="24"/>
          <w:szCs w:val="24"/>
        </w:rPr>
        <w:t xml:space="preserve"> type b, inaktiveret eller oral poliomyelitis, mæslinger, fåresyge og røde hunde.</w:t>
      </w:r>
    </w:p>
    <w:p w14:paraId="46280E70" w14:textId="77777777" w:rsidR="00246A32" w:rsidRPr="00246A32" w:rsidRDefault="00246A32" w:rsidP="00246A32">
      <w:pPr>
        <w:tabs>
          <w:tab w:val="left" w:pos="851"/>
        </w:tabs>
        <w:ind w:left="851"/>
        <w:rPr>
          <w:sz w:val="24"/>
          <w:szCs w:val="24"/>
        </w:rPr>
      </w:pPr>
    </w:p>
    <w:p w14:paraId="09BEB8E8" w14:textId="77777777" w:rsidR="00246A32" w:rsidRPr="00246A32" w:rsidRDefault="00246A32" w:rsidP="00246A32">
      <w:pPr>
        <w:tabs>
          <w:tab w:val="left" w:pos="851"/>
        </w:tabs>
        <w:ind w:left="851"/>
        <w:rPr>
          <w:sz w:val="24"/>
          <w:szCs w:val="24"/>
        </w:rPr>
      </w:pPr>
      <w:r w:rsidRPr="00246A32">
        <w:rPr>
          <w:sz w:val="24"/>
          <w:szCs w:val="24"/>
        </w:rPr>
        <w:t xml:space="preserve">Samtidig administration af </w:t>
      </w:r>
      <w:proofErr w:type="spellStart"/>
      <w:r w:rsidRPr="00246A32">
        <w:rPr>
          <w:sz w:val="24"/>
          <w:szCs w:val="24"/>
        </w:rPr>
        <w:t>immunoglobulin</w:t>
      </w:r>
      <w:proofErr w:type="spellEnd"/>
      <w:r w:rsidRPr="00246A32">
        <w:rPr>
          <w:sz w:val="24"/>
          <w:szCs w:val="24"/>
        </w:rPr>
        <w:t xml:space="preserve"> og </w:t>
      </w:r>
      <w:proofErr w:type="spellStart"/>
      <w:r w:rsidRPr="00246A32">
        <w:rPr>
          <w:sz w:val="24"/>
          <w:szCs w:val="24"/>
        </w:rPr>
        <w:t>Avaxim</w:t>
      </w:r>
      <w:proofErr w:type="spellEnd"/>
      <w:r w:rsidRPr="00246A32">
        <w:rPr>
          <w:sz w:val="24"/>
          <w:szCs w:val="24"/>
        </w:rPr>
        <w:t xml:space="preserve"> (svarende til 160 E-enheder) er blevet undersøgt hos voksne, men samtidig administration af </w:t>
      </w:r>
      <w:proofErr w:type="spellStart"/>
      <w:r w:rsidRPr="00246A32">
        <w:rPr>
          <w:sz w:val="24"/>
          <w:szCs w:val="24"/>
        </w:rPr>
        <w:t>Avaxim</w:t>
      </w:r>
      <w:proofErr w:type="spellEnd"/>
      <w:r w:rsidRPr="00246A32">
        <w:rPr>
          <w:sz w:val="24"/>
          <w:szCs w:val="24"/>
        </w:rPr>
        <w:t xml:space="preserve"> Junior og </w:t>
      </w:r>
      <w:proofErr w:type="spellStart"/>
      <w:r w:rsidRPr="00246A32">
        <w:rPr>
          <w:sz w:val="24"/>
          <w:szCs w:val="24"/>
        </w:rPr>
        <w:t>immunoglobulin</w:t>
      </w:r>
      <w:proofErr w:type="spellEnd"/>
      <w:r w:rsidRPr="00246A32">
        <w:rPr>
          <w:sz w:val="24"/>
          <w:szCs w:val="24"/>
        </w:rPr>
        <w:t xml:space="preserve"> er ikke undersøgt hos børn. Resultaterne fra </w:t>
      </w:r>
      <w:proofErr w:type="spellStart"/>
      <w:r w:rsidRPr="00246A32">
        <w:rPr>
          <w:sz w:val="24"/>
          <w:szCs w:val="24"/>
        </w:rPr>
        <w:t>Avaxim</w:t>
      </w:r>
      <w:proofErr w:type="spellEnd"/>
      <w:r w:rsidRPr="00246A32">
        <w:rPr>
          <w:sz w:val="24"/>
          <w:szCs w:val="24"/>
        </w:rPr>
        <w:t xml:space="preserve"> hos voksne tyder på, at </w:t>
      </w:r>
      <w:proofErr w:type="spellStart"/>
      <w:r w:rsidRPr="00246A32">
        <w:rPr>
          <w:sz w:val="24"/>
          <w:szCs w:val="24"/>
        </w:rPr>
        <w:t>immunoglobulin</w:t>
      </w:r>
      <w:proofErr w:type="spellEnd"/>
      <w:r w:rsidRPr="00246A32">
        <w:rPr>
          <w:sz w:val="24"/>
          <w:szCs w:val="24"/>
        </w:rPr>
        <w:t xml:space="preserve"> og </w:t>
      </w:r>
      <w:proofErr w:type="spellStart"/>
      <w:r w:rsidRPr="00246A32">
        <w:rPr>
          <w:sz w:val="24"/>
          <w:szCs w:val="24"/>
        </w:rPr>
        <w:t>Avaxim</w:t>
      </w:r>
      <w:proofErr w:type="spellEnd"/>
      <w:r w:rsidRPr="00246A32">
        <w:rPr>
          <w:sz w:val="24"/>
          <w:szCs w:val="24"/>
        </w:rPr>
        <w:t xml:space="preserve"> Junior kan administreres samtidigt på forskellige injektionssteder. Andelen af </w:t>
      </w:r>
      <w:proofErr w:type="spellStart"/>
      <w:r w:rsidRPr="00246A32">
        <w:rPr>
          <w:sz w:val="24"/>
          <w:szCs w:val="24"/>
        </w:rPr>
        <w:t>serokonverterede</w:t>
      </w:r>
      <w:proofErr w:type="spellEnd"/>
      <w:r w:rsidRPr="00246A32">
        <w:rPr>
          <w:sz w:val="24"/>
          <w:szCs w:val="24"/>
        </w:rPr>
        <w:t xml:space="preserve"> påvirkes ikke, men </w:t>
      </w:r>
      <w:proofErr w:type="spellStart"/>
      <w:r w:rsidRPr="00246A32">
        <w:rPr>
          <w:sz w:val="24"/>
          <w:szCs w:val="24"/>
        </w:rPr>
        <w:t>antistoftitre</w:t>
      </w:r>
      <w:proofErr w:type="spellEnd"/>
      <w:r w:rsidRPr="00246A32">
        <w:rPr>
          <w:sz w:val="24"/>
          <w:szCs w:val="24"/>
        </w:rPr>
        <w:t xml:space="preserve"> kan være lavere end efter vaccination udelukkende med </w:t>
      </w:r>
      <w:proofErr w:type="spellStart"/>
      <w:r w:rsidRPr="00246A32">
        <w:rPr>
          <w:sz w:val="24"/>
          <w:szCs w:val="24"/>
        </w:rPr>
        <w:t>Avaxim</w:t>
      </w:r>
      <w:proofErr w:type="spellEnd"/>
      <w:r w:rsidRPr="00246A32">
        <w:rPr>
          <w:sz w:val="24"/>
          <w:szCs w:val="24"/>
        </w:rPr>
        <w:t xml:space="preserve"> Junior.</w:t>
      </w:r>
    </w:p>
    <w:p w14:paraId="74C84411" w14:textId="77777777" w:rsidR="00246A32" w:rsidRPr="00246A32" w:rsidRDefault="00246A32" w:rsidP="00246A32">
      <w:pPr>
        <w:tabs>
          <w:tab w:val="left" w:pos="851"/>
        </w:tabs>
        <w:ind w:left="851"/>
        <w:rPr>
          <w:sz w:val="24"/>
          <w:szCs w:val="24"/>
        </w:rPr>
      </w:pPr>
    </w:p>
    <w:p w14:paraId="41E82B53" w14:textId="77777777" w:rsidR="00246A32" w:rsidRPr="00246A32" w:rsidRDefault="00246A32" w:rsidP="00246A32">
      <w:pPr>
        <w:tabs>
          <w:tab w:val="left" w:pos="851"/>
        </w:tabs>
        <w:ind w:left="851"/>
        <w:rPr>
          <w:sz w:val="24"/>
          <w:szCs w:val="24"/>
        </w:rPr>
      </w:pPr>
      <w:r w:rsidRPr="00246A32">
        <w:rPr>
          <w:sz w:val="24"/>
          <w:szCs w:val="24"/>
        </w:rPr>
        <w:t>Ingen interaktion med andre lægemidler kendes for nuværende.</w:t>
      </w:r>
    </w:p>
    <w:p w14:paraId="02D2DF68" w14:textId="77777777" w:rsidR="009260DE" w:rsidRPr="00C84483" w:rsidRDefault="009260DE" w:rsidP="009260DE">
      <w:pPr>
        <w:tabs>
          <w:tab w:val="left" w:pos="851"/>
        </w:tabs>
        <w:ind w:left="851"/>
        <w:rPr>
          <w:sz w:val="24"/>
          <w:szCs w:val="24"/>
        </w:rPr>
      </w:pPr>
    </w:p>
    <w:p w14:paraId="6ED13A7F" w14:textId="63CDEB26"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AB28B2">
        <w:rPr>
          <w:b/>
          <w:sz w:val="24"/>
          <w:szCs w:val="24"/>
        </w:rPr>
        <w:t>Fertilitet, g</w:t>
      </w:r>
      <w:r w:rsidRPr="00C84483">
        <w:rPr>
          <w:b/>
          <w:sz w:val="24"/>
          <w:szCs w:val="24"/>
        </w:rPr>
        <w:t>raviditet og amning</w:t>
      </w:r>
    </w:p>
    <w:p w14:paraId="6BBE104C" w14:textId="77777777" w:rsidR="00246A32" w:rsidRDefault="00246A32" w:rsidP="00246A32">
      <w:pPr>
        <w:tabs>
          <w:tab w:val="left" w:pos="851"/>
        </w:tabs>
        <w:ind w:left="851"/>
        <w:rPr>
          <w:sz w:val="24"/>
          <w:szCs w:val="24"/>
          <w:u w:val="single"/>
        </w:rPr>
      </w:pPr>
    </w:p>
    <w:p w14:paraId="7584359B" w14:textId="77777777" w:rsidR="00246A32" w:rsidRPr="00246A32" w:rsidRDefault="00246A32" w:rsidP="00246A32">
      <w:pPr>
        <w:tabs>
          <w:tab w:val="left" w:pos="851"/>
        </w:tabs>
        <w:ind w:left="851"/>
        <w:rPr>
          <w:sz w:val="24"/>
          <w:szCs w:val="24"/>
          <w:u w:val="single"/>
        </w:rPr>
      </w:pPr>
      <w:r w:rsidRPr="00246A32">
        <w:rPr>
          <w:sz w:val="24"/>
          <w:szCs w:val="24"/>
          <w:u w:val="single"/>
        </w:rPr>
        <w:t>Graviditet</w:t>
      </w:r>
    </w:p>
    <w:p w14:paraId="6C098134" w14:textId="77777777" w:rsidR="00246A32" w:rsidRPr="00246A32" w:rsidRDefault="00246A32" w:rsidP="00246A32">
      <w:pPr>
        <w:tabs>
          <w:tab w:val="left" w:pos="851"/>
        </w:tabs>
        <w:ind w:left="851"/>
        <w:rPr>
          <w:sz w:val="24"/>
          <w:szCs w:val="24"/>
        </w:rPr>
      </w:pPr>
      <w:r w:rsidRPr="00246A32">
        <w:rPr>
          <w:sz w:val="24"/>
          <w:szCs w:val="24"/>
        </w:rPr>
        <w:t xml:space="preserve">Data for anvendelse af </w:t>
      </w:r>
      <w:proofErr w:type="spellStart"/>
      <w:r w:rsidRPr="00246A32">
        <w:rPr>
          <w:sz w:val="24"/>
          <w:szCs w:val="24"/>
        </w:rPr>
        <w:t>Avaxim</w:t>
      </w:r>
      <w:proofErr w:type="spellEnd"/>
      <w:r w:rsidRPr="00246A32">
        <w:rPr>
          <w:sz w:val="24"/>
          <w:szCs w:val="24"/>
        </w:rPr>
        <w:t xml:space="preserve"> vacciner til gravide er begrænsede. Der er ikke udført reproduktionsstudier blandt dyr. Der kan ikke drages konklusioner om, hvorvidt </w:t>
      </w:r>
      <w:proofErr w:type="spellStart"/>
      <w:r w:rsidRPr="00246A32">
        <w:rPr>
          <w:sz w:val="24"/>
          <w:szCs w:val="24"/>
        </w:rPr>
        <w:t>Avaxim</w:t>
      </w:r>
      <w:proofErr w:type="spellEnd"/>
      <w:r w:rsidRPr="00246A32">
        <w:rPr>
          <w:sz w:val="24"/>
          <w:szCs w:val="24"/>
        </w:rPr>
        <w:t xml:space="preserve"> Junior er sikker at anvende under graviditet. </w:t>
      </w:r>
    </w:p>
    <w:p w14:paraId="43AE9882" w14:textId="77777777" w:rsidR="00246A32" w:rsidRPr="00246A32" w:rsidRDefault="00246A32" w:rsidP="00246A32">
      <w:pPr>
        <w:tabs>
          <w:tab w:val="left" w:pos="851"/>
        </w:tabs>
        <w:ind w:left="851"/>
        <w:rPr>
          <w:sz w:val="24"/>
          <w:szCs w:val="24"/>
        </w:rPr>
      </w:pPr>
      <w:proofErr w:type="spellStart"/>
      <w:r w:rsidRPr="00246A32">
        <w:rPr>
          <w:sz w:val="24"/>
          <w:szCs w:val="24"/>
        </w:rPr>
        <w:t>Avaxim</w:t>
      </w:r>
      <w:proofErr w:type="spellEnd"/>
      <w:r w:rsidRPr="00246A32">
        <w:rPr>
          <w:sz w:val="24"/>
          <w:szCs w:val="24"/>
        </w:rPr>
        <w:t xml:space="preserve"> Junior bør ikke anvendes under graviditet, medmindre de potentielle fordelene for moderen opvejer de potentielle risici, herunder de potentielle risici for fosteret.</w:t>
      </w:r>
    </w:p>
    <w:p w14:paraId="1C1D8D5E" w14:textId="77777777" w:rsidR="00246A32" w:rsidRPr="00246A32" w:rsidRDefault="00246A32" w:rsidP="00246A32">
      <w:pPr>
        <w:tabs>
          <w:tab w:val="left" w:pos="851"/>
        </w:tabs>
        <w:ind w:left="851"/>
        <w:rPr>
          <w:sz w:val="24"/>
          <w:szCs w:val="24"/>
        </w:rPr>
      </w:pPr>
    </w:p>
    <w:p w14:paraId="34C51655" w14:textId="77777777" w:rsidR="00246A32" w:rsidRPr="00246A32" w:rsidRDefault="00246A32" w:rsidP="00246A32">
      <w:pPr>
        <w:tabs>
          <w:tab w:val="left" w:pos="851"/>
        </w:tabs>
        <w:ind w:left="851"/>
        <w:rPr>
          <w:sz w:val="24"/>
          <w:szCs w:val="24"/>
          <w:u w:val="single"/>
        </w:rPr>
      </w:pPr>
      <w:r w:rsidRPr="00246A32">
        <w:rPr>
          <w:sz w:val="24"/>
          <w:szCs w:val="24"/>
          <w:u w:val="single"/>
        </w:rPr>
        <w:t>Amning</w:t>
      </w:r>
    </w:p>
    <w:p w14:paraId="07F683CA" w14:textId="77777777" w:rsidR="00246A32" w:rsidRPr="00246A32" w:rsidRDefault="00246A32" w:rsidP="00246A32">
      <w:pPr>
        <w:tabs>
          <w:tab w:val="left" w:pos="851"/>
        </w:tabs>
        <w:ind w:left="851"/>
        <w:rPr>
          <w:sz w:val="24"/>
          <w:szCs w:val="24"/>
        </w:rPr>
      </w:pPr>
      <w:proofErr w:type="spellStart"/>
      <w:r w:rsidRPr="00246A32">
        <w:rPr>
          <w:sz w:val="24"/>
          <w:szCs w:val="24"/>
        </w:rPr>
        <w:t>Avaxim</w:t>
      </w:r>
      <w:proofErr w:type="spellEnd"/>
      <w:r w:rsidRPr="00246A32">
        <w:rPr>
          <w:sz w:val="24"/>
          <w:szCs w:val="24"/>
        </w:rPr>
        <w:t xml:space="preserve"> Junior kan anvendes under amning.</w:t>
      </w:r>
    </w:p>
    <w:p w14:paraId="172A85BF" w14:textId="77777777" w:rsidR="00246A32" w:rsidRPr="00246A32" w:rsidRDefault="00246A32" w:rsidP="00246A32">
      <w:pPr>
        <w:tabs>
          <w:tab w:val="left" w:pos="851"/>
        </w:tabs>
        <w:ind w:left="851"/>
        <w:rPr>
          <w:sz w:val="24"/>
          <w:szCs w:val="24"/>
        </w:rPr>
      </w:pPr>
    </w:p>
    <w:p w14:paraId="5559AE0D" w14:textId="77777777" w:rsidR="00246A32" w:rsidRPr="00246A32" w:rsidRDefault="00246A32" w:rsidP="00246A32">
      <w:pPr>
        <w:tabs>
          <w:tab w:val="left" w:pos="851"/>
        </w:tabs>
        <w:ind w:left="851"/>
        <w:rPr>
          <w:sz w:val="24"/>
          <w:szCs w:val="24"/>
          <w:u w:val="single"/>
        </w:rPr>
      </w:pPr>
      <w:r w:rsidRPr="00246A32">
        <w:rPr>
          <w:sz w:val="24"/>
          <w:szCs w:val="24"/>
          <w:u w:val="single"/>
        </w:rPr>
        <w:t>Fertilitet</w:t>
      </w:r>
    </w:p>
    <w:p w14:paraId="6C77155E" w14:textId="77777777" w:rsidR="00246A32" w:rsidRPr="00246A32" w:rsidRDefault="00246A32" w:rsidP="00246A32">
      <w:pPr>
        <w:tabs>
          <w:tab w:val="left" w:pos="851"/>
        </w:tabs>
        <w:ind w:left="851"/>
        <w:rPr>
          <w:sz w:val="24"/>
          <w:szCs w:val="24"/>
        </w:rPr>
      </w:pPr>
      <w:proofErr w:type="spellStart"/>
      <w:r w:rsidRPr="00246A32">
        <w:rPr>
          <w:sz w:val="24"/>
          <w:szCs w:val="24"/>
        </w:rPr>
        <w:t>Avaxim</w:t>
      </w:r>
      <w:proofErr w:type="spellEnd"/>
      <w:r w:rsidRPr="00246A32">
        <w:rPr>
          <w:sz w:val="24"/>
          <w:szCs w:val="24"/>
        </w:rPr>
        <w:t xml:space="preserve"> Junior er ikke undersøgt for reduktion af mandlig eller kvindelig fertilitet.</w:t>
      </w:r>
    </w:p>
    <w:p w14:paraId="2F7B9F86" w14:textId="77777777" w:rsidR="009260DE" w:rsidRPr="00C84483" w:rsidRDefault="009260DE" w:rsidP="009260DE">
      <w:pPr>
        <w:tabs>
          <w:tab w:val="left" w:pos="851"/>
        </w:tabs>
        <w:ind w:left="851"/>
        <w:rPr>
          <w:sz w:val="24"/>
          <w:szCs w:val="24"/>
        </w:rPr>
      </w:pPr>
    </w:p>
    <w:p w14:paraId="34A3B292" w14:textId="7166BBF4"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B28B2">
        <w:rPr>
          <w:b/>
          <w:sz w:val="24"/>
          <w:szCs w:val="24"/>
        </w:rPr>
        <w:t>og</w:t>
      </w:r>
      <w:r w:rsidRPr="00C84483">
        <w:rPr>
          <w:b/>
          <w:sz w:val="24"/>
          <w:szCs w:val="24"/>
        </w:rPr>
        <w:t xml:space="preserve"> betjene maskiner</w:t>
      </w:r>
    </w:p>
    <w:p w14:paraId="07064B2E" w14:textId="77777777" w:rsidR="00246A32" w:rsidRPr="00246A32" w:rsidRDefault="00246A32" w:rsidP="00246A32">
      <w:pPr>
        <w:tabs>
          <w:tab w:val="left" w:pos="851"/>
        </w:tabs>
        <w:ind w:left="851"/>
        <w:rPr>
          <w:sz w:val="24"/>
          <w:szCs w:val="24"/>
        </w:rPr>
      </w:pPr>
      <w:r w:rsidRPr="00246A32">
        <w:rPr>
          <w:sz w:val="24"/>
          <w:szCs w:val="24"/>
        </w:rPr>
        <w:t>Ikke mærkning.</w:t>
      </w:r>
    </w:p>
    <w:p w14:paraId="177EE9C6" w14:textId="23FA6C44" w:rsidR="00246A32" w:rsidRPr="00246A32" w:rsidRDefault="00246A32" w:rsidP="00246A32">
      <w:pPr>
        <w:tabs>
          <w:tab w:val="left" w:pos="851"/>
        </w:tabs>
        <w:ind w:left="851"/>
        <w:rPr>
          <w:sz w:val="24"/>
          <w:szCs w:val="24"/>
        </w:rPr>
      </w:pPr>
      <w:r w:rsidRPr="00246A32">
        <w:rPr>
          <w:sz w:val="24"/>
          <w:szCs w:val="24"/>
        </w:rPr>
        <w:t xml:space="preserve">Der er ikke foretaget </w:t>
      </w:r>
      <w:r w:rsidR="00AB28B2">
        <w:rPr>
          <w:sz w:val="24"/>
          <w:szCs w:val="24"/>
        </w:rPr>
        <w:t>studie</w:t>
      </w:r>
      <w:r w:rsidRPr="00246A32">
        <w:rPr>
          <w:sz w:val="24"/>
          <w:szCs w:val="24"/>
        </w:rPr>
        <w:t xml:space="preserve">r af virkningen på evnen til at føre motorkøretøj </w:t>
      </w:r>
      <w:r w:rsidR="00AB28B2">
        <w:rPr>
          <w:sz w:val="24"/>
          <w:szCs w:val="24"/>
        </w:rPr>
        <w:t>og</w:t>
      </w:r>
      <w:r w:rsidRPr="00246A32">
        <w:rPr>
          <w:sz w:val="24"/>
          <w:szCs w:val="24"/>
        </w:rPr>
        <w:t xml:space="preserve"> betjene maskiner.</w:t>
      </w:r>
    </w:p>
    <w:p w14:paraId="7ADAFE09" w14:textId="77777777" w:rsidR="00246A32" w:rsidRPr="00246A32" w:rsidRDefault="00246A32" w:rsidP="00246A32">
      <w:pPr>
        <w:tabs>
          <w:tab w:val="left" w:pos="851"/>
        </w:tabs>
        <w:ind w:left="851"/>
        <w:rPr>
          <w:sz w:val="24"/>
          <w:szCs w:val="24"/>
        </w:rPr>
      </w:pPr>
    </w:p>
    <w:p w14:paraId="3E50867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242A1E6" w14:textId="77777777" w:rsidR="002F01D5" w:rsidRPr="002F01D5" w:rsidRDefault="002F01D5" w:rsidP="002F01D5">
      <w:pPr>
        <w:pStyle w:val="Sidehoved"/>
        <w:tabs>
          <w:tab w:val="left" w:pos="851"/>
        </w:tabs>
        <w:ind w:left="851"/>
        <w:rPr>
          <w:szCs w:val="24"/>
        </w:rPr>
      </w:pPr>
    </w:p>
    <w:p w14:paraId="4149D044" w14:textId="77777777" w:rsidR="002F01D5" w:rsidRPr="002F01D5" w:rsidRDefault="002F01D5" w:rsidP="002F01D5">
      <w:pPr>
        <w:pStyle w:val="Sidehoved"/>
        <w:tabs>
          <w:tab w:val="left" w:pos="851"/>
        </w:tabs>
        <w:ind w:left="851"/>
        <w:rPr>
          <w:szCs w:val="24"/>
          <w:u w:val="single"/>
        </w:rPr>
      </w:pPr>
      <w:r w:rsidRPr="002F01D5">
        <w:rPr>
          <w:szCs w:val="24"/>
          <w:u w:val="single"/>
        </w:rPr>
        <w:t>Sammendrag af sikkerhedsprofilen</w:t>
      </w:r>
    </w:p>
    <w:p w14:paraId="47C7A721" w14:textId="77777777" w:rsidR="002F01D5" w:rsidRPr="002F01D5" w:rsidRDefault="002F01D5" w:rsidP="002F01D5">
      <w:pPr>
        <w:pStyle w:val="Sidehoved"/>
        <w:tabs>
          <w:tab w:val="left" w:pos="851"/>
        </w:tabs>
        <w:ind w:left="851"/>
        <w:rPr>
          <w:szCs w:val="24"/>
        </w:rPr>
      </w:pPr>
      <w:r w:rsidRPr="002F01D5">
        <w:rPr>
          <w:szCs w:val="24"/>
        </w:rPr>
        <w:t xml:space="preserve">Dette sammendrag af sikkerhedsprofilen er baseret på samlede analyser, som integrerede data fra 5.458 børn i alderen 12 måneder til og med 15 år, som fik mindst en injektion med </w:t>
      </w:r>
      <w:proofErr w:type="spellStart"/>
      <w:r w:rsidRPr="002F01D5">
        <w:rPr>
          <w:szCs w:val="24"/>
        </w:rPr>
        <w:t>Avaxim</w:t>
      </w:r>
      <w:proofErr w:type="spellEnd"/>
      <w:r w:rsidRPr="002F01D5">
        <w:rPr>
          <w:szCs w:val="24"/>
        </w:rPr>
        <w:t xml:space="preserve"> Junior i kliniske studier.</w:t>
      </w:r>
    </w:p>
    <w:p w14:paraId="51638271" w14:textId="77777777" w:rsidR="002F01D5" w:rsidRPr="002F01D5" w:rsidRDefault="002F01D5" w:rsidP="002F01D5">
      <w:pPr>
        <w:pStyle w:val="Sidehoved"/>
        <w:tabs>
          <w:tab w:val="left" w:pos="851"/>
        </w:tabs>
        <w:ind w:left="851"/>
        <w:rPr>
          <w:szCs w:val="24"/>
        </w:rPr>
      </w:pPr>
    </w:p>
    <w:p w14:paraId="719000A4" w14:textId="77777777" w:rsidR="002F01D5" w:rsidRPr="002F01D5" w:rsidRDefault="002F01D5" w:rsidP="002F01D5">
      <w:pPr>
        <w:pStyle w:val="Sidehoved"/>
        <w:tabs>
          <w:tab w:val="left" w:pos="851"/>
        </w:tabs>
        <w:ind w:left="851"/>
        <w:rPr>
          <w:szCs w:val="24"/>
        </w:rPr>
      </w:pPr>
      <w:r w:rsidRPr="002F01D5">
        <w:rPr>
          <w:szCs w:val="24"/>
        </w:rPr>
        <w:lastRenderedPageBreak/>
        <w:t xml:space="preserve">Størstedelen af bivirkningerne var begrænset til de første par dage efter vaccination med spontan bedring. Indberetninger om bivirkninger var sjældnere efter booster-dosis end efter den første dosis. </w:t>
      </w:r>
      <w:proofErr w:type="spellStart"/>
      <w:r w:rsidRPr="002F01D5">
        <w:rPr>
          <w:szCs w:val="24"/>
        </w:rPr>
        <w:t>Avaxim</w:t>
      </w:r>
      <w:proofErr w:type="spellEnd"/>
      <w:r w:rsidRPr="002F01D5">
        <w:rPr>
          <w:szCs w:val="24"/>
        </w:rPr>
        <w:t xml:space="preserve"> Junior tolereredes lige godt af personer, der var </w:t>
      </w:r>
      <w:proofErr w:type="spellStart"/>
      <w:r w:rsidRPr="002F01D5">
        <w:rPr>
          <w:szCs w:val="24"/>
        </w:rPr>
        <w:t>seropositive</w:t>
      </w:r>
      <w:proofErr w:type="spellEnd"/>
      <w:r w:rsidRPr="002F01D5">
        <w:rPr>
          <w:szCs w:val="24"/>
        </w:rPr>
        <w:t xml:space="preserve"> over for hepatitis A-virus som af </w:t>
      </w:r>
      <w:proofErr w:type="spellStart"/>
      <w:r w:rsidRPr="002F01D5">
        <w:rPr>
          <w:szCs w:val="24"/>
        </w:rPr>
        <w:t>seronegative</w:t>
      </w:r>
      <w:proofErr w:type="spellEnd"/>
      <w:r w:rsidRPr="002F01D5">
        <w:rPr>
          <w:szCs w:val="24"/>
        </w:rPr>
        <w:t xml:space="preserve"> personer.</w:t>
      </w:r>
    </w:p>
    <w:p w14:paraId="3C757A61" w14:textId="77777777" w:rsidR="002F01D5" w:rsidRPr="002F01D5" w:rsidRDefault="002F01D5" w:rsidP="002F01D5">
      <w:pPr>
        <w:pStyle w:val="Sidehoved"/>
        <w:tabs>
          <w:tab w:val="left" w:pos="851"/>
        </w:tabs>
        <w:ind w:left="851"/>
        <w:rPr>
          <w:szCs w:val="24"/>
        </w:rPr>
      </w:pPr>
    </w:p>
    <w:p w14:paraId="01E4BD2C" w14:textId="77777777" w:rsidR="002F01D5" w:rsidRPr="002F01D5" w:rsidRDefault="002F01D5" w:rsidP="002F01D5">
      <w:pPr>
        <w:pStyle w:val="Sidehoved"/>
        <w:tabs>
          <w:tab w:val="left" w:pos="851"/>
        </w:tabs>
        <w:ind w:left="851"/>
        <w:rPr>
          <w:bCs/>
          <w:szCs w:val="24"/>
        </w:rPr>
      </w:pPr>
      <w:r w:rsidRPr="002F01D5">
        <w:rPr>
          <w:bCs/>
          <w:szCs w:val="24"/>
          <w:u w:val="single"/>
        </w:rPr>
        <w:t>Tabel over bivirkninger</w:t>
      </w:r>
    </w:p>
    <w:p w14:paraId="3F3A03F8" w14:textId="77777777" w:rsidR="002F01D5" w:rsidRPr="002F01D5" w:rsidRDefault="002F01D5" w:rsidP="002F01D5">
      <w:pPr>
        <w:pStyle w:val="Sidehoved"/>
        <w:tabs>
          <w:tab w:val="left" w:pos="851"/>
        </w:tabs>
        <w:ind w:left="851"/>
        <w:rPr>
          <w:szCs w:val="24"/>
        </w:rPr>
      </w:pPr>
      <w:r w:rsidRPr="002F01D5">
        <w:rPr>
          <w:szCs w:val="24"/>
        </w:rPr>
        <w:t>Data vedrørende bivirkninger stammer fra kliniske studier og erfaringer efter markedsføringen over hele verden. Inden for hver enkelt systemorganklasse er bivirkningerne opstillet efter, hvor hyppige de er. Der er anvendt følgende CIOMS-hyppighedsklassificering:</w:t>
      </w:r>
    </w:p>
    <w:p w14:paraId="2FB729C6" w14:textId="77777777" w:rsidR="002F01D5" w:rsidRPr="002F01D5" w:rsidRDefault="002F01D5" w:rsidP="005B754C">
      <w:pPr>
        <w:pStyle w:val="Sidehoved"/>
        <w:numPr>
          <w:ilvl w:val="0"/>
          <w:numId w:val="8"/>
        </w:numPr>
        <w:tabs>
          <w:tab w:val="left" w:pos="851"/>
        </w:tabs>
        <w:ind w:left="1134" w:hanging="283"/>
        <w:rPr>
          <w:szCs w:val="24"/>
        </w:rPr>
      </w:pPr>
      <w:r w:rsidRPr="002F01D5">
        <w:rPr>
          <w:szCs w:val="24"/>
        </w:rPr>
        <w:t xml:space="preserve">Meget almindelig ≥10 %; </w:t>
      </w:r>
    </w:p>
    <w:p w14:paraId="20CA51E5" w14:textId="77777777" w:rsidR="002F01D5" w:rsidRPr="002F01D5" w:rsidRDefault="002F01D5" w:rsidP="005B754C">
      <w:pPr>
        <w:pStyle w:val="Sidehoved"/>
        <w:numPr>
          <w:ilvl w:val="0"/>
          <w:numId w:val="8"/>
        </w:numPr>
        <w:tabs>
          <w:tab w:val="left" w:pos="851"/>
        </w:tabs>
        <w:ind w:left="1134" w:hanging="283"/>
        <w:rPr>
          <w:szCs w:val="24"/>
        </w:rPr>
      </w:pPr>
      <w:r w:rsidRPr="002F01D5">
        <w:rPr>
          <w:szCs w:val="24"/>
        </w:rPr>
        <w:t xml:space="preserve">Almindelig ≥ 1 og &lt;10 %;  </w:t>
      </w:r>
    </w:p>
    <w:p w14:paraId="0CB4842E" w14:textId="77777777" w:rsidR="002F01D5" w:rsidRPr="002F01D5" w:rsidRDefault="002F01D5" w:rsidP="005B754C">
      <w:pPr>
        <w:pStyle w:val="Sidehoved"/>
        <w:numPr>
          <w:ilvl w:val="0"/>
          <w:numId w:val="8"/>
        </w:numPr>
        <w:tabs>
          <w:tab w:val="left" w:pos="851"/>
        </w:tabs>
        <w:ind w:left="1134" w:hanging="283"/>
        <w:rPr>
          <w:szCs w:val="24"/>
        </w:rPr>
      </w:pPr>
      <w:r w:rsidRPr="002F01D5">
        <w:rPr>
          <w:szCs w:val="24"/>
        </w:rPr>
        <w:t xml:space="preserve">Ikke almindelig ≥0,1 og &lt;1 %;  </w:t>
      </w:r>
    </w:p>
    <w:p w14:paraId="043F7EDA" w14:textId="77777777" w:rsidR="002F01D5" w:rsidRPr="002F01D5" w:rsidRDefault="002F01D5" w:rsidP="005B754C">
      <w:pPr>
        <w:pStyle w:val="Sidehoved"/>
        <w:numPr>
          <w:ilvl w:val="0"/>
          <w:numId w:val="8"/>
        </w:numPr>
        <w:tabs>
          <w:tab w:val="left" w:pos="851"/>
        </w:tabs>
        <w:ind w:left="1134" w:hanging="283"/>
        <w:rPr>
          <w:szCs w:val="24"/>
        </w:rPr>
      </w:pPr>
      <w:r w:rsidRPr="002F01D5">
        <w:rPr>
          <w:szCs w:val="24"/>
        </w:rPr>
        <w:t xml:space="preserve">Sjælden ≥0,01 og &lt; 0,1 %;  </w:t>
      </w:r>
    </w:p>
    <w:p w14:paraId="12F23622" w14:textId="77777777" w:rsidR="002F01D5" w:rsidRPr="002F01D5" w:rsidRDefault="002F01D5" w:rsidP="005B754C">
      <w:pPr>
        <w:pStyle w:val="Sidehoved"/>
        <w:numPr>
          <w:ilvl w:val="0"/>
          <w:numId w:val="8"/>
        </w:numPr>
        <w:tabs>
          <w:tab w:val="left" w:pos="851"/>
        </w:tabs>
        <w:ind w:left="1134" w:hanging="283"/>
        <w:rPr>
          <w:szCs w:val="24"/>
        </w:rPr>
      </w:pPr>
      <w:r w:rsidRPr="002F01D5">
        <w:rPr>
          <w:szCs w:val="24"/>
        </w:rPr>
        <w:t xml:space="preserve">Meget kendt &lt; 0,01 %; </w:t>
      </w:r>
    </w:p>
    <w:p w14:paraId="71136E05" w14:textId="77777777" w:rsidR="002F01D5" w:rsidRPr="002F01D5" w:rsidRDefault="002F01D5" w:rsidP="005B754C">
      <w:pPr>
        <w:pStyle w:val="Sidehoved"/>
        <w:numPr>
          <w:ilvl w:val="0"/>
          <w:numId w:val="8"/>
        </w:numPr>
        <w:tabs>
          <w:tab w:val="left" w:pos="851"/>
        </w:tabs>
        <w:ind w:left="1134" w:hanging="283"/>
        <w:rPr>
          <w:szCs w:val="24"/>
        </w:rPr>
      </w:pPr>
      <w:r w:rsidRPr="002F01D5">
        <w:rPr>
          <w:szCs w:val="24"/>
        </w:rPr>
        <w:t xml:space="preserve">Ikke kendt (kan ikke estimeres ud fra forhåndenværende data). </w:t>
      </w:r>
    </w:p>
    <w:p w14:paraId="1170B473" w14:textId="77777777" w:rsidR="002F01D5" w:rsidRPr="002F01D5" w:rsidRDefault="002F01D5" w:rsidP="002F01D5">
      <w:pPr>
        <w:pStyle w:val="Sidehoved"/>
        <w:tabs>
          <w:tab w:val="left" w:pos="851"/>
        </w:tabs>
        <w:ind w:left="851"/>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13"/>
        <w:gridCol w:w="1839"/>
      </w:tblGrid>
      <w:tr w:rsidR="002F01D5" w:rsidRPr="002F01D5" w14:paraId="14FDF139" w14:textId="77777777" w:rsidTr="002F01D5">
        <w:trPr>
          <w:trHeight w:val="575"/>
          <w:tblHeader/>
          <w:jc w:val="center"/>
        </w:trPr>
        <w:tc>
          <w:tcPr>
            <w:tcW w:w="5229" w:type="dxa"/>
            <w:tcBorders>
              <w:top w:val="single" w:sz="4" w:space="0" w:color="auto"/>
              <w:left w:val="single" w:sz="4" w:space="0" w:color="auto"/>
              <w:bottom w:val="single" w:sz="4" w:space="0" w:color="auto"/>
              <w:right w:val="single" w:sz="4" w:space="0" w:color="auto"/>
            </w:tcBorders>
            <w:hideMark/>
          </w:tcPr>
          <w:p w14:paraId="2BC7525B" w14:textId="77777777" w:rsidR="002F01D5" w:rsidRPr="002F01D5" w:rsidRDefault="002F01D5" w:rsidP="005B754C">
            <w:pPr>
              <w:pStyle w:val="Sidehoved"/>
              <w:ind w:left="32"/>
              <w:rPr>
                <w:b/>
                <w:bCs/>
                <w:szCs w:val="24"/>
                <w:lang w:val="en-GB"/>
              </w:rPr>
            </w:pPr>
            <w:proofErr w:type="spellStart"/>
            <w:r w:rsidRPr="002F01D5">
              <w:rPr>
                <w:b/>
                <w:bCs/>
                <w:szCs w:val="24"/>
                <w:lang w:val="en-GB"/>
              </w:rPr>
              <w:t>Bivirkning</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18AF37D7" w14:textId="77777777" w:rsidR="002F01D5" w:rsidRPr="002F01D5" w:rsidRDefault="002F01D5" w:rsidP="005B754C">
            <w:pPr>
              <w:pStyle w:val="Sidehoved"/>
              <w:ind w:left="189"/>
              <w:rPr>
                <w:b/>
                <w:bCs/>
                <w:szCs w:val="24"/>
                <w:lang w:val="en-GB"/>
              </w:rPr>
            </w:pPr>
            <w:proofErr w:type="spellStart"/>
            <w:r w:rsidRPr="002F01D5">
              <w:rPr>
                <w:b/>
                <w:bCs/>
                <w:szCs w:val="24"/>
                <w:lang w:val="en-GB"/>
              </w:rPr>
              <w:t>Hyppighed</w:t>
            </w:r>
            <w:proofErr w:type="spellEnd"/>
            <w:r w:rsidRPr="002F01D5">
              <w:rPr>
                <w:b/>
                <w:bCs/>
                <w:szCs w:val="24"/>
                <w:lang w:val="en-GB"/>
              </w:rPr>
              <w:t xml:space="preserve"> </w:t>
            </w:r>
            <w:proofErr w:type="spellStart"/>
            <w:r w:rsidRPr="002F01D5">
              <w:rPr>
                <w:b/>
                <w:bCs/>
                <w:szCs w:val="24"/>
                <w:lang w:val="en-GB"/>
              </w:rPr>
              <w:t>uanset</w:t>
            </w:r>
            <w:proofErr w:type="spellEnd"/>
            <w:r w:rsidRPr="002F01D5">
              <w:rPr>
                <w:b/>
                <w:bCs/>
                <w:szCs w:val="24"/>
                <w:lang w:val="en-GB"/>
              </w:rPr>
              <w:t xml:space="preserve"> </w:t>
            </w:r>
            <w:proofErr w:type="spellStart"/>
            <w:r w:rsidRPr="002F01D5">
              <w:rPr>
                <w:b/>
                <w:bCs/>
                <w:szCs w:val="24"/>
                <w:lang w:val="en-GB"/>
              </w:rPr>
              <w:t>dosis</w:t>
            </w:r>
            <w:proofErr w:type="spellEnd"/>
          </w:p>
        </w:tc>
      </w:tr>
      <w:tr w:rsidR="002F01D5" w:rsidRPr="002F01D5" w14:paraId="61A45556" w14:textId="77777777" w:rsidTr="002F01D5">
        <w:trPr>
          <w:jc w:val="center"/>
        </w:trPr>
        <w:tc>
          <w:tcPr>
            <w:tcW w:w="708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D1BE16F" w14:textId="77777777" w:rsidR="002F01D5" w:rsidRPr="002F01D5" w:rsidRDefault="002F01D5" w:rsidP="005B754C">
            <w:pPr>
              <w:pStyle w:val="Sidehoved"/>
              <w:ind w:left="32"/>
              <w:rPr>
                <w:b/>
                <w:i/>
                <w:szCs w:val="24"/>
                <w:lang w:val="en-GB"/>
              </w:rPr>
            </w:pPr>
            <w:proofErr w:type="spellStart"/>
            <w:r w:rsidRPr="002F01D5">
              <w:rPr>
                <w:b/>
                <w:i/>
                <w:szCs w:val="24"/>
                <w:lang w:val="en-GB"/>
              </w:rPr>
              <w:t>Immunsystemet</w:t>
            </w:r>
            <w:proofErr w:type="spellEnd"/>
          </w:p>
        </w:tc>
      </w:tr>
      <w:tr w:rsidR="002F01D5" w:rsidRPr="002F01D5" w14:paraId="67055FB3" w14:textId="77777777" w:rsidTr="002F01D5">
        <w:trPr>
          <w:jc w:val="center"/>
        </w:trPr>
        <w:tc>
          <w:tcPr>
            <w:tcW w:w="5242" w:type="dxa"/>
            <w:gridSpan w:val="2"/>
            <w:tcBorders>
              <w:top w:val="single" w:sz="4" w:space="0" w:color="auto"/>
              <w:left w:val="single" w:sz="4" w:space="0" w:color="auto"/>
              <w:bottom w:val="single" w:sz="4" w:space="0" w:color="auto"/>
              <w:right w:val="single" w:sz="4" w:space="0" w:color="auto"/>
            </w:tcBorders>
            <w:hideMark/>
          </w:tcPr>
          <w:p w14:paraId="786AA160" w14:textId="77777777" w:rsidR="002F01D5" w:rsidRPr="002F01D5" w:rsidRDefault="002F01D5" w:rsidP="005B754C">
            <w:pPr>
              <w:pStyle w:val="Sidehoved"/>
              <w:ind w:left="32"/>
              <w:rPr>
                <w:b/>
                <w:i/>
                <w:szCs w:val="24"/>
                <w:lang w:val="en-GB"/>
              </w:rPr>
            </w:pPr>
            <w:proofErr w:type="spellStart"/>
            <w:r w:rsidRPr="002F01D5">
              <w:rPr>
                <w:bCs/>
                <w:iCs/>
                <w:szCs w:val="24"/>
                <w:lang w:val="en-GB"/>
              </w:rPr>
              <w:t>Anafylaktisk</w:t>
            </w:r>
            <w:proofErr w:type="spellEnd"/>
            <w:r w:rsidRPr="002F01D5">
              <w:rPr>
                <w:bCs/>
                <w:iCs/>
                <w:szCs w:val="24"/>
                <w:lang w:val="en-GB"/>
              </w:rPr>
              <w:t xml:space="preserve"> </w:t>
            </w:r>
            <w:proofErr w:type="spellStart"/>
            <w:r w:rsidRPr="002F01D5">
              <w:rPr>
                <w:bCs/>
                <w:iCs/>
                <w:szCs w:val="24"/>
                <w:lang w:val="en-GB"/>
              </w:rPr>
              <w:t>reaktion</w:t>
            </w:r>
            <w:proofErr w:type="spellEnd"/>
          </w:p>
        </w:tc>
        <w:tc>
          <w:tcPr>
            <w:tcW w:w="1839" w:type="dxa"/>
            <w:tcBorders>
              <w:top w:val="single" w:sz="4" w:space="0" w:color="auto"/>
              <w:left w:val="single" w:sz="4" w:space="0" w:color="auto"/>
              <w:bottom w:val="single" w:sz="4" w:space="0" w:color="auto"/>
              <w:right w:val="single" w:sz="4" w:space="0" w:color="auto"/>
            </w:tcBorders>
            <w:hideMark/>
          </w:tcPr>
          <w:p w14:paraId="2DBDD79D" w14:textId="77777777" w:rsidR="002F01D5" w:rsidRPr="002F01D5" w:rsidRDefault="002F01D5" w:rsidP="005B754C">
            <w:pPr>
              <w:pStyle w:val="Sidehoved"/>
              <w:ind w:left="189"/>
              <w:rPr>
                <w:b/>
                <w:i/>
                <w:szCs w:val="24"/>
                <w:lang w:val="en-GB"/>
              </w:rPr>
            </w:pPr>
            <w:proofErr w:type="spellStart"/>
            <w:r w:rsidRPr="002F01D5">
              <w:rPr>
                <w:bCs/>
                <w:szCs w:val="24"/>
                <w:lang w:val="en-GB"/>
              </w:rPr>
              <w:t>Ikke</w:t>
            </w:r>
            <w:proofErr w:type="spellEnd"/>
            <w:r w:rsidRPr="002F01D5">
              <w:rPr>
                <w:bCs/>
                <w:szCs w:val="24"/>
                <w:lang w:val="en-GB"/>
              </w:rPr>
              <w:t xml:space="preserve"> </w:t>
            </w:r>
            <w:proofErr w:type="spellStart"/>
            <w:r w:rsidRPr="002F01D5">
              <w:rPr>
                <w:bCs/>
                <w:szCs w:val="24"/>
                <w:lang w:val="en-GB"/>
              </w:rPr>
              <w:t>kendt</w:t>
            </w:r>
            <w:proofErr w:type="spellEnd"/>
          </w:p>
        </w:tc>
      </w:tr>
      <w:tr w:rsidR="002F01D5" w:rsidRPr="002F01D5" w14:paraId="1A4BA8DD" w14:textId="77777777" w:rsidTr="002F01D5">
        <w:trPr>
          <w:jc w:val="center"/>
        </w:trPr>
        <w:tc>
          <w:tcPr>
            <w:tcW w:w="708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43542AC" w14:textId="77777777" w:rsidR="002F01D5" w:rsidRPr="002F01D5" w:rsidRDefault="002F01D5" w:rsidP="005B754C">
            <w:pPr>
              <w:pStyle w:val="Sidehoved"/>
              <w:ind w:left="32"/>
              <w:rPr>
                <w:b/>
                <w:i/>
                <w:szCs w:val="24"/>
                <w:lang w:val="en-GB"/>
              </w:rPr>
            </w:pPr>
            <w:proofErr w:type="spellStart"/>
            <w:r w:rsidRPr="002F01D5">
              <w:rPr>
                <w:b/>
                <w:i/>
                <w:szCs w:val="24"/>
                <w:lang w:val="en-GB"/>
              </w:rPr>
              <w:t>Metabolisme</w:t>
            </w:r>
            <w:proofErr w:type="spellEnd"/>
            <w:r w:rsidRPr="002F01D5">
              <w:rPr>
                <w:b/>
                <w:i/>
                <w:szCs w:val="24"/>
                <w:lang w:val="en-GB"/>
              </w:rPr>
              <w:t xml:space="preserve"> </w:t>
            </w:r>
            <w:proofErr w:type="spellStart"/>
            <w:r w:rsidRPr="002F01D5">
              <w:rPr>
                <w:b/>
                <w:i/>
                <w:szCs w:val="24"/>
                <w:lang w:val="en-GB"/>
              </w:rPr>
              <w:t>og</w:t>
            </w:r>
            <w:proofErr w:type="spellEnd"/>
            <w:r w:rsidRPr="002F01D5">
              <w:rPr>
                <w:b/>
                <w:i/>
                <w:szCs w:val="24"/>
                <w:lang w:val="en-GB"/>
              </w:rPr>
              <w:t xml:space="preserve"> </w:t>
            </w:r>
            <w:proofErr w:type="spellStart"/>
            <w:r w:rsidRPr="002F01D5">
              <w:rPr>
                <w:b/>
                <w:i/>
                <w:szCs w:val="24"/>
                <w:lang w:val="en-GB"/>
              </w:rPr>
              <w:t>ernæring</w:t>
            </w:r>
            <w:proofErr w:type="spellEnd"/>
            <w:r w:rsidRPr="002F01D5">
              <w:rPr>
                <w:b/>
                <w:i/>
                <w:szCs w:val="24"/>
                <w:lang w:val="en-GB"/>
              </w:rPr>
              <w:t xml:space="preserve"> </w:t>
            </w:r>
          </w:p>
        </w:tc>
      </w:tr>
      <w:tr w:rsidR="002F01D5" w:rsidRPr="002F01D5" w14:paraId="0075DE90"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6399DABC" w14:textId="77777777" w:rsidR="002F01D5" w:rsidRPr="002F01D5" w:rsidRDefault="002F01D5" w:rsidP="005B754C">
            <w:pPr>
              <w:pStyle w:val="Sidehoved"/>
              <w:ind w:left="32"/>
              <w:rPr>
                <w:szCs w:val="24"/>
                <w:lang w:val="en-GB"/>
              </w:rPr>
            </w:pPr>
            <w:proofErr w:type="spellStart"/>
            <w:r w:rsidRPr="002F01D5">
              <w:rPr>
                <w:bCs/>
                <w:szCs w:val="24"/>
                <w:lang w:val="en-GB"/>
              </w:rPr>
              <w:t>Nedsat</w:t>
            </w:r>
            <w:proofErr w:type="spellEnd"/>
            <w:r w:rsidRPr="002F01D5">
              <w:rPr>
                <w:bCs/>
                <w:szCs w:val="24"/>
                <w:lang w:val="en-GB"/>
              </w:rPr>
              <w:t xml:space="preserve"> </w:t>
            </w:r>
            <w:proofErr w:type="spellStart"/>
            <w:r w:rsidRPr="002F01D5">
              <w:rPr>
                <w:bCs/>
                <w:szCs w:val="24"/>
                <w:lang w:val="en-GB"/>
              </w:rPr>
              <w:t>appetit</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20693DD5"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0F977BB3" w14:textId="77777777" w:rsidTr="002F01D5">
        <w:trPr>
          <w:jc w:val="center"/>
        </w:trPr>
        <w:tc>
          <w:tcPr>
            <w:tcW w:w="708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4E7E70B" w14:textId="77777777" w:rsidR="002F01D5" w:rsidRPr="002F01D5" w:rsidRDefault="002F01D5" w:rsidP="005B754C">
            <w:pPr>
              <w:pStyle w:val="Sidehoved"/>
              <w:ind w:left="32"/>
              <w:rPr>
                <w:b/>
                <w:i/>
                <w:szCs w:val="24"/>
                <w:lang w:val="en-GB"/>
              </w:rPr>
            </w:pPr>
            <w:proofErr w:type="spellStart"/>
            <w:r w:rsidRPr="002F01D5">
              <w:rPr>
                <w:b/>
                <w:i/>
                <w:szCs w:val="24"/>
                <w:lang w:val="en-GB"/>
              </w:rPr>
              <w:t>Psykiske</w:t>
            </w:r>
            <w:proofErr w:type="spellEnd"/>
            <w:r w:rsidRPr="002F01D5">
              <w:rPr>
                <w:b/>
                <w:i/>
                <w:szCs w:val="24"/>
                <w:lang w:val="en-GB"/>
              </w:rPr>
              <w:t xml:space="preserve"> </w:t>
            </w:r>
            <w:proofErr w:type="spellStart"/>
            <w:r w:rsidRPr="002F01D5">
              <w:rPr>
                <w:b/>
                <w:i/>
                <w:szCs w:val="24"/>
                <w:lang w:val="en-GB"/>
              </w:rPr>
              <w:t>forstyrrelser</w:t>
            </w:r>
            <w:proofErr w:type="spellEnd"/>
          </w:p>
        </w:tc>
      </w:tr>
      <w:tr w:rsidR="002F01D5" w:rsidRPr="002F01D5" w14:paraId="542348AC"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417133C8" w14:textId="77777777" w:rsidR="002F01D5" w:rsidRPr="002F01D5" w:rsidRDefault="002F01D5" w:rsidP="005B754C">
            <w:pPr>
              <w:pStyle w:val="Sidehoved"/>
              <w:ind w:left="32"/>
              <w:rPr>
                <w:bCs/>
                <w:szCs w:val="24"/>
                <w:lang w:val="en-GB"/>
              </w:rPr>
            </w:pPr>
            <w:proofErr w:type="spellStart"/>
            <w:r w:rsidRPr="002F01D5">
              <w:rPr>
                <w:bCs/>
                <w:szCs w:val="24"/>
                <w:lang w:val="en-GB"/>
              </w:rPr>
              <w:t>Unormal</w:t>
            </w:r>
            <w:proofErr w:type="spellEnd"/>
            <w:r w:rsidRPr="002F01D5">
              <w:rPr>
                <w:bCs/>
                <w:szCs w:val="24"/>
                <w:lang w:val="en-GB"/>
              </w:rPr>
              <w:t xml:space="preserve"> </w:t>
            </w:r>
            <w:proofErr w:type="spellStart"/>
            <w:r w:rsidRPr="002F01D5">
              <w:rPr>
                <w:bCs/>
                <w:szCs w:val="24"/>
                <w:lang w:val="en-GB"/>
              </w:rPr>
              <w:t>gråd</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2EDC4A83" w14:textId="77777777" w:rsidR="002F01D5" w:rsidRPr="002F01D5" w:rsidRDefault="002F01D5" w:rsidP="005B754C">
            <w:pPr>
              <w:pStyle w:val="Sidehoved"/>
              <w:ind w:left="189"/>
              <w:rPr>
                <w:bCs/>
                <w:szCs w:val="24"/>
                <w:lang w:val="en-GB"/>
              </w:rPr>
            </w:pPr>
            <w:proofErr w:type="spellStart"/>
            <w:r w:rsidRPr="002F01D5">
              <w:rPr>
                <w:bCs/>
                <w:szCs w:val="24"/>
                <w:lang w:val="en-GB"/>
              </w:rPr>
              <w:t>Meget</w:t>
            </w:r>
            <w:proofErr w:type="spellEnd"/>
            <w:r w:rsidRPr="002F01D5">
              <w:rPr>
                <w:bCs/>
                <w:szCs w:val="24"/>
                <w:lang w:val="en-GB"/>
              </w:rPr>
              <w:t xml:space="preserve"> </w:t>
            </w:r>
            <w:proofErr w:type="spellStart"/>
            <w:r w:rsidRPr="002F01D5">
              <w:rPr>
                <w:bCs/>
                <w:szCs w:val="24"/>
                <w:lang w:val="en-GB"/>
              </w:rPr>
              <w:t>almindelig</w:t>
            </w:r>
            <w:proofErr w:type="spellEnd"/>
          </w:p>
        </w:tc>
      </w:tr>
      <w:tr w:rsidR="002F01D5" w:rsidRPr="002F01D5" w14:paraId="33F33695"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68A7DA74" w14:textId="77777777" w:rsidR="002F01D5" w:rsidRPr="002F01D5" w:rsidRDefault="002F01D5" w:rsidP="005B754C">
            <w:pPr>
              <w:pStyle w:val="Sidehoved"/>
              <w:ind w:left="32"/>
              <w:rPr>
                <w:bCs/>
                <w:szCs w:val="24"/>
                <w:lang w:val="en-GB"/>
              </w:rPr>
            </w:pPr>
            <w:proofErr w:type="spellStart"/>
            <w:r w:rsidRPr="002F01D5">
              <w:rPr>
                <w:bCs/>
                <w:szCs w:val="24"/>
                <w:lang w:val="en-GB"/>
              </w:rPr>
              <w:t>Irritabilitet</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0A748A88"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23E29D35"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1481CE4B" w14:textId="77777777" w:rsidR="002F01D5" w:rsidRPr="002F01D5" w:rsidRDefault="002F01D5" w:rsidP="005B754C">
            <w:pPr>
              <w:pStyle w:val="Sidehoved"/>
              <w:ind w:left="32"/>
              <w:rPr>
                <w:bCs/>
                <w:szCs w:val="24"/>
                <w:lang w:val="en-GB"/>
              </w:rPr>
            </w:pPr>
            <w:proofErr w:type="spellStart"/>
            <w:r w:rsidRPr="002F01D5">
              <w:rPr>
                <w:bCs/>
                <w:szCs w:val="24"/>
                <w:lang w:val="en-GB"/>
              </w:rPr>
              <w:t>Insomni</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52D3D6C1"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1FD6B09C" w14:textId="77777777" w:rsidTr="002F01D5">
        <w:trPr>
          <w:jc w:val="center"/>
        </w:trPr>
        <w:tc>
          <w:tcPr>
            <w:tcW w:w="708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7B5ADBB" w14:textId="77777777" w:rsidR="002F01D5" w:rsidRPr="002F01D5" w:rsidRDefault="002F01D5" w:rsidP="005B754C">
            <w:pPr>
              <w:pStyle w:val="Sidehoved"/>
              <w:ind w:left="32"/>
              <w:rPr>
                <w:bCs/>
                <w:i/>
                <w:szCs w:val="24"/>
                <w:lang w:val="en-GB"/>
              </w:rPr>
            </w:pPr>
            <w:proofErr w:type="spellStart"/>
            <w:r w:rsidRPr="002F01D5">
              <w:rPr>
                <w:b/>
                <w:i/>
                <w:szCs w:val="24"/>
                <w:lang w:val="en-GB"/>
              </w:rPr>
              <w:t>Nervesystemet</w:t>
            </w:r>
            <w:proofErr w:type="spellEnd"/>
          </w:p>
        </w:tc>
      </w:tr>
      <w:tr w:rsidR="002F01D5" w:rsidRPr="002F01D5" w14:paraId="616D615D"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0A4203B4" w14:textId="77777777" w:rsidR="002F01D5" w:rsidRPr="002F01D5" w:rsidRDefault="002F01D5" w:rsidP="005B754C">
            <w:pPr>
              <w:pStyle w:val="Sidehoved"/>
              <w:ind w:left="32"/>
              <w:rPr>
                <w:szCs w:val="24"/>
                <w:lang w:val="en-GB"/>
              </w:rPr>
            </w:pPr>
            <w:proofErr w:type="spellStart"/>
            <w:r w:rsidRPr="002F01D5">
              <w:rPr>
                <w:bCs/>
                <w:szCs w:val="24"/>
                <w:lang w:val="en-GB"/>
              </w:rPr>
              <w:t>Hovedpine</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2194B841" w14:textId="77777777" w:rsidR="002F01D5" w:rsidRPr="002F01D5" w:rsidRDefault="002F01D5" w:rsidP="005B754C">
            <w:pPr>
              <w:pStyle w:val="Sidehoved"/>
              <w:ind w:left="189"/>
              <w:rPr>
                <w:bCs/>
                <w:szCs w:val="24"/>
                <w:lang w:val="en-GB"/>
              </w:rPr>
            </w:pPr>
            <w:proofErr w:type="spellStart"/>
            <w:r w:rsidRPr="002F01D5">
              <w:rPr>
                <w:bCs/>
                <w:szCs w:val="24"/>
                <w:lang w:val="en-GB"/>
              </w:rPr>
              <w:t>Meget</w:t>
            </w:r>
            <w:proofErr w:type="spellEnd"/>
            <w:r w:rsidRPr="002F01D5">
              <w:rPr>
                <w:bCs/>
                <w:szCs w:val="24"/>
                <w:lang w:val="en-GB"/>
              </w:rPr>
              <w:t xml:space="preserve"> </w:t>
            </w:r>
            <w:proofErr w:type="spellStart"/>
            <w:r w:rsidRPr="002F01D5">
              <w:rPr>
                <w:bCs/>
                <w:szCs w:val="24"/>
                <w:lang w:val="en-GB"/>
              </w:rPr>
              <w:t>almindelig</w:t>
            </w:r>
            <w:proofErr w:type="spellEnd"/>
          </w:p>
        </w:tc>
      </w:tr>
      <w:tr w:rsidR="002F01D5" w:rsidRPr="002F01D5" w14:paraId="1CF422C0"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3C3D1F20" w14:textId="77777777" w:rsidR="002F01D5" w:rsidRPr="002F01D5" w:rsidRDefault="002F01D5" w:rsidP="005B754C">
            <w:pPr>
              <w:pStyle w:val="Sidehoved"/>
              <w:ind w:left="32"/>
              <w:rPr>
                <w:bCs/>
                <w:szCs w:val="24"/>
              </w:rPr>
            </w:pPr>
            <w:proofErr w:type="spellStart"/>
            <w:r w:rsidRPr="002F01D5">
              <w:rPr>
                <w:szCs w:val="24"/>
              </w:rPr>
              <w:t>Vasovagal</w:t>
            </w:r>
            <w:proofErr w:type="spellEnd"/>
            <w:r w:rsidRPr="002F01D5">
              <w:rPr>
                <w:szCs w:val="24"/>
              </w:rPr>
              <w:t xml:space="preserve"> synkope som reaktion på injektion</w:t>
            </w:r>
          </w:p>
        </w:tc>
        <w:tc>
          <w:tcPr>
            <w:tcW w:w="1852" w:type="dxa"/>
            <w:gridSpan w:val="2"/>
            <w:tcBorders>
              <w:top w:val="single" w:sz="4" w:space="0" w:color="auto"/>
              <w:left w:val="single" w:sz="4" w:space="0" w:color="auto"/>
              <w:bottom w:val="single" w:sz="4" w:space="0" w:color="auto"/>
              <w:right w:val="single" w:sz="4" w:space="0" w:color="auto"/>
            </w:tcBorders>
            <w:hideMark/>
          </w:tcPr>
          <w:p w14:paraId="0FDFEF83" w14:textId="77777777" w:rsidR="002F01D5" w:rsidRPr="002F01D5" w:rsidRDefault="002F01D5" w:rsidP="005B754C">
            <w:pPr>
              <w:pStyle w:val="Sidehoved"/>
              <w:ind w:left="189"/>
              <w:rPr>
                <w:bCs/>
                <w:szCs w:val="24"/>
                <w:lang w:val="en-GB"/>
              </w:rPr>
            </w:pPr>
            <w:proofErr w:type="spellStart"/>
            <w:r w:rsidRPr="002F01D5">
              <w:rPr>
                <w:bCs/>
                <w:szCs w:val="24"/>
                <w:lang w:val="en-GB"/>
              </w:rPr>
              <w:t>Ikke</w:t>
            </w:r>
            <w:proofErr w:type="spellEnd"/>
            <w:r w:rsidRPr="002F01D5">
              <w:rPr>
                <w:bCs/>
                <w:szCs w:val="24"/>
                <w:lang w:val="en-GB"/>
              </w:rPr>
              <w:t xml:space="preserve"> </w:t>
            </w:r>
            <w:proofErr w:type="spellStart"/>
            <w:r w:rsidRPr="002F01D5">
              <w:rPr>
                <w:bCs/>
                <w:szCs w:val="24"/>
                <w:lang w:val="en-GB"/>
              </w:rPr>
              <w:t>kendt</w:t>
            </w:r>
            <w:proofErr w:type="spellEnd"/>
          </w:p>
        </w:tc>
      </w:tr>
      <w:tr w:rsidR="002F01D5" w:rsidRPr="002F01D5" w14:paraId="0E180D8A"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5CE5CF07" w14:textId="77777777" w:rsidR="002F01D5" w:rsidRPr="002F01D5" w:rsidRDefault="002F01D5" w:rsidP="005B754C">
            <w:pPr>
              <w:pStyle w:val="Sidehoved"/>
              <w:ind w:left="32"/>
              <w:rPr>
                <w:bCs/>
                <w:szCs w:val="24"/>
              </w:rPr>
            </w:pPr>
            <w:r w:rsidRPr="002F01D5">
              <w:rPr>
                <w:bCs/>
                <w:szCs w:val="24"/>
              </w:rPr>
              <w:t>Krampeanfald med eller uden feber</w:t>
            </w:r>
          </w:p>
        </w:tc>
        <w:tc>
          <w:tcPr>
            <w:tcW w:w="1852" w:type="dxa"/>
            <w:gridSpan w:val="2"/>
            <w:tcBorders>
              <w:top w:val="single" w:sz="4" w:space="0" w:color="auto"/>
              <w:left w:val="single" w:sz="4" w:space="0" w:color="auto"/>
              <w:bottom w:val="single" w:sz="4" w:space="0" w:color="auto"/>
              <w:right w:val="single" w:sz="4" w:space="0" w:color="auto"/>
            </w:tcBorders>
            <w:hideMark/>
          </w:tcPr>
          <w:p w14:paraId="774430FB" w14:textId="77777777" w:rsidR="002F01D5" w:rsidRPr="002F01D5" w:rsidRDefault="002F01D5" w:rsidP="005B754C">
            <w:pPr>
              <w:pStyle w:val="Sidehoved"/>
              <w:ind w:left="189"/>
              <w:rPr>
                <w:bCs/>
                <w:szCs w:val="24"/>
                <w:lang w:val="en-GB"/>
              </w:rPr>
            </w:pPr>
            <w:proofErr w:type="spellStart"/>
            <w:r w:rsidRPr="002F01D5">
              <w:rPr>
                <w:bCs/>
                <w:szCs w:val="24"/>
                <w:lang w:val="en-GB"/>
              </w:rPr>
              <w:t>Ikke</w:t>
            </w:r>
            <w:proofErr w:type="spellEnd"/>
            <w:r w:rsidRPr="002F01D5">
              <w:rPr>
                <w:bCs/>
                <w:szCs w:val="24"/>
                <w:lang w:val="en-GB"/>
              </w:rPr>
              <w:t xml:space="preserve"> </w:t>
            </w:r>
            <w:proofErr w:type="spellStart"/>
            <w:r w:rsidRPr="002F01D5">
              <w:rPr>
                <w:bCs/>
                <w:szCs w:val="24"/>
                <w:lang w:val="en-GB"/>
              </w:rPr>
              <w:t>kendt</w:t>
            </w:r>
            <w:proofErr w:type="spellEnd"/>
          </w:p>
        </w:tc>
      </w:tr>
      <w:tr w:rsidR="002F01D5" w:rsidRPr="002F01D5" w14:paraId="7105DA41" w14:textId="77777777" w:rsidTr="002F01D5">
        <w:trPr>
          <w:jc w:val="center"/>
        </w:trPr>
        <w:tc>
          <w:tcPr>
            <w:tcW w:w="7081"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BCC2074" w14:textId="77777777" w:rsidR="002F01D5" w:rsidRPr="002F01D5" w:rsidRDefault="002F01D5" w:rsidP="005B754C">
            <w:pPr>
              <w:pStyle w:val="Sidehoved"/>
              <w:ind w:left="32"/>
              <w:rPr>
                <w:bCs/>
                <w:i/>
                <w:szCs w:val="24"/>
                <w:lang w:val="en-GB"/>
              </w:rPr>
            </w:pPr>
            <w:proofErr w:type="spellStart"/>
            <w:r w:rsidRPr="002F01D5">
              <w:rPr>
                <w:b/>
                <w:i/>
                <w:szCs w:val="24"/>
                <w:lang w:val="en-GB"/>
              </w:rPr>
              <w:t>Mave-tarm-kanalen</w:t>
            </w:r>
            <w:proofErr w:type="spellEnd"/>
          </w:p>
        </w:tc>
      </w:tr>
      <w:tr w:rsidR="002F01D5" w:rsidRPr="002F01D5" w14:paraId="672F4AB5"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0892E0D5" w14:textId="77777777" w:rsidR="002F01D5" w:rsidRPr="002F01D5" w:rsidRDefault="002F01D5" w:rsidP="005B754C">
            <w:pPr>
              <w:pStyle w:val="Sidehoved"/>
              <w:ind w:left="32"/>
              <w:rPr>
                <w:bCs/>
                <w:szCs w:val="24"/>
                <w:lang w:val="en-GB"/>
              </w:rPr>
            </w:pPr>
            <w:proofErr w:type="spellStart"/>
            <w:r w:rsidRPr="002F01D5">
              <w:rPr>
                <w:bCs/>
                <w:szCs w:val="24"/>
                <w:lang w:val="en-GB"/>
              </w:rPr>
              <w:t>Abdominalsmerter</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05C8108B"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3D4C0793"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1C51F406" w14:textId="77777777" w:rsidR="002F01D5" w:rsidRPr="002F01D5" w:rsidRDefault="002F01D5" w:rsidP="005B754C">
            <w:pPr>
              <w:pStyle w:val="Sidehoved"/>
              <w:ind w:left="32"/>
              <w:rPr>
                <w:bCs/>
                <w:szCs w:val="24"/>
                <w:lang w:val="en-GB"/>
              </w:rPr>
            </w:pPr>
            <w:proofErr w:type="spellStart"/>
            <w:r w:rsidRPr="002F01D5">
              <w:rPr>
                <w:bCs/>
                <w:szCs w:val="24"/>
                <w:lang w:val="en-GB"/>
              </w:rPr>
              <w:t>Diarré</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0F0B3DBC"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3DF11439"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28CB67AC" w14:textId="77777777" w:rsidR="002F01D5" w:rsidRPr="002F01D5" w:rsidRDefault="002F01D5" w:rsidP="005B754C">
            <w:pPr>
              <w:pStyle w:val="Sidehoved"/>
              <w:ind w:left="32"/>
              <w:rPr>
                <w:bCs/>
                <w:szCs w:val="24"/>
                <w:lang w:val="en-GB"/>
              </w:rPr>
            </w:pPr>
            <w:proofErr w:type="spellStart"/>
            <w:r w:rsidRPr="002F01D5">
              <w:rPr>
                <w:bCs/>
                <w:szCs w:val="24"/>
                <w:lang w:val="en-GB"/>
              </w:rPr>
              <w:t>Kvalme</w:t>
            </w:r>
            <w:proofErr w:type="spellEnd"/>
            <w:r w:rsidRPr="002F01D5">
              <w:rPr>
                <w:bCs/>
                <w:szCs w:val="24"/>
                <w:lang w:val="en-GB"/>
              </w:rPr>
              <w:t xml:space="preserve"> </w:t>
            </w:r>
          </w:p>
        </w:tc>
        <w:tc>
          <w:tcPr>
            <w:tcW w:w="1852" w:type="dxa"/>
            <w:gridSpan w:val="2"/>
            <w:tcBorders>
              <w:top w:val="single" w:sz="4" w:space="0" w:color="auto"/>
              <w:left w:val="single" w:sz="4" w:space="0" w:color="auto"/>
              <w:bottom w:val="single" w:sz="4" w:space="0" w:color="auto"/>
              <w:right w:val="single" w:sz="4" w:space="0" w:color="auto"/>
            </w:tcBorders>
            <w:hideMark/>
          </w:tcPr>
          <w:p w14:paraId="1E550016"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14F2C11D"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64A1AC71" w14:textId="77777777" w:rsidR="002F01D5" w:rsidRPr="002F01D5" w:rsidRDefault="002F01D5" w:rsidP="005B754C">
            <w:pPr>
              <w:pStyle w:val="Sidehoved"/>
              <w:ind w:left="32"/>
              <w:rPr>
                <w:bCs/>
                <w:szCs w:val="24"/>
                <w:lang w:val="en-GB"/>
              </w:rPr>
            </w:pPr>
            <w:proofErr w:type="spellStart"/>
            <w:r w:rsidRPr="002F01D5">
              <w:rPr>
                <w:bCs/>
                <w:szCs w:val="24"/>
                <w:lang w:val="en-GB"/>
              </w:rPr>
              <w:t>Opkastning</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29614DCF"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0EB965C1"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shd w:val="clear" w:color="auto" w:fill="D9D9D9"/>
            <w:hideMark/>
          </w:tcPr>
          <w:p w14:paraId="3FE730E1" w14:textId="77777777" w:rsidR="002F01D5" w:rsidRPr="002F01D5" w:rsidRDefault="002F01D5" w:rsidP="005B754C">
            <w:pPr>
              <w:pStyle w:val="Sidehoved"/>
              <w:ind w:left="32"/>
              <w:rPr>
                <w:b/>
                <w:i/>
                <w:szCs w:val="24"/>
                <w:lang w:val="en-GB"/>
              </w:rPr>
            </w:pPr>
            <w:r w:rsidRPr="002F01D5">
              <w:rPr>
                <w:b/>
                <w:i/>
                <w:szCs w:val="24"/>
                <w:lang w:val="en-GB"/>
              </w:rPr>
              <w:t xml:space="preserve">Hud </w:t>
            </w:r>
            <w:proofErr w:type="spellStart"/>
            <w:r w:rsidRPr="002F01D5">
              <w:rPr>
                <w:b/>
                <w:i/>
                <w:szCs w:val="24"/>
                <w:lang w:val="en-GB"/>
              </w:rPr>
              <w:t>og</w:t>
            </w:r>
            <w:proofErr w:type="spellEnd"/>
            <w:r w:rsidRPr="002F01D5">
              <w:rPr>
                <w:b/>
                <w:i/>
                <w:szCs w:val="24"/>
                <w:lang w:val="en-GB"/>
              </w:rPr>
              <w:t xml:space="preserve"> </w:t>
            </w:r>
            <w:proofErr w:type="spellStart"/>
            <w:r w:rsidRPr="002F01D5">
              <w:rPr>
                <w:b/>
                <w:i/>
                <w:szCs w:val="24"/>
                <w:lang w:val="en-GB"/>
              </w:rPr>
              <w:t>subkutane</w:t>
            </w:r>
            <w:proofErr w:type="spellEnd"/>
            <w:r w:rsidRPr="002F01D5">
              <w:rPr>
                <w:b/>
                <w:i/>
                <w:szCs w:val="24"/>
                <w:lang w:val="en-GB"/>
              </w:rPr>
              <w:t xml:space="preserve"> </w:t>
            </w:r>
            <w:proofErr w:type="spellStart"/>
            <w:r w:rsidRPr="002F01D5">
              <w:rPr>
                <w:b/>
                <w:i/>
                <w:szCs w:val="24"/>
                <w:lang w:val="en-GB"/>
              </w:rPr>
              <w:t>væv</w:t>
            </w:r>
            <w:proofErr w:type="spellEnd"/>
          </w:p>
        </w:tc>
        <w:tc>
          <w:tcPr>
            <w:tcW w:w="1852" w:type="dxa"/>
            <w:gridSpan w:val="2"/>
            <w:tcBorders>
              <w:top w:val="single" w:sz="4" w:space="0" w:color="auto"/>
              <w:left w:val="single" w:sz="4" w:space="0" w:color="auto"/>
              <w:bottom w:val="single" w:sz="4" w:space="0" w:color="auto"/>
              <w:right w:val="single" w:sz="4" w:space="0" w:color="auto"/>
            </w:tcBorders>
            <w:shd w:val="clear" w:color="auto" w:fill="D9D9D9"/>
          </w:tcPr>
          <w:p w14:paraId="234AFC2F" w14:textId="77777777" w:rsidR="002F01D5" w:rsidRPr="002F01D5" w:rsidRDefault="002F01D5" w:rsidP="005B754C">
            <w:pPr>
              <w:pStyle w:val="Sidehoved"/>
              <w:ind w:left="189"/>
              <w:rPr>
                <w:bCs/>
                <w:i/>
                <w:szCs w:val="24"/>
                <w:lang w:val="en-GB"/>
              </w:rPr>
            </w:pPr>
          </w:p>
        </w:tc>
      </w:tr>
      <w:tr w:rsidR="002F01D5" w:rsidRPr="002F01D5" w14:paraId="1D7691F6"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798145F2" w14:textId="77777777" w:rsidR="002F01D5" w:rsidRPr="002F01D5" w:rsidRDefault="002F01D5" w:rsidP="005B754C">
            <w:pPr>
              <w:pStyle w:val="Sidehoved"/>
              <w:ind w:left="32"/>
              <w:rPr>
                <w:szCs w:val="24"/>
                <w:lang w:val="en-GB"/>
              </w:rPr>
            </w:pPr>
            <w:proofErr w:type="spellStart"/>
            <w:r w:rsidRPr="002F01D5">
              <w:rPr>
                <w:bCs/>
                <w:szCs w:val="24"/>
                <w:lang w:val="en-GB"/>
              </w:rPr>
              <w:t>Udslæt</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6F6554E4" w14:textId="77777777" w:rsidR="002F01D5" w:rsidRPr="002F01D5" w:rsidRDefault="002F01D5" w:rsidP="005B754C">
            <w:pPr>
              <w:pStyle w:val="Sidehoved"/>
              <w:ind w:left="189"/>
              <w:rPr>
                <w:bCs/>
                <w:szCs w:val="24"/>
                <w:lang w:val="en-GB"/>
              </w:rPr>
            </w:pPr>
            <w:proofErr w:type="spellStart"/>
            <w:r w:rsidRPr="002F01D5">
              <w:rPr>
                <w:bCs/>
                <w:szCs w:val="24"/>
                <w:lang w:val="en-GB"/>
              </w:rPr>
              <w:t>Ikke</w:t>
            </w:r>
            <w:proofErr w:type="spellEnd"/>
            <w:r w:rsidRPr="002F01D5">
              <w:rPr>
                <w:bCs/>
                <w:szCs w:val="24"/>
                <w:lang w:val="en-GB"/>
              </w:rPr>
              <w:t xml:space="preserve"> </w:t>
            </w:r>
            <w:proofErr w:type="spellStart"/>
            <w:r w:rsidRPr="002F01D5">
              <w:rPr>
                <w:bCs/>
                <w:szCs w:val="24"/>
                <w:lang w:val="en-GB"/>
              </w:rPr>
              <w:t>almindelig</w:t>
            </w:r>
            <w:proofErr w:type="spellEnd"/>
          </w:p>
        </w:tc>
      </w:tr>
      <w:tr w:rsidR="002F01D5" w:rsidRPr="002F01D5" w14:paraId="3471C1FA"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68CA49D4" w14:textId="77777777" w:rsidR="002F01D5" w:rsidRPr="002F01D5" w:rsidRDefault="002F01D5" w:rsidP="005B754C">
            <w:pPr>
              <w:pStyle w:val="Sidehoved"/>
              <w:ind w:left="32"/>
              <w:rPr>
                <w:bCs/>
                <w:szCs w:val="24"/>
                <w:lang w:val="en-GB"/>
              </w:rPr>
            </w:pPr>
            <w:r w:rsidRPr="002F01D5">
              <w:rPr>
                <w:bCs/>
                <w:szCs w:val="24"/>
                <w:lang w:val="en-GB"/>
              </w:rPr>
              <w:t>Urticaria</w:t>
            </w:r>
          </w:p>
        </w:tc>
        <w:tc>
          <w:tcPr>
            <w:tcW w:w="1852" w:type="dxa"/>
            <w:gridSpan w:val="2"/>
            <w:tcBorders>
              <w:top w:val="single" w:sz="4" w:space="0" w:color="auto"/>
              <w:left w:val="single" w:sz="4" w:space="0" w:color="auto"/>
              <w:bottom w:val="single" w:sz="4" w:space="0" w:color="auto"/>
              <w:right w:val="single" w:sz="4" w:space="0" w:color="auto"/>
            </w:tcBorders>
            <w:hideMark/>
          </w:tcPr>
          <w:p w14:paraId="337F4473" w14:textId="77777777" w:rsidR="002F01D5" w:rsidRPr="002F01D5" w:rsidRDefault="002F01D5" w:rsidP="005B754C">
            <w:pPr>
              <w:pStyle w:val="Sidehoved"/>
              <w:ind w:left="189"/>
              <w:rPr>
                <w:bCs/>
                <w:szCs w:val="24"/>
                <w:lang w:val="en-GB"/>
              </w:rPr>
            </w:pPr>
            <w:proofErr w:type="spellStart"/>
            <w:r w:rsidRPr="002F01D5">
              <w:rPr>
                <w:bCs/>
                <w:szCs w:val="24"/>
                <w:lang w:val="en-GB"/>
              </w:rPr>
              <w:t>Ikke</w:t>
            </w:r>
            <w:proofErr w:type="spellEnd"/>
            <w:r w:rsidRPr="002F01D5">
              <w:rPr>
                <w:bCs/>
                <w:szCs w:val="24"/>
                <w:lang w:val="en-GB"/>
              </w:rPr>
              <w:t xml:space="preserve"> </w:t>
            </w:r>
            <w:proofErr w:type="spellStart"/>
            <w:r w:rsidRPr="002F01D5">
              <w:rPr>
                <w:bCs/>
                <w:szCs w:val="24"/>
                <w:lang w:val="en-GB"/>
              </w:rPr>
              <w:t>almindelig</w:t>
            </w:r>
            <w:proofErr w:type="spellEnd"/>
          </w:p>
        </w:tc>
      </w:tr>
      <w:tr w:rsidR="002F01D5" w:rsidRPr="002F01D5" w14:paraId="06BBA702"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shd w:val="clear" w:color="auto" w:fill="D9D9D9"/>
            <w:hideMark/>
          </w:tcPr>
          <w:p w14:paraId="0B2B5144" w14:textId="77777777" w:rsidR="002F01D5" w:rsidRPr="00AB28B2" w:rsidRDefault="002F01D5" w:rsidP="005B754C">
            <w:pPr>
              <w:pStyle w:val="Sidehoved"/>
              <w:ind w:left="32"/>
              <w:rPr>
                <w:b/>
                <w:bCs/>
                <w:i/>
                <w:szCs w:val="24"/>
              </w:rPr>
            </w:pPr>
            <w:r w:rsidRPr="00AB28B2">
              <w:rPr>
                <w:b/>
                <w:bCs/>
                <w:i/>
                <w:szCs w:val="24"/>
              </w:rPr>
              <w:t>Knogler, led, muskler og bindevæv</w:t>
            </w:r>
          </w:p>
        </w:tc>
        <w:tc>
          <w:tcPr>
            <w:tcW w:w="1852" w:type="dxa"/>
            <w:gridSpan w:val="2"/>
            <w:tcBorders>
              <w:top w:val="single" w:sz="4" w:space="0" w:color="auto"/>
              <w:left w:val="single" w:sz="4" w:space="0" w:color="auto"/>
              <w:bottom w:val="single" w:sz="4" w:space="0" w:color="auto"/>
              <w:right w:val="single" w:sz="4" w:space="0" w:color="auto"/>
            </w:tcBorders>
            <w:shd w:val="clear" w:color="auto" w:fill="D9D9D9"/>
          </w:tcPr>
          <w:p w14:paraId="17D94F15" w14:textId="77777777" w:rsidR="002F01D5" w:rsidRPr="002F01D5" w:rsidRDefault="002F01D5" w:rsidP="005B754C">
            <w:pPr>
              <w:pStyle w:val="Sidehoved"/>
              <w:ind w:left="189"/>
              <w:rPr>
                <w:b/>
                <w:bCs/>
                <w:i/>
                <w:szCs w:val="24"/>
              </w:rPr>
            </w:pPr>
          </w:p>
        </w:tc>
      </w:tr>
      <w:tr w:rsidR="002F01D5" w:rsidRPr="002F01D5" w14:paraId="5B9188EB"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6802AB0D" w14:textId="77777777" w:rsidR="002F01D5" w:rsidRPr="002F01D5" w:rsidRDefault="002F01D5" w:rsidP="005B754C">
            <w:pPr>
              <w:pStyle w:val="Sidehoved"/>
              <w:ind w:left="32"/>
              <w:rPr>
                <w:szCs w:val="24"/>
                <w:lang w:val="en-GB"/>
              </w:rPr>
            </w:pPr>
            <w:proofErr w:type="spellStart"/>
            <w:r w:rsidRPr="002F01D5">
              <w:rPr>
                <w:bCs/>
                <w:szCs w:val="24"/>
                <w:lang w:val="en-GB"/>
              </w:rPr>
              <w:t>Artralgi</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4968FBD2"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1E1A1E69"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793E9335" w14:textId="77777777" w:rsidR="002F01D5" w:rsidRPr="002F01D5" w:rsidRDefault="002F01D5" w:rsidP="005B754C">
            <w:pPr>
              <w:pStyle w:val="Sidehoved"/>
              <w:ind w:left="32"/>
              <w:rPr>
                <w:bCs/>
                <w:szCs w:val="24"/>
                <w:lang w:val="en-GB"/>
              </w:rPr>
            </w:pPr>
            <w:proofErr w:type="spellStart"/>
            <w:r w:rsidRPr="002F01D5">
              <w:rPr>
                <w:bCs/>
                <w:szCs w:val="24"/>
                <w:lang w:val="en-GB"/>
              </w:rPr>
              <w:t>Myalgi</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70A25169"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2A193EA0"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shd w:val="clear" w:color="auto" w:fill="D9D9D9"/>
            <w:hideMark/>
          </w:tcPr>
          <w:p w14:paraId="6B0D5FF5" w14:textId="77777777" w:rsidR="002F01D5" w:rsidRPr="00AB28B2" w:rsidRDefault="002F01D5" w:rsidP="005B754C">
            <w:pPr>
              <w:pStyle w:val="Sidehoved"/>
              <w:ind w:left="32"/>
              <w:rPr>
                <w:b/>
                <w:bCs/>
                <w:i/>
                <w:szCs w:val="24"/>
              </w:rPr>
            </w:pPr>
            <w:r w:rsidRPr="00AB28B2">
              <w:rPr>
                <w:b/>
                <w:bCs/>
                <w:i/>
                <w:szCs w:val="24"/>
              </w:rPr>
              <w:t>Almene symptomer og reaktioner på administrationsstedet</w:t>
            </w:r>
          </w:p>
        </w:tc>
        <w:tc>
          <w:tcPr>
            <w:tcW w:w="1852" w:type="dxa"/>
            <w:gridSpan w:val="2"/>
            <w:tcBorders>
              <w:top w:val="single" w:sz="4" w:space="0" w:color="auto"/>
              <w:left w:val="single" w:sz="4" w:space="0" w:color="auto"/>
              <w:bottom w:val="single" w:sz="4" w:space="0" w:color="auto"/>
              <w:right w:val="single" w:sz="4" w:space="0" w:color="auto"/>
            </w:tcBorders>
            <w:shd w:val="clear" w:color="auto" w:fill="D9D9D9"/>
          </w:tcPr>
          <w:p w14:paraId="7B273495" w14:textId="77777777" w:rsidR="002F01D5" w:rsidRPr="002F01D5" w:rsidRDefault="002F01D5" w:rsidP="005B754C">
            <w:pPr>
              <w:pStyle w:val="Sidehoved"/>
              <w:ind w:left="189"/>
              <w:rPr>
                <w:bCs/>
                <w:i/>
                <w:szCs w:val="24"/>
              </w:rPr>
            </w:pPr>
          </w:p>
        </w:tc>
      </w:tr>
      <w:tr w:rsidR="002F01D5" w:rsidRPr="002F01D5" w14:paraId="4A0D782F"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25845BC4" w14:textId="77777777" w:rsidR="002F01D5" w:rsidRPr="002F01D5" w:rsidRDefault="002F01D5" w:rsidP="005B754C">
            <w:pPr>
              <w:pStyle w:val="Sidehoved"/>
              <w:ind w:left="32"/>
              <w:rPr>
                <w:bCs/>
                <w:szCs w:val="24"/>
                <w:lang w:val="en-GB"/>
              </w:rPr>
            </w:pPr>
            <w:proofErr w:type="spellStart"/>
            <w:r w:rsidRPr="002F01D5">
              <w:rPr>
                <w:bCs/>
                <w:szCs w:val="24"/>
                <w:lang w:val="en-GB"/>
              </w:rPr>
              <w:t>Smerter</w:t>
            </w:r>
            <w:proofErr w:type="spellEnd"/>
            <w:r w:rsidRPr="002F01D5">
              <w:rPr>
                <w:bCs/>
                <w:szCs w:val="24"/>
                <w:lang w:val="en-GB"/>
              </w:rPr>
              <w:t xml:space="preserve"> </w:t>
            </w:r>
            <w:proofErr w:type="spellStart"/>
            <w:r w:rsidRPr="002F01D5">
              <w:rPr>
                <w:bCs/>
                <w:szCs w:val="24"/>
                <w:lang w:val="en-GB"/>
              </w:rPr>
              <w:t>ved</w:t>
            </w:r>
            <w:proofErr w:type="spellEnd"/>
            <w:r w:rsidRPr="002F01D5">
              <w:rPr>
                <w:bCs/>
                <w:szCs w:val="24"/>
                <w:lang w:val="en-GB"/>
              </w:rPr>
              <w:t xml:space="preserve"> </w:t>
            </w:r>
            <w:proofErr w:type="spellStart"/>
            <w:r w:rsidRPr="002F01D5">
              <w:rPr>
                <w:bCs/>
                <w:szCs w:val="24"/>
                <w:lang w:val="en-GB"/>
              </w:rPr>
              <w:t>injektionsstedet</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61C1274C" w14:textId="77777777" w:rsidR="002F01D5" w:rsidRPr="002F01D5" w:rsidRDefault="002F01D5" w:rsidP="005B754C">
            <w:pPr>
              <w:pStyle w:val="Sidehoved"/>
              <w:ind w:left="189"/>
              <w:rPr>
                <w:bCs/>
                <w:szCs w:val="24"/>
                <w:lang w:val="en-GB"/>
              </w:rPr>
            </w:pPr>
            <w:proofErr w:type="spellStart"/>
            <w:r w:rsidRPr="002F01D5">
              <w:rPr>
                <w:bCs/>
                <w:szCs w:val="24"/>
                <w:lang w:val="en-GB"/>
              </w:rPr>
              <w:t>Meget</w:t>
            </w:r>
            <w:proofErr w:type="spellEnd"/>
            <w:r w:rsidRPr="002F01D5">
              <w:rPr>
                <w:bCs/>
                <w:szCs w:val="24"/>
                <w:lang w:val="en-GB"/>
              </w:rPr>
              <w:t xml:space="preserve"> </w:t>
            </w:r>
            <w:proofErr w:type="spellStart"/>
            <w:r w:rsidRPr="002F01D5">
              <w:rPr>
                <w:bCs/>
                <w:szCs w:val="24"/>
                <w:lang w:val="en-GB"/>
              </w:rPr>
              <w:t>almindelig</w:t>
            </w:r>
            <w:proofErr w:type="spellEnd"/>
          </w:p>
        </w:tc>
      </w:tr>
      <w:tr w:rsidR="002F01D5" w:rsidRPr="002F01D5" w14:paraId="716CE86D"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01C87A4B" w14:textId="77777777" w:rsidR="002F01D5" w:rsidRPr="002F01D5" w:rsidRDefault="002F01D5" w:rsidP="005B754C">
            <w:pPr>
              <w:pStyle w:val="Sidehoved"/>
              <w:ind w:left="32"/>
              <w:rPr>
                <w:bCs/>
                <w:i/>
                <w:szCs w:val="24"/>
                <w:lang w:val="en-GB"/>
              </w:rPr>
            </w:pPr>
            <w:proofErr w:type="spellStart"/>
            <w:r w:rsidRPr="002F01D5">
              <w:rPr>
                <w:bCs/>
                <w:szCs w:val="24"/>
                <w:lang w:val="en-GB"/>
              </w:rPr>
              <w:lastRenderedPageBreak/>
              <w:t>Utilpashed</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03085336" w14:textId="77777777" w:rsidR="002F01D5" w:rsidRPr="002F01D5" w:rsidRDefault="002F01D5" w:rsidP="005B754C">
            <w:pPr>
              <w:pStyle w:val="Sidehoved"/>
              <w:ind w:left="189"/>
              <w:rPr>
                <w:bCs/>
                <w:szCs w:val="24"/>
                <w:lang w:val="en-GB"/>
              </w:rPr>
            </w:pPr>
            <w:proofErr w:type="spellStart"/>
            <w:r w:rsidRPr="002F01D5">
              <w:rPr>
                <w:bCs/>
                <w:szCs w:val="24"/>
                <w:lang w:val="en-GB"/>
              </w:rPr>
              <w:t>Meget</w:t>
            </w:r>
            <w:proofErr w:type="spellEnd"/>
            <w:r w:rsidRPr="002F01D5">
              <w:rPr>
                <w:bCs/>
                <w:szCs w:val="24"/>
                <w:lang w:val="en-GB"/>
              </w:rPr>
              <w:t xml:space="preserve"> </w:t>
            </w:r>
            <w:proofErr w:type="spellStart"/>
            <w:r w:rsidRPr="002F01D5">
              <w:rPr>
                <w:bCs/>
                <w:szCs w:val="24"/>
                <w:lang w:val="en-GB"/>
              </w:rPr>
              <w:t>almindelig</w:t>
            </w:r>
            <w:proofErr w:type="spellEnd"/>
          </w:p>
        </w:tc>
      </w:tr>
      <w:tr w:rsidR="002F01D5" w:rsidRPr="002F01D5" w14:paraId="62561791"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7A1D9C12" w14:textId="77777777" w:rsidR="002F01D5" w:rsidRPr="002F01D5" w:rsidRDefault="002F01D5" w:rsidP="005B754C">
            <w:pPr>
              <w:pStyle w:val="Sidehoved"/>
              <w:ind w:left="32"/>
              <w:rPr>
                <w:bCs/>
                <w:szCs w:val="24"/>
                <w:lang w:val="en-GB"/>
              </w:rPr>
            </w:pPr>
            <w:proofErr w:type="spellStart"/>
            <w:r w:rsidRPr="002F01D5">
              <w:rPr>
                <w:bCs/>
                <w:szCs w:val="24"/>
                <w:lang w:val="en-GB"/>
              </w:rPr>
              <w:t>Pyreksi</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5CF94843"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22990752" w14:textId="77777777" w:rsidTr="002F01D5">
        <w:trPr>
          <w:trHeight w:val="246"/>
          <w:jc w:val="center"/>
        </w:trPr>
        <w:tc>
          <w:tcPr>
            <w:tcW w:w="5229" w:type="dxa"/>
            <w:tcBorders>
              <w:top w:val="single" w:sz="4" w:space="0" w:color="auto"/>
              <w:left w:val="single" w:sz="4" w:space="0" w:color="auto"/>
              <w:bottom w:val="single" w:sz="4" w:space="0" w:color="auto"/>
              <w:right w:val="single" w:sz="4" w:space="0" w:color="auto"/>
            </w:tcBorders>
            <w:hideMark/>
          </w:tcPr>
          <w:p w14:paraId="1BD2FEBA" w14:textId="77777777" w:rsidR="002F01D5" w:rsidRPr="002F01D5" w:rsidRDefault="002F01D5" w:rsidP="005B754C">
            <w:pPr>
              <w:pStyle w:val="Sidehoved"/>
              <w:ind w:left="32"/>
              <w:rPr>
                <w:bCs/>
                <w:szCs w:val="24"/>
                <w:lang w:val="en-GB"/>
              </w:rPr>
            </w:pPr>
            <w:proofErr w:type="spellStart"/>
            <w:r w:rsidRPr="002F01D5">
              <w:rPr>
                <w:szCs w:val="24"/>
                <w:lang w:val="en-GB"/>
              </w:rPr>
              <w:t>Erythem</w:t>
            </w:r>
            <w:proofErr w:type="spellEnd"/>
            <w:r w:rsidRPr="002F01D5">
              <w:rPr>
                <w:szCs w:val="24"/>
                <w:lang w:val="en-GB"/>
              </w:rPr>
              <w:t xml:space="preserve"> </w:t>
            </w:r>
            <w:proofErr w:type="spellStart"/>
            <w:r w:rsidRPr="002F01D5">
              <w:rPr>
                <w:szCs w:val="24"/>
                <w:lang w:val="en-GB"/>
              </w:rPr>
              <w:t>på</w:t>
            </w:r>
            <w:proofErr w:type="spellEnd"/>
            <w:r w:rsidRPr="002F01D5">
              <w:rPr>
                <w:szCs w:val="24"/>
                <w:lang w:val="en-GB"/>
              </w:rPr>
              <w:t xml:space="preserve"> </w:t>
            </w:r>
            <w:proofErr w:type="spellStart"/>
            <w:r w:rsidRPr="002F01D5">
              <w:rPr>
                <w:szCs w:val="24"/>
                <w:lang w:val="en-GB"/>
              </w:rPr>
              <w:t>injektionsstedet</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0882F260"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4057B037" w14:textId="77777777" w:rsidTr="002F01D5">
        <w:trPr>
          <w:trHeight w:val="246"/>
          <w:jc w:val="center"/>
        </w:trPr>
        <w:tc>
          <w:tcPr>
            <w:tcW w:w="5229" w:type="dxa"/>
            <w:tcBorders>
              <w:top w:val="single" w:sz="4" w:space="0" w:color="auto"/>
              <w:left w:val="single" w:sz="4" w:space="0" w:color="auto"/>
              <w:bottom w:val="single" w:sz="4" w:space="0" w:color="auto"/>
              <w:right w:val="single" w:sz="4" w:space="0" w:color="auto"/>
            </w:tcBorders>
            <w:hideMark/>
          </w:tcPr>
          <w:p w14:paraId="63BAA257" w14:textId="77777777" w:rsidR="002F01D5" w:rsidRPr="002F01D5" w:rsidRDefault="002F01D5" w:rsidP="005B754C">
            <w:pPr>
              <w:pStyle w:val="Sidehoved"/>
              <w:ind w:left="32"/>
              <w:rPr>
                <w:bCs/>
                <w:szCs w:val="24"/>
                <w:lang w:val="en-GB"/>
              </w:rPr>
            </w:pPr>
            <w:proofErr w:type="spellStart"/>
            <w:r w:rsidRPr="002F01D5">
              <w:rPr>
                <w:bCs/>
                <w:szCs w:val="24"/>
                <w:lang w:val="en-GB"/>
              </w:rPr>
              <w:t>Asteni</w:t>
            </w:r>
            <w:proofErr w:type="spellEnd"/>
            <w:r w:rsidRPr="002F01D5">
              <w:rPr>
                <w:bCs/>
                <w:szCs w:val="24"/>
                <w:lang w:val="en-GB"/>
              </w:rPr>
              <w:t xml:space="preserve"> </w:t>
            </w:r>
            <w:proofErr w:type="spellStart"/>
            <w:r w:rsidRPr="002F01D5">
              <w:rPr>
                <w:bCs/>
                <w:szCs w:val="24"/>
                <w:lang w:val="en-GB"/>
              </w:rPr>
              <w:t>eller</w:t>
            </w:r>
            <w:proofErr w:type="spellEnd"/>
            <w:r w:rsidRPr="002F01D5">
              <w:rPr>
                <w:bCs/>
                <w:szCs w:val="24"/>
                <w:lang w:val="en-GB"/>
              </w:rPr>
              <w:t xml:space="preserve"> </w:t>
            </w:r>
            <w:proofErr w:type="spellStart"/>
            <w:r w:rsidRPr="002F01D5">
              <w:rPr>
                <w:bCs/>
                <w:szCs w:val="24"/>
                <w:lang w:val="en-GB"/>
              </w:rPr>
              <w:t>døsighed</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09F2BD60"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7A58FF79"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7F100B7D" w14:textId="77777777" w:rsidR="002F01D5" w:rsidRPr="002F01D5" w:rsidRDefault="002F01D5" w:rsidP="005B754C">
            <w:pPr>
              <w:pStyle w:val="Sidehoved"/>
              <w:ind w:left="32"/>
              <w:rPr>
                <w:bCs/>
                <w:szCs w:val="24"/>
              </w:rPr>
            </w:pPr>
            <w:proofErr w:type="spellStart"/>
            <w:r w:rsidRPr="002F01D5">
              <w:rPr>
                <w:szCs w:val="24"/>
              </w:rPr>
              <w:t>Induration</w:t>
            </w:r>
            <w:proofErr w:type="spellEnd"/>
            <w:r w:rsidRPr="002F01D5">
              <w:rPr>
                <w:szCs w:val="24"/>
              </w:rPr>
              <w:t xml:space="preserve"> eller ødem på injektionsstedet</w:t>
            </w:r>
            <w:r w:rsidRPr="002F01D5">
              <w:rPr>
                <w:bCs/>
                <w:szCs w:val="24"/>
              </w:rPr>
              <w:t xml:space="preserve"> </w:t>
            </w:r>
          </w:p>
        </w:tc>
        <w:tc>
          <w:tcPr>
            <w:tcW w:w="1852" w:type="dxa"/>
            <w:gridSpan w:val="2"/>
            <w:tcBorders>
              <w:top w:val="single" w:sz="4" w:space="0" w:color="auto"/>
              <w:left w:val="single" w:sz="4" w:space="0" w:color="auto"/>
              <w:bottom w:val="single" w:sz="4" w:space="0" w:color="auto"/>
              <w:right w:val="single" w:sz="4" w:space="0" w:color="auto"/>
            </w:tcBorders>
            <w:hideMark/>
          </w:tcPr>
          <w:p w14:paraId="2595AEA0"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r w:rsidR="002F01D5" w:rsidRPr="002F01D5" w14:paraId="469248C7" w14:textId="77777777" w:rsidTr="002F01D5">
        <w:trPr>
          <w:jc w:val="center"/>
        </w:trPr>
        <w:tc>
          <w:tcPr>
            <w:tcW w:w="5229" w:type="dxa"/>
            <w:tcBorders>
              <w:top w:val="single" w:sz="4" w:space="0" w:color="auto"/>
              <w:left w:val="single" w:sz="4" w:space="0" w:color="auto"/>
              <w:bottom w:val="single" w:sz="4" w:space="0" w:color="auto"/>
              <w:right w:val="single" w:sz="4" w:space="0" w:color="auto"/>
            </w:tcBorders>
            <w:hideMark/>
          </w:tcPr>
          <w:p w14:paraId="434DAC82" w14:textId="77777777" w:rsidR="002F01D5" w:rsidRPr="002F01D5" w:rsidRDefault="002F01D5" w:rsidP="005B754C">
            <w:pPr>
              <w:pStyle w:val="Sidehoved"/>
              <w:ind w:left="32"/>
              <w:rPr>
                <w:bCs/>
                <w:szCs w:val="24"/>
                <w:lang w:val="en-GB"/>
              </w:rPr>
            </w:pPr>
            <w:proofErr w:type="spellStart"/>
            <w:r w:rsidRPr="002F01D5">
              <w:rPr>
                <w:szCs w:val="24"/>
                <w:lang w:val="en-GB"/>
              </w:rPr>
              <w:t>Hæmatom</w:t>
            </w:r>
            <w:proofErr w:type="spellEnd"/>
            <w:r w:rsidRPr="002F01D5">
              <w:rPr>
                <w:szCs w:val="24"/>
                <w:lang w:val="en-GB"/>
              </w:rPr>
              <w:t xml:space="preserve"> </w:t>
            </w:r>
            <w:proofErr w:type="spellStart"/>
            <w:r w:rsidRPr="002F01D5">
              <w:rPr>
                <w:szCs w:val="24"/>
                <w:lang w:val="en-GB"/>
              </w:rPr>
              <w:t>på</w:t>
            </w:r>
            <w:proofErr w:type="spellEnd"/>
            <w:r w:rsidRPr="002F01D5">
              <w:rPr>
                <w:szCs w:val="24"/>
                <w:lang w:val="en-GB"/>
              </w:rPr>
              <w:t xml:space="preserve"> </w:t>
            </w:r>
            <w:proofErr w:type="spellStart"/>
            <w:r w:rsidRPr="002F01D5">
              <w:rPr>
                <w:szCs w:val="24"/>
                <w:lang w:val="en-GB"/>
              </w:rPr>
              <w:t>injektionsstedet</w:t>
            </w:r>
            <w:proofErr w:type="spellEnd"/>
          </w:p>
        </w:tc>
        <w:tc>
          <w:tcPr>
            <w:tcW w:w="1852" w:type="dxa"/>
            <w:gridSpan w:val="2"/>
            <w:tcBorders>
              <w:top w:val="single" w:sz="4" w:space="0" w:color="auto"/>
              <w:left w:val="single" w:sz="4" w:space="0" w:color="auto"/>
              <w:bottom w:val="single" w:sz="4" w:space="0" w:color="auto"/>
              <w:right w:val="single" w:sz="4" w:space="0" w:color="auto"/>
            </w:tcBorders>
            <w:hideMark/>
          </w:tcPr>
          <w:p w14:paraId="15DFD244" w14:textId="77777777" w:rsidR="002F01D5" w:rsidRPr="002F01D5" w:rsidRDefault="002F01D5" w:rsidP="005B754C">
            <w:pPr>
              <w:pStyle w:val="Sidehoved"/>
              <w:ind w:left="189"/>
              <w:rPr>
                <w:bCs/>
                <w:szCs w:val="24"/>
                <w:lang w:val="en-GB"/>
              </w:rPr>
            </w:pPr>
            <w:proofErr w:type="spellStart"/>
            <w:r w:rsidRPr="002F01D5">
              <w:rPr>
                <w:bCs/>
                <w:szCs w:val="24"/>
                <w:lang w:val="en-GB"/>
              </w:rPr>
              <w:t>Almindelig</w:t>
            </w:r>
            <w:proofErr w:type="spellEnd"/>
          </w:p>
        </w:tc>
      </w:tr>
    </w:tbl>
    <w:p w14:paraId="74FEDE78" w14:textId="77777777" w:rsidR="002F01D5" w:rsidRPr="002F01D5" w:rsidRDefault="002F01D5" w:rsidP="002F01D5">
      <w:pPr>
        <w:pStyle w:val="Sidehoved"/>
        <w:tabs>
          <w:tab w:val="left" w:pos="851"/>
        </w:tabs>
        <w:ind w:left="851"/>
        <w:rPr>
          <w:i/>
          <w:szCs w:val="24"/>
        </w:rPr>
      </w:pPr>
    </w:p>
    <w:p w14:paraId="70A99C2C" w14:textId="77777777" w:rsidR="002F01D5" w:rsidRPr="002F01D5" w:rsidRDefault="002F01D5" w:rsidP="002F01D5">
      <w:pPr>
        <w:pStyle w:val="Sidehoved"/>
        <w:tabs>
          <w:tab w:val="left" w:pos="851"/>
        </w:tabs>
        <w:ind w:left="851"/>
        <w:rPr>
          <w:szCs w:val="24"/>
          <w:u w:val="single"/>
        </w:rPr>
      </w:pPr>
      <w:r w:rsidRPr="002F01D5">
        <w:rPr>
          <w:szCs w:val="24"/>
          <w:u w:val="single"/>
        </w:rPr>
        <w:t>Indberetning af formodede bivirkninger</w:t>
      </w:r>
    </w:p>
    <w:p w14:paraId="35D94A7B" w14:textId="0E8E8B44" w:rsidR="002F01D5" w:rsidRPr="002F01D5" w:rsidRDefault="002F01D5" w:rsidP="002F01D5">
      <w:pPr>
        <w:pStyle w:val="Sidehoved"/>
        <w:tabs>
          <w:tab w:val="left" w:pos="851"/>
        </w:tabs>
        <w:ind w:left="851"/>
        <w:rPr>
          <w:szCs w:val="24"/>
        </w:rPr>
      </w:pPr>
      <w:r w:rsidRPr="002F01D5">
        <w:rPr>
          <w:szCs w:val="24"/>
        </w:rPr>
        <w:t>Når lægemidlet er godkendt, er indberetning af formodede bivirkninger vigtig. Det muliggør løbende overvågning af benefit/</w:t>
      </w:r>
      <w:proofErr w:type="spellStart"/>
      <w:r w:rsidRPr="002F01D5">
        <w:rPr>
          <w:szCs w:val="24"/>
        </w:rPr>
        <w:t>risk</w:t>
      </w:r>
      <w:proofErr w:type="spellEnd"/>
      <w:r w:rsidRPr="002F01D5">
        <w:rPr>
          <w:szCs w:val="24"/>
        </w:rPr>
        <w:t>-forholdet for lægemidlet. Sundhedspersoner anmodes om at indberette alle formodede bivirkninger via</w:t>
      </w:r>
      <w:r w:rsidR="00AB28B2">
        <w:rPr>
          <w:szCs w:val="24"/>
        </w:rPr>
        <w:t>:</w:t>
      </w:r>
    </w:p>
    <w:p w14:paraId="6C0B2C52" w14:textId="77777777" w:rsidR="002F01D5" w:rsidRPr="002F01D5" w:rsidRDefault="002F01D5" w:rsidP="002F01D5">
      <w:pPr>
        <w:pStyle w:val="Sidehoved"/>
        <w:tabs>
          <w:tab w:val="left" w:pos="851"/>
        </w:tabs>
        <w:ind w:left="851"/>
        <w:rPr>
          <w:szCs w:val="24"/>
        </w:rPr>
      </w:pPr>
    </w:p>
    <w:p w14:paraId="03B02540" w14:textId="77777777" w:rsidR="002F01D5" w:rsidRPr="002F01D5" w:rsidRDefault="002F01D5" w:rsidP="002F01D5">
      <w:pPr>
        <w:pStyle w:val="Sidehoved"/>
        <w:tabs>
          <w:tab w:val="left" w:pos="851"/>
        </w:tabs>
        <w:ind w:left="851"/>
        <w:rPr>
          <w:szCs w:val="24"/>
        </w:rPr>
      </w:pPr>
      <w:r w:rsidRPr="002F01D5">
        <w:rPr>
          <w:szCs w:val="24"/>
        </w:rPr>
        <w:t>Lægemiddelstyrelsen</w:t>
      </w:r>
    </w:p>
    <w:p w14:paraId="1791CB9D" w14:textId="77777777" w:rsidR="002F01D5" w:rsidRPr="002F01D5" w:rsidRDefault="002F01D5" w:rsidP="002F01D5">
      <w:pPr>
        <w:pStyle w:val="Sidehoved"/>
        <w:tabs>
          <w:tab w:val="left" w:pos="851"/>
        </w:tabs>
        <w:ind w:left="851"/>
        <w:rPr>
          <w:szCs w:val="24"/>
        </w:rPr>
      </w:pPr>
      <w:r w:rsidRPr="002F01D5">
        <w:rPr>
          <w:szCs w:val="24"/>
        </w:rPr>
        <w:t>Axel Heides Gade 1</w:t>
      </w:r>
    </w:p>
    <w:p w14:paraId="4F3D04D3" w14:textId="77777777" w:rsidR="002F01D5" w:rsidRPr="002F01D5" w:rsidRDefault="002F01D5" w:rsidP="002F01D5">
      <w:pPr>
        <w:pStyle w:val="Sidehoved"/>
        <w:tabs>
          <w:tab w:val="left" w:pos="851"/>
        </w:tabs>
        <w:ind w:left="851"/>
        <w:rPr>
          <w:szCs w:val="24"/>
        </w:rPr>
      </w:pPr>
      <w:r w:rsidRPr="002F01D5">
        <w:rPr>
          <w:szCs w:val="24"/>
        </w:rPr>
        <w:t>DK-2300 København S</w:t>
      </w:r>
    </w:p>
    <w:p w14:paraId="72EEF4BB" w14:textId="77777777" w:rsidR="002F01D5" w:rsidRPr="002F01D5" w:rsidRDefault="002F01D5" w:rsidP="002F01D5">
      <w:pPr>
        <w:pStyle w:val="Sidehoved"/>
        <w:tabs>
          <w:tab w:val="left" w:pos="851"/>
        </w:tabs>
        <w:ind w:left="851"/>
        <w:rPr>
          <w:szCs w:val="24"/>
        </w:rPr>
      </w:pPr>
      <w:r w:rsidRPr="002F01D5">
        <w:rPr>
          <w:szCs w:val="24"/>
        </w:rPr>
        <w:t xml:space="preserve">Websted: </w:t>
      </w:r>
      <w:r w:rsidRPr="00616166">
        <w:rPr>
          <w:szCs w:val="24"/>
        </w:rPr>
        <w:t>www.meldenbivirkning.dk</w:t>
      </w:r>
    </w:p>
    <w:p w14:paraId="542FA138" w14:textId="77777777" w:rsidR="002F01D5" w:rsidRPr="002F01D5" w:rsidRDefault="002F01D5" w:rsidP="002F01D5">
      <w:pPr>
        <w:pStyle w:val="Sidehoved"/>
        <w:tabs>
          <w:tab w:val="left" w:pos="851"/>
        </w:tabs>
        <w:ind w:left="851"/>
        <w:rPr>
          <w:b/>
          <w:szCs w:val="24"/>
        </w:rPr>
      </w:pPr>
    </w:p>
    <w:p w14:paraId="4248C1C7"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C3EC05D" w14:textId="77777777" w:rsidR="002472AF" w:rsidRPr="002472AF" w:rsidRDefault="002472AF" w:rsidP="002472AF">
      <w:pPr>
        <w:tabs>
          <w:tab w:val="left" w:pos="851"/>
        </w:tabs>
        <w:ind w:left="851"/>
        <w:rPr>
          <w:sz w:val="24"/>
          <w:szCs w:val="24"/>
        </w:rPr>
      </w:pPr>
      <w:r w:rsidRPr="002472AF">
        <w:rPr>
          <w:sz w:val="24"/>
          <w:szCs w:val="24"/>
        </w:rPr>
        <w:t xml:space="preserve">Der er rapporteret om administration af doser af </w:t>
      </w:r>
      <w:proofErr w:type="spellStart"/>
      <w:r w:rsidRPr="002472AF">
        <w:rPr>
          <w:sz w:val="24"/>
          <w:szCs w:val="24"/>
        </w:rPr>
        <w:t>Avaxim</w:t>
      </w:r>
      <w:proofErr w:type="spellEnd"/>
      <w:r w:rsidRPr="002472AF">
        <w:rPr>
          <w:sz w:val="24"/>
          <w:szCs w:val="24"/>
        </w:rPr>
        <w:t xml:space="preserve"> Junior, der var højere end de anbefalede doser. De bivirkninger, der blev rapporteret efter overdosering, var de samme som de bivirkninger, der er rapporteret i forbindelse med normal administration af vaccinen.</w:t>
      </w:r>
    </w:p>
    <w:p w14:paraId="0E669E28" w14:textId="77777777" w:rsidR="009260DE" w:rsidRPr="00C84483" w:rsidRDefault="009260DE" w:rsidP="009260DE">
      <w:pPr>
        <w:tabs>
          <w:tab w:val="left" w:pos="851"/>
        </w:tabs>
        <w:ind w:left="851"/>
        <w:rPr>
          <w:sz w:val="24"/>
          <w:szCs w:val="24"/>
        </w:rPr>
      </w:pPr>
    </w:p>
    <w:p w14:paraId="11CE2D7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DB1F16A" w14:textId="77777777" w:rsidR="009260DE" w:rsidRPr="00C84483" w:rsidRDefault="00EE15D7" w:rsidP="009260DE">
      <w:pPr>
        <w:tabs>
          <w:tab w:val="left" w:pos="851"/>
        </w:tabs>
        <w:ind w:left="851"/>
        <w:rPr>
          <w:sz w:val="24"/>
          <w:szCs w:val="24"/>
        </w:rPr>
      </w:pPr>
      <w:r>
        <w:rPr>
          <w:sz w:val="24"/>
          <w:szCs w:val="24"/>
        </w:rPr>
        <w:t>B</w:t>
      </w:r>
    </w:p>
    <w:p w14:paraId="1E872D2D" w14:textId="77777777" w:rsidR="009260DE" w:rsidRPr="00C84483" w:rsidRDefault="009260DE" w:rsidP="009260DE">
      <w:pPr>
        <w:tabs>
          <w:tab w:val="left" w:pos="851"/>
        </w:tabs>
        <w:ind w:left="851"/>
        <w:rPr>
          <w:sz w:val="24"/>
          <w:szCs w:val="24"/>
        </w:rPr>
      </w:pPr>
    </w:p>
    <w:p w14:paraId="42DCDDA1" w14:textId="77777777" w:rsidR="009260DE" w:rsidRPr="00C84483" w:rsidRDefault="009260DE" w:rsidP="009260DE">
      <w:pPr>
        <w:tabs>
          <w:tab w:val="left" w:pos="851"/>
        </w:tabs>
        <w:ind w:left="851"/>
        <w:rPr>
          <w:sz w:val="24"/>
          <w:szCs w:val="24"/>
        </w:rPr>
      </w:pPr>
    </w:p>
    <w:p w14:paraId="2E2F51DD"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3644803" w14:textId="77777777" w:rsidR="00EE15D7" w:rsidRPr="00C84483" w:rsidRDefault="00EE15D7" w:rsidP="00AB28B2">
      <w:pPr>
        <w:tabs>
          <w:tab w:val="left" w:pos="851"/>
        </w:tabs>
        <w:rPr>
          <w:sz w:val="24"/>
          <w:szCs w:val="24"/>
        </w:rPr>
      </w:pPr>
    </w:p>
    <w:p w14:paraId="492B6D5C" w14:textId="0D815997"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656BDF0" w14:textId="1563ACA8" w:rsidR="00AB28B2" w:rsidRDefault="00AB28B2" w:rsidP="009260DE">
      <w:pPr>
        <w:tabs>
          <w:tab w:val="num" w:pos="851"/>
        </w:tabs>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Viral vaccine, ATC-kode: J 07 BC 02.</w:t>
      </w:r>
    </w:p>
    <w:p w14:paraId="2BE364E7" w14:textId="77777777" w:rsidR="00AB28B2" w:rsidRPr="00C84483" w:rsidRDefault="00AB28B2" w:rsidP="009260DE">
      <w:pPr>
        <w:tabs>
          <w:tab w:val="num" w:pos="851"/>
        </w:tabs>
        <w:ind w:left="851" w:hanging="851"/>
        <w:rPr>
          <w:b/>
          <w:sz w:val="24"/>
          <w:szCs w:val="24"/>
        </w:rPr>
      </w:pPr>
    </w:p>
    <w:p w14:paraId="220F4D32" w14:textId="77777777" w:rsidR="00EE15D7" w:rsidRPr="00EE15D7" w:rsidRDefault="00EE15D7" w:rsidP="00EE15D7">
      <w:pPr>
        <w:tabs>
          <w:tab w:val="left" w:pos="851"/>
        </w:tabs>
        <w:ind w:left="851"/>
        <w:rPr>
          <w:sz w:val="24"/>
          <w:szCs w:val="24"/>
        </w:rPr>
      </w:pPr>
      <w:proofErr w:type="spellStart"/>
      <w:r w:rsidRPr="00EE15D7">
        <w:rPr>
          <w:sz w:val="24"/>
          <w:szCs w:val="24"/>
        </w:rPr>
        <w:t>Avaxim</w:t>
      </w:r>
      <w:proofErr w:type="spellEnd"/>
      <w:r w:rsidRPr="00EE15D7">
        <w:rPr>
          <w:sz w:val="24"/>
          <w:szCs w:val="24"/>
        </w:rPr>
        <w:t xml:space="preserve"> Junior giver immunitet mod hepatitis A-virus (HAV) ved at inducere </w:t>
      </w:r>
      <w:proofErr w:type="spellStart"/>
      <w:r w:rsidRPr="00EE15D7">
        <w:rPr>
          <w:sz w:val="24"/>
          <w:szCs w:val="24"/>
        </w:rPr>
        <w:t>anti</w:t>
      </w:r>
      <w:proofErr w:type="spellEnd"/>
      <w:r w:rsidRPr="00EE15D7">
        <w:rPr>
          <w:sz w:val="24"/>
          <w:szCs w:val="24"/>
        </w:rPr>
        <w:t xml:space="preserve">-HAV </w:t>
      </w:r>
      <w:proofErr w:type="spellStart"/>
      <w:r w:rsidRPr="00EE15D7">
        <w:rPr>
          <w:sz w:val="24"/>
          <w:szCs w:val="24"/>
        </w:rPr>
        <w:t>antistoftitre</w:t>
      </w:r>
      <w:proofErr w:type="spellEnd"/>
      <w:r w:rsidRPr="00EE15D7">
        <w:rPr>
          <w:sz w:val="24"/>
          <w:szCs w:val="24"/>
        </w:rPr>
        <w:t xml:space="preserve">, som er længerevarende og større end dem, som opnås efter passiv immunisering med </w:t>
      </w:r>
      <w:proofErr w:type="spellStart"/>
      <w:r w:rsidRPr="00EE15D7">
        <w:rPr>
          <w:sz w:val="24"/>
          <w:szCs w:val="24"/>
        </w:rPr>
        <w:t>immunoglobulin</w:t>
      </w:r>
      <w:proofErr w:type="spellEnd"/>
      <w:r w:rsidRPr="00EE15D7">
        <w:rPr>
          <w:sz w:val="24"/>
          <w:szCs w:val="24"/>
        </w:rPr>
        <w:t xml:space="preserve">. </w:t>
      </w:r>
    </w:p>
    <w:p w14:paraId="40114AC9" w14:textId="77777777" w:rsidR="00EE15D7" w:rsidRPr="00EE15D7" w:rsidRDefault="00EE15D7" w:rsidP="00EE15D7">
      <w:pPr>
        <w:tabs>
          <w:tab w:val="left" w:pos="851"/>
        </w:tabs>
        <w:ind w:left="851"/>
        <w:rPr>
          <w:sz w:val="24"/>
          <w:szCs w:val="24"/>
        </w:rPr>
      </w:pPr>
    </w:p>
    <w:p w14:paraId="726ECFC4" w14:textId="77777777" w:rsidR="00EE15D7" w:rsidRPr="00EE15D7" w:rsidRDefault="00EE15D7" w:rsidP="00EE15D7">
      <w:pPr>
        <w:tabs>
          <w:tab w:val="left" w:pos="851"/>
        </w:tabs>
        <w:ind w:left="851"/>
        <w:rPr>
          <w:iCs/>
          <w:sz w:val="24"/>
          <w:szCs w:val="24"/>
          <w:u w:val="single"/>
        </w:rPr>
      </w:pPr>
      <w:r w:rsidRPr="00EE15D7">
        <w:rPr>
          <w:iCs/>
          <w:sz w:val="24"/>
          <w:szCs w:val="24"/>
          <w:u w:val="single"/>
        </w:rPr>
        <w:t>Immunrespons efter første dosis og efter booster-dosis</w:t>
      </w:r>
    </w:p>
    <w:p w14:paraId="20258EBC" w14:textId="77777777" w:rsidR="00EE15D7" w:rsidRDefault="00EE15D7" w:rsidP="00EE15D7">
      <w:pPr>
        <w:tabs>
          <w:tab w:val="left" w:pos="851"/>
        </w:tabs>
        <w:ind w:left="851"/>
        <w:rPr>
          <w:sz w:val="24"/>
          <w:szCs w:val="24"/>
        </w:rPr>
      </w:pPr>
      <w:r w:rsidRPr="00EE15D7">
        <w:rPr>
          <w:sz w:val="24"/>
          <w:szCs w:val="24"/>
        </w:rPr>
        <w:t xml:space="preserve">Det er vist, at vaccinen frembringer beskyttende </w:t>
      </w:r>
      <w:proofErr w:type="spellStart"/>
      <w:r w:rsidRPr="00EE15D7">
        <w:rPr>
          <w:sz w:val="24"/>
          <w:szCs w:val="24"/>
        </w:rPr>
        <w:t>anti</w:t>
      </w:r>
      <w:proofErr w:type="spellEnd"/>
      <w:r w:rsidRPr="00EE15D7">
        <w:rPr>
          <w:sz w:val="24"/>
          <w:szCs w:val="24"/>
        </w:rPr>
        <w:t xml:space="preserve">-HAV </w:t>
      </w:r>
      <w:proofErr w:type="spellStart"/>
      <w:r w:rsidRPr="00EE15D7">
        <w:rPr>
          <w:sz w:val="24"/>
          <w:szCs w:val="24"/>
        </w:rPr>
        <w:t>antistoftitre</w:t>
      </w:r>
      <w:proofErr w:type="spellEnd"/>
      <w:r w:rsidRPr="00EE15D7">
        <w:rPr>
          <w:sz w:val="24"/>
          <w:szCs w:val="24"/>
        </w:rPr>
        <w:t xml:space="preserve"> (≥ 20 </w:t>
      </w:r>
      <w:proofErr w:type="spellStart"/>
      <w:r w:rsidRPr="00EE15D7">
        <w:rPr>
          <w:sz w:val="24"/>
          <w:szCs w:val="24"/>
        </w:rPr>
        <w:t>mIE</w:t>
      </w:r>
      <w:proofErr w:type="spellEnd"/>
      <w:r w:rsidRPr="00EE15D7">
        <w:rPr>
          <w:sz w:val="24"/>
          <w:szCs w:val="24"/>
        </w:rPr>
        <w:t>/ml) inden for to uger efter den første injektion hos over 95 % af alle personer og hos nær ved alle personer inden booster-dosis gives 6 måneder efter den første dosis.</w:t>
      </w:r>
    </w:p>
    <w:p w14:paraId="5BE197F0" w14:textId="77777777" w:rsidR="00EE15D7" w:rsidRPr="00EE15D7" w:rsidRDefault="00EE15D7" w:rsidP="00EE15D7">
      <w:pPr>
        <w:tabs>
          <w:tab w:val="left" w:pos="851"/>
        </w:tabs>
        <w:ind w:left="851"/>
        <w:rPr>
          <w:sz w:val="24"/>
          <w:szCs w:val="24"/>
        </w:rPr>
      </w:pPr>
    </w:p>
    <w:p w14:paraId="788EC3A0" w14:textId="77777777" w:rsidR="00EE15D7" w:rsidRDefault="00EE15D7" w:rsidP="00EE15D7">
      <w:pPr>
        <w:tabs>
          <w:tab w:val="left" w:pos="851"/>
        </w:tabs>
        <w:ind w:left="851"/>
        <w:rPr>
          <w:sz w:val="24"/>
          <w:szCs w:val="24"/>
        </w:rPr>
      </w:pPr>
      <w:r w:rsidRPr="00EE15D7">
        <w:rPr>
          <w:sz w:val="24"/>
          <w:szCs w:val="24"/>
        </w:rPr>
        <w:t xml:space="preserve">Der blev udført en </w:t>
      </w:r>
      <w:proofErr w:type="spellStart"/>
      <w:r w:rsidRPr="00EE15D7">
        <w:rPr>
          <w:sz w:val="24"/>
          <w:szCs w:val="24"/>
        </w:rPr>
        <w:t>poolet</w:t>
      </w:r>
      <w:proofErr w:type="spellEnd"/>
      <w:r w:rsidRPr="00EE15D7">
        <w:rPr>
          <w:sz w:val="24"/>
          <w:szCs w:val="24"/>
        </w:rPr>
        <w:t xml:space="preserve"> </w:t>
      </w:r>
      <w:proofErr w:type="spellStart"/>
      <w:r w:rsidRPr="00EE15D7">
        <w:rPr>
          <w:sz w:val="24"/>
          <w:szCs w:val="24"/>
        </w:rPr>
        <w:t>immunogenicitetsanalyse</w:t>
      </w:r>
      <w:proofErr w:type="spellEnd"/>
      <w:r w:rsidRPr="00EE15D7">
        <w:rPr>
          <w:sz w:val="24"/>
          <w:szCs w:val="24"/>
        </w:rPr>
        <w:t xml:space="preserve"> af 5 kliniske studier (ved brug af samme titreringsmetode), der omfattede mere end 1.800 forsøgspersoner i alderen 1 år til og med 15 år. Analyse pr. aldersgruppe viste, at 2-4 uger efter den første injektion blev beskyttende </w:t>
      </w:r>
      <w:proofErr w:type="spellStart"/>
      <w:r w:rsidRPr="00EE15D7">
        <w:rPr>
          <w:sz w:val="24"/>
          <w:szCs w:val="24"/>
        </w:rPr>
        <w:t>anti</w:t>
      </w:r>
      <w:proofErr w:type="spellEnd"/>
      <w:r w:rsidRPr="00EE15D7">
        <w:rPr>
          <w:sz w:val="24"/>
          <w:szCs w:val="24"/>
        </w:rPr>
        <w:t xml:space="preserve">-HAV </w:t>
      </w:r>
      <w:proofErr w:type="spellStart"/>
      <w:r w:rsidRPr="00EE15D7">
        <w:rPr>
          <w:sz w:val="24"/>
          <w:szCs w:val="24"/>
        </w:rPr>
        <w:t>antistoftitre</w:t>
      </w:r>
      <w:proofErr w:type="spellEnd"/>
      <w:r w:rsidRPr="00EE15D7">
        <w:rPr>
          <w:sz w:val="24"/>
          <w:szCs w:val="24"/>
        </w:rPr>
        <w:t xml:space="preserve"> opnået hos 99,1 % af forsøgspersonerne i alderen 12-23 måneder, hos 97,9 % af forsøgspersonerne i alderen 2-11 år og hos 95,3 % af forsøgspersonerne i alderen 12-15 år.</w:t>
      </w:r>
    </w:p>
    <w:p w14:paraId="17F3D17B" w14:textId="77777777" w:rsidR="0005483D" w:rsidRPr="00EE15D7" w:rsidRDefault="0005483D" w:rsidP="00EE15D7">
      <w:pPr>
        <w:tabs>
          <w:tab w:val="left" w:pos="851"/>
        </w:tabs>
        <w:ind w:left="851"/>
        <w:rPr>
          <w:sz w:val="24"/>
          <w:szCs w:val="24"/>
        </w:rPr>
      </w:pPr>
    </w:p>
    <w:p w14:paraId="7FB81500" w14:textId="77777777" w:rsidR="00EE15D7" w:rsidRPr="00EE15D7" w:rsidRDefault="00EE15D7" w:rsidP="00EE15D7">
      <w:pPr>
        <w:tabs>
          <w:tab w:val="left" w:pos="851"/>
        </w:tabs>
        <w:ind w:left="851"/>
        <w:rPr>
          <w:sz w:val="24"/>
          <w:szCs w:val="24"/>
        </w:rPr>
      </w:pPr>
      <w:proofErr w:type="spellStart"/>
      <w:r w:rsidRPr="00EE15D7">
        <w:rPr>
          <w:sz w:val="24"/>
          <w:szCs w:val="24"/>
        </w:rPr>
        <w:lastRenderedPageBreak/>
        <w:t>Anti</w:t>
      </w:r>
      <w:proofErr w:type="spellEnd"/>
      <w:r w:rsidRPr="00EE15D7">
        <w:rPr>
          <w:sz w:val="24"/>
          <w:szCs w:val="24"/>
        </w:rPr>
        <w:t xml:space="preserve">-HAV </w:t>
      </w:r>
      <w:proofErr w:type="spellStart"/>
      <w:r w:rsidRPr="00EE15D7">
        <w:rPr>
          <w:sz w:val="24"/>
          <w:szCs w:val="24"/>
        </w:rPr>
        <w:t>titre</w:t>
      </w:r>
      <w:proofErr w:type="spellEnd"/>
      <w:r w:rsidRPr="00EE15D7">
        <w:rPr>
          <w:sz w:val="24"/>
          <w:szCs w:val="24"/>
        </w:rPr>
        <w:t xml:space="preserve"> blev forstærket efter en booster-dosis. I den samme </w:t>
      </w:r>
      <w:proofErr w:type="spellStart"/>
      <w:r w:rsidRPr="00EE15D7">
        <w:rPr>
          <w:sz w:val="24"/>
          <w:szCs w:val="24"/>
        </w:rPr>
        <w:t>poolede</w:t>
      </w:r>
      <w:proofErr w:type="spellEnd"/>
      <w:r w:rsidRPr="00EE15D7">
        <w:rPr>
          <w:sz w:val="24"/>
          <w:szCs w:val="24"/>
        </w:rPr>
        <w:t xml:space="preserve"> analyse var geometriske </w:t>
      </w:r>
      <w:proofErr w:type="spellStart"/>
      <w:r w:rsidRPr="00EE15D7">
        <w:rPr>
          <w:sz w:val="24"/>
          <w:szCs w:val="24"/>
        </w:rPr>
        <w:t>middeltitre</w:t>
      </w:r>
      <w:proofErr w:type="spellEnd"/>
      <w:r w:rsidRPr="00EE15D7">
        <w:rPr>
          <w:sz w:val="24"/>
          <w:szCs w:val="24"/>
        </w:rPr>
        <w:t xml:space="preserve"> (</w:t>
      </w:r>
      <w:proofErr w:type="spellStart"/>
      <w:r w:rsidRPr="00EE15D7">
        <w:rPr>
          <w:sz w:val="24"/>
          <w:szCs w:val="24"/>
        </w:rPr>
        <w:t>GMT’er</w:t>
      </w:r>
      <w:proofErr w:type="spellEnd"/>
      <w:r w:rsidRPr="00EE15D7">
        <w:rPr>
          <w:sz w:val="24"/>
          <w:szCs w:val="24"/>
        </w:rPr>
        <w:t xml:space="preserve">) 210 </w:t>
      </w:r>
      <w:proofErr w:type="spellStart"/>
      <w:r w:rsidRPr="00EE15D7">
        <w:rPr>
          <w:sz w:val="24"/>
          <w:szCs w:val="24"/>
        </w:rPr>
        <w:t>mIE</w:t>
      </w:r>
      <w:proofErr w:type="spellEnd"/>
      <w:r w:rsidRPr="00EE15D7">
        <w:rPr>
          <w:sz w:val="24"/>
          <w:szCs w:val="24"/>
        </w:rPr>
        <w:t xml:space="preserve">/ml (95 % KI: 193; 227) før og 6.560 </w:t>
      </w:r>
      <w:proofErr w:type="spellStart"/>
      <w:r w:rsidRPr="00EE15D7">
        <w:rPr>
          <w:sz w:val="24"/>
          <w:szCs w:val="24"/>
        </w:rPr>
        <w:t>mIE</w:t>
      </w:r>
      <w:proofErr w:type="spellEnd"/>
      <w:r w:rsidRPr="00EE15D7">
        <w:rPr>
          <w:sz w:val="24"/>
          <w:szCs w:val="24"/>
        </w:rPr>
        <w:t>/ml (95 % KI: 6.210; 6.929) efter booster-injektionen, som blev administreret 6 måneder efter den første injektion, hvilket svarer til en GMT-ratio på 30,5 (95 % KI: 28,5; 32,7).</w:t>
      </w:r>
    </w:p>
    <w:p w14:paraId="540A9F7A" w14:textId="77777777" w:rsidR="00EE15D7" w:rsidRDefault="00EE15D7" w:rsidP="00EE15D7">
      <w:pPr>
        <w:tabs>
          <w:tab w:val="left" w:pos="851"/>
        </w:tabs>
        <w:ind w:left="851"/>
        <w:rPr>
          <w:sz w:val="24"/>
          <w:szCs w:val="24"/>
        </w:rPr>
      </w:pPr>
      <w:bookmarkStart w:id="1" w:name="_Hlk57793375"/>
      <w:r w:rsidRPr="00EE15D7">
        <w:rPr>
          <w:sz w:val="24"/>
          <w:szCs w:val="24"/>
        </w:rPr>
        <w:t xml:space="preserve">Responset efter 2 doser vaccine var højest i de yngste grupper af forsøgspersoner, dvs. 6805 </w:t>
      </w:r>
      <w:proofErr w:type="spellStart"/>
      <w:r w:rsidRPr="00EE15D7">
        <w:rPr>
          <w:sz w:val="24"/>
          <w:szCs w:val="24"/>
        </w:rPr>
        <w:t>mIE</w:t>
      </w:r>
      <w:proofErr w:type="spellEnd"/>
      <w:r w:rsidRPr="00EE15D7">
        <w:rPr>
          <w:sz w:val="24"/>
          <w:szCs w:val="24"/>
        </w:rPr>
        <w:t xml:space="preserve">/ml (95 % KI: 6263; 7394) i alderen 12-23 måneder, 6903 </w:t>
      </w:r>
      <w:proofErr w:type="spellStart"/>
      <w:r w:rsidRPr="00EE15D7">
        <w:rPr>
          <w:sz w:val="24"/>
          <w:szCs w:val="24"/>
        </w:rPr>
        <w:t>mIE</w:t>
      </w:r>
      <w:proofErr w:type="spellEnd"/>
      <w:r w:rsidRPr="00EE15D7">
        <w:rPr>
          <w:sz w:val="24"/>
          <w:szCs w:val="24"/>
        </w:rPr>
        <w:t xml:space="preserve">/ml (95 % KI: 6393; 7453) i alderen 2-11 år </w:t>
      </w:r>
      <w:r w:rsidRPr="00EE15D7">
        <w:rPr>
          <w:i/>
          <w:iCs/>
          <w:sz w:val="24"/>
          <w:szCs w:val="24"/>
        </w:rPr>
        <w:t>versus</w:t>
      </w:r>
      <w:r w:rsidRPr="00EE15D7">
        <w:rPr>
          <w:sz w:val="24"/>
          <w:szCs w:val="24"/>
        </w:rPr>
        <w:t xml:space="preserve"> 4651 </w:t>
      </w:r>
      <w:proofErr w:type="spellStart"/>
      <w:r w:rsidRPr="00EE15D7">
        <w:rPr>
          <w:sz w:val="24"/>
          <w:szCs w:val="24"/>
        </w:rPr>
        <w:t>mIE</w:t>
      </w:r>
      <w:proofErr w:type="spellEnd"/>
      <w:r w:rsidRPr="00EE15D7">
        <w:rPr>
          <w:sz w:val="24"/>
          <w:szCs w:val="24"/>
        </w:rPr>
        <w:t>/ml (95 % KI: 3848; 5620) i alderen 12-15 år.</w:t>
      </w:r>
      <w:bookmarkEnd w:id="1"/>
    </w:p>
    <w:p w14:paraId="3694FC8A" w14:textId="77777777" w:rsidR="0005483D" w:rsidRPr="00EE15D7" w:rsidRDefault="0005483D" w:rsidP="00EE15D7">
      <w:pPr>
        <w:tabs>
          <w:tab w:val="left" w:pos="851"/>
        </w:tabs>
        <w:ind w:left="851"/>
        <w:rPr>
          <w:sz w:val="24"/>
          <w:szCs w:val="24"/>
        </w:rPr>
      </w:pPr>
    </w:p>
    <w:p w14:paraId="0CA8FF38" w14:textId="77777777" w:rsidR="00EE15D7" w:rsidRPr="0005483D" w:rsidRDefault="00EE15D7" w:rsidP="00EE15D7">
      <w:pPr>
        <w:tabs>
          <w:tab w:val="left" w:pos="851"/>
        </w:tabs>
        <w:ind w:left="851"/>
        <w:rPr>
          <w:sz w:val="24"/>
          <w:szCs w:val="24"/>
          <w:u w:val="single"/>
        </w:rPr>
      </w:pPr>
      <w:bookmarkStart w:id="2" w:name="_Hlk45873252"/>
      <w:r w:rsidRPr="0005483D">
        <w:rPr>
          <w:iCs/>
          <w:sz w:val="24"/>
          <w:szCs w:val="24"/>
          <w:u w:val="single"/>
        </w:rPr>
        <w:t>Varighed af immunrespons</w:t>
      </w:r>
    </w:p>
    <w:bookmarkEnd w:id="2"/>
    <w:p w14:paraId="4A53CCF4" w14:textId="77777777" w:rsidR="00EE15D7" w:rsidRDefault="00EE15D7" w:rsidP="00EE15D7">
      <w:pPr>
        <w:tabs>
          <w:tab w:val="left" w:pos="851"/>
        </w:tabs>
        <w:ind w:left="851"/>
        <w:rPr>
          <w:sz w:val="24"/>
          <w:szCs w:val="24"/>
        </w:rPr>
      </w:pPr>
      <w:r w:rsidRPr="00EE15D7">
        <w:rPr>
          <w:sz w:val="24"/>
          <w:szCs w:val="24"/>
        </w:rPr>
        <w:t>Der blev udført to studier i Argentina (et middelendemisk område for hepatitis A) med det formål at undersøge varigheden af hepatitis A-antistof.</w:t>
      </w:r>
    </w:p>
    <w:p w14:paraId="24FDC2C6" w14:textId="77777777" w:rsidR="0005483D" w:rsidRPr="00EE15D7" w:rsidRDefault="0005483D" w:rsidP="00AB28B2">
      <w:pPr>
        <w:tabs>
          <w:tab w:val="left" w:pos="851"/>
        </w:tabs>
        <w:rPr>
          <w:sz w:val="24"/>
          <w:szCs w:val="24"/>
        </w:rPr>
      </w:pPr>
    </w:p>
    <w:p w14:paraId="3625E971" w14:textId="70D59337" w:rsidR="00EE15D7" w:rsidRDefault="00EE15D7" w:rsidP="00EE15D7">
      <w:pPr>
        <w:tabs>
          <w:tab w:val="left" w:pos="851"/>
        </w:tabs>
        <w:ind w:left="851"/>
        <w:rPr>
          <w:sz w:val="24"/>
          <w:szCs w:val="24"/>
        </w:rPr>
      </w:pPr>
      <w:r w:rsidRPr="00EE15D7">
        <w:rPr>
          <w:sz w:val="24"/>
          <w:szCs w:val="24"/>
        </w:rPr>
        <w:t xml:space="preserve">Det </w:t>
      </w:r>
      <w:r w:rsidR="00AB28B2">
        <w:rPr>
          <w:sz w:val="24"/>
          <w:szCs w:val="24"/>
        </w:rPr>
        <w:t>ene</w:t>
      </w:r>
      <w:r w:rsidRPr="00EE15D7">
        <w:rPr>
          <w:sz w:val="24"/>
          <w:szCs w:val="24"/>
        </w:rPr>
        <w:t xml:space="preserve"> studie</w:t>
      </w:r>
      <w:r w:rsidR="00AB28B2">
        <w:rPr>
          <w:sz w:val="24"/>
          <w:szCs w:val="24"/>
        </w:rPr>
        <w:t xml:space="preserve"> (HAF83)</w:t>
      </w:r>
      <w:r w:rsidRPr="00EE15D7">
        <w:rPr>
          <w:sz w:val="24"/>
          <w:szCs w:val="24"/>
        </w:rPr>
        <w:t xml:space="preserve"> blev udført med børn (N=54) i alderen 12 til og med 47 måneder, som var blevet vaccineret med 2 doser af vaccinen med 6 måneders mellemrum. Resultaterne viste, at antistofferne efter en periode på op til 14-15 år endnu lå på et niveau, som anses for beskyttende, og at der ikke var tegn på, at endnu en administration af vaccinen var nødvendig.</w:t>
      </w:r>
    </w:p>
    <w:p w14:paraId="677960C6" w14:textId="77777777" w:rsidR="0005483D" w:rsidRPr="00EE15D7" w:rsidRDefault="0005483D" w:rsidP="00EE15D7">
      <w:pPr>
        <w:tabs>
          <w:tab w:val="left" w:pos="851"/>
        </w:tabs>
        <w:ind w:left="851"/>
        <w:rPr>
          <w:sz w:val="24"/>
          <w:szCs w:val="24"/>
        </w:rPr>
      </w:pPr>
    </w:p>
    <w:p w14:paraId="36828C22" w14:textId="0BDEB190" w:rsidR="00EE15D7" w:rsidRDefault="00EE15D7" w:rsidP="00EE15D7">
      <w:pPr>
        <w:tabs>
          <w:tab w:val="left" w:pos="851"/>
        </w:tabs>
        <w:ind w:left="851"/>
        <w:rPr>
          <w:sz w:val="24"/>
          <w:szCs w:val="24"/>
        </w:rPr>
      </w:pPr>
      <w:r w:rsidRPr="00EE15D7">
        <w:rPr>
          <w:sz w:val="24"/>
          <w:szCs w:val="24"/>
        </w:rPr>
        <w:t xml:space="preserve">En </w:t>
      </w:r>
      <w:r w:rsidR="003642A9">
        <w:rPr>
          <w:sz w:val="24"/>
          <w:szCs w:val="24"/>
        </w:rPr>
        <w:t>statistisk</w:t>
      </w:r>
      <w:r w:rsidRPr="00EE15D7">
        <w:rPr>
          <w:sz w:val="24"/>
          <w:szCs w:val="24"/>
        </w:rPr>
        <w:t xml:space="preserve"> model, der anvendte de tilgængelige data fra dette studie indtil 14-15 år efter administration af de 2 vaccinedoser, forudsiger, at de beskyttende </w:t>
      </w:r>
      <w:proofErr w:type="spellStart"/>
      <w:r w:rsidRPr="00EE15D7">
        <w:rPr>
          <w:sz w:val="24"/>
          <w:szCs w:val="24"/>
        </w:rPr>
        <w:t>anti</w:t>
      </w:r>
      <w:proofErr w:type="spellEnd"/>
      <w:r w:rsidRPr="00EE15D7">
        <w:rPr>
          <w:sz w:val="24"/>
          <w:szCs w:val="24"/>
        </w:rPr>
        <w:t>-HAV antistoffer vedvarer i mindst 30 år hos 87,5 % af disse børn (estimeret forudsigelse inden for 95 % konfidensinterval</w:t>
      </w:r>
      <w:r w:rsidR="003642A9">
        <w:rPr>
          <w:sz w:val="24"/>
          <w:szCs w:val="24"/>
        </w:rPr>
        <w:t xml:space="preserve"> KI</w:t>
      </w:r>
      <w:r w:rsidRPr="00EE15D7">
        <w:rPr>
          <w:sz w:val="24"/>
          <w:szCs w:val="24"/>
        </w:rPr>
        <w:t xml:space="preserve"> [74,1; 94,8]).</w:t>
      </w:r>
    </w:p>
    <w:p w14:paraId="794E91CA" w14:textId="563BE03A" w:rsidR="003642A9" w:rsidRDefault="003642A9" w:rsidP="00EE15D7">
      <w:pPr>
        <w:tabs>
          <w:tab w:val="left" w:pos="851"/>
        </w:tabs>
        <w:ind w:left="851"/>
        <w:rPr>
          <w:sz w:val="24"/>
          <w:szCs w:val="24"/>
        </w:rPr>
      </w:pPr>
    </w:p>
    <w:p w14:paraId="5215F5FF" w14:textId="758BB1AE" w:rsidR="003642A9" w:rsidRDefault="003642A9" w:rsidP="00EE15D7">
      <w:pPr>
        <w:tabs>
          <w:tab w:val="left" w:pos="851"/>
        </w:tabs>
        <w:ind w:left="851"/>
        <w:rPr>
          <w:sz w:val="24"/>
          <w:szCs w:val="24"/>
        </w:rPr>
      </w:pPr>
      <w:r w:rsidRPr="003642A9">
        <w:rPr>
          <w:sz w:val="24"/>
          <w:szCs w:val="24"/>
        </w:rPr>
        <w:t xml:space="preserve">Et andet ikke-interventionsstudie (HAF82) blev udført med børn i alderen 11-23 måneder på tidspunktet for inklusion. Alle børn havde modtaget rutinevaccination med 1 dosis (gruppe 1: N = 436) eller 2 doser (gruppe 2: N = 108) hepatitis A-vaccine. Efter 10 år med opfølgning viste samtlige tilbageværende forsøgspersoner </w:t>
      </w:r>
      <w:proofErr w:type="spellStart"/>
      <w:r w:rsidRPr="003642A9">
        <w:rPr>
          <w:sz w:val="24"/>
          <w:szCs w:val="24"/>
        </w:rPr>
        <w:t>serobeskyttende</w:t>
      </w:r>
      <w:proofErr w:type="spellEnd"/>
      <w:r w:rsidRPr="003642A9">
        <w:rPr>
          <w:sz w:val="24"/>
          <w:szCs w:val="24"/>
        </w:rPr>
        <w:t xml:space="preserve"> niveau (</w:t>
      </w:r>
      <w:proofErr w:type="spellStart"/>
      <w:r w:rsidRPr="003642A9">
        <w:rPr>
          <w:sz w:val="24"/>
          <w:szCs w:val="24"/>
        </w:rPr>
        <w:t>anti</w:t>
      </w:r>
      <w:proofErr w:type="spellEnd"/>
      <w:r w:rsidRPr="003642A9">
        <w:rPr>
          <w:sz w:val="24"/>
          <w:szCs w:val="24"/>
        </w:rPr>
        <w:t xml:space="preserve">-HAV antistofkoncentration ≥3 </w:t>
      </w:r>
      <w:proofErr w:type="spellStart"/>
      <w:r w:rsidRPr="003642A9">
        <w:rPr>
          <w:sz w:val="24"/>
          <w:szCs w:val="24"/>
        </w:rPr>
        <w:t>mIE</w:t>
      </w:r>
      <w:proofErr w:type="spellEnd"/>
      <w:r w:rsidRPr="003642A9">
        <w:rPr>
          <w:sz w:val="24"/>
          <w:szCs w:val="24"/>
        </w:rPr>
        <w:t>/ml med elektrokemiluminescens-</w:t>
      </w:r>
      <w:proofErr w:type="spellStart"/>
      <w:r w:rsidRPr="003642A9">
        <w:rPr>
          <w:sz w:val="24"/>
          <w:szCs w:val="24"/>
        </w:rPr>
        <w:t>immunoassay</w:t>
      </w:r>
      <w:proofErr w:type="spellEnd"/>
      <w:r w:rsidRPr="003642A9">
        <w:rPr>
          <w:sz w:val="24"/>
          <w:szCs w:val="24"/>
        </w:rPr>
        <w:t xml:space="preserve"> (ECLIA)) i begge grupper. Statistisk modellering på baggrund af HAF82-resultaterne, inklusive en naturlig booster-effekt, forudså en lignende vedvarende beskyttelse med </w:t>
      </w:r>
      <w:proofErr w:type="spellStart"/>
      <w:r w:rsidRPr="003642A9">
        <w:rPr>
          <w:sz w:val="24"/>
          <w:szCs w:val="24"/>
        </w:rPr>
        <w:t>anti</w:t>
      </w:r>
      <w:proofErr w:type="spellEnd"/>
      <w:r w:rsidRPr="003642A9">
        <w:rPr>
          <w:sz w:val="24"/>
          <w:szCs w:val="24"/>
        </w:rPr>
        <w:t xml:space="preserve">-HAV </w:t>
      </w:r>
      <w:proofErr w:type="spellStart"/>
      <w:r w:rsidRPr="003642A9">
        <w:rPr>
          <w:sz w:val="24"/>
          <w:szCs w:val="24"/>
        </w:rPr>
        <w:t>antistoftitre</w:t>
      </w:r>
      <w:proofErr w:type="spellEnd"/>
      <w:r w:rsidRPr="003642A9">
        <w:rPr>
          <w:sz w:val="24"/>
          <w:szCs w:val="24"/>
        </w:rPr>
        <w:t xml:space="preserve"> i op til 30 år, efter administration af 1 eller 2 doser hos over 89 % med 95 % KI [80; 96] til 85 % med 95 % KI [70; 95] af forsøgspersonerne.</w:t>
      </w:r>
    </w:p>
    <w:p w14:paraId="4946C606" w14:textId="77777777" w:rsidR="0005483D" w:rsidRPr="00EE15D7" w:rsidRDefault="0005483D" w:rsidP="00EE15D7">
      <w:pPr>
        <w:tabs>
          <w:tab w:val="left" w:pos="851"/>
        </w:tabs>
        <w:ind w:left="851"/>
        <w:rPr>
          <w:sz w:val="24"/>
          <w:szCs w:val="24"/>
        </w:rPr>
      </w:pPr>
    </w:p>
    <w:p w14:paraId="3B27AD92" w14:textId="77777777" w:rsidR="00EE15D7" w:rsidRPr="0005483D" w:rsidRDefault="00EE15D7" w:rsidP="00EE15D7">
      <w:pPr>
        <w:tabs>
          <w:tab w:val="left" w:pos="851"/>
        </w:tabs>
        <w:ind w:left="851"/>
        <w:rPr>
          <w:iCs/>
          <w:sz w:val="24"/>
          <w:szCs w:val="24"/>
          <w:u w:val="single"/>
        </w:rPr>
      </w:pPr>
      <w:r w:rsidRPr="0005483D">
        <w:rPr>
          <w:iCs/>
          <w:sz w:val="24"/>
          <w:szCs w:val="24"/>
          <w:u w:val="single"/>
        </w:rPr>
        <w:t xml:space="preserve">Massevaccinations indvirken på sygdomsforekomst </w:t>
      </w:r>
    </w:p>
    <w:p w14:paraId="7C3A8843" w14:textId="77777777" w:rsidR="00EE15D7" w:rsidRPr="00EE15D7" w:rsidRDefault="00EE15D7" w:rsidP="00EE15D7">
      <w:pPr>
        <w:tabs>
          <w:tab w:val="left" w:pos="851"/>
        </w:tabs>
        <w:ind w:left="851"/>
        <w:rPr>
          <w:sz w:val="24"/>
          <w:szCs w:val="24"/>
        </w:rPr>
      </w:pPr>
      <w:r w:rsidRPr="00EE15D7">
        <w:rPr>
          <w:sz w:val="24"/>
          <w:szCs w:val="24"/>
        </w:rPr>
        <w:t xml:space="preserve">Der blev udført et studie i Minsk i Hviderusland med det formål at undersøge virkningen af hepatitis A vaccination. I løbet af en 4-årig vaccinationskampagne fik en kohorte på 66.795 voksne og børn 2 doser af enten </w:t>
      </w:r>
      <w:proofErr w:type="spellStart"/>
      <w:r w:rsidRPr="00EE15D7">
        <w:rPr>
          <w:sz w:val="24"/>
          <w:szCs w:val="24"/>
        </w:rPr>
        <w:t>Avaxim</w:t>
      </w:r>
      <w:proofErr w:type="spellEnd"/>
      <w:r w:rsidRPr="00EE15D7">
        <w:rPr>
          <w:sz w:val="24"/>
          <w:szCs w:val="24"/>
        </w:rPr>
        <w:t xml:space="preserve"> 160E eller </w:t>
      </w:r>
      <w:proofErr w:type="spellStart"/>
      <w:r w:rsidRPr="00EE15D7">
        <w:rPr>
          <w:sz w:val="24"/>
          <w:szCs w:val="24"/>
        </w:rPr>
        <w:t>Avaxim</w:t>
      </w:r>
      <w:proofErr w:type="spellEnd"/>
      <w:r w:rsidRPr="00EE15D7">
        <w:rPr>
          <w:sz w:val="24"/>
          <w:szCs w:val="24"/>
        </w:rPr>
        <w:t xml:space="preserve"> Junior (95 %) eller en anden hepatitis A-vaccine (5 %). I det tidsrum var forekomsten af hepatitis A hos de 63.900 vaccinerede børn i alderen 1-14 år 20 gange lavere end forekomsten hos ikke-vaccinerede børn (0,3 tilfælde/10.000 </w:t>
      </w:r>
      <w:r w:rsidRPr="00EE15D7">
        <w:rPr>
          <w:i/>
          <w:iCs/>
          <w:sz w:val="24"/>
          <w:szCs w:val="24"/>
        </w:rPr>
        <w:t>versus</w:t>
      </w:r>
      <w:r w:rsidRPr="00EE15D7">
        <w:rPr>
          <w:sz w:val="24"/>
          <w:szCs w:val="24"/>
        </w:rPr>
        <w:t xml:space="preserve"> 5,98/10.000; odds ratio = 0,05, 95 % KI: 0,012-0,202), hvilket påviste en vaccinationseffekt på 95 %. I den samme periode faldt forekomsten betydeligt i alle aldersgrupper, inklusive hos de ikke-vaccinerede, hvilket tyder på flokimmunitet.</w:t>
      </w:r>
    </w:p>
    <w:p w14:paraId="6C8A6474" w14:textId="77777777" w:rsidR="009260DE" w:rsidRPr="00C84483" w:rsidRDefault="009260DE" w:rsidP="009260DE">
      <w:pPr>
        <w:tabs>
          <w:tab w:val="left" w:pos="851"/>
        </w:tabs>
        <w:ind w:left="851"/>
        <w:rPr>
          <w:sz w:val="24"/>
          <w:szCs w:val="24"/>
        </w:rPr>
      </w:pPr>
    </w:p>
    <w:p w14:paraId="143CA88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9425CCF" w14:textId="77777777" w:rsidR="009A70C0" w:rsidRPr="009A70C0" w:rsidRDefault="009A70C0" w:rsidP="009A70C0">
      <w:pPr>
        <w:tabs>
          <w:tab w:val="left" w:pos="851"/>
        </w:tabs>
        <w:ind w:left="851"/>
        <w:rPr>
          <w:sz w:val="24"/>
          <w:szCs w:val="24"/>
        </w:rPr>
      </w:pPr>
      <w:r w:rsidRPr="009A70C0">
        <w:rPr>
          <w:sz w:val="24"/>
          <w:szCs w:val="24"/>
        </w:rPr>
        <w:t>Ikke relevant.</w:t>
      </w:r>
    </w:p>
    <w:p w14:paraId="0D2D73F6" w14:textId="77777777" w:rsidR="009260DE" w:rsidRPr="00C84483" w:rsidRDefault="009260DE" w:rsidP="009260DE">
      <w:pPr>
        <w:tabs>
          <w:tab w:val="left" w:pos="851"/>
        </w:tabs>
        <w:ind w:left="851"/>
        <w:rPr>
          <w:sz w:val="24"/>
          <w:szCs w:val="24"/>
        </w:rPr>
      </w:pPr>
    </w:p>
    <w:p w14:paraId="23C6500D" w14:textId="77C6570C"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3642A9">
        <w:rPr>
          <w:b/>
          <w:sz w:val="24"/>
          <w:szCs w:val="24"/>
        </w:rPr>
        <w:t>Non-</w:t>
      </w:r>
      <w:r w:rsidRPr="00C84483">
        <w:rPr>
          <w:b/>
          <w:sz w:val="24"/>
          <w:szCs w:val="24"/>
        </w:rPr>
        <w:t>kliniske sikkerhedsdata</w:t>
      </w:r>
    </w:p>
    <w:p w14:paraId="2DB51DBC" w14:textId="783F9D28" w:rsidR="00F24B4C" w:rsidRDefault="009A70C0" w:rsidP="003642A9">
      <w:pPr>
        <w:tabs>
          <w:tab w:val="left" w:pos="851"/>
        </w:tabs>
        <w:ind w:left="851"/>
        <w:rPr>
          <w:sz w:val="24"/>
          <w:szCs w:val="24"/>
        </w:rPr>
      </w:pPr>
      <w:r w:rsidRPr="009A70C0">
        <w:rPr>
          <w:sz w:val="24"/>
          <w:szCs w:val="24"/>
        </w:rPr>
        <w:t xml:space="preserve">Non-kliniske data viser ingen speciel risiko for mennesker vurderet ud fra konventionelle studier af akut toksicitet, toksicitet efter gentagne doser, lokal tolerance og overfølsomhed. </w:t>
      </w:r>
      <w:r w:rsidR="00F24B4C">
        <w:rPr>
          <w:sz w:val="24"/>
          <w:szCs w:val="24"/>
        </w:rPr>
        <w:br w:type="page"/>
      </w:r>
    </w:p>
    <w:p w14:paraId="25C01AB1" w14:textId="77777777" w:rsidR="009260DE" w:rsidRPr="00C84483" w:rsidRDefault="009260DE" w:rsidP="009260DE">
      <w:pPr>
        <w:tabs>
          <w:tab w:val="left" w:pos="851"/>
        </w:tabs>
        <w:ind w:left="851"/>
        <w:rPr>
          <w:sz w:val="24"/>
          <w:szCs w:val="24"/>
        </w:rPr>
      </w:pPr>
    </w:p>
    <w:p w14:paraId="18426FA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7C2B9B4" w14:textId="77777777" w:rsidR="009260DE" w:rsidRPr="00BA09F1" w:rsidRDefault="009260DE" w:rsidP="009260DE">
      <w:pPr>
        <w:tabs>
          <w:tab w:val="left" w:pos="851"/>
        </w:tabs>
        <w:ind w:left="851"/>
        <w:rPr>
          <w:sz w:val="24"/>
          <w:szCs w:val="24"/>
        </w:rPr>
      </w:pPr>
    </w:p>
    <w:p w14:paraId="145B0C4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7146DA9" w14:textId="77777777" w:rsidR="00F24B4C" w:rsidRPr="00F24B4C" w:rsidRDefault="00F24B4C" w:rsidP="00F24B4C">
      <w:pPr>
        <w:tabs>
          <w:tab w:val="left" w:pos="851"/>
        </w:tabs>
        <w:ind w:left="851"/>
        <w:rPr>
          <w:sz w:val="24"/>
          <w:szCs w:val="24"/>
        </w:rPr>
      </w:pPr>
      <w:r w:rsidRPr="00F24B4C">
        <w:rPr>
          <w:sz w:val="24"/>
          <w:szCs w:val="24"/>
        </w:rPr>
        <w:t xml:space="preserve">2-phenoxyethanol </w:t>
      </w:r>
    </w:p>
    <w:p w14:paraId="45BFD7D7" w14:textId="77777777" w:rsidR="00F24B4C" w:rsidRPr="00F24B4C" w:rsidRDefault="00F24B4C" w:rsidP="00F24B4C">
      <w:pPr>
        <w:tabs>
          <w:tab w:val="left" w:pos="851"/>
        </w:tabs>
        <w:ind w:left="851"/>
        <w:rPr>
          <w:sz w:val="24"/>
          <w:szCs w:val="24"/>
        </w:rPr>
      </w:pPr>
      <w:proofErr w:type="spellStart"/>
      <w:r w:rsidRPr="00F24B4C">
        <w:rPr>
          <w:sz w:val="24"/>
          <w:szCs w:val="24"/>
        </w:rPr>
        <w:t>Ethanol</w:t>
      </w:r>
      <w:proofErr w:type="spellEnd"/>
      <w:r w:rsidRPr="00F24B4C">
        <w:rPr>
          <w:sz w:val="24"/>
          <w:szCs w:val="24"/>
        </w:rPr>
        <w:t>, vandfri</w:t>
      </w:r>
    </w:p>
    <w:p w14:paraId="6BC83F13" w14:textId="77777777" w:rsidR="00F24B4C" w:rsidRPr="00F24B4C" w:rsidRDefault="00F24B4C" w:rsidP="00F24B4C">
      <w:pPr>
        <w:tabs>
          <w:tab w:val="left" w:pos="851"/>
        </w:tabs>
        <w:ind w:left="851"/>
        <w:rPr>
          <w:sz w:val="24"/>
          <w:szCs w:val="24"/>
        </w:rPr>
      </w:pPr>
      <w:r w:rsidRPr="00F24B4C">
        <w:rPr>
          <w:sz w:val="24"/>
          <w:szCs w:val="24"/>
        </w:rPr>
        <w:t xml:space="preserve">Formaldehyd </w:t>
      </w:r>
    </w:p>
    <w:p w14:paraId="7C28B249" w14:textId="77777777" w:rsidR="00F24B4C" w:rsidRPr="00F24B4C" w:rsidRDefault="00F24B4C" w:rsidP="00F24B4C">
      <w:pPr>
        <w:tabs>
          <w:tab w:val="left" w:pos="851"/>
        </w:tabs>
        <w:ind w:left="851"/>
        <w:rPr>
          <w:sz w:val="24"/>
          <w:szCs w:val="24"/>
        </w:rPr>
      </w:pPr>
      <w:r w:rsidRPr="00F24B4C">
        <w:rPr>
          <w:sz w:val="24"/>
          <w:szCs w:val="24"/>
        </w:rPr>
        <w:t xml:space="preserve">Medium 199 Hanks* </w:t>
      </w:r>
    </w:p>
    <w:p w14:paraId="404C9A6C" w14:textId="77777777" w:rsidR="00F24B4C" w:rsidRPr="00F24B4C" w:rsidRDefault="00F24B4C" w:rsidP="00F24B4C">
      <w:pPr>
        <w:tabs>
          <w:tab w:val="left" w:pos="851"/>
        </w:tabs>
        <w:ind w:left="851"/>
        <w:rPr>
          <w:sz w:val="24"/>
          <w:szCs w:val="24"/>
        </w:rPr>
      </w:pPr>
      <w:r w:rsidRPr="00F24B4C">
        <w:rPr>
          <w:sz w:val="24"/>
          <w:szCs w:val="24"/>
        </w:rPr>
        <w:t xml:space="preserve">Vand til injektionsvæsker </w:t>
      </w:r>
    </w:p>
    <w:p w14:paraId="55CCFD78" w14:textId="77777777" w:rsidR="00F24B4C" w:rsidRPr="00F24B4C" w:rsidRDefault="00F24B4C" w:rsidP="00F24B4C">
      <w:pPr>
        <w:tabs>
          <w:tab w:val="left" w:pos="851"/>
        </w:tabs>
        <w:ind w:left="851"/>
        <w:rPr>
          <w:sz w:val="24"/>
          <w:szCs w:val="24"/>
        </w:rPr>
      </w:pPr>
      <w:proofErr w:type="spellStart"/>
      <w:r w:rsidRPr="00F24B4C">
        <w:rPr>
          <w:sz w:val="24"/>
          <w:szCs w:val="24"/>
        </w:rPr>
        <w:t>Polysorbat</w:t>
      </w:r>
      <w:proofErr w:type="spellEnd"/>
      <w:r w:rsidRPr="00F24B4C">
        <w:rPr>
          <w:sz w:val="24"/>
          <w:szCs w:val="24"/>
        </w:rPr>
        <w:t xml:space="preserve"> 80</w:t>
      </w:r>
    </w:p>
    <w:p w14:paraId="3424D570" w14:textId="77777777" w:rsidR="00F24B4C" w:rsidRPr="00F24B4C" w:rsidRDefault="00F24B4C" w:rsidP="00F24B4C">
      <w:pPr>
        <w:tabs>
          <w:tab w:val="left" w:pos="851"/>
        </w:tabs>
        <w:ind w:left="851"/>
        <w:rPr>
          <w:sz w:val="24"/>
          <w:szCs w:val="24"/>
        </w:rPr>
      </w:pPr>
      <w:r w:rsidRPr="00F24B4C">
        <w:rPr>
          <w:sz w:val="24"/>
          <w:szCs w:val="24"/>
        </w:rPr>
        <w:t>Saltsyre til pH-justering</w:t>
      </w:r>
    </w:p>
    <w:p w14:paraId="041CF24C" w14:textId="77777777" w:rsidR="00F24B4C" w:rsidRPr="00F24B4C" w:rsidRDefault="00F24B4C" w:rsidP="00F24B4C">
      <w:pPr>
        <w:tabs>
          <w:tab w:val="left" w:pos="851"/>
        </w:tabs>
        <w:ind w:left="851"/>
        <w:rPr>
          <w:sz w:val="24"/>
          <w:szCs w:val="24"/>
        </w:rPr>
      </w:pPr>
      <w:r w:rsidRPr="00F24B4C">
        <w:rPr>
          <w:sz w:val="24"/>
          <w:szCs w:val="24"/>
        </w:rPr>
        <w:t>Natriumhydroxid til pH-justering</w:t>
      </w:r>
    </w:p>
    <w:p w14:paraId="65880175" w14:textId="77777777" w:rsidR="00F24B4C" w:rsidRPr="00F24B4C" w:rsidRDefault="00F24B4C" w:rsidP="00F24B4C">
      <w:pPr>
        <w:tabs>
          <w:tab w:val="left" w:pos="851"/>
        </w:tabs>
        <w:ind w:left="851"/>
        <w:rPr>
          <w:sz w:val="24"/>
          <w:szCs w:val="24"/>
        </w:rPr>
      </w:pPr>
    </w:p>
    <w:p w14:paraId="2DACDA05" w14:textId="4B203BDA" w:rsidR="00F24B4C" w:rsidRPr="00F24B4C" w:rsidRDefault="00F24B4C" w:rsidP="00F24B4C">
      <w:pPr>
        <w:tabs>
          <w:tab w:val="left" w:pos="851"/>
        </w:tabs>
        <w:ind w:left="851"/>
        <w:rPr>
          <w:sz w:val="20"/>
        </w:rPr>
      </w:pPr>
      <w:r w:rsidRPr="00F24B4C">
        <w:rPr>
          <w:sz w:val="20"/>
        </w:rPr>
        <w:t>*</w:t>
      </w:r>
      <w:r>
        <w:rPr>
          <w:sz w:val="20"/>
        </w:rPr>
        <w:t xml:space="preserve"> </w:t>
      </w:r>
      <w:r w:rsidRPr="00F24B4C">
        <w:rPr>
          <w:sz w:val="20"/>
        </w:rPr>
        <w:t xml:space="preserve">Medium 199 Hanks (uden </w:t>
      </w:r>
      <w:proofErr w:type="spellStart"/>
      <w:r w:rsidRPr="00F24B4C">
        <w:rPr>
          <w:sz w:val="20"/>
        </w:rPr>
        <w:t>phenol</w:t>
      </w:r>
      <w:proofErr w:type="spellEnd"/>
      <w:r w:rsidRPr="00F24B4C">
        <w:rPr>
          <w:sz w:val="20"/>
        </w:rPr>
        <w:t xml:space="preserve"> rød) er en kompleks blanding af aminosyrer (herunder </w:t>
      </w:r>
      <w:proofErr w:type="spellStart"/>
      <w:r w:rsidRPr="00F24B4C">
        <w:rPr>
          <w:sz w:val="20"/>
        </w:rPr>
        <w:t>phenylalanin</w:t>
      </w:r>
      <w:proofErr w:type="spellEnd"/>
      <w:r w:rsidRPr="00F24B4C">
        <w:rPr>
          <w:sz w:val="20"/>
        </w:rPr>
        <w:t>), mineralsalte (herunder kalium), vitaminer og andre komponenter.</w:t>
      </w:r>
    </w:p>
    <w:p w14:paraId="5B34B699" w14:textId="77777777" w:rsidR="00F24B4C" w:rsidRPr="00F24B4C" w:rsidRDefault="00F24B4C" w:rsidP="00F24B4C">
      <w:pPr>
        <w:tabs>
          <w:tab w:val="left" w:pos="851"/>
        </w:tabs>
        <w:ind w:left="851"/>
        <w:rPr>
          <w:sz w:val="24"/>
          <w:szCs w:val="24"/>
        </w:rPr>
      </w:pPr>
    </w:p>
    <w:p w14:paraId="104E020C" w14:textId="77777777" w:rsidR="00F24B4C" w:rsidRPr="00F24B4C" w:rsidRDefault="00F24B4C" w:rsidP="00F24B4C">
      <w:pPr>
        <w:tabs>
          <w:tab w:val="left" w:pos="851"/>
        </w:tabs>
        <w:ind w:left="851"/>
        <w:rPr>
          <w:sz w:val="24"/>
          <w:szCs w:val="24"/>
        </w:rPr>
      </w:pPr>
      <w:r w:rsidRPr="00F24B4C">
        <w:rPr>
          <w:sz w:val="24"/>
          <w:szCs w:val="24"/>
        </w:rPr>
        <w:t xml:space="preserve">For </w:t>
      </w:r>
      <w:proofErr w:type="spellStart"/>
      <w:r w:rsidRPr="00F24B4C">
        <w:rPr>
          <w:sz w:val="24"/>
          <w:szCs w:val="24"/>
        </w:rPr>
        <w:t>adsorbans</w:t>
      </w:r>
      <w:proofErr w:type="spellEnd"/>
      <w:r w:rsidRPr="00F24B4C">
        <w:rPr>
          <w:sz w:val="24"/>
          <w:szCs w:val="24"/>
        </w:rPr>
        <w:t>, se pkt. 2.</w:t>
      </w:r>
    </w:p>
    <w:p w14:paraId="1440E84C" w14:textId="77777777" w:rsidR="009260DE" w:rsidRPr="00C84483" w:rsidRDefault="009260DE" w:rsidP="009260DE">
      <w:pPr>
        <w:tabs>
          <w:tab w:val="left" w:pos="851"/>
        </w:tabs>
        <w:ind w:left="851"/>
        <w:rPr>
          <w:sz w:val="24"/>
          <w:szCs w:val="24"/>
        </w:rPr>
      </w:pPr>
    </w:p>
    <w:p w14:paraId="191C67B4"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8C867FE" w14:textId="77777777" w:rsidR="00F24B4C" w:rsidRPr="00F24B4C" w:rsidRDefault="00F24B4C" w:rsidP="00F24B4C">
      <w:pPr>
        <w:tabs>
          <w:tab w:val="left" w:pos="851"/>
        </w:tabs>
        <w:ind w:left="851"/>
        <w:rPr>
          <w:sz w:val="24"/>
          <w:szCs w:val="24"/>
        </w:rPr>
      </w:pPr>
      <w:r w:rsidRPr="00F24B4C">
        <w:rPr>
          <w:sz w:val="24"/>
          <w:szCs w:val="24"/>
        </w:rPr>
        <w:t>Da der ikke foreligger studier af eventuelle uforligeligheder, må dette lægemiddel ikke blandes med andre lægemidler.</w:t>
      </w:r>
    </w:p>
    <w:p w14:paraId="685A0492" w14:textId="77777777" w:rsidR="009260DE" w:rsidRPr="00C84483" w:rsidRDefault="009260DE" w:rsidP="009260DE">
      <w:pPr>
        <w:tabs>
          <w:tab w:val="left" w:pos="851"/>
        </w:tabs>
        <w:ind w:left="851"/>
        <w:rPr>
          <w:sz w:val="24"/>
          <w:szCs w:val="24"/>
        </w:rPr>
      </w:pPr>
    </w:p>
    <w:p w14:paraId="606E4E5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2C08919" w14:textId="469E124B" w:rsidR="009260DE" w:rsidRPr="00C84483" w:rsidRDefault="009260DE" w:rsidP="009260DE">
      <w:pPr>
        <w:tabs>
          <w:tab w:val="left" w:pos="851"/>
        </w:tabs>
        <w:ind w:left="851" w:hanging="851"/>
        <w:rPr>
          <w:sz w:val="24"/>
          <w:szCs w:val="24"/>
        </w:rPr>
      </w:pPr>
      <w:r w:rsidRPr="00C84483">
        <w:rPr>
          <w:sz w:val="24"/>
          <w:szCs w:val="24"/>
        </w:rPr>
        <w:tab/>
      </w:r>
      <w:r w:rsidR="00F24B4C">
        <w:rPr>
          <w:sz w:val="24"/>
          <w:szCs w:val="24"/>
        </w:rPr>
        <w:t>3 år.</w:t>
      </w:r>
    </w:p>
    <w:p w14:paraId="2F58329D" w14:textId="77777777" w:rsidR="009260DE" w:rsidRPr="00C84483" w:rsidRDefault="009260DE" w:rsidP="009260DE">
      <w:pPr>
        <w:tabs>
          <w:tab w:val="left" w:pos="851"/>
        </w:tabs>
        <w:ind w:left="851"/>
        <w:rPr>
          <w:sz w:val="24"/>
          <w:szCs w:val="24"/>
        </w:rPr>
      </w:pPr>
    </w:p>
    <w:p w14:paraId="659A832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B2362E5" w14:textId="50255792" w:rsidR="00F24B4C" w:rsidRPr="00F24B4C" w:rsidRDefault="00F24B4C" w:rsidP="00F24B4C">
      <w:pPr>
        <w:tabs>
          <w:tab w:val="left" w:pos="851"/>
        </w:tabs>
        <w:ind w:left="851"/>
        <w:rPr>
          <w:sz w:val="24"/>
          <w:szCs w:val="24"/>
        </w:rPr>
      </w:pPr>
      <w:r w:rsidRPr="00F24B4C">
        <w:rPr>
          <w:sz w:val="24"/>
          <w:szCs w:val="24"/>
        </w:rPr>
        <w:t>Opbevares i køleskab (2 °C</w:t>
      </w:r>
      <w:r w:rsidR="00FD58E2">
        <w:rPr>
          <w:sz w:val="24"/>
          <w:szCs w:val="24"/>
        </w:rPr>
        <w:t>-</w:t>
      </w:r>
      <w:r w:rsidRPr="00F24B4C">
        <w:rPr>
          <w:sz w:val="24"/>
          <w:szCs w:val="24"/>
        </w:rPr>
        <w:t>8 °C).</w:t>
      </w:r>
    </w:p>
    <w:p w14:paraId="67959FF0" w14:textId="49A9A455" w:rsidR="00F24B4C" w:rsidRDefault="00F24B4C" w:rsidP="00F24B4C">
      <w:pPr>
        <w:tabs>
          <w:tab w:val="left" w:pos="851"/>
        </w:tabs>
        <w:ind w:left="851"/>
        <w:rPr>
          <w:sz w:val="24"/>
          <w:szCs w:val="24"/>
        </w:rPr>
      </w:pPr>
      <w:r w:rsidRPr="00F24B4C">
        <w:rPr>
          <w:sz w:val="24"/>
          <w:szCs w:val="24"/>
        </w:rPr>
        <w:t>Må ikke nedfryses. Har vaccinen været frosset, skal den kasseres.</w:t>
      </w:r>
    </w:p>
    <w:p w14:paraId="0C12233B" w14:textId="77777777" w:rsidR="00FD58E2" w:rsidRPr="00F24B4C" w:rsidRDefault="00FD58E2" w:rsidP="00F24B4C">
      <w:pPr>
        <w:tabs>
          <w:tab w:val="left" w:pos="851"/>
        </w:tabs>
        <w:ind w:left="851"/>
        <w:rPr>
          <w:sz w:val="24"/>
          <w:szCs w:val="24"/>
        </w:rPr>
      </w:pPr>
    </w:p>
    <w:p w14:paraId="7225B597" w14:textId="439D56B4" w:rsidR="00F24B4C" w:rsidRDefault="00F24B4C" w:rsidP="00F24B4C">
      <w:pPr>
        <w:tabs>
          <w:tab w:val="left" w:pos="851"/>
        </w:tabs>
        <w:ind w:left="851"/>
        <w:rPr>
          <w:sz w:val="24"/>
          <w:szCs w:val="24"/>
        </w:rPr>
      </w:pPr>
      <w:r w:rsidRPr="00F24B4C">
        <w:rPr>
          <w:sz w:val="24"/>
          <w:szCs w:val="24"/>
        </w:rPr>
        <w:t>Opbevares i original emballage for at beskytte mod lys.</w:t>
      </w:r>
    </w:p>
    <w:p w14:paraId="56F0D44E" w14:textId="77777777" w:rsidR="009260DE" w:rsidRPr="00C84483" w:rsidRDefault="009260DE" w:rsidP="009260DE">
      <w:pPr>
        <w:tabs>
          <w:tab w:val="left" w:pos="851"/>
        </w:tabs>
        <w:ind w:left="851"/>
        <w:rPr>
          <w:sz w:val="24"/>
          <w:szCs w:val="24"/>
        </w:rPr>
      </w:pPr>
    </w:p>
    <w:p w14:paraId="700DA999" w14:textId="3B7CF53A"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65B3F60" w14:textId="078DBBBE" w:rsidR="00FD58E2" w:rsidRPr="00FD58E2" w:rsidRDefault="00FD58E2" w:rsidP="00FD58E2">
      <w:pPr>
        <w:pStyle w:val="Listeafsnit"/>
        <w:numPr>
          <w:ilvl w:val="0"/>
          <w:numId w:val="9"/>
        </w:numPr>
        <w:tabs>
          <w:tab w:val="left" w:pos="851"/>
        </w:tabs>
        <w:ind w:left="1134" w:hanging="283"/>
        <w:rPr>
          <w:sz w:val="24"/>
          <w:szCs w:val="24"/>
        </w:rPr>
      </w:pPr>
      <w:r w:rsidRPr="00FD58E2">
        <w:rPr>
          <w:sz w:val="24"/>
          <w:szCs w:val="24"/>
        </w:rPr>
        <w:t>0,5 ml suspension i fyldt injektionssprøjte (type I glas) med stempelprop (</w:t>
      </w:r>
      <w:proofErr w:type="spellStart"/>
      <w:r w:rsidRPr="00FD58E2">
        <w:rPr>
          <w:sz w:val="24"/>
          <w:szCs w:val="24"/>
        </w:rPr>
        <w:t>chlorobutyl</w:t>
      </w:r>
      <w:proofErr w:type="spellEnd"/>
      <w:r w:rsidRPr="00FD58E2">
        <w:rPr>
          <w:sz w:val="24"/>
          <w:szCs w:val="24"/>
        </w:rPr>
        <w:t>) med påsat kanyle og beskyttelseshætte til kanylen (</w:t>
      </w:r>
      <w:proofErr w:type="spellStart"/>
      <w:r w:rsidRPr="00FD58E2">
        <w:rPr>
          <w:sz w:val="24"/>
          <w:szCs w:val="24"/>
        </w:rPr>
        <w:t>polyisopren</w:t>
      </w:r>
      <w:proofErr w:type="spellEnd"/>
      <w:r w:rsidRPr="00FD58E2">
        <w:rPr>
          <w:sz w:val="24"/>
          <w:szCs w:val="24"/>
        </w:rPr>
        <w:t>).</w:t>
      </w:r>
    </w:p>
    <w:p w14:paraId="1A8707E1" w14:textId="407686FC" w:rsidR="00FD58E2" w:rsidRPr="00FD58E2" w:rsidRDefault="00FD58E2" w:rsidP="00FD58E2">
      <w:pPr>
        <w:pStyle w:val="Listeafsnit"/>
        <w:numPr>
          <w:ilvl w:val="0"/>
          <w:numId w:val="9"/>
        </w:numPr>
        <w:tabs>
          <w:tab w:val="left" w:pos="851"/>
        </w:tabs>
        <w:ind w:left="1134" w:hanging="283"/>
        <w:rPr>
          <w:sz w:val="24"/>
          <w:szCs w:val="24"/>
        </w:rPr>
      </w:pPr>
      <w:r w:rsidRPr="00FD58E2">
        <w:rPr>
          <w:sz w:val="24"/>
          <w:szCs w:val="24"/>
        </w:rPr>
        <w:t>0,5 ml suspension i fyldt injektionssprøjte (type I glas) med stempelprop (</w:t>
      </w:r>
      <w:proofErr w:type="spellStart"/>
      <w:r w:rsidRPr="00FD58E2">
        <w:rPr>
          <w:sz w:val="24"/>
          <w:szCs w:val="24"/>
        </w:rPr>
        <w:t>chlorobutyl</w:t>
      </w:r>
      <w:proofErr w:type="spellEnd"/>
      <w:r w:rsidRPr="00FD58E2">
        <w:rPr>
          <w:sz w:val="24"/>
          <w:szCs w:val="24"/>
        </w:rPr>
        <w:t>) uden kanyle.</w:t>
      </w:r>
    </w:p>
    <w:p w14:paraId="1F5087A2" w14:textId="71D00A52" w:rsidR="00FD58E2" w:rsidRPr="00FD58E2" w:rsidRDefault="00FD58E2" w:rsidP="00FD58E2">
      <w:pPr>
        <w:pStyle w:val="Listeafsnit"/>
        <w:numPr>
          <w:ilvl w:val="0"/>
          <w:numId w:val="9"/>
        </w:numPr>
        <w:tabs>
          <w:tab w:val="left" w:pos="851"/>
        </w:tabs>
        <w:ind w:left="1134" w:hanging="283"/>
        <w:rPr>
          <w:sz w:val="24"/>
          <w:szCs w:val="24"/>
        </w:rPr>
      </w:pPr>
      <w:r w:rsidRPr="00FD58E2">
        <w:rPr>
          <w:sz w:val="24"/>
          <w:szCs w:val="24"/>
        </w:rPr>
        <w:t>0,5 ml suspension i fyldt injektionssprøjte (type I glas) med stempelprop (</w:t>
      </w:r>
      <w:proofErr w:type="spellStart"/>
      <w:r w:rsidRPr="00FD58E2">
        <w:rPr>
          <w:sz w:val="24"/>
          <w:szCs w:val="24"/>
        </w:rPr>
        <w:t>chlorobutyl</w:t>
      </w:r>
      <w:proofErr w:type="spellEnd"/>
      <w:r w:rsidRPr="00FD58E2">
        <w:rPr>
          <w:sz w:val="24"/>
          <w:szCs w:val="24"/>
        </w:rPr>
        <w:t>) med 2 separate kanyler.</w:t>
      </w:r>
    </w:p>
    <w:p w14:paraId="6F7014E9" w14:textId="77777777" w:rsidR="00FD58E2" w:rsidRPr="00FD58E2" w:rsidRDefault="00FD58E2" w:rsidP="00FD58E2">
      <w:pPr>
        <w:tabs>
          <w:tab w:val="left" w:pos="851"/>
        </w:tabs>
        <w:ind w:left="851"/>
        <w:rPr>
          <w:sz w:val="24"/>
          <w:szCs w:val="24"/>
        </w:rPr>
      </w:pPr>
    </w:p>
    <w:p w14:paraId="39DF1E4A" w14:textId="77777777" w:rsidR="00FD58E2" w:rsidRPr="00FD58E2" w:rsidRDefault="00FD58E2" w:rsidP="00FD58E2">
      <w:pPr>
        <w:tabs>
          <w:tab w:val="left" w:pos="851"/>
        </w:tabs>
        <w:ind w:left="851"/>
        <w:rPr>
          <w:sz w:val="24"/>
          <w:szCs w:val="24"/>
        </w:rPr>
      </w:pPr>
      <w:r w:rsidRPr="00FD58E2">
        <w:rPr>
          <w:sz w:val="24"/>
          <w:szCs w:val="24"/>
        </w:rPr>
        <w:t>Pakningsstørrelser: 1 og 10 injektionssprøjter.</w:t>
      </w:r>
    </w:p>
    <w:p w14:paraId="09C9E029" w14:textId="77777777" w:rsidR="00FD58E2" w:rsidRPr="00FD58E2" w:rsidRDefault="00FD58E2" w:rsidP="00FD58E2">
      <w:pPr>
        <w:tabs>
          <w:tab w:val="left" w:pos="851"/>
        </w:tabs>
        <w:ind w:left="851"/>
        <w:rPr>
          <w:sz w:val="24"/>
          <w:szCs w:val="24"/>
        </w:rPr>
      </w:pPr>
      <w:r w:rsidRPr="00FD58E2">
        <w:rPr>
          <w:sz w:val="24"/>
          <w:szCs w:val="24"/>
        </w:rPr>
        <w:t>Ikke alle pakningsstørrelser er nødvendigvis markedsført.</w:t>
      </w:r>
    </w:p>
    <w:p w14:paraId="6FAECB30" w14:textId="77777777" w:rsidR="009260DE" w:rsidRPr="00C84483" w:rsidRDefault="009260DE" w:rsidP="009260DE">
      <w:pPr>
        <w:tabs>
          <w:tab w:val="left" w:pos="851"/>
        </w:tabs>
        <w:ind w:left="851"/>
        <w:rPr>
          <w:sz w:val="24"/>
          <w:szCs w:val="24"/>
        </w:rPr>
      </w:pPr>
    </w:p>
    <w:p w14:paraId="1FB5D4B2" w14:textId="360F981B"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642A9">
        <w:rPr>
          <w:b/>
          <w:sz w:val="24"/>
          <w:szCs w:val="24"/>
        </w:rPr>
        <w:t>bortskaffelse</w:t>
      </w:r>
      <w:r w:rsidRPr="00C84483">
        <w:rPr>
          <w:b/>
          <w:sz w:val="24"/>
          <w:szCs w:val="24"/>
        </w:rPr>
        <w:t xml:space="preserve"> og anden håndtering</w:t>
      </w:r>
    </w:p>
    <w:p w14:paraId="7418EC84" w14:textId="77777777" w:rsidR="005E10E4" w:rsidRPr="005E10E4" w:rsidRDefault="005E10E4" w:rsidP="005E10E4">
      <w:pPr>
        <w:tabs>
          <w:tab w:val="left" w:pos="851"/>
        </w:tabs>
        <w:ind w:left="851"/>
        <w:jc w:val="both"/>
        <w:rPr>
          <w:sz w:val="24"/>
          <w:szCs w:val="24"/>
        </w:rPr>
      </w:pPr>
      <w:r w:rsidRPr="005E10E4">
        <w:rPr>
          <w:sz w:val="24"/>
          <w:szCs w:val="24"/>
        </w:rPr>
        <w:t xml:space="preserve">På injektionssprøjter uden kanyle skal kanylen påsættes ved at trykke den fast på enden af injektionssprøjten og dreje den 90 grader. </w:t>
      </w:r>
    </w:p>
    <w:p w14:paraId="7B366A9A" w14:textId="77777777" w:rsidR="005E10E4" w:rsidRPr="005E10E4" w:rsidRDefault="005E10E4" w:rsidP="005E10E4">
      <w:pPr>
        <w:tabs>
          <w:tab w:val="left" w:pos="851"/>
        </w:tabs>
        <w:ind w:left="851"/>
        <w:jc w:val="both"/>
        <w:rPr>
          <w:sz w:val="24"/>
          <w:szCs w:val="24"/>
        </w:rPr>
      </w:pPr>
    </w:p>
    <w:p w14:paraId="71A49073" w14:textId="77777777" w:rsidR="005E10E4" w:rsidRPr="005E10E4" w:rsidRDefault="005E10E4" w:rsidP="005E10E4">
      <w:pPr>
        <w:tabs>
          <w:tab w:val="left" w:pos="851"/>
        </w:tabs>
        <w:ind w:left="851"/>
        <w:jc w:val="both"/>
        <w:rPr>
          <w:sz w:val="24"/>
          <w:szCs w:val="24"/>
        </w:rPr>
      </w:pPr>
      <w:r w:rsidRPr="005E10E4">
        <w:rPr>
          <w:sz w:val="24"/>
          <w:szCs w:val="24"/>
        </w:rPr>
        <w:t>Omrystes før injektion for at opnå en homogen suspension. Vaccinen skal inspiceres visuelt før indgivelse for eventuelle fremmede partikler.</w:t>
      </w:r>
    </w:p>
    <w:p w14:paraId="51468B61" w14:textId="77777777" w:rsidR="005E10E4" w:rsidRPr="005E10E4" w:rsidRDefault="005E10E4" w:rsidP="005E10E4">
      <w:pPr>
        <w:tabs>
          <w:tab w:val="left" w:pos="851"/>
        </w:tabs>
        <w:ind w:left="851"/>
        <w:jc w:val="both"/>
        <w:rPr>
          <w:sz w:val="24"/>
          <w:szCs w:val="24"/>
        </w:rPr>
      </w:pPr>
    </w:p>
    <w:p w14:paraId="1A5DEEF8" w14:textId="77777777" w:rsidR="005E10E4" w:rsidRPr="005E10E4" w:rsidRDefault="005E10E4" w:rsidP="005E10E4">
      <w:pPr>
        <w:tabs>
          <w:tab w:val="left" w:pos="851"/>
        </w:tabs>
        <w:ind w:left="851"/>
        <w:jc w:val="both"/>
        <w:rPr>
          <w:sz w:val="24"/>
          <w:szCs w:val="24"/>
        </w:rPr>
      </w:pPr>
      <w:r w:rsidRPr="005E10E4">
        <w:rPr>
          <w:sz w:val="24"/>
          <w:szCs w:val="24"/>
        </w:rPr>
        <w:t>Ikke anvendt lægemiddel samt affald heraf skal bortskaffes i henhold til lokale retningslinjer.</w:t>
      </w:r>
    </w:p>
    <w:p w14:paraId="2021082A" w14:textId="77777777" w:rsidR="009260DE" w:rsidRPr="00C84483" w:rsidRDefault="009260DE" w:rsidP="009260DE">
      <w:pPr>
        <w:tabs>
          <w:tab w:val="left" w:pos="851"/>
        </w:tabs>
        <w:ind w:left="851"/>
        <w:jc w:val="both"/>
        <w:rPr>
          <w:sz w:val="24"/>
          <w:szCs w:val="24"/>
        </w:rPr>
      </w:pPr>
    </w:p>
    <w:p w14:paraId="2E4306F4" w14:textId="77777777"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14:paraId="7B978E35" w14:textId="77777777" w:rsidR="00525A3F" w:rsidRPr="00525A3F" w:rsidRDefault="00525A3F" w:rsidP="00525A3F">
      <w:pPr>
        <w:tabs>
          <w:tab w:val="left" w:pos="851"/>
        </w:tabs>
        <w:ind w:left="851"/>
        <w:rPr>
          <w:sz w:val="24"/>
          <w:szCs w:val="24"/>
          <w:lang w:val="nb-NO"/>
        </w:rPr>
      </w:pPr>
      <w:bookmarkStart w:id="3" w:name="_Hlk57801911"/>
      <w:r w:rsidRPr="00525A3F">
        <w:rPr>
          <w:sz w:val="24"/>
          <w:szCs w:val="24"/>
          <w:lang w:val="nb-NO"/>
        </w:rPr>
        <w:t xml:space="preserve">Sanofi Winthrop Industrie </w:t>
      </w:r>
    </w:p>
    <w:p w14:paraId="00378A9C" w14:textId="77777777" w:rsidR="00525A3F" w:rsidRPr="00525A3F" w:rsidRDefault="00525A3F" w:rsidP="00525A3F">
      <w:pPr>
        <w:tabs>
          <w:tab w:val="left" w:pos="851"/>
        </w:tabs>
        <w:ind w:left="851"/>
        <w:rPr>
          <w:sz w:val="24"/>
          <w:szCs w:val="24"/>
          <w:lang w:val="nb-NO"/>
        </w:rPr>
      </w:pPr>
      <w:r w:rsidRPr="00525A3F">
        <w:rPr>
          <w:sz w:val="24"/>
          <w:szCs w:val="24"/>
          <w:lang w:val="nb-NO"/>
        </w:rPr>
        <w:t xml:space="preserve">82 Avenue Raspail </w:t>
      </w:r>
    </w:p>
    <w:p w14:paraId="6DCD1FD1" w14:textId="77777777" w:rsidR="00525A3F" w:rsidRPr="00525A3F" w:rsidRDefault="00525A3F" w:rsidP="00525A3F">
      <w:pPr>
        <w:tabs>
          <w:tab w:val="left" w:pos="851"/>
        </w:tabs>
        <w:ind w:left="851"/>
        <w:rPr>
          <w:sz w:val="24"/>
          <w:szCs w:val="24"/>
          <w:lang w:val="nb-NO"/>
        </w:rPr>
      </w:pPr>
      <w:r w:rsidRPr="00525A3F">
        <w:rPr>
          <w:sz w:val="24"/>
          <w:szCs w:val="24"/>
          <w:lang w:val="nb-NO"/>
        </w:rPr>
        <w:t>94250 Gentilly</w:t>
      </w:r>
    </w:p>
    <w:p w14:paraId="19E3E803" w14:textId="26459C0F" w:rsidR="005E10E4" w:rsidRPr="005E10E4" w:rsidRDefault="005E10E4" w:rsidP="00525A3F">
      <w:pPr>
        <w:tabs>
          <w:tab w:val="left" w:pos="851"/>
        </w:tabs>
        <w:ind w:left="851"/>
        <w:rPr>
          <w:sz w:val="24"/>
          <w:szCs w:val="24"/>
        </w:rPr>
      </w:pPr>
      <w:r w:rsidRPr="005E10E4">
        <w:rPr>
          <w:sz w:val="24"/>
          <w:szCs w:val="24"/>
        </w:rPr>
        <w:t>Frankrig</w:t>
      </w:r>
      <w:bookmarkEnd w:id="3"/>
    </w:p>
    <w:p w14:paraId="57487CA7" w14:textId="77777777" w:rsidR="005E10E4" w:rsidRPr="005E10E4" w:rsidRDefault="005E10E4" w:rsidP="005E10E4">
      <w:pPr>
        <w:tabs>
          <w:tab w:val="left" w:pos="851"/>
        </w:tabs>
        <w:ind w:left="851"/>
        <w:rPr>
          <w:sz w:val="24"/>
          <w:szCs w:val="24"/>
        </w:rPr>
      </w:pPr>
    </w:p>
    <w:p w14:paraId="12E2EA0A" w14:textId="77777777" w:rsidR="005E10E4" w:rsidRPr="005E10E4" w:rsidRDefault="005E10E4" w:rsidP="005E10E4">
      <w:pPr>
        <w:tabs>
          <w:tab w:val="left" w:pos="851"/>
        </w:tabs>
        <w:ind w:left="851"/>
        <w:rPr>
          <w:b/>
          <w:bCs/>
          <w:sz w:val="24"/>
          <w:szCs w:val="24"/>
          <w:lang w:val="nb-NO"/>
        </w:rPr>
      </w:pPr>
      <w:r w:rsidRPr="005E10E4">
        <w:rPr>
          <w:b/>
          <w:bCs/>
          <w:sz w:val="24"/>
          <w:szCs w:val="24"/>
          <w:lang w:val="nb-NO"/>
        </w:rPr>
        <w:t xml:space="preserve">Repræsentant </w:t>
      </w:r>
      <w:bookmarkStart w:id="4" w:name="_GoBack"/>
      <w:bookmarkEnd w:id="4"/>
    </w:p>
    <w:p w14:paraId="26392D2B" w14:textId="77777777" w:rsidR="005E10E4" w:rsidRPr="005E10E4" w:rsidRDefault="005E10E4" w:rsidP="005E10E4">
      <w:pPr>
        <w:tabs>
          <w:tab w:val="left" w:pos="851"/>
        </w:tabs>
        <w:ind w:left="851"/>
        <w:rPr>
          <w:sz w:val="24"/>
          <w:szCs w:val="24"/>
          <w:lang w:val="nb-NO"/>
        </w:rPr>
      </w:pPr>
      <w:r w:rsidRPr="005E10E4">
        <w:rPr>
          <w:sz w:val="24"/>
          <w:szCs w:val="24"/>
          <w:lang w:val="nb-NO"/>
        </w:rPr>
        <w:t xml:space="preserve">Sanofi A/S </w:t>
      </w:r>
    </w:p>
    <w:p w14:paraId="7A86928D" w14:textId="77777777" w:rsidR="005E10E4" w:rsidRPr="005E10E4" w:rsidRDefault="005E10E4" w:rsidP="005E10E4">
      <w:pPr>
        <w:tabs>
          <w:tab w:val="left" w:pos="851"/>
        </w:tabs>
        <w:ind w:left="851"/>
        <w:rPr>
          <w:sz w:val="24"/>
          <w:szCs w:val="24"/>
          <w:lang w:val="nb-NO"/>
        </w:rPr>
      </w:pPr>
      <w:r w:rsidRPr="005E10E4">
        <w:rPr>
          <w:sz w:val="24"/>
          <w:szCs w:val="24"/>
          <w:lang w:val="nb-NO"/>
        </w:rPr>
        <w:t xml:space="preserve">Lyngbyvej 2 </w:t>
      </w:r>
    </w:p>
    <w:p w14:paraId="17B11373" w14:textId="77777777" w:rsidR="005E10E4" w:rsidRPr="005E10E4" w:rsidRDefault="005E10E4" w:rsidP="005E10E4">
      <w:pPr>
        <w:tabs>
          <w:tab w:val="left" w:pos="851"/>
        </w:tabs>
        <w:ind w:left="851"/>
        <w:rPr>
          <w:sz w:val="24"/>
          <w:szCs w:val="24"/>
        </w:rPr>
      </w:pPr>
      <w:r w:rsidRPr="005E10E4">
        <w:rPr>
          <w:sz w:val="24"/>
          <w:szCs w:val="24"/>
        </w:rPr>
        <w:t>2100 København Ø</w:t>
      </w:r>
    </w:p>
    <w:p w14:paraId="193E5F79" w14:textId="77777777" w:rsidR="009260DE" w:rsidRPr="00C84483" w:rsidRDefault="009260DE" w:rsidP="009260DE">
      <w:pPr>
        <w:tabs>
          <w:tab w:val="left" w:pos="851"/>
        </w:tabs>
        <w:ind w:left="851"/>
        <w:rPr>
          <w:sz w:val="24"/>
          <w:szCs w:val="24"/>
        </w:rPr>
      </w:pPr>
    </w:p>
    <w:p w14:paraId="08E15477" w14:textId="0F4B1063"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642A9">
        <w:rPr>
          <w:b/>
          <w:sz w:val="24"/>
          <w:szCs w:val="24"/>
        </w:rPr>
        <w:t>-</w:t>
      </w:r>
      <w:r w:rsidRPr="00C84483">
        <w:rPr>
          <w:b/>
          <w:sz w:val="24"/>
          <w:szCs w:val="24"/>
        </w:rPr>
        <w:t>NUMRE)</w:t>
      </w:r>
    </w:p>
    <w:p w14:paraId="477212DA" w14:textId="77777777" w:rsidR="009260DE" w:rsidRPr="00C84483" w:rsidRDefault="00E076CC" w:rsidP="009260DE">
      <w:pPr>
        <w:tabs>
          <w:tab w:val="left" w:pos="851"/>
        </w:tabs>
        <w:ind w:left="851"/>
        <w:rPr>
          <w:sz w:val="24"/>
          <w:szCs w:val="24"/>
        </w:rPr>
      </w:pPr>
      <w:r>
        <w:rPr>
          <w:sz w:val="24"/>
          <w:szCs w:val="24"/>
        </w:rPr>
        <w:t>63661</w:t>
      </w:r>
    </w:p>
    <w:p w14:paraId="7E4A02D1" w14:textId="77777777" w:rsidR="009260DE" w:rsidRPr="00C84483" w:rsidRDefault="009260DE" w:rsidP="009260DE">
      <w:pPr>
        <w:tabs>
          <w:tab w:val="left" w:pos="851"/>
        </w:tabs>
        <w:ind w:left="851"/>
        <w:jc w:val="both"/>
        <w:rPr>
          <w:sz w:val="24"/>
          <w:szCs w:val="24"/>
        </w:rPr>
      </w:pPr>
    </w:p>
    <w:p w14:paraId="785B130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8F593D6" w14:textId="77777777" w:rsidR="009260DE" w:rsidRPr="00C84483" w:rsidRDefault="00E076CC" w:rsidP="009260DE">
      <w:pPr>
        <w:tabs>
          <w:tab w:val="left" w:pos="851"/>
        </w:tabs>
        <w:ind w:left="851"/>
        <w:rPr>
          <w:sz w:val="24"/>
          <w:szCs w:val="24"/>
        </w:rPr>
      </w:pPr>
      <w:r>
        <w:rPr>
          <w:sz w:val="24"/>
          <w:szCs w:val="24"/>
        </w:rPr>
        <w:t>19. marts 1997 (</w:t>
      </w:r>
      <w:proofErr w:type="spellStart"/>
      <w:r>
        <w:rPr>
          <w:sz w:val="24"/>
          <w:szCs w:val="24"/>
        </w:rPr>
        <w:t>Avaxim</w:t>
      </w:r>
      <w:proofErr w:type="spellEnd"/>
      <w:r>
        <w:rPr>
          <w:sz w:val="24"/>
          <w:szCs w:val="24"/>
        </w:rPr>
        <w:t>, injektionsvæske, suspension i fyldt injektionssprøjte)</w:t>
      </w:r>
    </w:p>
    <w:p w14:paraId="60355DAB" w14:textId="77777777" w:rsidR="009260DE" w:rsidRPr="00C84483" w:rsidRDefault="009260DE" w:rsidP="009260DE">
      <w:pPr>
        <w:tabs>
          <w:tab w:val="left" w:pos="851"/>
        </w:tabs>
        <w:ind w:left="851"/>
        <w:rPr>
          <w:sz w:val="24"/>
          <w:szCs w:val="24"/>
        </w:rPr>
      </w:pPr>
    </w:p>
    <w:p w14:paraId="7A575CA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48A9CAF" w14:textId="6EAE7962" w:rsidR="009260DE" w:rsidRPr="00C84483" w:rsidRDefault="00525A3F" w:rsidP="009260DE">
      <w:pPr>
        <w:tabs>
          <w:tab w:val="left" w:pos="851"/>
        </w:tabs>
        <w:ind w:left="851"/>
        <w:rPr>
          <w:sz w:val="24"/>
          <w:szCs w:val="24"/>
        </w:rPr>
      </w:pPr>
      <w:r>
        <w:rPr>
          <w:sz w:val="24"/>
          <w:szCs w:val="24"/>
        </w:rPr>
        <w:t>13. januar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DF115" w14:textId="77777777" w:rsidR="006B0E06" w:rsidRDefault="006B0E06">
      <w:r>
        <w:separator/>
      </w:r>
    </w:p>
  </w:endnote>
  <w:endnote w:type="continuationSeparator" w:id="0">
    <w:p w14:paraId="184F0DE8" w14:textId="77777777" w:rsidR="006B0E06" w:rsidRDefault="006B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8704" w14:textId="77777777" w:rsidR="000259B9" w:rsidRDefault="000259B9">
    <w:pPr>
      <w:pStyle w:val="Sidefod"/>
      <w:pBdr>
        <w:bottom w:val="single" w:sz="6" w:space="1" w:color="auto"/>
      </w:pBdr>
    </w:pPr>
  </w:p>
  <w:p w14:paraId="25F36B0A" w14:textId="77777777" w:rsidR="000259B9" w:rsidRDefault="000259B9" w:rsidP="00C42586">
    <w:pPr>
      <w:pStyle w:val="Sidefod"/>
      <w:tabs>
        <w:tab w:val="clear" w:pos="4819"/>
        <w:tab w:val="left" w:pos="8505"/>
      </w:tabs>
      <w:rPr>
        <w:i/>
        <w:sz w:val="18"/>
        <w:szCs w:val="18"/>
      </w:rPr>
    </w:pPr>
  </w:p>
  <w:p w14:paraId="065E1629" w14:textId="19F69DB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F424E">
      <w:rPr>
        <w:i/>
        <w:noProof/>
        <w:sz w:val="18"/>
        <w:szCs w:val="18"/>
      </w:rPr>
      <w:t>Avaxim Junior, injektionsvæske, suspension i fyldt injektionssprøjte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21FF" w14:textId="77777777" w:rsidR="006B0E06" w:rsidRDefault="006B0E06">
      <w:r>
        <w:separator/>
      </w:r>
    </w:p>
  </w:footnote>
  <w:footnote w:type="continuationSeparator" w:id="0">
    <w:p w14:paraId="6FFE91B2" w14:textId="77777777" w:rsidR="006B0E06" w:rsidRDefault="006B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5ECC"/>
    <w:multiLevelType w:val="hybridMultilevel"/>
    <w:tmpl w:val="06D2F7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A4774B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00D1CE4"/>
    <w:multiLevelType w:val="hybridMultilevel"/>
    <w:tmpl w:val="2ED036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752524C"/>
    <w:multiLevelType w:val="hybridMultilevel"/>
    <w:tmpl w:val="0BE25A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06"/>
    <w:rsid w:val="000259B9"/>
    <w:rsid w:val="00041491"/>
    <w:rsid w:val="00050D16"/>
    <w:rsid w:val="0005483D"/>
    <w:rsid w:val="00074F2A"/>
    <w:rsid w:val="000A1CA8"/>
    <w:rsid w:val="000A466B"/>
    <w:rsid w:val="000B058C"/>
    <w:rsid w:val="000C6E24"/>
    <w:rsid w:val="000E4EE6"/>
    <w:rsid w:val="000F424E"/>
    <w:rsid w:val="001454E2"/>
    <w:rsid w:val="001A6B09"/>
    <w:rsid w:val="00206CE8"/>
    <w:rsid w:val="0021241A"/>
    <w:rsid w:val="0021526C"/>
    <w:rsid w:val="00246A32"/>
    <w:rsid w:val="002472AF"/>
    <w:rsid w:val="00283A2B"/>
    <w:rsid w:val="002B30AD"/>
    <w:rsid w:val="002C2C01"/>
    <w:rsid w:val="002F01D5"/>
    <w:rsid w:val="003642A9"/>
    <w:rsid w:val="003A29AE"/>
    <w:rsid w:val="003A32D7"/>
    <w:rsid w:val="003B4074"/>
    <w:rsid w:val="003C769A"/>
    <w:rsid w:val="003F1838"/>
    <w:rsid w:val="00450982"/>
    <w:rsid w:val="0045746C"/>
    <w:rsid w:val="0049104B"/>
    <w:rsid w:val="00495C0A"/>
    <w:rsid w:val="004E3B12"/>
    <w:rsid w:val="005244C3"/>
    <w:rsid w:val="00525A3F"/>
    <w:rsid w:val="00532310"/>
    <w:rsid w:val="00565F0F"/>
    <w:rsid w:val="00594A86"/>
    <w:rsid w:val="00596D86"/>
    <w:rsid w:val="005B754C"/>
    <w:rsid w:val="005E10E4"/>
    <w:rsid w:val="00616166"/>
    <w:rsid w:val="00637F5A"/>
    <w:rsid w:val="006560B1"/>
    <w:rsid w:val="006756DD"/>
    <w:rsid w:val="006B0E06"/>
    <w:rsid w:val="00737275"/>
    <w:rsid w:val="00740EEC"/>
    <w:rsid w:val="0078011A"/>
    <w:rsid w:val="00782AF4"/>
    <w:rsid w:val="00790EE7"/>
    <w:rsid w:val="007B6649"/>
    <w:rsid w:val="0082576E"/>
    <w:rsid w:val="00907F75"/>
    <w:rsid w:val="00917DF8"/>
    <w:rsid w:val="009260DE"/>
    <w:rsid w:val="0093258A"/>
    <w:rsid w:val="009A70C0"/>
    <w:rsid w:val="009C7BA3"/>
    <w:rsid w:val="009D1F5A"/>
    <w:rsid w:val="00AA666A"/>
    <w:rsid w:val="00AB28B2"/>
    <w:rsid w:val="00AE740B"/>
    <w:rsid w:val="00B003BF"/>
    <w:rsid w:val="00B373D7"/>
    <w:rsid w:val="00C36276"/>
    <w:rsid w:val="00C42586"/>
    <w:rsid w:val="00C60CCD"/>
    <w:rsid w:val="00C84483"/>
    <w:rsid w:val="00C95551"/>
    <w:rsid w:val="00CB20D7"/>
    <w:rsid w:val="00D020B0"/>
    <w:rsid w:val="00D11748"/>
    <w:rsid w:val="00D366CF"/>
    <w:rsid w:val="00E076CC"/>
    <w:rsid w:val="00E108AA"/>
    <w:rsid w:val="00E3749A"/>
    <w:rsid w:val="00E7437F"/>
    <w:rsid w:val="00E8433F"/>
    <w:rsid w:val="00E865B8"/>
    <w:rsid w:val="00EC0B9B"/>
    <w:rsid w:val="00ED5E9F"/>
    <w:rsid w:val="00EE15D7"/>
    <w:rsid w:val="00F24B4C"/>
    <w:rsid w:val="00F27804"/>
    <w:rsid w:val="00F66D4F"/>
    <w:rsid w:val="00F92C72"/>
    <w:rsid w:val="00FB6D01"/>
    <w:rsid w:val="00FD58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66B69"/>
  <w15:chartTrackingRefBased/>
  <w15:docId w15:val="{2F10E26F-3A22-4ED7-8312-82D3926B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F01D5"/>
    <w:rPr>
      <w:color w:val="0563C1" w:themeColor="hyperlink"/>
      <w:u w:val="single"/>
    </w:rPr>
  </w:style>
  <w:style w:type="character" w:styleId="Ulstomtale">
    <w:name w:val="Unresolved Mention"/>
    <w:basedOn w:val="Standardskrifttypeiafsnit"/>
    <w:uiPriority w:val="99"/>
    <w:semiHidden/>
    <w:unhideWhenUsed/>
    <w:rsid w:val="002F01D5"/>
    <w:rPr>
      <w:color w:val="605E5C"/>
      <w:shd w:val="clear" w:color="auto" w:fill="E1DFDD"/>
    </w:rPr>
  </w:style>
  <w:style w:type="paragraph" w:styleId="Listeafsnit">
    <w:name w:val="List Paragraph"/>
    <w:basedOn w:val="Normal"/>
    <w:uiPriority w:val="34"/>
    <w:qFormat/>
    <w:rsid w:val="00FD5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3881">
      <w:bodyDiv w:val="1"/>
      <w:marLeft w:val="0"/>
      <w:marRight w:val="0"/>
      <w:marTop w:val="0"/>
      <w:marBottom w:val="0"/>
      <w:divBdr>
        <w:top w:val="none" w:sz="0" w:space="0" w:color="auto"/>
        <w:left w:val="none" w:sz="0" w:space="0" w:color="auto"/>
        <w:bottom w:val="none" w:sz="0" w:space="0" w:color="auto"/>
        <w:right w:val="none" w:sz="0" w:space="0" w:color="auto"/>
      </w:divBdr>
    </w:div>
    <w:div w:id="41712708">
      <w:bodyDiv w:val="1"/>
      <w:marLeft w:val="0"/>
      <w:marRight w:val="0"/>
      <w:marTop w:val="0"/>
      <w:marBottom w:val="0"/>
      <w:divBdr>
        <w:top w:val="none" w:sz="0" w:space="0" w:color="auto"/>
        <w:left w:val="none" w:sz="0" w:space="0" w:color="auto"/>
        <w:bottom w:val="none" w:sz="0" w:space="0" w:color="auto"/>
        <w:right w:val="none" w:sz="0" w:space="0" w:color="auto"/>
      </w:divBdr>
    </w:div>
    <w:div w:id="68308748">
      <w:bodyDiv w:val="1"/>
      <w:marLeft w:val="0"/>
      <w:marRight w:val="0"/>
      <w:marTop w:val="0"/>
      <w:marBottom w:val="0"/>
      <w:divBdr>
        <w:top w:val="none" w:sz="0" w:space="0" w:color="auto"/>
        <w:left w:val="none" w:sz="0" w:space="0" w:color="auto"/>
        <w:bottom w:val="none" w:sz="0" w:space="0" w:color="auto"/>
        <w:right w:val="none" w:sz="0" w:space="0" w:color="auto"/>
      </w:divBdr>
    </w:div>
    <w:div w:id="74058955">
      <w:bodyDiv w:val="1"/>
      <w:marLeft w:val="0"/>
      <w:marRight w:val="0"/>
      <w:marTop w:val="0"/>
      <w:marBottom w:val="0"/>
      <w:divBdr>
        <w:top w:val="none" w:sz="0" w:space="0" w:color="auto"/>
        <w:left w:val="none" w:sz="0" w:space="0" w:color="auto"/>
        <w:bottom w:val="none" w:sz="0" w:space="0" w:color="auto"/>
        <w:right w:val="none" w:sz="0" w:space="0" w:color="auto"/>
      </w:divBdr>
    </w:div>
    <w:div w:id="107510318">
      <w:bodyDiv w:val="1"/>
      <w:marLeft w:val="0"/>
      <w:marRight w:val="0"/>
      <w:marTop w:val="0"/>
      <w:marBottom w:val="0"/>
      <w:divBdr>
        <w:top w:val="none" w:sz="0" w:space="0" w:color="auto"/>
        <w:left w:val="none" w:sz="0" w:space="0" w:color="auto"/>
        <w:bottom w:val="none" w:sz="0" w:space="0" w:color="auto"/>
        <w:right w:val="none" w:sz="0" w:space="0" w:color="auto"/>
      </w:divBdr>
    </w:div>
    <w:div w:id="1391515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5097879">
      <w:bodyDiv w:val="1"/>
      <w:marLeft w:val="0"/>
      <w:marRight w:val="0"/>
      <w:marTop w:val="0"/>
      <w:marBottom w:val="0"/>
      <w:divBdr>
        <w:top w:val="none" w:sz="0" w:space="0" w:color="auto"/>
        <w:left w:val="none" w:sz="0" w:space="0" w:color="auto"/>
        <w:bottom w:val="none" w:sz="0" w:space="0" w:color="auto"/>
        <w:right w:val="none" w:sz="0" w:space="0" w:color="auto"/>
      </w:divBdr>
    </w:div>
    <w:div w:id="255210605">
      <w:bodyDiv w:val="1"/>
      <w:marLeft w:val="0"/>
      <w:marRight w:val="0"/>
      <w:marTop w:val="0"/>
      <w:marBottom w:val="0"/>
      <w:divBdr>
        <w:top w:val="none" w:sz="0" w:space="0" w:color="auto"/>
        <w:left w:val="none" w:sz="0" w:space="0" w:color="auto"/>
        <w:bottom w:val="none" w:sz="0" w:space="0" w:color="auto"/>
        <w:right w:val="none" w:sz="0" w:space="0" w:color="auto"/>
      </w:divBdr>
    </w:div>
    <w:div w:id="278756288">
      <w:bodyDiv w:val="1"/>
      <w:marLeft w:val="0"/>
      <w:marRight w:val="0"/>
      <w:marTop w:val="0"/>
      <w:marBottom w:val="0"/>
      <w:divBdr>
        <w:top w:val="none" w:sz="0" w:space="0" w:color="auto"/>
        <w:left w:val="none" w:sz="0" w:space="0" w:color="auto"/>
        <w:bottom w:val="none" w:sz="0" w:space="0" w:color="auto"/>
        <w:right w:val="none" w:sz="0" w:space="0" w:color="auto"/>
      </w:divBdr>
    </w:div>
    <w:div w:id="371421729">
      <w:bodyDiv w:val="1"/>
      <w:marLeft w:val="0"/>
      <w:marRight w:val="0"/>
      <w:marTop w:val="0"/>
      <w:marBottom w:val="0"/>
      <w:divBdr>
        <w:top w:val="none" w:sz="0" w:space="0" w:color="auto"/>
        <w:left w:val="none" w:sz="0" w:space="0" w:color="auto"/>
        <w:bottom w:val="none" w:sz="0" w:space="0" w:color="auto"/>
        <w:right w:val="none" w:sz="0" w:space="0" w:color="auto"/>
      </w:divBdr>
    </w:div>
    <w:div w:id="422144663">
      <w:bodyDiv w:val="1"/>
      <w:marLeft w:val="0"/>
      <w:marRight w:val="0"/>
      <w:marTop w:val="0"/>
      <w:marBottom w:val="0"/>
      <w:divBdr>
        <w:top w:val="none" w:sz="0" w:space="0" w:color="auto"/>
        <w:left w:val="none" w:sz="0" w:space="0" w:color="auto"/>
        <w:bottom w:val="none" w:sz="0" w:space="0" w:color="auto"/>
        <w:right w:val="none" w:sz="0" w:space="0" w:color="auto"/>
      </w:divBdr>
    </w:div>
    <w:div w:id="587426769">
      <w:bodyDiv w:val="1"/>
      <w:marLeft w:val="0"/>
      <w:marRight w:val="0"/>
      <w:marTop w:val="0"/>
      <w:marBottom w:val="0"/>
      <w:divBdr>
        <w:top w:val="none" w:sz="0" w:space="0" w:color="auto"/>
        <w:left w:val="none" w:sz="0" w:space="0" w:color="auto"/>
        <w:bottom w:val="none" w:sz="0" w:space="0" w:color="auto"/>
        <w:right w:val="none" w:sz="0" w:space="0" w:color="auto"/>
      </w:divBdr>
    </w:div>
    <w:div w:id="615478641">
      <w:bodyDiv w:val="1"/>
      <w:marLeft w:val="0"/>
      <w:marRight w:val="0"/>
      <w:marTop w:val="0"/>
      <w:marBottom w:val="0"/>
      <w:divBdr>
        <w:top w:val="none" w:sz="0" w:space="0" w:color="auto"/>
        <w:left w:val="none" w:sz="0" w:space="0" w:color="auto"/>
        <w:bottom w:val="none" w:sz="0" w:space="0" w:color="auto"/>
        <w:right w:val="none" w:sz="0" w:space="0" w:color="auto"/>
      </w:divBdr>
    </w:div>
    <w:div w:id="638615527">
      <w:bodyDiv w:val="1"/>
      <w:marLeft w:val="0"/>
      <w:marRight w:val="0"/>
      <w:marTop w:val="0"/>
      <w:marBottom w:val="0"/>
      <w:divBdr>
        <w:top w:val="none" w:sz="0" w:space="0" w:color="auto"/>
        <w:left w:val="none" w:sz="0" w:space="0" w:color="auto"/>
        <w:bottom w:val="none" w:sz="0" w:space="0" w:color="auto"/>
        <w:right w:val="none" w:sz="0" w:space="0" w:color="auto"/>
      </w:divBdr>
    </w:div>
    <w:div w:id="672993420">
      <w:bodyDiv w:val="1"/>
      <w:marLeft w:val="0"/>
      <w:marRight w:val="0"/>
      <w:marTop w:val="0"/>
      <w:marBottom w:val="0"/>
      <w:divBdr>
        <w:top w:val="none" w:sz="0" w:space="0" w:color="auto"/>
        <w:left w:val="none" w:sz="0" w:space="0" w:color="auto"/>
        <w:bottom w:val="none" w:sz="0" w:space="0" w:color="auto"/>
        <w:right w:val="none" w:sz="0" w:space="0" w:color="auto"/>
      </w:divBdr>
    </w:div>
    <w:div w:id="686638235">
      <w:bodyDiv w:val="1"/>
      <w:marLeft w:val="0"/>
      <w:marRight w:val="0"/>
      <w:marTop w:val="0"/>
      <w:marBottom w:val="0"/>
      <w:divBdr>
        <w:top w:val="none" w:sz="0" w:space="0" w:color="auto"/>
        <w:left w:val="none" w:sz="0" w:space="0" w:color="auto"/>
        <w:bottom w:val="none" w:sz="0" w:space="0" w:color="auto"/>
        <w:right w:val="none" w:sz="0" w:space="0" w:color="auto"/>
      </w:divBdr>
    </w:div>
    <w:div w:id="693112344">
      <w:bodyDiv w:val="1"/>
      <w:marLeft w:val="0"/>
      <w:marRight w:val="0"/>
      <w:marTop w:val="0"/>
      <w:marBottom w:val="0"/>
      <w:divBdr>
        <w:top w:val="none" w:sz="0" w:space="0" w:color="auto"/>
        <w:left w:val="none" w:sz="0" w:space="0" w:color="auto"/>
        <w:bottom w:val="none" w:sz="0" w:space="0" w:color="auto"/>
        <w:right w:val="none" w:sz="0" w:space="0" w:color="auto"/>
      </w:divBdr>
    </w:div>
    <w:div w:id="700132127">
      <w:bodyDiv w:val="1"/>
      <w:marLeft w:val="0"/>
      <w:marRight w:val="0"/>
      <w:marTop w:val="0"/>
      <w:marBottom w:val="0"/>
      <w:divBdr>
        <w:top w:val="none" w:sz="0" w:space="0" w:color="auto"/>
        <w:left w:val="none" w:sz="0" w:space="0" w:color="auto"/>
        <w:bottom w:val="none" w:sz="0" w:space="0" w:color="auto"/>
        <w:right w:val="none" w:sz="0" w:space="0" w:color="auto"/>
      </w:divBdr>
    </w:div>
    <w:div w:id="713652018">
      <w:bodyDiv w:val="1"/>
      <w:marLeft w:val="0"/>
      <w:marRight w:val="0"/>
      <w:marTop w:val="0"/>
      <w:marBottom w:val="0"/>
      <w:divBdr>
        <w:top w:val="none" w:sz="0" w:space="0" w:color="auto"/>
        <w:left w:val="none" w:sz="0" w:space="0" w:color="auto"/>
        <w:bottom w:val="none" w:sz="0" w:space="0" w:color="auto"/>
        <w:right w:val="none" w:sz="0" w:space="0" w:color="auto"/>
      </w:divBdr>
    </w:div>
    <w:div w:id="819545190">
      <w:bodyDiv w:val="1"/>
      <w:marLeft w:val="0"/>
      <w:marRight w:val="0"/>
      <w:marTop w:val="0"/>
      <w:marBottom w:val="0"/>
      <w:divBdr>
        <w:top w:val="none" w:sz="0" w:space="0" w:color="auto"/>
        <w:left w:val="none" w:sz="0" w:space="0" w:color="auto"/>
        <w:bottom w:val="none" w:sz="0" w:space="0" w:color="auto"/>
        <w:right w:val="none" w:sz="0" w:space="0" w:color="auto"/>
      </w:divBdr>
    </w:div>
    <w:div w:id="915171504">
      <w:bodyDiv w:val="1"/>
      <w:marLeft w:val="0"/>
      <w:marRight w:val="0"/>
      <w:marTop w:val="0"/>
      <w:marBottom w:val="0"/>
      <w:divBdr>
        <w:top w:val="none" w:sz="0" w:space="0" w:color="auto"/>
        <w:left w:val="none" w:sz="0" w:space="0" w:color="auto"/>
        <w:bottom w:val="none" w:sz="0" w:space="0" w:color="auto"/>
        <w:right w:val="none" w:sz="0" w:space="0" w:color="auto"/>
      </w:divBdr>
    </w:div>
    <w:div w:id="957949722">
      <w:bodyDiv w:val="1"/>
      <w:marLeft w:val="0"/>
      <w:marRight w:val="0"/>
      <w:marTop w:val="0"/>
      <w:marBottom w:val="0"/>
      <w:divBdr>
        <w:top w:val="none" w:sz="0" w:space="0" w:color="auto"/>
        <w:left w:val="none" w:sz="0" w:space="0" w:color="auto"/>
        <w:bottom w:val="none" w:sz="0" w:space="0" w:color="auto"/>
        <w:right w:val="none" w:sz="0" w:space="0" w:color="auto"/>
      </w:divBdr>
    </w:div>
    <w:div w:id="1228422662">
      <w:bodyDiv w:val="1"/>
      <w:marLeft w:val="0"/>
      <w:marRight w:val="0"/>
      <w:marTop w:val="0"/>
      <w:marBottom w:val="0"/>
      <w:divBdr>
        <w:top w:val="none" w:sz="0" w:space="0" w:color="auto"/>
        <w:left w:val="none" w:sz="0" w:space="0" w:color="auto"/>
        <w:bottom w:val="none" w:sz="0" w:space="0" w:color="auto"/>
        <w:right w:val="none" w:sz="0" w:space="0" w:color="auto"/>
      </w:divBdr>
    </w:div>
    <w:div w:id="1229152355">
      <w:bodyDiv w:val="1"/>
      <w:marLeft w:val="0"/>
      <w:marRight w:val="0"/>
      <w:marTop w:val="0"/>
      <w:marBottom w:val="0"/>
      <w:divBdr>
        <w:top w:val="none" w:sz="0" w:space="0" w:color="auto"/>
        <w:left w:val="none" w:sz="0" w:space="0" w:color="auto"/>
        <w:bottom w:val="none" w:sz="0" w:space="0" w:color="auto"/>
        <w:right w:val="none" w:sz="0" w:space="0" w:color="auto"/>
      </w:divBdr>
    </w:div>
    <w:div w:id="1233585346">
      <w:bodyDiv w:val="1"/>
      <w:marLeft w:val="0"/>
      <w:marRight w:val="0"/>
      <w:marTop w:val="0"/>
      <w:marBottom w:val="0"/>
      <w:divBdr>
        <w:top w:val="none" w:sz="0" w:space="0" w:color="auto"/>
        <w:left w:val="none" w:sz="0" w:space="0" w:color="auto"/>
        <w:bottom w:val="none" w:sz="0" w:space="0" w:color="auto"/>
        <w:right w:val="none" w:sz="0" w:space="0" w:color="auto"/>
      </w:divBdr>
    </w:div>
    <w:div w:id="1320116869">
      <w:bodyDiv w:val="1"/>
      <w:marLeft w:val="0"/>
      <w:marRight w:val="0"/>
      <w:marTop w:val="0"/>
      <w:marBottom w:val="0"/>
      <w:divBdr>
        <w:top w:val="none" w:sz="0" w:space="0" w:color="auto"/>
        <w:left w:val="none" w:sz="0" w:space="0" w:color="auto"/>
        <w:bottom w:val="none" w:sz="0" w:space="0" w:color="auto"/>
        <w:right w:val="none" w:sz="0" w:space="0" w:color="auto"/>
      </w:divBdr>
    </w:div>
    <w:div w:id="1337927301">
      <w:bodyDiv w:val="1"/>
      <w:marLeft w:val="0"/>
      <w:marRight w:val="0"/>
      <w:marTop w:val="0"/>
      <w:marBottom w:val="0"/>
      <w:divBdr>
        <w:top w:val="none" w:sz="0" w:space="0" w:color="auto"/>
        <w:left w:val="none" w:sz="0" w:space="0" w:color="auto"/>
        <w:bottom w:val="none" w:sz="0" w:space="0" w:color="auto"/>
        <w:right w:val="none" w:sz="0" w:space="0" w:color="auto"/>
      </w:divBdr>
    </w:div>
    <w:div w:id="1380516548">
      <w:bodyDiv w:val="1"/>
      <w:marLeft w:val="0"/>
      <w:marRight w:val="0"/>
      <w:marTop w:val="0"/>
      <w:marBottom w:val="0"/>
      <w:divBdr>
        <w:top w:val="none" w:sz="0" w:space="0" w:color="auto"/>
        <w:left w:val="none" w:sz="0" w:space="0" w:color="auto"/>
        <w:bottom w:val="none" w:sz="0" w:space="0" w:color="auto"/>
        <w:right w:val="none" w:sz="0" w:space="0" w:color="auto"/>
      </w:divBdr>
    </w:div>
    <w:div w:id="1457404841">
      <w:bodyDiv w:val="1"/>
      <w:marLeft w:val="0"/>
      <w:marRight w:val="0"/>
      <w:marTop w:val="0"/>
      <w:marBottom w:val="0"/>
      <w:divBdr>
        <w:top w:val="none" w:sz="0" w:space="0" w:color="auto"/>
        <w:left w:val="none" w:sz="0" w:space="0" w:color="auto"/>
        <w:bottom w:val="none" w:sz="0" w:space="0" w:color="auto"/>
        <w:right w:val="none" w:sz="0" w:space="0" w:color="auto"/>
      </w:divBdr>
    </w:div>
    <w:div w:id="1459565478">
      <w:bodyDiv w:val="1"/>
      <w:marLeft w:val="0"/>
      <w:marRight w:val="0"/>
      <w:marTop w:val="0"/>
      <w:marBottom w:val="0"/>
      <w:divBdr>
        <w:top w:val="none" w:sz="0" w:space="0" w:color="auto"/>
        <w:left w:val="none" w:sz="0" w:space="0" w:color="auto"/>
        <w:bottom w:val="none" w:sz="0" w:space="0" w:color="auto"/>
        <w:right w:val="none" w:sz="0" w:space="0" w:color="auto"/>
      </w:divBdr>
    </w:div>
    <w:div w:id="1459951195">
      <w:bodyDiv w:val="1"/>
      <w:marLeft w:val="0"/>
      <w:marRight w:val="0"/>
      <w:marTop w:val="0"/>
      <w:marBottom w:val="0"/>
      <w:divBdr>
        <w:top w:val="none" w:sz="0" w:space="0" w:color="auto"/>
        <w:left w:val="none" w:sz="0" w:space="0" w:color="auto"/>
        <w:bottom w:val="none" w:sz="0" w:space="0" w:color="auto"/>
        <w:right w:val="none" w:sz="0" w:space="0" w:color="auto"/>
      </w:divBdr>
    </w:div>
    <w:div w:id="1490706006">
      <w:bodyDiv w:val="1"/>
      <w:marLeft w:val="0"/>
      <w:marRight w:val="0"/>
      <w:marTop w:val="0"/>
      <w:marBottom w:val="0"/>
      <w:divBdr>
        <w:top w:val="none" w:sz="0" w:space="0" w:color="auto"/>
        <w:left w:val="none" w:sz="0" w:space="0" w:color="auto"/>
        <w:bottom w:val="none" w:sz="0" w:space="0" w:color="auto"/>
        <w:right w:val="none" w:sz="0" w:space="0" w:color="auto"/>
      </w:divBdr>
    </w:div>
    <w:div w:id="1506939029">
      <w:bodyDiv w:val="1"/>
      <w:marLeft w:val="0"/>
      <w:marRight w:val="0"/>
      <w:marTop w:val="0"/>
      <w:marBottom w:val="0"/>
      <w:divBdr>
        <w:top w:val="none" w:sz="0" w:space="0" w:color="auto"/>
        <w:left w:val="none" w:sz="0" w:space="0" w:color="auto"/>
        <w:bottom w:val="none" w:sz="0" w:space="0" w:color="auto"/>
        <w:right w:val="none" w:sz="0" w:space="0" w:color="auto"/>
      </w:divBdr>
    </w:div>
    <w:div w:id="1513228213">
      <w:bodyDiv w:val="1"/>
      <w:marLeft w:val="0"/>
      <w:marRight w:val="0"/>
      <w:marTop w:val="0"/>
      <w:marBottom w:val="0"/>
      <w:divBdr>
        <w:top w:val="none" w:sz="0" w:space="0" w:color="auto"/>
        <w:left w:val="none" w:sz="0" w:space="0" w:color="auto"/>
        <w:bottom w:val="none" w:sz="0" w:space="0" w:color="auto"/>
        <w:right w:val="none" w:sz="0" w:space="0" w:color="auto"/>
      </w:divBdr>
    </w:div>
    <w:div w:id="1538735328">
      <w:bodyDiv w:val="1"/>
      <w:marLeft w:val="0"/>
      <w:marRight w:val="0"/>
      <w:marTop w:val="0"/>
      <w:marBottom w:val="0"/>
      <w:divBdr>
        <w:top w:val="none" w:sz="0" w:space="0" w:color="auto"/>
        <w:left w:val="none" w:sz="0" w:space="0" w:color="auto"/>
        <w:bottom w:val="none" w:sz="0" w:space="0" w:color="auto"/>
        <w:right w:val="none" w:sz="0" w:space="0" w:color="auto"/>
      </w:divBdr>
    </w:div>
    <w:div w:id="1591691735">
      <w:bodyDiv w:val="1"/>
      <w:marLeft w:val="0"/>
      <w:marRight w:val="0"/>
      <w:marTop w:val="0"/>
      <w:marBottom w:val="0"/>
      <w:divBdr>
        <w:top w:val="none" w:sz="0" w:space="0" w:color="auto"/>
        <w:left w:val="none" w:sz="0" w:space="0" w:color="auto"/>
        <w:bottom w:val="none" w:sz="0" w:space="0" w:color="auto"/>
        <w:right w:val="none" w:sz="0" w:space="0" w:color="auto"/>
      </w:divBdr>
    </w:div>
    <w:div w:id="1868835966">
      <w:bodyDiv w:val="1"/>
      <w:marLeft w:val="0"/>
      <w:marRight w:val="0"/>
      <w:marTop w:val="0"/>
      <w:marBottom w:val="0"/>
      <w:divBdr>
        <w:top w:val="none" w:sz="0" w:space="0" w:color="auto"/>
        <w:left w:val="none" w:sz="0" w:space="0" w:color="auto"/>
        <w:bottom w:val="none" w:sz="0" w:space="0" w:color="auto"/>
        <w:right w:val="none" w:sz="0" w:space="0" w:color="auto"/>
      </w:divBdr>
    </w:div>
    <w:div w:id="1930386741">
      <w:bodyDiv w:val="1"/>
      <w:marLeft w:val="0"/>
      <w:marRight w:val="0"/>
      <w:marTop w:val="0"/>
      <w:marBottom w:val="0"/>
      <w:divBdr>
        <w:top w:val="none" w:sz="0" w:space="0" w:color="auto"/>
        <w:left w:val="none" w:sz="0" w:space="0" w:color="auto"/>
        <w:bottom w:val="none" w:sz="0" w:space="0" w:color="auto"/>
        <w:right w:val="none" w:sz="0" w:space="0" w:color="auto"/>
      </w:divBdr>
    </w:div>
    <w:div w:id="2000838826">
      <w:bodyDiv w:val="1"/>
      <w:marLeft w:val="0"/>
      <w:marRight w:val="0"/>
      <w:marTop w:val="0"/>
      <w:marBottom w:val="0"/>
      <w:divBdr>
        <w:top w:val="none" w:sz="0" w:space="0" w:color="auto"/>
        <w:left w:val="none" w:sz="0" w:space="0" w:color="auto"/>
        <w:bottom w:val="none" w:sz="0" w:space="0" w:color="auto"/>
        <w:right w:val="none" w:sz="0" w:space="0" w:color="auto"/>
      </w:divBdr>
    </w:div>
    <w:div w:id="2036734298">
      <w:bodyDiv w:val="1"/>
      <w:marLeft w:val="0"/>
      <w:marRight w:val="0"/>
      <w:marTop w:val="0"/>
      <w:marBottom w:val="0"/>
      <w:divBdr>
        <w:top w:val="none" w:sz="0" w:space="0" w:color="auto"/>
        <w:left w:val="none" w:sz="0" w:space="0" w:color="auto"/>
        <w:bottom w:val="none" w:sz="0" w:space="0" w:color="auto"/>
        <w:right w:val="none" w:sz="0" w:space="0" w:color="auto"/>
      </w:divBdr>
    </w:div>
    <w:div w:id="2125153664">
      <w:bodyDiv w:val="1"/>
      <w:marLeft w:val="0"/>
      <w:marRight w:val="0"/>
      <w:marTop w:val="0"/>
      <w:marBottom w:val="0"/>
      <w:divBdr>
        <w:top w:val="none" w:sz="0" w:space="0" w:color="auto"/>
        <w:left w:val="none" w:sz="0" w:space="0" w:color="auto"/>
        <w:bottom w:val="none" w:sz="0" w:space="0" w:color="auto"/>
        <w:right w:val="none" w:sz="0" w:space="0" w:color="auto"/>
      </w:divBdr>
    </w:div>
    <w:div w:id="213706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2392</Words>
  <Characters>14809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2025010175_x000d_
Skift af MAH fra Sanofi Pasteur</dc:description>
  <cp:lastModifiedBy>Marianne Ott Jensen</cp:lastModifiedBy>
  <cp:revision>3</cp:revision>
  <cp:lastPrinted>2020-12-16T12:00:00Z</cp:lastPrinted>
  <dcterms:created xsi:type="dcterms:W3CDTF">2025-01-13T12:25:00Z</dcterms:created>
  <dcterms:modified xsi:type="dcterms:W3CDTF">2025-01-13T12:26:00Z</dcterms:modified>
</cp:coreProperties>
</file>