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C84483" w:rsidRDefault="0021526C" w:rsidP="00081D35">
      <w:pPr>
        <w:rPr>
          <w:b/>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B5EF7">
        <w:rPr>
          <w:szCs w:val="24"/>
        </w:rPr>
        <w:t>1</w:t>
      </w:r>
      <w:r w:rsidR="001863A3">
        <w:rPr>
          <w:szCs w:val="24"/>
        </w:rPr>
        <w:t xml:space="preserve">. </w:t>
      </w:r>
      <w:r w:rsidR="000B5EF7">
        <w:rPr>
          <w:szCs w:val="24"/>
        </w:rPr>
        <w:t>april</w:t>
      </w:r>
      <w:r w:rsidR="001863A3">
        <w:rPr>
          <w:szCs w:val="24"/>
        </w:rPr>
        <w:t xml:space="preserve">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C17A8D" w:rsidP="009260DE">
      <w:pPr>
        <w:jc w:val="center"/>
        <w:rPr>
          <w:b/>
          <w:sz w:val="24"/>
          <w:szCs w:val="24"/>
        </w:rPr>
      </w:pPr>
      <w:proofErr w:type="spellStart"/>
      <w:r>
        <w:rPr>
          <w:b/>
          <w:sz w:val="24"/>
          <w:szCs w:val="24"/>
        </w:rPr>
        <w:t>Axhidrox</w:t>
      </w:r>
      <w:proofErr w:type="spellEnd"/>
      <w:r>
        <w:rPr>
          <w:b/>
          <w:sz w:val="24"/>
          <w:szCs w:val="24"/>
        </w:rPr>
        <w:t>, creme</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F3672C" w:rsidP="009260DE">
      <w:pPr>
        <w:tabs>
          <w:tab w:val="left" w:pos="851"/>
        </w:tabs>
        <w:ind w:left="851"/>
        <w:rPr>
          <w:sz w:val="24"/>
          <w:szCs w:val="24"/>
        </w:rPr>
      </w:pPr>
      <w:r>
        <w:rPr>
          <w:sz w:val="24"/>
          <w:szCs w:val="24"/>
        </w:rPr>
        <w:t>32422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F3672C" w:rsidP="009260DE">
      <w:pPr>
        <w:tabs>
          <w:tab w:val="left" w:pos="851"/>
        </w:tabs>
        <w:ind w:left="851"/>
        <w:rPr>
          <w:sz w:val="24"/>
          <w:szCs w:val="24"/>
        </w:rPr>
      </w:pPr>
      <w:proofErr w:type="spellStart"/>
      <w:r>
        <w:rPr>
          <w:sz w:val="24"/>
          <w:szCs w:val="24"/>
        </w:rPr>
        <w:t>A</w:t>
      </w:r>
      <w:r w:rsidR="00916242">
        <w:rPr>
          <w:sz w:val="24"/>
          <w:szCs w:val="24"/>
        </w:rPr>
        <w:t>x</w:t>
      </w:r>
      <w:r>
        <w:rPr>
          <w:sz w:val="24"/>
          <w:szCs w:val="24"/>
        </w:rPr>
        <w:t>hidrox</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36787" w:rsidRDefault="00916242" w:rsidP="00081D35">
      <w:pPr>
        <w:ind w:left="851"/>
        <w:rPr>
          <w:sz w:val="24"/>
          <w:szCs w:val="24"/>
        </w:rPr>
      </w:pPr>
      <w:r w:rsidRPr="00081D35">
        <w:rPr>
          <w:sz w:val="24"/>
          <w:szCs w:val="24"/>
        </w:rPr>
        <w:t xml:space="preserve">1 g creme indeholder </w:t>
      </w:r>
      <w:proofErr w:type="spellStart"/>
      <w:r w:rsidRPr="00081D35">
        <w:rPr>
          <w:sz w:val="24"/>
          <w:szCs w:val="24"/>
        </w:rPr>
        <w:t>glycopyrroniumbromid</w:t>
      </w:r>
      <w:proofErr w:type="spellEnd"/>
      <w:r w:rsidRPr="00081D35">
        <w:rPr>
          <w:sz w:val="24"/>
          <w:szCs w:val="24"/>
        </w:rPr>
        <w:t xml:space="preserve"> svarende til 8 mg </w:t>
      </w:r>
      <w:proofErr w:type="spellStart"/>
      <w:r w:rsidRPr="00081D35">
        <w:rPr>
          <w:sz w:val="24"/>
          <w:szCs w:val="24"/>
        </w:rPr>
        <w:t>glycopyrronium</w:t>
      </w:r>
      <w:proofErr w:type="spellEnd"/>
      <w:r w:rsidRPr="00081D35">
        <w:rPr>
          <w:sz w:val="24"/>
          <w:szCs w:val="24"/>
        </w:rPr>
        <w:t xml:space="preserve">. </w:t>
      </w:r>
    </w:p>
    <w:p w:rsidR="00916242" w:rsidRPr="00081D35" w:rsidRDefault="00916242" w:rsidP="00081D35">
      <w:pPr>
        <w:ind w:left="851"/>
        <w:rPr>
          <w:sz w:val="24"/>
          <w:szCs w:val="24"/>
        </w:rPr>
      </w:pPr>
      <w:r w:rsidRPr="00081D35">
        <w:rPr>
          <w:sz w:val="24"/>
          <w:szCs w:val="24"/>
        </w:rPr>
        <w:t xml:space="preserve">Et tryk på pumpen leverer 270 mg creme, som indeholder </w:t>
      </w:r>
      <w:proofErr w:type="spellStart"/>
      <w:r w:rsidRPr="00081D35">
        <w:rPr>
          <w:sz w:val="24"/>
          <w:szCs w:val="24"/>
        </w:rPr>
        <w:t>glycopyrroniumbromid</w:t>
      </w:r>
      <w:proofErr w:type="spellEnd"/>
      <w:r w:rsidRPr="00081D35">
        <w:rPr>
          <w:sz w:val="24"/>
          <w:szCs w:val="24"/>
        </w:rPr>
        <w:t xml:space="preserve">, svarende til 2,2 mg </w:t>
      </w:r>
      <w:proofErr w:type="spellStart"/>
      <w:r w:rsidRPr="00081D35">
        <w:rPr>
          <w:sz w:val="24"/>
          <w:szCs w:val="24"/>
        </w:rPr>
        <w:t>glycopyrronium</w:t>
      </w:r>
      <w:proofErr w:type="spellEnd"/>
      <w:r w:rsidRPr="00081D35">
        <w:rPr>
          <w:sz w:val="24"/>
          <w:szCs w:val="24"/>
        </w:rPr>
        <w:t xml:space="preserve"> pr. dosis.</w:t>
      </w:r>
    </w:p>
    <w:p w:rsidR="00F3672C" w:rsidRPr="00081D35" w:rsidRDefault="00F3672C" w:rsidP="00081D35">
      <w:pPr>
        <w:tabs>
          <w:tab w:val="left" w:pos="851"/>
        </w:tabs>
        <w:ind w:left="851"/>
        <w:rPr>
          <w:sz w:val="24"/>
          <w:szCs w:val="24"/>
        </w:rPr>
      </w:pPr>
    </w:p>
    <w:p w:rsidR="00F3672C" w:rsidRPr="00081D35" w:rsidRDefault="00F3672C" w:rsidP="00081D35">
      <w:pPr>
        <w:tabs>
          <w:tab w:val="left" w:pos="851"/>
        </w:tabs>
        <w:ind w:left="851"/>
        <w:rPr>
          <w:iCs/>
          <w:sz w:val="24"/>
          <w:szCs w:val="24"/>
          <w:u w:val="single"/>
        </w:rPr>
      </w:pPr>
      <w:r w:rsidRPr="00081D35">
        <w:rPr>
          <w:sz w:val="24"/>
          <w:szCs w:val="24"/>
          <w:u w:val="single"/>
        </w:rPr>
        <w:t>Hjælpestoffer, som behandleren skal være opmærksom på</w:t>
      </w:r>
    </w:p>
    <w:p w:rsidR="00F3672C" w:rsidRPr="00081D35" w:rsidRDefault="00F3672C" w:rsidP="00081D35">
      <w:pPr>
        <w:tabs>
          <w:tab w:val="left" w:pos="851"/>
        </w:tabs>
        <w:ind w:left="851"/>
        <w:rPr>
          <w:sz w:val="24"/>
          <w:szCs w:val="24"/>
        </w:rPr>
      </w:pPr>
      <w:bookmarkStart w:id="0" w:name="_Hlk32412900"/>
      <w:r w:rsidRPr="00081D35">
        <w:rPr>
          <w:sz w:val="24"/>
          <w:szCs w:val="24"/>
        </w:rPr>
        <w:t xml:space="preserve">Dette lægemiddel indeholder 21,6 mg </w:t>
      </w:r>
      <w:proofErr w:type="spellStart"/>
      <w:r w:rsidRPr="00081D35">
        <w:rPr>
          <w:sz w:val="24"/>
          <w:szCs w:val="24"/>
        </w:rPr>
        <w:t>cetostearylalkohol</w:t>
      </w:r>
      <w:proofErr w:type="spellEnd"/>
      <w:r w:rsidRPr="00081D35">
        <w:rPr>
          <w:sz w:val="24"/>
          <w:szCs w:val="24"/>
        </w:rPr>
        <w:t xml:space="preserve">, 2,7 mg </w:t>
      </w:r>
      <w:proofErr w:type="spellStart"/>
      <w:r w:rsidRPr="00081D35">
        <w:rPr>
          <w:sz w:val="24"/>
          <w:szCs w:val="24"/>
        </w:rPr>
        <w:t>benzylalkohol</w:t>
      </w:r>
      <w:proofErr w:type="spellEnd"/>
      <w:r w:rsidRPr="00081D35">
        <w:rPr>
          <w:sz w:val="24"/>
          <w:szCs w:val="24"/>
        </w:rPr>
        <w:t xml:space="preserve"> og 8,1 mg propylenglycol pr. </w:t>
      </w:r>
      <w:r w:rsidR="00916242" w:rsidRPr="00081D35">
        <w:rPr>
          <w:sz w:val="24"/>
          <w:szCs w:val="24"/>
        </w:rPr>
        <w:t>dosis</w:t>
      </w:r>
      <w:r w:rsidRPr="00081D35">
        <w:rPr>
          <w:sz w:val="24"/>
          <w:szCs w:val="24"/>
        </w:rPr>
        <w:t>.</w:t>
      </w:r>
      <w:bookmarkEnd w:id="0"/>
    </w:p>
    <w:p w:rsidR="00F3672C" w:rsidRPr="00081D35" w:rsidRDefault="00F3672C" w:rsidP="00081D35">
      <w:pPr>
        <w:tabs>
          <w:tab w:val="left" w:pos="851"/>
        </w:tabs>
        <w:ind w:left="851"/>
        <w:rPr>
          <w:sz w:val="24"/>
          <w:szCs w:val="24"/>
        </w:rPr>
      </w:pPr>
    </w:p>
    <w:p w:rsidR="00F3672C" w:rsidRPr="00081D35" w:rsidRDefault="00F3672C" w:rsidP="00081D35">
      <w:pPr>
        <w:tabs>
          <w:tab w:val="left" w:pos="851"/>
        </w:tabs>
        <w:ind w:left="851"/>
        <w:rPr>
          <w:sz w:val="24"/>
          <w:szCs w:val="24"/>
        </w:rPr>
      </w:pPr>
      <w:r w:rsidRPr="00081D35">
        <w:rPr>
          <w:sz w:val="24"/>
          <w:szCs w:val="24"/>
        </w:rPr>
        <w:t>Alle hjælpestoffer er anført under pkt. 6.1.</w:t>
      </w:r>
    </w:p>
    <w:p w:rsidR="009260DE" w:rsidRPr="00081D35" w:rsidRDefault="009260DE" w:rsidP="00081D3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E59D3" w:rsidRPr="006E59D3" w:rsidRDefault="006E59D3" w:rsidP="006E59D3">
      <w:pPr>
        <w:tabs>
          <w:tab w:val="left" w:pos="851"/>
        </w:tabs>
        <w:ind w:left="851"/>
        <w:rPr>
          <w:sz w:val="24"/>
          <w:szCs w:val="24"/>
        </w:rPr>
      </w:pPr>
      <w:r w:rsidRPr="006E59D3">
        <w:rPr>
          <w:sz w:val="24"/>
          <w:szCs w:val="24"/>
        </w:rPr>
        <w:t>Creme</w:t>
      </w:r>
    </w:p>
    <w:p w:rsidR="006E59D3" w:rsidRPr="006E59D3" w:rsidRDefault="006E59D3" w:rsidP="006E59D3">
      <w:pPr>
        <w:tabs>
          <w:tab w:val="left" w:pos="851"/>
        </w:tabs>
        <w:ind w:left="851"/>
        <w:rPr>
          <w:sz w:val="24"/>
          <w:szCs w:val="24"/>
        </w:rPr>
      </w:pPr>
    </w:p>
    <w:p w:rsidR="006E59D3" w:rsidRPr="006E59D3" w:rsidRDefault="006E59D3" w:rsidP="006E59D3">
      <w:pPr>
        <w:tabs>
          <w:tab w:val="left" w:pos="851"/>
        </w:tabs>
        <w:ind w:left="851"/>
        <w:rPr>
          <w:sz w:val="24"/>
          <w:szCs w:val="24"/>
        </w:rPr>
      </w:pPr>
      <w:r w:rsidRPr="006E59D3">
        <w:rPr>
          <w:sz w:val="24"/>
          <w:szCs w:val="24"/>
        </w:rPr>
        <w:t>Hvid, blank creme</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E6CAE" w:rsidRPr="00CE6CAE" w:rsidRDefault="00CE6CAE" w:rsidP="00CE6CAE">
      <w:pPr>
        <w:tabs>
          <w:tab w:val="left" w:pos="851"/>
        </w:tabs>
        <w:ind w:left="851"/>
        <w:rPr>
          <w:i/>
          <w:sz w:val="24"/>
          <w:szCs w:val="24"/>
        </w:rPr>
      </w:pPr>
      <w:proofErr w:type="spellStart"/>
      <w:r w:rsidRPr="00CE6CAE">
        <w:rPr>
          <w:sz w:val="24"/>
          <w:szCs w:val="24"/>
        </w:rPr>
        <w:t>Axhidrox</w:t>
      </w:r>
      <w:proofErr w:type="spellEnd"/>
      <w:r w:rsidRPr="00CE6CAE">
        <w:rPr>
          <w:sz w:val="24"/>
          <w:szCs w:val="24"/>
        </w:rPr>
        <w:t xml:space="preserve"> er indiceret til topisk behandling af svær primær </w:t>
      </w:r>
      <w:proofErr w:type="spellStart"/>
      <w:r w:rsidRPr="00CE6CAE">
        <w:rPr>
          <w:sz w:val="24"/>
          <w:szCs w:val="24"/>
        </w:rPr>
        <w:t>aksillær</w:t>
      </w:r>
      <w:proofErr w:type="spellEnd"/>
      <w:r w:rsidRPr="00CE6CAE">
        <w:rPr>
          <w:sz w:val="24"/>
          <w:szCs w:val="24"/>
        </w:rPr>
        <w:t xml:space="preserve"> </w:t>
      </w:r>
      <w:proofErr w:type="spellStart"/>
      <w:r w:rsidRPr="00CE6CAE">
        <w:rPr>
          <w:sz w:val="24"/>
          <w:szCs w:val="24"/>
        </w:rPr>
        <w:t>hyperhidrose</w:t>
      </w:r>
      <w:proofErr w:type="spellEnd"/>
      <w:r w:rsidRPr="00CE6CAE">
        <w:rPr>
          <w:sz w:val="24"/>
          <w:szCs w:val="24"/>
        </w:rPr>
        <w:t xml:space="preserve">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w:t>
      </w:r>
      <w:r w:rsidR="00F35C6D">
        <w:rPr>
          <w:b/>
          <w:sz w:val="24"/>
          <w:szCs w:val="24"/>
        </w:rPr>
        <w:t xml:space="preserve"> administration</w:t>
      </w:r>
    </w:p>
    <w:p w:rsidR="00B25E11" w:rsidRPr="00B25E11" w:rsidRDefault="00B25E11" w:rsidP="00B25E11">
      <w:pPr>
        <w:tabs>
          <w:tab w:val="left" w:pos="851"/>
        </w:tabs>
        <w:ind w:left="851"/>
        <w:rPr>
          <w:bCs/>
          <w:sz w:val="24"/>
          <w:szCs w:val="24"/>
        </w:rPr>
      </w:pPr>
      <w:proofErr w:type="spellStart"/>
      <w:r w:rsidRPr="00B25E11">
        <w:rPr>
          <w:sz w:val="24"/>
          <w:szCs w:val="24"/>
        </w:rPr>
        <w:t>Kutan</w:t>
      </w:r>
      <w:proofErr w:type="spellEnd"/>
      <w:r w:rsidRPr="00B25E11">
        <w:rPr>
          <w:sz w:val="24"/>
          <w:szCs w:val="24"/>
        </w:rPr>
        <w:t xml:space="preserve"> anvendelse</w:t>
      </w:r>
      <w:r>
        <w:rPr>
          <w:sz w:val="24"/>
          <w:szCs w:val="24"/>
        </w:rPr>
        <w:t>.</w:t>
      </w:r>
    </w:p>
    <w:p w:rsidR="00B25E11" w:rsidRPr="00B25E11" w:rsidRDefault="00B25E11" w:rsidP="00B25E11">
      <w:pPr>
        <w:tabs>
          <w:tab w:val="left" w:pos="851"/>
        </w:tabs>
        <w:ind w:left="851"/>
        <w:rPr>
          <w:sz w:val="24"/>
          <w:szCs w:val="24"/>
        </w:rPr>
      </w:pPr>
      <w:proofErr w:type="spellStart"/>
      <w:r w:rsidRPr="00B25E11">
        <w:rPr>
          <w:sz w:val="24"/>
          <w:szCs w:val="24"/>
        </w:rPr>
        <w:t>Axhidrox</w:t>
      </w:r>
      <w:proofErr w:type="spellEnd"/>
      <w:r w:rsidRPr="00B25E11">
        <w:rPr>
          <w:sz w:val="24"/>
          <w:szCs w:val="24"/>
        </w:rPr>
        <w:t xml:space="preserve"> er til topisk anvendelse udelukkende i underarmsområdet og ikke til brug i andre kropsområder.</w:t>
      </w:r>
    </w:p>
    <w:p w:rsidR="00136787" w:rsidRDefault="00136787">
      <w:pPr>
        <w:rPr>
          <w:sz w:val="24"/>
          <w:szCs w:val="24"/>
        </w:rPr>
      </w:pPr>
      <w:r>
        <w:rPr>
          <w:sz w:val="24"/>
          <w:szCs w:val="24"/>
        </w:rPr>
        <w:br w:type="page"/>
      </w:r>
    </w:p>
    <w:p w:rsidR="00B25E11" w:rsidRPr="00B25E11" w:rsidRDefault="00B25E11" w:rsidP="00B25E11">
      <w:pPr>
        <w:tabs>
          <w:tab w:val="left" w:pos="851"/>
        </w:tabs>
        <w:ind w:left="851"/>
        <w:rPr>
          <w:sz w:val="24"/>
          <w:szCs w:val="24"/>
        </w:rPr>
      </w:pPr>
    </w:p>
    <w:p w:rsidR="00B25E11" w:rsidRPr="00B25E11" w:rsidRDefault="00B25E11" w:rsidP="00B25E11">
      <w:pPr>
        <w:tabs>
          <w:tab w:val="left" w:pos="851"/>
        </w:tabs>
        <w:ind w:left="851"/>
        <w:rPr>
          <w:sz w:val="24"/>
          <w:szCs w:val="24"/>
          <w:u w:val="single"/>
        </w:rPr>
      </w:pPr>
      <w:r w:rsidRPr="00B25E11">
        <w:rPr>
          <w:sz w:val="24"/>
          <w:szCs w:val="24"/>
          <w:u w:val="single"/>
        </w:rPr>
        <w:t>Dosering</w:t>
      </w:r>
    </w:p>
    <w:p w:rsidR="00D650D8" w:rsidRDefault="00B25E11" w:rsidP="00B25E11">
      <w:pPr>
        <w:tabs>
          <w:tab w:val="left" w:pos="851"/>
        </w:tabs>
        <w:ind w:left="851"/>
        <w:rPr>
          <w:sz w:val="24"/>
          <w:szCs w:val="24"/>
        </w:rPr>
      </w:pPr>
      <w:r w:rsidRPr="00B25E11">
        <w:rPr>
          <w:sz w:val="24"/>
          <w:szCs w:val="24"/>
        </w:rPr>
        <w:t xml:space="preserve">Den anbefalede dosering af </w:t>
      </w:r>
      <w:proofErr w:type="spellStart"/>
      <w:r w:rsidRPr="00B25E11">
        <w:rPr>
          <w:sz w:val="24"/>
          <w:szCs w:val="24"/>
        </w:rPr>
        <w:t>Axhidrox</w:t>
      </w:r>
      <w:proofErr w:type="spellEnd"/>
      <w:r w:rsidRPr="00B25E11">
        <w:rPr>
          <w:sz w:val="24"/>
          <w:szCs w:val="24"/>
        </w:rPr>
        <w:t xml:space="preserve"> er to pumpetryk pr. armhule (svarer til 540 mg creme eller 4,4 mg </w:t>
      </w:r>
      <w:proofErr w:type="spellStart"/>
      <w:r w:rsidRPr="00B25E11">
        <w:rPr>
          <w:sz w:val="24"/>
          <w:szCs w:val="24"/>
        </w:rPr>
        <w:t>glycopyrronium</w:t>
      </w:r>
      <w:proofErr w:type="spellEnd"/>
      <w:r w:rsidRPr="00B25E11">
        <w:rPr>
          <w:sz w:val="24"/>
          <w:szCs w:val="24"/>
        </w:rPr>
        <w:t xml:space="preserve"> pr. armhule).</w:t>
      </w:r>
    </w:p>
    <w:p w:rsidR="00B25E11" w:rsidRPr="00B25E11" w:rsidRDefault="00B25E11" w:rsidP="00B25E11">
      <w:pPr>
        <w:tabs>
          <w:tab w:val="left" w:pos="851"/>
        </w:tabs>
        <w:ind w:left="851"/>
        <w:rPr>
          <w:sz w:val="24"/>
          <w:szCs w:val="24"/>
        </w:rPr>
      </w:pPr>
      <w:r w:rsidRPr="00B25E11">
        <w:rPr>
          <w:sz w:val="24"/>
          <w:szCs w:val="24"/>
        </w:rPr>
        <w:t xml:space="preserve">Efter </w:t>
      </w:r>
      <w:proofErr w:type="spellStart"/>
      <w:r w:rsidRPr="00B25E11">
        <w:rPr>
          <w:sz w:val="24"/>
          <w:szCs w:val="24"/>
        </w:rPr>
        <w:t>priming</w:t>
      </w:r>
      <w:proofErr w:type="spellEnd"/>
      <w:r w:rsidRPr="00B25E11">
        <w:rPr>
          <w:sz w:val="24"/>
          <w:szCs w:val="24"/>
        </w:rPr>
        <w:t xml:space="preserve"> skal pumpen trykkes helt ned to gange for at få den ønskede dosis på 540 mg creme (4,4 mg </w:t>
      </w:r>
      <w:proofErr w:type="spellStart"/>
      <w:r w:rsidRPr="00B25E11">
        <w:rPr>
          <w:sz w:val="24"/>
          <w:szCs w:val="24"/>
        </w:rPr>
        <w:t>glycopyrronium</w:t>
      </w:r>
      <w:proofErr w:type="spellEnd"/>
      <w:r w:rsidRPr="00B25E11">
        <w:rPr>
          <w:sz w:val="24"/>
          <w:szCs w:val="24"/>
        </w:rPr>
        <w:t>).</w:t>
      </w:r>
    </w:p>
    <w:p w:rsidR="00B25E11" w:rsidRPr="00B25E11" w:rsidRDefault="00B25E11" w:rsidP="00B25E11">
      <w:pPr>
        <w:tabs>
          <w:tab w:val="left" w:pos="851"/>
        </w:tabs>
        <w:ind w:left="851"/>
        <w:rPr>
          <w:sz w:val="24"/>
          <w:szCs w:val="24"/>
        </w:rPr>
      </w:pPr>
    </w:p>
    <w:p w:rsidR="00B25E11" w:rsidRPr="00B25E11" w:rsidRDefault="00B25E11" w:rsidP="00B25E11">
      <w:pPr>
        <w:tabs>
          <w:tab w:val="left" w:pos="851"/>
        </w:tabs>
        <w:ind w:left="851"/>
        <w:rPr>
          <w:sz w:val="24"/>
          <w:szCs w:val="24"/>
        </w:rPr>
      </w:pPr>
      <w:r w:rsidRPr="00B25E11">
        <w:rPr>
          <w:sz w:val="24"/>
          <w:szCs w:val="24"/>
        </w:rPr>
        <w:t xml:space="preserve">Under de første 4 ugers behandling påføres </w:t>
      </w:r>
      <w:proofErr w:type="spellStart"/>
      <w:r w:rsidRPr="00B25E11">
        <w:rPr>
          <w:sz w:val="24"/>
          <w:szCs w:val="24"/>
        </w:rPr>
        <w:t>Axhidrox</w:t>
      </w:r>
      <w:proofErr w:type="spellEnd"/>
      <w:r w:rsidRPr="00B25E11">
        <w:rPr>
          <w:sz w:val="24"/>
          <w:szCs w:val="24"/>
        </w:rPr>
        <w:t xml:space="preserve"> jævnt på hver armhule </w:t>
      </w:r>
      <w:r w:rsidR="00D650D8">
        <w:rPr>
          <w:sz w:val="24"/>
          <w:szCs w:val="24"/>
        </w:rPr>
        <w:t xml:space="preserve">en </w:t>
      </w:r>
      <w:r w:rsidRPr="00B25E11">
        <w:rPr>
          <w:sz w:val="24"/>
          <w:szCs w:val="24"/>
        </w:rPr>
        <w:t xml:space="preserve">gang </w:t>
      </w:r>
      <w:r w:rsidR="00D650D8">
        <w:rPr>
          <w:sz w:val="24"/>
          <w:szCs w:val="24"/>
        </w:rPr>
        <w:t>daglig</w:t>
      </w:r>
      <w:r w:rsidRPr="00B25E11">
        <w:rPr>
          <w:sz w:val="24"/>
          <w:szCs w:val="24"/>
        </w:rPr>
        <w:t>, helst om aftenen.</w:t>
      </w:r>
    </w:p>
    <w:p w:rsidR="00B25E11" w:rsidRPr="00B25E11" w:rsidRDefault="00B25E11" w:rsidP="00B25E11">
      <w:pPr>
        <w:tabs>
          <w:tab w:val="left" w:pos="851"/>
        </w:tabs>
        <w:ind w:left="851"/>
        <w:rPr>
          <w:sz w:val="24"/>
          <w:szCs w:val="24"/>
        </w:rPr>
      </w:pPr>
      <w:r w:rsidRPr="00B25E11">
        <w:rPr>
          <w:sz w:val="24"/>
          <w:szCs w:val="24"/>
        </w:rPr>
        <w:t xml:space="preserve">Fra og med den 5. uge kan hyppigheden af påføringen af </w:t>
      </w:r>
      <w:proofErr w:type="spellStart"/>
      <w:r w:rsidRPr="00B25E11">
        <w:rPr>
          <w:sz w:val="24"/>
          <w:szCs w:val="24"/>
        </w:rPr>
        <w:t>Axhidrox</w:t>
      </w:r>
      <w:proofErr w:type="spellEnd"/>
      <w:r w:rsidRPr="00B25E11">
        <w:rPr>
          <w:sz w:val="24"/>
          <w:szCs w:val="24"/>
        </w:rPr>
        <w:t xml:space="preserve"> reduceres til to gange om ugen, afhængigt af reduktionen af armsved.</w:t>
      </w:r>
    </w:p>
    <w:p w:rsidR="00B25E11" w:rsidRPr="00B25E11" w:rsidRDefault="00B25E11" w:rsidP="00B25E11">
      <w:pPr>
        <w:tabs>
          <w:tab w:val="left" w:pos="851"/>
        </w:tabs>
        <w:ind w:left="851"/>
        <w:rPr>
          <w:sz w:val="24"/>
          <w:szCs w:val="24"/>
        </w:rPr>
      </w:pPr>
      <w:r w:rsidRPr="00B25E11">
        <w:rPr>
          <w:sz w:val="24"/>
          <w:szCs w:val="24"/>
        </w:rPr>
        <w:t xml:space="preserve">Det er nødvendigt med kontinuerlig behandling af primær </w:t>
      </w:r>
      <w:proofErr w:type="spellStart"/>
      <w:r w:rsidRPr="00B25E11">
        <w:rPr>
          <w:sz w:val="24"/>
          <w:szCs w:val="24"/>
        </w:rPr>
        <w:t>aksillær</w:t>
      </w:r>
      <w:proofErr w:type="spellEnd"/>
      <w:r w:rsidRPr="00B25E11">
        <w:rPr>
          <w:sz w:val="24"/>
          <w:szCs w:val="24"/>
        </w:rPr>
        <w:t xml:space="preserve"> </w:t>
      </w:r>
      <w:proofErr w:type="spellStart"/>
      <w:r w:rsidRPr="00B25E11">
        <w:rPr>
          <w:sz w:val="24"/>
          <w:szCs w:val="24"/>
        </w:rPr>
        <w:t>hyperhidrose</w:t>
      </w:r>
      <w:proofErr w:type="spellEnd"/>
      <w:r w:rsidRPr="00B25E11">
        <w:rPr>
          <w:sz w:val="24"/>
          <w:szCs w:val="24"/>
        </w:rPr>
        <w:t xml:space="preserve"> med </w:t>
      </w:r>
      <w:proofErr w:type="spellStart"/>
      <w:r w:rsidRPr="00B25E11">
        <w:rPr>
          <w:sz w:val="24"/>
          <w:szCs w:val="24"/>
        </w:rPr>
        <w:t>Axhidrox</w:t>
      </w:r>
      <w:proofErr w:type="spellEnd"/>
      <w:r w:rsidRPr="00B25E11">
        <w:rPr>
          <w:sz w:val="24"/>
          <w:szCs w:val="24"/>
        </w:rPr>
        <w:t xml:space="preserve"> for at opretholde effekten.</w:t>
      </w:r>
    </w:p>
    <w:p w:rsidR="00B25E11" w:rsidRPr="00B25E11" w:rsidRDefault="00B25E11" w:rsidP="00B25E11">
      <w:pPr>
        <w:tabs>
          <w:tab w:val="left" w:pos="851"/>
        </w:tabs>
        <w:ind w:left="851"/>
        <w:rPr>
          <w:sz w:val="24"/>
          <w:szCs w:val="24"/>
        </w:rPr>
      </w:pPr>
    </w:p>
    <w:p w:rsidR="00B25E11" w:rsidRPr="00B25E11" w:rsidRDefault="00B25E11" w:rsidP="00B25E11">
      <w:pPr>
        <w:tabs>
          <w:tab w:val="left" w:pos="851"/>
        </w:tabs>
        <w:ind w:left="851"/>
        <w:rPr>
          <w:bCs/>
          <w:i/>
          <w:iCs/>
          <w:sz w:val="24"/>
          <w:szCs w:val="24"/>
        </w:rPr>
      </w:pPr>
      <w:r w:rsidRPr="00B25E11">
        <w:rPr>
          <w:i/>
          <w:sz w:val="24"/>
          <w:szCs w:val="24"/>
        </w:rPr>
        <w:t>Pædiatrisk population</w:t>
      </w:r>
    </w:p>
    <w:p w:rsidR="00B25E11" w:rsidRPr="00B25E11" w:rsidRDefault="00B25E11" w:rsidP="00B25E11">
      <w:pPr>
        <w:tabs>
          <w:tab w:val="left" w:pos="851"/>
        </w:tabs>
        <w:ind w:left="851"/>
        <w:rPr>
          <w:sz w:val="24"/>
          <w:szCs w:val="24"/>
        </w:rPr>
      </w:pPr>
      <w:proofErr w:type="spellStart"/>
      <w:r w:rsidRPr="00B25E11">
        <w:rPr>
          <w:sz w:val="24"/>
          <w:szCs w:val="24"/>
        </w:rPr>
        <w:t>Axhidrox</w:t>
      </w:r>
      <w:proofErr w:type="spellEnd"/>
      <w:r w:rsidRPr="00B25E11">
        <w:rPr>
          <w:sz w:val="24"/>
          <w:szCs w:val="24"/>
        </w:rPr>
        <w:t>’ sikkerhed og virkning hos børn i alderen under 18 år er endnu ikke klarlagt.</w:t>
      </w:r>
    </w:p>
    <w:p w:rsidR="00B25E11" w:rsidRPr="00B25E11" w:rsidRDefault="00B25E11" w:rsidP="00B25E11">
      <w:pPr>
        <w:tabs>
          <w:tab w:val="left" w:pos="851"/>
        </w:tabs>
        <w:ind w:left="851"/>
        <w:rPr>
          <w:sz w:val="24"/>
          <w:szCs w:val="24"/>
        </w:rPr>
      </w:pPr>
      <w:r w:rsidRPr="00B25E11">
        <w:rPr>
          <w:sz w:val="24"/>
          <w:szCs w:val="24"/>
        </w:rPr>
        <w:t>Der foreligger ingen data.</w:t>
      </w:r>
    </w:p>
    <w:p w:rsidR="00B25E11" w:rsidRPr="00B25E11" w:rsidRDefault="00B25E11" w:rsidP="00B25E11">
      <w:pPr>
        <w:tabs>
          <w:tab w:val="left" w:pos="851"/>
        </w:tabs>
        <w:ind w:left="851"/>
        <w:rPr>
          <w:bCs/>
          <w:i/>
          <w:iCs/>
          <w:sz w:val="24"/>
          <w:szCs w:val="24"/>
        </w:rPr>
      </w:pPr>
    </w:p>
    <w:p w:rsidR="00B25E11" w:rsidRPr="00B25E11" w:rsidRDefault="00B25E11" w:rsidP="00B25E11">
      <w:pPr>
        <w:tabs>
          <w:tab w:val="left" w:pos="851"/>
        </w:tabs>
        <w:ind w:left="851"/>
        <w:rPr>
          <w:bCs/>
          <w:i/>
          <w:iCs/>
          <w:sz w:val="24"/>
          <w:szCs w:val="24"/>
        </w:rPr>
      </w:pPr>
      <w:r w:rsidRPr="00B25E11">
        <w:rPr>
          <w:i/>
          <w:sz w:val="24"/>
          <w:szCs w:val="24"/>
        </w:rPr>
        <w:t>Ældre</w:t>
      </w:r>
    </w:p>
    <w:p w:rsidR="00B25E11" w:rsidRPr="00B25E11" w:rsidRDefault="00B25E11" w:rsidP="00B25E11">
      <w:pPr>
        <w:tabs>
          <w:tab w:val="left" w:pos="851"/>
        </w:tabs>
        <w:ind w:left="851"/>
        <w:rPr>
          <w:bCs/>
          <w:sz w:val="24"/>
          <w:szCs w:val="24"/>
        </w:rPr>
      </w:pPr>
      <w:proofErr w:type="spellStart"/>
      <w:r w:rsidRPr="00B25E11">
        <w:rPr>
          <w:sz w:val="24"/>
          <w:szCs w:val="24"/>
        </w:rPr>
        <w:t>Axhidrox</w:t>
      </w:r>
      <w:proofErr w:type="spellEnd"/>
      <w:r w:rsidRPr="00B25E11">
        <w:rPr>
          <w:sz w:val="24"/>
          <w:szCs w:val="24"/>
        </w:rPr>
        <w:t>’ sikkerhed og virkning hos den ældre population over 65 år er ikke klarlagt.</w:t>
      </w:r>
    </w:p>
    <w:p w:rsidR="00B25E11" w:rsidRPr="00B25E11" w:rsidRDefault="00B25E11" w:rsidP="00B25E11">
      <w:pPr>
        <w:tabs>
          <w:tab w:val="left" w:pos="851"/>
        </w:tabs>
        <w:ind w:left="851"/>
        <w:rPr>
          <w:bCs/>
          <w:sz w:val="24"/>
          <w:szCs w:val="24"/>
        </w:rPr>
      </w:pPr>
    </w:p>
    <w:p w:rsidR="00B25E11" w:rsidRPr="00B25E11" w:rsidRDefault="00B25E11" w:rsidP="00B25E11">
      <w:pPr>
        <w:tabs>
          <w:tab w:val="left" w:pos="851"/>
        </w:tabs>
        <w:ind w:left="851"/>
        <w:rPr>
          <w:bCs/>
          <w:i/>
          <w:iCs/>
          <w:sz w:val="24"/>
          <w:szCs w:val="24"/>
        </w:rPr>
      </w:pPr>
      <w:r w:rsidRPr="00B25E11">
        <w:rPr>
          <w:i/>
          <w:sz w:val="24"/>
          <w:szCs w:val="24"/>
        </w:rPr>
        <w:t>Nedsat nyrefunktion</w:t>
      </w:r>
    </w:p>
    <w:p w:rsidR="00B25E11" w:rsidRPr="00B25E11" w:rsidRDefault="00B25E11" w:rsidP="00B25E11">
      <w:pPr>
        <w:tabs>
          <w:tab w:val="left" w:pos="851"/>
        </w:tabs>
        <w:ind w:left="851"/>
        <w:rPr>
          <w:sz w:val="24"/>
          <w:szCs w:val="24"/>
        </w:rPr>
      </w:pPr>
      <w:proofErr w:type="spellStart"/>
      <w:r w:rsidRPr="00B25E11">
        <w:rPr>
          <w:sz w:val="24"/>
          <w:szCs w:val="24"/>
        </w:rPr>
        <w:t>Axhidrox</w:t>
      </w:r>
      <w:proofErr w:type="spellEnd"/>
      <w:r w:rsidRPr="00B25E11">
        <w:rPr>
          <w:sz w:val="24"/>
          <w:szCs w:val="24"/>
        </w:rPr>
        <w:t xml:space="preserve"> kan bruges ved den anbefalede dosis hos patienter med let til moderat nedsat nyrefunktion. Hos patienter med svært nedsat nyrefunktion eller nyresygdom i slutstadiet, der kræver dialyse, bør </w:t>
      </w:r>
      <w:proofErr w:type="spellStart"/>
      <w:r w:rsidRPr="00B25E11">
        <w:rPr>
          <w:sz w:val="24"/>
          <w:szCs w:val="24"/>
        </w:rPr>
        <w:t>Axhidrox</w:t>
      </w:r>
      <w:proofErr w:type="spellEnd"/>
      <w:r w:rsidRPr="00B25E11">
        <w:rPr>
          <w:sz w:val="24"/>
          <w:szCs w:val="24"/>
        </w:rPr>
        <w:t xml:space="preserve"> kun anvendes, hvis den forventede fordel opvejer den potentielle risiko, da den systemiske eksponering for </w:t>
      </w:r>
      <w:proofErr w:type="spellStart"/>
      <w:r w:rsidRPr="00B25E11">
        <w:rPr>
          <w:sz w:val="24"/>
          <w:szCs w:val="24"/>
        </w:rPr>
        <w:t>glycopyrronium</w:t>
      </w:r>
      <w:proofErr w:type="spellEnd"/>
      <w:r w:rsidRPr="00B25E11">
        <w:rPr>
          <w:sz w:val="24"/>
          <w:szCs w:val="24"/>
        </w:rPr>
        <w:t xml:space="preserve"> kan være øget i denne population (se pkt. 4.4).</w:t>
      </w:r>
    </w:p>
    <w:p w:rsidR="00B25E11" w:rsidRPr="00B25E11" w:rsidRDefault="00B25E11" w:rsidP="00B25E11">
      <w:pPr>
        <w:tabs>
          <w:tab w:val="left" w:pos="851"/>
        </w:tabs>
        <w:ind w:left="851"/>
        <w:rPr>
          <w:bCs/>
          <w:sz w:val="24"/>
          <w:szCs w:val="24"/>
        </w:rPr>
      </w:pPr>
    </w:p>
    <w:p w:rsidR="00B25E11" w:rsidRPr="00B25E11" w:rsidRDefault="00B25E11" w:rsidP="00B25E11">
      <w:pPr>
        <w:tabs>
          <w:tab w:val="left" w:pos="851"/>
        </w:tabs>
        <w:ind w:left="851"/>
        <w:rPr>
          <w:bCs/>
          <w:i/>
          <w:iCs/>
          <w:sz w:val="24"/>
          <w:szCs w:val="24"/>
        </w:rPr>
      </w:pPr>
      <w:r w:rsidRPr="00B25E11">
        <w:rPr>
          <w:i/>
          <w:sz w:val="24"/>
          <w:szCs w:val="24"/>
        </w:rPr>
        <w:t>Nedsat leverfunktion</w:t>
      </w:r>
    </w:p>
    <w:p w:rsidR="00B25E11" w:rsidRPr="00B25E11" w:rsidRDefault="00B25E11" w:rsidP="00B25E11">
      <w:pPr>
        <w:tabs>
          <w:tab w:val="left" w:pos="851"/>
        </w:tabs>
        <w:ind w:left="851"/>
        <w:rPr>
          <w:bCs/>
          <w:sz w:val="24"/>
          <w:szCs w:val="24"/>
        </w:rPr>
      </w:pPr>
      <w:r w:rsidRPr="00B25E11">
        <w:rPr>
          <w:sz w:val="24"/>
          <w:szCs w:val="24"/>
        </w:rPr>
        <w:t xml:space="preserve">Der er ikke udført studier hos patienter med nedsat leverfunktion. </w:t>
      </w:r>
      <w:proofErr w:type="spellStart"/>
      <w:r w:rsidRPr="00B25E11">
        <w:rPr>
          <w:sz w:val="24"/>
          <w:szCs w:val="24"/>
        </w:rPr>
        <w:t>Glycopyrronium</w:t>
      </w:r>
      <w:proofErr w:type="spellEnd"/>
      <w:r w:rsidRPr="00B25E11">
        <w:rPr>
          <w:sz w:val="24"/>
          <w:szCs w:val="24"/>
        </w:rPr>
        <w:t xml:space="preserve"> udskilles primært gennem nyrerne, og derfor forventes der ingen større stigning i eksponering for det aktive stof hos patienter med nedsat leverfunktion.</w:t>
      </w:r>
    </w:p>
    <w:p w:rsidR="00B25E11" w:rsidRPr="00B25E11" w:rsidRDefault="00B25E11" w:rsidP="00B25E11">
      <w:pPr>
        <w:tabs>
          <w:tab w:val="left" w:pos="851"/>
        </w:tabs>
        <w:ind w:left="851"/>
        <w:rPr>
          <w:bCs/>
          <w:sz w:val="24"/>
          <w:szCs w:val="24"/>
        </w:rPr>
      </w:pPr>
    </w:p>
    <w:p w:rsidR="00B25E11" w:rsidRPr="00B25E11" w:rsidRDefault="00B25E11" w:rsidP="00B25E11">
      <w:pPr>
        <w:tabs>
          <w:tab w:val="left" w:pos="851"/>
        </w:tabs>
        <w:ind w:left="851"/>
        <w:rPr>
          <w:bCs/>
          <w:sz w:val="24"/>
          <w:szCs w:val="24"/>
        </w:rPr>
      </w:pPr>
      <w:r w:rsidRPr="00B25E11">
        <w:rPr>
          <w:sz w:val="24"/>
          <w:szCs w:val="24"/>
        </w:rPr>
        <w:t>Dosisjustering er ikke nødvendig hos patienter med nedsat leverfunktion.</w:t>
      </w:r>
    </w:p>
    <w:p w:rsidR="00B25E11" w:rsidRPr="00B25E11" w:rsidRDefault="00B25E11" w:rsidP="00B25E11">
      <w:pPr>
        <w:tabs>
          <w:tab w:val="left" w:pos="851"/>
        </w:tabs>
        <w:ind w:left="851"/>
        <w:rPr>
          <w:bCs/>
          <w:iCs/>
          <w:sz w:val="24"/>
          <w:szCs w:val="24"/>
        </w:rPr>
      </w:pPr>
    </w:p>
    <w:p w:rsidR="00B25E11" w:rsidRPr="00B25E11" w:rsidRDefault="00B25E11" w:rsidP="00B25E11">
      <w:pPr>
        <w:tabs>
          <w:tab w:val="left" w:pos="851"/>
        </w:tabs>
        <w:ind w:left="851"/>
        <w:rPr>
          <w:sz w:val="24"/>
          <w:szCs w:val="24"/>
          <w:u w:val="single"/>
        </w:rPr>
      </w:pPr>
      <w:r w:rsidRPr="00B25E11">
        <w:rPr>
          <w:sz w:val="24"/>
          <w:szCs w:val="24"/>
          <w:u w:val="single"/>
        </w:rPr>
        <w:t>Administration</w:t>
      </w:r>
    </w:p>
    <w:p w:rsidR="00B25E11" w:rsidRPr="00B25E11" w:rsidRDefault="00B25E11" w:rsidP="00B25E11">
      <w:pPr>
        <w:tabs>
          <w:tab w:val="left" w:pos="851"/>
        </w:tabs>
        <w:ind w:left="851"/>
        <w:rPr>
          <w:bCs/>
          <w:sz w:val="24"/>
          <w:szCs w:val="24"/>
        </w:rPr>
      </w:pPr>
    </w:p>
    <w:p w:rsidR="00B25E11" w:rsidRDefault="00B25E11" w:rsidP="00B25E11">
      <w:pPr>
        <w:tabs>
          <w:tab w:val="left" w:pos="851"/>
        </w:tabs>
        <w:ind w:left="851"/>
        <w:rPr>
          <w:i/>
          <w:sz w:val="24"/>
          <w:szCs w:val="24"/>
        </w:rPr>
      </w:pPr>
      <w:r w:rsidRPr="00B25E11">
        <w:rPr>
          <w:i/>
          <w:sz w:val="24"/>
          <w:szCs w:val="24"/>
        </w:rPr>
        <w:t>Klargøring af pumpen inden første brug</w:t>
      </w:r>
    </w:p>
    <w:p w:rsidR="000314DF" w:rsidRPr="00B25E11" w:rsidRDefault="000314DF" w:rsidP="00B25E11">
      <w:pPr>
        <w:tabs>
          <w:tab w:val="left" w:pos="851"/>
        </w:tabs>
        <w:ind w:left="851"/>
        <w:rPr>
          <w:bCs/>
          <w:sz w:val="24"/>
          <w:szCs w:val="24"/>
        </w:rPr>
      </w:pPr>
    </w:p>
    <w:p w:rsidR="00B25E11" w:rsidRPr="00B25E11" w:rsidRDefault="00B25E11" w:rsidP="00B25E11">
      <w:pPr>
        <w:tabs>
          <w:tab w:val="left" w:pos="851"/>
        </w:tabs>
        <w:ind w:left="851"/>
        <w:rPr>
          <w:bCs/>
          <w:sz w:val="24"/>
          <w:szCs w:val="24"/>
        </w:rPr>
      </w:pPr>
      <w:r w:rsidRPr="00B25E11">
        <w:rPr>
          <w:sz w:val="24"/>
          <w:szCs w:val="24"/>
        </w:rPr>
        <w:t>Flerdosisbeholderen skal primes, inden den bruges første gang.</w:t>
      </w:r>
    </w:p>
    <w:p w:rsidR="00B25E11" w:rsidRPr="00B25E11" w:rsidRDefault="00B25E11" w:rsidP="00B25E11">
      <w:pPr>
        <w:tabs>
          <w:tab w:val="left" w:pos="851"/>
        </w:tabs>
        <w:ind w:left="851"/>
        <w:rPr>
          <w:sz w:val="24"/>
          <w:szCs w:val="24"/>
        </w:rPr>
      </w:pPr>
      <w:r w:rsidRPr="00B25E11">
        <w:rPr>
          <w:sz w:val="24"/>
          <w:szCs w:val="24"/>
        </w:rPr>
        <w:t>For at opnå den fulde initialdosis skal luften i pumpen fjernes på følgende måde:</w:t>
      </w:r>
    </w:p>
    <w:p w:rsidR="00B779B7" w:rsidRDefault="00B25E11" w:rsidP="00B779B7">
      <w:pPr>
        <w:numPr>
          <w:ilvl w:val="0"/>
          <w:numId w:val="6"/>
        </w:numPr>
        <w:tabs>
          <w:tab w:val="left" w:pos="851"/>
        </w:tabs>
        <w:ind w:left="1134" w:hanging="283"/>
        <w:rPr>
          <w:sz w:val="24"/>
          <w:szCs w:val="24"/>
        </w:rPr>
      </w:pPr>
      <w:r w:rsidRPr="00B25E11">
        <w:rPr>
          <w:noProof/>
          <w:sz w:val="24"/>
          <w:szCs w:val="24"/>
          <w:lang w:val="fi-FI"/>
        </w:rPr>
        <w:drawing>
          <wp:anchor distT="0" distB="0" distL="114300" distR="114300" simplePos="0" relativeHeight="251662336" behindDoc="1" locked="0" layoutInCell="1" allowOverlap="1">
            <wp:simplePos x="0" y="0"/>
            <wp:positionH relativeFrom="column">
              <wp:posOffset>4929505</wp:posOffset>
            </wp:positionH>
            <wp:positionV relativeFrom="paragraph">
              <wp:posOffset>102870</wp:posOffset>
            </wp:positionV>
            <wp:extent cx="698500" cy="692150"/>
            <wp:effectExtent l="0" t="0" r="6350" b="0"/>
            <wp:wrapTight wrapText="bothSides">
              <wp:wrapPolygon edited="0">
                <wp:start x="0" y="0"/>
                <wp:lineTo x="0" y="20807"/>
                <wp:lineTo x="21207" y="20807"/>
                <wp:lineTo x="21207"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500" cy="692150"/>
                    </a:xfrm>
                    <a:prstGeom prst="rect">
                      <a:avLst/>
                    </a:prstGeom>
                    <a:noFill/>
                  </pic:spPr>
                </pic:pic>
              </a:graphicData>
            </a:graphic>
            <wp14:sizeRelH relativeFrom="page">
              <wp14:pctWidth>0</wp14:pctWidth>
            </wp14:sizeRelH>
            <wp14:sizeRelV relativeFrom="page">
              <wp14:pctHeight>0</wp14:pctHeight>
            </wp14:sizeRelV>
          </wp:anchor>
        </w:drawing>
      </w:r>
      <w:r w:rsidRPr="00B25E11">
        <w:rPr>
          <w:noProof/>
          <w:sz w:val="24"/>
          <w:szCs w:val="24"/>
          <w:lang w:val="fi-FI"/>
        </w:rPr>
        <w:drawing>
          <wp:anchor distT="0" distB="0" distL="114300" distR="114300" simplePos="0" relativeHeight="251661312" behindDoc="1" locked="0" layoutInCell="1" allowOverlap="1">
            <wp:simplePos x="0" y="0"/>
            <wp:positionH relativeFrom="column">
              <wp:posOffset>4930140</wp:posOffset>
            </wp:positionH>
            <wp:positionV relativeFrom="paragraph">
              <wp:posOffset>107315</wp:posOffset>
            </wp:positionV>
            <wp:extent cx="680085" cy="669290"/>
            <wp:effectExtent l="0" t="0" r="5715" b="0"/>
            <wp:wrapTight wrapText="bothSides">
              <wp:wrapPolygon edited="0">
                <wp:start x="0" y="0"/>
                <wp:lineTo x="0" y="20903"/>
                <wp:lineTo x="21176" y="20903"/>
                <wp:lineTo x="21176"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85" cy="669290"/>
                    </a:xfrm>
                    <a:prstGeom prst="rect">
                      <a:avLst/>
                    </a:prstGeom>
                    <a:noFill/>
                  </pic:spPr>
                </pic:pic>
              </a:graphicData>
            </a:graphic>
            <wp14:sizeRelH relativeFrom="page">
              <wp14:pctWidth>0</wp14:pctWidth>
            </wp14:sizeRelH>
            <wp14:sizeRelV relativeFrom="page">
              <wp14:pctHeight>0</wp14:pctHeight>
            </wp14:sizeRelV>
          </wp:anchor>
        </w:drawing>
      </w:r>
      <w:r w:rsidRPr="00B25E11">
        <w:rPr>
          <w:sz w:val="24"/>
          <w:szCs w:val="24"/>
        </w:rPr>
        <w:t xml:space="preserve">Hold pumpen i en vinkel (se illustration), og tryk pumpen ned gentagne gange, indtil der kommer creme ud </w:t>
      </w:r>
      <w:proofErr w:type="gramStart"/>
      <w:r w:rsidRPr="00B25E11">
        <w:rPr>
          <w:sz w:val="24"/>
          <w:szCs w:val="24"/>
        </w:rPr>
        <w:t>a</w:t>
      </w:r>
      <w:r w:rsidR="0061073A">
        <w:rPr>
          <w:sz w:val="24"/>
          <w:szCs w:val="24"/>
        </w:rPr>
        <w:t>f</w:t>
      </w:r>
      <w:proofErr w:type="gramEnd"/>
      <w:r w:rsidRPr="00B25E11">
        <w:rPr>
          <w:sz w:val="24"/>
          <w:szCs w:val="24"/>
        </w:rPr>
        <w:t xml:space="preserve"> åbningen og over</w:t>
      </w:r>
    </w:p>
    <w:p w:rsidR="00B25E11" w:rsidRPr="00B25E11" w:rsidRDefault="00B25E11" w:rsidP="00B779B7">
      <w:pPr>
        <w:tabs>
          <w:tab w:val="left" w:pos="851"/>
        </w:tabs>
        <w:ind w:left="1134"/>
        <w:rPr>
          <w:sz w:val="24"/>
          <w:szCs w:val="24"/>
        </w:rPr>
      </w:pPr>
      <w:r w:rsidRPr="00B25E11">
        <w:rPr>
          <w:sz w:val="24"/>
          <w:szCs w:val="24"/>
        </w:rPr>
        <w:t>på et stykke papir.</w:t>
      </w:r>
    </w:p>
    <w:p w:rsidR="00B779B7" w:rsidRDefault="00B25E11" w:rsidP="00B779B7">
      <w:pPr>
        <w:numPr>
          <w:ilvl w:val="0"/>
          <w:numId w:val="6"/>
        </w:numPr>
        <w:tabs>
          <w:tab w:val="left" w:pos="851"/>
        </w:tabs>
        <w:ind w:left="1134" w:hanging="283"/>
        <w:rPr>
          <w:sz w:val="24"/>
          <w:szCs w:val="24"/>
        </w:rPr>
      </w:pPr>
      <w:r w:rsidRPr="00B25E11">
        <w:rPr>
          <w:sz w:val="24"/>
          <w:szCs w:val="24"/>
        </w:rPr>
        <w:t>Tryk langsomt pumpen helt ned endnu 10 gange, og lad den udpumpede creme falde på papiret. Papiret med den dispenserede</w:t>
      </w:r>
    </w:p>
    <w:p w:rsidR="00B25E11" w:rsidRPr="00B25E11" w:rsidRDefault="00B25E11" w:rsidP="00B779B7">
      <w:pPr>
        <w:tabs>
          <w:tab w:val="left" w:pos="851"/>
        </w:tabs>
        <w:ind w:left="1134"/>
        <w:rPr>
          <w:sz w:val="24"/>
          <w:szCs w:val="24"/>
        </w:rPr>
      </w:pPr>
      <w:r w:rsidRPr="00B25E11">
        <w:rPr>
          <w:sz w:val="24"/>
          <w:szCs w:val="24"/>
        </w:rPr>
        <w:t>creme må kun bortskaffes i affaldsspanden.</w:t>
      </w:r>
    </w:p>
    <w:p w:rsidR="00B25E11" w:rsidRPr="00B25E11" w:rsidRDefault="00B25E11" w:rsidP="00B779B7">
      <w:pPr>
        <w:numPr>
          <w:ilvl w:val="0"/>
          <w:numId w:val="6"/>
        </w:numPr>
        <w:tabs>
          <w:tab w:val="left" w:pos="851"/>
        </w:tabs>
        <w:ind w:left="1134" w:hanging="283"/>
        <w:rPr>
          <w:bCs/>
          <w:sz w:val="24"/>
          <w:szCs w:val="24"/>
        </w:rPr>
      </w:pPr>
      <w:r w:rsidRPr="00B25E11">
        <w:rPr>
          <w:sz w:val="24"/>
          <w:szCs w:val="24"/>
        </w:rPr>
        <w:t>Pumpen er nu klar til brug. Det er ikke nødvendigt med gentagen klargøring af pumpen til efterfølgende brug.</w:t>
      </w:r>
    </w:p>
    <w:p w:rsidR="004B63A7" w:rsidRDefault="004B63A7">
      <w:pPr>
        <w:rPr>
          <w:bCs/>
          <w:i/>
          <w:iCs/>
          <w:sz w:val="24"/>
          <w:szCs w:val="24"/>
        </w:rPr>
      </w:pPr>
      <w:r>
        <w:rPr>
          <w:bCs/>
          <w:i/>
          <w:iCs/>
          <w:sz w:val="24"/>
          <w:szCs w:val="24"/>
        </w:rPr>
        <w:br w:type="page"/>
      </w:r>
    </w:p>
    <w:p w:rsidR="00B25E11" w:rsidRPr="00B25E11" w:rsidRDefault="00B25E11" w:rsidP="00B25E11">
      <w:pPr>
        <w:tabs>
          <w:tab w:val="left" w:pos="851"/>
        </w:tabs>
        <w:ind w:left="851"/>
        <w:rPr>
          <w:bCs/>
          <w:i/>
          <w:iCs/>
          <w:sz w:val="24"/>
          <w:szCs w:val="24"/>
        </w:rPr>
      </w:pPr>
    </w:p>
    <w:p w:rsidR="00B25E11" w:rsidRPr="00B25E11" w:rsidRDefault="00B25E11" w:rsidP="00B25E11">
      <w:pPr>
        <w:tabs>
          <w:tab w:val="left" w:pos="851"/>
        </w:tabs>
        <w:ind w:left="851"/>
        <w:rPr>
          <w:bCs/>
          <w:i/>
          <w:iCs/>
          <w:sz w:val="24"/>
          <w:szCs w:val="24"/>
        </w:rPr>
      </w:pPr>
      <w:r w:rsidRPr="00B25E11">
        <w:rPr>
          <w:i/>
          <w:sz w:val="24"/>
          <w:szCs w:val="24"/>
        </w:rPr>
        <w:t>Regelmæssig påføring af cremen</w:t>
      </w:r>
    </w:p>
    <w:p w:rsidR="00B25E11" w:rsidRPr="00B25E11" w:rsidRDefault="00B25E11" w:rsidP="00B25E11">
      <w:pPr>
        <w:tabs>
          <w:tab w:val="left" w:pos="851"/>
        </w:tabs>
        <w:ind w:left="851"/>
        <w:rPr>
          <w:bCs/>
          <w:sz w:val="24"/>
          <w:szCs w:val="24"/>
        </w:rPr>
      </w:pPr>
      <w:r w:rsidRPr="00B25E11">
        <w:rPr>
          <w:sz w:val="24"/>
          <w:szCs w:val="24"/>
        </w:rPr>
        <w:t xml:space="preserve">Efter </w:t>
      </w:r>
      <w:proofErr w:type="spellStart"/>
      <w:r w:rsidRPr="00B25E11">
        <w:rPr>
          <w:sz w:val="24"/>
          <w:szCs w:val="24"/>
        </w:rPr>
        <w:t>priming</w:t>
      </w:r>
      <w:proofErr w:type="spellEnd"/>
      <w:r w:rsidRPr="00B25E11">
        <w:rPr>
          <w:sz w:val="24"/>
          <w:szCs w:val="24"/>
        </w:rPr>
        <w:t xml:space="preserve"> påføres cremen med anvendelse af låget som følger:</w:t>
      </w:r>
    </w:p>
    <w:p w:rsidR="00B25E11" w:rsidRPr="00B25E11" w:rsidRDefault="00B25E11" w:rsidP="004B63A7">
      <w:pPr>
        <w:numPr>
          <w:ilvl w:val="0"/>
          <w:numId w:val="6"/>
        </w:numPr>
        <w:tabs>
          <w:tab w:val="left" w:pos="1134"/>
        </w:tabs>
        <w:ind w:left="1134" w:hanging="283"/>
        <w:rPr>
          <w:sz w:val="24"/>
          <w:szCs w:val="24"/>
        </w:rPr>
      </w:pPr>
      <w:r w:rsidRPr="00B25E11">
        <w:rPr>
          <w:sz w:val="24"/>
          <w:szCs w:val="24"/>
        </w:rPr>
        <w:t>Hold pumpen i den ene hånd med pumpens åbning mod pumpens fjernede låg (se illustration).</w:t>
      </w:r>
    </w:p>
    <w:p w:rsidR="00B25E11" w:rsidRPr="00B25E11" w:rsidRDefault="004B63A7" w:rsidP="004B63A7">
      <w:pPr>
        <w:numPr>
          <w:ilvl w:val="0"/>
          <w:numId w:val="6"/>
        </w:numPr>
        <w:tabs>
          <w:tab w:val="left" w:pos="1134"/>
        </w:tabs>
        <w:ind w:left="1134" w:hanging="283"/>
        <w:rPr>
          <w:sz w:val="24"/>
          <w:szCs w:val="24"/>
        </w:rPr>
      </w:pPr>
      <w:r w:rsidRPr="00B25E11">
        <w:rPr>
          <w:noProof/>
          <w:sz w:val="24"/>
          <w:szCs w:val="24"/>
          <w:lang w:val="fi-FI"/>
        </w:rPr>
        <w:drawing>
          <wp:anchor distT="0" distB="0" distL="114300" distR="114300" simplePos="0" relativeHeight="251660288" behindDoc="1" locked="0" layoutInCell="1" allowOverlap="1">
            <wp:simplePos x="0" y="0"/>
            <wp:positionH relativeFrom="column">
              <wp:posOffset>4981575</wp:posOffset>
            </wp:positionH>
            <wp:positionV relativeFrom="paragraph">
              <wp:posOffset>50800</wp:posOffset>
            </wp:positionV>
            <wp:extent cx="734695" cy="723900"/>
            <wp:effectExtent l="0" t="0" r="8255" b="0"/>
            <wp:wrapTight wrapText="bothSides">
              <wp:wrapPolygon edited="0">
                <wp:start x="0" y="0"/>
                <wp:lineTo x="0" y="21032"/>
                <wp:lineTo x="21283" y="21032"/>
                <wp:lineTo x="21283"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95" cy="723900"/>
                    </a:xfrm>
                    <a:prstGeom prst="rect">
                      <a:avLst/>
                    </a:prstGeom>
                    <a:noFill/>
                  </pic:spPr>
                </pic:pic>
              </a:graphicData>
            </a:graphic>
            <wp14:sizeRelH relativeFrom="page">
              <wp14:pctWidth>0</wp14:pctWidth>
            </wp14:sizeRelH>
            <wp14:sizeRelV relativeFrom="page">
              <wp14:pctHeight>0</wp14:pctHeight>
            </wp14:sizeRelV>
          </wp:anchor>
        </w:drawing>
      </w:r>
      <w:r w:rsidR="00B25E11" w:rsidRPr="00B25E11">
        <w:rPr>
          <w:sz w:val="24"/>
          <w:szCs w:val="24"/>
        </w:rPr>
        <w:t>Tryk pumpen helt i bund to gange for at påføre den anbefalede mængde creme på lågets top.</w:t>
      </w:r>
    </w:p>
    <w:p w:rsidR="00B25E11" w:rsidRPr="00B25E11" w:rsidRDefault="00B25E11" w:rsidP="004B63A7">
      <w:pPr>
        <w:numPr>
          <w:ilvl w:val="0"/>
          <w:numId w:val="6"/>
        </w:numPr>
        <w:tabs>
          <w:tab w:val="left" w:pos="1134"/>
        </w:tabs>
        <w:ind w:left="1134" w:hanging="283"/>
        <w:rPr>
          <w:sz w:val="24"/>
          <w:szCs w:val="24"/>
        </w:rPr>
      </w:pPr>
      <w:r w:rsidRPr="00B25E11">
        <w:rPr>
          <w:sz w:val="24"/>
          <w:szCs w:val="24"/>
        </w:rPr>
        <w:t>Påfør cremen jævnt med anvendelse af låget i én armhule.</w:t>
      </w:r>
    </w:p>
    <w:p w:rsidR="00B25E11" w:rsidRPr="00B25E11" w:rsidRDefault="00B25E11" w:rsidP="004B63A7">
      <w:pPr>
        <w:numPr>
          <w:ilvl w:val="0"/>
          <w:numId w:val="6"/>
        </w:numPr>
        <w:tabs>
          <w:tab w:val="left" w:pos="1134"/>
        </w:tabs>
        <w:ind w:left="1134" w:hanging="283"/>
        <w:rPr>
          <w:sz w:val="24"/>
          <w:szCs w:val="24"/>
        </w:rPr>
      </w:pPr>
      <w:r w:rsidRPr="00B25E11">
        <w:rPr>
          <w:sz w:val="24"/>
          <w:szCs w:val="24"/>
        </w:rPr>
        <w:t>Gentag processen for den anden armhule.</w:t>
      </w:r>
    </w:p>
    <w:p w:rsidR="00B25E11" w:rsidRPr="00B25E11" w:rsidRDefault="00B25E11" w:rsidP="004B63A7">
      <w:pPr>
        <w:numPr>
          <w:ilvl w:val="0"/>
          <w:numId w:val="6"/>
        </w:numPr>
        <w:tabs>
          <w:tab w:val="left" w:pos="1134"/>
        </w:tabs>
        <w:ind w:left="1134" w:hanging="283"/>
        <w:rPr>
          <w:sz w:val="24"/>
          <w:szCs w:val="24"/>
        </w:rPr>
      </w:pPr>
      <w:r w:rsidRPr="00B25E11">
        <w:rPr>
          <w:sz w:val="24"/>
          <w:szCs w:val="24"/>
        </w:rPr>
        <w:t>Vask bagefter af sikkerhedshensyn straks låget og dine hænder grundigt med sæbe og vand. Dette er vigtigt for at undgå, at cremen kommer i kontakt med næsen, øjnene eller munden såvel som med andre personer (se pkt. 4.4).</w:t>
      </w:r>
    </w:p>
    <w:p w:rsidR="00B25E11" w:rsidRPr="00B25E11" w:rsidRDefault="00B25E11" w:rsidP="004B63A7">
      <w:pPr>
        <w:numPr>
          <w:ilvl w:val="0"/>
          <w:numId w:val="6"/>
        </w:numPr>
        <w:tabs>
          <w:tab w:val="left" w:pos="1134"/>
        </w:tabs>
        <w:ind w:left="1134" w:hanging="283"/>
        <w:rPr>
          <w:bCs/>
          <w:sz w:val="24"/>
          <w:szCs w:val="24"/>
        </w:rPr>
      </w:pPr>
      <w:r w:rsidRPr="00B25E11">
        <w:rPr>
          <w:sz w:val="24"/>
          <w:szCs w:val="24"/>
        </w:rPr>
        <w:t>Sæt et flueben ved antallet af behandlinger i tabellen på den udvendige karton (se pkt. 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61073A" w:rsidRPr="0061073A" w:rsidRDefault="0061073A" w:rsidP="0061073A">
      <w:pPr>
        <w:numPr>
          <w:ilvl w:val="0"/>
          <w:numId w:val="6"/>
        </w:numPr>
        <w:tabs>
          <w:tab w:val="left" w:pos="851"/>
        </w:tabs>
        <w:ind w:left="1134" w:hanging="283"/>
        <w:rPr>
          <w:sz w:val="24"/>
          <w:szCs w:val="24"/>
        </w:rPr>
      </w:pPr>
      <w:r w:rsidRPr="0061073A">
        <w:rPr>
          <w:sz w:val="24"/>
          <w:szCs w:val="24"/>
        </w:rPr>
        <w:t>Overfølsomhed over for det aktive stof eller over for et eller flere af hjælpestofferne anført i pkt. 6.1.</w:t>
      </w:r>
    </w:p>
    <w:p w:rsidR="0061073A" w:rsidRPr="0061073A" w:rsidRDefault="0061073A" w:rsidP="0061073A">
      <w:pPr>
        <w:numPr>
          <w:ilvl w:val="0"/>
          <w:numId w:val="6"/>
        </w:numPr>
        <w:tabs>
          <w:tab w:val="left" w:pos="851"/>
        </w:tabs>
        <w:ind w:left="1134" w:hanging="283"/>
        <w:rPr>
          <w:sz w:val="24"/>
          <w:szCs w:val="24"/>
        </w:rPr>
      </w:pPr>
      <w:r w:rsidRPr="0061073A">
        <w:rPr>
          <w:sz w:val="24"/>
          <w:szCs w:val="24"/>
        </w:rPr>
        <w:t xml:space="preserve">Medicinske tilstande, der kan forværres af </w:t>
      </w:r>
      <w:proofErr w:type="spellStart"/>
      <w:r w:rsidRPr="0061073A">
        <w:rPr>
          <w:sz w:val="24"/>
          <w:szCs w:val="24"/>
        </w:rPr>
        <w:t>Axhidrox</w:t>
      </w:r>
      <w:proofErr w:type="spellEnd"/>
      <w:r w:rsidRPr="0061073A">
        <w:rPr>
          <w:sz w:val="24"/>
          <w:szCs w:val="24"/>
        </w:rPr>
        <w:t xml:space="preserve">’ </w:t>
      </w:r>
      <w:proofErr w:type="spellStart"/>
      <w:r w:rsidRPr="0061073A">
        <w:rPr>
          <w:sz w:val="24"/>
          <w:szCs w:val="24"/>
        </w:rPr>
        <w:t>antikolinerge</w:t>
      </w:r>
      <w:proofErr w:type="spellEnd"/>
      <w:r w:rsidRPr="0061073A">
        <w:rPr>
          <w:sz w:val="24"/>
          <w:szCs w:val="24"/>
        </w:rPr>
        <w:t xml:space="preserve"> virkning (f.eks. </w:t>
      </w:r>
      <w:proofErr w:type="spellStart"/>
      <w:r w:rsidRPr="0061073A">
        <w:rPr>
          <w:sz w:val="24"/>
          <w:szCs w:val="24"/>
        </w:rPr>
        <w:t>glaukom</w:t>
      </w:r>
      <w:proofErr w:type="spellEnd"/>
      <w:r w:rsidRPr="0061073A">
        <w:rPr>
          <w:sz w:val="24"/>
          <w:szCs w:val="24"/>
        </w:rPr>
        <w:t xml:space="preserve">, paralytisk </w:t>
      </w:r>
      <w:proofErr w:type="spellStart"/>
      <w:r w:rsidRPr="0061073A">
        <w:rPr>
          <w:sz w:val="24"/>
          <w:szCs w:val="24"/>
        </w:rPr>
        <w:t>ileus</w:t>
      </w:r>
      <w:proofErr w:type="spellEnd"/>
      <w:r w:rsidRPr="0061073A">
        <w:rPr>
          <w:sz w:val="24"/>
          <w:szCs w:val="24"/>
        </w:rPr>
        <w:t xml:space="preserve">, ustabil </w:t>
      </w:r>
      <w:proofErr w:type="spellStart"/>
      <w:r w:rsidRPr="0061073A">
        <w:rPr>
          <w:sz w:val="24"/>
          <w:szCs w:val="24"/>
        </w:rPr>
        <w:t>kardiovaskulær</w:t>
      </w:r>
      <w:proofErr w:type="spellEnd"/>
      <w:r w:rsidRPr="0061073A">
        <w:rPr>
          <w:sz w:val="24"/>
          <w:szCs w:val="24"/>
        </w:rPr>
        <w:t xml:space="preserve"> status ved akut blødning, svær colitis </w:t>
      </w:r>
      <w:proofErr w:type="spellStart"/>
      <w:r w:rsidRPr="0061073A">
        <w:rPr>
          <w:sz w:val="24"/>
          <w:szCs w:val="24"/>
        </w:rPr>
        <w:t>ulcerosa</w:t>
      </w:r>
      <w:proofErr w:type="spellEnd"/>
      <w:r w:rsidRPr="0061073A">
        <w:rPr>
          <w:sz w:val="24"/>
          <w:szCs w:val="24"/>
        </w:rPr>
        <w:t xml:space="preserve">, toksisk </w:t>
      </w:r>
      <w:proofErr w:type="spellStart"/>
      <w:r w:rsidRPr="0061073A">
        <w:rPr>
          <w:sz w:val="24"/>
          <w:szCs w:val="24"/>
        </w:rPr>
        <w:t>megacolon</w:t>
      </w:r>
      <w:proofErr w:type="spellEnd"/>
      <w:r w:rsidRPr="0061073A">
        <w:rPr>
          <w:sz w:val="24"/>
          <w:szCs w:val="24"/>
        </w:rPr>
        <w:t xml:space="preserve"> med komplikation af colitis </w:t>
      </w:r>
      <w:proofErr w:type="spellStart"/>
      <w:r w:rsidRPr="0061073A">
        <w:rPr>
          <w:sz w:val="24"/>
          <w:szCs w:val="24"/>
        </w:rPr>
        <w:t>ulcerosa</w:t>
      </w:r>
      <w:proofErr w:type="spellEnd"/>
      <w:r w:rsidRPr="0061073A">
        <w:rPr>
          <w:sz w:val="24"/>
          <w:szCs w:val="24"/>
        </w:rPr>
        <w:t xml:space="preserve">, </w:t>
      </w:r>
      <w:proofErr w:type="spellStart"/>
      <w:r w:rsidRPr="0061073A">
        <w:rPr>
          <w:sz w:val="24"/>
          <w:szCs w:val="24"/>
        </w:rPr>
        <w:t>myastenia</w:t>
      </w:r>
      <w:proofErr w:type="spellEnd"/>
      <w:r w:rsidRPr="0061073A">
        <w:rPr>
          <w:sz w:val="24"/>
          <w:szCs w:val="24"/>
        </w:rPr>
        <w:t xml:space="preserve"> </w:t>
      </w:r>
      <w:proofErr w:type="spellStart"/>
      <w:r w:rsidRPr="0061073A">
        <w:rPr>
          <w:sz w:val="24"/>
          <w:szCs w:val="24"/>
        </w:rPr>
        <w:t>gravis</w:t>
      </w:r>
      <w:proofErr w:type="spellEnd"/>
      <w:r w:rsidRPr="0061073A">
        <w:rPr>
          <w:sz w:val="24"/>
          <w:szCs w:val="24"/>
        </w:rPr>
        <w:t xml:space="preserve">, </w:t>
      </w:r>
      <w:proofErr w:type="spellStart"/>
      <w:r w:rsidRPr="0061073A">
        <w:rPr>
          <w:sz w:val="24"/>
          <w:szCs w:val="24"/>
        </w:rPr>
        <w:t>Sjögrens</w:t>
      </w:r>
      <w:proofErr w:type="spellEnd"/>
      <w:r w:rsidRPr="0061073A">
        <w:rPr>
          <w:sz w:val="24"/>
          <w:szCs w:val="24"/>
        </w:rPr>
        <w:t xml:space="preserve"> syndrom)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1073A" w:rsidRPr="0061073A" w:rsidRDefault="0061073A" w:rsidP="0061073A">
      <w:pPr>
        <w:tabs>
          <w:tab w:val="left" w:pos="851"/>
        </w:tabs>
        <w:ind w:left="851"/>
        <w:rPr>
          <w:sz w:val="24"/>
          <w:szCs w:val="24"/>
        </w:rPr>
      </w:pPr>
      <w:proofErr w:type="spellStart"/>
      <w:r w:rsidRPr="0061073A">
        <w:rPr>
          <w:sz w:val="24"/>
          <w:szCs w:val="24"/>
        </w:rPr>
        <w:t>Axhidrox</w:t>
      </w:r>
      <w:proofErr w:type="spellEnd"/>
      <w:r w:rsidRPr="0061073A">
        <w:rPr>
          <w:sz w:val="24"/>
          <w:szCs w:val="24"/>
        </w:rPr>
        <w:t xml:space="preserve"> skal anvendes med forsigtighed hos patienter med svær </w:t>
      </w:r>
      <w:proofErr w:type="spellStart"/>
      <w:r w:rsidRPr="0061073A">
        <w:rPr>
          <w:sz w:val="24"/>
          <w:szCs w:val="24"/>
        </w:rPr>
        <w:t>prostatahyperplasi</w:t>
      </w:r>
      <w:proofErr w:type="spellEnd"/>
      <w:r w:rsidRPr="0061073A">
        <w:rPr>
          <w:sz w:val="24"/>
          <w:szCs w:val="24"/>
        </w:rPr>
        <w:t>, blærehalsobstruktion eller tidligere eller nuværende urinretention.</w:t>
      </w:r>
    </w:p>
    <w:p w:rsidR="0061073A" w:rsidRPr="0061073A" w:rsidRDefault="0061073A" w:rsidP="0061073A">
      <w:pPr>
        <w:tabs>
          <w:tab w:val="left" w:pos="851"/>
        </w:tabs>
        <w:ind w:left="851"/>
        <w:rPr>
          <w:sz w:val="24"/>
          <w:szCs w:val="24"/>
        </w:rPr>
      </w:pPr>
      <w:r w:rsidRPr="0061073A">
        <w:rPr>
          <w:sz w:val="24"/>
          <w:szCs w:val="24"/>
        </w:rPr>
        <w:t xml:space="preserve">Hos disse patienter skal læger og patienter være opmærksomme på tegn og symptomer på urinretention (f.eks. vandladningsbesvær, udvidet blære), og patienter skal instrueres i øjeblikkeligt at seponere brugen af </w:t>
      </w:r>
      <w:proofErr w:type="spellStart"/>
      <w:r w:rsidRPr="0061073A">
        <w:rPr>
          <w:sz w:val="24"/>
          <w:szCs w:val="24"/>
        </w:rPr>
        <w:t>Axhidrox</w:t>
      </w:r>
      <w:proofErr w:type="spellEnd"/>
      <w:r w:rsidRPr="0061073A">
        <w:rPr>
          <w:sz w:val="24"/>
          <w:szCs w:val="24"/>
        </w:rPr>
        <w:t xml:space="preserve"> og rådføre sig med en læge, hvis nogle af disse tegn eller symptomer opstår.</w:t>
      </w:r>
    </w:p>
    <w:p w:rsidR="0061073A" w:rsidRPr="0061073A" w:rsidRDefault="0061073A" w:rsidP="0061073A">
      <w:pPr>
        <w:tabs>
          <w:tab w:val="left" w:pos="851"/>
        </w:tabs>
        <w:ind w:left="851"/>
        <w:rPr>
          <w:sz w:val="24"/>
          <w:szCs w:val="24"/>
        </w:rPr>
      </w:pPr>
    </w:p>
    <w:p w:rsidR="0061073A" w:rsidRPr="0061073A" w:rsidRDefault="0061073A" w:rsidP="0061073A">
      <w:pPr>
        <w:tabs>
          <w:tab w:val="left" w:pos="851"/>
        </w:tabs>
        <w:ind w:left="851"/>
        <w:rPr>
          <w:sz w:val="24"/>
          <w:szCs w:val="24"/>
        </w:rPr>
      </w:pPr>
      <w:r w:rsidRPr="0061073A">
        <w:rPr>
          <w:sz w:val="24"/>
          <w:szCs w:val="24"/>
        </w:rPr>
        <w:t xml:space="preserve">Hos patienter med svært nedsat nyrefunktion (estimeret </w:t>
      </w:r>
      <w:proofErr w:type="spellStart"/>
      <w:r w:rsidRPr="0061073A">
        <w:rPr>
          <w:sz w:val="24"/>
          <w:szCs w:val="24"/>
        </w:rPr>
        <w:t>glomerulær</w:t>
      </w:r>
      <w:proofErr w:type="spellEnd"/>
      <w:r w:rsidRPr="0061073A">
        <w:rPr>
          <w:sz w:val="24"/>
          <w:szCs w:val="24"/>
        </w:rPr>
        <w:t xml:space="preserve"> filtrationshastighed (</w:t>
      </w:r>
      <w:proofErr w:type="spellStart"/>
      <w:r w:rsidRPr="0061073A">
        <w:rPr>
          <w:sz w:val="24"/>
          <w:szCs w:val="24"/>
        </w:rPr>
        <w:t>eGFR</w:t>
      </w:r>
      <w:proofErr w:type="spellEnd"/>
      <w:r w:rsidRPr="0061073A">
        <w:rPr>
          <w:sz w:val="24"/>
          <w:szCs w:val="24"/>
        </w:rPr>
        <w:t>) under 30 ml/min/1,73 m</w:t>
      </w:r>
      <w:r w:rsidRPr="0061073A">
        <w:rPr>
          <w:sz w:val="24"/>
          <w:szCs w:val="24"/>
          <w:vertAlign w:val="superscript"/>
        </w:rPr>
        <w:t>2</w:t>
      </w:r>
      <w:r w:rsidRPr="0061073A">
        <w:rPr>
          <w:sz w:val="24"/>
          <w:szCs w:val="24"/>
        </w:rPr>
        <w:t xml:space="preserve">), inklusive de patienter med nyresygdom i slutstadiet med behov for dialyse, bør </w:t>
      </w:r>
      <w:proofErr w:type="spellStart"/>
      <w:r w:rsidRPr="0061073A">
        <w:rPr>
          <w:sz w:val="24"/>
          <w:szCs w:val="24"/>
        </w:rPr>
        <w:t>Axhidrox</w:t>
      </w:r>
      <w:proofErr w:type="spellEnd"/>
      <w:r w:rsidRPr="0061073A">
        <w:rPr>
          <w:sz w:val="24"/>
          <w:szCs w:val="24"/>
        </w:rPr>
        <w:t xml:space="preserve"> kun anvendes, hvis den forventede fordel opvejer den potentielle risiko. Disse patienter skal overvåges tæt for potentielle bivirkninger.</w:t>
      </w:r>
    </w:p>
    <w:p w:rsidR="0061073A" w:rsidRPr="0061073A" w:rsidRDefault="0061073A" w:rsidP="0061073A">
      <w:pPr>
        <w:tabs>
          <w:tab w:val="left" w:pos="851"/>
        </w:tabs>
        <w:ind w:left="851"/>
        <w:rPr>
          <w:sz w:val="24"/>
          <w:szCs w:val="24"/>
        </w:rPr>
      </w:pPr>
    </w:p>
    <w:p w:rsidR="0061073A" w:rsidRPr="0061073A" w:rsidRDefault="0061073A" w:rsidP="0061073A">
      <w:pPr>
        <w:tabs>
          <w:tab w:val="left" w:pos="851"/>
        </w:tabs>
        <w:ind w:left="851"/>
        <w:rPr>
          <w:iCs/>
          <w:sz w:val="24"/>
          <w:szCs w:val="24"/>
        </w:rPr>
      </w:pPr>
      <w:bookmarkStart w:id="1" w:name="_Hlk43816461"/>
      <w:bookmarkStart w:id="2" w:name="_Hlk76549219"/>
      <w:r w:rsidRPr="0061073A">
        <w:rPr>
          <w:sz w:val="24"/>
          <w:szCs w:val="24"/>
        </w:rPr>
        <w:t xml:space="preserve">Da en øget hjertefrekvens er en kendt virkning af </w:t>
      </w:r>
      <w:proofErr w:type="spellStart"/>
      <w:r w:rsidRPr="0061073A">
        <w:rPr>
          <w:sz w:val="24"/>
          <w:szCs w:val="24"/>
        </w:rPr>
        <w:t>antikolinergika</w:t>
      </w:r>
      <w:proofErr w:type="spellEnd"/>
      <w:r w:rsidRPr="0061073A">
        <w:rPr>
          <w:sz w:val="24"/>
          <w:szCs w:val="24"/>
        </w:rPr>
        <w:t xml:space="preserve">, skal </w:t>
      </w:r>
      <w:proofErr w:type="spellStart"/>
      <w:r w:rsidRPr="0061073A">
        <w:rPr>
          <w:sz w:val="24"/>
          <w:szCs w:val="24"/>
        </w:rPr>
        <w:t>Axhidrox</w:t>
      </w:r>
      <w:proofErr w:type="spellEnd"/>
      <w:r w:rsidRPr="0061073A">
        <w:rPr>
          <w:sz w:val="24"/>
          <w:szCs w:val="24"/>
        </w:rPr>
        <w:t xml:space="preserve"> anvendes med forsigtighed hos patienter med koronararteriesygdom, </w:t>
      </w:r>
      <w:proofErr w:type="spellStart"/>
      <w:r w:rsidRPr="0061073A">
        <w:rPr>
          <w:sz w:val="24"/>
          <w:szCs w:val="24"/>
        </w:rPr>
        <w:t>kongestivt</w:t>
      </w:r>
      <w:proofErr w:type="spellEnd"/>
      <w:r w:rsidRPr="0061073A">
        <w:rPr>
          <w:sz w:val="24"/>
          <w:szCs w:val="24"/>
        </w:rPr>
        <w:t xml:space="preserve"> hjertesvigt, </w:t>
      </w:r>
      <w:proofErr w:type="spellStart"/>
      <w:r w:rsidRPr="0061073A">
        <w:rPr>
          <w:sz w:val="24"/>
          <w:szCs w:val="24"/>
        </w:rPr>
        <w:t>hjertearytmier</w:t>
      </w:r>
      <w:proofErr w:type="spellEnd"/>
      <w:r w:rsidRPr="0061073A">
        <w:rPr>
          <w:sz w:val="24"/>
          <w:szCs w:val="24"/>
        </w:rPr>
        <w:t xml:space="preserve"> og hypertension.</w:t>
      </w:r>
      <w:bookmarkEnd w:id="1"/>
    </w:p>
    <w:bookmarkEnd w:id="2"/>
    <w:p w:rsidR="0061073A" w:rsidRPr="0061073A" w:rsidRDefault="0061073A" w:rsidP="0061073A">
      <w:pPr>
        <w:tabs>
          <w:tab w:val="left" w:pos="851"/>
        </w:tabs>
        <w:ind w:left="851"/>
        <w:rPr>
          <w:sz w:val="24"/>
          <w:szCs w:val="24"/>
        </w:rPr>
      </w:pPr>
    </w:p>
    <w:p w:rsidR="0061073A" w:rsidRPr="0061073A" w:rsidRDefault="0061073A" w:rsidP="0061073A">
      <w:pPr>
        <w:tabs>
          <w:tab w:val="left" w:pos="851"/>
        </w:tabs>
        <w:ind w:left="851"/>
        <w:rPr>
          <w:sz w:val="24"/>
          <w:szCs w:val="24"/>
        </w:rPr>
      </w:pPr>
      <w:r w:rsidRPr="0061073A">
        <w:rPr>
          <w:sz w:val="24"/>
          <w:szCs w:val="24"/>
        </w:rPr>
        <w:t xml:space="preserve">Der er ikke udført studier hos patienter med dysfunktioner i blod-hjerne-barrieren (f.eks. traumatiske hjerneskader inden for det sidste år, kemoterapi, stråleterapi af hovedet, hjerne- eller kranieoperation eller intravenøse stofmisbrugere). </w:t>
      </w:r>
      <w:proofErr w:type="spellStart"/>
      <w:r w:rsidRPr="0061073A">
        <w:rPr>
          <w:sz w:val="24"/>
          <w:szCs w:val="24"/>
        </w:rPr>
        <w:t>Axhidrox</w:t>
      </w:r>
      <w:proofErr w:type="spellEnd"/>
      <w:r w:rsidRPr="0061073A">
        <w:rPr>
          <w:sz w:val="24"/>
          <w:szCs w:val="24"/>
        </w:rPr>
        <w:t xml:space="preserve"> bør kun anvendes af disse patienter, hvis andre behandlingsmuligheder ikke har tilstrækkelig virkning.</w:t>
      </w:r>
    </w:p>
    <w:p w:rsidR="0061073A" w:rsidRPr="0061073A" w:rsidRDefault="0061073A" w:rsidP="0061073A">
      <w:pPr>
        <w:tabs>
          <w:tab w:val="left" w:pos="851"/>
        </w:tabs>
        <w:ind w:left="851"/>
        <w:rPr>
          <w:sz w:val="24"/>
          <w:szCs w:val="24"/>
        </w:rPr>
      </w:pPr>
    </w:p>
    <w:p w:rsidR="0061073A" w:rsidRPr="0061073A" w:rsidRDefault="0061073A" w:rsidP="0061073A">
      <w:pPr>
        <w:tabs>
          <w:tab w:val="left" w:pos="851"/>
        </w:tabs>
        <w:ind w:left="851"/>
        <w:rPr>
          <w:sz w:val="24"/>
          <w:szCs w:val="24"/>
        </w:rPr>
      </w:pPr>
      <w:r w:rsidRPr="0061073A">
        <w:rPr>
          <w:sz w:val="24"/>
          <w:szCs w:val="24"/>
        </w:rPr>
        <w:t xml:space="preserve">Påføring af </w:t>
      </w:r>
      <w:proofErr w:type="spellStart"/>
      <w:r w:rsidRPr="0061073A">
        <w:rPr>
          <w:sz w:val="24"/>
          <w:szCs w:val="24"/>
        </w:rPr>
        <w:t>Axhidrox</w:t>
      </w:r>
      <w:proofErr w:type="spellEnd"/>
      <w:r w:rsidRPr="0061073A">
        <w:rPr>
          <w:sz w:val="24"/>
          <w:szCs w:val="24"/>
        </w:rPr>
        <w:t xml:space="preserve"> under armhulerne må kun foretages med låget på</w:t>
      </w:r>
      <w:r w:rsidR="00962CBC">
        <w:rPr>
          <w:sz w:val="24"/>
          <w:szCs w:val="24"/>
        </w:rPr>
        <w:t xml:space="preserve"> </w:t>
      </w:r>
      <w:r w:rsidRPr="0061073A">
        <w:rPr>
          <w:sz w:val="24"/>
          <w:szCs w:val="24"/>
        </w:rPr>
        <w:t xml:space="preserve">flerdosisbeholderen, og ikke med fingrene. </w:t>
      </w:r>
      <w:proofErr w:type="spellStart"/>
      <w:r w:rsidRPr="0061073A">
        <w:rPr>
          <w:sz w:val="24"/>
          <w:szCs w:val="24"/>
        </w:rPr>
        <w:t>Axhidrox</w:t>
      </w:r>
      <w:proofErr w:type="spellEnd"/>
      <w:r w:rsidRPr="0061073A">
        <w:rPr>
          <w:sz w:val="24"/>
          <w:szCs w:val="24"/>
        </w:rPr>
        <w:t xml:space="preserve"> må især ikke komme i øjnene (se pkt. 4.2), da </w:t>
      </w:r>
      <w:proofErr w:type="spellStart"/>
      <w:r w:rsidRPr="0061073A">
        <w:rPr>
          <w:sz w:val="24"/>
          <w:szCs w:val="24"/>
        </w:rPr>
        <w:t>glycopyrronium</w:t>
      </w:r>
      <w:proofErr w:type="spellEnd"/>
      <w:r w:rsidRPr="0061073A">
        <w:rPr>
          <w:sz w:val="24"/>
          <w:szCs w:val="24"/>
        </w:rPr>
        <w:t xml:space="preserve"> kan forårsage midlertidig udvidelse af pupillerne og sløret syn. I tilfælde af kontakt med munden eller næsen, kan en reduktion af spytproduktion eller næsesekretioner ikke udelukkes. Hvis øjnene, næsen eller munden kommer i kontakt med </w:t>
      </w:r>
      <w:r w:rsidRPr="0061073A">
        <w:rPr>
          <w:sz w:val="24"/>
          <w:szCs w:val="24"/>
        </w:rPr>
        <w:lastRenderedPageBreak/>
        <w:t>cremen, skal disse områder straks skylles med rigelige mængder vand for at nedsætte risikoen for lokale bivirkninger.</w:t>
      </w:r>
    </w:p>
    <w:p w:rsidR="0061073A" w:rsidRPr="0061073A" w:rsidRDefault="0061073A" w:rsidP="0061073A">
      <w:pPr>
        <w:tabs>
          <w:tab w:val="left" w:pos="851"/>
        </w:tabs>
        <w:ind w:left="851"/>
        <w:rPr>
          <w:iCs/>
          <w:sz w:val="24"/>
          <w:szCs w:val="24"/>
        </w:rPr>
      </w:pPr>
      <w:r w:rsidRPr="0061073A">
        <w:rPr>
          <w:sz w:val="24"/>
          <w:szCs w:val="24"/>
        </w:rPr>
        <w:t>For at udelukke bivirkninger skal kontakt undgås mellem det behandlede hudområde og andre hudområder, inklusive andre personers hud, f.eks. ved at dække det behandlede område med tøj (f.eks. under samleje).</w:t>
      </w:r>
    </w:p>
    <w:p w:rsidR="0061073A" w:rsidRPr="0061073A" w:rsidRDefault="0061073A" w:rsidP="0061073A">
      <w:pPr>
        <w:tabs>
          <w:tab w:val="left" w:pos="851"/>
        </w:tabs>
        <w:ind w:left="851"/>
        <w:rPr>
          <w:iCs/>
          <w:sz w:val="24"/>
          <w:szCs w:val="24"/>
        </w:rPr>
      </w:pPr>
    </w:p>
    <w:p w:rsidR="0061073A" w:rsidRPr="0061073A" w:rsidRDefault="0061073A" w:rsidP="0061073A">
      <w:pPr>
        <w:tabs>
          <w:tab w:val="left" w:pos="851"/>
        </w:tabs>
        <w:ind w:left="851"/>
        <w:rPr>
          <w:sz w:val="24"/>
          <w:szCs w:val="24"/>
        </w:rPr>
      </w:pPr>
      <w:r w:rsidRPr="0061073A">
        <w:rPr>
          <w:sz w:val="24"/>
          <w:szCs w:val="24"/>
        </w:rPr>
        <w:t xml:space="preserve">Hvis huden under armhulerne er synligt betændt eller skadet, kan det øge risikoen for lokale bivirkninger med </w:t>
      </w:r>
      <w:proofErr w:type="spellStart"/>
      <w:r w:rsidRPr="0061073A">
        <w:rPr>
          <w:sz w:val="24"/>
          <w:szCs w:val="24"/>
        </w:rPr>
        <w:t>Axhidrox</w:t>
      </w:r>
      <w:proofErr w:type="spellEnd"/>
      <w:r w:rsidRPr="0061073A">
        <w:rPr>
          <w:sz w:val="24"/>
          <w:szCs w:val="24"/>
        </w:rPr>
        <w:t xml:space="preserve">. </w:t>
      </w:r>
      <w:proofErr w:type="spellStart"/>
      <w:r w:rsidRPr="0061073A">
        <w:rPr>
          <w:sz w:val="24"/>
          <w:szCs w:val="24"/>
        </w:rPr>
        <w:t>Axhidrox</w:t>
      </w:r>
      <w:proofErr w:type="spellEnd"/>
      <w:r w:rsidRPr="0061073A">
        <w:rPr>
          <w:sz w:val="24"/>
          <w:szCs w:val="24"/>
        </w:rPr>
        <w:t xml:space="preserve"> bør derfor kun anvendes af disse patienter efter klinisk bedring eller remission af hudsymptomerne.</w:t>
      </w:r>
    </w:p>
    <w:p w:rsidR="0061073A" w:rsidRPr="0061073A" w:rsidRDefault="0061073A" w:rsidP="0061073A">
      <w:pPr>
        <w:tabs>
          <w:tab w:val="left" w:pos="851"/>
        </w:tabs>
        <w:ind w:left="851"/>
        <w:rPr>
          <w:sz w:val="24"/>
          <w:szCs w:val="24"/>
        </w:rPr>
      </w:pPr>
      <w:bookmarkStart w:id="3" w:name="_Hlk32412414"/>
    </w:p>
    <w:p w:rsidR="0061073A" w:rsidRPr="0061073A" w:rsidRDefault="0061073A" w:rsidP="0061073A">
      <w:pPr>
        <w:tabs>
          <w:tab w:val="left" w:pos="851"/>
        </w:tabs>
        <w:ind w:left="851"/>
        <w:rPr>
          <w:sz w:val="24"/>
          <w:szCs w:val="24"/>
        </w:rPr>
      </w:pPr>
      <w:r w:rsidRPr="0061073A">
        <w:rPr>
          <w:sz w:val="24"/>
          <w:szCs w:val="24"/>
        </w:rPr>
        <w:t xml:space="preserve">Da brugen af </w:t>
      </w:r>
      <w:proofErr w:type="spellStart"/>
      <w:r w:rsidRPr="0061073A">
        <w:rPr>
          <w:sz w:val="24"/>
          <w:szCs w:val="24"/>
        </w:rPr>
        <w:t>Axhidrox</w:t>
      </w:r>
      <w:proofErr w:type="spellEnd"/>
      <w:r w:rsidRPr="0061073A">
        <w:rPr>
          <w:sz w:val="24"/>
          <w:szCs w:val="24"/>
        </w:rPr>
        <w:t xml:space="preserve"> kan give mundtørhed (se pkt. 4.8), kan øget risiko for caries pga. nedsat spytdannelse ikke udelukkes. Omhyggelig tandhygiejne og regelmæssige tandlægebesøg anbefales derfor.</w:t>
      </w:r>
    </w:p>
    <w:p w:rsidR="0061073A" w:rsidRPr="0061073A" w:rsidRDefault="0061073A" w:rsidP="0061073A">
      <w:pPr>
        <w:tabs>
          <w:tab w:val="left" w:pos="851"/>
        </w:tabs>
        <w:ind w:left="851"/>
        <w:rPr>
          <w:sz w:val="24"/>
          <w:szCs w:val="24"/>
        </w:rPr>
      </w:pPr>
    </w:p>
    <w:p w:rsidR="0061073A" w:rsidRPr="0061073A" w:rsidRDefault="0061073A" w:rsidP="0061073A">
      <w:pPr>
        <w:tabs>
          <w:tab w:val="left" w:pos="851"/>
        </w:tabs>
        <w:ind w:left="851"/>
        <w:rPr>
          <w:sz w:val="24"/>
          <w:szCs w:val="24"/>
        </w:rPr>
      </w:pPr>
      <w:proofErr w:type="spellStart"/>
      <w:r w:rsidRPr="0061073A">
        <w:rPr>
          <w:sz w:val="24"/>
          <w:szCs w:val="24"/>
        </w:rPr>
        <w:t>Benzylalkohol</w:t>
      </w:r>
      <w:proofErr w:type="spellEnd"/>
      <w:r w:rsidRPr="0061073A">
        <w:rPr>
          <w:sz w:val="24"/>
          <w:szCs w:val="24"/>
        </w:rPr>
        <w:t xml:space="preserve"> kan medføre allergiske reaktioner og lette lokalirritationer. </w:t>
      </w:r>
      <w:proofErr w:type="spellStart"/>
      <w:r w:rsidRPr="0061073A">
        <w:rPr>
          <w:sz w:val="24"/>
          <w:szCs w:val="24"/>
        </w:rPr>
        <w:t>Cetostearylalkohol</w:t>
      </w:r>
      <w:proofErr w:type="spellEnd"/>
      <w:r w:rsidRPr="0061073A">
        <w:rPr>
          <w:sz w:val="24"/>
          <w:szCs w:val="24"/>
        </w:rPr>
        <w:t xml:space="preserve"> kan give lokalt hududslæt (f.eks. kontakteksem</w:t>
      </w:r>
      <w:bookmarkStart w:id="4" w:name="_Hlk32412458"/>
      <w:bookmarkEnd w:id="3"/>
      <w:r w:rsidRPr="0061073A">
        <w:rPr>
          <w:sz w:val="24"/>
          <w:szCs w:val="24"/>
        </w:rPr>
        <w:t>).</w:t>
      </w:r>
      <w:bookmarkEnd w:id="4"/>
    </w:p>
    <w:p w:rsidR="0061073A" w:rsidRPr="0061073A" w:rsidRDefault="0061073A" w:rsidP="0061073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133FE" w:rsidRPr="007133FE" w:rsidRDefault="007133FE" w:rsidP="007133FE">
      <w:pPr>
        <w:tabs>
          <w:tab w:val="left" w:pos="851"/>
        </w:tabs>
        <w:ind w:left="851"/>
        <w:rPr>
          <w:sz w:val="24"/>
          <w:szCs w:val="24"/>
        </w:rPr>
      </w:pPr>
      <w:bookmarkStart w:id="5" w:name="_Hlk32400372"/>
      <w:r w:rsidRPr="007133FE">
        <w:rPr>
          <w:sz w:val="24"/>
          <w:szCs w:val="24"/>
        </w:rPr>
        <w:t xml:space="preserve">Der er ikke udført interaktionsstudier. Samtidig administration af </w:t>
      </w:r>
      <w:proofErr w:type="spellStart"/>
      <w:r w:rsidRPr="007133FE">
        <w:rPr>
          <w:sz w:val="24"/>
          <w:szCs w:val="24"/>
        </w:rPr>
        <w:t>Axhidrox</w:t>
      </w:r>
      <w:proofErr w:type="spellEnd"/>
      <w:r w:rsidRPr="007133FE">
        <w:rPr>
          <w:sz w:val="24"/>
          <w:szCs w:val="24"/>
        </w:rPr>
        <w:t xml:space="preserve"> og andre </w:t>
      </w:r>
      <w:proofErr w:type="spellStart"/>
      <w:r w:rsidRPr="007133FE">
        <w:rPr>
          <w:sz w:val="24"/>
          <w:szCs w:val="24"/>
        </w:rPr>
        <w:t>antikolinerg</w:t>
      </w:r>
      <w:proofErr w:type="spellEnd"/>
      <w:r w:rsidRPr="007133FE">
        <w:rPr>
          <w:sz w:val="24"/>
          <w:szCs w:val="24"/>
        </w:rPr>
        <w:t>-virkende lægemidler er ikke undersøgt.</w:t>
      </w:r>
    </w:p>
    <w:p w:rsidR="007133FE" w:rsidRPr="007133FE" w:rsidRDefault="007133FE" w:rsidP="007133FE">
      <w:pPr>
        <w:tabs>
          <w:tab w:val="left" w:pos="851"/>
        </w:tabs>
        <w:ind w:left="851"/>
        <w:rPr>
          <w:sz w:val="24"/>
          <w:szCs w:val="24"/>
        </w:rPr>
      </w:pPr>
      <w:r w:rsidRPr="007133FE">
        <w:rPr>
          <w:sz w:val="24"/>
          <w:szCs w:val="24"/>
        </w:rPr>
        <w:t xml:space="preserve">Det kan ikke udelukkes, at samtidig anvendelse af disse produkter kan resultere i en stigning i </w:t>
      </w:r>
      <w:proofErr w:type="spellStart"/>
      <w:r w:rsidRPr="007133FE">
        <w:rPr>
          <w:sz w:val="24"/>
          <w:szCs w:val="24"/>
        </w:rPr>
        <w:t>antikolinerge</w:t>
      </w:r>
      <w:proofErr w:type="spellEnd"/>
      <w:r w:rsidRPr="007133FE">
        <w:rPr>
          <w:sz w:val="24"/>
          <w:szCs w:val="24"/>
        </w:rPr>
        <w:t xml:space="preserve"> virkninger. Dette gælder for eksempel brugen af </w:t>
      </w:r>
      <w:proofErr w:type="spellStart"/>
      <w:r w:rsidRPr="007133FE">
        <w:rPr>
          <w:sz w:val="24"/>
          <w:szCs w:val="24"/>
        </w:rPr>
        <w:t>topiramat</w:t>
      </w:r>
      <w:proofErr w:type="spellEnd"/>
      <w:r w:rsidRPr="007133FE">
        <w:rPr>
          <w:sz w:val="24"/>
          <w:szCs w:val="24"/>
        </w:rPr>
        <w:t xml:space="preserve">, sederende antihistaminer, tricykliske </w:t>
      </w:r>
      <w:proofErr w:type="spellStart"/>
      <w:r w:rsidRPr="007133FE">
        <w:rPr>
          <w:sz w:val="24"/>
          <w:szCs w:val="24"/>
        </w:rPr>
        <w:t>antidepressiva</w:t>
      </w:r>
      <w:proofErr w:type="spellEnd"/>
      <w:r w:rsidRPr="007133FE">
        <w:rPr>
          <w:sz w:val="24"/>
          <w:szCs w:val="24"/>
        </w:rPr>
        <w:t xml:space="preserve">, </w:t>
      </w:r>
      <w:proofErr w:type="spellStart"/>
      <w:r w:rsidRPr="007133FE">
        <w:rPr>
          <w:sz w:val="24"/>
          <w:szCs w:val="24"/>
        </w:rPr>
        <w:t>monoaminooxidase-hæmmere</w:t>
      </w:r>
      <w:proofErr w:type="spellEnd"/>
      <w:r w:rsidRPr="007133FE">
        <w:rPr>
          <w:sz w:val="24"/>
          <w:szCs w:val="24"/>
        </w:rPr>
        <w:t xml:space="preserve">, </w:t>
      </w:r>
      <w:proofErr w:type="spellStart"/>
      <w:r w:rsidRPr="007133FE">
        <w:rPr>
          <w:sz w:val="24"/>
          <w:szCs w:val="24"/>
        </w:rPr>
        <w:t>neuroleptika</w:t>
      </w:r>
      <w:proofErr w:type="spellEnd"/>
      <w:r w:rsidRPr="007133FE">
        <w:rPr>
          <w:sz w:val="24"/>
          <w:szCs w:val="24"/>
        </w:rPr>
        <w:t>, antipsykotika og opioider.</w:t>
      </w:r>
      <w:bookmarkEnd w:id="5"/>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F35C6D">
        <w:rPr>
          <w:b/>
          <w:sz w:val="24"/>
          <w:szCs w:val="24"/>
        </w:rPr>
        <w:t>Fertilitet, g</w:t>
      </w:r>
      <w:r w:rsidRPr="00C84483">
        <w:rPr>
          <w:b/>
          <w:sz w:val="24"/>
          <w:szCs w:val="24"/>
        </w:rPr>
        <w:t>raviditet og amning</w:t>
      </w:r>
    </w:p>
    <w:p w:rsidR="007133FE" w:rsidRDefault="007133FE" w:rsidP="007133FE">
      <w:pPr>
        <w:tabs>
          <w:tab w:val="left" w:pos="851"/>
        </w:tabs>
        <w:ind w:left="851"/>
        <w:rPr>
          <w:sz w:val="24"/>
          <w:szCs w:val="24"/>
          <w:u w:val="single"/>
        </w:rPr>
      </w:pPr>
    </w:p>
    <w:p w:rsidR="007133FE" w:rsidRPr="007133FE" w:rsidRDefault="007133FE" w:rsidP="007133FE">
      <w:pPr>
        <w:tabs>
          <w:tab w:val="left" w:pos="851"/>
        </w:tabs>
        <w:ind w:left="851"/>
        <w:rPr>
          <w:sz w:val="24"/>
          <w:szCs w:val="24"/>
          <w:u w:val="single"/>
        </w:rPr>
      </w:pPr>
      <w:r w:rsidRPr="007133FE">
        <w:rPr>
          <w:sz w:val="24"/>
          <w:szCs w:val="24"/>
          <w:u w:val="single"/>
        </w:rPr>
        <w:t>Graviditet</w:t>
      </w:r>
    </w:p>
    <w:p w:rsidR="007133FE" w:rsidRPr="007133FE" w:rsidRDefault="007133FE" w:rsidP="007133FE">
      <w:pPr>
        <w:tabs>
          <w:tab w:val="left" w:pos="851"/>
        </w:tabs>
        <w:ind w:left="851"/>
        <w:rPr>
          <w:sz w:val="24"/>
          <w:szCs w:val="24"/>
        </w:rPr>
      </w:pPr>
      <w:r w:rsidRPr="007133FE">
        <w:rPr>
          <w:sz w:val="24"/>
          <w:szCs w:val="24"/>
        </w:rPr>
        <w:t xml:space="preserve">Der er ingen eller begrænsede data fra anvendelse af </w:t>
      </w:r>
      <w:proofErr w:type="spellStart"/>
      <w:r w:rsidRPr="007133FE">
        <w:rPr>
          <w:sz w:val="24"/>
          <w:szCs w:val="24"/>
        </w:rPr>
        <w:t>glycopyrroniumbromid</w:t>
      </w:r>
      <w:proofErr w:type="spellEnd"/>
      <w:r w:rsidRPr="007133FE">
        <w:rPr>
          <w:sz w:val="24"/>
          <w:szCs w:val="24"/>
        </w:rPr>
        <w:t xml:space="preserve"> til gravide kvinder. Dyreforsøg har påvist reproduktionstoksicitet (se pkt. 5.3). Baseret på den lave systemiske eksponering efter </w:t>
      </w:r>
      <w:proofErr w:type="spellStart"/>
      <w:r w:rsidRPr="007133FE">
        <w:rPr>
          <w:sz w:val="24"/>
          <w:szCs w:val="24"/>
        </w:rPr>
        <w:t>dermal</w:t>
      </w:r>
      <w:proofErr w:type="spellEnd"/>
      <w:r w:rsidRPr="007133FE">
        <w:rPr>
          <w:sz w:val="24"/>
          <w:szCs w:val="24"/>
        </w:rPr>
        <w:t xml:space="preserve"> applikation af </w:t>
      </w:r>
      <w:proofErr w:type="spellStart"/>
      <w:r w:rsidRPr="007133FE">
        <w:rPr>
          <w:sz w:val="24"/>
          <w:szCs w:val="24"/>
        </w:rPr>
        <w:t>Axhidrox</w:t>
      </w:r>
      <w:proofErr w:type="spellEnd"/>
      <w:r w:rsidRPr="007133FE">
        <w:rPr>
          <w:sz w:val="24"/>
          <w:szCs w:val="24"/>
        </w:rPr>
        <w:t xml:space="preserve"> anses disse fund ikke for relevante for human </w:t>
      </w:r>
      <w:proofErr w:type="spellStart"/>
      <w:r w:rsidRPr="007133FE">
        <w:rPr>
          <w:sz w:val="24"/>
          <w:szCs w:val="24"/>
        </w:rPr>
        <w:t>dermal</w:t>
      </w:r>
      <w:proofErr w:type="spellEnd"/>
      <w:r w:rsidRPr="007133FE">
        <w:rPr>
          <w:sz w:val="24"/>
          <w:szCs w:val="24"/>
        </w:rPr>
        <w:t xml:space="preserve"> anvendelse ved den godkendte dosering. Hvis det er indiceret, kan anvendelse </w:t>
      </w:r>
      <w:proofErr w:type="spellStart"/>
      <w:r w:rsidRPr="007133FE">
        <w:rPr>
          <w:sz w:val="24"/>
          <w:szCs w:val="24"/>
        </w:rPr>
        <w:t>afAxhidrox</w:t>
      </w:r>
      <w:proofErr w:type="spellEnd"/>
      <w:r w:rsidRPr="007133FE">
        <w:rPr>
          <w:sz w:val="24"/>
          <w:szCs w:val="24"/>
        </w:rPr>
        <w:t xml:space="preserve"> overvejes under graviditeten.</w:t>
      </w:r>
    </w:p>
    <w:p w:rsidR="007133FE" w:rsidRPr="007133FE" w:rsidRDefault="007133FE" w:rsidP="007133FE">
      <w:pPr>
        <w:tabs>
          <w:tab w:val="left" w:pos="851"/>
        </w:tabs>
        <w:ind w:left="851"/>
        <w:rPr>
          <w:sz w:val="24"/>
          <w:szCs w:val="24"/>
          <w:u w:val="single"/>
        </w:rPr>
      </w:pPr>
    </w:p>
    <w:p w:rsidR="007133FE" w:rsidRPr="007133FE" w:rsidRDefault="007133FE" w:rsidP="007133FE">
      <w:pPr>
        <w:tabs>
          <w:tab w:val="left" w:pos="851"/>
        </w:tabs>
        <w:ind w:left="851"/>
        <w:rPr>
          <w:sz w:val="24"/>
          <w:szCs w:val="24"/>
          <w:u w:val="single"/>
        </w:rPr>
      </w:pPr>
      <w:r w:rsidRPr="007133FE">
        <w:rPr>
          <w:sz w:val="24"/>
          <w:szCs w:val="24"/>
          <w:u w:val="single"/>
        </w:rPr>
        <w:t>Amning</w:t>
      </w:r>
    </w:p>
    <w:p w:rsidR="007133FE" w:rsidRPr="007133FE" w:rsidRDefault="007133FE" w:rsidP="007133FE">
      <w:pPr>
        <w:tabs>
          <w:tab w:val="left" w:pos="851"/>
        </w:tabs>
        <w:ind w:left="851"/>
        <w:rPr>
          <w:sz w:val="24"/>
          <w:szCs w:val="24"/>
        </w:rPr>
      </w:pPr>
      <w:r w:rsidRPr="007133FE">
        <w:rPr>
          <w:sz w:val="24"/>
          <w:szCs w:val="24"/>
        </w:rPr>
        <w:t xml:space="preserve">Studier i diegivende rotter har påvist, at </w:t>
      </w:r>
      <w:proofErr w:type="spellStart"/>
      <w:r w:rsidRPr="007133FE">
        <w:rPr>
          <w:sz w:val="24"/>
          <w:szCs w:val="24"/>
        </w:rPr>
        <w:t>glycopyrronium</w:t>
      </w:r>
      <w:proofErr w:type="spellEnd"/>
      <w:r w:rsidRPr="007133FE">
        <w:rPr>
          <w:sz w:val="24"/>
          <w:szCs w:val="24"/>
        </w:rPr>
        <w:t xml:space="preserve"> og dets metabolitter udskilles og beriges i mælken efter intravenøs og oral applikation (for detaljer, se pkt. 5.3). </w:t>
      </w:r>
    </w:p>
    <w:p w:rsidR="007133FE" w:rsidRPr="007133FE" w:rsidRDefault="007133FE" w:rsidP="007133FE">
      <w:pPr>
        <w:tabs>
          <w:tab w:val="left" w:pos="851"/>
        </w:tabs>
        <w:ind w:left="851"/>
        <w:rPr>
          <w:sz w:val="24"/>
          <w:szCs w:val="24"/>
        </w:rPr>
      </w:pPr>
      <w:r w:rsidRPr="007133FE">
        <w:rPr>
          <w:sz w:val="24"/>
          <w:szCs w:val="24"/>
        </w:rPr>
        <w:t xml:space="preserve">Undgå at barnet får kontakt med cremen eller huden, der er behandlet med </w:t>
      </w:r>
      <w:proofErr w:type="spellStart"/>
      <w:r w:rsidRPr="007133FE">
        <w:rPr>
          <w:sz w:val="24"/>
          <w:szCs w:val="24"/>
        </w:rPr>
        <w:t>Axhidrox</w:t>
      </w:r>
      <w:proofErr w:type="spellEnd"/>
      <w:r w:rsidRPr="007133FE">
        <w:rPr>
          <w:sz w:val="24"/>
          <w:szCs w:val="24"/>
        </w:rPr>
        <w:t xml:space="preserve">, under amning. Derfor skal det besluttes, om amning skal stoppes eller behandling med </w:t>
      </w:r>
      <w:proofErr w:type="spellStart"/>
      <w:r w:rsidRPr="007133FE">
        <w:rPr>
          <w:sz w:val="24"/>
          <w:szCs w:val="24"/>
        </w:rPr>
        <w:t>Axhidrox</w:t>
      </w:r>
      <w:proofErr w:type="spellEnd"/>
      <w:r w:rsidRPr="007133FE">
        <w:rPr>
          <w:sz w:val="24"/>
          <w:szCs w:val="24"/>
        </w:rPr>
        <w:t xml:space="preserve"> skal ophøre med overvejelse af fordelen ved amning for barnet og fordelen ved behandling for kvinden. </w:t>
      </w:r>
    </w:p>
    <w:p w:rsidR="007133FE" w:rsidRPr="007133FE" w:rsidRDefault="007133FE" w:rsidP="007133FE">
      <w:pPr>
        <w:tabs>
          <w:tab w:val="left" w:pos="851"/>
        </w:tabs>
        <w:ind w:left="851"/>
        <w:rPr>
          <w:sz w:val="24"/>
          <w:szCs w:val="24"/>
        </w:rPr>
      </w:pPr>
    </w:p>
    <w:p w:rsidR="007133FE" w:rsidRPr="007133FE" w:rsidRDefault="007133FE" w:rsidP="007133FE">
      <w:pPr>
        <w:tabs>
          <w:tab w:val="left" w:pos="851"/>
        </w:tabs>
        <w:ind w:left="851"/>
        <w:rPr>
          <w:sz w:val="24"/>
          <w:szCs w:val="24"/>
          <w:u w:val="single"/>
        </w:rPr>
      </w:pPr>
      <w:r w:rsidRPr="007133FE">
        <w:rPr>
          <w:sz w:val="24"/>
          <w:szCs w:val="24"/>
          <w:u w:val="single"/>
        </w:rPr>
        <w:t>Fertilitet</w:t>
      </w:r>
    </w:p>
    <w:p w:rsidR="007133FE" w:rsidRPr="007133FE" w:rsidRDefault="007133FE" w:rsidP="007133FE">
      <w:pPr>
        <w:tabs>
          <w:tab w:val="left" w:pos="851"/>
        </w:tabs>
        <w:ind w:left="851"/>
        <w:rPr>
          <w:sz w:val="24"/>
          <w:szCs w:val="24"/>
        </w:rPr>
      </w:pPr>
      <w:r w:rsidRPr="007133FE">
        <w:rPr>
          <w:sz w:val="24"/>
          <w:szCs w:val="24"/>
        </w:rPr>
        <w:t xml:space="preserve">Der foreligger ingen data om virkningen af </w:t>
      </w:r>
      <w:proofErr w:type="spellStart"/>
      <w:r w:rsidRPr="007133FE">
        <w:rPr>
          <w:sz w:val="24"/>
          <w:szCs w:val="24"/>
        </w:rPr>
        <w:t>glycopyrronium</w:t>
      </w:r>
      <w:proofErr w:type="spellEnd"/>
      <w:r w:rsidRPr="007133FE">
        <w:rPr>
          <w:sz w:val="24"/>
          <w:szCs w:val="24"/>
        </w:rPr>
        <w:t xml:space="preserve"> på human fertilitet. Dyreforsøg har påvist nedsat fertilitet hos hunner ved eksponeringer, der anses for at overstige den maksimale humane eksponering, hvilket indikerer lav klinisk relevans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F35C6D">
        <w:rPr>
          <w:b/>
          <w:sz w:val="24"/>
          <w:szCs w:val="24"/>
        </w:rPr>
        <w:t>og</w:t>
      </w:r>
      <w:r w:rsidRPr="00C84483">
        <w:rPr>
          <w:b/>
          <w:sz w:val="24"/>
          <w:szCs w:val="24"/>
        </w:rPr>
        <w:t xml:space="preserve"> betjene maskiner</w:t>
      </w:r>
    </w:p>
    <w:p w:rsidR="005F68C9" w:rsidRPr="005F68C9" w:rsidRDefault="005F68C9" w:rsidP="005F68C9">
      <w:pPr>
        <w:tabs>
          <w:tab w:val="left" w:pos="851"/>
        </w:tabs>
        <w:ind w:left="851"/>
        <w:rPr>
          <w:sz w:val="24"/>
          <w:szCs w:val="24"/>
        </w:rPr>
      </w:pPr>
      <w:r w:rsidRPr="005F68C9">
        <w:rPr>
          <w:sz w:val="24"/>
          <w:szCs w:val="24"/>
        </w:rPr>
        <w:t>Ikke mærkning.</w:t>
      </w:r>
    </w:p>
    <w:p w:rsidR="005F68C9" w:rsidRPr="005F68C9" w:rsidRDefault="005F68C9" w:rsidP="005F68C9">
      <w:pPr>
        <w:tabs>
          <w:tab w:val="left" w:pos="851"/>
        </w:tabs>
        <w:ind w:left="851"/>
        <w:rPr>
          <w:sz w:val="24"/>
          <w:szCs w:val="24"/>
        </w:rPr>
      </w:pPr>
      <w:proofErr w:type="spellStart"/>
      <w:r w:rsidRPr="005F68C9">
        <w:rPr>
          <w:sz w:val="24"/>
          <w:szCs w:val="24"/>
        </w:rPr>
        <w:lastRenderedPageBreak/>
        <w:t>Axhidrox</w:t>
      </w:r>
      <w:proofErr w:type="spellEnd"/>
      <w:r w:rsidRPr="005F68C9">
        <w:rPr>
          <w:sz w:val="24"/>
          <w:szCs w:val="24"/>
        </w:rPr>
        <w:t xml:space="preserve"> påvirker i moderat grad evnen til at føre motorkøretøj og betjene maskiner. Sløret syn, træthed og svimmelhed kan forekomme efter administration af </w:t>
      </w:r>
      <w:proofErr w:type="spellStart"/>
      <w:r w:rsidRPr="005F68C9">
        <w:rPr>
          <w:sz w:val="24"/>
          <w:szCs w:val="24"/>
        </w:rPr>
        <w:t>Axhidrox</w:t>
      </w:r>
      <w:proofErr w:type="spellEnd"/>
      <w:r w:rsidRPr="005F68C9">
        <w:rPr>
          <w:sz w:val="24"/>
          <w:szCs w:val="24"/>
        </w:rPr>
        <w:t xml:space="preserve"> (se pkt. 4.8). Sløret syn kan især forekomme, hvis </w:t>
      </w:r>
      <w:proofErr w:type="spellStart"/>
      <w:r w:rsidRPr="005F68C9">
        <w:rPr>
          <w:sz w:val="24"/>
          <w:szCs w:val="24"/>
        </w:rPr>
        <w:t>Axhidrox</w:t>
      </w:r>
      <w:proofErr w:type="spellEnd"/>
      <w:r w:rsidRPr="005F68C9">
        <w:rPr>
          <w:sz w:val="24"/>
          <w:szCs w:val="24"/>
        </w:rPr>
        <w:t xml:space="preserve"> kommer i øjnene (se pkt. 4.4).</w:t>
      </w:r>
    </w:p>
    <w:p w:rsidR="009260DE" w:rsidRPr="00C84483" w:rsidRDefault="009260DE" w:rsidP="009260DE">
      <w:pPr>
        <w:tabs>
          <w:tab w:val="left" w:pos="851"/>
        </w:tabs>
        <w:ind w:left="851"/>
        <w:rPr>
          <w:sz w:val="24"/>
          <w:szCs w:val="24"/>
        </w:rPr>
      </w:pPr>
    </w:p>
    <w:p w:rsidR="009260DE"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C15009" w:rsidRPr="00C15009" w:rsidRDefault="00C15009" w:rsidP="00C15009">
      <w:pPr>
        <w:tabs>
          <w:tab w:val="left" w:pos="851"/>
        </w:tabs>
        <w:ind w:left="851"/>
        <w:rPr>
          <w:sz w:val="24"/>
          <w:szCs w:val="24"/>
        </w:rPr>
      </w:pPr>
    </w:p>
    <w:p w:rsidR="001863A3" w:rsidRPr="001863A3" w:rsidRDefault="001863A3" w:rsidP="001863A3">
      <w:pPr>
        <w:tabs>
          <w:tab w:val="left" w:pos="851"/>
        </w:tabs>
        <w:ind w:left="851"/>
        <w:rPr>
          <w:sz w:val="24"/>
          <w:szCs w:val="24"/>
          <w:u w:val="single"/>
        </w:rPr>
      </w:pPr>
      <w:r w:rsidRPr="001863A3">
        <w:rPr>
          <w:sz w:val="24"/>
          <w:szCs w:val="24"/>
          <w:u w:val="single"/>
        </w:rPr>
        <w:t>Oversigt over sikkerhedsprofilen</w:t>
      </w:r>
    </w:p>
    <w:p w:rsidR="000B5EF7" w:rsidRPr="001863A3" w:rsidRDefault="000B5EF7" w:rsidP="000B5EF7">
      <w:pPr>
        <w:tabs>
          <w:tab w:val="left" w:pos="851"/>
        </w:tabs>
        <w:ind w:left="851"/>
        <w:rPr>
          <w:sz w:val="24"/>
          <w:szCs w:val="24"/>
          <w:u w:val="single"/>
        </w:rPr>
      </w:pPr>
    </w:p>
    <w:p w:rsidR="000B5EF7" w:rsidRPr="001863A3" w:rsidRDefault="000B5EF7" w:rsidP="000B5EF7">
      <w:pPr>
        <w:tabs>
          <w:tab w:val="left" w:pos="851"/>
        </w:tabs>
        <w:ind w:left="851"/>
        <w:rPr>
          <w:sz w:val="24"/>
          <w:szCs w:val="24"/>
        </w:rPr>
      </w:pPr>
      <w:r w:rsidRPr="001863A3">
        <w:rPr>
          <w:sz w:val="24"/>
          <w:szCs w:val="24"/>
        </w:rPr>
        <w:t xml:space="preserve">Den mest almindelige bivirkning (&gt; 1 %) var reaktioner på applikationsstedet (15,3 %), mundtørhed (12,3 %), tørre øjne (3,3 %), hovedpine (1,3 %), tør hud (1,3 %), næsetørhed (1,5 %) og obstipation (1,3 %) og sløret syn (1,1%). Mundtørhed havde faldende tendens ved længerevarende brug, men for alle andre </w:t>
      </w:r>
      <w:proofErr w:type="spellStart"/>
      <w:r w:rsidRPr="001863A3">
        <w:rPr>
          <w:sz w:val="24"/>
          <w:szCs w:val="24"/>
        </w:rPr>
        <w:t>bivirkn</w:t>
      </w:r>
      <w:proofErr w:type="spellEnd"/>
      <w:r w:rsidRPr="001863A3">
        <w:rPr>
          <w:sz w:val="24"/>
          <w:szCs w:val="24"/>
        </w:rPr>
        <w:t xml:space="preserve"> </w:t>
      </w:r>
      <w:proofErr w:type="spellStart"/>
      <w:r w:rsidRPr="001863A3">
        <w:rPr>
          <w:sz w:val="24"/>
          <w:szCs w:val="24"/>
        </w:rPr>
        <w:t>inger</w:t>
      </w:r>
      <w:proofErr w:type="spellEnd"/>
      <w:r w:rsidRPr="001863A3">
        <w:rPr>
          <w:sz w:val="24"/>
          <w:szCs w:val="24"/>
        </w:rPr>
        <w:t xml:space="preserve"> var typen og hyppigheden tilsvarende ved anvendelse af </w:t>
      </w:r>
      <w:proofErr w:type="spellStart"/>
      <w:r w:rsidRPr="001863A3">
        <w:rPr>
          <w:sz w:val="24"/>
          <w:szCs w:val="24"/>
        </w:rPr>
        <w:t>Axhidrox</w:t>
      </w:r>
      <w:proofErr w:type="spellEnd"/>
      <w:r w:rsidRPr="001863A3">
        <w:rPr>
          <w:sz w:val="24"/>
          <w:szCs w:val="24"/>
        </w:rPr>
        <w:t xml:space="preserve"> i 4 uger såvel som i 28, 52 eller 72 uger. Der var ingen evidens for, at bivirkninger havde tendens til at blive værre i sværhedsgrad over en længere behandlingsvarighed.</w:t>
      </w:r>
    </w:p>
    <w:p w:rsidR="000B5EF7" w:rsidRPr="001863A3" w:rsidRDefault="000B5EF7" w:rsidP="000B5EF7">
      <w:pPr>
        <w:tabs>
          <w:tab w:val="left" w:pos="851"/>
        </w:tabs>
        <w:ind w:left="851"/>
        <w:rPr>
          <w:sz w:val="24"/>
          <w:szCs w:val="24"/>
          <w:u w:val="single"/>
        </w:rPr>
      </w:pPr>
    </w:p>
    <w:p w:rsidR="000B5EF7" w:rsidRPr="001863A3" w:rsidRDefault="000B5EF7" w:rsidP="000B5EF7">
      <w:pPr>
        <w:tabs>
          <w:tab w:val="left" w:pos="851"/>
        </w:tabs>
        <w:ind w:left="851"/>
        <w:rPr>
          <w:sz w:val="24"/>
          <w:szCs w:val="24"/>
          <w:u w:val="single"/>
        </w:rPr>
      </w:pPr>
      <w:r w:rsidRPr="001863A3">
        <w:rPr>
          <w:sz w:val="24"/>
          <w:szCs w:val="24"/>
          <w:u w:val="single"/>
        </w:rPr>
        <w:t>Bivirkninger opstillet i tabelform</w:t>
      </w:r>
    </w:p>
    <w:p w:rsidR="000B5EF7" w:rsidRPr="001863A3" w:rsidRDefault="000B5EF7" w:rsidP="000B5EF7">
      <w:pPr>
        <w:tabs>
          <w:tab w:val="left" w:pos="851"/>
        </w:tabs>
        <w:ind w:left="851"/>
        <w:rPr>
          <w:sz w:val="24"/>
          <w:szCs w:val="24"/>
          <w:u w:val="single"/>
        </w:rPr>
      </w:pPr>
    </w:p>
    <w:p w:rsidR="000B5EF7" w:rsidRPr="001863A3" w:rsidRDefault="000B5EF7" w:rsidP="000B5EF7">
      <w:pPr>
        <w:tabs>
          <w:tab w:val="left" w:pos="851"/>
        </w:tabs>
        <w:ind w:left="851"/>
        <w:rPr>
          <w:sz w:val="24"/>
          <w:szCs w:val="24"/>
        </w:rPr>
      </w:pPr>
      <w:r w:rsidRPr="001863A3">
        <w:rPr>
          <w:sz w:val="24"/>
          <w:szCs w:val="24"/>
        </w:rPr>
        <w:t xml:space="preserve">Bivirkninger hos patienter, der bruger </w:t>
      </w:r>
      <w:proofErr w:type="spellStart"/>
      <w:r w:rsidRPr="001863A3">
        <w:rPr>
          <w:sz w:val="24"/>
          <w:szCs w:val="24"/>
        </w:rPr>
        <w:t>Axhidrox</w:t>
      </w:r>
      <w:proofErr w:type="spellEnd"/>
      <w:r w:rsidRPr="001863A3">
        <w:rPr>
          <w:sz w:val="24"/>
          <w:szCs w:val="24"/>
        </w:rPr>
        <w:t xml:space="preserve"> i op til 72 uger er anført efter systemorganklasse i henhold til </w:t>
      </w:r>
      <w:proofErr w:type="spellStart"/>
      <w:r w:rsidRPr="001863A3">
        <w:rPr>
          <w:sz w:val="24"/>
          <w:szCs w:val="24"/>
        </w:rPr>
        <w:t>MedDRA</w:t>
      </w:r>
      <w:proofErr w:type="spellEnd"/>
      <w:r w:rsidRPr="001863A3">
        <w:rPr>
          <w:sz w:val="24"/>
          <w:szCs w:val="24"/>
        </w:rPr>
        <w:t xml:space="preserve"> (tabel 1). Tabellen omfatter også data fra et 14 dages studie med hhv. 0,5 %, 1 % og 2 % </w:t>
      </w:r>
      <w:proofErr w:type="spellStart"/>
      <w:r w:rsidRPr="001863A3">
        <w:rPr>
          <w:sz w:val="24"/>
          <w:szCs w:val="24"/>
        </w:rPr>
        <w:t>glycopyrroniumbromid</w:t>
      </w:r>
      <w:proofErr w:type="spellEnd"/>
      <w:r w:rsidRPr="001863A3">
        <w:rPr>
          <w:sz w:val="24"/>
          <w:szCs w:val="24"/>
        </w:rPr>
        <w:t xml:space="preserve"> (GPB)-creme.</w:t>
      </w:r>
    </w:p>
    <w:p w:rsidR="000B5EF7" w:rsidRPr="001863A3" w:rsidRDefault="000B5EF7" w:rsidP="000B5EF7">
      <w:pPr>
        <w:tabs>
          <w:tab w:val="left" w:pos="851"/>
        </w:tabs>
        <w:ind w:left="851"/>
        <w:rPr>
          <w:sz w:val="24"/>
          <w:szCs w:val="24"/>
        </w:rPr>
      </w:pPr>
    </w:p>
    <w:p w:rsidR="000B5EF7" w:rsidRPr="00B9638B" w:rsidRDefault="000B5EF7" w:rsidP="000B5EF7">
      <w:pPr>
        <w:ind w:left="851"/>
      </w:pPr>
      <w:r w:rsidRPr="00B9638B">
        <w:t>Bivirkningerne er anført efter hyppighed inden for de enkelte systemorganklasser. Bivirkningerne er inden for hver enkelt hyppighedsgruppe opstillet i faldende orden efter sværhedsgrad. Hyppigheden af bivirkninger defineres på følgende måde: Meget almindelig (≥ 1/10), almindelig (≥ 1/100 til &lt; 1/10), ikke almindelig (≥ 1/1.000 til &lt; 1/100), sjælden (≥ 1/10.000 til &lt; 1/1.000), meget sjælden (&lt; 1/10.000) og ikke kendt (kan ikke estimeres ud fra forhåndenværende data).</w:t>
      </w:r>
    </w:p>
    <w:p w:rsidR="000B5EF7" w:rsidRPr="00B9638B" w:rsidRDefault="000B5EF7" w:rsidP="000B5EF7">
      <w:pPr>
        <w:ind w:left="851"/>
      </w:pPr>
    </w:p>
    <w:p w:rsidR="000B5EF7" w:rsidRPr="00B9638B" w:rsidRDefault="000B5EF7" w:rsidP="000B5EF7">
      <w:pPr>
        <w:keepNext/>
        <w:ind w:left="851"/>
      </w:pPr>
      <w:r w:rsidRPr="00B9638B">
        <w:rPr>
          <w:b/>
        </w:rPr>
        <w:t>Tabel 1: Bivirkninger</w:t>
      </w:r>
    </w:p>
    <w:tbl>
      <w:tblPr>
        <w:tblW w:w="9836"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2"/>
        <w:gridCol w:w="1252"/>
        <w:gridCol w:w="2119"/>
        <w:gridCol w:w="2872"/>
        <w:gridCol w:w="1511"/>
      </w:tblGrid>
      <w:tr w:rsidR="000B5EF7" w:rsidRPr="00B9638B" w:rsidTr="00133BEC">
        <w:trPr>
          <w:tblHeader/>
        </w:trPr>
        <w:tc>
          <w:tcPr>
            <w:tcW w:w="2082" w:type="dxa"/>
          </w:tcPr>
          <w:p w:rsidR="000B5EF7" w:rsidRPr="00B9638B" w:rsidRDefault="000B5EF7" w:rsidP="00133BEC">
            <w:pPr>
              <w:keepNext/>
              <w:rPr>
                <w:b/>
                <w:szCs w:val="22"/>
              </w:rPr>
            </w:pPr>
            <w:r w:rsidRPr="00B9638B">
              <w:rPr>
                <w:b/>
              </w:rPr>
              <w:t>Systemorganklasse</w:t>
            </w:r>
          </w:p>
        </w:tc>
        <w:tc>
          <w:tcPr>
            <w:tcW w:w="1252" w:type="dxa"/>
          </w:tcPr>
          <w:p w:rsidR="000B5EF7" w:rsidRPr="00B9638B" w:rsidRDefault="000B5EF7" w:rsidP="00133BEC">
            <w:pPr>
              <w:keepNext/>
              <w:jc w:val="center"/>
              <w:rPr>
                <w:b/>
                <w:bCs/>
                <w:szCs w:val="22"/>
              </w:rPr>
            </w:pPr>
            <w:r w:rsidRPr="00B9638B">
              <w:rPr>
                <w:b/>
              </w:rPr>
              <w:t>Meget almindelig</w:t>
            </w:r>
            <w:r w:rsidRPr="00B9638B">
              <w:rPr>
                <w:b/>
                <w:sz w:val="20"/>
              </w:rPr>
              <w:br/>
            </w:r>
            <w:r w:rsidRPr="00B9638B">
              <w:rPr>
                <w:b/>
              </w:rPr>
              <w:t>(≥ 1/10)</w:t>
            </w:r>
          </w:p>
        </w:tc>
        <w:tc>
          <w:tcPr>
            <w:tcW w:w="2119" w:type="dxa"/>
          </w:tcPr>
          <w:p w:rsidR="000B5EF7" w:rsidRPr="00B9638B" w:rsidRDefault="000B5EF7" w:rsidP="00133BEC">
            <w:pPr>
              <w:keepNext/>
              <w:jc w:val="center"/>
              <w:rPr>
                <w:b/>
                <w:bCs/>
                <w:szCs w:val="22"/>
              </w:rPr>
            </w:pPr>
            <w:r w:rsidRPr="00B9638B">
              <w:rPr>
                <w:b/>
              </w:rPr>
              <w:t>Almindelig</w:t>
            </w:r>
            <w:r w:rsidRPr="00B9638B">
              <w:rPr>
                <w:b/>
                <w:sz w:val="20"/>
              </w:rPr>
              <w:br/>
            </w:r>
            <w:r w:rsidRPr="00B9638B">
              <w:rPr>
                <w:b/>
              </w:rPr>
              <w:t>(≥ 1/100 til &lt; 1/10)</w:t>
            </w:r>
          </w:p>
        </w:tc>
        <w:tc>
          <w:tcPr>
            <w:tcW w:w="2872" w:type="dxa"/>
          </w:tcPr>
          <w:p w:rsidR="000B5EF7" w:rsidRPr="00B9638B" w:rsidRDefault="000B5EF7" w:rsidP="00133BEC">
            <w:pPr>
              <w:keepNext/>
              <w:jc w:val="center"/>
              <w:rPr>
                <w:b/>
                <w:bCs/>
                <w:szCs w:val="22"/>
              </w:rPr>
            </w:pPr>
            <w:r w:rsidRPr="00B9638B">
              <w:rPr>
                <w:b/>
              </w:rPr>
              <w:t>Ikke almindelig</w:t>
            </w:r>
            <w:r w:rsidRPr="00B9638B">
              <w:rPr>
                <w:b/>
                <w:sz w:val="20"/>
              </w:rPr>
              <w:br/>
            </w:r>
            <w:r w:rsidRPr="00B9638B">
              <w:rPr>
                <w:b/>
              </w:rPr>
              <w:t>(≥ 1/1.000 til &lt; 1/100)</w:t>
            </w:r>
          </w:p>
        </w:tc>
        <w:tc>
          <w:tcPr>
            <w:tcW w:w="1511" w:type="dxa"/>
            <w:tcBorders>
              <w:top w:val="single" w:sz="4" w:space="0" w:color="auto"/>
              <w:left w:val="single" w:sz="4" w:space="0" w:color="auto"/>
              <w:bottom w:val="single" w:sz="4" w:space="0" w:color="auto"/>
              <w:right w:val="single" w:sz="4" w:space="0" w:color="auto"/>
            </w:tcBorders>
          </w:tcPr>
          <w:p w:rsidR="000B5EF7" w:rsidRPr="00B9638B" w:rsidRDefault="000B5EF7" w:rsidP="00133BEC">
            <w:pPr>
              <w:keepNext/>
              <w:jc w:val="center"/>
              <w:rPr>
                <w:b/>
              </w:rPr>
            </w:pPr>
            <w:r w:rsidRPr="00B9638B">
              <w:rPr>
                <w:b/>
              </w:rPr>
              <w:t>Ikke kendt</w:t>
            </w:r>
          </w:p>
        </w:tc>
      </w:tr>
      <w:tr w:rsidR="000B5EF7" w:rsidRPr="000536C7" w:rsidTr="00133BEC">
        <w:tc>
          <w:tcPr>
            <w:tcW w:w="2082" w:type="dxa"/>
          </w:tcPr>
          <w:p w:rsidR="000B5EF7" w:rsidRPr="00B9638B" w:rsidRDefault="000B5EF7" w:rsidP="00133BEC">
            <w:pPr>
              <w:keepNext/>
              <w:rPr>
                <w:b/>
                <w:szCs w:val="22"/>
              </w:rPr>
            </w:pPr>
            <w:r w:rsidRPr="00B9638B">
              <w:rPr>
                <w:b/>
                <w:sz w:val="20"/>
              </w:rPr>
              <w:t>Mave-tarm-kanalen</w:t>
            </w:r>
          </w:p>
        </w:tc>
        <w:tc>
          <w:tcPr>
            <w:tcW w:w="1252" w:type="dxa"/>
          </w:tcPr>
          <w:p w:rsidR="000B5EF7" w:rsidRPr="00B9638B" w:rsidRDefault="000B5EF7" w:rsidP="00133BEC">
            <w:pPr>
              <w:keepNext/>
              <w:rPr>
                <w:sz w:val="20"/>
              </w:rPr>
            </w:pPr>
            <w:r w:rsidRPr="00B9638B">
              <w:rPr>
                <w:sz w:val="20"/>
              </w:rPr>
              <w:t>Mundtørhed</w:t>
            </w:r>
          </w:p>
        </w:tc>
        <w:tc>
          <w:tcPr>
            <w:tcW w:w="2119" w:type="dxa"/>
          </w:tcPr>
          <w:p w:rsidR="000B5EF7" w:rsidRPr="00B9638B" w:rsidRDefault="000B5EF7" w:rsidP="00133BEC">
            <w:pPr>
              <w:keepNext/>
              <w:rPr>
                <w:sz w:val="20"/>
              </w:rPr>
            </w:pPr>
            <w:r w:rsidRPr="00B9638B">
              <w:rPr>
                <w:sz w:val="20"/>
              </w:rPr>
              <w:t>Forstoppelse</w:t>
            </w:r>
          </w:p>
        </w:tc>
        <w:tc>
          <w:tcPr>
            <w:tcW w:w="2872" w:type="dxa"/>
          </w:tcPr>
          <w:p w:rsidR="000B5EF7" w:rsidRPr="00B9638B" w:rsidRDefault="000B5EF7" w:rsidP="00133BEC">
            <w:pPr>
              <w:keepNext/>
              <w:rPr>
                <w:sz w:val="20"/>
              </w:rPr>
            </w:pPr>
            <w:r w:rsidRPr="00B9638B">
              <w:rPr>
                <w:sz w:val="20"/>
              </w:rPr>
              <w:t xml:space="preserve">Tørre læber, </w:t>
            </w:r>
            <w:proofErr w:type="spellStart"/>
            <w:r w:rsidRPr="00B9638B">
              <w:rPr>
                <w:sz w:val="20"/>
              </w:rPr>
              <w:t>abdominal</w:t>
            </w:r>
            <w:proofErr w:type="spellEnd"/>
            <w:r w:rsidRPr="00B9638B">
              <w:rPr>
                <w:sz w:val="20"/>
              </w:rPr>
              <w:t xml:space="preserve"> udspiling, hård afføring, </w:t>
            </w:r>
            <w:proofErr w:type="spellStart"/>
            <w:r w:rsidRPr="007B6871">
              <w:rPr>
                <w:sz w:val="20"/>
              </w:rPr>
              <w:t>aptyalisme</w:t>
            </w:r>
            <w:proofErr w:type="spellEnd"/>
            <w:r w:rsidRPr="00B9638B">
              <w:rPr>
                <w:sz w:val="20"/>
              </w:rPr>
              <w:t>, dyspepsi, kvalme</w:t>
            </w:r>
          </w:p>
        </w:tc>
        <w:tc>
          <w:tcPr>
            <w:tcW w:w="1511" w:type="dxa"/>
          </w:tcPr>
          <w:p w:rsidR="000B5EF7" w:rsidRPr="00B9638B" w:rsidRDefault="000B5EF7" w:rsidP="00133BEC">
            <w:pPr>
              <w:keepNext/>
              <w:rPr>
                <w:sz w:val="20"/>
              </w:rPr>
            </w:pPr>
          </w:p>
        </w:tc>
      </w:tr>
      <w:tr w:rsidR="000B5EF7" w:rsidRPr="000536C7" w:rsidTr="00133BEC">
        <w:tc>
          <w:tcPr>
            <w:tcW w:w="2082" w:type="dxa"/>
          </w:tcPr>
          <w:p w:rsidR="000B5EF7" w:rsidRPr="00B9638B" w:rsidRDefault="000B5EF7" w:rsidP="00133BEC">
            <w:pPr>
              <w:keepNext/>
              <w:rPr>
                <w:b/>
                <w:sz w:val="20"/>
              </w:rPr>
            </w:pPr>
            <w:r w:rsidRPr="00B9638B">
              <w:rPr>
                <w:b/>
                <w:sz w:val="20"/>
              </w:rPr>
              <w:t>Øjne</w:t>
            </w:r>
          </w:p>
        </w:tc>
        <w:tc>
          <w:tcPr>
            <w:tcW w:w="1252" w:type="dxa"/>
          </w:tcPr>
          <w:p w:rsidR="000B5EF7" w:rsidRPr="00B9638B" w:rsidRDefault="000B5EF7" w:rsidP="00133BEC">
            <w:pPr>
              <w:keepNext/>
              <w:rPr>
                <w:sz w:val="20"/>
                <w:lang w:eastAsia="de-DE"/>
              </w:rPr>
            </w:pPr>
          </w:p>
        </w:tc>
        <w:tc>
          <w:tcPr>
            <w:tcW w:w="2119" w:type="dxa"/>
          </w:tcPr>
          <w:p w:rsidR="000B5EF7" w:rsidRPr="00B9638B" w:rsidRDefault="000B5EF7" w:rsidP="00133BEC">
            <w:pPr>
              <w:keepNext/>
              <w:rPr>
                <w:sz w:val="20"/>
              </w:rPr>
            </w:pPr>
            <w:r w:rsidRPr="00B9638B">
              <w:rPr>
                <w:sz w:val="20"/>
              </w:rPr>
              <w:t xml:space="preserve">Tørre øjne, </w:t>
            </w:r>
            <w:r>
              <w:rPr>
                <w:sz w:val="20"/>
              </w:rPr>
              <w:t>sløret syn</w:t>
            </w:r>
          </w:p>
        </w:tc>
        <w:tc>
          <w:tcPr>
            <w:tcW w:w="2872" w:type="dxa"/>
          </w:tcPr>
          <w:p w:rsidR="000B5EF7" w:rsidRPr="00B9638B" w:rsidRDefault="000B5EF7" w:rsidP="00133BEC">
            <w:pPr>
              <w:keepNext/>
              <w:rPr>
                <w:sz w:val="20"/>
              </w:rPr>
            </w:pPr>
            <w:proofErr w:type="spellStart"/>
            <w:r>
              <w:rPr>
                <w:sz w:val="20"/>
              </w:rPr>
              <w:t>Ø</w:t>
            </w:r>
            <w:r w:rsidRPr="00B9638B">
              <w:rPr>
                <w:sz w:val="20"/>
              </w:rPr>
              <w:t>jenpruritus</w:t>
            </w:r>
            <w:proofErr w:type="spellEnd"/>
            <w:r w:rsidRPr="00B9638B">
              <w:rPr>
                <w:sz w:val="20"/>
              </w:rPr>
              <w:t xml:space="preserve">, </w:t>
            </w:r>
            <w:proofErr w:type="spellStart"/>
            <w:r w:rsidRPr="00B9638B">
              <w:rPr>
                <w:sz w:val="20"/>
              </w:rPr>
              <w:t>okulær</w:t>
            </w:r>
            <w:proofErr w:type="spellEnd"/>
            <w:r w:rsidRPr="00B9638B">
              <w:rPr>
                <w:sz w:val="20"/>
              </w:rPr>
              <w:t xml:space="preserve"> </w:t>
            </w:r>
            <w:proofErr w:type="spellStart"/>
            <w:r w:rsidRPr="00B9638B">
              <w:rPr>
                <w:sz w:val="20"/>
              </w:rPr>
              <w:t>hyperæmi</w:t>
            </w:r>
            <w:proofErr w:type="spellEnd"/>
            <w:r w:rsidRPr="00B9638B">
              <w:rPr>
                <w:sz w:val="20"/>
              </w:rPr>
              <w:t xml:space="preserve">, uens pupiller, nedsat syn, øjenirritation, </w:t>
            </w:r>
            <w:proofErr w:type="spellStart"/>
            <w:r>
              <w:rPr>
                <w:sz w:val="20"/>
                <w:lang w:eastAsia="de-DE"/>
              </w:rPr>
              <w:t>m</w:t>
            </w:r>
            <w:r w:rsidRPr="00B9638B">
              <w:rPr>
                <w:sz w:val="20"/>
                <w:lang w:eastAsia="de-DE"/>
              </w:rPr>
              <w:t>ydriasis</w:t>
            </w:r>
            <w:proofErr w:type="spellEnd"/>
          </w:p>
        </w:tc>
        <w:tc>
          <w:tcPr>
            <w:tcW w:w="1511" w:type="dxa"/>
          </w:tcPr>
          <w:p w:rsidR="000B5EF7" w:rsidRPr="00B9638B" w:rsidRDefault="000B5EF7" w:rsidP="00133BEC">
            <w:pPr>
              <w:keepNext/>
              <w:rPr>
                <w:sz w:val="20"/>
              </w:rPr>
            </w:pPr>
          </w:p>
        </w:tc>
      </w:tr>
      <w:tr w:rsidR="000B5EF7" w:rsidRPr="00B9638B" w:rsidTr="00133BEC">
        <w:tc>
          <w:tcPr>
            <w:tcW w:w="2082" w:type="dxa"/>
          </w:tcPr>
          <w:p w:rsidR="000B5EF7" w:rsidRPr="00B9638B" w:rsidRDefault="000B5EF7" w:rsidP="00133BEC">
            <w:pPr>
              <w:rPr>
                <w:b/>
                <w:sz w:val="20"/>
              </w:rPr>
            </w:pPr>
            <w:r w:rsidRPr="00B9638B">
              <w:rPr>
                <w:b/>
                <w:sz w:val="20"/>
              </w:rPr>
              <w:t xml:space="preserve">Luftveje, thorax og </w:t>
            </w:r>
            <w:proofErr w:type="spellStart"/>
            <w:r w:rsidRPr="00B9638B">
              <w:rPr>
                <w:b/>
                <w:sz w:val="20"/>
              </w:rPr>
              <w:t>mediastinum</w:t>
            </w:r>
            <w:proofErr w:type="spellEnd"/>
          </w:p>
        </w:tc>
        <w:tc>
          <w:tcPr>
            <w:tcW w:w="1252" w:type="dxa"/>
          </w:tcPr>
          <w:p w:rsidR="000B5EF7" w:rsidRPr="00B9638B" w:rsidRDefault="000B5EF7" w:rsidP="00133BEC">
            <w:pPr>
              <w:rPr>
                <w:sz w:val="20"/>
                <w:lang w:eastAsia="de-DE"/>
              </w:rPr>
            </w:pPr>
          </w:p>
        </w:tc>
        <w:tc>
          <w:tcPr>
            <w:tcW w:w="2119" w:type="dxa"/>
          </w:tcPr>
          <w:p w:rsidR="000B5EF7" w:rsidRPr="00B9638B" w:rsidRDefault="000B5EF7" w:rsidP="00133BEC">
            <w:pPr>
              <w:rPr>
                <w:sz w:val="20"/>
              </w:rPr>
            </w:pPr>
            <w:r w:rsidRPr="00B9638B">
              <w:rPr>
                <w:sz w:val="20"/>
              </w:rPr>
              <w:t>Næsetørhed</w:t>
            </w:r>
          </w:p>
        </w:tc>
        <w:tc>
          <w:tcPr>
            <w:tcW w:w="2872" w:type="dxa"/>
          </w:tcPr>
          <w:p w:rsidR="000B5EF7" w:rsidRPr="00B9638B" w:rsidRDefault="000B5EF7" w:rsidP="00133BEC">
            <w:pPr>
              <w:rPr>
                <w:sz w:val="20"/>
              </w:rPr>
            </w:pPr>
            <w:proofErr w:type="spellStart"/>
            <w:r w:rsidRPr="00B9638B">
              <w:rPr>
                <w:sz w:val="20"/>
              </w:rPr>
              <w:t>Orofaryngeale</w:t>
            </w:r>
            <w:proofErr w:type="spellEnd"/>
            <w:r w:rsidRPr="00B9638B">
              <w:rPr>
                <w:sz w:val="20"/>
              </w:rPr>
              <w:t xml:space="preserve"> smerter,</w:t>
            </w:r>
            <w:r w:rsidRPr="00B9638B">
              <w:rPr>
                <w:sz w:val="20"/>
              </w:rPr>
              <w:br/>
              <w:t>synkebesvær, tør hals, tilstoppet næse</w:t>
            </w:r>
          </w:p>
        </w:tc>
        <w:tc>
          <w:tcPr>
            <w:tcW w:w="1511" w:type="dxa"/>
          </w:tcPr>
          <w:p w:rsidR="000B5EF7" w:rsidRPr="00B9638B" w:rsidRDefault="000B5EF7" w:rsidP="00133BEC">
            <w:pPr>
              <w:rPr>
                <w:sz w:val="20"/>
              </w:rPr>
            </w:pPr>
          </w:p>
        </w:tc>
      </w:tr>
      <w:tr w:rsidR="000B5EF7" w:rsidRPr="00B9638B" w:rsidTr="00133BEC">
        <w:trPr>
          <w:trHeight w:val="996"/>
        </w:trPr>
        <w:tc>
          <w:tcPr>
            <w:tcW w:w="2082" w:type="dxa"/>
          </w:tcPr>
          <w:p w:rsidR="000B5EF7" w:rsidRPr="00B9638B" w:rsidRDefault="000B5EF7" w:rsidP="00133BEC">
            <w:pPr>
              <w:rPr>
                <w:b/>
                <w:sz w:val="20"/>
              </w:rPr>
            </w:pPr>
            <w:r w:rsidRPr="00B9638B">
              <w:rPr>
                <w:b/>
                <w:sz w:val="20"/>
              </w:rPr>
              <w:t>Nervesystemet</w:t>
            </w:r>
          </w:p>
        </w:tc>
        <w:tc>
          <w:tcPr>
            <w:tcW w:w="1252" w:type="dxa"/>
          </w:tcPr>
          <w:p w:rsidR="000B5EF7" w:rsidRPr="00B9638B" w:rsidRDefault="000B5EF7" w:rsidP="00133BEC">
            <w:pPr>
              <w:rPr>
                <w:sz w:val="20"/>
                <w:lang w:eastAsia="de-DE"/>
              </w:rPr>
            </w:pPr>
          </w:p>
        </w:tc>
        <w:tc>
          <w:tcPr>
            <w:tcW w:w="2119" w:type="dxa"/>
          </w:tcPr>
          <w:p w:rsidR="000B5EF7" w:rsidRPr="00B9638B" w:rsidRDefault="000B5EF7" w:rsidP="00133BEC">
            <w:pPr>
              <w:rPr>
                <w:sz w:val="20"/>
              </w:rPr>
            </w:pPr>
            <w:r w:rsidRPr="00B9638B">
              <w:rPr>
                <w:sz w:val="20"/>
              </w:rPr>
              <w:t>Hovedpine</w:t>
            </w:r>
          </w:p>
        </w:tc>
        <w:tc>
          <w:tcPr>
            <w:tcW w:w="2872" w:type="dxa"/>
          </w:tcPr>
          <w:p w:rsidR="000B5EF7" w:rsidRPr="00B9638B" w:rsidRDefault="000B5EF7" w:rsidP="00133BEC">
            <w:pPr>
              <w:rPr>
                <w:sz w:val="20"/>
              </w:rPr>
            </w:pPr>
            <w:r w:rsidRPr="00B9638B">
              <w:rPr>
                <w:sz w:val="20"/>
              </w:rPr>
              <w:t xml:space="preserve">Svimmelhed, </w:t>
            </w:r>
            <w:proofErr w:type="spellStart"/>
            <w:r w:rsidRPr="00B9638B">
              <w:rPr>
                <w:sz w:val="20"/>
              </w:rPr>
              <w:t>somnolens</w:t>
            </w:r>
            <w:proofErr w:type="spellEnd"/>
            <w:r w:rsidRPr="00B9638B">
              <w:rPr>
                <w:sz w:val="20"/>
              </w:rPr>
              <w:t>,</w:t>
            </w:r>
            <w:r w:rsidRPr="00B9638B">
              <w:rPr>
                <w:sz w:val="20"/>
              </w:rPr>
              <w:br/>
              <w:t xml:space="preserve">ringe søvnkvalitet, </w:t>
            </w:r>
            <w:r>
              <w:rPr>
                <w:sz w:val="20"/>
                <w:lang w:eastAsia="de-DE"/>
              </w:rPr>
              <w:t>koncentrationsbesvær</w:t>
            </w:r>
            <w:r w:rsidRPr="00B9638B">
              <w:rPr>
                <w:sz w:val="20"/>
                <w:lang w:eastAsia="de-DE"/>
              </w:rPr>
              <w:t xml:space="preserve">, </w:t>
            </w:r>
            <w:r>
              <w:rPr>
                <w:sz w:val="20"/>
                <w:lang w:eastAsia="de-DE"/>
              </w:rPr>
              <w:t>u</w:t>
            </w:r>
            <w:r w:rsidRPr="00B9638B">
              <w:rPr>
                <w:sz w:val="20"/>
                <w:lang w:eastAsia="de-DE"/>
              </w:rPr>
              <w:t>behag i hovedet</w:t>
            </w:r>
          </w:p>
        </w:tc>
        <w:tc>
          <w:tcPr>
            <w:tcW w:w="1511" w:type="dxa"/>
          </w:tcPr>
          <w:p w:rsidR="000B5EF7" w:rsidRPr="00B9638B" w:rsidRDefault="000B5EF7" w:rsidP="00133BEC">
            <w:pPr>
              <w:rPr>
                <w:sz w:val="20"/>
              </w:rPr>
            </w:pPr>
          </w:p>
        </w:tc>
      </w:tr>
      <w:tr w:rsidR="000B5EF7" w:rsidRPr="00B9638B" w:rsidTr="00133BEC">
        <w:tc>
          <w:tcPr>
            <w:tcW w:w="2082" w:type="dxa"/>
          </w:tcPr>
          <w:p w:rsidR="000B5EF7" w:rsidRPr="00B9638B" w:rsidRDefault="000B5EF7" w:rsidP="00133BEC">
            <w:pPr>
              <w:rPr>
                <w:b/>
                <w:szCs w:val="22"/>
              </w:rPr>
            </w:pPr>
            <w:r w:rsidRPr="00B9638B">
              <w:rPr>
                <w:b/>
                <w:sz w:val="20"/>
              </w:rPr>
              <w:t>Psykiske forstyrrelser</w:t>
            </w:r>
          </w:p>
        </w:tc>
        <w:tc>
          <w:tcPr>
            <w:tcW w:w="1252" w:type="dxa"/>
          </w:tcPr>
          <w:p w:rsidR="000B5EF7" w:rsidRPr="00B9638B" w:rsidRDefault="000B5EF7" w:rsidP="00133BEC">
            <w:pPr>
              <w:rPr>
                <w:sz w:val="20"/>
                <w:lang w:eastAsia="de-DE"/>
              </w:rPr>
            </w:pPr>
          </w:p>
        </w:tc>
        <w:tc>
          <w:tcPr>
            <w:tcW w:w="2119" w:type="dxa"/>
          </w:tcPr>
          <w:p w:rsidR="000B5EF7" w:rsidRPr="00B9638B" w:rsidRDefault="000B5EF7" w:rsidP="00133BEC">
            <w:pPr>
              <w:rPr>
                <w:sz w:val="20"/>
                <w:lang w:eastAsia="de-DE"/>
              </w:rPr>
            </w:pPr>
          </w:p>
        </w:tc>
        <w:tc>
          <w:tcPr>
            <w:tcW w:w="2872" w:type="dxa"/>
          </w:tcPr>
          <w:p w:rsidR="000B5EF7" w:rsidRPr="00B9638B" w:rsidRDefault="000B5EF7" w:rsidP="00133BEC">
            <w:pPr>
              <w:rPr>
                <w:sz w:val="20"/>
              </w:rPr>
            </w:pPr>
            <w:r w:rsidRPr="00B9638B">
              <w:rPr>
                <w:sz w:val="20"/>
              </w:rPr>
              <w:t>Søvnbesvær, angst, rastløshed</w:t>
            </w:r>
          </w:p>
        </w:tc>
        <w:tc>
          <w:tcPr>
            <w:tcW w:w="1511" w:type="dxa"/>
          </w:tcPr>
          <w:p w:rsidR="000B5EF7" w:rsidRPr="00B9638B" w:rsidRDefault="000B5EF7" w:rsidP="00133BEC">
            <w:pPr>
              <w:rPr>
                <w:sz w:val="20"/>
              </w:rPr>
            </w:pPr>
          </w:p>
        </w:tc>
      </w:tr>
      <w:tr w:rsidR="000B5EF7" w:rsidRPr="00B9638B" w:rsidTr="00133BEC">
        <w:tc>
          <w:tcPr>
            <w:tcW w:w="2082" w:type="dxa"/>
          </w:tcPr>
          <w:p w:rsidR="000B5EF7" w:rsidRPr="00B9638B" w:rsidRDefault="000B5EF7" w:rsidP="00133BEC">
            <w:pPr>
              <w:rPr>
                <w:b/>
                <w:sz w:val="20"/>
              </w:rPr>
            </w:pPr>
            <w:r w:rsidRPr="00B9638B">
              <w:rPr>
                <w:b/>
                <w:sz w:val="20"/>
              </w:rPr>
              <w:t>Øre og labyrint</w:t>
            </w:r>
          </w:p>
        </w:tc>
        <w:tc>
          <w:tcPr>
            <w:tcW w:w="1252" w:type="dxa"/>
          </w:tcPr>
          <w:p w:rsidR="000B5EF7" w:rsidRPr="00B9638B" w:rsidRDefault="000B5EF7" w:rsidP="00133BEC">
            <w:pPr>
              <w:rPr>
                <w:sz w:val="20"/>
                <w:lang w:eastAsia="de-DE"/>
              </w:rPr>
            </w:pPr>
          </w:p>
        </w:tc>
        <w:tc>
          <w:tcPr>
            <w:tcW w:w="2119" w:type="dxa"/>
          </w:tcPr>
          <w:p w:rsidR="000B5EF7" w:rsidRPr="00B9638B" w:rsidRDefault="000B5EF7" w:rsidP="00133BEC">
            <w:pPr>
              <w:rPr>
                <w:sz w:val="20"/>
                <w:lang w:eastAsia="de-DE"/>
              </w:rPr>
            </w:pPr>
          </w:p>
        </w:tc>
        <w:tc>
          <w:tcPr>
            <w:tcW w:w="2872" w:type="dxa"/>
          </w:tcPr>
          <w:p w:rsidR="000B5EF7" w:rsidRPr="00B9638B" w:rsidRDefault="000B5EF7" w:rsidP="00133BEC">
            <w:pPr>
              <w:rPr>
                <w:sz w:val="20"/>
              </w:rPr>
            </w:pPr>
            <w:proofErr w:type="spellStart"/>
            <w:r w:rsidRPr="00B9638B">
              <w:rPr>
                <w:sz w:val="20"/>
              </w:rPr>
              <w:t>Vertigo</w:t>
            </w:r>
            <w:proofErr w:type="spellEnd"/>
          </w:p>
        </w:tc>
        <w:tc>
          <w:tcPr>
            <w:tcW w:w="1511" w:type="dxa"/>
          </w:tcPr>
          <w:p w:rsidR="000B5EF7" w:rsidRPr="00B9638B" w:rsidRDefault="000B5EF7" w:rsidP="00133BEC">
            <w:pPr>
              <w:rPr>
                <w:sz w:val="20"/>
              </w:rPr>
            </w:pPr>
          </w:p>
        </w:tc>
      </w:tr>
      <w:tr w:rsidR="000B5EF7" w:rsidRPr="000536C7" w:rsidTr="00133BEC">
        <w:tc>
          <w:tcPr>
            <w:tcW w:w="2082" w:type="dxa"/>
          </w:tcPr>
          <w:p w:rsidR="000B5EF7" w:rsidRPr="00B9638B" w:rsidRDefault="000B5EF7" w:rsidP="00133BEC">
            <w:pPr>
              <w:rPr>
                <w:b/>
                <w:sz w:val="20"/>
              </w:rPr>
            </w:pPr>
            <w:r w:rsidRPr="00B9638B">
              <w:rPr>
                <w:b/>
                <w:sz w:val="20"/>
              </w:rPr>
              <w:t>Hud og subkutane væv</w:t>
            </w:r>
          </w:p>
        </w:tc>
        <w:tc>
          <w:tcPr>
            <w:tcW w:w="1252" w:type="dxa"/>
          </w:tcPr>
          <w:p w:rsidR="000B5EF7" w:rsidRPr="00B9638B" w:rsidRDefault="000B5EF7" w:rsidP="00133BEC">
            <w:pPr>
              <w:rPr>
                <w:sz w:val="20"/>
                <w:lang w:eastAsia="de-DE"/>
              </w:rPr>
            </w:pPr>
          </w:p>
        </w:tc>
        <w:tc>
          <w:tcPr>
            <w:tcW w:w="2119" w:type="dxa"/>
          </w:tcPr>
          <w:p w:rsidR="000B5EF7" w:rsidRPr="00B9638B" w:rsidRDefault="000B5EF7" w:rsidP="00133BEC">
            <w:pPr>
              <w:rPr>
                <w:sz w:val="20"/>
              </w:rPr>
            </w:pPr>
            <w:r w:rsidRPr="00B9638B">
              <w:rPr>
                <w:sz w:val="20"/>
              </w:rPr>
              <w:t>Tør hud</w:t>
            </w:r>
          </w:p>
        </w:tc>
        <w:tc>
          <w:tcPr>
            <w:tcW w:w="2872" w:type="dxa"/>
          </w:tcPr>
          <w:p w:rsidR="000B5EF7" w:rsidRPr="00B9638B" w:rsidRDefault="000B5EF7" w:rsidP="00133BEC">
            <w:pPr>
              <w:rPr>
                <w:sz w:val="20"/>
              </w:rPr>
            </w:pPr>
            <w:proofErr w:type="spellStart"/>
            <w:r w:rsidRPr="00B9638B">
              <w:rPr>
                <w:sz w:val="20"/>
              </w:rPr>
              <w:t>Hyperhidrose</w:t>
            </w:r>
            <w:proofErr w:type="spellEnd"/>
            <w:r w:rsidRPr="00B9638B">
              <w:rPr>
                <w:sz w:val="20"/>
              </w:rPr>
              <w:t xml:space="preserve">, </w:t>
            </w:r>
            <w:proofErr w:type="spellStart"/>
            <w:r w:rsidRPr="00B9638B">
              <w:rPr>
                <w:sz w:val="20"/>
              </w:rPr>
              <w:t>pruritus</w:t>
            </w:r>
            <w:proofErr w:type="spellEnd"/>
            <w:r w:rsidRPr="00B9638B">
              <w:rPr>
                <w:sz w:val="20"/>
              </w:rPr>
              <w:t xml:space="preserve">, generaliseret </w:t>
            </w:r>
            <w:proofErr w:type="spellStart"/>
            <w:r w:rsidRPr="00B9638B">
              <w:rPr>
                <w:sz w:val="20"/>
              </w:rPr>
              <w:t>pruritus</w:t>
            </w:r>
            <w:proofErr w:type="spellEnd"/>
            <w:r w:rsidRPr="00B9638B">
              <w:rPr>
                <w:sz w:val="20"/>
              </w:rPr>
              <w:t xml:space="preserve">, udslæt, unormal hudlugt, </w:t>
            </w:r>
            <w:proofErr w:type="spellStart"/>
            <w:r w:rsidRPr="00B9638B">
              <w:rPr>
                <w:sz w:val="20"/>
              </w:rPr>
              <w:t>erytem</w:t>
            </w:r>
            <w:proofErr w:type="spellEnd"/>
            <w:r w:rsidRPr="00B9638B">
              <w:rPr>
                <w:sz w:val="20"/>
              </w:rPr>
              <w:t xml:space="preserve">, </w:t>
            </w:r>
            <w:proofErr w:type="spellStart"/>
            <w:r w:rsidRPr="00B9638B">
              <w:rPr>
                <w:sz w:val="20"/>
              </w:rPr>
              <w:t>para</w:t>
            </w:r>
            <w:proofErr w:type="spellEnd"/>
            <w:r w:rsidRPr="00B9638B">
              <w:rPr>
                <w:sz w:val="20"/>
              </w:rPr>
              <w:t xml:space="preserve">-psoriasis, hudirritation, tørre hænder, </w:t>
            </w:r>
            <w:proofErr w:type="spellStart"/>
            <w:r w:rsidRPr="00B9638B">
              <w:rPr>
                <w:sz w:val="20"/>
              </w:rPr>
              <w:t>atopisk</w:t>
            </w:r>
            <w:proofErr w:type="spellEnd"/>
            <w:r w:rsidRPr="00B9638B">
              <w:rPr>
                <w:sz w:val="20"/>
              </w:rPr>
              <w:t xml:space="preserve"> </w:t>
            </w:r>
            <w:proofErr w:type="spellStart"/>
            <w:r w:rsidRPr="00B9638B">
              <w:rPr>
                <w:sz w:val="20"/>
              </w:rPr>
              <w:t>dermatitis</w:t>
            </w:r>
            <w:proofErr w:type="spellEnd"/>
            <w:r w:rsidRPr="00B9638B">
              <w:rPr>
                <w:sz w:val="20"/>
              </w:rPr>
              <w:t xml:space="preserve">, </w:t>
            </w:r>
            <w:r w:rsidRPr="00B9638B">
              <w:rPr>
                <w:sz w:val="20"/>
              </w:rPr>
              <w:lastRenderedPageBreak/>
              <w:t>eksem, hud-</w:t>
            </w:r>
            <w:proofErr w:type="spellStart"/>
            <w:r w:rsidRPr="00B9638B">
              <w:rPr>
                <w:sz w:val="20"/>
              </w:rPr>
              <w:t>plaque</w:t>
            </w:r>
            <w:proofErr w:type="spellEnd"/>
            <w:r w:rsidRPr="00B9638B">
              <w:rPr>
                <w:sz w:val="20"/>
              </w:rPr>
              <w:t xml:space="preserve">, </w:t>
            </w:r>
            <w:proofErr w:type="spellStart"/>
            <w:r w:rsidRPr="00B9638B">
              <w:rPr>
                <w:sz w:val="20"/>
              </w:rPr>
              <w:t>acne</w:t>
            </w:r>
            <w:proofErr w:type="spellEnd"/>
            <w:r w:rsidRPr="00B9638B">
              <w:rPr>
                <w:sz w:val="20"/>
              </w:rPr>
              <w:t>, nældefeber</w:t>
            </w:r>
          </w:p>
        </w:tc>
        <w:tc>
          <w:tcPr>
            <w:tcW w:w="1511" w:type="dxa"/>
          </w:tcPr>
          <w:p w:rsidR="000B5EF7" w:rsidRPr="00B9638B" w:rsidRDefault="000B5EF7" w:rsidP="00133BEC">
            <w:pPr>
              <w:rPr>
                <w:sz w:val="20"/>
              </w:rPr>
            </w:pPr>
          </w:p>
        </w:tc>
      </w:tr>
      <w:tr w:rsidR="000B5EF7" w:rsidRPr="000536C7" w:rsidTr="00133BEC">
        <w:tc>
          <w:tcPr>
            <w:tcW w:w="2082" w:type="dxa"/>
          </w:tcPr>
          <w:p w:rsidR="000B5EF7" w:rsidRPr="00B9638B" w:rsidRDefault="000B5EF7" w:rsidP="00133BEC">
            <w:pPr>
              <w:rPr>
                <w:b/>
                <w:sz w:val="20"/>
              </w:rPr>
            </w:pPr>
            <w:r w:rsidRPr="00B9638B">
              <w:rPr>
                <w:b/>
                <w:sz w:val="20"/>
              </w:rPr>
              <w:t>Almene symptomer og</w:t>
            </w:r>
            <w:r w:rsidRPr="00B9638B">
              <w:rPr>
                <w:b/>
                <w:sz w:val="20"/>
              </w:rPr>
              <w:br/>
              <w:t>reaktioner på administrationsstedet</w:t>
            </w:r>
          </w:p>
        </w:tc>
        <w:tc>
          <w:tcPr>
            <w:tcW w:w="1252" w:type="dxa"/>
          </w:tcPr>
          <w:p w:rsidR="000B5EF7" w:rsidRPr="00B9638B" w:rsidRDefault="000B5EF7" w:rsidP="00133BEC">
            <w:pPr>
              <w:rPr>
                <w:sz w:val="20"/>
                <w:lang w:eastAsia="de-DE"/>
              </w:rPr>
            </w:pPr>
          </w:p>
        </w:tc>
        <w:tc>
          <w:tcPr>
            <w:tcW w:w="2119" w:type="dxa"/>
          </w:tcPr>
          <w:p w:rsidR="000B5EF7" w:rsidRPr="00B9638B" w:rsidRDefault="000B5EF7" w:rsidP="00133BEC">
            <w:pPr>
              <w:rPr>
                <w:sz w:val="20"/>
              </w:rPr>
            </w:pPr>
            <w:proofErr w:type="spellStart"/>
            <w:r w:rsidRPr="00B9638B">
              <w:rPr>
                <w:sz w:val="20"/>
              </w:rPr>
              <w:t>Dermatitis</w:t>
            </w:r>
            <w:proofErr w:type="spellEnd"/>
            <w:r w:rsidRPr="00B9638B">
              <w:rPr>
                <w:sz w:val="20"/>
              </w:rPr>
              <w:t xml:space="preserve">, eksem, udslæt, </w:t>
            </w:r>
            <w:proofErr w:type="spellStart"/>
            <w:r w:rsidRPr="00B9638B">
              <w:rPr>
                <w:sz w:val="20"/>
              </w:rPr>
              <w:t>papler</w:t>
            </w:r>
            <w:proofErr w:type="spellEnd"/>
            <w:r w:rsidRPr="00B9638B">
              <w:rPr>
                <w:sz w:val="20"/>
              </w:rPr>
              <w:t xml:space="preserve">, </w:t>
            </w:r>
            <w:proofErr w:type="spellStart"/>
            <w:r w:rsidRPr="00B9638B">
              <w:rPr>
                <w:sz w:val="20"/>
              </w:rPr>
              <w:t>erytem</w:t>
            </w:r>
            <w:proofErr w:type="spellEnd"/>
            <w:r w:rsidRPr="00B9638B">
              <w:rPr>
                <w:sz w:val="20"/>
              </w:rPr>
              <w:t xml:space="preserve">, irritation, smerter eller </w:t>
            </w:r>
            <w:proofErr w:type="spellStart"/>
            <w:r w:rsidRPr="00B9638B">
              <w:rPr>
                <w:sz w:val="20"/>
              </w:rPr>
              <w:t>pruritus</w:t>
            </w:r>
            <w:proofErr w:type="spellEnd"/>
            <w:r w:rsidRPr="00B9638B">
              <w:rPr>
                <w:sz w:val="20"/>
              </w:rPr>
              <w:t xml:space="preserve"> på applikationsstedet</w:t>
            </w:r>
          </w:p>
        </w:tc>
        <w:tc>
          <w:tcPr>
            <w:tcW w:w="2872" w:type="dxa"/>
          </w:tcPr>
          <w:p w:rsidR="000B5EF7" w:rsidRPr="00B9638B" w:rsidRDefault="000B5EF7" w:rsidP="00133BEC">
            <w:pPr>
              <w:rPr>
                <w:sz w:val="20"/>
              </w:rPr>
            </w:pPr>
            <w:r w:rsidRPr="00B9638B">
              <w:rPr>
                <w:sz w:val="20"/>
              </w:rPr>
              <w:t xml:space="preserve">Akne, hævelse, tørhed, </w:t>
            </w:r>
            <w:proofErr w:type="spellStart"/>
            <w:r w:rsidRPr="00B9638B">
              <w:rPr>
                <w:sz w:val="20"/>
              </w:rPr>
              <w:t>vesikler</w:t>
            </w:r>
            <w:proofErr w:type="spellEnd"/>
            <w:r w:rsidRPr="00B9638B">
              <w:rPr>
                <w:sz w:val="20"/>
              </w:rPr>
              <w:t xml:space="preserve">, </w:t>
            </w:r>
            <w:proofErr w:type="spellStart"/>
            <w:r w:rsidRPr="00B9638B">
              <w:rPr>
                <w:sz w:val="20"/>
              </w:rPr>
              <w:t>induration</w:t>
            </w:r>
            <w:proofErr w:type="spellEnd"/>
            <w:r w:rsidRPr="00B9638B">
              <w:rPr>
                <w:sz w:val="20"/>
              </w:rPr>
              <w:t>, arvæv og sår på applikationsstedet, tørre slimhinder, træthed</w:t>
            </w:r>
          </w:p>
        </w:tc>
        <w:tc>
          <w:tcPr>
            <w:tcW w:w="1511" w:type="dxa"/>
          </w:tcPr>
          <w:p w:rsidR="000B5EF7" w:rsidRPr="00B9638B" w:rsidRDefault="000B5EF7" w:rsidP="00133BEC">
            <w:pPr>
              <w:rPr>
                <w:sz w:val="20"/>
              </w:rPr>
            </w:pPr>
          </w:p>
        </w:tc>
      </w:tr>
      <w:tr w:rsidR="000B5EF7" w:rsidRPr="00B9638B" w:rsidTr="00133BEC">
        <w:tc>
          <w:tcPr>
            <w:tcW w:w="2082" w:type="dxa"/>
            <w:vAlign w:val="bottom"/>
          </w:tcPr>
          <w:p w:rsidR="000B5EF7" w:rsidRPr="00B9638B" w:rsidRDefault="000B5EF7" w:rsidP="00133BEC">
            <w:pPr>
              <w:rPr>
                <w:sz w:val="20"/>
              </w:rPr>
            </w:pPr>
            <w:r w:rsidRPr="00B9638B">
              <w:rPr>
                <w:b/>
                <w:sz w:val="20"/>
              </w:rPr>
              <w:t>Infektioner og parasitære sygdomme</w:t>
            </w:r>
          </w:p>
        </w:tc>
        <w:tc>
          <w:tcPr>
            <w:tcW w:w="1252" w:type="dxa"/>
          </w:tcPr>
          <w:p w:rsidR="000B5EF7" w:rsidRPr="00B9638B" w:rsidRDefault="000B5EF7" w:rsidP="00133BEC">
            <w:pPr>
              <w:rPr>
                <w:sz w:val="20"/>
                <w:lang w:eastAsia="de-DE"/>
              </w:rPr>
            </w:pPr>
          </w:p>
        </w:tc>
        <w:tc>
          <w:tcPr>
            <w:tcW w:w="2119" w:type="dxa"/>
          </w:tcPr>
          <w:p w:rsidR="000B5EF7" w:rsidRPr="00B9638B" w:rsidRDefault="000B5EF7" w:rsidP="00133BEC">
            <w:pPr>
              <w:rPr>
                <w:sz w:val="20"/>
              </w:rPr>
            </w:pPr>
          </w:p>
        </w:tc>
        <w:tc>
          <w:tcPr>
            <w:tcW w:w="2872" w:type="dxa"/>
          </w:tcPr>
          <w:p w:rsidR="000B5EF7" w:rsidRPr="00B9638B" w:rsidRDefault="000B5EF7" w:rsidP="00133BEC">
            <w:pPr>
              <w:rPr>
                <w:sz w:val="20"/>
                <w:lang w:eastAsia="de-DE"/>
              </w:rPr>
            </w:pPr>
            <w:proofErr w:type="spellStart"/>
            <w:r w:rsidRPr="00B9638B">
              <w:rPr>
                <w:sz w:val="20"/>
                <w:lang w:eastAsia="de-DE"/>
              </w:rPr>
              <w:t>Follikulitis</w:t>
            </w:r>
            <w:proofErr w:type="spellEnd"/>
            <w:r w:rsidRPr="00B9638B">
              <w:rPr>
                <w:sz w:val="20"/>
                <w:lang w:eastAsia="de-DE"/>
              </w:rPr>
              <w:t xml:space="preserve"> på applikationsstedet, pustler</w:t>
            </w:r>
          </w:p>
        </w:tc>
        <w:tc>
          <w:tcPr>
            <w:tcW w:w="1511" w:type="dxa"/>
          </w:tcPr>
          <w:p w:rsidR="000B5EF7" w:rsidRPr="00B9638B" w:rsidRDefault="000B5EF7" w:rsidP="00133BEC">
            <w:pPr>
              <w:rPr>
                <w:sz w:val="20"/>
                <w:lang w:eastAsia="de-DE"/>
              </w:rPr>
            </w:pPr>
          </w:p>
        </w:tc>
      </w:tr>
      <w:tr w:rsidR="000B5EF7" w:rsidRPr="00B9638B" w:rsidTr="00133BEC">
        <w:tc>
          <w:tcPr>
            <w:tcW w:w="2082" w:type="dxa"/>
          </w:tcPr>
          <w:p w:rsidR="000B5EF7" w:rsidRPr="00B9638B" w:rsidRDefault="000B5EF7" w:rsidP="00133BEC">
            <w:pPr>
              <w:rPr>
                <w:sz w:val="20"/>
              </w:rPr>
            </w:pPr>
            <w:r w:rsidRPr="00B9638B">
              <w:rPr>
                <w:b/>
                <w:sz w:val="20"/>
              </w:rPr>
              <w:t>Blod og lymfesystem</w:t>
            </w:r>
          </w:p>
        </w:tc>
        <w:tc>
          <w:tcPr>
            <w:tcW w:w="1252" w:type="dxa"/>
          </w:tcPr>
          <w:p w:rsidR="000B5EF7" w:rsidRPr="00B9638B" w:rsidRDefault="000B5EF7" w:rsidP="00133BEC">
            <w:pPr>
              <w:rPr>
                <w:sz w:val="20"/>
                <w:lang w:eastAsia="de-DE"/>
              </w:rPr>
            </w:pPr>
          </w:p>
        </w:tc>
        <w:tc>
          <w:tcPr>
            <w:tcW w:w="2119" w:type="dxa"/>
          </w:tcPr>
          <w:p w:rsidR="000B5EF7" w:rsidRPr="00B9638B" w:rsidRDefault="000B5EF7" w:rsidP="00133BEC">
            <w:pPr>
              <w:rPr>
                <w:sz w:val="20"/>
                <w:lang w:eastAsia="de-DE"/>
              </w:rPr>
            </w:pPr>
          </w:p>
        </w:tc>
        <w:tc>
          <w:tcPr>
            <w:tcW w:w="2872" w:type="dxa"/>
          </w:tcPr>
          <w:p w:rsidR="000B5EF7" w:rsidRPr="00B9638B" w:rsidRDefault="000B5EF7" w:rsidP="00133BEC">
            <w:pPr>
              <w:rPr>
                <w:sz w:val="20"/>
              </w:rPr>
            </w:pPr>
            <w:proofErr w:type="spellStart"/>
            <w:r w:rsidRPr="00B9638B">
              <w:rPr>
                <w:sz w:val="20"/>
              </w:rPr>
              <w:t>Trombocytopeni</w:t>
            </w:r>
            <w:proofErr w:type="spellEnd"/>
          </w:p>
        </w:tc>
        <w:tc>
          <w:tcPr>
            <w:tcW w:w="1511" w:type="dxa"/>
          </w:tcPr>
          <w:p w:rsidR="000B5EF7" w:rsidRPr="00B9638B" w:rsidRDefault="000B5EF7" w:rsidP="00133BEC">
            <w:pPr>
              <w:rPr>
                <w:sz w:val="20"/>
              </w:rPr>
            </w:pPr>
          </w:p>
        </w:tc>
      </w:tr>
      <w:tr w:rsidR="000B5EF7" w:rsidRPr="00B9638B" w:rsidTr="00133BEC">
        <w:tc>
          <w:tcPr>
            <w:tcW w:w="2082" w:type="dxa"/>
          </w:tcPr>
          <w:p w:rsidR="000B5EF7" w:rsidRPr="00B9638B" w:rsidRDefault="000B5EF7" w:rsidP="00133BEC">
            <w:pPr>
              <w:rPr>
                <w:sz w:val="20"/>
              </w:rPr>
            </w:pPr>
            <w:r w:rsidRPr="00B9638B">
              <w:rPr>
                <w:b/>
                <w:sz w:val="20"/>
              </w:rPr>
              <w:t>Hjerte</w:t>
            </w:r>
          </w:p>
        </w:tc>
        <w:tc>
          <w:tcPr>
            <w:tcW w:w="1252" w:type="dxa"/>
          </w:tcPr>
          <w:p w:rsidR="000B5EF7" w:rsidRPr="00B9638B" w:rsidRDefault="000B5EF7" w:rsidP="00133BEC">
            <w:pPr>
              <w:rPr>
                <w:sz w:val="20"/>
                <w:lang w:eastAsia="de-DE"/>
              </w:rPr>
            </w:pPr>
          </w:p>
        </w:tc>
        <w:tc>
          <w:tcPr>
            <w:tcW w:w="2119" w:type="dxa"/>
          </w:tcPr>
          <w:p w:rsidR="000B5EF7" w:rsidRPr="00B9638B" w:rsidRDefault="000B5EF7" w:rsidP="00133BEC">
            <w:pPr>
              <w:rPr>
                <w:sz w:val="20"/>
                <w:lang w:eastAsia="de-DE"/>
              </w:rPr>
            </w:pPr>
          </w:p>
        </w:tc>
        <w:tc>
          <w:tcPr>
            <w:tcW w:w="2872" w:type="dxa"/>
          </w:tcPr>
          <w:p w:rsidR="000B5EF7" w:rsidRPr="00B9638B" w:rsidRDefault="000B5EF7" w:rsidP="00133BEC">
            <w:pPr>
              <w:rPr>
                <w:sz w:val="20"/>
              </w:rPr>
            </w:pPr>
            <w:proofErr w:type="spellStart"/>
            <w:r w:rsidRPr="00B9638B">
              <w:rPr>
                <w:sz w:val="20"/>
              </w:rPr>
              <w:t>Takykardi</w:t>
            </w:r>
            <w:proofErr w:type="spellEnd"/>
          </w:p>
        </w:tc>
        <w:tc>
          <w:tcPr>
            <w:tcW w:w="1511" w:type="dxa"/>
          </w:tcPr>
          <w:p w:rsidR="000B5EF7" w:rsidRPr="00B9638B" w:rsidRDefault="000B5EF7" w:rsidP="00133BEC">
            <w:pPr>
              <w:rPr>
                <w:sz w:val="20"/>
              </w:rPr>
            </w:pPr>
          </w:p>
        </w:tc>
      </w:tr>
      <w:tr w:rsidR="000B5EF7" w:rsidRPr="00B9638B" w:rsidTr="00133BEC">
        <w:tc>
          <w:tcPr>
            <w:tcW w:w="2082" w:type="dxa"/>
            <w:tcBorders>
              <w:top w:val="single" w:sz="4" w:space="0" w:color="auto"/>
              <w:left w:val="single" w:sz="4" w:space="0" w:color="auto"/>
              <w:bottom w:val="single" w:sz="4" w:space="0" w:color="auto"/>
              <w:right w:val="single" w:sz="4" w:space="0" w:color="auto"/>
            </w:tcBorders>
          </w:tcPr>
          <w:p w:rsidR="000B5EF7" w:rsidRPr="00B9638B" w:rsidRDefault="000B5EF7" w:rsidP="00133BEC">
            <w:pPr>
              <w:rPr>
                <w:b/>
                <w:sz w:val="20"/>
              </w:rPr>
            </w:pPr>
            <w:r w:rsidRPr="00B9638B">
              <w:rPr>
                <w:b/>
                <w:sz w:val="20"/>
              </w:rPr>
              <w:t>Immunsystemet</w:t>
            </w:r>
          </w:p>
        </w:tc>
        <w:tc>
          <w:tcPr>
            <w:tcW w:w="1252" w:type="dxa"/>
            <w:tcBorders>
              <w:top w:val="single" w:sz="4" w:space="0" w:color="auto"/>
              <w:left w:val="single" w:sz="4" w:space="0" w:color="auto"/>
              <w:bottom w:val="single" w:sz="4" w:space="0" w:color="auto"/>
              <w:right w:val="single" w:sz="4" w:space="0" w:color="auto"/>
            </w:tcBorders>
          </w:tcPr>
          <w:p w:rsidR="000B5EF7" w:rsidRPr="00B9638B" w:rsidRDefault="000B5EF7" w:rsidP="00133BEC">
            <w:pPr>
              <w:rPr>
                <w:sz w:val="20"/>
                <w:lang w:eastAsia="de-DE"/>
              </w:rPr>
            </w:pPr>
          </w:p>
        </w:tc>
        <w:tc>
          <w:tcPr>
            <w:tcW w:w="2119" w:type="dxa"/>
            <w:tcBorders>
              <w:top w:val="single" w:sz="4" w:space="0" w:color="auto"/>
              <w:left w:val="single" w:sz="4" w:space="0" w:color="auto"/>
              <w:bottom w:val="single" w:sz="4" w:space="0" w:color="auto"/>
              <w:right w:val="single" w:sz="4" w:space="0" w:color="auto"/>
            </w:tcBorders>
          </w:tcPr>
          <w:p w:rsidR="000B5EF7" w:rsidRPr="00B9638B" w:rsidRDefault="000B5EF7" w:rsidP="00133BEC">
            <w:pPr>
              <w:rPr>
                <w:sz w:val="20"/>
                <w:lang w:eastAsia="de-DE"/>
              </w:rPr>
            </w:pPr>
          </w:p>
        </w:tc>
        <w:tc>
          <w:tcPr>
            <w:tcW w:w="2872" w:type="dxa"/>
            <w:tcBorders>
              <w:top w:val="single" w:sz="4" w:space="0" w:color="auto"/>
              <w:left w:val="single" w:sz="4" w:space="0" w:color="auto"/>
              <w:bottom w:val="single" w:sz="4" w:space="0" w:color="auto"/>
              <w:right w:val="single" w:sz="4" w:space="0" w:color="auto"/>
            </w:tcBorders>
          </w:tcPr>
          <w:p w:rsidR="000B5EF7" w:rsidRPr="00B9638B" w:rsidRDefault="000B5EF7" w:rsidP="00133BEC">
            <w:pPr>
              <w:rPr>
                <w:sz w:val="20"/>
              </w:rPr>
            </w:pPr>
          </w:p>
        </w:tc>
        <w:tc>
          <w:tcPr>
            <w:tcW w:w="1511" w:type="dxa"/>
            <w:tcBorders>
              <w:top w:val="single" w:sz="4" w:space="0" w:color="auto"/>
              <w:left w:val="single" w:sz="4" w:space="0" w:color="auto"/>
              <w:bottom w:val="single" w:sz="4" w:space="0" w:color="auto"/>
              <w:right w:val="single" w:sz="4" w:space="0" w:color="auto"/>
            </w:tcBorders>
          </w:tcPr>
          <w:p w:rsidR="000B5EF7" w:rsidRPr="00B9638B" w:rsidRDefault="000B5EF7" w:rsidP="00133BEC">
            <w:pPr>
              <w:rPr>
                <w:sz w:val="20"/>
              </w:rPr>
            </w:pPr>
            <w:r w:rsidRPr="00B9638B">
              <w:rPr>
                <w:sz w:val="20"/>
              </w:rPr>
              <w:t xml:space="preserve">Overfølsomhed, </w:t>
            </w:r>
            <w:proofErr w:type="spellStart"/>
            <w:r w:rsidRPr="00B9638B">
              <w:rPr>
                <w:sz w:val="20"/>
              </w:rPr>
              <w:t>angioødem</w:t>
            </w:r>
            <w:proofErr w:type="spellEnd"/>
          </w:p>
        </w:tc>
      </w:tr>
      <w:tr w:rsidR="000B5EF7" w:rsidRPr="00B9638B" w:rsidTr="00133BEC">
        <w:tc>
          <w:tcPr>
            <w:tcW w:w="2082" w:type="dxa"/>
            <w:tcBorders>
              <w:top w:val="single" w:sz="4" w:space="0" w:color="auto"/>
              <w:left w:val="single" w:sz="4" w:space="0" w:color="auto"/>
              <w:bottom w:val="single" w:sz="4" w:space="0" w:color="auto"/>
              <w:right w:val="single" w:sz="4" w:space="0" w:color="auto"/>
            </w:tcBorders>
          </w:tcPr>
          <w:p w:rsidR="000B5EF7" w:rsidRPr="00B9638B" w:rsidRDefault="000B5EF7" w:rsidP="00133BEC">
            <w:pPr>
              <w:rPr>
                <w:b/>
                <w:sz w:val="20"/>
              </w:rPr>
            </w:pPr>
            <w:r w:rsidRPr="00B9638B">
              <w:rPr>
                <w:b/>
                <w:sz w:val="20"/>
              </w:rPr>
              <w:t>Nyre-og urinveje</w:t>
            </w:r>
          </w:p>
        </w:tc>
        <w:tc>
          <w:tcPr>
            <w:tcW w:w="1252" w:type="dxa"/>
            <w:tcBorders>
              <w:top w:val="single" w:sz="4" w:space="0" w:color="auto"/>
              <w:left w:val="single" w:sz="4" w:space="0" w:color="auto"/>
              <w:bottom w:val="single" w:sz="4" w:space="0" w:color="auto"/>
              <w:right w:val="single" w:sz="4" w:space="0" w:color="auto"/>
            </w:tcBorders>
          </w:tcPr>
          <w:p w:rsidR="000B5EF7" w:rsidRPr="00B9638B" w:rsidRDefault="000B5EF7" w:rsidP="00133BEC">
            <w:pPr>
              <w:rPr>
                <w:sz w:val="20"/>
                <w:lang w:eastAsia="de-DE"/>
              </w:rPr>
            </w:pPr>
          </w:p>
        </w:tc>
        <w:tc>
          <w:tcPr>
            <w:tcW w:w="2119" w:type="dxa"/>
            <w:tcBorders>
              <w:top w:val="single" w:sz="4" w:space="0" w:color="auto"/>
              <w:left w:val="single" w:sz="4" w:space="0" w:color="auto"/>
              <w:bottom w:val="single" w:sz="4" w:space="0" w:color="auto"/>
              <w:right w:val="single" w:sz="4" w:space="0" w:color="auto"/>
            </w:tcBorders>
          </w:tcPr>
          <w:p w:rsidR="000B5EF7" w:rsidRPr="00B9638B" w:rsidRDefault="000B5EF7" w:rsidP="00133BEC">
            <w:pPr>
              <w:rPr>
                <w:sz w:val="20"/>
                <w:lang w:eastAsia="de-DE"/>
              </w:rPr>
            </w:pPr>
          </w:p>
        </w:tc>
        <w:tc>
          <w:tcPr>
            <w:tcW w:w="2872" w:type="dxa"/>
            <w:tcBorders>
              <w:top w:val="single" w:sz="4" w:space="0" w:color="auto"/>
              <w:left w:val="single" w:sz="4" w:space="0" w:color="auto"/>
              <w:bottom w:val="single" w:sz="4" w:space="0" w:color="auto"/>
              <w:right w:val="single" w:sz="4" w:space="0" w:color="auto"/>
            </w:tcBorders>
          </w:tcPr>
          <w:p w:rsidR="000B5EF7" w:rsidRPr="00B9638B" w:rsidRDefault="000B5EF7" w:rsidP="00133BEC">
            <w:pPr>
              <w:rPr>
                <w:sz w:val="20"/>
              </w:rPr>
            </w:pPr>
            <w:r w:rsidRPr="00B9638B">
              <w:rPr>
                <w:sz w:val="20"/>
                <w:lang w:eastAsia="de-DE"/>
              </w:rPr>
              <w:t>Vandladningsforstyrrelse</w:t>
            </w:r>
          </w:p>
        </w:tc>
        <w:tc>
          <w:tcPr>
            <w:tcW w:w="1511" w:type="dxa"/>
            <w:tcBorders>
              <w:top w:val="single" w:sz="4" w:space="0" w:color="auto"/>
              <w:left w:val="single" w:sz="4" w:space="0" w:color="auto"/>
              <w:bottom w:val="single" w:sz="4" w:space="0" w:color="auto"/>
              <w:right w:val="single" w:sz="4" w:space="0" w:color="auto"/>
            </w:tcBorders>
          </w:tcPr>
          <w:p w:rsidR="000B5EF7" w:rsidRPr="00B9638B" w:rsidRDefault="000B5EF7" w:rsidP="00133BEC">
            <w:pPr>
              <w:rPr>
                <w:sz w:val="20"/>
              </w:rPr>
            </w:pPr>
          </w:p>
        </w:tc>
      </w:tr>
      <w:tr w:rsidR="000B5EF7" w:rsidRPr="000536C7" w:rsidTr="00133BEC">
        <w:tc>
          <w:tcPr>
            <w:tcW w:w="2082" w:type="dxa"/>
          </w:tcPr>
          <w:p w:rsidR="000B5EF7" w:rsidRPr="00B9638B" w:rsidRDefault="000B5EF7" w:rsidP="00133BEC">
            <w:pPr>
              <w:rPr>
                <w:sz w:val="20"/>
              </w:rPr>
            </w:pPr>
            <w:r w:rsidRPr="00B9638B">
              <w:rPr>
                <w:b/>
                <w:sz w:val="20"/>
              </w:rPr>
              <w:t>Undersøgelser</w:t>
            </w:r>
          </w:p>
        </w:tc>
        <w:tc>
          <w:tcPr>
            <w:tcW w:w="1252" w:type="dxa"/>
          </w:tcPr>
          <w:p w:rsidR="000B5EF7" w:rsidRPr="00B9638B" w:rsidRDefault="000B5EF7" w:rsidP="00133BEC">
            <w:pPr>
              <w:rPr>
                <w:sz w:val="20"/>
                <w:lang w:eastAsia="de-DE"/>
              </w:rPr>
            </w:pPr>
          </w:p>
        </w:tc>
        <w:tc>
          <w:tcPr>
            <w:tcW w:w="2119" w:type="dxa"/>
          </w:tcPr>
          <w:p w:rsidR="000B5EF7" w:rsidRPr="00B9638B" w:rsidRDefault="000B5EF7" w:rsidP="00133BEC">
            <w:pPr>
              <w:rPr>
                <w:sz w:val="20"/>
                <w:lang w:eastAsia="de-DE"/>
              </w:rPr>
            </w:pPr>
          </w:p>
        </w:tc>
        <w:tc>
          <w:tcPr>
            <w:tcW w:w="2872" w:type="dxa"/>
          </w:tcPr>
          <w:p w:rsidR="000B5EF7" w:rsidRPr="00B9638B" w:rsidRDefault="000B5EF7" w:rsidP="00133BEC">
            <w:pPr>
              <w:rPr>
                <w:sz w:val="20"/>
              </w:rPr>
            </w:pPr>
            <w:r w:rsidRPr="00B9638B">
              <w:rPr>
                <w:sz w:val="20"/>
              </w:rPr>
              <w:t>Forlængelse af QT-interval på elektrokardiogram, stigning i leverenzymniveau</w:t>
            </w:r>
            <w:r w:rsidRPr="00B9638B">
              <w:rPr>
                <w:sz w:val="20"/>
                <w:lang w:eastAsia="de-DE"/>
              </w:rPr>
              <w:t xml:space="preserve">, forhøjet bilirubin i blodet og øget middelcellevolumen, nedsat middelhæmoglobinkoncentration </w:t>
            </w:r>
          </w:p>
        </w:tc>
        <w:tc>
          <w:tcPr>
            <w:tcW w:w="1511" w:type="dxa"/>
          </w:tcPr>
          <w:p w:rsidR="000B5EF7" w:rsidRPr="00B9638B" w:rsidRDefault="000B5EF7" w:rsidP="00133BEC">
            <w:pPr>
              <w:rPr>
                <w:sz w:val="20"/>
              </w:rPr>
            </w:pPr>
          </w:p>
        </w:tc>
      </w:tr>
    </w:tbl>
    <w:p w:rsidR="000B5EF7" w:rsidRPr="00B9638B" w:rsidRDefault="000B5EF7" w:rsidP="000B5EF7">
      <w:pPr>
        <w:ind w:left="851"/>
      </w:pPr>
    </w:p>
    <w:p w:rsidR="000B5EF7" w:rsidRPr="00B9638B" w:rsidRDefault="000B5EF7" w:rsidP="000B5EF7">
      <w:pPr>
        <w:keepNext/>
        <w:autoSpaceDE w:val="0"/>
        <w:autoSpaceDN w:val="0"/>
        <w:adjustRightInd w:val="0"/>
        <w:ind w:left="851"/>
        <w:rPr>
          <w:szCs w:val="22"/>
          <w:u w:val="single"/>
        </w:rPr>
      </w:pPr>
      <w:r w:rsidRPr="00B9638B">
        <w:rPr>
          <w:u w:val="single"/>
        </w:rPr>
        <w:t>Indberetning af formodede bivirkninger</w:t>
      </w:r>
    </w:p>
    <w:p w:rsidR="000B5EF7" w:rsidRPr="00B9638B" w:rsidRDefault="000B5EF7" w:rsidP="000B5EF7">
      <w:pPr>
        <w:autoSpaceDE w:val="0"/>
        <w:autoSpaceDN w:val="0"/>
        <w:adjustRightInd w:val="0"/>
        <w:ind w:left="851"/>
        <w:rPr>
          <w:szCs w:val="22"/>
        </w:rPr>
      </w:pPr>
      <w:r w:rsidRPr="00B9638B">
        <w:t>Når lægemidlet er godkendt, er indberetning af formodede bivirkninger vigtig. Det muliggør løbende overvågning af benefit/</w:t>
      </w:r>
      <w:proofErr w:type="spellStart"/>
      <w:r w:rsidRPr="00B9638B">
        <w:t>risk</w:t>
      </w:r>
      <w:proofErr w:type="spellEnd"/>
      <w:r w:rsidRPr="00B9638B">
        <w:t>-forholdet for lægemidlet. Sundhedspersoner anmodes om at indberette alle formodede bivirkninger via:</w:t>
      </w:r>
    </w:p>
    <w:p w:rsidR="000B5EF7" w:rsidRPr="00B9638B" w:rsidRDefault="000B5EF7" w:rsidP="000B5EF7">
      <w:pPr>
        <w:autoSpaceDE w:val="0"/>
        <w:autoSpaceDN w:val="0"/>
        <w:adjustRightInd w:val="0"/>
        <w:ind w:left="851"/>
        <w:rPr>
          <w:szCs w:val="22"/>
        </w:rPr>
      </w:pPr>
    </w:p>
    <w:p w:rsidR="000B5EF7" w:rsidRPr="00B9638B" w:rsidRDefault="000B5EF7" w:rsidP="000B5EF7">
      <w:pPr>
        <w:autoSpaceDE w:val="0"/>
        <w:autoSpaceDN w:val="0"/>
        <w:adjustRightInd w:val="0"/>
        <w:ind w:left="851"/>
        <w:rPr>
          <w:szCs w:val="22"/>
        </w:rPr>
      </w:pPr>
      <w:r w:rsidRPr="00B9638B">
        <w:rPr>
          <w:szCs w:val="22"/>
        </w:rPr>
        <w:t>Lægemiddelstyrelsen</w:t>
      </w:r>
    </w:p>
    <w:p w:rsidR="000B5EF7" w:rsidRPr="00B9638B" w:rsidRDefault="000B5EF7" w:rsidP="000B5EF7">
      <w:pPr>
        <w:autoSpaceDE w:val="0"/>
        <w:autoSpaceDN w:val="0"/>
        <w:adjustRightInd w:val="0"/>
        <w:ind w:left="851"/>
        <w:rPr>
          <w:szCs w:val="22"/>
        </w:rPr>
      </w:pPr>
      <w:r w:rsidRPr="00B9638B">
        <w:rPr>
          <w:szCs w:val="22"/>
        </w:rPr>
        <w:t>Axel Heides Gade 1</w:t>
      </w:r>
    </w:p>
    <w:p w:rsidR="000B5EF7" w:rsidRPr="00B9638B" w:rsidRDefault="000B5EF7" w:rsidP="000B5EF7">
      <w:pPr>
        <w:autoSpaceDE w:val="0"/>
        <w:autoSpaceDN w:val="0"/>
        <w:adjustRightInd w:val="0"/>
        <w:ind w:left="851"/>
        <w:rPr>
          <w:szCs w:val="22"/>
        </w:rPr>
      </w:pPr>
      <w:r w:rsidRPr="00B9638B">
        <w:rPr>
          <w:szCs w:val="22"/>
        </w:rPr>
        <w:t>DK-2300 København S</w:t>
      </w:r>
    </w:p>
    <w:p w:rsidR="000B5EF7" w:rsidRPr="000B5EF7" w:rsidRDefault="000B5EF7" w:rsidP="000B5EF7">
      <w:pPr>
        <w:autoSpaceDE w:val="0"/>
        <w:autoSpaceDN w:val="0"/>
        <w:adjustRightInd w:val="0"/>
        <w:ind w:left="851"/>
        <w:rPr>
          <w:szCs w:val="22"/>
        </w:rPr>
      </w:pPr>
      <w:r w:rsidRPr="00B9638B">
        <w:rPr>
          <w:szCs w:val="22"/>
        </w:rPr>
        <w:t xml:space="preserve">Websted: </w:t>
      </w:r>
      <w:hyperlink r:id="rId11" w:history="1">
        <w:r w:rsidRPr="00B9638B">
          <w:rPr>
            <w:rStyle w:val="Hyperlink"/>
            <w:szCs w:val="22"/>
          </w:rPr>
          <w:t>www.meldenbivirkning.dk</w:t>
        </w:r>
      </w:hyperlink>
    </w:p>
    <w:p w:rsidR="009260DE" w:rsidRPr="00DC07DC" w:rsidRDefault="009260DE" w:rsidP="00DC07DC">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C16C9" w:rsidRPr="00EC16C9" w:rsidRDefault="00EC16C9" w:rsidP="00EC16C9">
      <w:pPr>
        <w:tabs>
          <w:tab w:val="left" w:pos="851"/>
        </w:tabs>
        <w:ind w:left="851"/>
        <w:rPr>
          <w:sz w:val="24"/>
          <w:szCs w:val="24"/>
        </w:rPr>
      </w:pPr>
      <w:r w:rsidRPr="00EC16C9">
        <w:rPr>
          <w:sz w:val="24"/>
          <w:szCs w:val="24"/>
        </w:rPr>
        <w:t xml:space="preserve">Overdosering med </w:t>
      </w:r>
      <w:proofErr w:type="spellStart"/>
      <w:r w:rsidRPr="00EC16C9">
        <w:rPr>
          <w:sz w:val="24"/>
          <w:szCs w:val="24"/>
        </w:rPr>
        <w:t>Axhidrox</w:t>
      </w:r>
      <w:proofErr w:type="spellEnd"/>
      <w:r w:rsidRPr="00EC16C9">
        <w:rPr>
          <w:sz w:val="24"/>
          <w:szCs w:val="24"/>
        </w:rPr>
        <w:t xml:space="preserve"> anses for at være usandsynlig med topisk administration udelukkende i armhulerne.</w:t>
      </w:r>
    </w:p>
    <w:p w:rsidR="00EC16C9" w:rsidRPr="00EC16C9" w:rsidRDefault="00EC16C9" w:rsidP="00EC16C9">
      <w:pPr>
        <w:tabs>
          <w:tab w:val="left" w:pos="851"/>
        </w:tabs>
        <w:ind w:left="851"/>
        <w:rPr>
          <w:sz w:val="24"/>
          <w:szCs w:val="24"/>
        </w:rPr>
      </w:pPr>
    </w:p>
    <w:p w:rsidR="00EC16C9" w:rsidRPr="00EC16C9" w:rsidRDefault="00EC16C9" w:rsidP="00EC16C9">
      <w:pPr>
        <w:tabs>
          <w:tab w:val="left" w:pos="851"/>
        </w:tabs>
        <w:ind w:left="851"/>
        <w:rPr>
          <w:sz w:val="24"/>
          <w:szCs w:val="24"/>
        </w:rPr>
      </w:pPr>
      <w:r w:rsidRPr="00EC16C9">
        <w:rPr>
          <w:sz w:val="24"/>
          <w:szCs w:val="24"/>
        </w:rPr>
        <w:t xml:space="preserve">Hvis </w:t>
      </w:r>
      <w:proofErr w:type="spellStart"/>
      <w:r w:rsidRPr="00EC16C9">
        <w:rPr>
          <w:sz w:val="24"/>
          <w:szCs w:val="24"/>
        </w:rPr>
        <w:t>Axhidrox</w:t>
      </w:r>
      <w:proofErr w:type="spellEnd"/>
      <w:r w:rsidRPr="00EC16C9">
        <w:rPr>
          <w:sz w:val="24"/>
          <w:szCs w:val="24"/>
        </w:rPr>
        <w:t xml:space="preserve"> bruges forkert på andre kropsdele (håndflader, fødder, ansigt) eller på store områder af kroppen med øget svedproduktion, kan en øget risiko for bivirkninger eller en overdosering ikke udelukkes. Tegn på overdosering, der blev observeret specifikt med systemisk oral administration af </w:t>
      </w:r>
      <w:proofErr w:type="spellStart"/>
      <w:r w:rsidRPr="00EC16C9">
        <w:rPr>
          <w:sz w:val="24"/>
          <w:szCs w:val="24"/>
        </w:rPr>
        <w:t>glycopyrronium</w:t>
      </w:r>
      <w:proofErr w:type="spellEnd"/>
      <w:r w:rsidRPr="00EC16C9">
        <w:rPr>
          <w:sz w:val="24"/>
          <w:szCs w:val="24"/>
        </w:rPr>
        <w:t xml:space="preserve">, omfattede hudrødme med en varmefornemmelse, overhedning af kroppen, livstruende hedeslag, hudtørhed og tørhed af slimhinder, </w:t>
      </w:r>
      <w:proofErr w:type="spellStart"/>
      <w:r w:rsidRPr="00EC16C9">
        <w:rPr>
          <w:sz w:val="24"/>
          <w:szCs w:val="24"/>
        </w:rPr>
        <w:t>mydriasis</w:t>
      </w:r>
      <w:proofErr w:type="spellEnd"/>
      <w:r w:rsidRPr="00EC16C9">
        <w:rPr>
          <w:sz w:val="24"/>
          <w:szCs w:val="24"/>
        </w:rPr>
        <w:t xml:space="preserve"> med tab af </w:t>
      </w:r>
      <w:proofErr w:type="spellStart"/>
      <w:r w:rsidRPr="00EC16C9">
        <w:rPr>
          <w:sz w:val="24"/>
          <w:szCs w:val="24"/>
        </w:rPr>
        <w:t>akkomodation</w:t>
      </w:r>
      <w:proofErr w:type="spellEnd"/>
      <w:r w:rsidRPr="00EC16C9">
        <w:rPr>
          <w:sz w:val="24"/>
          <w:szCs w:val="24"/>
        </w:rPr>
        <w:t xml:space="preserve">, ændringer i mentalstatus og feber, </w:t>
      </w:r>
      <w:proofErr w:type="spellStart"/>
      <w:r w:rsidRPr="00EC16C9">
        <w:rPr>
          <w:sz w:val="24"/>
          <w:szCs w:val="24"/>
        </w:rPr>
        <w:t>sinustakykardi</w:t>
      </w:r>
      <w:proofErr w:type="spellEnd"/>
      <w:r w:rsidRPr="00EC16C9">
        <w:rPr>
          <w:sz w:val="24"/>
          <w:szCs w:val="24"/>
        </w:rPr>
        <w:t xml:space="preserve">, et fald i tarmlyde, funktionel </w:t>
      </w:r>
      <w:proofErr w:type="spellStart"/>
      <w:r w:rsidRPr="00EC16C9">
        <w:rPr>
          <w:sz w:val="24"/>
          <w:szCs w:val="24"/>
        </w:rPr>
        <w:t>ileus</w:t>
      </w:r>
      <w:proofErr w:type="spellEnd"/>
      <w:r w:rsidRPr="00EC16C9">
        <w:rPr>
          <w:sz w:val="24"/>
          <w:szCs w:val="24"/>
        </w:rPr>
        <w:t xml:space="preserve">, urinretention, hypertension, </w:t>
      </w:r>
      <w:proofErr w:type="spellStart"/>
      <w:r w:rsidRPr="00EC16C9">
        <w:rPr>
          <w:sz w:val="24"/>
          <w:szCs w:val="24"/>
        </w:rPr>
        <w:t>tremor</w:t>
      </w:r>
      <w:proofErr w:type="spellEnd"/>
      <w:r w:rsidRPr="00EC16C9">
        <w:rPr>
          <w:sz w:val="24"/>
          <w:szCs w:val="24"/>
        </w:rPr>
        <w:t xml:space="preserve"> og </w:t>
      </w:r>
      <w:proofErr w:type="spellStart"/>
      <w:r w:rsidRPr="00EC16C9">
        <w:rPr>
          <w:sz w:val="24"/>
          <w:szCs w:val="24"/>
        </w:rPr>
        <w:t>myokloniske</w:t>
      </w:r>
      <w:proofErr w:type="spellEnd"/>
      <w:r w:rsidRPr="00EC16C9">
        <w:rPr>
          <w:sz w:val="24"/>
          <w:szCs w:val="24"/>
        </w:rPr>
        <w:t xml:space="preserve"> trækninger.</w:t>
      </w:r>
    </w:p>
    <w:p w:rsidR="00EC16C9" w:rsidRPr="00EC16C9" w:rsidRDefault="00EC16C9" w:rsidP="00EC16C9">
      <w:pPr>
        <w:tabs>
          <w:tab w:val="left" w:pos="851"/>
        </w:tabs>
        <w:ind w:left="851"/>
        <w:rPr>
          <w:sz w:val="24"/>
          <w:szCs w:val="24"/>
        </w:rPr>
      </w:pPr>
    </w:p>
    <w:p w:rsidR="00EC16C9" w:rsidRPr="00EC16C9" w:rsidRDefault="00EC16C9" w:rsidP="00EC16C9">
      <w:pPr>
        <w:tabs>
          <w:tab w:val="left" w:pos="851"/>
        </w:tabs>
        <w:ind w:left="851"/>
        <w:rPr>
          <w:sz w:val="24"/>
          <w:szCs w:val="24"/>
        </w:rPr>
      </w:pPr>
      <w:r w:rsidRPr="00EC16C9">
        <w:rPr>
          <w:sz w:val="24"/>
          <w:szCs w:val="24"/>
        </w:rPr>
        <w:t>Ved alvorlige eller livstruende symptomer skal det overvejes at administrere en kvaternær ammonium-</w:t>
      </w:r>
      <w:proofErr w:type="spellStart"/>
      <w:r w:rsidRPr="00EC16C9">
        <w:rPr>
          <w:sz w:val="24"/>
          <w:szCs w:val="24"/>
        </w:rPr>
        <w:t>antikolinesterase</w:t>
      </w:r>
      <w:proofErr w:type="spellEnd"/>
      <w:r w:rsidRPr="00EC16C9">
        <w:rPr>
          <w:sz w:val="24"/>
          <w:szCs w:val="24"/>
        </w:rPr>
        <w:t xml:space="preserve">, såsom </w:t>
      </w:r>
      <w:proofErr w:type="spellStart"/>
      <w:r w:rsidRPr="00EC16C9">
        <w:rPr>
          <w:sz w:val="24"/>
          <w:szCs w:val="24"/>
        </w:rPr>
        <w:t>neostigmin</w:t>
      </w:r>
      <w:proofErr w:type="spellEnd"/>
      <w:r w:rsidRPr="00EC16C9">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27898"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B4FD0" w:rsidRDefault="001B4FD0" w:rsidP="001B4FD0">
      <w:pPr>
        <w:ind w:left="851"/>
        <w:rPr>
          <w:sz w:val="24"/>
          <w:szCs w:val="24"/>
          <w:u w:val="single"/>
        </w:rPr>
      </w:pPr>
    </w:p>
    <w:p w:rsidR="00F35C6D" w:rsidRPr="00B27BE7" w:rsidRDefault="00F35C6D" w:rsidP="00F35C6D">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B27BE7">
        <w:rPr>
          <w:sz w:val="24"/>
          <w:szCs w:val="24"/>
        </w:rPr>
        <w:t>Antihidrotica</w:t>
      </w:r>
      <w:proofErr w:type="spellEnd"/>
      <w:r w:rsidRPr="00B27BE7">
        <w:rPr>
          <w:sz w:val="24"/>
          <w:szCs w:val="24"/>
        </w:rPr>
        <w:t>, andre dermatologiske midler.</w:t>
      </w:r>
    </w:p>
    <w:p w:rsidR="00F35C6D" w:rsidRDefault="00F35C6D" w:rsidP="001B4FD0">
      <w:pPr>
        <w:ind w:left="851"/>
        <w:rPr>
          <w:sz w:val="24"/>
          <w:szCs w:val="24"/>
        </w:rPr>
      </w:pPr>
      <w:r w:rsidRPr="00B27BE7">
        <w:rPr>
          <w:sz w:val="24"/>
          <w:szCs w:val="24"/>
        </w:rPr>
        <w:t>ATC-kode: D</w:t>
      </w:r>
      <w:r>
        <w:rPr>
          <w:sz w:val="24"/>
          <w:szCs w:val="24"/>
        </w:rPr>
        <w:t xml:space="preserve"> </w:t>
      </w:r>
      <w:r w:rsidRPr="00B27BE7">
        <w:rPr>
          <w:sz w:val="24"/>
          <w:szCs w:val="24"/>
        </w:rPr>
        <w:t>11</w:t>
      </w:r>
      <w:r>
        <w:rPr>
          <w:sz w:val="24"/>
          <w:szCs w:val="24"/>
        </w:rPr>
        <w:t xml:space="preserve"> </w:t>
      </w:r>
      <w:r w:rsidRPr="00B27BE7">
        <w:rPr>
          <w:sz w:val="24"/>
          <w:szCs w:val="24"/>
        </w:rPr>
        <w:t>AA</w:t>
      </w:r>
      <w:r>
        <w:rPr>
          <w:sz w:val="24"/>
          <w:szCs w:val="24"/>
        </w:rPr>
        <w:t xml:space="preserve"> </w:t>
      </w:r>
      <w:r w:rsidRPr="00B27BE7">
        <w:rPr>
          <w:sz w:val="24"/>
          <w:szCs w:val="24"/>
        </w:rPr>
        <w:t>01.</w:t>
      </w:r>
    </w:p>
    <w:p w:rsidR="00F35C6D" w:rsidRPr="00F35C6D" w:rsidRDefault="00F35C6D" w:rsidP="001B4FD0">
      <w:pPr>
        <w:ind w:left="851"/>
        <w:rPr>
          <w:sz w:val="24"/>
          <w:szCs w:val="24"/>
        </w:rPr>
      </w:pPr>
    </w:p>
    <w:p w:rsidR="001B4FD0" w:rsidRPr="001B4FD0" w:rsidRDefault="001B4FD0" w:rsidP="001B4FD0">
      <w:pPr>
        <w:ind w:left="851"/>
        <w:rPr>
          <w:sz w:val="24"/>
          <w:szCs w:val="24"/>
          <w:u w:val="single"/>
        </w:rPr>
      </w:pPr>
      <w:r w:rsidRPr="001B4FD0">
        <w:rPr>
          <w:sz w:val="24"/>
          <w:szCs w:val="24"/>
          <w:u w:val="single"/>
        </w:rPr>
        <w:t>Virkningsmekanisme</w:t>
      </w:r>
    </w:p>
    <w:p w:rsidR="001B4FD0" w:rsidRPr="001B4FD0" w:rsidRDefault="001B4FD0" w:rsidP="001B4FD0">
      <w:pPr>
        <w:ind w:left="851"/>
        <w:rPr>
          <w:sz w:val="24"/>
          <w:szCs w:val="24"/>
        </w:rPr>
      </w:pPr>
      <w:proofErr w:type="spellStart"/>
      <w:r w:rsidRPr="001B4FD0">
        <w:rPr>
          <w:sz w:val="24"/>
          <w:szCs w:val="24"/>
        </w:rPr>
        <w:t>Glycopyrronium</w:t>
      </w:r>
      <w:proofErr w:type="spellEnd"/>
      <w:r w:rsidRPr="001B4FD0">
        <w:rPr>
          <w:sz w:val="24"/>
          <w:szCs w:val="24"/>
        </w:rPr>
        <w:t xml:space="preserve"> er en </w:t>
      </w:r>
      <w:proofErr w:type="spellStart"/>
      <w:r w:rsidRPr="001B4FD0">
        <w:rPr>
          <w:sz w:val="24"/>
          <w:szCs w:val="24"/>
        </w:rPr>
        <w:t>kompetitiv</w:t>
      </w:r>
      <w:proofErr w:type="spellEnd"/>
      <w:r w:rsidRPr="001B4FD0">
        <w:rPr>
          <w:sz w:val="24"/>
          <w:szCs w:val="24"/>
        </w:rPr>
        <w:t xml:space="preserve"> </w:t>
      </w:r>
      <w:proofErr w:type="spellStart"/>
      <w:r w:rsidRPr="001B4FD0">
        <w:rPr>
          <w:sz w:val="24"/>
          <w:szCs w:val="24"/>
        </w:rPr>
        <w:t>muskarin</w:t>
      </w:r>
      <w:proofErr w:type="spellEnd"/>
      <w:r w:rsidRPr="001B4FD0">
        <w:rPr>
          <w:sz w:val="24"/>
          <w:szCs w:val="24"/>
        </w:rPr>
        <w:t xml:space="preserve"> acetylkolinreceptorantagonist.</w:t>
      </w:r>
    </w:p>
    <w:p w:rsidR="00F35C6D" w:rsidRDefault="00F35C6D" w:rsidP="00F35C6D">
      <w:pPr>
        <w:rPr>
          <w:sz w:val="24"/>
          <w:szCs w:val="24"/>
        </w:rPr>
      </w:pPr>
    </w:p>
    <w:p w:rsidR="001B4FD0" w:rsidRPr="001B4FD0" w:rsidRDefault="001B4FD0" w:rsidP="00F35C6D">
      <w:pPr>
        <w:ind w:firstLine="851"/>
        <w:rPr>
          <w:sz w:val="24"/>
          <w:szCs w:val="24"/>
          <w:u w:val="single"/>
        </w:rPr>
      </w:pPr>
      <w:proofErr w:type="spellStart"/>
      <w:r w:rsidRPr="001B4FD0">
        <w:rPr>
          <w:sz w:val="24"/>
          <w:szCs w:val="24"/>
          <w:u w:val="single"/>
        </w:rPr>
        <w:t>Farmakodynamisk</w:t>
      </w:r>
      <w:proofErr w:type="spellEnd"/>
      <w:r w:rsidRPr="001B4FD0">
        <w:rPr>
          <w:sz w:val="24"/>
          <w:szCs w:val="24"/>
          <w:u w:val="single"/>
        </w:rPr>
        <w:t xml:space="preserve"> virkning</w:t>
      </w:r>
    </w:p>
    <w:p w:rsidR="001B4FD0" w:rsidRPr="001B4FD0" w:rsidRDefault="001B4FD0" w:rsidP="001B4FD0">
      <w:pPr>
        <w:ind w:left="851"/>
        <w:rPr>
          <w:sz w:val="24"/>
          <w:szCs w:val="24"/>
        </w:rPr>
      </w:pPr>
      <w:proofErr w:type="spellStart"/>
      <w:r w:rsidRPr="001B4FD0">
        <w:rPr>
          <w:sz w:val="24"/>
          <w:szCs w:val="24"/>
        </w:rPr>
        <w:t>Glycopyrronium</w:t>
      </w:r>
      <w:proofErr w:type="spellEnd"/>
      <w:r w:rsidRPr="001B4FD0">
        <w:rPr>
          <w:sz w:val="24"/>
          <w:szCs w:val="24"/>
        </w:rPr>
        <w:t xml:space="preserve"> hæmmer acetylkolin-drevne virkninger på glatte muskel- og hjertemuskelceller og på forskellige kirtler, inklusive svedkirtlerne. I svedkirtlerne resulterer dette i en reduktion af sved.</w:t>
      </w:r>
    </w:p>
    <w:p w:rsidR="001B4FD0" w:rsidRPr="001B4FD0" w:rsidRDefault="001B4FD0" w:rsidP="001B4FD0">
      <w:pPr>
        <w:ind w:left="851"/>
        <w:rPr>
          <w:sz w:val="24"/>
          <w:szCs w:val="24"/>
        </w:rPr>
      </w:pPr>
    </w:p>
    <w:p w:rsidR="001B4FD0" w:rsidRPr="001B4FD0" w:rsidRDefault="001B4FD0" w:rsidP="001B4FD0">
      <w:pPr>
        <w:ind w:left="851"/>
        <w:rPr>
          <w:sz w:val="24"/>
          <w:szCs w:val="24"/>
          <w:u w:val="single"/>
        </w:rPr>
      </w:pPr>
      <w:r w:rsidRPr="001B4FD0">
        <w:rPr>
          <w:sz w:val="24"/>
          <w:szCs w:val="24"/>
          <w:u w:val="single"/>
        </w:rPr>
        <w:t>Klinisk virkning og sikkerhed</w:t>
      </w:r>
    </w:p>
    <w:p w:rsidR="00D061C9" w:rsidRPr="00290816" w:rsidRDefault="00D061C9" w:rsidP="00290816">
      <w:pPr>
        <w:autoSpaceDE w:val="0"/>
        <w:autoSpaceDN w:val="0"/>
        <w:adjustRightInd w:val="0"/>
        <w:ind w:left="851"/>
        <w:rPr>
          <w:sz w:val="24"/>
          <w:szCs w:val="24"/>
        </w:rPr>
      </w:pPr>
      <w:bookmarkStart w:id="6" w:name="_Hlk51323839"/>
      <w:proofErr w:type="spellStart"/>
      <w:r w:rsidRPr="00290816">
        <w:rPr>
          <w:sz w:val="24"/>
          <w:szCs w:val="24"/>
        </w:rPr>
        <w:t>Axhidrox</w:t>
      </w:r>
      <w:proofErr w:type="spellEnd"/>
      <w:r w:rsidRPr="00290816">
        <w:rPr>
          <w:sz w:val="24"/>
          <w:szCs w:val="24"/>
        </w:rPr>
        <w:t xml:space="preserve">’ sikkerhed og virkning hos patienter med primær </w:t>
      </w:r>
      <w:proofErr w:type="spellStart"/>
      <w:r w:rsidRPr="00290816">
        <w:rPr>
          <w:sz w:val="24"/>
          <w:szCs w:val="24"/>
        </w:rPr>
        <w:t>aksillær</w:t>
      </w:r>
      <w:proofErr w:type="spellEnd"/>
      <w:r w:rsidRPr="00290816">
        <w:rPr>
          <w:sz w:val="24"/>
          <w:szCs w:val="24"/>
        </w:rPr>
        <w:t xml:space="preserve"> </w:t>
      </w:r>
      <w:proofErr w:type="spellStart"/>
      <w:r w:rsidRPr="00290816">
        <w:rPr>
          <w:sz w:val="24"/>
          <w:szCs w:val="24"/>
        </w:rPr>
        <w:t>hyperhidrose</w:t>
      </w:r>
      <w:proofErr w:type="spellEnd"/>
      <w:r w:rsidRPr="00290816">
        <w:rPr>
          <w:sz w:val="24"/>
          <w:szCs w:val="24"/>
        </w:rPr>
        <w:t xml:space="preserve"> blev evalueret i et fase 3</w:t>
      </w:r>
      <w:r w:rsidRPr="00290816">
        <w:rPr>
          <w:sz w:val="24"/>
          <w:szCs w:val="24"/>
        </w:rPr>
        <w:noBreakHyphen/>
        <w:t>studie, der bestod af en 4</w:t>
      </w:r>
      <w:r w:rsidRPr="00290816">
        <w:rPr>
          <w:sz w:val="24"/>
          <w:szCs w:val="24"/>
        </w:rPr>
        <w:noBreakHyphen/>
        <w:t>ugers dobbeltblindet og placebokontrolleret behandlingsperiode (fase 3a-del), efterfulgt af en åben forlængelse af behandling op til 72 uger (fase 3b-del).</w:t>
      </w:r>
    </w:p>
    <w:p w:rsidR="00D061C9" w:rsidRPr="00290816" w:rsidRDefault="00D061C9" w:rsidP="00290816">
      <w:pPr>
        <w:autoSpaceDE w:val="0"/>
        <w:autoSpaceDN w:val="0"/>
        <w:adjustRightInd w:val="0"/>
        <w:ind w:left="851"/>
        <w:rPr>
          <w:sz w:val="24"/>
          <w:szCs w:val="24"/>
        </w:rPr>
      </w:pPr>
    </w:p>
    <w:p w:rsidR="00D061C9" w:rsidRPr="00290816" w:rsidRDefault="00D061C9" w:rsidP="00290816">
      <w:pPr>
        <w:autoSpaceDE w:val="0"/>
        <w:autoSpaceDN w:val="0"/>
        <w:adjustRightInd w:val="0"/>
        <w:ind w:left="851"/>
        <w:rPr>
          <w:sz w:val="24"/>
          <w:szCs w:val="24"/>
        </w:rPr>
      </w:pPr>
      <w:r w:rsidRPr="00290816">
        <w:rPr>
          <w:sz w:val="24"/>
          <w:szCs w:val="24"/>
        </w:rPr>
        <w:t>I alt 171 patienter (18</w:t>
      </w:r>
      <w:r w:rsidRPr="00290816">
        <w:rPr>
          <w:sz w:val="24"/>
          <w:szCs w:val="24"/>
        </w:rPr>
        <w:noBreakHyphen/>
        <w:t>65 år) blev inkluderet i den 4</w:t>
      </w:r>
      <w:r w:rsidRPr="00290816">
        <w:rPr>
          <w:sz w:val="24"/>
          <w:szCs w:val="24"/>
        </w:rPr>
        <w:noBreakHyphen/>
        <w:t xml:space="preserve">ugers, multicenter, randomiserede, dobbeltblindede, placebokontrollerede fase 3a af det pivotale studie. Mellem behandlingsgrupperne var gennemsnitsalderen 36 år, 51 % var mænd. Næsten alle var af kaukasisk etnisk oprindelse. Sygdommens sværhedsgrad var svær primær </w:t>
      </w:r>
      <w:proofErr w:type="spellStart"/>
      <w:r w:rsidRPr="00290816">
        <w:rPr>
          <w:sz w:val="24"/>
          <w:szCs w:val="24"/>
        </w:rPr>
        <w:t>aksillær</w:t>
      </w:r>
      <w:proofErr w:type="spellEnd"/>
      <w:r w:rsidRPr="00290816">
        <w:rPr>
          <w:sz w:val="24"/>
          <w:szCs w:val="24"/>
        </w:rPr>
        <w:t xml:space="preserve"> </w:t>
      </w:r>
      <w:proofErr w:type="spellStart"/>
      <w:r w:rsidRPr="00290816">
        <w:rPr>
          <w:sz w:val="24"/>
          <w:szCs w:val="24"/>
        </w:rPr>
        <w:t>hyperhidrose</w:t>
      </w:r>
      <w:proofErr w:type="spellEnd"/>
      <w:r w:rsidRPr="00290816">
        <w:rPr>
          <w:sz w:val="24"/>
          <w:szCs w:val="24"/>
        </w:rPr>
        <w:t xml:space="preserve"> (HDSS-score på 3 eller 4) med mindst 50 mg svedproduktion i hver </w:t>
      </w:r>
      <w:proofErr w:type="spellStart"/>
      <w:r w:rsidRPr="00290816">
        <w:rPr>
          <w:sz w:val="24"/>
          <w:szCs w:val="24"/>
        </w:rPr>
        <w:t>aksil</w:t>
      </w:r>
      <w:proofErr w:type="spellEnd"/>
      <w:r w:rsidRPr="00290816">
        <w:rPr>
          <w:sz w:val="24"/>
          <w:szCs w:val="24"/>
        </w:rPr>
        <w:t xml:space="preserve"> målt </w:t>
      </w:r>
      <w:proofErr w:type="spellStart"/>
      <w:r w:rsidRPr="00290816">
        <w:rPr>
          <w:sz w:val="24"/>
          <w:szCs w:val="24"/>
        </w:rPr>
        <w:t>gravimetrisk</w:t>
      </w:r>
      <w:proofErr w:type="spellEnd"/>
      <w:r w:rsidRPr="00290816">
        <w:rPr>
          <w:sz w:val="24"/>
          <w:szCs w:val="24"/>
        </w:rPr>
        <w:t xml:space="preserve"> ved stuetemperatur og en fugtighed, der var tilsvarende det normale klima i det pågældende område over en periode på 5 minutter.</w:t>
      </w:r>
    </w:p>
    <w:p w:rsidR="00D061C9" w:rsidRPr="00290816" w:rsidRDefault="00D061C9" w:rsidP="00290816">
      <w:pPr>
        <w:autoSpaceDE w:val="0"/>
        <w:autoSpaceDN w:val="0"/>
        <w:adjustRightInd w:val="0"/>
        <w:ind w:left="851"/>
        <w:rPr>
          <w:sz w:val="24"/>
          <w:szCs w:val="24"/>
        </w:rPr>
      </w:pPr>
    </w:p>
    <w:p w:rsidR="00D061C9" w:rsidRPr="00290816" w:rsidRDefault="00D061C9" w:rsidP="00290816">
      <w:pPr>
        <w:autoSpaceDE w:val="0"/>
        <w:autoSpaceDN w:val="0"/>
        <w:adjustRightInd w:val="0"/>
        <w:ind w:left="851"/>
        <w:rPr>
          <w:sz w:val="24"/>
          <w:szCs w:val="24"/>
        </w:rPr>
      </w:pPr>
      <w:r w:rsidRPr="00290816">
        <w:rPr>
          <w:sz w:val="24"/>
          <w:szCs w:val="24"/>
        </w:rPr>
        <w:t xml:space="preserve">Det primære endepunkt blev defineret som den absolutte ændring i svedproduktion med GPB 1 % cremen vs. placebo fra </w:t>
      </w:r>
      <w:r w:rsidRPr="00290816">
        <w:rPr>
          <w:i/>
          <w:iCs/>
          <w:sz w:val="24"/>
          <w:szCs w:val="24"/>
        </w:rPr>
        <w:t>baseline</w:t>
      </w:r>
      <w:r w:rsidRPr="00290816">
        <w:rPr>
          <w:sz w:val="24"/>
          <w:szCs w:val="24"/>
        </w:rPr>
        <w:t xml:space="preserve"> til dag 29 vurderet med </w:t>
      </w:r>
      <w:proofErr w:type="spellStart"/>
      <w:r w:rsidRPr="00290816">
        <w:rPr>
          <w:sz w:val="24"/>
          <w:szCs w:val="24"/>
        </w:rPr>
        <w:t>gravimetrisk</w:t>
      </w:r>
      <w:proofErr w:type="spellEnd"/>
      <w:r w:rsidRPr="00290816">
        <w:rPr>
          <w:sz w:val="24"/>
          <w:szCs w:val="24"/>
        </w:rPr>
        <w:t xml:space="preserve"> testning. Vigtige sekundære endepunkter var sammenligningen mellem GPB 1 % creme og placebo vedrørende absolut ændring i </w:t>
      </w:r>
      <w:proofErr w:type="spellStart"/>
      <w:r w:rsidRPr="00290816">
        <w:rPr>
          <w:i/>
          <w:iCs/>
          <w:sz w:val="24"/>
          <w:szCs w:val="24"/>
        </w:rPr>
        <w:t>Hyperhidrosis</w:t>
      </w:r>
      <w:proofErr w:type="spellEnd"/>
      <w:r w:rsidRPr="00290816">
        <w:rPr>
          <w:i/>
          <w:iCs/>
          <w:sz w:val="24"/>
          <w:szCs w:val="24"/>
        </w:rPr>
        <w:t xml:space="preserve"> </w:t>
      </w:r>
      <w:proofErr w:type="spellStart"/>
      <w:r w:rsidRPr="00290816">
        <w:rPr>
          <w:i/>
          <w:iCs/>
          <w:sz w:val="24"/>
          <w:szCs w:val="24"/>
        </w:rPr>
        <w:t>Quality</w:t>
      </w:r>
      <w:proofErr w:type="spellEnd"/>
      <w:r w:rsidRPr="00290816">
        <w:rPr>
          <w:i/>
          <w:iCs/>
          <w:sz w:val="24"/>
          <w:szCs w:val="24"/>
        </w:rPr>
        <w:t xml:space="preserve"> of Life Index</w:t>
      </w:r>
      <w:r w:rsidRPr="00290816">
        <w:rPr>
          <w:sz w:val="24"/>
          <w:szCs w:val="24"/>
        </w:rPr>
        <w:t xml:space="preserve"> (</w:t>
      </w:r>
      <w:proofErr w:type="spellStart"/>
      <w:r w:rsidRPr="00290816">
        <w:rPr>
          <w:sz w:val="24"/>
          <w:szCs w:val="24"/>
        </w:rPr>
        <w:t>HidroQoL</w:t>
      </w:r>
      <w:proofErr w:type="spellEnd"/>
      <w:r w:rsidRPr="00290816">
        <w:rPr>
          <w:sz w:val="24"/>
          <w:szCs w:val="24"/>
        </w:rPr>
        <w:t xml:space="preserve">)-score fra </w:t>
      </w:r>
      <w:r w:rsidRPr="00290816">
        <w:rPr>
          <w:i/>
          <w:iCs/>
          <w:sz w:val="24"/>
          <w:szCs w:val="24"/>
        </w:rPr>
        <w:t>baseline</w:t>
      </w:r>
      <w:r w:rsidRPr="00290816">
        <w:rPr>
          <w:sz w:val="24"/>
          <w:szCs w:val="24"/>
        </w:rPr>
        <w:t xml:space="preserve"> til dag 29 og procentdelen af respondere baseret på HDSS-score på dag 29 (forbedring på ≥ 2 points).</w:t>
      </w:r>
    </w:p>
    <w:p w:rsidR="00D061C9" w:rsidRPr="00290816" w:rsidRDefault="00D061C9" w:rsidP="00290816">
      <w:pPr>
        <w:autoSpaceDE w:val="0"/>
        <w:autoSpaceDN w:val="0"/>
        <w:adjustRightInd w:val="0"/>
        <w:ind w:left="851"/>
        <w:rPr>
          <w:sz w:val="24"/>
          <w:szCs w:val="24"/>
        </w:rPr>
      </w:pPr>
    </w:p>
    <w:p w:rsidR="00D061C9" w:rsidRPr="00290816" w:rsidRDefault="00D061C9" w:rsidP="00290816">
      <w:pPr>
        <w:autoSpaceDE w:val="0"/>
        <w:autoSpaceDN w:val="0"/>
        <w:adjustRightInd w:val="0"/>
        <w:ind w:left="851"/>
        <w:rPr>
          <w:sz w:val="24"/>
          <w:szCs w:val="24"/>
        </w:rPr>
      </w:pPr>
      <w:r w:rsidRPr="00290816">
        <w:rPr>
          <w:sz w:val="24"/>
          <w:szCs w:val="24"/>
        </w:rPr>
        <w:t xml:space="preserve">Efter 4 ugers behandling i den placebokontrollerede del af fase 3-studiet viste gruppen behandlet med </w:t>
      </w:r>
      <w:proofErr w:type="spellStart"/>
      <w:r w:rsidRPr="00290816">
        <w:rPr>
          <w:sz w:val="24"/>
          <w:szCs w:val="24"/>
        </w:rPr>
        <w:t>Axhidrox</w:t>
      </w:r>
      <w:proofErr w:type="spellEnd"/>
      <w:r w:rsidRPr="00290816">
        <w:rPr>
          <w:sz w:val="24"/>
          <w:szCs w:val="24"/>
        </w:rPr>
        <w:t xml:space="preserve"> en større, ca. 2</w:t>
      </w:r>
      <w:r w:rsidRPr="00290816">
        <w:rPr>
          <w:sz w:val="24"/>
          <w:szCs w:val="24"/>
        </w:rPr>
        <w:noBreakHyphen/>
        <w:t xml:space="preserve">gange, svedreduktion fra </w:t>
      </w:r>
      <w:r w:rsidRPr="00290816">
        <w:rPr>
          <w:i/>
          <w:iCs/>
          <w:sz w:val="24"/>
          <w:szCs w:val="24"/>
        </w:rPr>
        <w:t>baseline</w:t>
      </w:r>
      <w:r w:rsidRPr="00290816">
        <w:rPr>
          <w:sz w:val="24"/>
          <w:szCs w:val="24"/>
        </w:rPr>
        <w:t xml:space="preserve"> end placebogruppen. Den absolutte reduktion i svedproduktion fra </w:t>
      </w:r>
      <w:r w:rsidRPr="00290816">
        <w:rPr>
          <w:i/>
          <w:iCs/>
          <w:sz w:val="24"/>
          <w:szCs w:val="24"/>
        </w:rPr>
        <w:t>baseline</w:t>
      </w:r>
      <w:r w:rsidRPr="00290816">
        <w:rPr>
          <w:sz w:val="24"/>
          <w:szCs w:val="24"/>
        </w:rPr>
        <w:t xml:space="preserve"> til dag 29 var statistisk signifikant højere i gruppen med </w:t>
      </w:r>
      <w:proofErr w:type="spellStart"/>
      <w:r w:rsidRPr="00290816">
        <w:rPr>
          <w:sz w:val="24"/>
          <w:szCs w:val="24"/>
        </w:rPr>
        <w:t>Axhidrox</w:t>
      </w:r>
      <w:proofErr w:type="spellEnd"/>
      <w:r w:rsidRPr="00290816">
        <w:rPr>
          <w:sz w:val="24"/>
          <w:szCs w:val="24"/>
        </w:rPr>
        <w:t xml:space="preserve"> sammenlignet med placebogruppen (tabel 2).</w:t>
      </w:r>
    </w:p>
    <w:p w:rsidR="00D061C9" w:rsidRPr="00290816" w:rsidRDefault="00D061C9" w:rsidP="00290816">
      <w:pPr>
        <w:autoSpaceDE w:val="0"/>
        <w:autoSpaceDN w:val="0"/>
        <w:adjustRightInd w:val="0"/>
        <w:ind w:left="851"/>
        <w:rPr>
          <w:sz w:val="24"/>
          <w:szCs w:val="24"/>
        </w:rPr>
      </w:pPr>
    </w:p>
    <w:p w:rsidR="00D061C9" w:rsidRDefault="00D061C9" w:rsidP="00290816">
      <w:pPr>
        <w:autoSpaceDE w:val="0"/>
        <w:autoSpaceDN w:val="0"/>
        <w:adjustRightInd w:val="0"/>
        <w:ind w:left="851"/>
        <w:rPr>
          <w:sz w:val="24"/>
          <w:szCs w:val="24"/>
        </w:rPr>
      </w:pPr>
      <w:r w:rsidRPr="00290816">
        <w:rPr>
          <w:sz w:val="24"/>
          <w:szCs w:val="24"/>
        </w:rPr>
        <w:t xml:space="preserve">Analysen, der vurderede de vigtigste sekundære endepunkter viste en forbedring på 2 eller flere points i HDSS-scoren på behandling med </w:t>
      </w:r>
      <w:proofErr w:type="spellStart"/>
      <w:r w:rsidRPr="00290816">
        <w:rPr>
          <w:sz w:val="24"/>
          <w:szCs w:val="24"/>
        </w:rPr>
        <w:t>Axhidrox</w:t>
      </w:r>
      <w:proofErr w:type="spellEnd"/>
      <w:r w:rsidRPr="00290816">
        <w:rPr>
          <w:sz w:val="24"/>
          <w:szCs w:val="24"/>
        </w:rPr>
        <w:t xml:space="preserve"> end på behandling med placebo (p = 0,0542). I analysen, der vurderede absolutte ændringer i </w:t>
      </w:r>
      <w:proofErr w:type="spellStart"/>
      <w:r w:rsidRPr="00290816">
        <w:rPr>
          <w:sz w:val="24"/>
          <w:szCs w:val="24"/>
        </w:rPr>
        <w:t>HidroQoL</w:t>
      </w:r>
      <w:proofErr w:type="spellEnd"/>
      <w:r w:rsidRPr="00290816">
        <w:rPr>
          <w:sz w:val="24"/>
          <w:szCs w:val="24"/>
        </w:rPr>
        <w:t xml:space="preserve">-scoren, var den </w:t>
      </w:r>
      <w:proofErr w:type="spellStart"/>
      <w:r w:rsidRPr="00290816">
        <w:rPr>
          <w:sz w:val="24"/>
          <w:szCs w:val="24"/>
        </w:rPr>
        <w:t>mediane</w:t>
      </w:r>
      <w:proofErr w:type="spellEnd"/>
      <w:r w:rsidRPr="00290816">
        <w:rPr>
          <w:sz w:val="24"/>
          <w:szCs w:val="24"/>
        </w:rPr>
        <w:t xml:space="preserve"> forbedring signifikant større i gruppen behandlet med </w:t>
      </w:r>
      <w:proofErr w:type="spellStart"/>
      <w:r w:rsidRPr="00290816">
        <w:rPr>
          <w:sz w:val="24"/>
          <w:szCs w:val="24"/>
        </w:rPr>
        <w:t>Axhidrox</w:t>
      </w:r>
      <w:proofErr w:type="spellEnd"/>
      <w:r w:rsidRPr="00290816">
        <w:rPr>
          <w:sz w:val="24"/>
          <w:szCs w:val="24"/>
        </w:rPr>
        <w:t xml:space="preserve"> end med placebogruppen (p &lt; 0,0001).</w:t>
      </w:r>
    </w:p>
    <w:p w:rsidR="00604343" w:rsidRDefault="00604343">
      <w:pPr>
        <w:rPr>
          <w:sz w:val="24"/>
          <w:szCs w:val="24"/>
        </w:rPr>
      </w:pPr>
      <w:r>
        <w:rPr>
          <w:sz w:val="24"/>
          <w:szCs w:val="24"/>
        </w:rPr>
        <w:br w:type="page"/>
      </w:r>
    </w:p>
    <w:p w:rsidR="001B299D" w:rsidRDefault="001B299D" w:rsidP="00290816">
      <w:pPr>
        <w:autoSpaceDE w:val="0"/>
        <w:autoSpaceDN w:val="0"/>
        <w:adjustRightInd w:val="0"/>
        <w:ind w:left="851"/>
        <w:rPr>
          <w:sz w:val="24"/>
          <w:szCs w:val="24"/>
        </w:rPr>
      </w:pPr>
    </w:p>
    <w:bookmarkEnd w:id="6"/>
    <w:p w:rsidR="000B5EF7" w:rsidRPr="006157AD" w:rsidRDefault="000B5EF7" w:rsidP="000B5EF7">
      <w:pPr>
        <w:autoSpaceDE w:val="0"/>
        <w:autoSpaceDN w:val="0"/>
        <w:adjustRightInd w:val="0"/>
        <w:ind w:left="851"/>
        <w:rPr>
          <w:b/>
          <w:bCs/>
          <w:sz w:val="24"/>
          <w:szCs w:val="24"/>
        </w:rPr>
      </w:pPr>
      <w:r w:rsidRPr="006157AD">
        <w:rPr>
          <w:b/>
          <w:bCs/>
          <w:sz w:val="24"/>
          <w:szCs w:val="24"/>
        </w:rPr>
        <w:t>Tabel</w:t>
      </w:r>
      <w:r>
        <w:rPr>
          <w:b/>
          <w:bCs/>
          <w:sz w:val="24"/>
          <w:szCs w:val="24"/>
        </w:rPr>
        <w:t xml:space="preserve"> </w:t>
      </w:r>
      <w:r w:rsidRPr="006157AD">
        <w:rPr>
          <w:b/>
          <w:bCs/>
          <w:sz w:val="24"/>
          <w:szCs w:val="24"/>
        </w:rPr>
        <w:t>2. Data fra fase</w:t>
      </w:r>
      <w:r>
        <w:rPr>
          <w:b/>
          <w:bCs/>
          <w:sz w:val="24"/>
          <w:szCs w:val="24"/>
        </w:rPr>
        <w:t xml:space="preserve"> </w:t>
      </w:r>
      <w:r w:rsidRPr="006157AD">
        <w:rPr>
          <w:b/>
          <w:bCs/>
          <w:sz w:val="24"/>
          <w:szCs w:val="24"/>
        </w:rPr>
        <w:t>3a-delen</w:t>
      </w:r>
    </w:p>
    <w:p w:rsidR="000B5EF7" w:rsidRPr="00290816" w:rsidRDefault="000B5EF7" w:rsidP="000B5EF7">
      <w:pPr>
        <w:autoSpaceDE w:val="0"/>
        <w:autoSpaceDN w:val="0"/>
        <w:adjustRightInd w:val="0"/>
        <w:ind w:left="851"/>
        <w:rPr>
          <w:sz w:val="24"/>
          <w:szCs w:val="24"/>
        </w:rPr>
      </w:pPr>
    </w:p>
    <w:tbl>
      <w:tblPr>
        <w:tblW w:w="906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126"/>
        <w:gridCol w:w="2127"/>
        <w:gridCol w:w="1836"/>
      </w:tblGrid>
      <w:tr w:rsidR="000B5EF7" w:rsidTr="00133BEC">
        <w:tc>
          <w:tcPr>
            <w:tcW w:w="2972" w:type="dxa"/>
            <w:tcBorders>
              <w:top w:val="single" w:sz="4" w:space="0" w:color="auto"/>
              <w:left w:val="single" w:sz="4" w:space="0" w:color="auto"/>
              <w:bottom w:val="single" w:sz="4" w:space="0" w:color="auto"/>
              <w:right w:val="single" w:sz="4" w:space="0" w:color="auto"/>
            </w:tcBorders>
          </w:tcPr>
          <w:p w:rsidR="000B5EF7" w:rsidRDefault="000B5EF7" w:rsidP="00133BEC">
            <w:pPr>
              <w:keepNext/>
              <w:keepLines/>
            </w:pPr>
          </w:p>
        </w:tc>
        <w:tc>
          <w:tcPr>
            <w:tcW w:w="2126"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rPr>
                <w:b/>
                <w:bCs/>
              </w:rPr>
            </w:pPr>
            <w:r>
              <w:rPr>
                <w:b/>
                <w:sz w:val="20"/>
              </w:rPr>
              <w:t>Placebo (n = 84)</w:t>
            </w:r>
          </w:p>
        </w:tc>
        <w:tc>
          <w:tcPr>
            <w:tcW w:w="2127"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rPr>
                <w:b/>
                <w:bCs/>
              </w:rPr>
            </w:pPr>
            <w:r>
              <w:rPr>
                <w:b/>
                <w:sz w:val="20"/>
              </w:rPr>
              <w:t>GPB 1 % (n = 87)</w:t>
            </w:r>
          </w:p>
        </w:tc>
        <w:tc>
          <w:tcPr>
            <w:tcW w:w="1836"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rPr>
                <w:b/>
                <w:bCs/>
              </w:rPr>
            </w:pPr>
            <w:r>
              <w:rPr>
                <w:b/>
                <w:sz w:val="20"/>
              </w:rPr>
              <w:t xml:space="preserve">GPB 1 % vs. placebo </w:t>
            </w:r>
            <w:proofErr w:type="spellStart"/>
            <w:r>
              <w:rPr>
                <w:b/>
                <w:sz w:val="20"/>
              </w:rPr>
              <w:t>P-værdier</w:t>
            </w:r>
            <w:proofErr w:type="spellEnd"/>
          </w:p>
        </w:tc>
      </w:tr>
      <w:tr w:rsidR="000B5EF7" w:rsidTr="00133BEC">
        <w:tc>
          <w:tcPr>
            <w:tcW w:w="9061" w:type="dxa"/>
            <w:gridSpan w:val="4"/>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pPr>
            <w:r>
              <w:rPr>
                <w:b/>
                <w:sz w:val="20"/>
              </w:rPr>
              <w:t>Primært endepunkt</w:t>
            </w:r>
          </w:p>
        </w:tc>
      </w:tr>
      <w:tr w:rsidR="000B5EF7" w:rsidTr="00133BEC">
        <w:tc>
          <w:tcPr>
            <w:tcW w:w="9061" w:type="dxa"/>
            <w:gridSpan w:val="4"/>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rPr>
                <w:sz w:val="20"/>
              </w:rPr>
            </w:pPr>
            <w:r>
              <w:rPr>
                <w:sz w:val="20"/>
              </w:rPr>
              <w:t xml:space="preserve">Absolut ændring i svedproduktion fra </w:t>
            </w:r>
            <w:r>
              <w:rPr>
                <w:i/>
                <w:iCs/>
                <w:sz w:val="20"/>
              </w:rPr>
              <w:t>baseline</w:t>
            </w:r>
            <w:r>
              <w:rPr>
                <w:sz w:val="20"/>
              </w:rPr>
              <w:t xml:space="preserve"> til dag 29</w:t>
            </w:r>
          </w:p>
        </w:tc>
      </w:tr>
      <w:tr w:rsidR="000B5EF7" w:rsidTr="00133BEC">
        <w:tc>
          <w:tcPr>
            <w:tcW w:w="2972"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ind w:left="168"/>
              <w:rPr>
                <w:sz w:val="22"/>
              </w:rPr>
            </w:pPr>
            <w:r>
              <w:rPr>
                <w:i/>
                <w:iCs/>
                <w:sz w:val="20"/>
              </w:rPr>
              <w:t>Baseline</w:t>
            </w:r>
            <w:r>
              <w:rPr>
                <w:sz w:val="20"/>
              </w:rPr>
              <w:t xml:space="preserve"> [mg]</w:t>
            </w:r>
            <w:r>
              <w:rPr>
                <w:sz w:val="20"/>
              </w:rPr>
              <w:br/>
              <w:t>(middel ± SD)</w:t>
            </w:r>
          </w:p>
        </w:tc>
        <w:tc>
          <w:tcPr>
            <w:tcW w:w="2126"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pPr>
            <w:r>
              <w:rPr>
                <w:sz w:val="20"/>
              </w:rPr>
              <w:t>284, 64 (212,47)</w:t>
            </w:r>
          </w:p>
        </w:tc>
        <w:tc>
          <w:tcPr>
            <w:tcW w:w="2127"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pPr>
            <w:r>
              <w:rPr>
                <w:sz w:val="20"/>
              </w:rPr>
              <w:t>306,97 (249,33)</w:t>
            </w:r>
          </w:p>
        </w:tc>
        <w:tc>
          <w:tcPr>
            <w:tcW w:w="1836"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pPr>
            <w:r>
              <w:rPr>
                <w:sz w:val="20"/>
              </w:rPr>
              <w:t>–</w:t>
            </w:r>
          </w:p>
        </w:tc>
      </w:tr>
      <w:tr w:rsidR="000B5EF7" w:rsidTr="00133BEC">
        <w:tc>
          <w:tcPr>
            <w:tcW w:w="2972"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ind w:left="168"/>
            </w:pPr>
            <w:r>
              <w:rPr>
                <w:sz w:val="20"/>
              </w:rPr>
              <w:t>Ændring til dag 29 [mg]</w:t>
            </w:r>
            <w:r>
              <w:rPr>
                <w:sz w:val="20"/>
              </w:rPr>
              <w:br/>
              <w:t>(middel ± SD)</w:t>
            </w:r>
          </w:p>
        </w:tc>
        <w:tc>
          <w:tcPr>
            <w:tcW w:w="2126"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pPr>
            <w:r>
              <w:rPr>
                <w:sz w:val="20"/>
              </w:rPr>
              <w:noBreakHyphen/>
              <w:t>83,49 (168,</w:t>
            </w:r>
            <w:proofErr w:type="gramStart"/>
            <w:r>
              <w:rPr>
                <w:sz w:val="20"/>
              </w:rPr>
              <w:t>21)</w:t>
            </w:r>
            <w:r>
              <w:rPr>
                <w:sz w:val="20"/>
                <w:vertAlign w:val="superscript"/>
              </w:rPr>
              <w:t>a</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pPr>
            <w:r>
              <w:rPr>
                <w:sz w:val="20"/>
              </w:rPr>
              <w:noBreakHyphen/>
              <w:t>197,08 (252,</w:t>
            </w:r>
            <w:proofErr w:type="gramStart"/>
            <w:r>
              <w:rPr>
                <w:sz w:val="20"/>
              </w:rPr>
              <w:t>41)</w:t>
            </w:r>
            <w:r>
              <w:rPr>
                <w:sz w:val="20"/>
                <w:vertAlign w:val="superscript"/>
              </w:rPr>
              <w:t>b</w:t>
            </w:r>
            <w:proofErr w:type="gramEnd"/>
          </w:p>
        </w:tc>
        <w:tc>
          <w:tcPr>
            <w:tcW w:w="1836"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pPr>
            <w:r>
              <w:rPr>
                <w:sz w:val="20"/>
              </w:rPr>
              <w:t>0,0038</w:t>
            </w:r>
          </w:p>
        </w:tc>
      </w:tr>
      <w:tr w:rsidR="000B5EF7" w:rsidTr="00133BEC">
        <w:tc>
          <w:tcPr>
            <w:tcW w:w="2972"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ind w:left="168"/>
              <w:contextualSpacing/>
            </w:pPr>
            <w:r>
              <w:rPr>
                <w:sz w:val="20"/>
              </w:rPr>
              <w:t>Relativ ændring til dag 29 [%]</w:t>
            </w:r>
            <w:r>
              <w:rPr>
                <w:sz w:val="20"/>
              </w:rPr>
              <w:br/>
              <w:t>Median (95 % CI)</w:t>
            </w:r>
          </w:p>
        </w:tc>
        <w:tc>
          <w:tcPr>
            <w:tcW w:w="2126"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pPr>
            <w:r>
              <w:rPr>
                <w:sz w:val="20"/>
              </w:rPr>
              <w:noBreakHyphen/>
              <w:t>34,32 (</w:t>
            </w:r>
            <w:r>
              <w:rPr>
                <w:sz w:val="20"/>
              </w:rPr>
              <w:noBreakHyphen/>
              <w:t xml:space="preserve">49,71; </w:t>
            </w:r>
            <w:r>
              <w:rPr>
                <w:sz w:val="20"/>
              </w:rPr>
              <w:noBreakHyphen/>
              <w:t>2,</w:t>
            </w:r>
            <w:proofErr w:type="gramStart"/>
            <w:r>
              <w:rPr>
                <w:sz w:val="20"/>
              </w:rPr>
              <w:t>67)</w:t>
            </w:r>
            <w:r>
              <w:rPr>
                <w:sz w:val="20"/>
                <w:vertAlign w:val="superscript"/>
              </w:rPr>
              <w:t>a</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pPr>
            <w:r>
              <w:rPr>
                <w:sz w:val="20"/>
              </w:rPr>
              <w:noBreakHyphen/>
              <w:t>64,63 (</w:t>
            </w:r>
            <w:r>
              <w:rPr>
                <w:sz w:val="20"/>
              </w:rPr>
              <w:noBreakHyphen/>
              <w:t xml:space="preserve">73,13; </w:t>
            </w:r>
            <w:r>
              <w:rPr>
                <w:sz w:val="20"/>
              </w:rPr>
              <w:noBreakHyphen/>
              <w:t>51,</w:t>
            </w:r>
            <w:proofErr w:type="gramStart"/>
            <w:r>
              <w:rPr>
                <w:sz w:val="20"/>
              </w:rPr>
              <w:t>75)</w:t>
            </w:r>
            <w:r>
              <w:rPr>
                <w:sz w:val="20"/>
                <w:vertAlign w:val="superscript"/>
              </w:rPr>
              <w:t>b</w:t>
            </w:r>
            <w:proofErr w:type="gramEnd"/>
          </w:p>
        </w:tc>
        <w:tc>
          <w:tcPr>
            <w:tcW w:w="1836"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pPr>
            <w:r>
              <w:rPr>
                <w:sz w:val="20"/>
              </w:rPr>
              <w:t>&lt; 0,0001</w:t>
            </w:r>
          </w:p>
        </w:tc>
      </w:tr>
      <w:tr w:rsidR="000B5EF7" w:rsidTr="00133BEC">
        <w:tc>
          <w:tcPr>
            <w:tcW w:w="2972"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ind w:left="168"/>
              <w:contextualSpacing/>
              <w:rPr>
                <w:sz w:val="20"/>
              </w:rPr>
            </w:pPr>
            <w:r>
              <w:rPr>
                <w:sz w:val="20"/>
              </w:rPr>
              <w:t xml:space="preserve">Svedreduktion på ≥ 50 % vs. </w:t>
            </w:r>
            <w:r>
              <w:rPr>
                <w:i/>
                <w:iCs/>
                <w:sz w:val="20"/>
              </w:rPr>
              <w:t>baseline</w:t>
            </w:r>
            <w:r>
              <w:rPr>
                <w:sz w:val="20"/>
              </w:rPr>
              <w:t xml:space="preserve"> (antal patienter, (%))</w:t>
            </w:r>
          </w:p>
        </w:tc>
        <w:tc>
          <w:tcPr>
            <w:tcW w:w="2126"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rPr>
                <w:sz w:val="20"/>
              </w:rPr>
            </w:pPr>
            <w:r>
              <w:rPr>
                <w:sz w:val="20"/>
              </w:rPr>
              <w:t>29 (34,5)</w:t>
            </w:r>
          </w:p>
        </w:tc>
        <w:tc>
          <w:tcPr>
            <w:tcW w:w="2127"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rPr>
                <w:sz w:val="20"/>
              </w:rPr>
            </w:pPr>
            <w:r>
              <w:rPr>
                <w:sz w:val="20"/>
              </w:rPr>
              <w:t>50 (57,5)</w:t>
            </w:r>
          </w:p>
        </w:tc>
        <w:tc>
          <w:tcPr>
            <w:tcW w:w="1836" w:type="dxa"/>
            <w:tcBorders>
              <w:top w:val="single" w:sz="4" w:space="0" w:color="auto"/>
              <w:left w:val="single" w:sz="4" w:space="0" w:color="auto"/>
              <w:bottom w:val="single" w:sz="4" w:space="0" w:color="auto"/>
              <w:right w:val="single" w:sz="4" w:space="0" w:color="auto"/>
            </w:tcBorders>
            <w:hideMark/>
          </w:tcPr>
          <w:p w:rsidR="000B5EF7" w:rsidRDefault="000B5EF7" w:rsidP="00133BEC">
            <w:pPr>
              <w:keepNext/>
              <w:keepLines/>
              <w:rPr>
                <w:sz w:val="20"/>
              </w:rPr>
            </w:pPr>
            <w:r>
              <w:rPr>
                <w:sz w:val="20"/>
              </w:rPr>
              <w:t>0,0114</w:t>
            </w:r>
          </w:p>
        </w:tc>
      </w:tr>
      <w:tr w:rsidR="000B5EF7" w:rsidTr="00133BEC">
        <w:tc>
          <w:tcPr>
            <w:tcW w:w="9061" w:type="dxa"/>
            <w:gridSpan w:val="4"/>
            <w:tcBorders>
              <w:top w:val="single" w:sz="4" w:space="0" w:color="auto"/>
              <w:left w:val="single" w:sz="4" w:space="0" w:color="auto"/>
              <w:bottom w:val="single" w:sz="4" w:space="0" w:color="auto"/>
              <w:right w:val="single" w:sz="4" w:space="0" w:color="auto"/>
            </w:tcBorders>
          </w:tcPr>
          <w:p w:rsidR="000B5EF7" w:rsidRDefault="000B5EF7" w:rsidP="00133BEC">
            <w:pPr>
              <w:keepNext/>
              <w:keepLines/>
              <w:rPr>
                <w:b/>
                <w:bCs/>
                <w:sz w:val="20"/>
                <w:lang w:eastAsia="en-GB"/>
              </w:rPr>
            </w:pPr>
          </w:p>
          <w:p w:rsidR="000B5EF7" w:rsidRDefault="000B5EF7" w:rsidP="00133BEC">
            <w:pPr>
              <w:keepNext/>
              <w:keepLines/>
              <w:rPr>
                <w:sz w:val="22"/>
              </w:rPr>
            </w:pPr>
            <w:r>
              <w:rPr>
                <w:b/>
                <w:sz w:val="20"/>
              </w:rPr>
              <w:t>Vigtige sekundære endepunkter</w:t>
            </w:r>
          </w:p>
        </w:tc>
      </w:tr>
      <w:tr w:rsidR="000B5EF7" w:rsidTr="00133BEC">
        <w:tc>
          <w:tcPr>
            <w:tcW w:w="9061" w:type="dxa"/>
            <w:gridSpan w:val="4"/>
            <w:tcBorders>
              <w:top w:val="single" w:sz="4" w:space="0" w:color="auto"/>
              <w:left w:val="single" w:sz="4" w:space="0" w:color="auto"/>
              <w:bottom w:val="single" w:sz="4" w:space="0" w:color="auto"/>
              <w:right w:val="single" w:sz="4" w:space="0" w:color="auto"/>
            </w:tcBorders>
            <w:hideMark/>
          </w:tcPr>
          <w:p w:rsidR="000B5EF7" w:rsidRDefault="000B5EF7" w:rsidP="00133BEC">
            <w:pPr>
              <w:keepNext/>
            </w:pPr>
            <w:r>
              <w:rPr>
                <w:b/>
                <w:sz w:val="20"/>
              </w:rPr>
              <w:t>HDSS-respondere (≥ 2</w:t>
            </w:r>
            <w:r>
              <w:rPr>
                <w:b/>
                <w:sz w:val="20"/>
              </w:rPr>
              <w:noBreakHyphen/>
              <w:t xml:space="preserve">point forbedring fra </w:t>
            </w:r>
            <w:r>
              <w:rPr>
                <w:b/>
                <w:i/>
                <w:iCs/>
                <w:sz w:val="20"/>
              </w:rPr>
              <w:t>baseline</w:t>
            </w:r>
            <w:r>
              <w:rPr>
                <w:b/>
                <w:sz w:val="20"/>
              </w:rPr>
              <w:t xml:space="preserve"> til dag 29)</w:t>
            </w:r>
          </w:p>
        </w:tc>
      </w:tr>
      <w:tr w:rsidR="000B5EF7" w:rsidTr="00133BEC">
        <w:tc>
          <w:tcPr>
            <w:tcW w:w="2972" w:type="dxa"/>
            <w:tcBorders>
              <w:top w:val="single" w:sz="4" w:space="0" w:color="auto"/>
              <w:left w:val="single" w:sz="4" w:space="0" w:color="auto"/>
              <w:bottom w:val="single" w:sz="4" w:space="0" w:color="auto"/>
              <w:right w:val="single" w:sz="4" w:space="0" w:color="auto"/>
            </w:tcBorders>
            <w:hideMark/>
          </w:tcPr>
          <w:p w:rsidR="000B5EF7" w:rsidRDefault="000B5EF7" w:rsidP="00133BEC">
            <w:pPr>
              <w:ind w:left="168"/>
            </w:pPr>
            <w:r>
              <w:rPr>
                <w:sz w:val="20"/>
              </w:rPr>
              <w:t>Responder-rate, N (%)</w:t>
            </w:r>
          </w:p>
        </w:tc>
        <w:tc>
          <w:tcPr>
            <w:tcW w:w="2126" w:type="dxa"/>
            <w:tcBorders>
              <w:top w:val="single" w:sz="4" w:space="0" w:color="auto"/>
              <w:left w:val="single" w:sz="4" w:space="0" w:color="auto"/>
              <w:bottom w:val="single" w:sz="4" w:space="0" w:color="auto"/>
              <w:right w:val="single" w:sz="4" w:space="0" w:color="auto"/>
            </w:tcBorders>
            <w:hideMark/>
          </w:tcPr>
          <w:p w:rsidR="000B5EF7" w:rsidRDefault="000B5EF7" w:rsidP="00133BEC">
            <w:r>
              <w:rPr>
                <w:sz w:val="20"/>
              </w:rPr>
              <w:t>10 (11,9)</w:t>
            </w:r>
          </w:p>
        </w:tc>
        <w:tc>
          <w:tcPr>
            <w:tcW w:w="2127" w:type="dxa"/>
            <w:tcBorders>
              <w:top w:val="single" w:sz="4" w:space="0" w:color="auto"/>
              <w:left w:val="single" w:sz="4" w:space="0" w:color="auto"/>
              <w:bottom w:val="single" w:sz="4" w:space="0" w:color="auto"/>
              <w:right w:val="single" w:sz="4" w:space="0" w:color="auto"/>
            </w:tcBorders>
            <w:hideMark/>
          </w:tcPr>
          <w:p w:rsidR="000B5EF7" w:rsidRDefault="000B5EF7" w:rsidP="00133BEC">
            <w:r>
              <w:rPr>
                <w:sz w:val="20"/>
              </w:rPr>
              <w:t>20 (23,0)</w:t>
            </w:r>
          </w:p>
        </w:tc>
        <w:tc>
          <w:tcPr>
            <w:tcW w:w="1836" w:type="dxa"/>
            <w:tcBorders>
              <w:top w:val="single" w:sz="4" w:space="0" w:color="auto"/>
              <w:left w:val="single" w:sz="4" w:space="0" w:color="auto"/>
              <w:bottom w:val="single" w:sz="4" w:space="0" w:color="auto"/>
              <w:right w:val="single" w:sz="4" w:space="0" w:color="auto"/>
            </w:tcBorders>
            <w:hideMark/>
          </w:tcPr>
          <w:p w:rsidR="000B5EF7" w:rsidRDefault="000B5EF7" w:rsidP="00133BEC">
            <w:r>
              <w:rPr>
                <w:sz w:val="20"/>
              </w:rPr>
              <w:t>0,0542</w:t>
            </w:r>
          </w:p>
        </w:tc>
      </w:tr>
      <w:tr w:rsidR="000B5EF7" w:rsidTr="00133BEC">
        <w:tc>
          <w:tcPr>
            <w:tcW w:w="9061" w:type="dxa"/>
            <w:gridSpan w:val="4"/>
            <w:tcBorders>
              <w:top w:val="single" w:sz="4" w:space="0" w:color="auto"/>
              <w:left w:val="single" w:sz="4" w:space="0" w:color="auto"/>
              <w:bottom w:val="single" w:sz="4" w:space="0" w:color="auto"/>
              <w:right w:val="single" w:sz="4" w:space="0" w:color="auto"/>
            </w:tcBorders>
            <w:hideMark/>
          </w:tcPr>
          <w:p w:rsidR="000B5EF7" w:rsidRDefault="000B5EF7" w:rsidP="00133BEC">
            <w:pPr>
              <w:keepNext/>
            </w:pPr>
            <w:r>
              <w:rPr>
                <w:b/>
                <w:sz w:val="20"/>
              </w:rPr>
              <w:t xml:space="preserve">Ændring i </w:t>
            </w:r>
            <w:proofErr w:type="spellStart"/>
            <w:r>
              <w:rPr>
                <w:b/>
                <w:sz w:val="20"/>
              </w:rPr>
              <w:t>HidroQoL</w:t>
            </w:r>
            <w:proofErr w:type="spellEnd"/>
            <w:r>
              <w:rPr>
                <w:b/>
                <w:sz w:val="20"/>
              </w:rPr>
              <w:t xml:space="preserve"> fra </w:t>
            </w:r>
            <w:r>
              <w:rPr>
                <w:b/>
                <w:i/>
                <w:iCs/>
                <w:sz w:val="20"/>
              </w:rPr>
              <w:t>baseline</w:t>
            </w:r>
            <w:r>
              <w:rPr>
                <w:b/>
                <w:sz w:val="20"/>
              </w:rPr>
              <w:t xml:space="preserve"> til dag 29</w:t>
            </w:r>
          </w:p>
        </w:tc>
      </w:tr>
      <w:tr w:rsidR="000B5EF7" w:rsidTr="00133BEC">
        <w:tc>
          <w:tcPr>
            <w:tcW w:w="2972" w:type="dxa"/>
            <w:tcBorders>
              <w:top w:val="single" w:sz="4" w:space="0" w:color="auto"/>
              <w:left w:val="single" w:sz="4" w:space="0" w:color="auto"/>
              <w:bottom w:val="single" w:sz="4" w:space="0" w:color="auto"/>
              <w:right w:val="single" w:sz="4" w:space="0" w:color="auto"/>
            </w:tcBorders>
            <w:hideMark/>
          </w:tcPr>
          <w:p w:rsidR="000B5EF7" w:rsidRDefault="000B5EF7" w:rsidP="00133BEC">
            <w:pPr>
              <w:ind w:left="168"/>
            </w:pPr>
            <w:r>
              <w:rPr>
                <w:sz w:val="20"/>
              </w:rPr>
              <w:t>Totalt score, median (interval) ændring til dag 29</w:t>
            </w:r>
          </w:p>
        </w:tc>
        <w:tc>
          <w:tcPr>
            <w:tcW w:w="2126" w:type="dxa"/>
            <w:tcBorders>
              <w:top w:val="single" w:sz="4" w:space="0" w:color="auto"/>
              <w:left w:val="single" w:sz="4" w:space="0" w:color="auto"/>
              <w:bottom w:val="single" w:sz="4" w:space="0" w:color="auto"/>
              <w:right w:val="single" w:sz="4" w:space="0" w:color="auto"/>
            </w:tcBorders>
            <w:hideMark/>
          </w:tcPr>
          <w:p w:rsidR="000B5EF7" w:rsidRDefault="000B5EF7" w:rsidP="00133BEC">
            <w:r>
              <w:rPr>
                <w:sz w:val="20"/>
              </w:rPr>
              <w:noBreakHyphen/>
              <w:t>1,0 (</w:t>
            </w:r>
            <w:r>
              <w:rPr>
                <w:sz w:val="20"/>
              </w:rPr>
              <w:noBreakHyphen/>
              <w:t xml:space="preserve">35 </w:t>
            </w:r>
            <w:r>
              <w:rPr>
                <w:sz w:val="20"/>
              </w:rPr>
              <w:noBreakHyphen/>
            </w:r>
            <w:proofErr w:type="gramStart"/>
            <w:r>
              <w:rPr>
                <w:sz w:val="20"/>
              </w:rPr>
              <w:t>4)</w:t>
            </w:r>
            <w:r>
              <w:rPr>
                <w:sz w:val="20"/>
                <w:vertAlign w:val="superscript"/>
              </w:rPr>
              <w:t>c</w:t>
            </w:r>
            <w:proofErr w:type="gramEnd"/>
          </w:p>
        </w:tc>
        <w:tc>
          <w:tcPr>
            <w:tcW w:w="2127" w:type="dxa"/>
            <w:tcBorders>
              <w:top w:val="single" w:sz="4" w:space="0" w:color="auto"/>
              <w:left w:val="single" w:sz="4" w:space="0" w:color="auto"/>
              <w:bottom w:val="single" w:sz="4" w:space="0" w:color="auto"/>
              <w:right w:val="single" w:sz="4" w:space="0" w:color="auto"/>
            </w:tcBorders>
            <w:hideMark/>
          </w:tcPr>
          <w:p w:rsidR="000B5EF7" w:rsidRDefault="000B5EF7" w:rsidP="00133BEC">
            <w:r>
              <w:rPr>
                <w:sz w:val="20"/>
              </w:rPr>
              <w:noBreakHyphen/>
              <w:t>6,0 (</w:t>
            </w:r>
            <w:r>
              <w:rPr>
                <w:sz w:val="20"/>
              </w:rPr>
              <w:noBreakHyphen/>
              <w:t xml:space="preserve">36 </w:t>
            </w:r>
            <w:r>
              <w:rPr>
                <w:sz w:val="20"/>
              </w:rPr>
              <w:noBreakHyphen/>
            </w:r>
            <w:proofErr w:type="gramStart"/>
            <w:r>
              <w:rPr>
                <w:sz w:val="20"/>
              </w:rPr>
              <w:t>6)</w:t>
            </w:r>
            <w:r>
              <w:rPr>
                <w:sz w:val="20"/>
                <w:vertAlign w:val="superscript"/>
              </w:rPr>
              <w:t>d</w:t>
            </w:r>
            <w:proofErr w:type="gramEnd"/>
          </w:p>
        </w:tc>
        <w:tc>
          <w:tcPr>
            <w:tcW w:w="1836" w:type="dxa"/>
            <w:tcBorders>
              <w:top w:val="single" w:sz="4" w:space="0" w:color="auto"/>
              <w:left w:val="single" w:sz="4" w:space="0" w:color="auto"/>
              <w:bottom w:val="single" w:sz="4" w:space="0" w:color="auto"/>
              <w:right w:val="single" w:sz="4" w:space="0" w:color="auto"/>
            </w:tcBorders>
            <w:hideMark/>
          </w:tcPr>
          <w:p w:rsidR="000B5EF7" w:rsidRDefault="000B5EF7" w:rsidP="00133BEC">
            <w:r>
              <w:rPr>
                <w:sz w:val="20"/>
              </w:rPr>
              <w:t>&lt; 0,0001</w:t>
            </w:r>
          </w:p>
        </w:tc>
      </w:tr>
    </w:tbl>
    <w:p w:rsidR="000B5EF7" w:rsidRPr="001863A3" w:rsidRDefault="000B5EF7" w:rsidP="000B5EF7">
      <w:pPr>
        <w:autoSpaceDE w:val="0"/>
        <w:autoSpaceDN w:val="0"/>
        <w:adjustRightInd w:val="0"/>
        <w:ind w:left="851"/>
        <w:rPr>
          <w:sz w:val="24"/>
          <w:szCs w:val="24"/>
          <w:lang w:val="en-US"/>
        </w:rPr>
      </w:pPr>
      <w:r w:rsidRPr="001863A3">
        <w:rPr>
          <w:sz w:val="24"/>
          <w:szCs w:val="24"/>
          <w:lang w:val="en-US"/>
        </w:rPr>
        <w:t>HDSS = </w:t>
      </w:r>
      <w:r w:rsidRPr="001863A3">
        <w:rPr>
          <w:i/>
          <w:iCs/>
          <w:sz w:val="24"/>
          <w:szCs w:val="24"/>
          <w:lang w:val="en-US"/>
        </w:rPr>
        <w:t>Hyperhidrosis Disease Severity Scale</w:t>
      </w:r>
      <w:r w:rsidRPr="001863A3">
        <w:rPr>
          <w:sz w:val="24"/>
          <w:szCs w:val="24"/>
          <w:lang w:val="en-US"/>
        </w:rPr>
        <w:t xml:space="preserve">, </w:t>
      </w:r>
      <w:proofErr w:type="spellStart"/>
      <w:r w:rsidRPr="001863A3">
        <w:rPr>
          <w:sz w:val="24"/>
          <w:szCs w:val="24"/>
          <w:lang w:val="en-US"/>
        </w:rPr>
        <w:t>HidroQoL</w:t>
      </w:r>
      <w:proofErr w:type="spellEnd"/>
      <w:r w:rsidRPr="001863A3">
        <w:rPr>
          <w:sz w:val="24"/>
          <w:szCs w:val="24"/>
          <w:lang w:val="en-US"/>
        </w:rPr>
        <w:t> = </w:t>
      </w:r>
      <w:r w:rsidRPr="001863A3">
        <w:rPr>
          <w:i/>
          <w:iCs/>
          <w:sz w:val="24"/>
          <w:szCs w:val="24"/>
          <w:lang w:val="en-US"/>
        </w:rPr>
        <w:t>Hyperhidrosis Quality of Life Index</w:t>
      </w:r>
      <w:r w:rsidRPr="001863A3">
        <w:rPr>
          <w:sz w:val="24"/>
          <w:szCs w:val="24"/>
          <w:lang w:val="en-US"/>
        </w:rPr>
        <w:t>, CI = </w:t>
      </w:r>
      <w:proofErr w:type="spellStart"/>
      <w:r w:rsidRPr="001863A3">
        <w:rPr>
          <w:sz w:val="24"/>
          <w:szCs w:val="24"/>
          <w:lang w:val="en-US"/>
        </w:rPr>
        <w:t>konfidensinterval</w:t>
      </w:r>
      <w:proofErr w:type="spellEnd"/>
      <w:r w:rsidRPr="001863A3">
        <w:rPr>
          <w:sz w:val="24"/>
          <w:szCs w:val="24"/>
          <w:lang w:val="en-US"/>
        </w:rPr>
        <w:t>, N = </w:t>
      </w:r>
      <w:proofErr w:type="spellStart"/>
      <w:r w:rsidRPr="001863A3">
        <w:rPr>
          <w:sz w:val="24"/>
          <w:szCs w:val="24"/>
          <w:lang w:val="en-US"/>
        </w:rPr>
        <w:t>antal</w:t>
      </w:r>
      <w:proofErr w:type="spellEnd"/>
      <w:r w:rsidRPr="001863A3">
        <w:rPr>
          <w:sz w:val="24"/>
          <w:szCs w:val="24"/>
          <w:lang w:val="en-US"/>
        </w:rPr>
        <w:t xml:space="preserve"> </w:t>
      </w:r>
      <w:proofErr w:type="spellStart"/>
      <w:r w:rsidRPr="001863A3">
        <w:rPr>
          <w:sz w:val="24"/>
          <w:szCs w:val="24"/>
          <w:lang w:val="en-US"/>
        </w:rPr>
        <w:t>patienter</w:t>
      </w:r>
      <w:proofErr w:type="spellEnd"/>
      <w:r w:rsidRPr="001863A3">
        <w:rPr>
          <w:sz w:val="24"/>
          <w:szCs w:val="24"/>
          <w:lang w:val="en-US"/>
        </w:rPr>
        <w:t>,</w:t>
      </w:r>
      <w:r w:rsidRPr="001863A3">
        <w:rPr>
          <w:sz w:val="24"/>
          <w:szCs w:val="24"/>
          <w:vertAlign w:val="superscript"/>
          <w:lang w:val="en-US"/>
        </w:rPr>
        <w:t xml:space="preserve"> </w:t>
      </w:r>
      <w:proofErr w:type="spellStart"/>
      <w:r w:rsidRPr="001863A3">
        <w:rPr>
          <w:sz w:val="24"/>
          <w:szCs w:val="24"/>
          <w:vertAlign w:val="superscript"/>
          <w:lang w:val="en-US"/>
        </w:rPr>
        <w:t>a</w:t>
      </w:r>
      <w:r w:rsidRPr="001863A3">
        <w:rPr>
          <w:sz w:val="24"/>
          <w:szCs w:val="24"/>
          <w:lang w:val="en-US"/>
        </w:rPr>
        <w:t>N</w:t>
      </w:r>
      <w:proofErr w:type="spellEnd"/>
      <w:r w:rsidRPr="001863A3">
        <w:rPr>
          <w:sz w:val="24"/>
          <w:szCs w:val="24"/>
          <w:lang w:val="en-US"/>
        </w:rPr>
        <w:t xml:space="preserve"> = 78, </w:t>
      </w:r>
      <w:proofErr w:type="spellStart"/>
      <w:r w:rsidRPr="001863A3">
        <w:rPr>
          <w:sz w:val="24"/>
          <w:szCs w:val="24"/>
          <w:vertAlign w:val="superscript"/>
          <w:lang w:val="en-US"/>
        </w:rPr>
        <w:t>b</w:t>
      </w:r>
      <w:r w:rsidRPr="001863A3">
        <w:rPr>
          <w:sz w:val="24"/>
          <w:szCs w:val="24"/>
          <w:lang w:val="en-US"/>
        </w:rPr>
        <w:t>N</w:t>
      </w:r>
      <w:proofErr w:type="spellEnd"/>
      <w:r w:rsidRPr="001863A3">
        <w:rPr>
          <w:sz w:val="24"/>
          <w:szCs w:val="24"/>
          <w:lang w:val="en-US"/>
        </w:rPr>
        <w:t xml:space="preserve"> = 77, </w:t>
      </w:r>
      <w:proofErr w:type="spellStart"/>
      <w:r w:rsidRPr="001863A3">
        <w:rPr>
          <w:sz w:val="24"/>
          <w:szCs w:val="24"/>
          <w:vertAlign w:val="superscript"/>
          <w:lang w:val="en-US"/>
        </w:rPr>
        <w:t>c</w:t>
      </w:r>
      <w:r w:rsidRPr="001863A3">
        <w:rPr>
          <w:sz w:val="24"/>
          <w:szCs w:val="24"/>
          <w:lang w:val="en-US"/>
        </w:rPr>
        <w:t>N</w:t>
      </w:r>
      <w:proofErr w:type="spellEnd"/>
      <w:r w:rsidRPr="001863A3">
        <w:rPr>
          <w:sz w:val="24"/>
          <w:szCs w:val="24"/>
          <w:lang w:val="en-US"/>
        </w:rPr>
        <w:t xml:space="preserve"> = 79, </w:t>
      </w:r>
      <w:proofErr w:type="spellStart"/>
      <w:r w:rsidRPr="001863A3">
        <w:rPr>
          <w:sz w:val="24"/>
          <w:szCs w:val="24"/>
          <w:vertAlign w:val="superscript"/>
          <w:lang w:val="en-US"/>
        </w:rPr>
        <w:t>d</w:t>
      </w:r>
      <w:r w:rsidRPr="001863A3">
        <w:rPr>
          <w:sz w:val="24"/>
          <w:szCs w:val="24"/>
          <w:lang w:val="en-US"/>
        </w:rPr>
        <w:t>N</w:t>
      </w:r>
      <w:proofErr w:type="spellEnd"/>
      <w:r w:rsidRPr="001863A3">
        <w:rPr>
          <w:sz w:val="24"/>
          <w:szCs w:val="24"/>
          <w:lang w:val="en-US"/>
        </w:rPr>
        <w:t> = 84.</w:t>
      </w:r>
    </w:p>
    <w:p w:rsidR="000B5EF7" w:rsidRPr="00133BEC" w:rsidRDefault="000B5EF7" w:rsidP="000B5EF7">
      <w:pPr>
        <w:rPr>
          <w:sz w:val="24"/>
          <w:szCs w:val="24"/>
          <w:lang w:val="en-US"/>
        </w:rPr>
      </w:pPr>
    </w:p>
    <w:p w:rsidR="000B5EF7" w:rsidRPr="001863A3" w:rsidRDefault="000B5EF7" w:rsidP="000B5EF7">
      <w:pPr>
        <w:ind w:left="851"/>
        <w:rPr>
          <w:sz w:val="24"/>
          <w:szCs w:val="24"/>
        </w:rPr>
      </w:pPr>
      <w:r w:rsidRPr="001863A3">
        <w:rPr>
          <w:sz w:val="24"/>
          <w:szCs w:val="24"/>
        </w:rPr>
        <w:t xml:space="preserve">I den åbne, langsigtede fase 3-delen var svedproduktion signifikant reduceret sammenlignet med </w:t>
      </w:r>
      <w:r w:rsidRPr="001863A3">
        <w:rPr>
          <w:i/>
          <w:iCs/>
          <w:sz w:val="24"/>
          <w:szCs w:val="24"/>
        </w:rPr>
        <w:t>baseline</w:t>
      </w:r>
      <w:r w:rsidRPr="001863A3">
        <w:rPr>
          <w:sz w:val="24"/>
          <w:szCs w:val="24"/>
        </w:rPr>
        <w:t xml:space="preserve"> 4 og 12 uger efter behandling med </w:t>
      </w:r>
      <w:proofErr w:type="spellStart"/>
      <w:r w:rsidRPr="001863A3">
        <w:rPr>
          <w:sz w:val="24"/>
          <w:szCs w:val="24"/>
        </w:rPr>
        <w:t>Axhidrox</w:t>
      </w:r>
      <w:proofErr w:type="spellEnd"/>
      <w:r w:rsidRPr="001863A3">
        <w:rPr>
          <w:sz w:val="24"/>
          <w:szCs w:val="24"/>
        </w:rPr>
        <w:t xml:space="preserve"> (N = 357 </w:t>
      </w:r>
      <w:proofErr w:type="spellStart"/>
      <w:r w:rsidRPr="001863A3">
        <w:rPr>
          <w:sz w:val="24"/>
          <w:szCs w:val="24"/>
        </w:rPr>
        <w:t>nyrekrutterede</w:t>
      </w:r>
      <w:proofErr w:type="spellEnd"/>
      <w:r w:rsidRPr="001863A3">
        <w:rPr>
          <w:sz w:val="24"/>
          <w:szCs w:val="24"/>
        </w:rPr>
        <w:t> patienter; p&lt; 0,0001 for både uge 4 og 12) (tabel 3).</w:t>
      </w:r>
    </w:p>
    <w:p w:rsidR="000B5EF7" w:rsidRDefault="000B5EF7" w:rsidP="000B5EF7">
      <w:pPr>
        <w:ind w:left="851"/>
        <w:rPr>
          <w:sz w:val="24"/>
          <w:szCs w:val="24"/>
        </w:rPr>
      </w:pPr>
      <w:r>
        <w:rPr>
          <w:sz w:val="24"/>
          <w:szCs w:val="24"/>
        </w:rPr>
        <w:tab/>
      </w:r>
    </w:p>
    <w:p w:rsidR="000B5EF7" w:rsidRPr="00B9638B" w:rsidRDefault="000B5EF7" w:rsidP="000B5EF7">
      <w:pPr>
        <w:keepNext/>
        <w:ind w:left="851"/>
        <w:rPr>
          <w:b/>
          <w:bCs/>
        </w:rPr>
      </w:pPr>
      <w:r w:rsidRPr="00B9638B">
        <w:rPr>
          <w:b/>
          <w:bCs/>
        </w:rPr>
        <w:t>Tabel 3. Data fra fase 3b-delen</w:t>
      </w:r>
    </w:p>
    <w:tbl>
      <w:tblPr>
        <w:tblW w:w="906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98"/>
        <w:gridCol w:w="2127"/>
        <w:gridCol w:w="1842"/>
      </w:tblGrid>
      <w:tr w:rsidR="000B5EF7" w:rsidRPr="00B9638B" w:rsidTr="00133BEC">
        <w:tc>
          <w:tcPr>
            <w:tcW w:w="5098" w:type="dxa"/>
          </w:tcPr>
          <w:p w:rsidR="000B5EF7" w:rsidRPr="00B9638B" w:rsidRDefault="000B5EF7" w:rsidP="00133BEC">
            <w:pPr>
              <w:keepNext/>
              <w:rPr>
                <w:sz w:val="20"/>
              </w:rPr>
            </w:pPr>
            <w:r w:rsidRPr="00B9638B">
              <w:rPr>
                <w:b/>
                <w:sz w:val="20"/>
              </w:rPr>
              <w:t>Primært endepunkt (</w:t>
            </w:r>
            <w:r w:rsidRPr="00B9638B">
              <w:rPr>
                <w:sz w:val="20"/>
              </w:rPr>
              <w:t>(kun nyligt rekrutterede patienter))</w:t>
            </w:r>
          </w:p>
        </w:tc>
        <w:tc>
          <w:tcPr>
            <w:tcW w:w="2127" w:type="dxa"/>
          </w:tcPr>
          <w:p w:rsidR="000B5EF7" w:rsidRPr="00B9638B" w:rsidRDefault="000B5EF7" w:rsidP="00133BEC">
            <w:pPr>
              <w:keepNext/>
            </w:pPr>
          </w:p>
        </w:tc>
        <w:tc>
          <w:tcPr>
            <w:tcW w:w="1842" w:type="dxa"/>
          </w:tcPr>
          <w:p w:rsidR="000B5EF7" w:rsidRPr="00B9638B" w:rsidRDefault="000B5EF7" w:rsidP="00133BEC">
            <w:pPr>
              <w:keepNext/>
              <w:rPr>
                <w:sz w:val="20"/>
              </w:rPr>
            </w:pPr>
            <w:r w:rsidRPr="00B9638B">
              <w:rPr>
                <w:sz w:val="20"/>
              </w:rPr>
              <w:t xml:space="preserve">vs. </w:t>
            </w:r>
            <w:r w:rsidRPr="00B9638B">
              <w:rPr>
                <w:i/>
                <w:iCs/>
                <w:sz w:val="20"/>
              </w:rPr>
              <w:t>baseline</w:t>
            </w:r>
          </w:p>
        </w:tc>
      </w:tr>
      <w:tr w:rsidR="000B5EF7" w:rsidRPr="00B9638B" w:rsidTr="00133BEC">
        <w:tc>
          <w:tcPr>
            <w:tcW w:w="9067" w:type="dxa"/>
            <w:gridSpan w:val="3"/>
          </w:tcPr>
          <w:p w:rsidR="000B5EF7" w:rsidRPr="00B9638B" w:rsidRDefault="000B5EF7" w:rsidP="00133BEC">
            <w:pPr>
              <w:keepNext/>
              <w:rPr>
                <w:sz w:val="20"/>
              </w:rPr>
            </w:pPr>
            <w:r w:rsidRPr="00B9638B">
              <w:rPr>
                <w:b/>
                <w:sz w:val="20"/>
              </w:rPr>
              <w:t xml:space="preserve">Absolut ændring i total svedproduktion vurderet med GM fra </w:t>
            </w:r>
            <w:r w:rsidRPr="00B9638B">
              <w:rPr>
                <w:b/>
                <w:i/>
                <w:iCs/>
                <w:sz w:val="20"/>
              </w:rPr>
              <w:t>baseline</w:t>
            </w:r>
            <w:r w:rsidRPr="00B9638B">
              <w:rPr>
                <w:b/>
                <w:sz w:val="20"/>
              </w:rPr>
              <w:t xml:space="preserve"> (dag 1b) til uge 12.</w:t>
            </w:r>
          </w:p>
        </w:tc>
      </w:tr>
      <w:tr w:rsidR="000B5EF7" w:rsidRPr="00B9638B" w:rsidTr="00133BEC">
        <w:tc>
          <w:tcPr>
            <w:tcW w:w="5098" w:type="dxa"/>
          </w:tcPr>
          <w:p w:rsidR="000B5EF7" w:rsidRPr="00B9638B" w:rsidRDefault="000B5EF7" w:rsidP="00133BEC">
            <w:r w:rsidRPr="00B9638B">
              <w:rPr>
                <w:i/>
                <w:iCs/>
                <w:sz w:val="20"/>
              </w:rPr>
              <w:t>Baseline</w:t>
            </w:r>
            <w:r w:rsidRPr="00B9638B">
              <w:rPr>
                <w:sz w:val="20"/>
              </w:rPr>
              <w:t xml:space="preserve"> [mg]</w:t>
            </w:r>
            <w:r w:rsidRPr="00B9638B">
              <w:rPr>
                <w:sz w:val="20"/>
              </w:rPr>
              <w:br/>
              <w:t>(middel ± SD) (n = </w:t>
            </w:r>
            <w:r>
              <w:rPr>
                <w:sz w:val="20"/>
              </w:rPr>
              <w:t>357</w:t>
            </w:r>
            <w:r w:rsidRPr="00B9638B">
              <w:rPr>
                <w:sz w:val="20"/>
              </w:rPr>
              <w:t>)</w:t>
            </w:r>
          </w:p>
        </w:tc>
        <w:tc>
          <w:tcPr>
            <w:tcW w:w="2127" w:type="dxa"/>
          </w:tcPr>
          <w:p w:rsidR="000B5EF7" w:rsidRPr="00B9638B" w:rsidRDefault="000B5EF7" w:rsidP="00133BEC">
            <w:r w:rsidRPr="00B9638B">
              <w:rPr>
                <w:sz w:val="20"/>
              </w:rPr>
              <w:t>280,31 (238,24)</w:t>
            </w:r>
          </w:p>
        </w:tc>
        <w:tc>
          <w:tcPr>
            <w:tcW w:w="1842" w:type="dxa"/>
          </w:tcPr>
          <w:p w:rsidR="000B5EF7" w:rsidRPr="00B9638B" w:rsidRDefault="000B5EF7" w:rsidP="00133BEC"/>
        </w:tc>
      </w:tr>
      <w:tr w:rsidR="000B5EF7" w:rsidRPr="00B9638B" w:rsidTr="00133BEC">
        <w:tc>
          <w:tcPr>
            <w:tcW w:w="5098" w:type="dxa"/>
          </w:tcPr>
          <w:p w:rsidR="000B5EF7" w:rsidRPr="00B9638B" w:rsidRDefault="000B5EF7" w:rsidP="00133BEC">
            <w:r w:rsidRPr="00B9638B">
              <w:rPr>
                <w:sz w:val="20"/>
              </w:rPr>
              <w:t>Uge 12 [mg]</w:t>
            </w:r>
            <w:r w:rsidRPr="00B9638B">
              <w:rPr>
                <w:sz w:val="20"/>
              </w:rPr>
              <w:br/>
              <w:t>(middel ± SD) (n = </w:t>
            </w:r>
            <w:r>
              <w:rPr>
                <w:sz w:val="20"/>
              </w:rPr>
              <w:t>316</w:t>
            </w:r>
            <w:r w:rsidRPr="00B9638B">
              <w:rPr>
                <w:sz w:val="20"/>
              </w:rPr>
              <w:t>)</w:t>
            </w:r>
          </w:p>
        </w:tc>
        <w:tc>
          <w:tcPr>
            <w:tcW w:w="2127" w:type="dxa"/>
          </w:tcPr>
          <w:p w:rsidR="000B5EF7" w:rsidRPr="00B9638B" w:rsidRDefault="000B5EF7" w:rsidP="00133BEC">
            <w:r w:rsidRPr="00B9638B">
              <w:rPr>
                <w:sz w:val="20"/>
              </w:rPr>
              <w:t>123,64 (149,06)</w:t>
            </w:r>
          </w:p>
        </w:tc>
        <w:tc>
          <w:tcPr>
            <w:tcW w:w="1842" w:type="dxa"/>
          </w:tcPr>
          <w:p w:rsidR="000B5EF7" w:rsidRPr="00B9638B" w:rsidRDefault="000B5EF7" w:rsidP="00133BEC">
            <w:r w:rsidRPr="00B9638B">
              <w:rPr>
                <w:sz w:val="20"/>
              </w:rPr>
              <w:t>&lt; 0,0001</w:t>
            </w:r>
          </w:p>
        </w:tc>
      </w:tr>
      <w:tr w:rsidR="000B5EF7" w:rsidRPr="00B9638B" w:rsidTr="00133BEC">
        <w:tc>
          <w:tcPr>
            <w:tcW w:w="5098" w:type="dxa"/>
          </w:tcPr>
          <w:p w:rsidR="000B5EF7" w:rsidRPr="00B9638B" w:rsidRDefault="000B5EF7" w:rsidP="00133BEC">
            <w:pPr>
              <w:rPr>
                <w:sz w:val="20"/>
              </w:rPr>
            </w:pPr>
            <w:r w:rsidRPr="00B9638B">
              <w:rPr>
                <w:sz w:val="20"/>
              </w:rPr>
              <w:t>Sekundære effektendepunkter (svedreduktion):</w:t>
            </w:r>
          </w:p>
        </w:tc>
        <w:tc>
          <w:tcPr>
            <w:tcW w:w="2127" w:type="dxa"/>
          </w:tcPr>
          <w:p w:rsidR="000B5EF7" w:rsidRPr="00B9638B" w:rsidRDefault="000B5EF7" w:rsidP="00133BEC">
            <w:pPr>
              <w:rPr>
                <w:sz w:val="20"/>
              </w:rPr>
            </w:pPr>
          </w:p>
        </w:tc>
        <w:tc>
          <w:tcPr>
            <w:tcW w:w="1842" w:type="dxa"/>
          </w:tcPr>
          <w:p w:rsidR="000B5EF7" w:rsidRPr="00B9638B" w:rsidRDefault="000B5EF7" w:rsidP="00133BEC">
            <w:pPr>
              <w:rPr>
                <w:sz w:val="20"/>
              </w:rPr>
            </w:pPr>
          </w:p>
        </w:tc>
      </w:tr>
      <w:tr w:rsidR="000B5EF7" w:rsidRPr="00B9638B" w:rsidTr="00133BEC">
        <w:tc>
          <w:tcPr>
            <w:tcW w:w="5098" w:type="dxa"/>
          </w:tcPr>
          <w:p w:rsidR="000B5EF7" w:rsidRPr="00B9638B" w:rsidRDefault="000B5EF7" w:rsidP="00133BEC">
            <w:pPr>
              <w:rPr>
                <w:sz w:val="20"/>
              </w:rPr>
            </w:pPr>
            <w:r w:rsidRPr="00B9638B">
              <w:rPr>
                <w:sz w:val="20"/>
              </w:rPr>
              <w:t xml:space="preserve">Svedreduktion på ≥ 50 % vs. </w:t>
            </w:r>
            <w:r w:rsidRPr="00B9638B">
              <w:rPr>
                <w:i/>
                <w:iCs/>
                <w:sz w:val="20"/>
              </w:rPr>
              <w:t>baseline</w:t>
            </w:r>
            <w:r w:rsidRPr="00B9638B">
              <w:rPr>
                <w:sz w:val="20"/>
              </w:rPr>
              <w:t xml:space="preserve"> (antal patienter, (%)) uge 4</w:t>
            </w:r>
          </w:p>
        </w:tc>
        <w:tc>
          <w:tcPr>
            <w:tcW w:w="2127" w:type="dxa"/>
          </w:tcPr>
          <w:p w:rsidR="000B5EF7" w:rsidRPr="00B9638B" w:rsidRDefault="000B5EF7" w:rsidP="00133BEC">
            <w:pPr>
              <w:rPr>
                <w:sz w:val="20"/>
              </w:rPr>
            </w:pPr>
            <w:r w:rsidRPr="00B9638B">
              <w:rPr>
                <w:sz w:val="20"/>
              </w:rPr>
              <w:t>198 (55,5)</w:t>
            </w:r>
          </w:p>
        </w:tc>
        <w:tc>
          <w:tcPr>
            <w:tcW w:w="1842" w:type="dxa"/>
          </w:tcPr>
          <w:p w:rsidR="000B5EF7" w:rsidRPr="00B9638B" w:rsidRDefault="000B5EF7" w:rsidP="00133BEC">
            <w:pPr>
              <w:rPr>
                <w:sz w:val="20"/>
              </w:rPr>
            </w:pPr>
          </w:p>
        </w:tc>
      </w:tr>
      <w:tr w:rsidR="000B5EF7" w:rsidRPr="00B9638B" w:rsidTr="00133BEC">
        <w:tc>
          <w:tcPr>
            <w:tcW w:w="5098" w:type="dxa"/>
          </w:tcPr>
          <w:p w:rsidR="000B5EF7" w:rsidRPr="00B9638B" w:rsidRDefault="000B5EF7" w:rsidP="00133BEC">
            <w:pPr>
              <w:rPr>
                <w:sz w:val="20"/>
              </w:rPr>
            </w:pPr>
            <w:r w:rsidRPr="00B9638B">
              <w:rPr>
                <w:sz w:val="20"/>
              </w:rPr>
              <w:t xml:space="preserve">Svedreduktion på ≥ 50 % vs. </w:t>
            </w:r>
            <w:r w:rsidRPr="00B9638B">
              <w:rPr>
                <w:i/>
                <w:iCs/>
                <w:sz w:val="20"/>
              </w:rPr>
              <w:t>baseline</w:t>
            </w:r>
            <w:r w:rsidRPr="00B9638B">
              <w:rPr>
                <w:sz w:val="20"/>
              </w:rPr>
              <w:t xml:space="preserve"> (antal patienter, (%)) uge 12</w:t>
            </w:r>
          </w:p>
        </w:tc>
        <w:tc>
          <w:tcPr>
            <w:tcW w:w="2127" w:type="dxa"/>
          </w:tcPr>
          <w:p w:rsidR="000B5EF7" w:rsidRPr="00B9638B" w:rsidRDefault="000B5EF7" w:rsidP="00133BEC">
            <w:pPr>
              <w:rPr>
                <w:sz w:val="20"/>
              </w:rPr>
            </w:pPr>
            <w:r w:rsidRPr="00B9638B">
              <w:rPr>
                <w:sz w:val="20"/>
              </w:rPr>
              <w:t>193 (54,1)</w:t>
            </w:r>
          </w:p>
        </w:tc>
        <w:tc>
          <w:tcPr>
            <w:tcW w:w="1842" w:type="dxa"/>
          </w:tcPr>
          <w:p w:rsidR="000B5EF7" w:rsidRPr="00B9638B" w:rsidRDefault="000B5EF7" w:rsidP="00133BEC">
            <w:pPr>
              <w:rPr>
                <w:sz w:val="20"/>
              </w:rPr>
            </w:pPr>
          </w:p>
        </w:tc>
      </w:tr>
      <w:tr w:rsidR="000B5EF7" w:rsidRPr="00B9638B" w:rsidTr="00133BEC">
        <w:tc>
          <w:tcPr>
            <w:tcW w:w="5098" w:type="dxa"/>
          </w:tcPr>
          <w:p w:rsidR="000B5EF7" w:rsidRPr="00B9638B" w:rsidRDefault="000B5EF7" w:rsidP="00133BEC">
            <w:pPr>
              <w:keepNext/>
              <w:rPr>
                <w:b/>
                <w:bCs/>
                <w:sz w:val="20"/>
                <w:lang w:eastAsia="en-GB"/>
              </w:rPr>
            </w:pPr>
          </w:p>
          <w:p w:rsidR="000B5EF7" w:rsidRPr="00B9638B" w:rsidRDefault="000B5EF7" w:rsidP="00133BEC">
            <w:pPr>
              <w:keepNext/>
              <w:rPr>
                <w:sz w:val="20"/>
              </w:rPr>
            </w:pPr>
            <w:r w:rsidRPr="00B9638B">
              <w:rPr>
                <w:b/>
                <w:sz w:val="20"/>
              </w:rPr>
              <w:t>Vigtige sekundære endepunkter (N = 518)</w:t>
            </w:r>
          </w:p>
        </w:tc>
        <w:tc>
          <w:tcPr>
            <w:tcW w:w="2127" w:type="dxa"/>
          </w:tcPr>
          <w:p w:rsidR="000B5EF7" w:rsidRPr="00B9638B" w:rsidRDefault="000B5EF7" w:rsidP="00133BEC">
            <w:pPr>
              <w:keepNext/>
              <w:rPr>
                <w:sz w:val="20"/>
              </w:rPr>
            </w:pPr>
          </w:p>
        </w:tc>
        <w:tc>
          <w:tcPr>
            <w:tcW w:w="1842" w:type="dxa"/>
          </w:tcPr>
          <w:p w:rsidR="000B5EF7" w:rsidRPr="00B9638B" w:rsidRDefault="000B5EF7" w:rsidP="00133BEC">
            <w:pPr>
              <w:keepNext/>
              <w:rPr>
                <w:sz w:val="20"/>
              </w:rPr>
            </w:pPr>
          </w:p>
        </w:tc>
      </w:tr>
      <w:tr w:rsidR="000B5EF7" w:rsidRPr="000536C7" w:rsidTr="00133BEC">
        <w:tc>
          <w:tcPr>
            <w:tcW w:w="9067" w:type="dxa"/>
            <w:gridSpan w:val="3"/>
          </w:tcPr>
          <w:p w:rsidR="000B5EF7" w:rsidRPr="00B9638B" w:rsidRDefault="000B5EF7" w:rsidP="00133BEC">
            <w:pPr>
              <w:keepNext/>
              <w:rPr>
                <w:sz w:val="20"/>
              </w:rPr>
            </w:pPr>
            <w:r w:rsidRPr="00B9638B">
              <w:rPr>
                <w:b/>
                <w:sz w:val="20"/>
              </w:rPr>
              <w:t>HDSS-respondere (≥ 2</w:t>
            </w:r>
            <w:r w:rsidRPr="00B9638B">
              <w:rPr>
                <w:b/>
                <w:sz w:val="20"/>
              </w:rPr>
              <w:noBreakHyphen/>
              <w:t xml:space="preserve">point forbedring fra </w:t>
            </w:r>
            <w:r w:rsidRPr="00B9638B">
              <w:rPr>
                <w:b/>
                <w:i/>
                <w:iCs/>
                <w:sz w:val="20"/>
              </w:rPr>
              <w:t>baseline</w:t>
            </w:r>
            <w:r w:rsidRPr="00B9638B">
              <w:rPr>
                <w:b/>
                <w:sz w:val="20"/>
              </w:rPr>
              <w:t xml:space="preserve"> til uge 12) - &gt; 25 % respondere</w:t>
            </w:r>
          </w:p>
        </w:tc>
      </w:tr>
      <w:tr w:rsidR="000B5EF7" w:rsidRPr="00B9638B" w:rsidTr="00133BEC">
        <w:tc>
          <w:tcPr>
            <w:tcW w:w="5098" w:type="dxa"/>
          </w:tcPr>
          <w:p w:rsidR="000B5EF7" w:rsidRPr="00B9638B" w:rsidRDefault="000B5EF7" w:rsidP="00133BEC">
            <w:pPr>
              <w:rPr>
                <w:sz w:val="20"/>
              </w:rPr>
            </w:pPr>
            <w:r w:rsidRPr="00B9638B">
              <w:rPr>
                <w:sz w:val="20"/>
              </w:rPr>
              <w:t>Respondere, N (%)</w:t>
            </w:r>
          </w:p>
        </w:tc>
        <w:tc>
          <w:tcPr>
            <w:tcW w:w="2127" w:type="dxa"/>
          </w:tcPr>
          <w:p w:rsidR="000B5EF7" w:rsidRPr="00B9638B" w:rsidRDefault="000B5EF7" w:rsidP="00133BEC">
            <w:pPr>
              <w:rPr>
                <w:sz w:val="20"/>
              </w:rPr>
            </w:pPr>
            <w:r w:rsidRPr="00B9638B">
              <w:rPr>
                <w:sz w:val="20"/>
              </w:rPr>
              <w:t>145 (30,8)</w:t>
            </w:r>
          </w:p>
        </w:tc>
        <w:tc>
          <w:tcPr>
            <w:tcW w:w="1842" w:type="dxa"/>
          </w:tcPr>
          <w:p w:rsidR="000B5EF7" w:rsidRPr="00B9638B" w:rsidRDefault="000B5EF7" w:rsidP="00133BEC">
            <w:pPr>
              <w:rPr>
                <w:sz w:val="20"/>
              </w:rPr>
            </w:pPr>
            <w:r w:rsidRPr="00B9638B">
              <w:rPr>
                <w:sz w:val="20"/>
              </w:rPr>
              <w:t>0,0019</w:t>
            </w:r>
          </w:p>
        </w:tc>
      </w:tr>
      <w:tr w:rsidR="000B5EF7" w:rsidRPr="000536C7" w:rsidTr="00133BEC">
        <w:tc>
          <w:tcPr>
            <w:tcW w:w="9067" w:type="dxa"/>
            <w:gridSpan w:val="3"/>
          </w:tcPr>
          <w:p w:rsidR="000B5EF7" w:rsidRPr="00B9638B" w:rsidRDefault="000B5EF7" w:rsidP="00133BEC">
            <w:pPr>
              <w:keepNext/>
              <w:rPr>
                <w:sz w:val="20"/>
              </w:rPr>
            </w:pPr>
            <w:r w:rsidRPr="00B9638B">
              <w:rPr>
                <w:b/>
                <w:sz w:val="20"/>
              </w:rPr>
              <w:t>HDSS-respondere (≥ 2</w:t>
            </w:r>
            <w:r w:rsidRPr="00B9638B">
              <w:rPr>
                <w:b/>
                <w:sz w:val="20"/>
              </w:rPr>
              <w:noBreakHyphen/>
              <w:t xml:space="preserve">point forbedring fra </w:t>
            </w:r>
            <w:r w:rsidRPr="00B9638B">
              <w:rPr>
                <w:b/>
                <w:i/>
                <w:iCs/>
                <w:sz w:val="20"/>
              </w:rPr>
              <w:t>baseline</w:t>
            </w:r>
            <w:r w:rsidRPr="00B9638B">
              <w:rPr>
                <w:b/>
                <w:sz w:val="20"/>
              </w:rPr>
              <w:t xml:space="preserve"> til uge 28) - &gt; 25 % respondere</w:t>
            </w:r>
          </w:p>
        </w:tc>
      </w:tr>
      <w:tr w:rsidR="000B5EF7" w:rsidRPr="00B9638B" w:rsidTr="00133BEC">
        <w:tc>
          <w:tcPr>
            <w:tcW w:w="5098" w:type="dxa"/>
          </w:tcPr>
          <w:p w:rsidR="000B5EF7" w:rsidRPr="00B9638B" w:rsidRDefault="000B5EF7" w:rsidP="00133BEC">
            <w:pPr>
              <w:rPr>
                <w:sz w:val="20"/>
              </w:rPr>
            </w:pPr>
            <w:r w:rsidRPr="00B9638B">
              <w:rPr>
                <w:sz w:val="20"/>
              </w:rPr>
              <w:t>Respondere, N (%)</w:t>
            </w:r>
          </w:p>
        </w:tc>
        <w:tc>
          <w:tcPr>
            <w:tcW w:w="2127" w:type="dxa"/>
          </w:tcPr>
          <w:p w:rsidR="000B5EF7" w:rsidRPr="00B9638B" w:rsidRDefault="000B5EF7" w:rsidP="00133BEC">
            <w:pPr>
              <w:rPr>
                <w:sz w:val="20"/>
              </w:rPr>
            </w:pPr>
            <w:r w:rsidRPr="00B9638B">
              <w:rPr>
                <w:sz w:val="20"/>
              </w:rPr>
              <w:t>152 (29,3)</w:t>
            </w:r>
          </w:p>
        </w:tc>
        <w:tc>
          <w:tcPr>
            <w:tcW w:w="1842" w:type="dxa"/>
          </w:tcPr>
          <w:p w:rsidR="000B5EF7" w:rsidRPr="00B9638B" w:rsidRDefault="000B5EF7" w:rsidP="00133BEC">
            <w:pPr>
              <w:rPr>
                <w:sz w:val="20"/>
              </w:rPr>
            </w:pPr>
            <w:r w:rsidRPr="00B9638B">
              <w:rPr>
                <w:sz w:val="20"/>
              </w:rPr>
              <w:t>0,0112</w:t>
            </w:r>
          </w:p>
        </w:tc>
      </w:tr>
      <w:tr w:rsidR="000B5EF7" w:rsidRPr="000536C7" w:rsidTr="00133BEC">
        <w:tc>
          <w:tcPr>
            <w:tcW w:w="9067" w:type="dxa"/>
            <w:gridSpan w:val="3"/>
          </w:tcPr>
          <w:p w:rsidR="000B5EF7" w:rsidRPr="00B9638B" w:rsidRDefault="000B5EF7" w:rsidP="00133BEC">
            <w:pPr>
              <w:keepNext/>
              <w:rPr>
                <w:sz w:val="20"/>
              </w:rPr>
            </w:pPr>
            <w:r w:rsidRPr="00B9638B">
              <w:rPr>
                <w:b/>
                <w:sz w:val="20"/>
              </w:rPr>
              <w:t xml:space="preserve">Absolut ændring i </w:t>
            </w:r>
            <w:proofErr w:type="spellStart"/>
            <w:r w:rsidRPr="00B9638B">
              <w:rPr>
                <w:b/>
                <w:sz w:val="20"/>
              </w:rPr>
              <w:t>livskvalitetindekset</w:t>
            </w:r>
            <w:proofErr w:type="spellEnd"/>
            <w:r w:rsidRPr="00B9638B">
              <w:rPr>
                <w:b/>
                <w:sz w:val="20"/>
              </w:rPr>
              <w:t xml:space="preserve"> </w:t>
            </w:r>
            <w:proofErr w:type="spellStart"/>
            <w:r w:rsidRPr="00B9638B">
              <w:rPr>
                <w:b/>
                <w:sz w:val="20"/>
              </w:rPr>
              <w:t>HidroQoL</w:t>
            </w:r>
            <w:proofErr w:type="spellEnd"/>
            <w:r w:rsidRPr="00B9638B">
              <w:rPr>
                <w:b/>
                <w:sz w:val="20"/>
              </w:rPr>
              <w:t xml:space="preserve"> for </w:t>
            </w:r>
            <w:proofErr w:type="spellStart"/>
            <w:r w:rsidRPr="00B9638B">
              <w:rPr>
                <w:b/>
                <w:sz w:val="20"/>
              </w:rPr>
              <w:t>hyperhidrose</w:t>
            </w:r>
            <w:proofErr w:type="spellEnd"/>
            <w:r w:rsidRPr="00B9638B">
              <w:rPr>
                <w:b/>
                <w:sz w:val="20"/>
              </w:rPr>
              <w:t xml:space="preserve"> fra </w:t>
            </w:r>
            <w:r w:rsidRPr="00B9638B">
              <w:rPr>
                <w:b/>
                <w:i/>
                <w:iCs/>
                <w:sz w:val="20"/>
              </w:rPr>
              <w:t>baseline</w:t>
            </w:r>
            <w:r w:rsidRPr="00B9638B">
              <w:rPr>
                <w:b/>
                <w:sz w:val="20"/>
              </w:rPr>
              <w:t xml:space="preserve"> til uge 12</w:t>
            </w:r>
          </w:p>
        </w:tc>
      </w:tr>
      <w:tr w:rsidR="000B5EF7" w:rsidRPr="00B9638B" w:rsidTr="00133BEC">
        <w:tc>
          <w:tcPr>
            <w:tcW w:w="5098" w:type="dxa"/>
          </w:tcPr>
          <w:p w:rsidR="000B5EF7" w:rsidRPr="00B9638B" w:rsidRDefault="000B5EF7" w:rsidP="00133BEC">
            <w:pPr>
              <w:keepNext/>
              <w:rPr>
                <w:b/>
                <w:bCs/>
                <w:sz w:val="20"/>
              </w:rPr>
            </w:pPr>
            <w:r w:rsidRPr="00B9638B">
              <w:rPr>
                <w:b/>
                <w:sz w:val="20"/>
              </w:rPr>
              <w:t>Median ændring i totalt score til uge 12 (CI)</w:t>
            </w:r>
          </w:p>
        </w:tc>
        <w:tc>
          <w:tcPr>
            <w:tcW w:w="2127" w:type="dxa"/>
          </w:tcPr>
          <w:p w:rsidR="000B5EF7" w:rsidRPr="00B9638B" w:rsidRDefault="000B5EF7" w:rsidP="00133BEC">
            <w:pPr>
              <w:keepNext/>
              <w:rPr>
                <w:sz w:val="20"/>
              </w:rPr>
            </w:pPr>
            <w:r w:rsidRPr="00B9638B">
              <w:rPr>
                <w:sz w:val="20"/>
              </w:rPr>
              <w:noBreakHyphen/>
              <w:t>11,0 (</w:t>
            </w:r>
            <w:r w:rsidRPr="00B9638B">
              <w:rPr>
                <w:sz w:val="20"/>
              </w:rPr>
              <w:noBreakHyphen/>
              <w:t xml:space="preserve">13,0; </w:t>
            </w:r>
            <w:r w:rsidRPr="00B9638B">
              <w:rPr>
                <w:sz w:val="20"/>
              </w:rPr>
              <w:noBreakHyphen/>
              <w:t>10,</w:t>
            </w:r>
            <w:proofErr w:type="gramStart"/>
            <w:r w:rsidRPr="00B9638B">
              <w:rPr>
                <w:sz w:val="20"/>
              </w:rPr>
              <w:t>0)</w:t>
            </w:r>
            <w:r w:rsidRPr="00B9638B">
              <w:rPr>
                <w:vertAlign w:val="superscript"/>
              </w:rPr>
              <w:t>a</w:t>
            </w:r>
            <w:proofErr w:type="gramEnd"/>
          </w:p>
        </w:tc>
        <w:tc>
          <w:tcPr>
            <w:tcW w:w="1842" w:type="dxa"/>
          </w:tcPr>
          <w:p w:rsidR="000B5EF7" w:rsidRPr="00B9638B" w:rsidRDefault="000B5EF7" w:rsidP="00133BEC">
            <w:pPr>
              <w:keepNext/>
              <w:rPr>
                <w:sz w:val="20"/>
              </w:rPr>
            </w:pPr>
            <w:r w:rsidRPr="00B9638B">
              <w:rPr>
                <w:sz w:val="20"/>
              </w:rPr>
              <w:t>&lt; 0,0001</w:t>
            </w:r>
          </w:p>
        </w:tc>
      </w:tr>
    </w:tbl>
    <w:p w:rsidR="000B5EF7" w:rsidRPr="00442A36" w:rsidRDefault="000B5EF7" w:rsidP="000B5EF7">
      <w:pPr>
        <w:autoSpaceDE w:val="0"/>
        <w:autoSpaceDN w:val="0"/>
        <w:adjustRightInd w:val="0"/>
        <w:ind w:left="851"/>
        <w:rPr>
          <w:lang w:val="en-US"/>
        </w:rPr>
      </w:pPr>
      <w:r w:rsidRPr="00442A36">
        <w:rPr>
          <w:lang w:val="en-US"/>
        </w:rPr>
        <w:t>HDSS = </w:t>
      </w:r>
      <w:r w:rsidRPr="00442A36">
        <w:rPr>
          <w:i/>
          <w:iCs/>
          <w:lang w:val="en-US"/>
        </w:rPr>
        <w:t>Hyperhidrosis Disease Severity Scale</w:t>
      </w:r>
      <w:r w:rsidRPr="00442A36">
        <w:rPr>
          <w:lang w:val="en-US"/>
        </w:rPr>
        <w:t xml:space="preserve">, </w:t>
      </w:r>
      <w:proofErr w:type="spellStart"/>
      <w:r w:rsidRPr="00442A36">
        <w:rPr>
          <w:lang w:val="en-US"/>
        </w:rPr>
        <w:t>HidroQoL</w:t>
      </w:r>
      <w:proofErr w:type="spellEnd"/>
      <w:r w:rsidRPr="00442A36">
        <w:rPr>
          <w:lang w:val="en-US"/>
        </w:rPr>
        <w:t> = </w:t>
      </w:r>
      <w:r w:rsidRPr="00442A36">
        <w:rPr>
          <w:i/>
          <w:iCs/>
          <w:lang w:val="en-US"/>
        </w:rPr>
        <w:t>Hyperhidrosis Quality of Life Index</w:t>
      </w:r>
      <w:r w:rsidRPr="00442A36">
        <w:rPr>
          <w:lang w:val="en-US"/>
        </w:rPr>
        <w:t>, CI = </w:t>
      </w:r>
      <w:proofErr w:type="spellStart"/>
      <w:r w:rsidRPr="00442A36">
        <w:rPr>
          <w:lang w:val="en-US"/>
        </w:rPr>
        <w:t>konfidensinterval</w:t>
      </w:r>
      <w:proofErr w:type="spellEnd"/>
      <w:r w:rsidRPr="00442A36">
        <w:rPr>
          <w:lang w:val="en-US"/>
        </w:rPr>
        <w:t>, N = </w:t>
      </w:r>
      <w:proofErr w:type="spellStart"/>
      <w:r w:rsidRPr="00442A36">
        <w:rPr>
          <w:lang w:val="en-US"/>
        </w:rPr>
        <w:t>antal</w:t>
      </w:r>
      <w:proofErr w:type="spellEnd"/>
      <w:r w:rsidRPr="00442A36">
        <w:rPr>
          <w:lang w:val="en-US"/>
        </w:rPr>
        <w:t xml:space="preserve"> </w:t>
      </w:r>
      <w:proofErr w:type="spellStart"/>
      <w:r w:rsidRPr="00442A36">
        <w:rPr>
          <w:lang w:val="en-US"/>
        </w:rPr>
        <w:t>patienter</w:t>
      </w:r>
      <w:proofErr w:type="spellEnd"/>
      <w:r w:rsidRPr="00442A36">
        <w:rPr>
          <w:lang w:val="en-US"/>
        </w:rPr>
        <w:t>,</w:t>
      </w:r>
      <w:r w:rsidRPr="00442A36">
        <w:rPr>
          <w:vertAlign w:val="superscript"/>
          <w:lang w:val="en-US"/>
        </w:rPr>
        <w:t xml:space="preserve"> </w:t>
      </w:r>
      <w:proofErr w:type="spellStart"/>
      <w:r w:rsidRPr="00442A36">
        <w:rPr>
          <w:vertAlign w:val="superscript"/>
          <w:lang w:val="en-US"/>
        </w:rPr>
        <w:t>a</w:t>
      </w:r>
      <w:r w:rsidRPr="00442A36">
        <w:rPr>
          <w:lang w:val="en-US"/>
        </w:rPr>
        <w:t>N</w:t>
      </w:r>
      <w:proofErr w:type="spellEnd"/>
      <w:r w:rsidRPr="00442A36">
        <w:rPr>
          <w:lang w:val="en-US"/>
        </w:rPr>
        <w:t> = 468</w:t>
      </w:r>
    </w:p>
    <w:p w:rsidR="000B5EF7" w:rsidRPr="00442A36" w:rsidRDefault="000B5EF7" w:rsidP="000B5EF7">
      <w:pPr>
        <w:autoSpaceDE w:val="0"/>
        <w:autoSpaceDN w:val="0"/>
        <w:adjustRightInd w:val="0"/>
        <w:ind w:left="851"/>
        <w:rPr>
          <w:lang w:val="en-US"/>
        </w:rPr>
      </w:pPr>
    </w:p>
    <w:p w:rsidR="000B5EF7" w:rsidRPr="00B9638B" w:rsidRDefault="000B5EF7" w:rsidP="000B5EF7">
      <w:pPr>
        <w:autoSpaceDE w:val="0"/>
        <w:autoSpaceDN w:val="0"/>
        <w:adjustRightInd w:val="0"/>
        <w:ind w:left="851"/>
      </w:pPr>
      <w:r w:rsidRPr="00B9638B">
        <w:t xml:space="preserve">Procentdel af respondere (≥ 2 points forbedring i HDSS) nåede ikke statistisk signifikans (p = 0,0623) efter 4 ugers behandling med </w:t>
      </w:r>
      <w:proofErr w:type="spellStart"/>
      <w:r w:rsidRPr="00B9638B">
        <w:t>Axhidrox</w:t>
      </w:r>
      <w:proofErr w:type="spellEnd"/>
      <w:r w:rsidRPr="00B9638B">
        <w:t xml:space="preserve"> i den åbne, langsigtede del af fase 3-studiet (N = 357 patienter) med </w:t>
      </w:r>
      <w:proofErr w:type="spellStart"/>
      <w:r w:rsidRPr="00B9638B">
        <w:t>Axhidrox</w:t>
      </w:r>
      <w:proofErr w:type="spellEnd"/>
      <w:r w:rsidRPr="00B9638B">
        <w:t xml:space="preserve">. Statistisk signifikans blev dog nået efter 52 (p = 0,0072) og 72 (p &lt; 0,0002) ugers behandling med </w:t>
      </w:r>
      <w:proofErr w:type="spellStart"/>
      <w:r w:rsidRPr="00B9638B">
        <w:t>Axhidrox</w:t>
      </w:r>
      <w:proofErr w:type="spellEnd"/>
      <w:r w:rsidRPr="00B9638B">
        <w:t xml:space="preserve">. Absolutte ændringer i det </w:t>
      </w:r>
      <w:r w:rsidRPr="00B9638B">
        <w:lastRenderedPageBreak/>
        <w:t xml:space="preserve">totale </w:t>
      </w:r>
      <w:proofErr w:type="spellStart"/>
      <w:r w:rsidRPr="00B9638B">
        <w:t>HidroQoL</w:t>
      </w:r>
      <w:proofErr w:type="spellEnd"/>
      <w:r w:rsidRPr="00B9638B">
        <w:t xml:space="preserve">-score fra </w:t>
      </w:r>
      <w:r w:rsidRPr="00B9638B">
        <w:rPr>
          <w:i/>
          <w:iCs/>
        </w:rPr>
        <w:t xml:space="preserve">baseline </w:t>
      </w:r>
      <w:r w:rsidRPr="00B9638B">
        <w:t xml:space="preserve">var statistisk signifikant i uge 4, 8, 28, 52 og 72 (p &lt; 0,0001 for alle) efter behandling med </w:t>
      </w:r>
      <w:proofErr w:type="spellStart"/>
      <w:r w:rsidRPr="00B9638B">
        <w:t>Axhidrox</w:t>
      </w:r>
      <w:proofErr w:type="spellEnd"/>
      <w:r w:rsidRPr="00B9638B">
        <w:t>.</w:t>
      </w:r>
    </w:p>
    <w:p w:rsidR="000B5EF7" w:rsidRPr="00B9638B" w:rsidRDefault="000B5EF7" w:rsidP="000B5EF7">
      <w:pPr>
        <w:autoSpaceDE w:val="0"/>
        <w:autoSpaceDN w:val="0"/>
        <w:adjustRightInd w:val="0"/>
        <w:ind w:left="851"/>
        <w:rPr>
          <w:szCs w:val="22"/>
        </w:rPr>
      </w:pPr>
    </w:p>
    <w:p w:rsidR="000B5EF7" w:rsidRPr="00B9638B" w:rsidRDefault="000B5EF7" w:rsidP="000B5EF7">
      <w:pPr>
        <w:autoSpaceDE w:val="0"/>
        <w:autoSpaceDN w:val="0"/>
        <w:adjustRightInd w:val="0"/>
        <w:ind w:left="851"/>
        <w:rPr>
          <w:szCs w:val="22"/>
        </w:rPr>
      </w:pPr>
      <w:r w:rsidRPr="00B9638B">
        <w:t xml:space="preserve">Patientrapporterede resultater, såsom HDSS og </w:t>
      </w:r>
      <w:proofErr w:type="spellStart"/>
      <w:r w:rsidRPr="00B9638B">
        <w:t>HidroQoL</w:t>
      </w:r>
      <w:proofErr w:type="spellEnd"/>
      <w:r w:rsidRPr="00B9638B">
        <w:t xml:space="preserve">, blev der vist en yderligere forbedring over tid, til trods for den reducerede hyppighed i applicering efter uge 4. Symptomer på </w:t>
      </w:r>
      <w:proofErr w:type="spellStart"/>
      <w:r w:rsidRPr="00B9638B">
        <w:t>hyperhidrose</w:t>
      </w:r>
      <w:proofErr w:type="spellEnd"/>
      <w:r w:rsidRPr="00B9638B">
        <w:t xml:space="preserve"> forbedredes yderligere med langvarig brug med op til 72 ugers behandling.</w:t>
      </w:r>
    </w:p>
    <w:p w:rsidR="000B5EF7" w:rsidRPr="00B9638B" w:rsidRDefault="000B5EF7" w:rsidP="000B5EF7">
      <w:pPr>
        <w:ind w:left="851"/>
        <w:rPr>
          <w:bCs/>
          <w:iCs/>
          <w:szCs w:val="22"/>
        </w:rPr>
      </w:pPr>
    </w:p>
    <w:p w:rsidR="000B5EF7" w:rsidRPr="00B9638B" w:rsidRDefault="000B5EF7" w:rsidP="000B5EF7">
      <w:pPr>
        <w:ind w:left="851"/>
        <w:rPr>
          <w:szCs w:val="22"/>
        </w:rPr>
      </w:pPr>
      <w:r w:rsidRPr="00B9638B">
        <w:rPr>
          <w:szCs w:val="22"/>
        </w:rPr>
        <w:t xml:space="preserve">Det Europæiske Lægemiddelagentur har udsat forpligtelsen til at fremlægge resultaterne af studier med </w:t>
      </w:r>
      <w:proofErr w:type="spellStart"/>
      <w:r w:rsidRPr="00B9638B">
        <w:rPr>
          <w:szCs w:val="22"/>
        </w:rPr>
        <w:t>Axhidrox</w:t>
      </w:r>
      <w:proofErr w:type="spellEnd"/>
      <w:r w:rsidRPr="00B9638B">
        <w:rPr>
          <w:color w:val="00B050"/>
          <w:szCs w:val="22"/>
        </w:rPr>
        <w:t xml:space="preserve"> </w:t>
      </w:r>
      <w:r w:rsidRPr="00B9638B">
        <w:rPr>
          <w:szCs w:val="22"/>
        </w:rPr>
        <w:t xml:space="preserve">i en eller flere undergrupper af den pædiatriske population med </w:t>
      </w:r>
      <w:r w:rsidRPr="00B9638B">
        <w:rPr>
          <w:noProof/>
          <w:szCs w:val="22"/>
        </w:rPr>
        <w:t>tilstand i den godkendte indikation</w:t>
      </w:r>
      <w:r w:rsidRPr="00B9638B">
        <w:rPr>
          <w:color w:val="008000"/>
          <w:szCs w:val="22"/>
        </w:rPr>
        <w:t xml:space="preserve"> </w:t>
      </w:r>
      <w:r w:rsidRPr="00B9638B">
        <w:rPr>
          <w:szCs w:val="22"/>
        </w:rPr>
        <w:t>i henhold til afgørelsen i den pædiatriske undersøgelsesplan (PIP</w:t>
      </w:r>
      <w:r w:rsidRPr="00B9638B">
        <w:rPr>
          <w:noProof/>
          <w:szCs w:val="22"/>
        </w:rPr>
        <w:t>)</w:t>
      </w:r>
      <w:r w:rsidRPr="00B9638B">
        <w:rPr>
          <w:szCs w:val="22"/>
        </w:rPr>
        <w:t xml:space="preserve"> (se </w:t>
      </w:r>
      <w:r w:rsidRPr="00B9638B">
        <w:rPr>
          <w:noProof/>
          <w:szCs w:val="22"/>
        </w:rPr>
        <w:t>pkt.</w:t>
      </w:r>
      <w:r w:rsidRPr="00B9638B">
        <w:rPr>
          <w:szCs w:val="22"/>
        </w:rPr>
        <w:t> 4.2 for oplysninger om pædiatrisk anvendelse).</w:t>
      </w:r>
    </w:p>
    <w:p w:rsidR="009260DE" w:rsidRPr="00D061C9" w:rsidRDefault="009260DE" w:rsidP="00D061C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A420AA" w:rsidRPr="00A420AA" w:rsidRDefault="00A420AA" w:rsidP="00A420AA">
      <w:pPr>
        <w:tabs>
          <w:tab w:val="left" w:pos="851"/>
        </w:tabs>
        <w:ind w:left="851"/>
        <w:rPr>
          <w:sz w:val="24"/>
          <w:szCs w:val="24"/>
        </w:rPr>
      </w:pPr>
    </w:p>
    <w:p w:rsidR="00A420AA" w:rsidRPr="00A420AA" w:rsidRDefault="00A420AA" w:rsidP="00A420AA">
      <w:pPr>
        <w:tabs>
          <w:tab w:val="left" w:pos="851"/>
        </w:tabs>
        <w:ind w:left="851"/>
        <w:rPr>
          <w:iCs/>
          <w:sz w:val="24"/>
          <w:szCs w:val="24"/>
          <w:u w:val="single"/>
        </w:rPr>
      </w:pPr>
      <w:r w:rsidRPr="00A420AA">
        <w:rPr>
          <w:sz w:val="24"/>
          <w:szCs w:val="24"/>
          <w:u w:val="single"/>
        </w:rPr>
        <w:t>Absorption</w:t>
      </w:r>
    </w:p>
    <w:p w:rsidR="00A420AA" w:rsidRPr="00A420AA" w:rsidRDefault="00A420AA" w:rsidP="00A420AA">
      <w:pPr>
        <w:tabs>
          <w:tab w:val="left" w:pos="851"/>
        </w:tabs>
        <w:ind w:left="851"/>
        <w:rPr>
          <w:iCs/>
          <w:sz w:val="24"/>
          <w:szCs w:val="24"/>
        </w:rPr>
      </w:pPr>
      <w:proofErr w:type="spellStart"/>
      <w:r w:rsidRPr="00A420AA">
        <w:rPr>
          <w:sz w:val="24"/>
          <w:szCs w:val="24"/>
        </w:rPr>
        <w:t>Axhidrox</w:t>
      </w:r>
      <w:proofErr w:type="spellEnd"/>
      <w:r w:rsidRPr="00A420AA">
        <w:rPr>
          <w:sz w:val="24"/>
          <w:szCs w:val="24"/>
        </w:rPr>
        <w:t xml:space="preserve"> har lokal virkning, men systemisk eksponering kan forekomme. Farmakokinetikken for </w:t>
      </w:r>
      <w:proofErr w:type="spellStart"/>
      <w:r w:rsidRPr="00A420AA">
        <w:rPr>
          <w:sz w:val="24"/>
          <w:szCs w:val="24"/>
        </w:rPr>
        <w:t>Axhidrox</w:t>
      </w:r>
      <w:proofErr w:type="spellEnd"/>
      <w:r w:rsidRPr="00A420AA">
        <w:rPr>
          <w:sz w:val="24"/>
          <w:szCs w:val="24"/>
        </w:rPr>
        <w:t xml:space="preserve"> blev undersøgt i et </w:t>
      </w:r>
      <w:proofErr w:type="spellStart"/>
      <w:r w:rsidRPr="00A420AA">
        <w:rPr>
          <w:sz w:val="24"/>
          <w:szCs w:val="24"/>
        </w:rPr>
        <w:t>farmakokinetisk</w:t>
      </w:r>
      <w:proofErr w:type="spellEnd"/>
      <w:r w:rsidRPr="00A420AA">
        <w:rPr>
          <w:sz w:val="24"/>
          <w:szCs w:val="24"/>
        </w:rPr>
        <w:t xml:space="preserve"> studie hos 30 patienter med primær </w:t>
      </w:r>
      <w:proofErr w:type="spellStart"/>
      <w:r w:rsidRPr="00A420AA">
        <w:rPr>
          <w:sz w:val="24"/>
          <w:szCs w:val="24"/>
        </w:rPr>
        <w:t>aksillær</w:t>
      </w:r>
      <w:proofErr w:type="spellEnd"/>
      <w:r w:rsidRPr="00A420AA">
        <w:rPr>
          <w:sz w:val="24"/>
          <w:szCs w:val="24"/>
        </w:rPr>
        <w:t xml:space="preserve"> </w:t>
      </w:r>
      <w:proofErr w:type="spellStart"/>
      <w:r w:rsidRPr="00A420AA">
        <w:rPr>
          <w:sz w:val="24"/>
          <w:szCs w:val="24"/>
        </w:rPr>
        <w:t>hydrose</w:t>
      </w:r>
      <w:proofErr w:type="spellEnd"/>
      <w:r w:rsidRPr="00A420AA">
        <w:rPr>
          <w:sz w:val="24"/>
          <w:szCs w:val="24"/>
        </w:rPr>
        <w:t>, med 3 forskellige dosisstyrker, 0,5 %, 1 % og 2 % (fase 1b</w:t>
      </w:r>
      <w:r w:rsidRPr="00A420AA">
        <w:rPr>
          <w:sz w:val="24"/>
          <w:szCs w:val="24"/>
        </w:rPr>
        <w:noBreakHyphen/>
        <w:t xml:space="preserve">studiet). Med kontinuerlig applikation af </w:t>
      </w:r>
      <w:proofErr w:type="spellStart"/>
      <w:r w:rsidRPr="00A420AA">
        <w:rPr>
          <w:sz w:val="24"/>
          <w:szCs w:val="24"/>
        </w:rPr>
        <w:t>Axhidrox</w:t>
      </w:r>
      <w:proofErr w:type="spellEnd"/>
      <w:r w:rsidRPr="00A420AA">
        <w:rPr>
          <w:sz w:val="24"/>
          <w:szCs w:val="24"/>
        </w:rPr>
        <w:t xml:space="preserve"> en gang </w:t>
      </w:r>
      <w:r w:rsidR="000D751A">
        <w:rPr>
          <w:sz w:val="24"/>
          <w:szCs w:val="24"/>
        </w:rPr>
        <w:t>daglig</w:t>
      </w:r>
      <w:r w:rsidRPr="00A420AA">
        <w:rPr>
          <w:sz w:val="24"/>
          <w:szCs w:val="24"/>
        </w:rPr>
        <w:t xml:space="preserve"> blev der opnået </w:t>
      </w:r>
      <w:proofErr w:type="spellStart"/>
      <w:r w:rsidRPr="00A420AA">
        <w:rPr>
          <w:sz w:val="24"/>
          <w:szCs w:val="24"/>
        </w:rPr>
        <w:t>farmakokinetisk</w:t>
      </w:r>
      <w:proofErr w:type="spellEnd"/>
      <w:r w:rsidRPr="00A420AA">
        <w:rPr>
          <w:sz w:val="24"/>
          <w:szCs w:val="24"/>
        </w:rPr>
        <w:t xml:space="preserve"> </w:t>
      </w:r>
      <w:proofErr w:type="spellStart"/>
      <w:r w:rsidRPr="00A420AA">
        <w:rPr>
          <w:i/>
          <w:iCs/>
          <w:sz w:val="24"/>
          <w:szCs w:val="24"/>
        </w:rPr>
        <w:t>steady</w:t>
      </w:r>
      <w:proofErr w:type="spellEnd"/>
      <w:r w:rsidRPr="00A420AA">
        <w:rPr>
          <w:i/>
          <w:iCs/>
          <w:sz w:val="24"/>
          <w:szCs w:val="24"/>
        </w:rPr>
        <w:t xml:space="preserve"> </w:t>
      </w:r>
      <w:proofErr w:type="spellStart"/>
      <w:r w:rsidRPr="00A420AA">
        <w:rPr>
          <w:i/>
          <w:iCs/>
          <w:sz w:val="24"/>
          <w:szCs w:val="24"/>
        </w:rPr>
        <w:t>state</w:t>
      </w:r>
      <w:proofErr w:type="spellEnd"/>
      <w:r w:rsidRPr="00A420AA">
        <w:rPr>
          <w:sz w:val="24"/>
          <w:szCs w:val="24"/>
        </w:rPr>
        <w:t xml:space="preserve"> for </w:t>
      </w:r>
      <w:proofErr w:type="spellStart"/>
      <w:r w:rsidRPr="00A420AA">
        <w:rPr>
          <w:sz w:val="24"/>
          <w:szCs w:val="24"/>
        </w:rPr>
        <w:t>glycopyrronium</w:t>
      </w:r>
      <w:proofErr w:type="spellEnd"/>
      <w:r w:rsidRPr="00A420AA">
        <w:rPr>
          <w:sz w:val="24"/>
          <w:szCs w:val="24"/>
        </w:rPr>
        <w:t xml:space="preserve"> mellem dag 7 og 14 af behandlingen. Farmakokinetikken på dag 14 efter administration af 1 % styrken viste en middel </w:t>
      </w:r>
      <w:proofErr w:type="spellStart"/>
      <w:r w:rsidRPr="00A420AA">
        <w:rPr>
          <w:sz w:val="24"/>
          <w:szCs w:val="24"/>
        </w:rPr>
        <w:t>T</w:t>
      </w:r>
      <w:r w:rsidRPr="00A420AA">
        <w:rPr>
          <w:sz w:val="24"/>
          <w:szCs w:val="24"/>
          <w:vertAlign w:val="subscript"/>
        </w:rPr>
        <w:t>max</w:t>
      </w:r>
      <w:proofErr w:type="spellEnd"/>
      <w:r w:rsidRPr="00A420AA">
        <w:rPr>
          <w:sz w:val="24"/>
          <w:szCs w:val="24"/>
        </w:rPr>
        <w:t xml:space="preserve"> på ca. 4 timer, en middel (SD) AUC</w:t>
      </w:r>
      <w:r w:rsidRPr="00A420AA">
        <w:rPr>
          <w:sz w:val="24"/>
          <w:szCs w:val="24"/>
          <w:vertAlign w:val="subscript"/>
        </w:rPr>
        <w:t>0</w:t>
      </w:r>
      <w:r w:rsidRPr="00A420AA">
        <w:rPr>
          <w:sz w:val="24"/>
          <w:szCs w:val="24"/>
          <w:vertAlign w:val="subscript"/>
        </w:rPr>
        <w:noBreakHyphen/>
        <w:t xml:space="preserve">8t </w:t>
      </w:r>
      <w:r w:rsidRPr="00A420AA">
        <w:rPr>
          <w:sz w:val="24"/>
          <w:szCs w:val="24"/>
        </w:rPr>
        <w:t>på 128,61 (94,63) t*</w:t>
      </w:r>
      <w:proofErr w:type="spellStart"/>
      <w:r w:rsidRPr="00A420AA">
        <w:rPr>
          <w:sz w:val="24"/>
          <w:szCs w:val="24"/>
        </w:rPr>
        <w:t>pg</w:t>
      </w:r>
      <w:proofErr w:type="spellEnd"/>
      <w:r w:rsidRPr="00A420AA">
        <w:rPr>
          <w:sz w:val="24"/>
          <w:szCs w:val="24"/>
        </w:rPr>
        <w:t>/ml og en maksimal koncentration på 24,39 (15,23) </w:t>
      </w:r>
      <w:proofErr w:type="spellStart"/>
      <w:r w:rsidRPr="00A420AA">
        <w:rPr>
          <w:sz w:val="24"/>
          <w:szCs w:val="24"/>
        </w:rPr>
        <w:t>pg</w:t>
      </w:r>
      <w:proofErr w:type="spellEnd"/>
      <w:r w:rsidRPr="00A420AA">
        <w:rPr>
          <w:sz w:val="24"/>
          <w:szCs w:val="24"/>
        </w:rPr>
        <w:t xml:space="preserve">/ml. Total og maksimal eksponering for </w:t>
      </w:r>
      <w:proofErr w:type="spellStart"/>
      <w:r w:rsidRPr="00A420AA">
        <w:rPr>
          <w:sz w:val="24"/>
          <w:szCs w:val="24"/>
        </w:rPr>
        <w:t>glycopyrronium</w:t>
      </w:r>
      <w:proofErr w:type="spellEnd"/>
      <w:r w:rsidRPr="00A420AA">
        <w:rPr>
          <w:sz w:val="24"/>
          <w:szCs w:val="24"/>
        </w:rPr>
        <w:t xml:space="preserve"> steg generelt med dosis fra 4,3 mg til 17,3 mg </w:t>
      </w:r>
      <w:proofErr w:type="spellStart"/>
      <w:r w:rsidRPr="00A420AA">
        <w:rPr>
          <w:sz w:val="24"/>
          <w:szCs w:val="24"/>
        </w:rPr>
        <w:t>glycopyrronium</w:t>
      </w:r>
      <w:proofErr w:type="spellEnd"/>
      <w:r w:rsidRPr="00A420AA">
        <w:rPr>
          <w:sz w:val="24"/>
          <w:szCs w:val="24"/>
        </w:rPr>
        <w:t xml:space="preserve"> (svarende til en styrke på hhv. 0,5 %, 1 % og 2 %), med værdier som var stærkt variable på grund af det lokalt applicerede og lokalt virkende lægemiddel.</w:t>
      </w:r>
    </w:p>
    <w:p w:rsidR="00A420AA" w:rsidRPr="00A420AA" w:rsidRDefault="00A420AA" w:rsidP="00A420AA">
      <w:pPr>
        <w:tabs>
          <w:tab w:val="left" w:pos="851"/>
        </w:tabs>
        <w:ind w:left="851"/>
        <w:rPr>
          <w:iCs/>
          <w:sz w:val="24"/>
          <w:szCs w:val="24"/>
        </w:rPr>
      </w:pPr>
    </w:p>
    <w:p w:rsidR="00A420AA" w:rsidRPr="00A420AA" w:rsidRDefault="00A420AA" w:rsidP="00A420AA">
      <w:pPr>
        <w:tabs>
          <w:tab w:val="left" w:pos="851"/>
        </w:tabs>
        <w:ind w:left="851"/>
        <w:rPr>
          <w:iCs/>
          <w:sz w:val="24"/>
          <w:szCs w:val="24"/>
          <w:u w:val="single"/>
        </w:rPr>
      </w:pPr>
      <w:r w:rsidRPr="00A420AA">
        <w:rPr>
          <w:sz w:val="24"/>
          <w:szCs w:val="24"/>
          <w:u w:val="single"/>
        </w:rPr>
        <w:t>Fordeling</w:t>
      </w:r>
    </w:p>
    <w:p w:rsidR="00A420AA" w:rsidRPr="00A420AA" w:rsidRDefault="00A420AA" w:rsidP="00A420AA">
      <w:pPr>
        <w:tabs>
          <w:tab w:val="left" w:pos="851"/>
        </w:tabs>
        <w:ind w:left="851"/>
        <w:rPr>
          <w:iCs/>
          <w:sz w:val="24"/>
          <w:szCs w:val="24"/>
        </w:rPr>
      </w:pPr>
      <w:r w:rsidRPr="00A420AA">
        <w:rPr>
          <w:sz w:val="24"/>
          <w:szCs w:val="24"/>
        </w:rPr>
        <w:t xml:space="preserve">Fordelingsvolumenet blev undersøgt i to studier efter </w:t>
      </w:r>
      <w:proofErr w:type="spellStart"/>
      <w:r w:rsidRPr="00A420AA">
        <w:rPr>
          <w:sz w:val="24"/>
          <w:szCs w:val="24"/>
        </w:rPr>
        <w:t>i.v</w:t>
      </w:r>
      <w:proofErr w:type="spellEnd"/>
      <w:r w:rsidRPr="00A420AA">
        <w:rPr>
          <w:sz w:val="24"/>
          <w:szCs w:val="24"/>
        </w:rPr>
        <w:t>.-administration hos voksne og børn, og det svarer til fordelingsvolumenet for total kropsvæske. Det var 0,64 l/kg hos voksne og 1,4 l/kg hos børn.</w:t>
      </w:r>
    </w:p>
    <w:p w:rsidR="00A420AA" w:rsidRPr="00A420AA" w:rsidRDefault="00A420AA" w:rsidP="00A420AA">
      <w:pPr>
        <w:tabs>
          <w:tab w:val="left" w:pos="851"/>
        </w:tabs>
        <w:ind w:left="851"/>
        <w:rPr>
          <w:iCs/>
          <w:sz w:val="24"/>
          <w:szCs w:val="24"/>
          <w:u w:val="single"/>
        </w:rPr>
      </w:pPr>
    </w:p>
    <w:p w:rsidR="00A420AA" w:rsidRPr="00A420AA" w:rsidRDefault="00A420AA" w:rsidP="00A420AA">
      <w:pPr>
        <w:tabs>
          <w:tab w:val="left" w:pos="851"/>
        </w:tabs>
        <w:ind w:left="851"/>
        <w:rPr>
          <w:iCs/>
          <w:sz w:val="24"/>
          <w:szCs w:val="24"/>
          <w:u w:val="single"/>
        </w:rPr>
      </w:pPr>
      <w:r w:rsidRPr="00A420AA">
        <w:rPr>
          <w:sz w:val="24"/>
          <w:szCs w:val="24"/>
          <w:u w:val="single"/>
        </w:rPr>
        <w:t>Biotransformation</w:t>
      </w:r>
    </w:p>
    <w:p w:rsidR="00A420AA" w:rsidRPr="00A420AA" w:rsidRDefault="00A420AA" w:rsidP="00A420AA">
      <w:pPr>
        <w:tabs>
          <w:tab w:val="left" w:pos="851"/>
        </w:tabs>
        <w:ind w:left="851"/>
        <w:rPr>
          <w:iCs/>
          <w:sz w:val="24"/>
          <w:szCs w:val="24"/>
        </w:rPr>
      </w:pPr>
      <w:r w:rsidRPr="00A420AA">
        <w:rPr>
          <w:sz w:val="24"/>
          <w:szCs w:val="24"/>
        </w:rPr>
        <w:t xml:space="preserve">Der er ikke udført kliniske studier til vurdering af biotransformationen af </w:t>
      </w:r>
      <w:proofErr w:type="spellStart"/>
      <w:r w:rsidRPr="00A420AA">
        <w:rPr>
          <w:sz w:val="24"/>
          <w:szCs w:val="24"/>
        </w:rPr>
        <w:t>glycopyrronium</w:t>
      </w:r>
      <w:proofErr w:type="spellEnd"/>
      <w:r w:rsidRPr="00A420AA">
        <w:rPr>
          <w:sz w:val="24"/>
          <w:szCs w:val="24"/>
        </w:rPr>
        <w:t xml:space="preserve"> hos mennesker. Hverken metabolitterne eller stofskiftevejen er derfor kendt.</w:t>
      </w:r>
    </w:p>
    <w:p w:rsidR="00A420AA" w:rsidRPr="00A420AA" w:rsidRDefault="00A420AA" w:rsidP="00A420AA">
      <w:pPr>
        <w:tabs>
          <w:tab w:val="left" w:pos="851"/>
        </w:tabs>
        <w:ind w:left="851"/>
        <w:rPr>
          <w:iCs/>
          <w:sz w:val="24"/>
          <w:szCs w:val="24"/>
        </w:rPr>
      </w:pPr>
    </w:p>
    <w:p w:rsidR="00A420AA" w:rsidRPr="00A420AA" w:rsidRDefault="00A420AA" w:rsidP="00A420AA">
      <w:pPr>
        <w:tabs>
          <w:tab w:val="left" w:pos="851"/>
        </w:tabs>
        <w:ind w:left="851"/>
        <w:rPr>
          <w:iCs/>
          <w:sz w:val="24"/>
          <w:szCs w:val="24"/>
          <w:u w:val="single"/>
        </w:rPr>
      </w:pPr>
      <w:r w:rsidRPr="00A420AA">
        <w:rPr>
          <w:sz w:val="24"/>
          <w:szCs w:val="24"/>
          <w:u w:val="single"/>
        </w:rPr>
        <w:t>Elimination</w:t>
      </w:r>
    </w:p>
    <w:p w:rsidR="00A420AA" w:rsidRPr="00A420AA" w:rsidRDefault="00A420AA" w:rsidP="00A420AA">
      <w:pPr>
        <w:tabs>
          <w:tab w:val="left" w:pos="851"/>
        </w:tabs>
        <w:ind w:left="851"/>
        <w:rPr>
          <w:iCs/>
          <w:sz w:val="24"/>
          <w:szCs w:val="24"/>
        </w:rPr>
      </w:pPr>
      <w:r w:rsidRPr="00A420AA">
        <w:rPr>
          <w:sz w:val="24"/>
          <w:szCs w:val="24"/>
        </w:rPr>
        <w:t xml:space="preserve">Efter en enkelt lokal applikation af </w:t>
      </w:r>
      <w:proofErr w:type="spellStart"/>
      <w:r w:rsidRPr="00A420AA">
        <w:rPr>
          <w:sz w:val="24"/>
          <w:szCs w:val="24"/>
        </w:rPr>
        <w:t>Axhidrox</w:t>
      </w:r>
      <w:proofErr w:type="spellEnd"/>
      <w:r w:rsidRPr="00A420AA">
        <w:rPr>
          <w:sz w:val="24"/>
          <w:szCs w:val="24"/>
        </w:rPr>
        <w:t xml:space="preserve"> kunne kvantificerbare niveauer af </w:t>
      </w:r>
      <w:proofErr w:type="spellStart"/>
      <w:r w:rsidRPr="00A420AA">
        <w:rPr>
          <w:sz w:val="24"/>
          <w:szCs w:val="24"/>
        </w:rPr>
        <w:t>glycopyrronium</w:t>
      </w:r>
      <w:proofErr w:type="spellEnd"/>
      <w:r w:rsidRPr="00A420AA">
        <w:rPr>
          <w:sz w:val="24"/>
          <w:szCs w:val="24"/>
        </w:rPr>
        <w:t xml:space="preserve"> </w:t>
      </w:r>
      <w:proofErr w:type="spellStart"/>
      <w:r w:rsidRPr="00A420AA">
        <w:rPr>
          <w:sz w:val="24"/>
          <w:szCs w:val="24"/>
        </w:rPr>
        <w:t>dekteres</w:t>
      </w:r>
      <w:proofErr w:type="spellEnd"/>
      <w:r w:rsidRPr="00A420AA">
        <w:rPr>
          <w:sz w:val="24"/>
          <w:szCs w:val="24"/>
        </w:rPr>
        <w:t xml:space="preserve"> i plasma i mindst 24 timer.</w:t>
      </w:r>
    </w:p>
    <w:p w:rsidR="00A420AA" w:rsidRPr="00A420AA" w:rsidRDefault="00A420AA" w:rsidP="00A420AA">
      <w:pPr>
        <w:tabs>
          <w:tab w:val="left" w:pos="851"/>
        </w:tabs>
        <w:ind w:left="851"/>
        <w:rPr>
          <w:iCs/>
          <w:sz w:val="24"/>
          <w:szCs w:val="24"/>
        </w:rPr>
      </w:pPr>
    </w:p>
    <w:p w:rsidR="00A420AA" w:rsidRPr="00A420AA" w:rsidRDefault="00A420AA" w:rsidP="00A420AA">
      <w:pPr>
        <w:tabs>
          <w:tab w:val="left" w:pos="851"/>
        </w:tabs>
        <w:ind w:left="851"/>
        <w:rPr>
          <w:iCs/>
          <w:sz w:val="24"/>
          <w:szCs w:val="24"/>
        </w:rPr>
      </w:pPr>
      <w:r w:rsidRPr="00A420AA">
        <w:rPr>
          <w:sz w:val="24"/>
          <w:szCs w:val="24"/>
        </w:rPr>
        <w:t xml:space="preserve">Efter intravenøs administration af radioaktivt mærket </w:t>
      </w:r>
      <w:proofErr w:type="spellStart"/>
      <w:r w:rsidRPr="00A420AA">
        <w:rPr>
          <w:sz w:val="24"/>
          <w:szCs w:val="24"/>
        </w:rPr>
        <w:t>glycopyrronium</w:t>
      </w:r>
      <w:proofErr w:type="spellEnd"/>
      <w:r w:rsidRPr="00A420AA">
        <w:rPr>
          <w:sz w:val="24"/>
          <w:szCs w:val="24"/>
        </w:rPr>
        <w:t xml:space="preserve"> til voksne, blev </w:t>
      </w:r>
      <w:proofErr w:type="spellStart"/>
      <w:r w:rsidRPr="00A420AA">
        <w:rPr>
          <w:sz w:val="24"/>
          <w:szCs w:val="24"/>
        </w:rPr>
        <w:t>glycopyrronium</w:t>
      </w:r>
      <w:proofErr w:type="spellEnd"/>
      <w:r w:rsidRPr="00A420AA">
        <w:rPr>
          <w:sz w:val="24"/>
          <w:szCs w:val="24"/>
        </w:rPr>
        <w:t xml:space="preserve"> hovedsageligt </w:t>
      </w:r>
      <w:proofErr w:type="spellStart"/>
      <w:r w:rsidRPr="00A420AA">
        <w:rPr>
          <w:sz w:val="24"/>
          <w:szCs w:val="24"/>
        </w:rPr>
        <w:t>udskillet</w:t>
      </w:r>
      <w:proofErr w:type="spellEnd"/>
      <w:r w:rsidRPr="00A420AA">
        <w:rPr>
          <w:sz w:val="24"/>
          <w:szCs w:val="24"/>
        </w:rPr>
        <w:t xml:space="preserve"> via nyrerne (85 %) og i et mindre omfang (&lt; 5 %) via galden. Dette fandt hovedsageligt sted i uændret form. </w:t>
      </w:r>
      <w:proofErr w:type="spellStart"/>
      <w:r w:rsidRPr="00A420AA">
        <w:rPr>
          <w:i/>
          <w:iCs/>
          <w:sz w:val="24"/>
          <w:szCs w:val="24"/>
        </w:rPr>
        <w:t>Clearance</w:t>
      </w:r>
      <w:proofErr w:type="spellEnd"/>
      <w:r w:rsidRPr="00A420AA">
        <w:rPr>
          <w:sz w:val="24"/>
          <w:szCs w:val="24"/>
        </w:rPr>
        <w:t xml:space="preserve"> af </w:t>
      </w:r>
      <w:proofErr w:type="spellStart"/>
      <w:r w:rsidRPr="00A420AA">
        <w:rPr>
          <w:sz w:val="24"/>
          <w:szCs w:val="24"/>
        </w:rPr>
        <w:t>glycopyrronium</w:t>
      </w:r>
      <w:proofErr w:type="spellEnd"/>
      <w:r w:rsidRPr="00A420AA">
        <w:rPr>
          <w:sz w:val="24"/>
          <w:szCs w:val="24"/>
        </w:rPr>
        <w:t xml:space="preserve"> hos patienter med svær nyredysfunktion er betydeligt forsinket.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F35C6D">
        <w:rPr>
          <w:b/>
          <w:sz w:val="24"/>
          <w:szCs w:val="24"/>
        </w:rPr>
        <w:t>Non-</w:t>
      </w:r>
      <w:r w:rsidRPr="00C84483">
        <w:rPr>
          <w:b/>
          <w:sz w:val="24"/>
          <w:szCs w:val="24"/>
        </w:rPr>
        <w:t>kliniske sikkerhedsdata</w:t>
      </w:r>
    </w:p>
    <w:p w:rsidR="00A420AA" w:rsidRPr="00A420AA" w:rsidRDefault="00A420AA" w:rsidP="00A420AA">
      <w:pPr>
        <w:tabs>
          <w:tab w:val="left" w:pos="851"/>
        </w:tabs>
        <w:ind w:left="851"/>
        <w:rPr>
          <w:sz w:val="24"/>
          <w:szCs w:val="24"/>
        </w:rPr>
      </w:pPr>
      <w:r w:rsidRPr="00A420AA">
        <w:rPr>
          <w:sz w:val="24"/>
          <w:szCs w:val="24"/>
        </w:rPr>
        <w:t xml:space="preserve">Prækliniske data viser ingen speciel risiko for mennesker, der bruger </w:t>
      </w:r>
      <w:proofErr w:type="spellStart"/>
      <w:r w:rsidRPr="00A420AA">
        <w:rPr>
          <w:sz w:val="24"/>
          <w:szCs w:val="24"/>
        </w:rPr>
        <w:t>Axhidrox</w:t>
      </w:r>
      <w:proofErr w:type="spellEnd"/>
      <w:r w:rsidRPr="00A420AA">
        <w:rPr>
          <w:sz w:val="24"/>
          <w:szCs w:val="24"/>
        </w:rPr>
        <w:t xml:space="preserve">, vurderet ud fra konventionelle studier af sikkerhedsfarmakologi, toksicitet efter gentagne doser, genotoksicitet, </w:t>
      </w:r>
      <w:proofErr w:type="spellStart"/>
      <w:r w:rsidRPr="00A420AA">
        <w:rPr>
          <w:sz w:val="24"/>
          <w:szCs w:val="24"/>
        </w:rPr>
        <w:t>karcinogent</w:t>
      </w:r>
      <w:proofErr w:type="spellEnd"/>
      <w:r w:rsidRPr="00A420AA">
        <w:rPr>
          <w:sz w:val="24"/>
          <w:szCs w:val="24"/>
        </w:rPr>
        <w:t xml:space="preserve"> potentiale samt reproduktions- og udviklingstoksicitet.</w:t>
      </w:r>
    </w:p>
    <w:p w:rsidR="00A420AA" w:rsidRPr="00A420AA" w:rsidRDefault="00A420AA" w:rsidP="00A420AA">
      <w:pPr>
        <w:tabs>
          <w:tab w:val="left" w:pos="851"/>
        </w:tabs>
        <w:ind w:left="851"/>
        <w:rPr>
          <w:sz w:val="24"/>
          <w:szCs w:val="24"/>
        </w:rPr>
      </w:pPr>
    </w:p>
    <w:p w:rsidR="00A420AA" w:rsidRPr="00A420AA" w:rsidRDefault="00A420AA" w:rsidP="00A420AA">
      <w:pPr>
        <w:tabs>
          <w:tab w:val="left" w:pos="851"/>
        </w:tabs>
        <w:ind w:left="851"/>
        <w:rPr>
          <w:sz w:val="24"/>
          <w:szCs w:val="24"/>
        </w:rPr>
      </w:pPr>
      <w:r w:rsidRPr="00A420AA">
        <w:rPr>
          <w:sz w:val="24"/>
          <w:szCs w:val="24"/>
        </w:rPr>
        <w:lastRenderedPageBreak/>
        <w:t>Den systemiske eksponering hos patienter fra det kliniske fase 1b-studie var 4</w:t>
      </w:r>
      <w:r w:rsidRPr="00A420AA">
        <w:rPr>
          <w:sz w:val="24"/>
          <w:szCs w:val="24"/>
        </w:rPr>
        <w:noBreakHyphen/>
        <w:t>gange eller 7</w:t>
      </w:r>
      <w:r w:rsidRPr="00A420AA">
        <w:rPr>
          <w:sz w:val="24"/>
          <w:szCs w:val="24"/>
        </w:rPr>
        <w:noBreakHyphen/>
        <w:t xml:space="preserve">gange lavere (baseret på hhv. </w:t>
      </w:r>
      <w:proofErr w:type="spellStart"/>
      <w:r w:rsidRPr="00A420AA">
        <w:rPr>
          <w:sz w:val="24"/>
          <w:szCs w:val="24"/>
        </w:rPr>
        <w:t>C</w:t>
      </w:r>
      <w:r w:rsidRPr="00A420AA">
        <w:rPr>
          <w:sz w:val="24"/>
          <w:szCs w:val="24"/>
          <w:vertAlign w:val="subscript"/>
        </w:rPr>
        <w:t>max</w:t>
      </w:r>
      <w:proofErr w:type="spellEnd"/>
      <w:r w:rsidRPr="00A420AA">
        <w:rPr>
          <w:sz w:val="24"/>
          <w:szCs w:val="24"/>
        </w:rPr>
        <w:t xml:space="preserve"> eller AUC), når den blev sammenlignet med eksponeringsdata hos smågrise efter daglig applikation af 2 % GPB-cremen i 7 dage. Der blev ikke set bivirkninger ved behandling af smågrise med 2 % GPB-creme.</w:t>
      </w:r>
    </w:p>
    <w:p w:rsidR="00A420AA" w:rsidRPr="00A420AA" w:rsidRDefault="00A420AA" w:rsidP="00A420AA">
      <w:pPr>
        <w:tabs>
          <w:tab w:val="left" w:pos="851"/>
        </w:tabs>
        <w:ind w:left="851"/>
        <w:rPr>
          <w:sz w:val="24"/>
          <w:szCs w:val="24"/>
        </w:rPr>
      </w:pPr>
    </w:p>
    <w:p w:rsidR="00A420AA" w:rsidRPr="00A420AA" w:rsidRDefault="00A420AA" w:rsidP="00A420AA">
      <w:pPr>
        <w:tabs>
          <w:tab w:val="left" w:pos="851"/>
        </w:tabs>
        <w:ind w:left="851"/>
        <w:rPr>
          <w:sz w:val="24"/>
          <w:szCs w:val="24"/>
        </w:rPr>
      </w:pPr>
      <w:proofErr w:type="spellStart"/>
      <w:r w:rsidRPr="00A420AA">
        <w:rPr>
          <w:sz w:val="24"/>
          <w:szCs w:val="24"/>
        </w:rPr>
        <w:t>Glycopyrronium</w:t>
      </w:r>
      <w:proofErr w:type="spellEnd"/>
      <w:r w:rsidRPr="00A420AA">
        <w:rPr>
          <w:sz w:val="24"/>
          <w:szCs w:val="24"/>
        </w:rPr>
        <w:t xml:space="preserve"> var negativ i en lang række genetiske studier af toksikologi og var ikke </w:t>
      </w:r>
      <w:proofErr w:type="spellStart"/>
      <w:r w:rsidRPr="00A420AA">
        <w:rPr>
          <w:sz w:val="24"/>
          <w:szCs w:val="24"/>
        </w:rPr>
        <w:t>karcinogent</w:t>
      </w:r>
      <w:proofErr w:type="spellEnd"/>
      <w:r w:rsidRPr="00A420AA">
        <w:rPr>
          <w:sz w:val="24"/>
          <w:szCs w:val="24"/>
        </w:rPr>
        <w:t xml:space="preserve"> ved daglig topisk applikation på rotter i op til 24 måneder.</w:t>
      </w:r>
    </w:p>
    <w:p w:rsidR="00A420AA" w:rsidRPr="00A420AA" w:rsidRDefault="00A420AA" w:rsidP="00A420AA">
      <w:pPr>
        <w:tabs>
          <w:tab w:val="left" w:pos="851"/>
        </w:tabs>
        <w:ind w:left="851"/>
        <w:rPr>
          <w:sz w:val="24"/>
          <w:szCs w:val="24"/>
        </w:rPr>
      </w:pPr>
    </w:p>
    <w:p w:rsidR="00A420AA" w:rsidRPr="00A420AA" w:rsidRDefault="00A420AA" w:rsidP="00A420AA">
      <w:pPr>
        <w:tabs>
          <w:tab w:val="left" w:pos="851"/>
        </w:tabs>
        <w:ind w:left="851"/>
        <w:rPr>
          <w:sz w:val="24"/>
          <w:szCs w:val="24"/>
        </w:rPr>
      </w:pPr>
      <w:r w:rsidRPr="00A420AA">
        <w:rPr>
          <w:sz w:val="24"/>
          <w:szCs w:val="24"/>
        </w:rPr>
        <w:t xml:space="preserve">Da den systemiske eksponering for </w:t>
      </w:r>
      <w:proofErr w:type="spellStart"/>
      <w:r w:rsidRPr="00A420AA">
        <w:rPr>
          <w:sz w:val="24"/>
          <w:szCs w:val="24"/>
        </w:rPr>
        <w:t>glycopyrronium</w:t>
      </w:r>
      <w:proofErr w:type="spellEnd"/>
      <w:r w:rsidRPr="00A420AA">
        <w:rPr>
          <w:sz w:val="24"/>
          <w:szCs w:val="24"/>
        </w:rPr>
        <w:t xml:space="preserve"> efter </w:t>
      </w:r>
      <w:proofErr w:type="spellStart"/>
      <w:r w:rsidRPr="00A420AA">
        <w:rPr>
          <w:sz w:val="24"/>
          <w:szCs w:val="24"/>
        </w:rPr>
        <w:t>dermal</w:t>
      </w:r>
      <w:proofErr w:type="spellEnd"/>
      <w:r w:rsidRPr="00A420AA">
        <w:rPr>
          <w:sz w:val="24"/>
          <w:szCs w:val="24"/>
        </w:rPr>
        <w:t xml:space="preserve"> </w:t>
      </w:r>
      <w:proofErr w:type="spellStart"/>
      <w:r w:rsidRPr="00A420AA">
        <w:rPr>
          <w:sz w:val="24"/>
          <w:szCs w:val="24"/>
        </w:rPr>
        <w:t>application</w:t>
      </w:r>
      <w:proofErr w:type="spellEnd"/>
      <w:r w:rsidRPr="00A420AA">
        <w:rPr>
          <w:sz w:val="24"/>
          <w:szCs w:val="24"/>
        </w:rPr>
        <w:t xml:space="preserve"> hos patienter er lav med middel (SD) i AUC0-8t på 128,61 (94,63) t*</w:t>
      </w:r>
      <w:proofErr w:type="spellStart"/>
      <w:r w:rsidRPr="00A420AA">
        <w:rPr>
          <w:sz w:val="24"/>
          <w:szCs w:val="24"/>
        </w:rPr>
        <w:t>pg</w:t>
      </w:r>
      <w:proofErr w:type="spellEnd"/>
      <w:r w:rsidRPr="00A420AA">
        <w:rPr>
          <w:sz w:val="24"/>
          <w:szCs w:val="24"/>
        </w:rPr>
        <w:t>/ml, og en maksimal koncentration på 24,39 (15,23) </w:t>
      </w:r>
      <w:proofErr w:type="spellStart"/>
      <w:r w:rsidRPr="00A420AA">
        <w:rPr>
          <w:sz w:val="24"/>
          <w:szCs w:val="24"/>
        </w:rPr>
        <w:t>pg</w:t>
      </w:r>
      <w:proofErr w:type="spellEnd"/>
      <w:r w:rsidRPr="00A420AA">
        <w:rPr>
          <w:sz w:val="24"/>
          <w:szCs w:val="24"/>
        </w:rPr>
        <w:t>/ml), forventes der ingen risiko for systemisk toksicitet og reproduktion og udvikling.</w:t>
      </w:r>
    </w:p>
    <w:p w:rsidR="00A420AA" w:rsidRPr="00A420AA" w:rsidRDefault="00A420AA" w:rsidP="00A420AA">
      <w:pPr>
        <w:tabs>
          <w:tab w:val="left" w:pos="851"/>
        </w:tabs>
        <w:ind w:left="851"/>
        <w:rPr>
          <w:sz w:val="24"/>
          <w:szCs w:val="24"/>
        </w:rPr>
      </w:pPr>
    </w:p>
    <w:p w:rsidR="00A420AA" w:rsidRPr="00A420AA" w:rsidRDefault="00A420AA" w:rsidP="00A420AA">
      <w:pPr>
        <w:tabs>
          <w:tab w:val="left" w:pos="851"/>
        </w:tabs>
        <w:ind w:left="851"/>
        <w:rPr>
          <w:sz w:val="24"/>
          <w:szCs w:val="24"/>
        </w:rPr>
      </w:pPr>
      <w:r w:rsidRPr="00A420AA">
        <w:rPr>
          <w:sz w:val="24"/>
          <w:szCs w:val="24"/>
        </w:rPr>
        <w:t xml:space="preserve">Efter subkutan administration hos hanrotter viste </w:t>
      </w:r>
      <w:proofErr w:type="spellStart"/>
      <w:r w:rsidRPr="00A420AA">
        <w:rPr>
          <w:sz w:val="24"/>
          <w:szCs w:val="24"/>
        </w:rPr>
        <w:t>glycopyrronium</w:t>
      </w:r>
      <w:proofErr w:type="spellEnd"/>
      <w:r w:rsidRPr="00A420AA">
        <w:rPr>
          <w:sz w:val="24"/>
          <w:szCs w:val="24"/>
        </w:rPr>
        <w:t xml:space="preserve"> ingen virkning på fertilitet, men der blev bemærket en reduktion i både undfangelsesraten og afkommets overlevelsesrate hos hunrotter i fravænningsfasen. Baseret på den lave systemiske eksponering efter topisk applikation af </w:t>
      </w:r>
      <w:proofErr w:type="spellStart"/>
      <w:r w:rsidRPr="00A420AA">
        <w:rPr>
          <w:sz w:val="24"/>
          <w:szCs w:val="24"/>
        </w:rPr>
        <w:t>Axhidrox</w:t>
      </w:r>
      <w:proofErr w:type="spellEnd"/>
      <w:r w:rsidRPr="00A420AA">
        <w:rPr>
          <w:sz w:val="24"/>
          <w:szCs w:val="24"/>
        </w:rPr>
        <w:t xml:space="preserve">, anses disse fund ikke for at være relevante for human </w:t>
      </w:r>
      <w:proofErr w:type="spellStart"/>
      <w:r w:rsidRPr="00A420AA">
        <w:rPr>
          <w:sz w:val="24"/>
          <w:szCs w:val="24"/>
        </w:rPr>
        <w:t>dermal</w:t>
      </w:r>
      <w:proofErr w:type="spellEnd"/>
      <w:r w:rsidRPr="00A420AA">
        <w:rPr>
          <w:sz w:val="24"/>
          <w:szCs w:val="24"/>
        </w:rPr>
        <w:t xml:space="preserve"> anvendelse. Ingen eller begrænset overførsel til placenta blev observeret hos gravide mus, kaniner, hunde og mennesker. </w:t>
      </w:r>
      <w:proofErr w:type="spellStart"/>
      <w:r w:rsidRPr="00A420AA">
        <w:rPr>
          <w:sz w:val="24"/>
          <w:szCs w:val="24"/>
        </w:rPr>
        <w:t>Glycopyrronium</w:t>
      </w:r>
      <w:proofErr w:type="spellEnd"/>
      <w:r w:rsidRPr="00A420AA">
        <w:rPr>
          <w:sz w:val="24"/>
          <w:szCs w:val="24"/>
        </w:rPr>
        <w:t xml:space="preserve"> og dets metabolitter udskilles i mælk fra diegivende rotter og når generelt højere koncentrationer i mælk ved sammenligning med dem, der blev observeret i plasma (op til 11,3 gange). Systemisk eksponering for </w:t>
      </w:r>
      <w:proofErr w:type="spellStart"/>
      <w:r w:rsidRPr="00A420AA">
        <w:rPr>
          <w:sz w:val="24"/>
          <w:szCs w:val="24"/>
        </w:rPr>
        <w:t>glycopyrronium</w:t>
      </w:r>
      <w:proofErr w:type="spellEnd"/>
      <w:r w:rsidRPr="00A420AA">
        <w:rPr>
          <w:sz w:val="24"/>
          <w:szCs w:val="24"/>
        </w:rPr>
        <w:t xml:space="preserve"> efter </w:t>
      </w:r>
      <w:proofErr w:type="spellStart"/>
      <w:r w:rsidRPr="00A420AA">
        <w:rPr>
          <w:sz w:val="24"/>
          <w:szCs w:val="24"/>
        </w:rPr>
        <w:t>dermal</w:t>
      </w:r>
      <w:proofErr w:type="spellEnd"/>
      <w:r w:rsidRPr="00A420AA">
        <w:rPr>
          <w:sz w:val="24"/>
          <w:szCs w:val="24"/>
        </w:rPr>
        <w:t xml:space="preserve"> applikation hos patienter er dog lav, og derfor vil berigede koncentrationer i mælk også stadig være lave uden nogen farmakologisk eller toksikologisk betænkelighed.</w:t>
      </w:r>
    </w:p>
    <w:p w:rsidR="00A420AA" w:rsidRPr="00A420AA" w:rsidRDefault="00A420AA" w:rsidP="00A420AA">
      <w:pPr>
        <w:tabs>
          <w:tab w:val="left" w:pos="851"/>
        </w:tabs>
        <w:ind w:left="851"/>
        <w:rPr>
          <w:sz w:val="24"/>
          <w:szCs w:val="24"/>
        </w:rPr>
      </w:pPr>
    </w:p>
    <w:p w:rsidR="00A420AA" w:rsidRPr="00A420AA" w:rsidRDefault="00A420AA" w:rsidP="00A420AA">
      <w:pPr>
        <w:tabs>
          <w:tab w:val="left" w:pos="851"/>
        </w:tabs>
        <w:ind w:left="851"/>
        <w:rPr>
          <w:sz w:val="24"/>
          <w:szCs w:val="24"/>
        </w:rPr>
      </w:pPr>
      <w:r w:rsidRPr="00A420AA">
        <w:rPr>
          <w:i/>
          <w:sz w:val="24"/>
          <w:szCs w:val="24"/>
        </w:rPr>
        <w:t>In </w:t>
      </w:r>
      <w:proofErr w:type="spellStart"/>
      <w:r w:rsidRPr="00A420AA">
        <w:rPr>
          <w:i/>
          <w:sz w:val="24"/>
          <w:szCs w:val="24"/>
        </w:rPr>
        <w:t>vitro</w:t>
      </w:r>
      <w:proofErr w:type="spellEnd"/>
      <w:r w:rsidRPr="00A420AA">
        <w:rPr>
          <w:sz w:val="24"/>
          <w:szCs w:val="24"/>
        </w:rPr>
        <w:t xml:space="preserve">-studier udført med </w:t>
      </w:r>
      <w:proofErr w:type="spellStart"/>
      <w:r w:rsidRPr="00A420AA">
        <w:rPr>
          <w:sz w:val="24"/>
          <w:szCs w:val="24"/>
        </w:rPr>
        <w:t>Axhidrox</w:t>
      </w:r>
      <w:proofErr w:type="spellEnd"/>
      <w:r w:rsidRPr="00A420AA">
        <w:rPr>
          <w:sz w:val="24"/>
          <w:szCs w:val="24"/>
        </w:rPr>
        <w:t xml:space="preserve"> viser ingen potentiale for øjenirritation. Baseret på det meget lave potentiale for sensibilitet hos mus kan en sensibiliserende virkning hos mennesker ikke udelukkes i meget sjældne tilfælde.</w:t>
      </w:r>
    </w:p>
    <w:p w:rsidR="00A420AA" w:rsidRPr="00A420AA" w:rsidRDefault="00A420AA" w:rsidP="00A420AA">
      <w:pPr>
        <w:tabs>
          <w:tab w:val="left" w:pos="851"/>
        </w:tabs>
        <w:ind w:left="851"/>
        <w:rPr>
          <w:sz w:val="24"/>
          <w:szCs w:val="24"/>
        </w:rPr>
      </w:pPr>
      <w:r w:rsidRPr="00A420AA">
        <w:rPr>
          <w:sz w:val="24"/>
          <w:szCs w:val="24"/>
        </w:rPr>
        <w:t xml:space="preserve">Der forventes ingen fototoksicitet fra applikation af </w:t>
      </w:r>
      <w:proofErr w:type="spellStart"/>
      <w:r w:rsidRPr="00A420AA">
        <w:rPr>
          <w:sz w:val="24"/>
          <w:szCs w:val="24"/>
        </w:rPr>
        <w:t>Axhidrox</w:t>
      </w:r>
      <w:proofErr w:type="spellEnd"/>
      <w:r w:rsidRPr="00A420AA">
        <w:rPr>
          <w:sz w:val="24"/>
          <w:szCs w:val="24"/>
        </w:rPr>
        <w:t>.</w:t>
      </w:r>
    </w:p>
    <w:p w:rsidR="00A420AA" w:rsidRPr="00A420AA" w:rsidRDefault="00A420AA" w:rsidP="00A420AA">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F1B72" w:rsidRPr="002F1B72" w:rsidRDefault="002F1B72" w:rsidP="002F1B72">
      <w:pPr>
        <w:tabs>
          <w:tab w:val="left" w:pos="851"/>
        </w:tabs>
        <w:ind w:left="851"/>
        <w:rPr>
          <w:sz w:val="24"/>
          <w:szCs w:val="24"/>
        </w:rPr>
      </w:pPr>
      <w:proofErr w:type="spellStart"/>
      <w:r w:rsidRPr="002F1B72">
        <w:rPr>
          <w:sz w:val="24"/>
          <w:szCs w:val="24"/>
        </w:rPr>
        <w:t>Benzylalkohol</w:t>
      </w:r>
      <w:proofErr w:type="spellEnd"/>
      <w:r w:rsidRPr="002F1B72">
        <w:rPr>
          <w:sz w:val="24"/>
          <w:szCs w:val="24"/>
        </w:rPr>
        <w:t xml:space="preserve"> (E1519)</w:t>
      </w:r>
    </w:p>
    <w:p w:rsidR="002F1B72" w:rsidRPr="002F1B72" w:rsidRDefault="002F1B72" w:rsidP="002F1B72">
      <w:pPr>
        <w:tabs>
          <w:tab w:val="left" w:pos="851"/>
        </w:tabs>
        <w:ind w:left="851"/>
        <w:rPr>
          <w:sz w:val="24"/>
          <w:szCs w:val="24"/>
        </w:rPr>
      </w:pPr>
      <w:r w:rsidRPr="002F1B72">
        <w:rPr>
          <w:sz w:val="24"/>
          <w:szCs w:val="24"/>
        </w:rPr>
        <w:t>Propylenglycol (E1520)</w:t>
      </w:r>
    </w:p>
    <w:p w:rsidR="002F1B72" w:rsidRPr="002F1B72" w:rsidRDefault="002F1B72" w:rsidP="002F1B72">
      <w:pPr>
        <w:tabs>
          <w:tab w:val="left" w:pos="851"/>
        </w:tabs>
        <w:ind w:left="851"/>
        <w:rPr>
          <w:sz w:val="24"/>
          <w:szCs w:val="24"/>
        </w:rPr>
      </w:pPr>
      <w:proofErr w:type="spellStart"/>
      <w:r w:rsidRPr="002F1B72">
        <w:rPr>
          <w:sz w:val="24"/>
          <w:szCs w:val="24"/>
        </w:rPr>
        <w:t>Cetostearylalkohol</w:t>
      </w:r>
      <w:proofErr w:type="spellEnd"/>
    </w:p>
    <w:p w:rsidR="002F1B72" w:rsidRPr="002F1B72" w:rsidRDefault="002F1B72" w:rsidP="002F1B72">
      <w:pPr>
        <w:tabs>
          <w:tab w:val="left" w:pos="851"/>
        </w:tabs>
        <w:ind w:left="851"/>
        <w:rPr>
          <w:sz w:val="24"/>
          <w:szCs w:val="24"/>
        </w:rPr>
      </w:pPr>
      <w:r w:rsidRPr="002F1B72">
        <w:rPr>
          <w:sz w:val="24"/>
          <w:szCs w:val="24"/>
        </w:rPr>
        <w:t>Citronsyre (E330)</w:t>
      </w:r>
    </w:p>
    <w:p w:rsidR="002F1B72" w:rsidRPr="00916242" w:rsidRDefault="002F1B72" w:rsidP="002F1B72">
      <w:pPr>
        <w:tabs>
          <w:tab w:val="left" w:pos="851"/>
        </w:tabs>
        <w:ind w:left="851"/>
        <w:rPr>
          <w:sz w:val="24"/>
          <w:szCs w:val="24"/>
        </w:rPr>
      </w:pPr>
      <w:proofErr w:type="spellStart"/>
      <w:r w:rsidRPr="00916242">
        <w:rPr>
          <w:sz w:val="24"/>
          <w:szCs w:val="24"/>
        </w:rPr>
        <w:t>Glycerolmonostearat</w:t>
      </w:r>
      <w:proofErr w:type="spellEnd"/>
      <w:r w:rsidRPr="00916242">
        <w:rPr>
          <w:sz w:val="24"/>
          <w:szCs w:val="24"/>
        </w:rPr>
        <w:t xml:space="preserve"> 40</w:t>
      </w:r>
      <w:r w:rsidRPr="00916242">
        <w:rPr>
          <w:sz w:val="24"/>
          <w:szCs w:val="24"/>
        </w:rPr>
        <w:noBreakHyphen/>
        <w:t>55</w:t>
      </w:r>
    </w:p>
    <w:p w:rsidR="002F1B72" w:rsidRPr="00916242" w:rsidRDefault="002F1B72" w:rsidP="002F1B72">
      <w:pPr>
        <w:tabs>
          <w:tab w:val="left" w:pos="851"/>
        </w:tabs>
        <w:ind w:left="851"/>
        <w:rPr>
          <w:sz w:val="24"/>
          <w:szCs w:val="24"/>
        </w:rPr>
      </w:pPr>
      <w:proofErr w:type="spellStart"/>
      <w:r w:rsidRPr="00916242">
        <w:rPr>
          <w:sz w:val="24"/>
          <w:szCs w:val="24"/>
        </w:rPr>
        <w:t>Macrogol</w:t>
      </w:r>
      <w:proofErr w:type="spellEnd"/>
      <w:r w:rsidRPr="00916242">
        <w:rPr>
          <w:sz w:val="24"/>
          <w:szCs w:val="24"/>
        </w:rPr>
        <w:t xml:space="preserve"> 20 </w:t>
      </w:r>
      <w:proofErr w:type="spellStart"/>
      <w:r w:rsidRPr="00916242">
        <w:rPr>
          <w:sz w:val="24"/>
          <w:szCs w:val="24"/>
        </w:rPr>
        <w:t>glycerolmonostearat</w:t>
      </w:r>
      <w:proofErr w:type="spellEnd"/>
    </w:p>
    <w:p w:rsidR="002F1B72" w:rsidRPr="00916242" w:rsidRDefault="002F1B72" w:rsidP="002F1B72">
      <w:pPr>
        <w:tabs>
          <w:tab w:val="left" w:pos="851"/>
        </w:tabs>
        <w:ind w:left="851"/>
        <w:rPr>
          <w:sz w:val="24"/>
          <w:szCs w:val="24"/>
        </w:rPr>
      </w:pPr>
      <w:r w:rsidRPr="00916242">
        <w:rPr>
          <w:sz w:val="24"/>
          <w:szCs w:val="24"/>
        </w:rPr>
        <w:t>Natriumcitrat (E331)</w:t>
      </w:r>
    </w:p>
    <w:p w:rsidR="002F1B72" w:rsidRPr="002F1B72" w:rsidRDefault="002F1B72" w:rsidP="002F1B72">
      <w:pPr>
        <w:tabs>
          <w:tab w:val="left" w:pos="851"/>
        </w:tabs>
        <w:ind w:left="851"/>
        <w:rPr>
          <w:sz w:val="24"/>
          <w:szCs w:val="24"/>
        </w:rPr>
      </w:pPr>
      <w:proofErr w:type="spellStart"/>
      <w:r w:rsidRPr="002F1B72">
        <w:rPr>
          <w:sz w:val="24"/>
          <w:szCs w:val="24"/>
        </w:rPr>
        <w:t>Octyldodecanol</w:t>
      </w:r>
      <w:proofErr w:type="spellEnd"/>
    </w:p>
    <w:p w:rsidR="002F1B72" w:rsidRPr="002F1B72" w:rsidRDefault="002F1B72" w:rsidP="002F1B72">
      <w:pPr>
        <w:tabs>
          <w:tab w:val="left" w:pos="851"/>
        </w:tabs>
        <w:ind w:left="851"/>
        <w:rPr>
          <w:sz w:val="24"/>
          <w:szCs w:val="24"/>
        </w:rPr>
      </w:pPr>
      <w:r w:rsidRPr="002F1B72">
        <w:rPr>
          <w:sz w:val="24"/>
          <w:szCs w:val="24"/>
        </w:rPr>
        <w:t>Renset vand</w:t>
      </w:r>
    </w:p>
    <w:p w:rsidR="002F1B72" w:rsidRPr="002F1B72" w:rsidRDefault="002F1B72" w:rsidP="002F1B7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2F1B72" w:rsidRPr="002F1B72" w:rsidRDefault="002F1B72" w:rsidP="002F1B72">
      <w:pPr>
        <w:tabs>
          <w:tab w:val="left" w:pos="851"/>
        </w:tabs>
        <w:ind w:left="851"/>
        <w:rPr>
          <w:sz w:val="24"/>
          <w:szCs w:val="24"/>
        </w:rPr>
      </w:pPr>
      <w:r w:rsidRPr="002F1B72">
        <w:rPr>
          <w:sz w:val="24"/>
          <w:szCs w:val="24"/>
        </w:rPr>
        <w:t>Da der ikke foreligger studier af eventuelle uforligeligheder, må dette lægemiddel ikke blandes med andre lægemidler.</w:t>
      </w:r>
    </w:p>
    <w:p w:rsidR="003353ED" w:rsidRDefault="003353ED">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3353ED" w:rsidRPr="003353ED" w:rsidRDefault="003353ED" w:rsidP="003353ED">
      <w:pPr>
        <w:tabs>
          <w:tab w:val="left" w:pos="851"/>
        </w:tabs>
        <w:ind w:left="851"/>
        <w:rPr>
          <w:sz w:val="24"/>
          <w:szCs w:val="24"/>
        </w:rPr>
      </w:pPr>
      <w:r w:rsidRPr="003353ED">
        <w:rPr>
          <w:sz w:val="24"/>
          <w:szCs w:val="24"/>
        </w:rPr>
        <w:t>3 år</w:t>
      </w:r>
      <w:r>
        <w:rPr>
          <w:sz w:val="24"/>
          <w:szCs w:val="24"/>
        </w:rPr>
        <w:t>.</w:t>
      </w:r>
    </w:p>
    <w:p w:rsidR="003353ED" w:rsidRPr="003353ED" w:rsidRDefault="003353ED" w:rsidP="003353ED">
      <w:pPr>
        <w:tabs>
          <w:tab w:val="left" w:pos="851"/>
        </w:tabs>
        <w:ind w:left="851"/>
        <w:rPr>
          <w:sz w:val="24"/>
          <w:szCs w:val="24"/>
        </w:rPr>
      </w:pPr>
    </w:p>
    <w:p w:rsidR="003353ED" w:rsidRPr="003353ED" w:rsidRDefault="003353ED" w:rsidP="003353ED">
      <w:pPr>
        <w:tabs>
          <w:tab w:val="left" w:pos="851"/>
        </w:tabs>
        <w:ind w:left="851"/>
        <w:rPr>
          <w:sz w:val="24"/>
          <w:szCs w:val="24"/>
        </w:rPr>
      </w:pPr>
      <w:r>
        <w:rPr>
          <w:sz w:val="24"/>
          <w:szCs w:val="24"/>
        </w:rPr>
        <w:t>Efter aktivering: M</w:t>
      </w:r>
      <w:r w:rsidRPr="003353ED">
        <w:rPr>
          <w:sz w:val="24"/>
          <w:szCs w:val="24"/>
        </w:rPr>
        <w:t>å højst bruges i 12 måneder efter første aktivering.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353ED" w:rsidRPr="003353ED" w:rsidRDefault="003353ED" w:rsidP="003353ED">
      <w:pPr>
        <w:tabs>
          <w:tab w:val="left" w:pos="851"/>
        </w:tabs>
        <w:ind w:left="851"/>
        <w:rPr>
          <w:sz w:val="24"/>
          <w:szCs w:val="24"/>
        </w:rPr>
      </w:pPr>
      <w:r w:rsidRPr="003353ED">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353ED" w:rsidRPr="003353ED" w:rsidRDefault="003353ED" w:rsidP="003353ED">
      <w:pPr>
        <w:tabs>
          <w:tab w:val="left" w:pos="851"/>
        </w:tabs>
        <w:ind w:left="851"/>
        <w:rPr>
          <w:sz w:val="24"/>
          <w:szCs w:val="24"/>
        </w:rPr>
      </w:pPr>
      <w:r w:rsidRPr="003353ED">
        <w:rPr>
          <w:sz w:val="24"/>
          <w:szCs w:val="24"/>
        </w:rPr>
        <w:t>Flerdosisbeholder bestående af en beholderdel (poselaminat af LDPE, PET og aluminium indkapslet i en hvid, stiv flaske af polypropylen) og en pumpedel og dens låg (begge af hvid polypropylen).</w:t>
      </w:r>
    </w:p>
    <w:p w:rsidR="003353ED" w:rsidRDefault="003353ED" w:rsidP="003353ED">
      <w:pPr>
        <w:tabs>
          <w:tab w:val="left" w:pos="851"/>
        </w:tabs>
        <w:ind w:left="851"/>
        <w:rPr>
          <w:sz w:val="24"/>
          <w:szCs w:val="24"/>
          <w:lang w:val="de-DE"/>
        </w:rPr>
      </w:pPr>
    </w:p>
    <w:p w:rsidR="00D52EAA" w:rsidRPr="003353ED" w:rsidRDefault="00D52EAA" w:rsidP="00D52EAA">
      <w:pPr>
        <w:tabs>
          <w:tab w:val="left" w:pos="851"/>
        </w:tabs>
        <w:ind w:left="851"/>
        <w:rPr>
          <w:sz w:val="24"/>
          <w:szCs w:val="24"/>
        </w:rPr>
      </w:pPr>
      <w:r w:rsidRPr="003353ED">
        <w:rPr>
          <w:sz w:val="24"/>
          <w:szCs w:val="24"/>
        </w:rPr>
        <w:t>Brugeren skal sætte et flueben ved antallet af behandlinger i tabellen på den udvendige karton for ikke at overskride antallet af behandlinger pr. beholder.</w:t>
      </w:r>
    </w:p>
    <w:p w:rsidR="00D52EAA" w:rsidRPr="003353ED" w:rsidRDefault="00D52EAA" w:rsidP="003353ED">
      <w:pPr>
        <w:tabs>
          <w:tab w:val="left" w:pos="851"/>
        </w:tabs>
        <w:ind w:left="851"/>
        <w:rPr>
          <w:sz w:val="24"/>
          <w:szCs w:val="24"/>
          <w:lang w:val="de-DE"/>
        </w:rPr>
      </w:pPr>
    </w:p>
    <w:p w:rsidR="00C41983" w:rsidRPr="00C41983" w:rsidRDefault="003353ED" w:rsidP="003353ED">
      <w:pPr>
        <w:tabs>
          <w:tab w:val="left" w:pos="851"/>
        </w:tabs>
        <w:ind w:left="851"/>
        <w:rPr>
          <w:sz w:val="24"/>
          <w:szCs w:val="24"/>
          <w:u w:val="single"/>
        </w:rPr>
      </w:pPr>
      <w:r w:rsidRPr="00C41983">
        <w:rPr>
          <w:sz w:val="24"/>
          <w:szCs w:val="24"/>
          <w:u w:val="single"/>
        </w:rPr>
        <w:t>Pakningsstørrelse</w:t>
      </w:r>
      <w:r w:rsidR="00C41983" w:rsidRPr="00C41983">
        <w:rPr>
          <w:sz w:val="24"/>
          <w:szCs w:val="24"/>
          <w:u w:val="single"/>
        </w:rPr>
        <w:t>r</w:t>
      </w:r>
    </w:p>
    <w:p w:rsidR="003353ED" w:rsidRPr="003353ED" w:rsidRDefault="003353ED" w:rsidP="003353ED">
      <w:pPr>
        <w:tabs>
          <w:tab w:val="left" w:pos="851"/>
        </w:tabs>
        <w:ind w:left="851"/>
        <w:rPr>
          <w:sz w:val="24"/>
          <w:szCs w:val="24"/>
        </w:rPr>
      </w:pPr>
      <w:r w:rsidRPr="003353ED">
        <w:rPr>
          <w:sz w:val="24"/>
          <w:szCs w:val="24"/>
        </w:rPr>
        <w:t>En beholder indeholdende 50 g creme svarende til 124 tryk eller 31 behandlinger i begge armhuler.</w:t>
      </w:r>
    </w:p>
    <w:p w:rsidR="003353ED" w:rsidRDefault="003353ED" w:rsidP="003353ED">
      <w:pPr>
        <w:tabs>
          <w:tab w:val="left" w:pos="851"/>
        </w:tabs>
        <w:ind w:left="851"/>
        <w:rPr>
          <w:sz w:val="24"/>
          <w:szCs w:val="24"/>
        </w:rPr>
      </w:pPr>
    </w:p>
    <w:p w:rsidR="00D52EAA" w:rsidRPr="003353ED" w:rsidRDefault="00D52EAA" w:rsidP="003353ED">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35C6D">
        <w:rPr>
          <w:b/>
          <w:sz w:val="24"/>
          <w:szCs w:val="24"/>
        </w:rPr>
        <w:t>bortskaffelse</w:t>
      </w:r>
      <w:r w:rsidRPr="00C84483">
        <w:rPr>
          <w:b/>
          <w:sz w:val="24"/>
          <w:szCs w:val="24"/>
        </w:rPr>
        <w:t xml:space="preserve"> og anden håndtering</w:t>
      </w:r>
    </w:p>
    <w:p w:rsidR="00452129" w:rsidRPr="00452129" w:rsidRDefault="00452129" w:rsidP="00452129">
      <w:pPr>
        <w:tabs>
          <w:tab w:val="left" w:pos="851"/>
        </w:tabs>
        <w:ind w:left="851"/>
        <w:rPr>
          <w:sz w:val="24"/>
          <w:szCs w:val="24"/>
        </w:rPr>
      </w:pPr>
      <w:r w:rsidRPr="00452129">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B703D" w:rsidRPr="006B703D" w:rsidRDefault="006B703D" w:rsidP="006B703D">
      <w:pPr>
        <w:tabs>
          <w:tab w:val="left" w:pos="851"/>
        </w:tabs>
        <w:ind w:left="851"/>
        <w:rPr>
          <w:sz w:val="24"/>
          <w:szCs w:val="24"/>
        </w:rPr>
      </w:pPr>
      <w:r w:rsidRPr="00916242">
        <w:rPr>
          <w:sz w:val="24"/>
          <w:szCs w:val="24"/>
        </w:rPr>
        <w:t xml:space="preserve">Dr. August Wolff GmbH &amp; Co. </w:t>
      </w:r>
      <w:r w:rsidRPr="006B703D">
        <w:rPr>
          <w:sz w:val="24"/>
          <w:szCs w:val="24"/>
        </w:rPr>
        <w:t xml:space="preserve">KG </w:t>
      </w:r>
      <w:proofErr w:type="spellStart"/>
      <w:r w:rsidRPr="006B703D">
        <w:rPr>
          <w:sz w:val="24"/>
          <w:szCs w:val="24"/>
        </w:rPr>
        <w:t>Arzneimittel</w:t>
      </w:r>
      <w:proofErr w:type="spellEnd"/>
    </w:p>
    <w:p w:rsidR="006B703D" w:rsidRPr="006B703D" w:rsidRDefault="006B703D" w:rsidP="006B703D">
      <w:pPr>
        <w:tabs>
          <w:tab w:val="left" w:pos="851"/>
        </w:tabs>
        <w:ind w:left="851"/>
        <w:rPr>
          <w:sz w:val="24"/>
          <w:szCs w:val="24"/>
        </w:rPr>
      </w:pPr>
      <w:proofErr w:type="spellStart"/>
      <w:r w:rsidRPr="006B703D">
        <w:rPr>
          <w:sz w:val="24"/>
          <w:szCs w:val="24"/>
        </w:rPr>
        <w:t>Sudbrackstrasse</w:t>
      </w:r>
      <w:proofErr w:type="spellEnd"/>
      <w:r w:rsidRPr="006B703D">
        <w:rPr>
          <w:sz w:val="24"/>
          <w:szCs w:val="24"/>
        </w:rPr>
        <w:t xml:space="preserve"> 56</w:t>
      </w:r>
    </w:p>
    <w:p w:rsidR="006B703D" w:rsidRPr="006B703D" w:rsidRDefault="006B703D" w:rsidP="006B703D">
      <w:pPr>
        <w:tabs>
          <w:tab w:val="left" w:pos="851"/>
        </w:tabs>
        <w:ind w:left="851"/>
        <w:rPr>
          <w:sz w:val="24"/>
          <w:szCs w:val="24"/>
        </w:rPr>
      </w:pPr>
      <w:r w:rsidRPr="006B703D">
        <w:rPr>
          <w:sz w:val="24"/>
          <w:szCs w:val="24"/>
        </w:rPr>
        <w:t xml:space="preserve">33611 </w:t>
      </w:r>
      <w:proofErr w:type="spellStart"/>
      <w:r w:rsidRPr="006B703D">
        <w:rPr>
          <w:sz w:val="24"/>
          <w:szCs w:val="24"/>
        </w:rPr>
        <w:t>Bielefeld</w:t>
      </w:r>
      <w:proofErr w:type="spellEnd"/>
    </w:p>
    <w:p w:rsidR="006B703D" w:rsidRPr="006B703D" w:rsidRDefault="006B703D" w:rsidP="006B703D">
      <w:pPr>
        <w:tabs>
          <w:tab w:val="left" w:pos="851"/>
        </w:tabs>
        <w:ind w:left="851"/>
        <w:rPr>
          <w:sz w:val="24"/>
          <w:szCs w:val="24"/>
        </w:rPr>
      </w:pPr>
      <w:r w:rsidRPr="006B703D">
        <w:rPr>
          <w:sz w:val="24"/>
          <w:szCs w:val="24"/>
        </w:rPr>
        <w:t>Tyskland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35C6D">
        <w:rPr>
          <w:b/>
          <w:sz w:val="24"/>
          <w:szCs w:val="24"/>
        </w:rPr>
        <w:t>-</w:t>
      </w:r>
      <w:r w:rsidRPr="00C84483">
        <w:rPr>
          <w:b/>
          <w:sz w:val="24"/>
          <w:szCs w:val="24"/>
        </w:rPr>
        <w:t>NUMRE)</w:t>
      </w:r>
    </w:p>
    <w:p w:rsidR="009260DE" w:rsidRPr="00C84483" w:rsidRDefault="006B703D" w:rsidP="009260DE">
      <w:pPr>
        <w:tabs>
          <w:tab w:val="left" w:pos="851"/>
        </w:tabs>
        <w:ind w:left="851"/>
        <w:rPr>
          <w:sz w:val="24"/>
          <w:szCs w:val="24"/>
        </w:rPr>
      </w:pPr>
      <w:r>
        <w:rPr>
          <w:sz w:val="24"/>
          <w:szCs w:val="24"/>
        </w:rPr>
        <w:t>65865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081D35" w:rsidP="009260DE">
      <w:pPr>
        <w:tabs>
          <w:tab w:val="left" w:pos="851"/>
        </w:tabs>
        <w:ind w:left="851"/>
        <w:rPr>
          <w:sz w:val="24"/>
          <w:szCs w:val="24"/>
        </w:rPr>
      </w:pPr>
      <w:r>
        <w:rPr>
          <w:sz w:val="24"/>
          <w:szCs w:val="24"/>
        </w:rPr>
        <w:t>11. april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B5EF7" w:rsidP="009260DE">
      <w:pPr>
        <w:tabs>
          <w:tab w:val="left" w:pos="851"/>
        </w:tabs>
        <w:ind w:left="851"/>
        <w:rPr>
          <w:sz w:val="24"/>
          <w:szCs w:val="24"/>
        </w:rPr>
      </w:pPr>
      <w:r>
        <w:rPr>
          <w:sz w:val="24"/>
          <w:szCs w:val="24"/>
        </w:rPr>
        <w:t>1. april</w:t>
      </w:r>
      <w:r w:rsidR="001863A3">
        <w:rPr>
          <w:sz w:val="24"/>
          <w:szCs w:val="24"/>
        </w:rPr>
        <w:t xml:space="preserve"> 2024</w:t>
      </w:r>
      <w:bookmarkStart w:id="7" w:name="_GoBack"/>
      <w:bookmarkEnd w:id="7"/>
    </w:p>
    <w:sectPr w:rsidR="009260DE" w:rsidRPr="00C84483"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A8D" w:rsidRDefault="00C17A8D">
      <w:r>
        <w:separator/>
      </w:r>
    </w:p>
  </w:endnote>
  <w:endnote w:type="continuationSeparator" w:id="0">
    <w:p w:rsidR="00C17A8D" w:rsidRDefault="00C1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36787">
      <w:rPr>
        <w:i/>
        <w:noProof/>
        <w:sz w:val="18"/>
        <w:szCs w:val="18"/>
      </w:rPr>
      <w:t>Axhidrox, creme 2,2 mg-dosis.docx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A8D" w:rsidRDefault="00C17A8D">
      <w:r>
        <w:separator/>
      </w:r>
    </w:p>
  </w:footnote>
  <w:footnote w:type="continuationSeparator" w:id="0">
    <w:p w:rsidR="00C17A8D" w:rsidRDefault="00C17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76E006F"/>
    <w:multiLevelType w:val="hybridMultilevel"/>
    <w:tmpl w:val="BAAE2D8C"/>
    <w:lvl w:ilvl="0" w:tplc="5F582E06">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8D"/>
    <w:rsid w:val="000259B9"/>
    <w:rsid w:val="000314DF"/>
    <w:rsid w:val="00041491"/>
    <w:rsid w:val="00050D16"/>
    <w:rsid w:val="000730CA"/>
    <w:rsid w:val="00074F2A"/>
    <w:rsid w:val="00081D35"/>
    <w:rsid w:val="000A1CA8"/>
    <w:rsid w:val="000A466B"/>
    <w:rsid w:val="000B058C"/>
    <w:rsid w:val="000B5EF7"/>
    <w:rsid w:val="000D751A"/>
    <w:rsid w:val="000E4EE6"/>
    <w:rsid w:val="00136787"/>
    <w:rsid w:val="001454E2"/>
    <w:rsid w:val="001863A3"/>
    <w:rsid w:val="0018773D"/>
    <w:rsid w:val="001B299D"/>
    <w:rsid w:val="001B4FD0"/>
    <w:rsid w:val="00206CE8"/>
    <w:rsid w:val="0021526C"/>
    <w:rsid w:val="00227898"/>
    <w:rsid w:val="00283A2B"/>
    <w:rsid w:val="00285E50"/>
    <w:rsid w:val="00290816"/>
    <w:rsid w:val="002B30AD"/>
    <w:rsid w:val="002C2C01"/>
    <w:rsid w:val="002F1B72"/>
    <w:rsid w:val="003353ED"/>
    <w:rsid w:val="0038227A"/>
    <w:rsid w:val="003A29AE"/>
    <w:rsid w:val="003A32D7"/>
    <w:rsid w:val="003B1395"/>
    <w:rsid w:val="003B4074"/>
    <w:rsid w:val="003C769A"/>
    <w:rsid w:val="003F1838"/>
    <w:rsid w:val="00452129"/>
    <w:rsid w:val="0045746C"/>
    <w:rsid w:val="0049104B"/>
    <w:rsid w:val="004A2AD2"/>
    <w:rsid w:val="004B63A7"/>
    <w:rsid w:val="004E3B12"/>
    <w:rsid w:val="00532310"/>
    <w:rsid w:val="00565F0F"/>
    <w:rsid w:val="00594A86"/>
    <w:rsid w:val="00596D86"/>
    <w:rsid w:val="005F68C9"/>
    <w:rsid w:val="00604343"/>
    <w:rsid w:val="0061073A"/>
    <w:rsid w:val="006157AD"/>
    <w:rsid w:val="006218A4"/>
    <w:rsid w:val="00637F5A"/>
    <w:rsid w:val="006560B1"/>
    <w:rsid w:val="006756DD"/>
    <w:rsid w:val="006B703D"/>
    <w:rsid w:val="006E59D3"/>
    <w:rsid w:val="007133FE"/>
    <w:rsid w:val="007208F8"/>
    <w:rsid w:val="00737275"/>
    <w:rsid w:val="00740EEC"/>
    <w:rsid w:val="0078011A"/>
    <w:rsid w:val="00782AF4"/>
    <w:rsid w:val="00790EE7"/>
    <w:rsid w:val="007A4BED"/>
    <w:rsid w:val="007B6649"/>
    <w:rsid w:val="0082576E"/>
    <w:rsid w:val="008639F3"/>
    <w:rsid w:val="00907F75"/>
    <w:rsid w:val="00916242"/>
    <w:rsid w:val="009260DE"/>
    <w:rsid w:val="0093258A"/>
    <w:rsid w:val="00962CBC"/>
    <w:rsid w:val="009C7BA3"/>
    <w:rsid w:val="009D1F5A"/>
    <w:rsid w:val="00A10294"/>
    <w:rsid w:val="00A10B74"/>
    <w:rsid w:val="00A420AA"/>
    <w:rsid w:val="00B003BF"/>
    <w:rsid w:val="00B25E11"/>
    <w:rsid w:val="00B27BE7"/>
    <w:rsid w:val="00B373D7"/>
    <w:rsid w:val="00B779B7"/>
    <w:rsid w:val="00BB5435"/>
    <w:rsid w:val="00C15009"/>
    <w:rsid w:val="00C17A8D"/>
    <w:rsid w:val="00C36276"/>
    <w:rsid w:val="00C41983"/>
    <w:rsid w:val="00C42586"/>
    <w:rsid w:val="00C60CCD"/>
    <w:rsid w:val="00C84483"/>
    <w:rsid w:val="00C95551"/>
    <w:rsid w:val="00CB20D7"/>
    <w:rsid w:val="00CE6CAE"/>
    <w:rsid w:val="00D020B0"/>
    <w:rsid w:val="00D061C9"/>
    <w:rsid w:val="00D11748"/>
    <w:rsid w:val="00D366CF"/>
    <w:rsid w:val="00D42E37"/>
    <w:rsid w:val="00D52EAA"/>
    <w:rsid w:val="00D650D8"/>
    <w:rsid w:val="00DC07DC"/>
    <w:rsid w:val="00E108AA"/>
    <w:rsid w:val="00E3749A"/>
    <w:rsid w:val="00E7437F"/>
    <w:rsid w:val="00E865B8"/>
    <w:rsid w:val="00EC0B9B"/>
    <w:rsid w:val="00EC16C9"/>
    <w:rsid w:val="00ED5E9F"/>
    <w:rsid w:val="00F35C6D"/>
    <w:rsid w:val="00F3672C"/>
    <w:rsid w:val="00F66D4F"/>
    <w:rsid w:val="00F8501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30C1B"/>
  <w15:chartTrackingRefBased/>
  <w15:docId w15:val="{0C6982CB-D603-4646-B6FD-17A22F4C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C6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aliases w:val="Annotation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aliases w:val="Annotationtex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C07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4981">
      <w:bodyDiv w:val="1"/>
      <w:marLeft w:val="0"/>
      <w:marRight w:val="0"/>
      <w:marTop w:val="0"/>
      <w:marBottom w:val="0"/>
      <w:divBdr>
        <w:top w:val="none" w:sz="0" w:space="0" w:color="auto"/>
        <w:left w:val="none" w:sz="0" w:space="0" w:color="auto"/>
        <w:bottom w:val="none" w:sz="0" w:space="0" w:color="auto"/>
        <w:right w:val="none" w:sz="0" w:space="0" w:color="auto"/>
      </w:divBdr>
    </w:div>
    <w:div w:id="10126783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569499">
      <w:bodyDiv w:val="1"/>
      <w:marLeft w:val="0"/>
      <w:marRight w:val="0"/>
      <w:marTop w:val="0"/>
      <w:marBottom w:val="0"/>
      <w:divBdr>
        <w:top w:val="none" w:sz="0" w:space="0" w:color="auto"/>
        <w:left w:val="none" w:sz="0" w:space="0" w:color="auto"/>
        <w:bottom w:val="none" w:sz="0" w:space="0" w:color="auto"/>
        <w:right w:val="none" w:sz="0" w:space="0" w:color="auto"/>
      </w:divBdr>
    </w:div>
    <w:div w:id="168715039">
      <w:bodyDiv w:val="1"/>
      <w:marLeft w:val="0"/>
      <w:marRight w:val="0"/>
      <w:marTop w:val="0"/>
      <w:marBottom w:val="0"/>
      <w:divBdr>
        <w:top w:val="none" w:sz="0" w:space="0" w:color="auto"/>
        <w:left w:val="none" w:sz="0" w:space="0" w:color="auto"/>
        <w:bottom w:val="none" w:sz="0" w:space="0" w:color="auto"/>
        <w:right w:val="none" w:sz="0" w:space="0" w:color="auto"/>
      </w:divBdr>
    </w:div>
    <w:div w:id="202449699">
      <w:bodyDiv w:val="1"/>
      <w:marLeft w:val="0"/>
      <w:marRight w:val="0"/>
      <w:marTop w:val="0"/>
      <w:marBottom w:val="0"/>
      <w:divBdr>
        <w:top w:val="none" w:sz="0" w:space="0" w:color="auto"/>
        <w:left w:val="none" w:sz="0" w:space="0" w:color="auto"/>
        <w:bottom w:val="none" w:sz="0" w:space="0" w:color="auto"/>
        <w:right w:val="none" w:sz="0" w:space="0" w:color="auto"/>
      </w:divBdr>
    </w:div>
    <w:div w:id="203446570">
      <w:bodyDiv w:val="1"/>
      <w:marLeft w:val="0"/>
      <w:marRight w:val="0"/>
      <w:marTop w:val="0"/>
      <w:marBottom w:val="0"/>
      <w:divBdr>
        <w:top w:val="none" w:sz="0" w:space="0" w:color="auto"/>
        <w:left w:val="none" w:sz="0" w:space="0" w:color="auto"/>
        <w:bottom w:val="none" w:sz="0" w:space="0" w:color="auto"/>
        <w:right w:val="none" w:sz="0" w:space="0" w:color="auto"/>
      </w:divBdr>
    </w:div>
    <w:div w:id="262303295">
      <w:bodyDiv w:val="1"/>
      <w:marLeft w:val="0"/>
      <w:marRight w:val="0"/>
      <w:marTop w:val="0"/>
      <w:marBottom w:val="0"/>
      <w:divBdr>
        <w:top w:val="none" w:sz="0" w:space="0" w:color="auto"/>
        <w:left w:val="none" w:sz="0" w:space="0" w:color="auto"/>
        <w:bottom w:val="none" w:sz="0" w:space="0" w:color="auto"/>
        <w:right w:val="none" w:sz="0" w:space="0" w:color="auto"/>
      </w:divBdr>
    </w:div>
    <w:div w:id="282545765">
      <w:bodyDiv w:val="1"/>
      <w:marLeft w:val="0"/>
      <w:marRight w:val="0"/>
      <w:marTop w:val="0"/>
      <w:marBottom w:val="0"/>
      <w:divBdr>
        <w:top w:val="none" w:sz="0" w:space="0" w:color="auto"/>
        <w:left w:val="none" w:sz="0" w:space="0" w:color="auto"/>
        <w:bottom w:val="none" w:sz="0" w:space="0" w:color="auto"/>
        <w:right w:val="none" w:sz="0" w:space="0" w:color="auto"/>
      </w:divBdr>
    </w:div>
    <w:div w:id="341012164">
      <w:bodyDiv w:val="1"/>
      <w:marLeft w:val="0"/>
      <w:marRight w:val="0"/>
      <w:marTop w:val="0"/>
      <w:marBottom w:val="0"/>
      <w:divBdr>
        <w:top w:val="none" w:sz="0" w:space="0" w:color="auto"/>
        <w:left w:val="none" w:sz="0" w:space="0" w:color="auto"/>
        <w:bottom w:val="none" w:sz="0" w:space="0" w:color="auto"/>
        <w:right w:val="none" w:sz="0" w:space="0" w:color="auto"/>
      </w:divBdr>
    </w:div>
    <w:div w:id="423385671">
      <w:bodyDiv w:val="1"/>
      <w:marLeft w:val="0"/>
      <w:marRight w:val="0"/>
      <w:marTop w:val="0"/>
      <w:marBottom w:val="0"/>
      <w:divBdr>
        <w:top w:val="none" w:sz="0" w:space="0" w:color="auto"/>
        <w:left w:val="none" w:sz="0" w:space="0" w:color="auto"/>
        <w:bottom w:val="none" w:sz="0" w:space="0" w:color="auto"/>
        <w:right w:val="none" w:sz="0" w:space="0" w:color="auto"/>
      </w:divBdr>
    </w:div>
    <w:div w:id="580068644">
      <w:bodyDiv w:val="1"/>
      <w:marLeft w:val="0"/>
      <w:marRight w:val="0"/>
      <w:marTop w:val="0"/>
      <w:marBottom w:val="0"/>
      <w:divBdr>
        <w:top w:val="none" w:sz="0" w:space="0" w:color="auto"/>
        <w:left w:val="none" w:sz="0" w:space="0" w:color="auto"/>
        <w:bottom w:val="none" w:sz="0" w:space="0" w:color="auto"/>
        <w:right w:val="none" w:sz="0" w:space="0" w:color="auto"/>
      </w:divBdr>
    </w:div>
    <w:div w:id="589312714">
      <w:bodyDiv w:val="1"/>
      <w:marLeft w:val="0"/>
      <w:marRight w:val="0"/>
      <w:marTop w:val="0"/>
      <w:marBottom w:val="0"/>
      <w:divBdr>
        <w:top w:val="none" w:sz="0" w:space="0" w:color="auto"/>
        <w:left w:val="none" w:sz="0" w:space="0" w:color="auto"/>
        <w:bottom w:val="none" w:sz="0" w:space="0" w:color="auto"/>
        <w:right w:val="none" w:sz="0" w:space="0" w:color="auto"/>
      </w:divBdr>
    </w:div>
    <w:div w:id="604339105">
      <w:bodyDiv w:val="1"/>
      <w:marLeft w:val="0"/>
      <w:marRight w:val="0"/>
      <w:marTop w:val="0"/>
      <w:marBottom w:val="0"/>
      <w:divBdr>
        <w:top w:val="none" w:sz="0" w:space="0" w:color="auto"/>
        <w:left w:val="none" w:sz="0" w:space="0" w:color="auto"/>
        <w:bottom w:val="none" w:sz="0" w:space="0" w:color="auto"/>
        <w:right w:val="none" w:sz="0" w:space="0" w:color="auto"/>
      </w:divBdr>
    </w:div>
    <w:div w:id="617882182">
      <w:bodyDiv w:val="1"/>
      <w:marLeft w:val="0"/>
      <w:marRight w:val="0"/>
      <w:marTop w:val="0"/>
      <w:marBottom w:val="0"/>
      <w:divBdr>
        <w:top w:val="none" w:sz="0" w:space="0" w:color="auto"/>
        <w:left w:val="none" w:sz="0" w:space="0" w:color="auto"/>
        <w:bottom w:val="none" w:sz="0" w:space="0" w:color="auto"/>
        <w:right w:val="none" w:sz="0" w:space="0" w:color="auto"/>
      </w:divBdr>
    </w:div>
    <w:div w:id="724523200">
      <w:bodyDiv w:val="1"/>
      <w:marLeft w:val="0"/>
      <w:marRight w:val="0"/>
      <w:marTop w:val="0"/>
      <w:marBottom w:val="0"/>
      <w:divBdr>
        <w:top w:val="none" w:sz="0" w:space="0" w:color="auto"/>
        <w:left w:val="none" w:sz="0" w:space="0" w:color="auto"/>
        <w:bottom w:val="none" w:sz="0" w:space="0" w:color="auto"/>
        <w:right w:val="none" w:sz="0" w:space="0" w:color="auto"/>
      </w:divBdr>
    </w:div>
    <w:div w:id="748842742">
      <w:bodyDiv w:val="1"/>
      <w:marLeft w:val="0"/>
      <w:marRight w:val="0"/>
      <w:marTop w:val="0"/>
      <w:marBottom w:val="0"/>
      <w:divBdr>
        <w:top w:val="none" w:sz="0" w:space="0" w:color="auto"/>
        <w:left w:val="none" w:sz="0" w:space="0" w:color="auto"/>
        <w:bottom w:val="none" w:sz="0" w:space="0" w:color="auto"/>
        <w:right w:val="none" w:sz="0" w:space="0" w:color="auto"/>
      </w:divBdr>
    </w:div>
    <w:div w:id="973558047">
      <w:bodyDiv w:val="1"/>
      <w:marLeft w:val="0"/>
      <w:marRight w:val="0"/>
      <w:marTop w:val="0"/>
      <w:marBottom w:val="0"/>
      <w:divBdr>
        <w:top w:val="none" w:sz="0" w:space="0" w:color="auto"/>
        <w:left w:val="none" w:sz="0" w:space="0" w:color="auto"/>
        <w:bottom w:val="none" w:sz="0" w:space="0" w:color="auto"/>
        <w:right w:val="none" w:sz="0" w:space="0" w:color="auto"/>
      </w:divBdr>
    </w:div>
    <w:div w:id="981470091">
      <w:bodyDiv w:val="1"/>
      <w:marLeft w:val="0"/>
      <w:marRight w:val="0"/>
      <w:marTop w:val="0"/>
      <w:marBottom w:val="0"/>
      <w:divBdr>
        <w:top w:val="none" w:sz="0" w:space="0" w:color="auto"/>
        <w:left w:val="none" w:sz="0" w:space="0" w:color="auto"/>
        <w:bottom w:val="none" w:sz="0" w:space="0" w:color="auto"/>
        <w:right w:val="none" w:sz="0" w:space="0" w:color="auto"/>
      </w:divBdr>
    </w:div>
    <w:div w:id="999314891">
      <w:bodyDiv w:val="1"/>
      <w:marLeft w:val="0"/>
      <w:marRight w:val="0"/>
      <w:marTop w:val="0"/>
      <w:marBottom w:val="0"/>
      <w:divBdr>
        <w:top w:val="none" w:sz="0" w:space="0" w:color="auto"/>
        <w:left w:val="none" w:sz="0" w:space="0" w:color="auto"/>
        <w:bottom w:val="none" w:sz="0" w:space="0" w:color="auto"/>
        <w:right w:val="none" w:sz="0" w:space="0" w:color="auto"/>
      </w:divBdr>
    </w:div>
    <w:div w:id="1013653853">
      <w:bodyDiv w:val="1"/>
      <w:marLeft w:val="0"/>
      <w:marRight w:val="0"/>
      <w:marTop w:val="0"/>
      <w:marBottom w:val="0"/>
      <w:divBdr>
        <w:top w:val="none" w:sz="0" w:space="0" w:color="auto"/>
        <w:left w:val="none" w:sz="0" w:space="0" w:color="auto"/>
        <w:bottom w:val="none" w:sz="0" w:space="0" w:color="auto"/>
        <w:right w:val="none" w:sz="0" w:space="0" w:color="auto"/>
      </w:divBdr>
    </w:div>
    <w:div w:id="1042705992">
      <w:bodyDiv w:val="1"/>
      <w:marLeft w:val="0"/>
      <w:marRight w:val="0"/>
      <w:marTop w:val="0"/>
      <w:marBottom w:val="0"/>
      <w:divBdr>
        <w:top w:val="none" w:sz="0" w:space="0" w:color="auto"/>
        <w:left w:val="none" w:sz="0" w:space="0" w:color="auto"/>
        <w:bottom w:val="none" w:sz="0" w:space="0" w:color="auto"/>
        <w:right w:val="none" w:sz="0" w:space="0" w:color="auto"/>
      </w:divBdr>
    </w:div>
    <w:div w:id="1138180381">
      <w:bodyDiv w:val="1"/>
      <w:marLeft w:val="0"/>
      <w:marRight w:val="0"/>
      <w:marTop w:val="0"/>
      <w:marBottom w:val="0"/>
      <w:divBdr>
        <w:top w:val="none" w:sz="0" w:space="0" w:color="auto"/>
        <w:left w:val="none" w:sz="0" w:space="0" w:color="auto"/>
        <w:bottom w:val="none" w:sz="0" w:space="0" w:color="auto"/>
        <w:right w:val="none" w:sz="0" w:space="0" w:color="auto"/>
      </w:divBdr>
    </w:div>
    <w:div w:id="1143766217">
      <w:bodyDiv w:val="1"/>
      <w:marLeft w:val="0"/>
      <w:marRight w:val="0"/>
      <w:marTop w:val="0"/>
      <w:marBottom w:val="0"/>
      <w:divBdr>
        <w:top w:val="none" w:sz="0" w:space="0" w:color="auto"/>
        <w:left w:val="none" w:sz="0" w:space="0" w:color="auto"/>
        <w:bottom w:val="none" w:sz="0" w:space="0" w:color="auto"/>
        <w:right w:val="none" w:sz="0" w:space="0" w:color="auto"/>
      </w:divBdr>
    </w:div>
    <w:div w:id="1148013488">
      <w:bodyDiv w:val="1"/>
      <w:marLeft w:val="0"/>
      <w:marRight w:val="0"/>
      <w:marTop w:val="0"/>
      <w:marBottom w:val="0"/>
      <w:divBdr>
        <w:top w:val="none" w:sz="0" w:space="0" w:color="auto"/>
        <w:left w:val="none" w:sz="0" w:space="0" w:color="auto"/>
        <w:bottom w:val="none" w:sz="0" w:space="0" w:color="auto"/>
        <w:right w:val="none" w:sz="0" w:space="0" w:color="auto"/>
      </w:divBdr>
    </w:div>
    <w:div w:id="1172571887">
      <w:bodyDiv w:val="1"/>
      <w:marLeft w:val="0"/>
      <w:marRight w:val="0"/>
      <w:marTop w:val="0"/>
      <w:marBottom w:val="0"/>
      <w:divBdr>
        <w:top w:val="none" w:sz="0" w:space="0" w:color="auto"/>
        <w:left w:val="none" w:sz="0" w:space="0" w:color="auto"/>
        <w:bottom w:val="none" w:sz="0" w:space="0" w:color="auto"/>
        <w:right w:val="none" w:sz="0" w:space="0" w:color="auto"/>
      </w:divBdr>
    </w:div>
    <w:div w:id="1256130278">
      <w:bodyDiv w:val="1"/>
      <w:marLeft w:val="0"/>
      <w:marRight w:val="0"/>
      <w:marTop w:val="0"/>
      <w:marBottom w:val="0"/>
      <w:divBdr>
        <w:top w:val="none" w:sz="0" w:space="0" w:color="auto"/>
        <w:left w:val="none" w:sz="0" w:space="0" w:color="auto"/>
        <w:bottom w:val="none" w:sz="0" w:space="0" w:color="auto"/>
        <w:right w:val="none" w:sz="0" w:space="0" w:color="auto"/>
      </w:divBdr>
    </w:div>
    <w:div w:id="1355888891">
      <w:bodyDiv w:val="1"/>
      <w:marLeft w:val="0"/>
      <w:marRight w:val="0"/>
      <w:marTop w:val="0"/>
      <w:marBottom w:val="0"/>
      <w:divBdr>
        <w:top w:val="none" w:sz="0" w:space="0" w:color="auto"/>
        <w:left w:val="none" w:sz="0" w:space="0" w:color="auto"/>
        <w:bottom w:val="none" w:sz="0" w:space="0" w:color="auto"/>
        <w:right w:val="none" w:sz="0" w:space="0" w:color="auto"/>
      </w:divBdr>
    </w:div>
    <w:div w:id="1433352196">
      <w:bodyDiv w:val="1"/>
      <w:marLeft w:val="0"/>
      <w:marRight w:val="0"/>
      <w:marTop w:val="0"/>
      <w:marBottom w:val="0"/>
      <w:divBdr>
        <w:top w:val="none" w:sz="0" w:space="0" w:color="auto"/>
        <w:left w:val="none" w:sz="0" w:space="0" w:color="auto"/>
        <w:bottom w:val="none" w:sz="0" w:space="0" w:color="auto"/>
        <w:right w:val="none" w:sz="0" w:space="0" w:color="auto"/>
      </w:divBdr>
    </w:div>
    <w:div w:id="1581719224">
      <w:bodyDiv w:val="1"/>
      <w:marLeft w:val="0"/>
      <w:marRight w:val="0"/>
      <w:marTop w:val="0"/>
      <w:marBottom w:val="0"/>
      <w:divBdr>
        <w:top w:val="none" w:sz="0" w:space="0" w:color="auto"/>
        <w:left w:val="none" w:sz="0" w:space="0" w:color="auto"/>
        <w:bottom w:val="none" w:sz="0" w:space="0" w:color="auto"/>
        <w:right w:val="none" w:sz="0" w:space="0" w:color="auto"/>
      </w:divBdr>
    </w:div>
    <w:div w:id="1585215154">
      <w:bodyDiv w:val="1"/>
      <w:marLeft w:val="0"/>
      <w:marRight w:val="0"/>
      <w:marTop w:val="0"/>
      <w:marBottom w:val="0"/>
      <w:divBdr>
        <w:top w:val="none" w:sz="0" w:space="0" w:color="auto"/>
        <w:left w:val="none" w:sz="0" w:space="0" w:color="auto"/>
        <w:bottom w:val="none" w:sz="0" w:space="0" w:color="auto"/>
        <w:right w:val="none" w:sz="0" w:space="0" w:color="auto"/>
      </w:divBdr>
    </w:div>
    <w:div w:id="1596404059">
      <w:bodyDiv w:val="1"/>
      <w:marLeft w:val="0"/>
      <w:marRight w:val="0"/>
      <w:marTop w:val="0"/>
      <w:marBottom w:val="0"/>
      <w:divBdr>
        <w:top w:val="none" w:sz="0" w:space="0" w:color="auto"/>
        <w:left w:val="none" w:sz="0" w:space="0" w:color="auto"/>
        <w:bottom w:val="none" w:sz="0" w:space="0" w:color="auto"/>
        <w:right w:val="none" w:sz="0" w:space="0" w:color="auto"/>
      </w:divBdr>
    </w:div>
    <w:div w:id="1611163640">
      <w:bodyDiv w:val="1"/>
      <w:marLeft w:val="0"/>
      <w:marRight w:val="0"/>
      <w:marTop w:val="0"/>
      <w:marBottom w:val="0"/>
      <w:divBdr>
        <w:top w:val="none" w:sz="0" w:space="0" w:color="auto"/>
        <w:left w:val="none" w:sz="0" w:space="0" w:color="auto"/>
        <w:bottom w:val="none" w:sz="0" w:space="0" w:color="auto"/>
        <w:right w:val="none" w:sz="0" w:space="0" w:color="auto"/>
      </w:divBdr>
    </w:div>
    <w:div w:id="1640576654">
      <w:bodyDiv w:val="1"/>
      <w:marLeft w:val="0"/>
      <w:marRight w:val="0"/>
      <w:marTop w:val="0"/>
      <w:marBottom w:val="0"/>
      <w:divBdr>
        <w:top w:val="none" w:sz="0" w:space="0" w:color="auto"/>
        <w:left w:val="none" w:sz="0" w:space="0" w:color="auto"/>
        <w:bottom w:val="none" w:sz="0" w:space="0" w:color="auto"/>
        <w:right w:val="none" w:sz="0" w:space="0" w:color="auto"/>
      </w:divBdr>
    </w:div>
    <w:div w:id="1647582962">
      <w:bodyDiv w:val="1"/>
      <w:marLeft w:val="0"/>
      <w:marRight w:val="0"/>
      <w:marTop w:val="0"/>
      <w:marBottom w:val="0"/>
      <w:divBdr>
        <w:top w:val="none" w:sz="0" w:space="0" w:color="auto"/>
        <w:left w:val="none" w:sz="0" w:space="0" w:color="auto"/>
        <w:bottom w:val="none" w:sz="0" w:space="0" w:color="auto"/>
        <w:right w:val="none" w:sz="0" w:space="0" w:color="auto"/>
      </w:divBdr>
    </w:div>
    <w:div w:id="1660305690">
      <w:bodyDiv w:val="1"/>
      <w:marLeft w:val="0"/>
      <w:marRight w:val="0"/>
      <w:marTop w:val="0"/>
      <w:marBottom w:val="0"/>
      <w:divBdr>
        <w:top w:val="none" w:sz="0" w:space="0" w:color="auto"/>
        <w:left w:val="none" w:sz="0" w:space="0" w:color="auto"/>
        <w:bottom w:val="none" w:sz="0" w:space="0" w:color="auto"/>
        <w:right w:val="none" w:sz="0" w:space="0" w:color="auto"/>
      </w:divBdr>
    </w:div>
    <w:div w:id="1692367263">
      <w:bodyDiv w:val="1"/>
      <w:marLeft w:val="0"/>
      <w:marRight w:val="0"/>
      <w:marTop w:val="0"/>
      <w:marBottom w:val="0"/>
      <w:divBdr>
        <w:top w:val="none" w:sz="0" w:space="0" w:color="auto"/>
        <w:left w:val="none" w:sz="0" w:space="0" w:color="auto"/>
        <w:bottom w:val="none" w:sz="0" w:space="0" w:color="auto"/>
        <w:right w:val="none" w:sz="0" w:space="0" w:color="auto"/>
      </w:divBdr>
    </w:div>
    <w:div w:id="1754424350">
      <w:bodyDiv w:val="1"/>
      <w:marLeft w:val="0"/>
      <w:marRight w:val="0"/>
      <w:marTop w:val="0"/>
      <w:marBottom w:val="0"/>
      <w:divBdr>
        <w:top w:val="none" w:sz="0" w:space="0" w:color="auto"/>
        <w:left w:val="none" w:sz="0" w:space="0" w:color="auto"/>
        <w:bottom w:val="none" w:sz="0" w:space="0" w:color="auto"/>
        <w:right w:val="none" w:sz="0" w:space="0" w:color="auto"/>
      </w:divBdr>
    </w:div>
    <w:div w:id="1769302880">
      <w:bodyDiv w:val="1"/>
      <w:marLeft w:val="0"/>
      <w:marRight w:val="0"/>
      <w:marTop w:val="0"/>
      <w:marBottom w:val="0"/>
      <w:divBdr>
        <w:top w:val="none" w:sz="0" w:space="0" w:color="auto"/>
        <w:left w:val="none" w:sz="0" w:space="0" w:color="auto"/>
        <w:bottom w:val="none" w:sz="0" w:space="0" w:color="auto"/>
        <w:right w:val="none" w:sz="0" w:space="0" w:color="auto"/>
      </w:divBdr>
    </w:div>
    <w:div w:id="1813935734">
      <w:bodyDiv w:val="1"/>
      <w:marLeft w:val="0"/>
      <w:marRight w:val="0"/>
      <w:marTop w:val="0"/>
      <w:marBottom w:val="0"/>
      <w:divBdr>
        <w:top w:val="none" w:sz="0" w:space="0" w:color="auto"/>
        <w:left w:val="none" w:sz="0" w:space="0" w:color="auto"/>
        <w:bottom w:val="none" w:sz="0" w:space="0" w:color="auto"/>
        <w:right w:val="none" w:sz="0" w:space="0" w:color="auto"/>
      </w:divBdr>
    </w:div>
    <w:div w:id="1827739796">
      <w:bodyDiv w:val="1"/>
      <w:marLeft w:val="0"/>
      <w:marRight w:val="0"/>
      <w:marTop w:val="0"/>
      <w:marBottom w:val="0"/>
      <w:divBdr>
        <w:top w:val="none" w:sz="0" w:space="0" w:color="auto"/>
        <w:left w:val="none" w:sz="0" w:space="0" w:color="auto"/>
        <w:bottom w:val="none" w:sz="0" w:space="0" w:color="auto"/>
        <w:right w:val="none" w:sz="0" w:space="0" w:color="auto"/>
      </w:divBdr>
    </w:div>
    <w:div w:id="2006476422">
      <w:bodyDiv w:val="1"/>
      <w:marLeft w:val="0"/>
      <w:marRight w:val="0"/>
      <w:marTop w:val="0"/>
      <w:marBottom w:val="0"/>
      <w:divBdr>
        <w:top w:val="none" w:sz="0" w:space="0" w:color="auto"/>
        <w:left w:val="none" w:sz="0" w:space="0" w:color="auto"/>
        <w:bottom w:val="none" w:sz="0" w:space="0" w:color="auto"/>
        <w:right w:val="none" w:sz="0" w:space="0" w:color="auto"/>
      </w:divBdr>
    </w:div>
    <w:div w:id="2105417567">
      <w:bodyDiv w:val="1"/>
      <w:marLeft w:val="0"/>
      <w:marRight w:val="0"/>
      <w:marTop w:val="0"/>
      <w:marBottom w:val="0"/>
      <w:divBdr>
        <w:top w:val="none" w:sz="0" w:space="0" w:color="auto"/>
        <w:left w:val="none" w:sz="0" w:space="0" w:color="auto"/>
        <w:bottom w:val="none" w:sz="0" w:space="0" w:color="auto"/>
        <w:right w:val="none" w:sz="0" w:space="0" w:color="auto"/>
      </w:divBdr>
    </w:div>
    <w:div w:id="213124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ldenbivirkning.dk"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3486</Words>
  <Characters>21395</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2023021896 _x000d_
SPC pkt. 4.8, 5.1</dc:description>
  <cp:lastModifiedBy>Iman El Kadiri</cp:lastModifiedBy>
  <cp:revision>4</cp:revision>
  <cp:lastPrinted>2012-08-22T08:53:00Z</cp:lastPrinted>
  <dcterms:created xsi:type="dcterms:W3CDTF">2024-03-21T12:02:00Z</dcterms:created>
  <dcterms:modified xsi:type="dcterms:W3CDTF">2024-04-01T18:51:00Z</dcterms:modified>
</cp:coreProperties>
</file>