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35D58" w14:textId="77777777" w:rsidR="009260DE" w:rsidRPr="00811F65" w:rsidRDefault="0021526C" w:rsidP="009260DE">
      <w:pPr>
        <w:rPr>
          <w:sz w:val="24"/>
          <w:szCs w:val="24"/>
        </w:rPr>
      </w:pPr>
      <w:bookmarkStart w:id="0" w:name="_GoBack"/>
      <w:bookmarkEnd w:id="0"/>
      <w:r w:rsidRPr="00811F65">
        <w:rPr>
          <w:noProof/>
          <w:sz w:val="24"/>
          <w:szCs w:val="24"/>
          <w:lang w:eastAsia="da-DK"/>
        </w:rPr>
        <w:drawing>
          <wp:anchor distT="0" distB="0" distL="114300" distR="114300" simplePos="0" relativeHeight="251658240" behindDoc="0" locked="0" layoutInCell="1" allowOverlap="1" wp14:anchorId="245CBF6E" wp14:editId="1528A86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11F65">
        <w:rPr>
          <w:sz w:val="24"/>
          <w:szCs w:val="24"/>
        </w:rPr>
        <w:br w:type="textWrapping" w:clear="all"/>
      </w:r>
    </w:p>
    <w:p w14:paraId="1AD6EA1D" w14:textId="07D9C075" w:rsidR="009260DE" w:rsidRPr="00811F65" w:rsidRDefault="009260DE" w:rsidP="009260DE">
      <w:pPr>
        <w:pStyle w:val="Titel"/>
        <w:tabs>
          <w:tab w:val="right" w:pos="9356"/>
        </w:tabs>
        <w:jc w:val="left"/>
        <w:rPr>
          <w:b w:val="0"/>
          <w:szCs w:val="24"/>
          <w:lang w:eastAsia="en-US"/>
        </w:rPr>
      </w:pPr>
      <w:r w:rsidRPr="00811F65">
        <w:rPr>
          <w:b w:val="0"/>
          <w:szCs w:val="24"/>
          <w:lang w:eastAsia="en-US"/>
        </w:rPr>
        <w:tab/>
      </w:r>
      <w:r w:rsidR="00355DFD" w:rsidRPr="00811F65">
        <w:rPr>
          <w:szCs w:val="24"/>
        </w:rPr>
        <w:t>6. maj 2024</w:t>
      </w:r>
    </w:p>
    <w:p w14:paraId="41E025EA" w14:textId="77777777" w:rsidR="009260DE" w:rsidRPr="00811F65" w:rsidRDefault="009260DE" w:rsidP="009260DE">
      <w:pPr>
        <w:pStyle w:val="Titel"/>
        <w:tabs>
          <w:tab w:val="left" w:pos="8222"/>
        </w:tabs>
        <w:jc w:val="left"/>
        <w:rPr>
          <w:b w:val="0"/>
          <w:szCs w:val="24"/>
        </w:rPr>
      </w:pPr>
    </w:p>
    <w:p w14:paraId="4F1B5182" w14:textId="77777777" w:rsidR="009260DE" w:rsidRPr="00811F65" w:rsidRDefault="009260DE" w:rsidP="009260DE">
      <w:pPr>
        <w:pStyle w:val="Titel"/>
        <w:jc w:val="left"/>
        <w:rPr>
          <w:b w:val="0"/>
          <w:szCs w:val="24"/>
        </w:rPr>
      </w:pPr>
    </w:p>
    <w:p w14:paraId="6612B759" w14:textId="77777777" w:rsidR="009260DE" w:rsidRPr="00811F65" w:rsidRDefault="009260DE" w:rsidP="009260DE">
      <w:pPr>
        <w:pStyle w:val="Titel"/>
        <w:jc w:val="left"/>
        <w:rPr>
          <w:b w:val="0"/>
          <w:szCs w:val="24"/>
        </w:rPr>
      </w:pPr>
    </w:p>
    <w:p w14:paraId="7710CA57" w14:textId="77777777" w:rsidR="009260DE" w:rsidRPr="00811F65" w:rsidRDefault="009260DE" w:rsidP="009260DE">
      <w:pPr>
        <w:jc w:val="center"/>
        <w:rPr>
          <w:b/>
          <w:sz w:val="24"/>
          <w:szCs w:val="24"/>
          <w:lang w:val="en-US"/>
        </w:rPr>
      </w:pPr>
      <w:r w:rsidRPr="00811F65">
        <w:rPr>
          <w:b/>
          <w:sz w:val="24"/>
          <w:szCs w:val="24"/>
          <w:lang w:val="en-US"/>
        </w:rPr>
        <w:t>PRODUKTRESUMÉ</w:t>
      </w:r>
    </w:p>
    <w:p w14:paraId="5A2F52DB" w14:textId="77777777" w:rsidR="009260DE" w:rsidRPr="00811F65" w:rsidRDefault="009260DE" w:rsidP="009260DE">
      <w:pPr>
        <w:jc w:val="center"/>
        <w:rPr>
          <w:b/>
          <w:sz w:val="24"/>
          <w:szCs w:val="24"/>
          <w:lang w:val="en-US"/>
        </w:rPr>
      </w:pPr>
    </w:p>
    <w:p w14:paraId="648A8116" w14:textId="77777777" w:rsidR="009260DE" w:rsidRPr="00811F65" w:rsidRDefault="009260DE" w:rsidP="009260DE">
      <w:pPr>
        <w:jc w:val="center"/>
        <w:rPr>
          <w:b/>
          <w:sz w:val="24"/>
          <w:szCs w:val="24"/>
          <w:lang w:val="en-US"/>
        </w:rPr>
      </w:pPr>
      <w:r w:rsidRPr="00811F65">
        <w:rPr>
          <w:b/>
          <w:sz w:val="24"/>
          <w:szCs w:val="24"/>
          <w:lang w:val="en-US"/>
        </w:rPr>
        <w:t>for</w:t>
      </w:r>
    </w:p>
    <w:p w14:paraId="3087078E" w14:textId="77777777" w:rsidR="000B058C" w:rsidRPr="00811F65" w:rsidRDefault="000B058C" w:rsidP="009260DE">
      <w:pPr>
        <w:jc w:val="center"/>
        <w:rPr>
          <w:b/>
          <w:sz w:val="24"/>
          <w:szCs w:val="24"/>
          <w:lang w:val="en-US"/>
        </w:rPr>
      </w:pPr>
    </w:p>
    <w:p w14:paraId="47398EE7" w14:textId="1F981968" w:rsidR="009260DE" w:rsidRPr="00811F65" w:rsidRDefault="00662E21" w:rsidP="009260DE">
      <w:pPr>
        <w:jc w:val="center"/>
        <w:rPr>
          <w:b/>
          <w:sz w:val="24"/>
          <w:szCs w:val="24"/>
        </w:rPr>
      </w:pPr>
      <w:proofErr w:type="spellStart"/>
      <w:r w:rsidRPr="00811F65">
        <w:rPr>
          <w:b/>
          <w:sz w:val="24"/>
          <w:szCs w:val="24"/>
        </w:rPr>
        <w:t>Axitinib</w:t>
      </w:r>
      <w:proofErr w:type="spellEnd"/>
      <w:r w:rsidRPr="00811F65">
        <w:rPr>
          <w:b/>
          <w:sz w:val="24"/>
          <w:szCs w:val="24"/>
        </w:rPr>
        <w:t xml:space="preserve"> "</w:t>
      </w:r>
      <w:proofErr w:type="spellStart"/>
      <w:r w:rsidRPr="00811F65">
        <w:rPr>
          <w:b/>
          <w:sz w:val="24"/>
          <w:szCs w:val="24"/>
        </w:rPr>
        <w:t>Stada</w:t>
      </w:r>
      <w:proofErr w:type="spellEnd"/>
      <w:r w:rsidRPr="00811F65">
        <w:rPr>
          <w:b/>
          <w:sz w:val="24"/>
          <w:szCs w:val="24"/>
        </w:rPr>
        <w:t>", filmovertrukne tabletter</w:t>
      </w:r>
      <w:r w:rsidRPr="00811F65">
        <w:rPr>
          <w:rStyle w:val="Sidetal"/>
          <w:sz w:val="24"/>
          <w:szCs w:val="24"/>
          <w:lang w:eastAsia="da-DK"/>
        </w:rPr>
        <w:t xml:space="preserve"> </w:t>
      </w:r>
    </w:p>
    <w:p w14:paraId="062C163A" w14:textId="77777777" w:rsidR="009260DE" w:rsidRPr="00811F65" w:rsidRDefault="009260DE" w:rsidP="009260DE">
      <w:pPr>
        <w:jc w:val="both"/>
        <w:rPr>
          <w:sz w:val="24"/>
          <w:szCs w:val="24"/>
        </w:rPr>
      </w:pPr>
    </w:p>
    <w:p w14:paraId="645D6E88" w14:textId="77777777" w:rsidR="009260DE" w:rsidRPr="00811F65" w:rsidRDefault="009260DE" w:rsidP="009260DE">
      <w:pPr>
        <w:jc w:val="both"/>
        <w:rPr>
          <w:sz w:val="24"/>
          <w:szCs w:val="24"/>
        </w:rPr>
      </w:pPr>
    </w:p>
    <w:p w14:paraId="6F6651D6" w14:textId="77777777" w:rsidR="009260DE" w:rsidRPr="00811F65" w:rsidRDefault="009260DE" w:rsidP="009260DE">
      <w:pPr>
        <w:tabs>
          <w:tab w:val="left" w:pos="851"/>
        </w:tabs>
        <w:ind w:left="851" w:hanging="851"/>
        <w:rPr>
          <w:b/>
          <w:sz w:val="24"/>
          <w:szCs w:val="24"/>
        </w:rPr>
      </w:pPr>
      <w:r w:rsidRPr="00811F65">
        <w:rPr>
          <w:b/>
          <w:sz w:val="24"/>
          <w:szCs w:val="24"/>
        </w:rPr>
        <w:t>0.</w:t>
      </w:r>
      <w:r w:rsidRPr="00811F65">
        <w:rPr>
          <w:b/>
          <w:sz w:val="24"/>
          <w:szCs w:val="24"/>
        </w:rPr>
        <w:tab/>
        <w:t>D.SP.NR.</w:t>
      </w:r>
    </w:p>
    <w:p w14:paraId="435E774D" w14:textId="27037B6E" w:rsidR="009260DE" w:rsidRPr="00811F65" w:rsidRDefault="00662E21" w:rsidP="009260DE">
      <w:pPr>
        <w:tabs>
          <w:tab w:val="left" w:pos="851"/>
        </w:tabs>
        <w:ind w:left="851"/>
        <w:rPr>
          <w:sz w:val="24"/>
          <w:szCs w:val="24"/>
        </w:rPr>
      </w:pPr>
      <w:r w:rsidRPr="00811F65">
        <w:rPr>
          <w:sz w:val="24"/>
          <w:szCs w:val="24"/>
        </w:rPr>
        <w:t>32646</w:t>
      </w:r>
    </w:p>
    <w:p w14:paraId="1A13A8DB" w14:textId="77777777" w:rsidR="009260DE" w:rsidRPr="00811F65" w:rsidRDefault="009260DE" w:rsidP="009260DE">
      <w:pPr>
        <w:tabs>
          <w:tab w:val="left" w:pos="851"/>
        </w:tabs>
        <w:ind w:left="851"/>
        <w:rPr>
          <w:sz w:val="24"/>
          <w:szCs w:val="24"/>
        </w:rPr>
      </w:pPr>
    </w:p>
    <w:p w14:paraId="7F4191E7" w14:textId="77777777" w:rsidR="009260DE" w:rsidRPr="00811F65" w:rsidRDefault="009260DE" w:rsidP="009260DE">
      <w:pPr>
        <w:tabs>
          <w:tab w:val="left" w:pos="851"/>
        </w:tabs>
        <w:ind w:left="851" w:hanging="851"/>
        <w:rPr>
          <w:b/>
          <w:sz w:val="24"/>
          <w:szCs w:val="24"/>
        </w:rPr>
      </w:pPr>
      <w:r w:rsidRPr="00811F65">
        <w:rPr>
          <w:b/>
          <w:sz w:val="24"/>
          <w:szCs w:val="24"/>
        </w:rPr>
        <w:t>1.</w:t>
      </w:r>
      <w:r w:rsidRPr="00811F65">
        <w:rPr>
          <w:b/>
          <w:sz w:val="24"/>
          <w:szCs w:val="24"/>
        </w:rPr>
        <w:tab/>
        <w:t>LÆGEMIDLETS NAVN</w:t>
      </w:r>
    </w:p>
    <w:p w14:paraId="11873B8A" w14:textId="1FBB1B1C" w:rsidR="009260DE" w:rsidRPr="00811F65" w:rsidRDefault="00662E21" w:rsidP="009260DE">
      <w:pPr>
        <w:tabs>
          <w:tab w:val="left" w:pos="851"/>
        </w:tabs>
        <w:ind w:left="851"/>
        <w:rPr>
          <w:sz w:val="24"/>
          <w:szCs w:val="24"/>
        </w:rPr>
      </w:pPr>
      <w:proofErr w:type="spellStart"/>
      <w:r w:rsidRPr="00811F65">
        <w:rPr>
          <w:sz w:val="24"/>
          <w:szCs w:val="24"/>
        </w:rPr>
        <w:t>Axitinib</w:t>
      </w:r>
      <w:proofErr w:type="spellEnd"/>
      <w:r w:rsidRPr="00811F65">
        <w:rPr>
          <w:sz w:val="24"/>
          <w:szCs w:val="24"/>
        </w:rPr>
        <w:t xml:space="preserve"> "</w:t>
      </w:r>
      <w:proofErr w:type="spellStart"/>
      <w:r w:rsidRPr="00811F65">
        <w:rPr>
          <w:sz w:val="24"/>
          <w:szCs w:val="24"/>
        </w:rPr>
        <w:t>Stada</w:t>
      </w:r>
      <w:proofErr w:type="spellEnd"/>
      <w:r w:rsidRPr="00811F65">
        <w:rPr>
          <w:sz w:val="24"/>
          <w:szCs w:val="24"/>
        </w:rPr>
        <w:t>"</w:t>
      </w:r>
    </w:p>
    <w:p w14:paraId="0C03D0E9" w14:textId="77777777" w:rsidR="009260DE" w:rsidRPr="00811F65" w:rsidRDefault="009260DE" w:rsidP="009260DE">
      <w:pPr>
        <w:tabs>
          <w:tab w:val="left" w:pos="851"/>
        </w:tabs>
        <w:ind w:left="851"/>
        <w:rPr>
          <w:sz w:val="24"/>
          <w:szCs w:val="24"/>
        </w:rPr>
      </w:pPr>
    </w:p>
    <w:p w14:paraId="097241D4" w14:textId="77777777" w:rsidR="009260DE" w:rsidRPr="00811F65" w:rsidRDefault="009260DE" w:rsidP="009260DE">
      <w:pPr>
        <w:tabs>
          <w:tab w:val="left" w:pos="851"/>
        </w:tabs>
        <w:ind w:left="851" w:hanging="851"/>
        <w:rPr>
          <w:b/>
          <w:sz w:val="24"/>
          <w:szCs w:val="24"/>
        </w:rPr>
      </w:pPr>
      <w:r w:rsidRPr="00811F65">
        <w:rPr>
          <w:b/>
          <w:sz w:val="24"/>
          <w:szCs w:val="24"/>
        </w:rPr>
        <w:t>2.</w:t>
      </w:r>
      <w:r w:rsidRPr="00811F65">
        <w:rPr>
          <w:b/>
          <w:sz w:val="24"/>
          <w:szCs w:val="24"/>
        </w:rPr>
        <w:tab/>
        <w:t>KVALITATIV OG KVANTITATIV SAMMENSÆTNING</w:t>
      </w:r>
    </w:p>
    <w:p w14:paraId="7F9294FD" w14:textId="66F2B41D" w:rsidR="00355DFD" w:rsidRPr="00811F65" w:rsidRDefault="00355DFD" w:rsidP="00355DFD">
      <w:pPr>
        <w:suppressAutoHyphens/>
        <w:ind w:left="851"/>
        <w:rPr>
          <w:bCs/>
          <w:sz w:val="24"/>
          <w:szCs w:val="24"/>
          <w:u w:val="single"/>
          <w:lang w:eastAsia="fr-LU"/>
        </w:rPr>
      </w:pPr>
      <w:proofErr w:type="spellStart"/>
      <w:r w:rsidRPr="00811F65">
        <w:rPr>
          <w:sz w:val="24"/>
          <w:szCs w:val="24"/>
          <w:u w:val="single"/>
        </w:rPr>
        <w:t>Axitinib</w:t>
      </w:r>
      <w:proofErr w:type="spellEnd"/>
      <w:r w:rsidRPr="00811F65">
        <w:rPr>
          <w:sz w:val="24"/>
          <w:szCs w:val="24"/>
          <w:u w:val="single"/>
        </w:rPr>
        <w:t xml:space="preserve"> </w:t>
      </w:r>
      <w:r w:rsidR="00CB2A14">
        <w:rPr>
          <w:sz w:val="24"/>
          <w:szCs w:val="24"/>
          <w:u w:val="single"/>
        </w:rPr>
        <w:t>"</w:t>
      </w:r>
      <w:proofErr w:type="spellStart"/>
      <w:r w:rsidR="00CB2A14">
        <w:rPr>
          <w:sz w:val="24"/>
          <w:szCs w:val="24"/>
          <w:u w:val="single"/>
        </w:rPr>
        <w:t>S</w:t>
      </w:r>
      <w:r w:rsidR="00E84059">
        <w:rPr>
          <w:sz w:val="24"/>
          <w:szCs w:val="24"/>
          <w:u w:val="single"/>
        </w:rPr>
        <w:t>tada</w:t>
      </w:r>
      <w:proofErr w:type="spellEnd"/>
      <w:r w:rsidR="00CB2A14">
        <w:rPr>
          <w:sz w:val="24"/>
          <w:szCs w:val="24"/>
          <w:u w:val="single"/>
        </w:rPr>
        <w:t>"</w:t>
      </w:r>
      <w:r w:rsidRPr="00811F65">
        <w:rPr>
          <w:bCs/>
          <w:sz w:val="24"/>
          <w:szCs w:val="24"/>
          <w:u w:val="single"/>
        </w:rPr>
        <w:t xml:space="preserve"> 1 mg filmovertrukne tabletter</w:t>
      </w:r>
    </w:p>
    <w:p w14:paraId="356A9DC7" w14:textId="77777777" w:rsidR="00355DFD" w:rsidRPr="00811F65" w:rsidRDefault="00355DFD" w:rsidP="00355DFD">
      <w:pPr>
        <w:suppressAutoHyphens/>
        <w:ind w:left="851"/>
        <w:rPr>
          <w:bCs/>
          <w:sz w:val="24"/>
          <w:szCs w:val="24"/>
        </w:rPr>
      </w:pPr>
      <w:r w:rsidRPr="00811F65">
        <w:rPr>
          <w:bCs/>
          <w:sz w:val="24"/>
          <w:szCs w:val="24"/>
        </w:rPr>
        <w:t xml:space="preserve">Hver filmovertrukket tablet indeholder 1 mg </w:t>
      </w:r>
      <w:proofErr w:type="spellStart"/>
      <w:r w:rsidRPr="00811F65">
        <w:rPr>
          <w:bCs/>
          <w:sz w:val="24"/>
          <w:szCs w:val="24"/>
        </w:rPr>
        <w:t>axitinib</w:t>
      </w:r>
      <w:proofErr w:type="spellEnd"/>
      <w:r w:rsidRPr="00811F65">
        <w:rPr>
          <w:bCs/>
          <w:sz w:val="24"/>
          <w:szCs w:val="24"/>
        </w:rPr>
        <w:t>.</w:t>
      </w:r>
    </w:p>
    <w:p w14:paraId="5633BC79" w14:textId="77777777" w:rsidR="00355DFD" w:rsidRPr="00811F65" w:rsidRDefault="00355DFD" w:rsidP="00355DFD">
      <w:pPr>
        <w:suppressAutoHyphens/>
        <w:ind w:left="851"/>
        <w:rPr>
          <w:bCs/>
          <w:sz w:val="24"/>
          <w:szCs w:val="24"/>
        </w:rPr>
      </w:pPr>
    </w:p>
    <w:p w14:paraId="19D25E5A" w14:textId="5EF7D5F4" w:rsidR="00355DFD" w:rsidRPr="00811F65" w:rsidRDefault="00E84059" w:rsidP="00355DFD">
      <w:pPr>
        <w:suppressAutoHyphens/>
        <w:ind w:left="851"/>
        <w:rPr>
          <w:bCs/>
          <w:sz w:val="24"/>
          <w:szCs w:val="24"/>
          <w:u w:val="single"/>
        </w:rPr>
      </w:pPr>
      <w:proofErr w:type="spellStart"/>
      <w:r>
        <w:rPr>
          <w:sz w:val="24"/>
          <w:szCs w:val="24"/>
          <w:u w:val="single"/>
        </w:rPr>
        <w:t>Axitinib</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355DFD" w:rsidRPr="00811F65">
        <w:rPr>
          <w:bCs/>
          <w:sz w:val="24"/>
          <w:szCs w:val="24"/>
          <w:u w:val="single"/>
        </w:rPr>
        <w:t xml:space="preserve"> 3 mg filmovertrukne tabletter</w:t>
      </w:r>
    </w:p>
    <w:p w14:paraId="367A67DB" w14:textId="77777777" w:rsidR="00355DFD" w:rsidRPr="00811F65" w:rsidRDefault="00355DFD" w:rsidP="00355DFD">
      <w:pPr>
        <w:suppressAutoHyphens/>
        <w:ind w:left="851"/>
        <w:rPr>
          <w:bCs/>
          <w:sz w:val="24"/>
          <w:szCs w:val="24"/>
        </w:rPr>
      </w:pPr>
      <w:r w:rsidRPr="00811F65">
        <w:rPr>
          <w:bCs/>
          <w:sz w:val="24"/>
          <w:szCs w:val="24"/>
        </w:rPr>
        <w:t xml:space="preserve">Hver filmovertrukket tablet indeholder 3 mg </w:t>
      </w:r>
      <w:proofErr w:type="spellStart"/>
      <w:r w:rsidRPr="00811F65">
        <w:rPr>
          <w:bCs/>
          <w:sz w:val="24"/>
          <w:szCs w:val="24"/>
        </w:rPr>
        <w:t>axitinib</w:t>
      </w:r>
      <w:proofErr w:type="spellEnd"/>
      <w:r w:rsidRPr="00811F65">
        <w:rPr>
          <w:bCs/>
          <w:sz w:val="24"/>
          <w:szCs w:val="24"/>
        </w:rPr>
        <w:t>.</w:t>
      </w:r>
    </w:p>
    <w:p w14:paraId="10EF0923" w14:textId="77777777" w:rsidR="00355DFD" w:rsidRPr="00811F65" w:rsidRDefault="00355DFD" w:rsidP="00355DFD">
      <w:pPr>
        <w:suppressAutoHyphens/>
        <w:ind w:left="851"/>
        <w:rPr>
          <w:bCs/>
          <w:sz w:val="24"/>
          <w:szCs w:val="24"/>
        </w:rPr>
      </w:pPr>
    </w:p>
    <w:p w14:paraId="3D3E4F9E" w14:textId="48E0F0D4" w:rsidR="00355DFD" w:rsidRPr="00811F65" w:rsidRDefault="00355DFD" w:rsidP="00355DFD">
      <w:pPr>
        <w:suppressAutoHyphens/>
        <w:ind w:left="851"/>
        <w:rPr>
          <w:bCs/>
          <w:sz w:val="24"/>
          <w:szCs w:val="24"/>
          <w:u w:val="single"/>
        </w:rPr>
      </w:pPr>
      <w:proofErr w:type="spellStart"/>
      <w:r w:rsidRPr="00811F65">
        <w:rPr>
          <w:sz w:val="24"/>
          <w:szCs w:val="24"/>
          <w:u w:val="single"/>
        </w:rPr>
        <w:t>Axitinib</w:t>
      </w:r>
      <w:proofErr w:type="spellEnd"/>
      <w:r w:rsidRPr="00811F65">
        <w:rPr>
          <w:sz w:val="24"/>
          <w:szCs w:val="24"/>
          <w:u w:val="single"/>
        </w:rPr>
        <w:t xml:space="preserve"> </w:t>
      </w:r>
      <w:r w:rsidR="00CB2A14">
        <w:rPr>
          <w:sz w:val="24"/>
          <w:szCs w:val="24"/>
          <w:u w:val="single"/>
        </w:rPr>
        <w:t>"</w:t>
      </w:r>
      <w:proofErr w:type="spellStart"/>
      <w:r w:rsidR="00CB2A14">
        <w:rPr>
          <w:sz w:val="24"/>
          <w:szCs w:val="24"/>
          <w:u w:val="single"/>
        </w:rPr>
        <w:t>S</w:t>
      </w:r>
      <w:r w:rsidR="00E84059">
        <w:rPr>
          <w:sz w:val="24"/>
          <w:szCs w:val="24"/>
          <w:u w:val="single"/>
        </w:rPr>
        <w:t>tada</w:t>
      </w:r>
      <w:proofErr w:type="spellEnd"/>
      <w:r w:rsidR="00CB2A14">
        <w:rPr>
          <w:sz w:val="24"/>
          <w:szCs w:val="24"/>
          <w:u w:val="single"/>
        </w:rPr>
        <w:t>"</w:t>
      </w:r>
      <w:r w:rsidRPr="00811F65">
        <w:rPr>
          <w:sz w:val="24"/>
          <w:szCs w:val="24"/>
          <w:u w:val="single"/>
        </w:rPr>
        <w:t xml:space="preserve"> </w:t>
      </w:r>
      <w:r w:rsidRPr="00811F65">
        <w:rPr>
          <w:bCs/>
          <w:sz w:val="24"/>
          <w:szCs w:val="24"/>
          <w:u w:val="single"/>
        </w:rPr>
        <w:t>5 mg filmovertrukne tabletter</w:t>
      </w:r>
    </w:p>
    <w:p w14:paraId="1A813A51" w14:textId="77777777" w:rsidR="00355DFD" w:rsidRPr="00811F65" w:rsidRDefault="00355DFD" w:rsidP="00355DFD">
      <w:pPr>
        <w:suppressAutoHyphens/>
        <w:ind w:left="851"/>
        <w:rPr>
          <w:bCs/>
          <w:sz w:val="24"/>
          <w:szCs w:val="24"/>
        </w:rPr>
      </w:pPr>
      <w:r w:rsidRPr="00811F65">
        <w:rPr>
          <w:bCs/>
          <w:sz w:val="24"/>
          <w:szCs w:val="24"/>
        </w:rPr>
        <w:t xml:space="preserve">Hver filmovertrukket tablet indeholder 5 mg </w:t>
      </w:r>
      <w:proofErr w:type="spellStart"/>
      <w:r w:rsidRPr="00811F65">
        <w:rPr>
          <w:bCs/>
          <w:sz w:val="24"/>
          <w:szCs w:val="24"/>
        </w:rPr>
        <w:t>axitinib</w:t>
      </w:r>
      <w:proofErr w:type="spellEnd"/>
      <w:r w:rsidRPr="00811F65">
        <w:rPr>
          <w:bCs/>
          <w:sz w:val="24"/>
          <w:szCs w:val="24"/>
        </w:rPr>
        <w:t>.</w:t>
      </w:r>
    </w:p>
    <w:p w14:paraId="6AA6E7B3" w14:textId="77777777" w:rsidR="00355DFD" w:rsidRPr="00811F65" w:rsidRDefault="00355DFD" w:rsidP="00355DFD">
      <w:pPr>
        <w:suppressAutoHyphens/>
        <w:ind w:left="851"/>
        <w:rPr>
          <w:bCs/>
          <w:sz w:val="24"/>
          <w:szCs w:val="24"/>
        </w:rPr>
      </w:pPr>
    </w:p>
    <w:p w14:paraId="2013B9A9" w14:textId="48A85CB2" w:rsidR="00355DFD" w:rsidRPr="00811F65" w:rsidRDefault="00E84059" w:rsidP="00355DFD">
      <w:pPr>
        <w:suppressAutoHyphens/>
        <w:ind w:left="851"/>
        <w:rPr>
          <w:bCs/>
          <w:sz w:val="24"/>
          <w:szCs w:val="24"/>
          <w:u w:val="single"/>
        </w:rPr>
      </w:pPr>
      <w:proofErr w:type="spellStart"/>
      <w:r>
        <w:rPr>
          <w:sz w:val="24"/>
          <w:szCs w:val="24"/>
          <w:u w:val="single"/>
        </w:rPr>
        <w:t>Axitinib</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355DFD" w:rsidRPr="00811F65">
        <w:rPr>
          <w:sz w:val="24"/>
          <w:szCs w:val="24"/>
          <w:u w:val="single"/>
        </w:rPr>
        <w:t xml:space="preserve"> </w:t>
      </w:r>
      <w:r w:rsidR="00355DFD" w:rsidRPr="00811F65">
        <w:rPr>
          <w:bCs/>
          <w:sz w:val="24"/>
          <w:szCs w:val="24"/>
          <w:u w:val="single"/>
        </w:rPr>
        <w:t>7 mg filmovertrukne tabletter</w:t>
      </w:r>
    </w:p>
    <w:p w14:paraId="2FC656FF" w14:textId="77777777" w:rsidR="00355DFD" w:rsidRPr="00811F65" w:rsidRDefault="00355DFD" w:rsidP="00355DFD">
      <w:pPr>
        <w:suppressAutoHyphens/>
        <w:ind w:left="851"/>
        <w:rPr>
          <w:bCs/>
          <w:sz w:val="24"/>
          <w:szCs w:val="24"/>
        </w:rPr>
      </w:pPr>
      <w:r w:rsidRPr="00811F65">
        <w:rPr>
          <w:bCs/>
          <w:sz w:val="24"/>
          <w:szCs w:val="24"/>
        </w:rPr>
        <w:t xml:space="preserve">Hver filmovertrukket tablet indeholder 7 mg </w:t>
      </w:r>
      <w:proofErr w:type="spellStart"/>
      <w:r w:rsidRPr="00811F65">
        <w:rPr>
          <w:bCs/>
          <w:sz w:val="24"/>
          <w:szCs w:val="24"/>
        </w:rPr>
        <w:t>axitinib</w:t>
      </w:r>
      <w:proofErr w:type="spellEnd"/>
      <w:r w:rsidRPr="00811F65">
        <w:rPr>
          <w:bCs/>
          <w:sz w:val="24"/>
          <w:szCs w:val="24"/>
        </w:rPr>
        <w:t>.</w:t>
      </w:r>
    </w:p>
    <w:p w14:paraId="289FEE63" w14:textId="77777777" w:rsidR="00355DFD" w:rsidRPr="00811F65" w:rsidRDefault="00355DFD" w:rsidP="00355DFD">
      <w:pPr>
        <w:suppressAutoHyphens/>
        <w:ind w:left="851"/>
        <w:rPr>
          <w:bCs/>
          <w:sz w:val="24"/>
          <w:szCs w:val="24"/>
        </w:rPr>
      </w:pPr>
    </w:p>
    <w:p w14:paraId="1A89085C" w14:textId="77777777" w:rsidR="00355DFD" w:rsidRPr="00811F65" w:rsidRDefault="00355DFD" w:rsidP="00355DFD">
      <w:pPr>
        <w:suppressAutoHyphens/>
        <w:ind w:left="851"/>
        <w:rPr>
          <w:bCs/>
          <w:sz w:val="24"/>
          <w:szCs w:val="24"/>
          <w:u w:val="single"/>
        </w:rPr>
      </w:pPr>
      <w:r w:rsidRPr="00811F65">
        <w:rPr>
          <w:bCs/>
          <w:sz w:val="24"/>
          <w:szCs w:val="24"/>
          <w:u w:val="single"/>
        </w:rPr>
        <w:t>Hjælpestof(er) med kendt effekt</w:t>
      </w:r>
    </w:p>
    <w:p w14:paraId="16127456" w14:textId="77777777" w:rsidR="00355DFD" w:rsidRPr="00811F65" w:rsidRDefault="00355DFD" w:rsidP="00355DFD">
      <w:pPr>
        <w:suppressAutoHyphens/>
        <w:ind w:left="851"/>
        <w:rPr>
          <w:bCs/>
          <w:sz w:val="24"/>
          <w:szCs w:val="24"/>
        </w:rPr>
      </w:pPr>
    </w:p>
    <w:p w14:paraId="5D05C295" w14:textId="53A14358" w:rsidR="00355DFD" w:rsidRPr="00811F65" w:rsidRDefault="00E84059" w:rsidP="00355DFD">
      <w:pPr>
        <w:suppressAutoHyphens/>
        <w:ind w:left="851"/>
        <w:rPr>
          <w:bCs/>
          <w:sz w:val="24"/>
          <w:szCs w:val="24"/>
          <w:u w:val="single"/>
        </w:rPr>
      </w:pPr>
      <w:proofErr w:type="spellStart"/>
      <w:r>
        <w:rPr>
          <w:sz w:val="24"/>
          <w:szCs w:val="24"/>
          <w:u w:val="single"/>
        </w:rPr>
        <w:t>Axitinib</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355DFD" w:rsidRPr="00811F65">
        <w:rPr>
          <w:sz w:val="24"/>
          <w:szCs w:val="24"/>
          <w:u w:val="single"/>
        </w:rPr>
        <w:t xml:space="preserve"> </w:t>
      </w:r>
      <w:r w:rsidR="00355DFD" w:rsidRPr="00811F65">
        <w:rPr>
          <w:bCs/>
          <w:sz w:val="24"/>
          <w:szCs w:val="24"/>
          <w:u w:val="single"/>
        </w:rPr>
        <w:t>1 mg filmovertrukket tablet</w:t>
      </w:r>
    </w:p>
    <w:p w14:paraId="4106C8F0" w14:textId="77777777" w:rsidR="00355DFD" w:rsidRPr="00811F65" w:rsidRDefault="00355DFD" w:rsidP="00355DFD">
      <w:pPr>
        <w:suppressAutoHyphens/>
        <w:ind w:left="851"/>
        <w:rPr>
          <w:bCs/>
          <w:sz w:val="24"/>
          <w:szCs w:val="24"/>
        </w:rPr>
      </w:pPr>
      <w:r w:rsidRPr="00811F65">
        <w:rPr>
          <w:bCs/>
          <w:sz w:val="24"/>
          <w:szCs w:val="24"/>
        </w:rPr>
        <w:t xml:space="preserve">Hver filmovertrukket tablet indeholder 33 mg </w:t>
      </w:r>
      <w:proofErr w:type="spellStart"/>
      <w:r w:rsidRPr="00811F65">
        <w:rPr>
          <w:bCs/>
          <w:sz w:val="24"/>
          <w:szCs w:val="24"/>
        </w:rPr>
        <w:t>lactosemonohydrat</w:t>
      </w:r>
      <w:proofErr w:type="spellEnd"/>
      <w:r w:rsidRPr="00811F65">
        <w:rPr>
          <w:bCs/>
          <w:sz w:val="24"/>
          <w:szCs w:val="24"/>
        </w:rPr>
        <w:t>.</w:t>
      </w:r>
    </w:p>
    <w:p w14:paraId="3C576DDD" w14:textId="77777777" w:rsidR="00355DFD" w:rsidRPr="00811F65" w:rsidRDefault="00355DFD" w:rsidP="00355DFD">
      <w:pPr>
        <w:suppressAutoHyphens/>
        <w:ind w:left="851"/>
        <w:rPr>
          <w:bCs/>
          <w:sz w:val="24"/>
          <w:szCs w:val="24"/>
        </w:rPr>
      </w:pPr>
    </w:p>
    <w:p w14:paraId="011E867D" w14:textId="5F734D08" w:rsidR="00355DFD" w:rsidRPr="00811F65" w:rsidRDefault="00E84059" w:rsidP="00355DFD">
      <w:pPr>
        <w:suppressAutoHyphens/>
        <w:ind w:left="851"/>
        <w:rPr>
          <w:bCs/>
          <w:sz w:val="24"/>
          <w:szCs w:val="24"/>
          <w:u w:val="single"/>
        </w:rPr>
      </w:pPr>
      <w:proofErr w:type="spellStart"/>
      <w:r>
        <w:rPr>
          <w:sz w:val="24"/>
          <w:szCs w:val="24"/>
          <w:u w:val="single"/>
        </w:rPr>
        <w:t>Axitinib</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355DFD" w:rsidRPr="00811F65">
        <w:rPr>
          <w:bCs/>
          <w:sz w:val="24"/>
          <w:szCs w:val="24"/>
          <w:u w:val="single"/>
        </w:rPr>
        <w:t xml:space="preserve"> 3 mg filmovertrukket tablet</w:t>
      </w:r>
    </w:p>
    <w:p w14:paraId="0B1A1CAA" w14:textId="77777777" w:rsidR="00355DFD" w:rsidRPr="00811F65" w:rsidRDefault="00355DFD" w:rsidP="00355DFD">
      <w:pPr>
        <w:suppressAutoHyphens/>
        <w:ind w:left="851"/>
        <w:rPr>
          <w:bCs/>
          <w:sz w:val="24"/>
          <w:szCs w:val="24"/>
        </w:rPr>
      </w:pPr>
      <w:r w:rsidRPr="00811F65">
        <w:rPr>
          <w:bCs/>
          <w:sz w:val="24"/>
          <w:szCs w:val="24"/>
        </w:rPr>
        <w:t xml:space="preserve">Hver filmovertrukket tablet indeholder 99 mg </w:t>
      </w:r>
      <w:proofErr w:type="spellStart"/>
      <w:r w:rsidRPr="00811F65">
        <w:rPr>
          <w:bCs/>
          <w:sz w:val="24"/>
          <w:szCs w:val="24"/>
        </w:rPr>
        <w:t>lactosemonohydrat</w:t>
      </w:r>
      <w:proofErr w:type="spellEnd"/>
      <w:r w:rsidRPr="00811F65">
        <w:rPr>
          <w:bCs/>
          <w:sz w:val="24"/>
          <w:szCs w:val="24"/>
        </w:rPr>
        <w:t>.</w:t>
      </w:r>
    </w:p>
    <w:p w14:paraId="03CA6288" w14:textId="77777777" w:rsidR="00355DFD" w:rsidRPr="00811F65" w:rsidRDefault="00355DFD" w:rsidP="00355DFD">
      <w:pPr>
        <w:suppressAutoHyphens/>
        <w:ind w:left="851"/>
        <w:rPr>
          <w:bCs/>
          <w:sz w:val="24"/>
          <w:szCs w:val="24"/>
        </w:rPr>
      </w:pPr>
    </w:p>
    <w:p w14:paraId="06329FF0" w14:textId="091605F1" w:rsidR="00355DFD" w:rsidRPr="00811F65" w:rsidRDefault="00E84059" w:rsidP="00355DFD">
      <w:pPr>
        <w:suppressAutoHyphens/>
        <w:ind w:left="851"/>
        <w:rPr>
          <w:bCs/>
          <w:sz w:val="24"/>
          <w:szCs w:val="24"/>
          <w:u w:val="single"/>
        </w:rPr>
      </w:pPr>
      <w:proofErr w:type="spellStart"/>
      <w:r>
        <w:rPr>
          <w:sz w:val="24"/>
          <w:szCs w:val="24"/>
          <w:u w:val="single"/>
        </w:rPr>
        <w:t>Axitinib</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355DFD" w:rsidRPr="00811F65">
        <w:rPr>
          <w:sz w:val="24"/>
          <w:szCs w:val="24"/>
          <w:u w:val="single"/>
        </w:rPr>
        <w:t xml:space="preserve"> </w:t>
      </w:r>
      <w:r w:rsidR="00355DFD" w:rsidRPr="00811F65">
        <w:rPr>
          <w:bCs/>
          <w:sz w:val="24"/>
          <w:szCs w:val="24"/>
          <w:u w:val="single"/>
        </w:rPr>
        <w:t>5 mg filmovertrukket tablet</w:t>
      </w:r>
    </w:p>
    <w:p w14:paraId="5F2E6F93" w14:textId="77777777" w:rsidR="00355DFD" w:rsidRPr="00811F65" w:rsidRDefault="00355DFD" w:rsidP="00355DFD">
      <w:pPr>
        <w:suppressAutoHyphens/>
        <w:ind w:left="851"/>
        <w:rPr>
          <w:bCs/>
          <w:sz w:val="24"/>
          <w:szCs w:val="24"/>
        </w:rPr>
      </w:pPr>
      <w:r w:rsidRPr="00811F65">
        <w:rPr>
          <w:bCs/>
          <w:sz w:val="24"/>
          <w:szCs w:val="24"/>
        </w:rPr>
        <w:t xml:space="preserve">Hver filmovertrukket tablet indeholder 166 mg </w:t>
      </w:r>
      <w:proofErr w:type="spellStart"/>
      <w:r w:rsidRPr="00811F65">
        <w:rPr>
          <w:bCs/>
          <w:sz w:val="24"/>
          <w:szCs w:val="24"/>
        </w:rPr>
        <w:t>lactosemonohydrat</w:t>
      </w:r>
      <w:proofErr w:type="spellEnd"/>
      <w:r w:rsidRPr="00811F65">
        <w:rPr>
          <w:bCs/>
          <w:sz w:val="24"/>
          <w:szCs w:val="24"/>
        </w:rPr>
        <w:t>.</w:t>
      </w:r>
    </w:p>
    <w:p w14:paraId="137B3123" w14:textId="77777777" w:rsidR="00355DFD" w:rsidRPr="00811F65" w:rsidRDefault="00355DFD" w:rsidP="00355DFD">
      <w:pPr>
        <w:suppressAutoHyphens/>
        <w:ind w:left="851"/>
        <w:rPr>
          <w:bCs/>
          <w:sz w:val="24"/>
          <w:szCs w:val="24"/>
        </w:rPr>
      </w:pPr>
    </w:p>
    <w:p w14:paraId="7818B586" w14:textId="5B012A3F" w:rsidR="00355DFD" w:rsidRPr="00811F65" w:rsidRDefault="00E84059" w:rsidP="00355DFD">
      <w:pPr>
        <w:suppressAutoHyphens/>
        <w:ind w:left="851"/>
        <w:rPr>
          <w:bCs/>
          <w:sz w:val="24"/>
          <w:szCs w:val="24"/>
          <w:u w:val="single"/>
        </w:rPr>
      </w:pPr>
      <w:proofErr w:type="spellStart"/>
      <w:r>
        <w:rPr>
          <w:sz w:val="24"/>
          <w:szCs w:val="24"/>
          <w:u w:val="single"/>
        </w:rPr>
        <w:t>Axitinib</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355DFD" w:rsidRPr="00811F65">
        <w:rPr>
          <w:sz w:val="24"/>
          <w:szCs w:val="24"/>
          <w:u w:val="single"/>
        </w:rPr>
        <w:t xml:space="preserve"> </w:t>
      </w:r>
      <w:r w:rsidR="00355DFD" w:rsidRPr="00811F65">
        <w:rPr>
          <w:bCs/>
          <w:sz w:val="24"/>
          <w:szCs w:val="24"/>
          <w:u w:val="single"/>
        </w:rPr>
        <w:t>7 mg filmovertrukket tablet</w:t>
      </w:r>
    </w:p>
    <w:p w14:paraId="66F8BD27" w14:textId="77777777" w:rsidR="00355DFD" w:rsidRPr="00811F65" w:rsidRDefault="00355DFD" w:rsidP="00355DFD">
      <w:pPr>
        <w:suppressAutoHyphens/>
        <w:ind w:left="851"/>
        <w:rPr>
          <w:bCs/>
          <w:sz w:val="24"/>
          <w:szCs w:val="24"/>
        </w:rPr>
      </w:pPr>
      <w:r w:rsidRPr="00811F65">
        <w:rPr>
          <w:bCs/>
          <w:sz w:val="24"/>
          <w:szCs w:val="24"/>
        </w:rPr>
        <w:t xml:space="preserve">Hver filmovertrukket tablet indeholder 232 mg </w:t>
      </w:r>
      <w:proofErr w:type="spellStart"/>
      <w:r w:rsidRPr="00811F65">
        <w:rPr>
          <w:bCs/>
          <w:sz w:val="24"/>
          <w:szCs w:val="24"/>
        </w:rPr>
        <w:t>lactosemonohydrat</w:t>
      </w:r>
      <w:proofErr w:type="spellEnd"/>
      <w:r w:rsidRPr="00811F65">
        <w:rPr>
          <w:bCs/>
          <w:sz w:val="24"/>
          <w:szCs w:val="24"/>
        </w:rPr>
        <w:t>.</w:t>
      </w:r>
    </w:p>
    <w:p w14:paraId="6F7D7B86" w14:textId="77777777" w:rsidR="00355DFD" w:rsidRPr="00811F65" w:rsidRDefault="00355DFD" w:rsidP="00355DFD">
      <w:pPr>
        <w:suppressAutoHyphens/>
        <w:ind w:left="851"/>
        <w:rPr>
          <w:bCs/>
          <w:sz w:val="24"/>
          <w:szCs w:val="24"/>
        </w:rPr>
      </w:pPr>
    </w:p>
    <w:p w14:paraId="3BF8B546" w14:textId="77777777" w:rsidR="00355DFD" w:rsidRPr="00811F65" w:rsidRDefault="00355DFD" w:rsidP="00355DFD">
      <w:pPr>
        <w:tabs>
          <w:tab w:val="left" w:pos="567"/>
        </w:tabs>
        <w:ind w:left="851"/>
        <w:rPr>
          <w:sz w:val="24"/>
          <w:szCs w:val="24"/>
          <w:lang w:val="fr-LU"/>
        </w:rPr>
      </w:pPr>
      <w:r w:rsidRPr="00811F65">
        <w:rPr>
          <w:sz w:val="24"/>
          <w:szCs w:val="24"/>
        </w:rPr>
        <w:t>Alle hjælpestoffer er anført under pkt. 6.1.</w:t>
      </w:r>
    </w:p>
    <w:p w14:paraId="5AFF6F75" w14:textId="77777777" w:rsidR="009260DE" w:rsidRPr="00811F65" w:rsidRDefault="009260DE" w:rsidP="009260DE">
      <w:pPr>
        <w:tabs>
          <w:tab w:val="left" w:pos="851"/>
        </w:tabs>
        <w:ind w:left="851"/>
        <w:rPr>
          <w:sz w:val="24"/>
          <w:szCs w:val="24"/>
          <w:lang w:val="fr-LU"/>
        </w:rPr>
      </w:pPr>
    </w:p>
    <w:p w14:paraId="1463BF89" w14:textId="77777777" w:rsidR="009260DE" w:rsidRPr="00811F65" w:rsidRDefault="009260DE" w:rsidP="009260DE">
      <w:pPr>
        <w:tabs>
          <w:tab w:val="left" w:pos="851"/>
        </w:tabs>
        <w:ind w:left="851" w:hanging="851"/>
        <w:rPr>
          <w:b/>
          <w:sz w:val="24"/>
          <w:szCs w:val="24"/>
        </w:rPr>
      </w:pPr>
      <w:r w:rsidRPr="00811F65">
        <w:rPr>
          <w:b/>
          <w:sz w:val="24"/>
          <w:szCs w:val="24"/>
        </w:rPr>
        <w:lastRenderedPageBreak/>
        <w:t>3.</w:t>
      </w:r>
      <w:r w:rsidRPr="00811F65">
        <w:rPr>
          <w:b/>
          <w:sz w:val="24"/>
          <w:szCs w:val="24"/>
        </w:rPr>
        <w:tab/>
        <w:t>LÆGEMIDDELFORM</w:t>
      </w:r>
    </w:p>
    <w:p w14:paraId="7851A147" w14:textId="7385BB70" w:rsidR="00355DFD" w:rsidRPr="00811F65" w:rsidRDefault="00355DFD" w:rsidP="00355DFD">
      <w:pPr>
        <w:suppressAutoHyphens/>
        <w:ind w:left="851"/>
        <w:rPr>
          <w:sz w:val="24"/>
          <w:szCs w:val="24"/>
          <w:lang w:eastAsia="fr-LU"/>
        </w:rPr>
      </w:pPr>
      <w:r w:rsidRPr="00811F65">
        <w:rPr>
          <w:sz w:val="24"/>
          <w:szCs w:val="24"/>
        </w:rPr>
        <w:t>Filmovertrukne tabletter (tabletter)</w:t>
      </w:r>
    </w:p>
    <w:p w14:paraId="6EA519BA" w14:textId="77777777" w:rsidR="00355DFD" w:rsidRPr="00811F65" w:rsidRDefault="00355DFD" w:rsidP="00355DFD">
      <w:pPr>
        <w:suppressAutoHyphens/>
        <w:ind w:left="851"/>
        <w:rPr>
          <w:sz w:val="24"/>
          <w:szCs w:val="24"/>
        </w:rPr>
      </w:pPr>
    </w:p>
    <w:p w14:paraId="4ED8D501" w14:textId="6962B3A2" w:rsidR="00355DFD" w:rsidRPr="00811F65" w:rsidRDefault="00E84059" w:rsidP="00355DFD">
      <w:pPr>
        <w:suppressAutoHyphens/>
        <w:ind w:left="851"/>
        <w:rPr>
          <w:sz w:val="24"/>
          <w:szCs w:val="24"/>
          <w:u w:val="single"/>
        </w:rPr>
      </w:pPr>
      <w:proofErr w:type="spellStart"/>
      <w:r>
        <w:rPr>
          <w:sz w:val="24"/>
          <w:szCs w:val="24"/>
          <w:u w:val="single"/>
        </w:rPr>
        <w:t>Axitinib</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355DFD" w:rsidRPr="00811F65">
        <w:rPr>
          <w:sz w:val="24"/>
          <w:szCs w:val="24"/>
          <w:u w:val="single"/>
        </w:rPr>
        <w:t xml:space="preserve"> 1 mg filmovertrukne tabletter</w:t>
      </w:r>
    </w:p>
    <w:p w14:paraId="6F705882" w14:textId="77777777" w:rsidR="00355DFD" w:rsidRPr="00811F65" w:rsidRDefault="00355DFD" w:rsidP="00355DFD">
      <w:pPr>
        <w:suppressAutoHyphens/>
        <w:ind w:left="851"/>
        <w:rPr>
          <w:sz w:val="24"/>
          <w:szCs w:val="24"/>
        </w:rPr>
      </w:pPr>
      <w:r w:rsidRPr="00811F65">
        <w:rPr>
          <w:sz w:val="24"/>
          <w:szCs w:val="24"/>
        </w:rPr>
        <w:t xml:space="preserve">Rød farve, rund </w:t>
      </w:r>
      <w:proofErr w:type="spellStart"/>
      <w:r w:rsidRPr="00811F65">
        <w:rPr>
          <w:sz w:val="24"/>
          <w:szCs w:val="24"/>
        </w:rPr>
        <w:t>bikonveks</w:t>
      </w:r>
      <w:proofErr w:type="spellEnd"/>
      <w:r w:rsidRPr="00811F65">
        <w:rPr>
          <w:sz w:val="24"/>
          <w:szCs w:val="24"/>
        </w:rPr>
        <w:t xml:space="preserve"> overtrukket tablet, ca. 6 mm i diameter og præget med "A7TI" på den ene side og "1" på den anden.</w:t>
      </w:r>
    </w:p>
    <w:p w14:paraId="44006890" w14:textId="77777777" w:rsidR="00355DFD" w:rsidRPr="00811F65" w:rsidRDefault="00355DFD" w:rsidP="00355DFD">
      <w:pPr>
        <w:suppressAutoHyphens/>
        <w:ind w:left="851"/>
        <w:rPr>
          <w:sz w:val="24"/>
          <w:szCs w:val="24"/>
          <w:u w:val="single"/>
        </w:rPr>
      </w:pPr>
    </w:p>
    <w:p w14:paraId="5EB84789" w14:textId="282B5362" w:rsidR="00355DFD" w:rsidRPr="00811F65" w:rsidRDefault="00E84059" w:rsidP="00355DFD">
      <w:pPr>
        <w:suppressAutoHyphens/>
        <w:ind w:left="851"/>
        <w:rPr>
          <w:sz w:val="24"/>
          <w:szCs w:val="24"/>
          <w:u w:val="single"/>
        </w:rPr>
      </w:pPr>
      <w:proofErr w:type="spellStart"/>
      <w:r>
        <w:rPr>
          <w:sz w:val="24"/>
          <w:szCs w:val="24"/>
          <w:u w:val="single"/>
        </w:rPr>
        <w:t>Axitinib</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355DFD" w:rsidRPr="00811F65">
        <w:rPr>
          <w:sz w:val="24"/>
          <w:szCs w:val="24"/>
          <w:u w:val="single"/>
        </w:rPr>
        <w:t xml:space="preserve"> 3 mg filmovertrukne tabletter</w:t>
      </w:r>
    </w:p>
    <w:p w14:paraId="5E9D29D6" w14:textId="77777777" w:rsidR="00355DFD" w:rsidRPr="00811F65" w:rsidRDefault="00355DFD" w:rsidP="00355DFD">
      <w:pPr>
        <w:suppressAutoHyphens/>
        <w:ind w:left="851"/>
        <w:rPr>
          <w:sz w:val="24"/>
          <w:szCs w:val="24"/>
        </w:rPr>
      </w:pPr>
      <w:r w:rsidRPr="00811F65">
        <w:rPr>
          <w:sz w:val="24"/>
          <w:szCs w:val="24"/>
        </w:rPr>
        <w:t xml:space="preserve">Rød, oval </w:t>
      </w:r>
      <w:proofErr w:type="spellStart"/>
      <w:r w:rsidRPr="00811F65">
        <w:rPr>
          <w:sz w:val="24"/>
          <w:szCs w:val="24"/>
        </w:rPr>
        <w:t>bikonveks</w:t>
      </w:r>
      <w:proofErr w:type="spellEnd"/>
      <w:r w:rsidRPr="00811F65">
        <w:rPr>
          <w:sz w:val="24"/>
          <w:szCs w:val="24"/>
        </w:rPr>
        <w:t xml:space="preserve"> overtrukket tablet, ca. 12 mm lang og 7 mm bred og præget med "A7TI" på den ene side og "3" på den anden.</w:t>
      </w:r>
    </w:p>
    <w:p w14:paraId="4E5AD321" w14:textId="77777777" w:rsidR="00355DFD" w:rsidRPr="00811F65" w:rsidRDefault="00355DFD" w:rsidP="00355DFD">
      <w:pPr>
        <w:suppressAutoHyphens/>
        <w:ind w:left="851"/>
        <w:rPr>
          <w:sz w:val="24"/>
          <w:szCs w:val="24"/>
        </w:rPr>
      </w:pPr>
    </w:p>
    <w:p w14:paraId="0D627168" w14:textId="7AA094AC" w:rsidR="00355DFD" w:rsidRPr="00811F65" w:rsidRDefault="00E84059" w:rsidP="00355DFD">
      <w:pPr>
        <w:suppressAutoHyphens/>
        <w:ind w:left="851"/>
        <w:rPr>
          <w:sz w:val="24"/>
          <w:szCs w:val="24"/>
          <w:u w:val="single"/>
        </w:rPr>
      </w:pPr>
      <w:proofErr w:type="spellStart"/>
      <w:r>
        <w:rPr>
          <w:sz w:val="24"/>
          <w:szCs w:val="24"/>
          <w:u w:val="single"/>
        </w:rPr>
        <w:t>Axitinib</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355DFD" w:rsidRPr="00811F65">
        <w:rPr>
          <w:sz w:val="24"/>
          <w:szCs w:val="24"/>
          <w:u w:val="single"/>
        </w:rPr>
        <w:t xml:space="preserve"> 5 mg filmovertrukne tabletter</w:t>
      </w:r>
    </w:p>
    <w:p w14:paraId="14A56326" w14:textId="77777777" w:rsidR="00355DFD" w:rsidRPr="00811F65" w:rsidRDefault="00355DFD" w:rsidP="00355DFD">
      <w:pPr>
        <w:suppressAutoHyphens/>
        <w:ind w:left="851"/>
        <w:rPr>
          <w:sz w:val="24"/>
          <w:szCs w:val="24"/>
        </w:rPr>
      </w:pPr>
      <w:r w:rsidRPr="00811F65">
        <w:rPr>
          <w:sz w:val="24"/>
          <w:szCs w:val="24"/>
        </w:rPr>
        <w:t xml:space="preserve">Rød, oval </w:t>
      </w:r>
      <w:proofErr w:type="spellStart"/>
      <w:r w:rsidRPr="00811F65">
        <w:rPr>
          <w:sz w:val="24"/>
          <w:szCs w:val="24"/>
        </w:rPr>
        <w:t>bikonveks</w:t>
      </w:r>
      <w:proofErr w:type="spellEnd"/>
      <w:r w:rsidRPr="00811F65">
        <w:rPr>
          <w:sz w:val="24"/>
          <w:szCs w:val="24"/>
        </w:rPr>
        <w:t xml:space="preserve"> overtrukket tablet, ca. 15 mm lang og 8 mm bred og præget med "A7TI" på den ene side og "5" på den anden.</w:t>
      </w:r>
    </w:p>
    <w:p w14:paraId="27D95D68" w14:textId="77777777" w:rsidR="00355DFD" w:rsidRPr="00811F65" w:rsidRDefault="00355DFD" w:rsidP="00355DFD">
      <w:pPr>
        <w:suppressAutoHyphens/>
        <w:ind w:left="851"/>
        <w:rPr>
          <w:sz w:val="24"/>
          <w:szCs w:val="24"/>
        </w:rPr>
      </w:pPr>
    </w:p>
    <w:p w14:paraId="58E125E3" w14:textId="7A1EDD83" w:rsidR="00355DFD" w:rsidRPr="00811F65" w:rsidRDefault="00E84059" w:rsidP="00355DFD">
      <w:pPr>
        <w:suppressAutoHyphens/>
        <w:ind w:left="851"/>
        <w:rPr>
          <w:sz w:val="24"/>
          <w:szCs w:val="24"/>
          <w:u w:val="single"/>
        </w:rPr>
      </w:pPr>
      <w:proofErr w:type="spellStart"/>
      <w:r>
        <w:rPr>
          <w:sz w:val="24"/>
          <w:szCs w:val="24"/>
          <w:u w:val="single"/>
        </w:rPr>
        <w:t>Axitinib</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355DFD" w:rsidRPr="00811F65">
        <w:rPr>
          <w:sz w:val="24"/>
          <w:szCs w:val="24"/>
          <w:u w:val="single"/>
        </w:rPr>
        <w:t xml:space="preserve"> 7 mg filmovertrukne tabletter</w:t>
      </w:r>
    </w:p>
    <w:p w14:paraId="50775DC4" w14:textId="77777777" w:rsidR="00355DFD" w:rsidRPr="00811F65" w:rsidRDefault="00355DFD" w:rsidP="00355DFD">
      <w:pPr>
        <w:suppressAutoHyphens/>
        <w:ind w:left="851"/>
        <w:rPr>
          <w:sz w:val="24"/>
          <w:szCs w:val="24"/>
        </w:rPr>
      </w:pPr>
      <w:r w:rsidRPr="00811F65">
        <w:rPr>
          <w:sz w:val="24"/>
          <w:szCs w:val="24"/>
        </w:rPr>
        <w:t xml:space="preserve">Rød, oval </w:t>
      </w:r>
      <w:proofErr w:type="spellStart"/>
      <w:r w:rsidRPr="00811F65">
        <w:rPr>
          <w:sz w:val="24"/>
          <w:szCs w:val="24"/>
        </w:rPr>
        <w:t>bikonveks</w:t>
      </w:r>
      <w:proofErr w:type="spellEnd"/>
      <w:r w:rsidRPr="00811F65">
        <w:rPr>
          <w:sz w:val="24"/>
          <w:szCs w:val="24"/>
        </w:rPr>
        <w:t xml:space="preserve"> overtrukket tablet, ca. 17 mm lang og 9 mm bred og præget med "A7TI" på den ene side og "7" på den anden.</w:t>
      </w:r>
    </w:p>
    <w:p w14:paraId="0F10281A" w14:textId="77777777" w:rsidR="009260DE" w:rsidRPr="00811F65" w:rsidRDefault="009260DE" w:rsidP="009260DE">
      <w:pPr>
        <w:tabs>
          <w:tab w:val="left" w:pos="851"/>
        </w:tabs>
        <w:ind w:left="851"/>
        <w:rPr>
          <w:sz w:val="24"/>
          <w:szCs w:val="24"/>
        </w:rPr>
      </w:pPr>
    </w:p>
    <w:p w14:paraId="79DF21E4" w14:textId="77777777" w:rsidR="009260DE" w:rsidRPr="00811F65" w:rsidRDefault="009260DE" w:rsidP="009260DE">
      <w:pPr>
        <w:tabs>
          <w:tab w:val="left" w:pos="851"/>
        </w:tabs>
        <w:ind w:left="851"/>
        <w:rPr>
          <w:sz w:val="24"/>
          <w:szCs w:val="24"/>
        </w:rPr>
      </w:pPr>
    </w:p>
    <w:p w14:paraId="00242DBB" w14:textId="77777777" w:rsidR="009260DE" w:rsidRPr="00811F65" w:rsidRDefault="009260DE" w:rsidP="009260DE">
      <w:pPr>
        <w:tabs>
          <w:tab w:val="left" w:pos="851"/>
        </w:tabs>
        <w:ind w:left="851" w:hanging="851"/>
        <w:rPr>
          <w:b/>
          <w:sz w:val="24"/>
          <w:szCs w:val="24"/>
        </w:rPr>
      </w:pPr>
      <w:r w:rsidRPr="00811F65">
        <w:rPr>
          <w:b/>
          <w:sz w:val="24"/>
          <w:szCs w:val="24"/>
        </w:rPr>
        <w:t>4.</w:t>
      </w:r>
      <w:r w:rsidRPr="00811F65">
        <w:rPr>
          <w:b/>
          <w:sz w:val="24"/>
          <w:szCs w:val="24"/>
        </w:rPr>
        <w:tab/>
        <w:t>KLINISKE OPLYSNINGER</w:t>
      </w:r>
    </w:p>
    <w:p w14:paraId="06FB02D4" w14:textId="77777777" w:rsidR="009260DE" w:rsidRPr="00811F65" w:rsidRDefault="009260DE" w:rsidP="009260DE">
      <w:pPr>
        <w:tabs>
          <w:tab w:val="left" w:pos="851"/>
        </w:tabs>
        <w:ind w:left="851"/>
        <w:rPr>
          <w:b/>
          <w:sz w:val="24"/>
          <w:szCs w:val="24"/>
        </w:rPr>
      </w:pPr>
    </w:p>
    <w:p w14:paraId="66A832B7" w14:textId="77777777" w:rsidR="009260DE" w:rsidRPr="00811F65" w:rsidRDefault="009260DE" w:rsidP="009260DE">
      <w:pPr>
        <w:tabs>
          <w:tab w:val="left" w:pos="851"/>
        </w:tabs>
        <w:ind w:left="851" w:hanging="851"/>
        <w:rPr>
          <w:b/>
          <w:sz w:val="24"/>
          <w:szCs w:val="24"/>
          <w:u w:val="single"/>
        </w:rPr>
      </w:pPr>
      <w:r w:rsidRPr="00811F65">
        <w:rPr>
          <w:b/>
          <w:sz w:val="24"/>
          <w:szCs w:val="24"/>
        </w:rPr>
        <w:t>4.1</w:t>
      </w:r>
      <w:r w:rsidRPr="00811F65">
        <w:rPr>
          <w:b/>
          <w:sz w:val="24"/>
          <w:szCs w:val="24"/>
        </w:rPr>
        <w:tab/>
        <w:t>Terapeutiske indikationer</w:t>
      </w:r>
    </w:p>
    <w:p w14:paraId="04506F2C" w14:textId="587EEB76" w:rsidR="00355DFD" w:rsidRPr="00811F65" w:rsidRDefault="00E84059" w:rsidP="00355DFD">
      <w:pPr>
        <w:ind w:left="851"/>
        <w:rPr>
          <w:sz w:val="24"/>
          <w:szCs w:val="24"/>
          <w:lang w:eastAsia="fr-LU"/>
        </w:rPr>
      </w:pPr>
      <w:proofErr w:type="spellStart"/>
      <w:r>
        <w:rPr>
          <w:sz w:val="24"/>
          <w:szCs w:val="24"/>
        </w:rPr>
        <w:t>Axitinib</w:t>
      </w:r>
      <w:proofErr w:type="spellEnd"/>
      <w:r>
        <w:rPr>
          <w:sz w:val="24"/>
          <w:szCs w:val="24"/>
        </w:rPr>
        <w:t xml:space="preserve"> "</w:t>
      </w:r>
      <w:proofErr w:type="spellStart"/>
      <w:r>
        <w:rPr>
          <w:sz w:val="24"/>
          <w:szCs w:val="24"/>
        </w:rPr>
        <w:t>Stada</w:t>
      </w:r>
      <w:proofErr w:type="spellEnd"/>
      <w:r>
        <w:rPr>
          <w:sz w:val="24"/>
          <w:szCs w:val="24"/>
        </w:rPr>
        <w:t>"</w:t>
      </w:r>
      <w:r w:rsidR="00355DFD" w:rsidRPr="00811F65">
        <w:rPr>
          <w:sz w:val="24"/>
          <w:szCs w:val="24"/>
        </w:rPr>
        <w:t xml:space="preserve"> er indiceret til behandling af voksne patienter med fremskredent nyrecellekarcinom (RCC) efter svigt af tidligere behandling med </w:t>
      </w:r>
      <w:proofErr w:type="spellStart"/>
      <w:r w:rsidR="00355DFD" w:rsidRPr="00811F65">
        <w:rPr>
          <w:sz w:val="24"/>
          <w:szCs w:val="24"/>
        </w:rPr>
        <w:t>sunitinib</w:t>
      </w:r>
      <w:proofErr w:type="spellEnd"/>
      <w:r w:rsidR="00355DFD" w:rsidRPr="00811F65">
        <w:rPr>
          <w:sz w:val="24"/>
          <w:szCs w:val="24"/>
        </w:rPr>
        <w:t xml:space="preserve"> eller et cytokin.</w:t>
      </w:r>
    </w:p>
    <w:p w14:paraId="0C2800A3" w14:textId="77777777" w:rsidR="009260DE" w:rsidRPr="00811F65" w:rsidRDefault="009260DE" w:rsidP="009260DE">
      <w:pPr>
        <w:tabs>
          <w:tab w:val="left" w:pos="851"/>
        </w:tabs>
        <w:ind w:left="851"/>
        <w:rPr>
          <w:sz w:val="24"/>
          <w:szCs w:val="24"/>
        </w:rPr>
      </w:pPr>
    </w:p>
    <w:p w14:paraId="75AD227C" w14:textId="77777777" w:rsidR="009260DE" w:rsidRPr="00811F65" w:rsidRDefault="009260DE" w:rsidP="009260DE">
      <w:pPr>
        <w:tabs>
          <w:tab w:val="left" w:pos="851"/>
        </w:tabs>
        <w:ind w:left="851" w:hanging="851"/>
        <w:rPr>
          <w:b/>
          <w:sz w:val="24"/>
          <w:szCs w:val="24"/>
        </w:rPr>
      </w:pPr>
      <w:r w:rsidRPr="00811F65">
        <w:rPr>
          <w:b/>
          <w:sz w:val="24"/>
          <w:szCs w:val="24"/>
        </w:rPr>
        <w:t>4.2</w:t>
      </w:r>
      <w:r w:rsidRPr="00811F65">
        <w:rPr>
          <w:b/>
          <w:sz w:val="24"/>
          <w:szCs w:val="24"/>
        </w:rPr>
        <w:tab/>
        <w:t xml:space="preserve">Dosering og </w:t>
      </w:r>
      <w:r w:rsidR="002C1EC0" w:rsidRPr="00811F65">
        <w:rPr>
          <w:b/>
          <w:sz w:val="24"/>
          <w:szCs w:val="24"/>
        </w:rPr>
        <w:t>administration</w:t>
      </w:r>
    </w:p>
    <w:p w14:paraId="7EBF412B" w14:textId="05914E85"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Behandling med </w:t>
      </w:r>
      <w:proofErr w:type="spellStart"/>
      <w:r w:rsidR="00E84059">
        <w:rPr>
          <w:sz w:val="24"/>
          <w:szCs w:val="24"/>
        </w:rPr>
        <w:t>Axitinib</w:t>
      </w:r>
      <w:proofErr w:type="spellEnd"/>
      <w:r w:rsidR="00E84059">
        <w:rPr>
          <w:sz w:val="24"/>
          <w:szCs w:val="24"/>
        </w:rPr>
        <w:t xml:space="preserve"> "</w:t>
      </w:r>
      <w:proofErr w:type="spellStart"/>
      <w:r w:rsidR="00E84059">
        <w:rPr>
          <w:sz w:val="24"/>
          <w:szCs w:val="24"/>
        </w:rPr>
        <w:t>Stada</w:t>
      </w:r>
      <w:proofErr w:type="spellEnd"/>
      <w:r w:rsidR="00E84059">
        <w:rPr>
          <w:sz w:val="24"/>
          <w:szCs w:val="24"/>
        </w:rPr>
        <w:t>"</w:t>
      </w:r>
      <w:r w:rsidRPr="00811F65">
        <w:rPr>
          <w:rFonts w:eastAsia="TimesNewRoman"/>
          <w:sz w:val="24"/>
          <w:szCs w:val="24"/>
          <w:lang w:eastAsia="en-GB"/>
        </w:rPr>
        <w:t xml:space="preserve"> bør forestås af en læge med erfaring i administration af lægemidler mod cancer.</w:t>
      </w:r>
    </w:p>
    <w:p w14:paraId="0A33FC9F" w14:textId="77777777" w:rsidR="00355DFD" w:rsidRPr="00811F65" w:rsidRDefault="00355DFD" w:rsidP="00355DFD">
      <w:pPr>
        <w:autoSpaceDE w:val="0"/>
        <w:autoSpaceDN w:val="0"/>
        <w:adjustRightInd w:val="0"/>
        <w:ind w:left="851"/>
        <w:rPr>
          <w:rFonts w:eastAsia="TimesNewRoman"/>
          <w:sz w:val="24"/>
          <w:szCs w:val="24"/>
          <w:u w:val="single"/>
          <w:lang w:eastAsia="en-GB"/>
        </w:rPr>
      </w:pPr>
    </w:p>
    <w:p w14:paraId="076F05C1" w14:textId="77777777" w:rsidR="00355DFD" w:rsidRPr="00811F65" w:rsidRDefault="00355DFD" w:rsidP="00355DFD">
      <w:pPr>
        <w:autoSpaceDE w:val="0"/>
        <w:autoSpaceDN w:val="0"/>
        <w:adjustRightInd w:val="0"/>
        <w:ind w:left="851"/>
        <w:rPr>
          <w:rFonts w:eastAsia="TimesNewRoman"/>
          <w:sz w:val="24"/>
          <w:szCs w:val="24"/>
          <w:u w:val="single"/>
          <w:lang w:eastAsia="en-GB"/>
        </w:rPr>
      </w:pPr>
      <w:r w:rsidRPr="00811F65">
        <w:rPr>
          <w:rFonts w:eastAsia="TimesNewRoman"/>
          <w:sz w:val="24"/>
          <w:szCs w:val="24"/>
          <w:u w:val="single"/>
          <w:lang w:eastAsia="en-GB"/>
        </w:rPr>
        <w:t>Dosering</w:t>
      </w:r>
    </w:p>
    <w:p w14:paraId="493C741C" w14:textId="77777777" w:rsidR="00355DFD" w:rsidRPr="00811F65" w:rsidRDefault="00355DFD" w:rsidP="00355DFD">
      <w:pPr>
        <w:autoSpaceDE w:val="0"/>
        <w:autoSpaceDN w:val="0"/>
        <w:adjustRightInd w:val="0"/>
        <w:ind w:left="851"/>
        <w:rPr>
          <w:rFonts w:eastAsia="TimesNewRoman"/>
          <w:sz w:val="24"/>
          <w:szCs w:val="24"/>
          <w:lang w:eastAsia="en-GB"/>
        </w:rPr>
      </w:pPr>
    </w:p>
    <w:p w14:paraId="2F3F3C73" w14:textId="77777777"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Den anbefalede dosis er 5 mg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2 gange dagligt.</w:t>
      </w:r>
    </w:p>
    <w:p w14:paraId="27FEDF4C" w14:textId="77777777" w:rsidR="00355DFD" w:rsidRPr="00811F65" w:rsidRDefault="00355DFD" w:rsidP="00355DFD">
      <w:pPr>
        <w:autoSpaceDE w:val="0"/>
        <w:autoSpaceDN w:val="0"/>
        <w:adjustRightInd w:val="0"/>
        <w:ind w:left="851"/>
        <w:rPr>
          <w:rFonts w:eastAsia="TimesNewRoman"/>
          <w:sz w:val="24"/>
          <w:szCs w:val="24"/>
          <w:lang w:eastAsia="en-GB"/>
        </w:rPr>
      </w:pPr>
    </w:p>
    <w:p w14:paraId="79E08551" w14:textId="72FCC0BB"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Behandling fortsættes så længe, der findes klinisk indikation herfor, eller indtil der opstår uacceptabel</w:t>
      </w:r>
      <w:r w:rsidR="00E84059">
        <w:rPr>
          <w:rFonts w:eastAsia="TimesNewRoman"/>
          <w:sz w:val="24"/>
          <w:szCs w:val="24"/>
          <w:lang w:eastAsia="en-GB"/>
        </w:rPr>
        <w:t xml:space="preserve"> </w:t>
      </w:r>
      <w:r w:rsidRPr="00811F65">
        <w:rPr>
          <w:rFonts w:eastAsia="TimesNewRoman"/>
          <w:sz w:val="24"/>
          <w:szCs w:val="24"/>
          <w:lang w:eastAsia="en-GB"/>
        </w:rPr>
        <w:t>toksicitet, som ikke kan behandles adækvat med anden medicin eller dosisjustering.</w:t>
      </w:r>
    </w:p>
    <w:p w14:paraId="35675D8D" w14:textId="77777777" w:rsidR="00355DFD" w:rsidRPr="00811F65" w:rsidRDefault="00355DFD" w:rsidP="00355DFD">
      <w:pPr>
        <w:autoSpaceDE w:val="0"/>
        <w:autoSpaceDN w:val="0"/>
        <w:adjustRightInd w:val="0"/>
        <w:ind w:left="851"/>
        <w:rPr>
          <w:rFonts w:eastAsia="TimesNewRoman"/>
          <w:sz w:val="24"/>
          <w:szCs w:val="24"/>
          <w:lang w:eastAsia="en-GB"/>
        </w:rPr>
      </w:pPr>
    </w:p>
    <w:p w14:paraId="219475D5" w14:textId="2D923232" w:rsidR="00355DFD" w:rsidRPr="00811F65" w:rsidRDefault="00355DFD" w:rsidP="00E84059">
      <w:pPr>
        <w:autoSpaceDE w:val="0"/>
        <w:autoSpaceDN w:val="0"/>
        <w:adjustRightInd w:val="0"/>
        <w:ind w:left="851"/>
        <w:rPr>
          <w:rFonts w:eastAsia="TimesNewRoman"/>
          <w:sz w:val="24"/>
          <w:szCs w:val="24"/>
          <w:lang w:eastAsia="en-GB"/>
        </w:rPr>
      </w:pPr>
      <w:r w:rsidRPr="00811F65">
        <w:rPr>
          <w:rFonts w:eastAsia="TimesNewRoman"/>
          <w:sz w:val="24"/>
          <w:szCs w:val="24"/>
          <w:lang w:eastAsia="en-GB"/>
        </w:rPr>
        <w:t>Hvis patienten kaster op eller springer en dosis over, må der ikke tages endnu en dosis. Den næste</w:t>
      </w:r>
      <w:r w:rsidR="00E84059">
        <w:rPr>
          <w:rFonts w:eastAsia="TimesNewRoman"/>
          <w:sz w:val="24"/>
          <w:szCs w:val="24"/>
          <w:lang w:eastAsia="en-GB"/>
        </w:rPr>
        <w:t xml:space="preserve"> </w:t>
      </w:r>
      <w:r w:rsidRPr="00811F65">
        <w:rPr>
          <w:rFonts w:eastAsia="TimesNewRoman"/>
          <w:sz w:val="24"/>
          <w:szCs w:val="24"/>
          <w:lang w:eastAsia="en-GB"/>
        </w:rPr>
        <w:t>ordinerede dosis bør tages til sædvanlig tid.</w:t>
      </w:r>
    </w:p>
    <w:p w14:paraId="5779362F" w14:textId="77777777" w:rsidR="00355DFD" w:rsidRPr="00811F65" w:rsidRDefault="00355DFD" w:rsidP="00355DFD">
      <w:pPr>
        <w:ind w:left="851"/>
        <w:rPr>
          <w:rFonts w:eastAsia="TimesNewRoman"/>
          <w:sz w:val="24"/>
          <w:szCs w:val="24"/>
          <w:lang w:eastAsia="en-GB"/>
        </w:rPr>
      </w:pPr>
    </w:p>
    <w:p w14:paraId="60207FB1" w14:textId="77777777" w:rsidR="00355DFD" w:rsidRPr="00811F65" w:rsidRDefault="00355DFD" w:rsidP="00355DFD">
      <w:pPr>
        <w:autoSpaceDE w:val="0"/>
        <w:autoSpaceDN w:val="0"/>
        <w:adjustRightInd w:val="0"/>
        <w:ind w:left="851"/>
        <w:rPr>
          <w:sz w:val="24"/>
          <w:szCs w:val="24"/>
          <w:u w:val="single"/>
          <w:lang w:eastAsia="en-GB"/>
        </w:rPr>
      </w:pPr>
      <w:r w:rsidRPr="00811F65">
        <w:rPr>
          <w:sz w:val="24"/>
          <w:szCs w:val="24"/>
          <w:u w:val="single"/>
          <w:lang w:eastAsia="en-GB"/>
        </w:rPr>
        <w:t>Dosisjusteringer</w:t>
      </w:r>
    </w:p>
    <w:p w14:paraId="59CF823D" w14:textId="77777777" w:rsidR="00355DFD" w:rsidRPr="00811F65" w:rsidRDefault="00355DFD" w:rsidP="00355DFD">
      <w:pPr>
        <w:autoSpaceDE w:val="0"/>
        <w:autoSpaceDN w:val="0"/>
        <w:adjustRightInd w:val="0"/>
        <w:ind w:left="851"/>
        <w:rPr>
          <w:rFonts w:eastAsia="TimesNewRoman"/>
          <w:sz w:val="24"/>
          <w:szCs w:val="24"/>
          <w:lang w:eastAsia="en-GB"/>
        </w:rPr>
      </w:pPr>
    </w:p>
    <w:p w14:paraId="08C44F4E" w14:textId="77777777"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Det anbefales at nedsætte eller øge dosis på baggrund af individuel sikkerhed og </w:t>
      </w:r>
      <w:proofErr w:type="spellStart"/>
      <w:r w:rsidRPr="00811F65">
        <w:rPr>
          <w:rFonts w:eastAsia="TimesNewRoman"/>
          <w:sz w:val="24"/>
          <w:szCs w:val="24"/>
          <w:lang w:eastAsia="en-GB"/>
        </w:rPr>
        <w:t>tolerabilitet</w:t>
      </w:r>
      <w:proofErr w:type="spellEnd"/>
      <w:r w:rsidRPr="00811F65">
        <w:rPr>
          <w:rFonts w:eastAsia="TimesNewRoman"/>
          <w:sz w:val="24"/>
          <w:szCs w:val="24"/>
          <w:lang w:eastAsia="en-GB"/>
        </w:rPr>
        <w:t>.</w:t>
      </w:r>
    </w:p>
    <w:p w14:paraId="6E232173" w14:textId="77777777" w:rsidR="00355DFD" w:rsidRPr="00811F65" w:rsidRDefault="00355DFD" w:rsidP="00355DFD">
      <w:pPr>
        <w:autoSpaceDE w:val="0"/>
        <w:autoSpaceDN w:val="0"/>
        <w:adjustRightInd w:val="0"/>
        <w:ind w:left="851"/>
        <w:rPr>
          <w:rFonts w:eastAsia="TimesNewRoman"/>
          <w:sz w:val="24"/>
          <w:szCs w:val="24"/>
          <w:lang w:eastAsia="en-GB"/>
        </w:rPr>
      </w:pPr>
    </w:p>
    <w:p w14:paraId="54C728DE" w14:textId="77777777"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Patienter, som tåler en startdosis på 5 mg 2 gange daglig i 2 på hinanden følgende uger, uden bivirkninger &gt; Grad 2 (dvs. uden alvorlige bivirkninger i henhold til Common </w:t>
      </w:r>
      <w:proofErr w:type="spellStart"/>
      <w:r w:rsidRPr="00811F65">
        <w:rPr>
          <w:rFonts w:eastAsia="TimesNewRoman"/>
          <w:sz w:val="24"/>
          <w:szCs w:val="24"/>
          <w:lang w:eastAsia="en-GB"/>
        </w:rPr>
        <w:t>Terminology</w:t>
      </w:r>
      <w:proofErr w:type="spellEnd"/>
      <w:r w:rsidRPr="00811F65">
        <w:rPr>
          <w:rFonts w:eastAsia="TimesNewRoman"/>
          <w:sz w:val="24"/>
          <w:szCs w:val="24"/>
          <w:lang w:eastAsia="en-GB"/>
        </w:rPr>
        <w:t xml:space="preserve"> </w:t>
      </w:r>
      <w:proofErr w:type="spellStart"/>
      <w:r w:rsidRPr="00811F65">
        <w:rPr>
          <w:rFonts w:eastAsia="TimesNewRoman"/>
          <w:sz w:val="24"/>
          <w:szCs w:val="24"/>
          <w:lang w:eastAsia="en-GB"/>
        </w:rPr>
        <w:t>Criteria</w:t>
      </w:r>
      <w:proofErr w:type="spellEnd"/>
      <w:r w:rsidRPr="00811F65">
        <w:rPr>
          <w:rFonts w:eastAsia="TimesNewRoman"/>
          <w:sz w:val="24"/>
          <w:szCs w:val="24"/>
          <w:lang w:eastAsia="en-GB"/>
        </w:rPr>
        <w:t xml:space="preserve"> for </w:t>
      </w:r>
      <w:proofErr w:type="spellStart"/>
      <w:r w:rsidRPr="00811F65">
        <w:rPr>
          <w:rFonts w:eastAsia="TimesNewRoman"/>
          <w:sz w:val="24"/>
          <w:szCs w:val="24"/>
          <w:lang w:eastAsia="en-GB"/>
        </w:rPr>
        <w:t>Adverse</w:t>
      </w:r>
      <w:proofErr w:type="spellEnd"/>
      <w:r w:rsidRPr="00811F65">
        <w:rPr>
          <w:rFonts w:eastAsia="TimesNewRoman"/>
          <w:sz w:val="24"/>
          <w:szCs w:val="24"/>
          <w:lang w:eastAsia="en-GB"/>
        </w:rPr>
        <w:t xml:space="preserve"> Events [CTCAE] version 3.0), kan få øget dosis til 7 mg 2 gange dagligt, medmindre patientens blodtryk er &gt; 150/90 </w:t>
      </w:r>
      <w:proofErr w:type="spellStart"/>
      <w:r w:rsidRPr="00811F65">
        <w:rPr>
          <w:rFonts w:eastAsia="TimesNewRoman"/>
          <w:sz w:val="24"/>
          <w:szCs w:val="24"/>
          <w:lang w:eastAsia="en-GB"/>
        </w:rPr>
        <w:t>mmHg</w:t>
      </w:r>
      <w:proofErr w:type="spellEnd"/>
      <w:r w:rsidRPr="00811F65">
        <w:rPr>
          <w:rFonts w:eastAsia="TimesNewRoman"/>
          <w:sz w:val="24"/>
          <w:szCs w:val="24"/>
          <w:lang w:eastAsia="en-GB"/>
        </w:rPr>
        <w:t xml:space="preserve">, eller patienten behandles med </w:t>
      </w:r>
      <w:proofErr w:type="spellStart"/>
      <w:r w:rsidRPr="00811F65">
        <w:rPr>
          <w:rFonts w:eastAsia="TimesNewRoman"/>
          <w:sz w:val="24"/>
          <w:szCs w:val="24"/>
          <w:lang w:eastAsia="en-GB"/>
        </w:rPr>
        <w:t>antihypertensiva</w:t>
      </w:r>
      <w:proofErr w:type="spellEnd"/>
      <w:r w:rsidRPr="00811F65">
        <w:rPr>
          <w:rFonts w:eastAsia="TimesNewRoman"/>
          <w:sz w:val="24"/>
          <w:szCs w:val="24"/>
          <w:lang w:eastAsia="en-GB"/>
        </w:rPr>
        <w:t xml:space="preserve">. Efterfølgende kan patienter, som tåler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dosis 7 mg </w:t>
      </w:r>
      <w:r w:rsidRPr="00811F65">
        <w:rPr>
          <w:rFonts w:eastAsia="TimesNewRoman"/>
          <w:sz w:val="24"/>
          <w:szCs w:val="24"/>
          <w:lang w:eastAsia="en-GB"/>
        </w:rPr>
        <w:lastRenderedPageBreak/>
        <w:t>2 gange dagligt, få øget deres dosis til højst 10 mg 2 gange dagligt ud fra de samme kriterier.</w:t>
      </w:r>
    </w:p>
    <w:p w14:paraId="7777C2A8" w14:textId="77777777" w:rsidR="00355DFD" w:rsidRPr="00811F65" w:rsidRDefault="00355DFD" w:rsidP="00355DFD">
      <w:pPr>
        <w:autoSpaceDE w:val="0"/>
        <w:autoSpaceDN w:val="0"/>
        <w:adjustRightInd w:val="0"/>
        <w:ind w:left="851"/>
        <w:rPr>
          <w:rFonts w:eastAsia="TimesNewRoman"/>
          <w:sz w:val="24"/>
          <w:szCs w:val="24"/>
          <w:lang w:eastAsia="en-GB"/>
        </w:rPr>
      </w:pPr>
    </w:p>
    <w:p w14:paraId="4873AA75" w14:textId="77777777"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Håndteringen af nogle af bivirkningerne kan kræve midlertidig eller permanent afbrydelse af behandlingen og/eller dosisnedsættelse af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(se pkt. 4.4). Hvis dosisnedsættelse er nødvendigt, kan dosis nedsættes til 3 mg 2 gange dagligt og yderligere ned til 2 mg 2 gange dagligt.</w:t>
      </w:r>
    </w:p>
    <w:p w14:paraId="185F150F" w14:textId="77777777" w:rsidR="00355DFD" w:rsidRPr="00811F65" w:rsidRDefault="00355DFD" w:rsidP="00355DFD">
      <w:pPr>
        <w:autoSpaceDE w:val="0"/>
        <w:autoSpaceDN w:val="0"/>
        <w:adjustRightInd w:val="0"/>
        <w:ind w:left="851"/>
        <w:rPr>
          <w:rFonts w:eastAsia="TimesNewRoman"/>
          <w:sz w:val="24"/>
          <w:szCs w:val="24"/>
          <w:lang w:eastAsia="en-GB"/>
        </w:rPr>
      </w:pPr>
    </w:p>
    <w:p w14:paraId="12B7B007" w14:textId="77777777"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Dosisjusteringer i forhold til patientens alder, race, køn eller legemsvægt er ikke nødvendig.</w:t>
      </w:r>
    </w:p>
    <w:p w14:paraId="2BE8AC46" w14:textId="77777777" w:rsidR="00355DFD" w:rsidRPr="00811F65" w:rsidRDefault="00355DFD" w:rsidP="00355DFD">
      <w:pPr>
        <w:autoSpaceDE w:val="0"/>
        <w:autoSpaceDN w:val="0"/>
        <w:adjustRightInd w:val="0"/>
        <w:ind w:left="851"/>
        <w:rPr>
          <w:i/>
          <w:iCs/>
          <w:sz w:val="24"/>
          <w:szCs w:val="24"/>
          <w:lang w:eastAsia="en-GB"/>
        </w:rPr>
      </w:pPr>
    </w:p>
    <w:p w14:paraId="1825C7F5" w14:textId="77777777" w:rsidR="00355DFD" w:rsidRPr="00811F65" w:rsidRDefault="00355DFD" w:rsidP="00355DFD">
      <w:pPr>
        <w:autoSpaceDE w:val="0"/>
        <w:autoSpaceDN w:val="0"/>
        <w:adjustRightInd w:val="0"/>
        <w:ind w:left="851"/>
        <w:rPr>
          <w:i/>
          <w:iCs/>
          <w:sz w:val="24"/>
          <w:szCs w:val="24"/>
          <w:lang w:eastAsia="en-GB"/>
        </w:rPr>
      </w:pPr>
      <w:r w:rsidRPr="00811F65">
        <w:rPr>
          <w:i/>
          <w:iCs/>
          <w:sz w:val="24"/>
          <w:szCs w:val="24"/>
          <w:lang w:eastAsia="en-GB"/>
        </w:rPr>
        <w:t>Samtidig anvendelse af potente CYP3A4/5-hæmmere</w:t>
      </w:r>
    </w:p>
    <w:p w14:paraId="7C74C343" w14:textId="77777777"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Samtidig anvendelse af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og potente CYP3A4/5-hæmmere kan øge plasmakoncentrationen af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(se pkt. 4.5). Det anbefales at vælge anden samtidig medicin uden eller med minimalt CYP3A4/5-hæmmende potentiale.</w:t>
      </w:r>
    </w:p>
    <w:p w14:paraId="2673E990" w14:textId="77777777" w:rsidR="00355DFD" w:rsidRPr="00811F65" w:rsidRDefault="00355DFD" w:rsidP="00355DFD">
      <w:pPr>
        <w:autoSpaceDE w:val="0"/>
        <w:autoSpaceDN w:val="0"/>
        <w:adjustRightInd w:val="0"/>
        <w:ind w:left="851"/>
        <w:rPr>
          <w:rFonts w:eastAsia="TimesNewRoman"/>
          <w:sz w:val="24"/>
          <w:szCs w:val="24"/>
          <w:lang w:eastAsia="en-GB"/>
        </w:rPr>
      </w:pPr>
    </w:p>
    <w:p w14:paraId="47D3F57B" w14:textId="5C9C60F5"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Selvom dosisjustering af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ikke er undersøgt hos patienter i behandling med potente CYP3A4/5-hæmmere, anbefales det at reducere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-dosis til ca. halvdelen (f.eks. bør startdosis nedsættes fra 5 mg 2 gange dagligt til 2 mg 2 gange dagligt), hvis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skal administreres sammen med en kraftig CYP/3A4/5-hæmmer. Håndteringen af nogle af bivirkningerne kan kræve midlertidig eller permanent afbrydelse af behandlingen (se pkt. 4.4). Hvis samtidig behandling med en potent CYP3A4/5-hæmmer afbrydes, bør det overvejes at vende tilbage til den oprindelige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-dosis (se pkt. 4.5).</w:t>
      </w:r>
    </w:p>
    <w:p w14:paraId="297D440E" w14:textId="77777777" w:rsidR="00355DFD" w:rsidRPr="00811F65" w:rsidRDefault="00355DFD" w:rsidP="00355DFD">
      <w:pPr>
        <w:autoSpaceDE w:val="0"/>
        <w:autoSpaceDN w:val="0"/>
        <w:adjustRightInd w:val="0"/>
        <w:ind w:left="851"/>
        <w:rPr>
          <w:rFonts w:eastAsia="TimesNewRoman"/>
          <w:sz w:val="24"/>
          <w:szCs w:val="24"/>
          <w:lang w:eastAsia="en-GB"/>
        </w:rPr>
      </w:pPr>
    </w:p>
    <w:p w14:paraId="45A894CB" w14:textId="77777777" w:rsidR="00355DFD" w:rsidRPr="00811F65" w:rsidRDefault="00355DFD" w:rsidP="00355DFD">
      <w:pPr>
        <w:autoSpaceDE w:val="0"/>
        <w:autoSpaceDN w:val="0"/>
        <w:adjustRightInd w:val="0"/>
        <w:ind w:left="851"/>
        <w:rPr>
          <w:i/>
          <w:iCs/>
          <w:sz w:val="24"/>
          <w:szCs w:val="24"/>
          <w:lang w:eastAsia="en-GB"/>
        </w:rPr>
      </w:pPr>
      <w:r w:rsidRPr="00811F65">
        <w:rPr>
          <w:i/>
          <w:iCs/>
          <w:sz w:val="24"/>
          <w:szCs w:val="24"/>
          <w:lang w:eastAsia="en-GB"/>
        </w:rPr>
        <w:t>Samtidig anvendelse af potente CYP3A4/5-induktorer</w:t>
      </w:r>
    </w:p>
    <w:p w14:paraId="6F610310" w14:textId="77777777"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Samtidig anvendelse af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og potente CYP3A4/5-induktorer kan nedsætte plasmakoncentrationen af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(se pkt. 4.5). Det anbefales at vælge anden samtidig medicin uden eller med minimalt CYP3A4/5-inducerende potentiale.</w:t>
      </w:r>
    </w:p>
    <w:p w14:paraId="77BF7C6A" w14:textId="77777777" w:rsidR="00355DFD" w:rsidRPr="00811F65" w:rsidRDefault="00355DFD" w:rsidP="00355DFD">
      <w:pPr>
        <w:autoSpaceDE w:val="0"/>
        <w:autoSpaceDN w:val="0"/>
        <w:adjustRightInd w:val="0"/>
        <w:ind w:left="851"/>
        <w:rPr>
          <w:rFonts w:eastAsia="TimesNewRoman"/>
          <w:sz w:val="24"/>
          <w:szCs w:val="24"/>
          <w:lang w:eastAsia="en-GB"/>
        </w:rPr>
      </w:pPr>
    </w:p>
    <w:p w14:paraId="224539D6" w14:textId="6C74B2A4"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Selvom dosisjustering af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ikke er undersøgt hos patienter i behandling med potente CYP3A4/5-induktorer, anbefales det at øge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dosis gradvist, hvis en stærk CYP3A4/5 skal administreres samtidig. Maksimal induktion med CYP3A4/5-induktorer er set indenfor 1 uges behandling med induktoren. Hvis dosis af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øges, skal patienten overvåges nøje for toksicitet. Håndtering af nogle af bivirkningerne kan kræve midlertidig eller permanent afbrydelse af behandlingen (se pkt. 4.4). Hvis samtidig administration af den stærke inducer afbrydes, skal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-dosis straks vende tilbage til den dosis, der blev brugt før påbegyndelse af den stærke CYP3A4/5-inducer (se pkt. 4.5).</w:t>
      </w:r>
    </w:p>
    <w:p w14:paraId="54C894D1" w14:textId="77777777" w:rsidR="00355DFD" w:rsidRPr="00811F65" w:rsidRDefault="00355DFD" w:rsidP="00355DFD">
      <w:pPr>
        <w:autoSpaceDE w:val="0"/>
        <w:autoSpaceDN w:val="0"/>
        <w:adjustRightInd w:val="0"/>
        <w:ind w:left="851"/>
        <w:rPr>
          <w:sz w:val="24"/>
          <w:szCs w:val="24"/>
          <w:lang w:eastAsia="fr-LU"/>
        </w:rPr>
      </w:pPr>
    </w:p>
    <w:p w14:paraId="2E01FA1B" w14:textId="77777777" w:rsidR="00355DFD" w:rsidRPr="00811F65" w:rsidRDefault="00355DFD" w:rsidP="00355DFD">
      <w:pPr>
        <w:autoSpaceDE w:val="0"/>
        <w:autoSpaceDN w:val="0"/>
        <w:adjustRightInd w:val="0"/>
        <w:ind w:left="851"/>
        <w:rPr>
          <w:sz w:val="24"/>
          <w:szCs w:val="24"/>
          <w:u w:val="single"/>
          <w:lang w:eastAsia="en-GB"/>
        </w:rPr>
      </w:pPr>
      <w:r w:rsidRPr="00811F65">
        <w:rPr>
          <w:sz w:val="24"/>
          <w:szCs w:val="24"/>
          <w:u w:val="single"/>
          <w:lang w:eastAsia="en-GB"/>
        </w:rPr>
        <w:t>Særlige patientgrupper</w:t>
      </w:r>
    </w:p>
    <w:p w14:paraId="1CE4B208" w14:textId="77777777" w:rsidR="00355DFD" w:rsidRPr="00811F65" w:rsidRDefault="00355DFD" w:rsidP="00355DFD">
      <w:pPr>
        <w:autoSpaceDE w:val="0"/>
        <w:autoSpaceDN w:val="0"/>
        <w:adjustRightInd w:val="0"/>
        <w:ind w:left="851"/>
        <w:rPr>
          <w:i/>
          <w:iCs/>
          <w:sz w:val="24"/>
          <w:szCs w:val="24"/>
          <w:lang w:eastAsia="en-GB"/>
        </w:rPr>
      </w:pPr>
    </w:p>
    <w:p w14:paraId="0C8E96AE" w14:textId="77777777" w:rsidR="00355DFD" w:rsidRPr="00811F65" w:rsidRDefault="00355DFD" w:rsidP="00355DFD">
      <w:pPr>
        <w:autoSpaceDE w:val="0"/>
        <w:autoSpaceDN w:val="0"/>
        <w:adjustRightInd w:val="0"/>
        <w:ind w:left="851"/>
        <w:rPr>
          <w:i/>
          <w:iCs/>
          <w:sz w:val="24"/>
          <w:szCs w:val="24"/>
          <w:lang w:eastAsia="en-GB"/>
        </w:rPr>
      </w:pPr>
      <w:r w:rsidRPr="00811F65">
        <w:rPr>
          <w:i/>
          <w:iCs/>
          <w:sz w:val="24"/>
          <w:szCs w:val="24"/>
          <w:lang w:eastAsia="en-GB"/>
        </w:rPr>
        <w:t>Ældre (≥65 år)</w:t>
      </w:r>
    </w:p>
    <w:p w14:paraId="55374669" w14:textId="77777777"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Dosisjustering er ikke nødvendig (se pkt. 4.4 og 5.2).</w:t>
      </w:r>
    </w:p>
    <w:p w14:paraId="449502A3" w14:textId="77777777" w:rsidR="00355DFD" w:rsidRPr="00811F65" w:rsidRDefault="00355DFD" w:rsidP="00355DFD">
      <w:pPr>
        <w:autoSpaceDE w:val="0"/>
        <w:autoSpaceDN w:val="0"/>
        <w:adjustRightInd w:val="0"/>
        <w:ind w:left="851"/>
        <w:rPr>
          <w:rFonts w:eastAsia="TimesNewRoman"/>
          <w:sz w:val="24"/>
          <w:szCs w:val="24"/>
          <w:lang w:eastAsia="en-GB"/>
        </w:rPr>
      </w:pPr>
    </w:p>
    <w:p w14:paraId="2392EE8C" w14:textId="77777777" w:rsidR="00355DFD" w:rsidRPr="00811F65" w:rsidRDefault="00355DFD" w:rsidP="00355DFD">
      <w:pPr>
        <w:autoSpaceDE w:val="0"/>
        <w:autoSpaceDN w:val="0"/>
        <w:adjustRightInd w:val="0"/>
        <w:ind w:left="851"/>
        <w:rPr>
          <w:i/>
          <w:iCs/>
          <w:sz w:val="24"/>
          <w:szCs w:val="24"/>
          <w:lang w:eastAsia="en-GB"/>
        </w:rPr>
      </w:pPr>
      <w:r w:rsidRPr="00811F65">
        <w:rPr>
          <w:i/>
          <w:iCs/>
          <w:sz w:val="24"/>
          <w:szCs w:val="24"/>
          <w:lang w:eastAsia="en-GB"/>
        </w:rPr>
        <w:t>Nedsat nyrefunktion</w:t>
      </w:r>
    </w:p>
    <w:p w14:paraId="56D647B3" w14:textId="77777777"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Dosisjustering er ikke nødvendig (se pkt. 5.2). Der er stort set ingen tilgængelige data vedrørende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-behandling af patienter med en </w:t>
      </w:r>
      <w:proofErr w:type="spellStart"/>
      <w:r w:rsidRPr="00811F65">
        <w:rPr>
          <w:rFonts w:eastAsia="TimesNewRoman"/>
          <w:sz w:val="24"/>
          <w:szCs w:val="24"/>
          <w:lang w:eastAsia="en-GB"/>
        </w:rPr>
        <w:t>kreatin-clearance</w:t>
      </w:r>
      <w:proofErr w:type="spellEnd"/>
      <w:r w:rsidRPr="00811F65">
        <w:rPr>
          <w:rFonts w:eastAsia="TimesNewRoman"/>
          <w:sz w:val="24"/>
          <w:szCs w:val="24"/>
          <w:lang w:eastAsia="en-GB"/>
        </w:rPr>
        <w:t xml:space="preserve"> under 15 ml/min.</w:t>
      </w:r>
    </w:p>
    <w:p w14:paraId="75898BDF" w14:textId="77777777" w:rsidR="00355DFD" w:rsidRPr="00811F65" w:rsidRDefault="00355DFD" w:rsidP="00355DFD">
      <w:pPr>
        <w:autoSpaceDE w:val="0"/>
        <w:autoSpaceDN w:val="0"/>
        <w:adjustRightInd w:val="0"/>
        <w:ind w:left="851"/>
        <w:rPr>
          <w:i/>
          <w:iCs/>
          <w:sz w:val="24"/>
          <w:szCs w:val="24"/>
          <w:lang w:eastAsia="en-GB"/>
        </w:rPr>
      </w:pPr>
    </w:p>
    <w:p w14:paraId="38C7CECB" w14:textId="77777777" w:rsidR="00355DFD" w:rsidRPr="00811F65" w:rsidRDefault="00355DFD" w:rsidP="00355DFD">
      <w:pPr>
        <w:autoSpaceDE w:val="0"/>
        <w:autoSpaceDN w:val="0"/>
        <w:adjustRightInd w:val="0"/>
        <w:ind w:left="851"/>
        <w:rPr>
          <w:i/>
          <w:iCs/>
          <w:sz w:val="24"/>
          <w:szCs w:val="24"/>
          <w:lang w:eastAsia="en-GB"/>
        </w:rPr>
      </w:pPr>
      <w:r w:rsidRPr="00811F65">
        <w:rPr>
          <w:i/>
          <w:iCs/>
          <w:sz w:val="24"/>
          <w:szCs w:val="24"/>
          <w:lang w:eastAsia="en-GB"/>
        </w:rPr>
        <w:t>Nedsat leverfunktion</w:t>
      </w:r>
    </w:p>
    <w:p w14:paraId="6455010F" w14:textId="77777777"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Dosisjustering er ikke nødvendig hos patienter med let nedsat leverfunktion (Child-</w:t>
      </w:r>
      <w:proofErr w:type="spellStart"/>
      <w:r w:rsidRPr="00811F65">
        <w:rPr>
          <w:rFonts w:eastAsia="TimesNewRoman"/>
          <w:sz w:val="24"/>
          <w:szCs w:val="24"/>
          <w:lang w:eastAsia="en-GB"/>
        </w:rPr>
        <w:t>Pugh</w:t>
      </w:r>
      <w:proofErr w:type="spellEnd"/>
      <w:r w:rsidRPr="00811F65">
        <w:rPr>
          <w:rFonts w:eastAsia="TimesNewRoman"/>
          <w:sz w:val="24"/>
          <w:szCs w:val="24"/>
          <w:lang w:eastAsia="en-GB"/>
        </w:rPr>
        <w:t xml:space="preserve"> klasse A). Det anbefales at nedsætte dosis ved behandling af patienter med moderat nedsat leverfunktion (Child-</w:t>
      </w:r>
      <w:proofErr w:type="spellStart"/>
      <w:r w:rsidRPr="00811F65">
        <w:rPr>
          <w:rFonts w:eastAsia="TimesNewRoman"/>
          <w:sz w:val="24"/>
          <w:szCs w:val="24"/>
          <w:lang w:eastAsia="en-GB"/>
        </w:rPr>
        <w:t>Pugh</w:t>
      </w:r>
      <w:proofErr w:type="spellEnd"/>
      <w:r w:rsidRPr="00811F65">
        <w:rPr>
          <w:rFonts w:eastAsia="TimesNewRoman"/>
          <w:sz w:val="24"/>
          <w:szCs w:val="24"/>
          <w:lang w:eastAsia="en-GB"/>
        </w:rPr>
        <w:t xml:space="preserve"> klasse B) (f.eks. fra startdosis på 5 mg 2 gange dagligt til 2 mg </w:t>
      </w:r>
      <w:r w:rsidRPr="00811F65">
        <w:rPr>
          <w:rFonts w:eastAsia="TimesNewRoman"/>
          <w:sz w:val="24"/>
          <w:szCs w:val="24"/>
          <w:lang w:eastAsia="en-GB"/>
        </w:rPr>
        <w:lastRenderedPageBreak/>
        <w:t xml:space="preserve">2 gange dagligt).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er ikke undersøgt hos patienter med svært nedsat leverfunktion (Child-</w:t>
      </w:r>
      <w:proofErr w:type="spellStart"/>
      <w:r w:rsidRPr="00811F65">
        <w:rPr>
          <w:rFonts w:eastAsia="TimesNewRoman"/>
          <w:sz w:val="24"/>
          <w:szCs w:val="24"/>
          <w:lang w:eastAsia="en-GB"/>
        </w:rPr>
        <w:t>Pugh</w:t>
      </w:r>
      <w:proofErr w:type="spellEnd"/>
      <w:r w:rsidRPr="00811F65">
        <w:rPr>
          <w:rFonts w:eastAsia="TimesNewRoman"/>
          <w:sz w:val="24"/>
          <w:szCs w:val="24"/>
          <w:lang w:eastAsia="en-GB"/>
        </w:rPr>
        <w:t xml:space="preserve"> klasse C) og bør ikke anvendes til denne gruppe patienter (se pkt. 4.4 og 5.2).</w:t>
      </w:r>
    </w:p>
    <w:p w14:paraId="2C1688F2" w14:textId="77777777" w:rsidR="00355DFD" w:rsidRPr="00811F65" w:rsidRDefault="00355DFD" w:rsidP="00355DFD">
      <w:pPr>
        <w:autoSpaceDE w:val="0"/>
        <w:autoSpaceDN w:val="0"/>
        <w:adjustRightInd w:val="0"/>
        <w:ind w:left="851"/>
        <w:rPr>
          <w:rFonts w:eastAsia="TimesNewRoman"/>
          <w:sz w:val="24"/>
          <w:szCs w:val="24"/>
          <w:lang w:eastAsia="en-GB"/>
        </w:rPr>
      </w:pPr>
    </w:p>
    <w:p w14:paraId="77908659" w14:textId="77777777" w:rsidR="00355DFD" w:rsidRPr="00811F65" w:rsidRDefault="00355DFD" w:rsidP="00355DFD">
      <w:pPr>
        <w:autoSpaceDE w:val="0"/>
        <w:autoSpaceDN w:val="0"/>
        <w:adjustRightInd w:val="0"/>
        <w:ind w:left="851"/>
        <w:rPr>
          <w:i/>
          <w:iCs/>
          <w:sz w:val="24"/>
          <w:szCs w:val="24"/>
          <w:lang w:eastAsia="en-GB"/>
        </w:rPr>
      </w:pPr>
      <w:r w:rsidRPr="00811F65">
        <w:rPr>
          <w:i/>
          <w:iCs/>
          <w:sz w:val="24"/>
          <w:szCs w:val="24"/>
          <w:lang w:eastAsia="en-GB"/>
        </w:rPr>
        <w:t>Pædiatrisk population</w:t>
      </w:r>
    </w:p>
    <w:p w14:paraId="7E7F0DBF" w14:textId="24C0621F"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Sikkerhed og virkning af </w:t>
      </w:r>
      <w:proofErr w:type="spellStart"/>
      <w:r w:rsidR="00E84059">
        <w:rPr>
          <w:rFonts w:eastAsia="TimesNewRoman"/>
          <w:sz w:val="24"/>
          <w:szCs w:val="24"/>
          <w:lang w:eastAsia="en-GB"/>
        </w:rPr>
        <w:t>Axitinib</w:t>
      </w:r>
      <w:proofErr w:type="spellEnd"/>
      <w:r w:rsidR="00E84059">
        <w:rPr>
          <w:rFonts w:eastAsia="TimesNewRoman"/>
          <w:sz w:val="24"/>
          <w:szCs w:val="24"/>
          <w:lang w:eastAsia="en-GB"/>
        </w:rPr>
        <w:t xml:space="preserve"> "</w:t>
      </w:r>
      <w:proofErr w:type="spellStart"/>
      <w:r w:rsidR="00E84059">
        <w:rPr>
          <w:rFonts w:eastAsia="TimesNewRoman"/>
          <w:sz w:val="24"/>
          <w:szCs w:val="24"/>
          <w:lang w:eastAsia="en-GB"/>
        </w:rPr>
        <w:t>Stada</w:t>
      </w:r>
      <w:proofErr w:type="spellEnd"/>
      <w:r w:rsidR="00E84059">
        <w:rPr>
          <w:rFonts w:eastAsia="TimesNewRoman"/>
          <w:sz w:val="24"/>
          <w:szCs w:val="24"/>
          <w:lang w:eastAsia="en-GB"/>
        </w:rPr>
        <w:t>"</w:t>
      </w:r>
      <w:r w:rsidRPr="00811F65">
        <w:rPr>
          <w:rFonts w:eastAsia="TimesNewRoman"/>
          <w:sz w:val="24"/>
          <w:szCs w:val="24"/>
          <w:lang w:eastAsia="en-GB"/>
        </w:rPr>
        <w:t xml:space="preserve"> er ikke undersøgt hos børn og unge under 18 år. Der foreligger ingen data.</w:t>
      </w:r>
    </w:p>
    <w:p w14:paraId="6B3F5DAF" w14:textId="77777777" w:rsidR="00355DFD" w:rsidRPr="00811F65" w:rsidRDefault="00355DFD" w:rsidP="00355DFD">
      <w:pPr>
        <w:autoSpaceDE w:val="0"/>
        <w:autoSpaceDN w:val="0"/>
        <w:adjustRightInd w:val="0"/>
        <w:ind w:left="851"/>
        <w:rPr>
          <w:rFonts w:eastAsia="TimesNewRoman"/>
          <w:sz w:val="24"/>
          <w:szCs w:val="24"/>
          <w:lang w:eastAsia="en-GB"/>
        </w:rPr>
      </w:pPr>
    </w:p>
    <w:p w14:paraId="78F9E1CE" w14:textId="77777777" w:rsidR="00355DFD" w:rsidRPr="00811F65" w:rsidRDefault="00355DFD" w:rsidP="00355DFD">
      <w:pPr>
        <w:autoSpaceDE w:val="0"/>
        <w:autoSpaceDN w:val="0"/>
        <w:adjustRightInd w:val="0"/>
        <w:ind w:left="851"/>
        <w:rPr>
          <w:rFonts w:eastAsia="TimesNewRoman"/>
          <w:sz w:val="24"/>
          <w:szCs w:val="24"/>
          <w:u w:val="single"/>
          <w:lang w:eastAsia="en-GB"/>
        </w:rPr>
      </w:pPr>
      <w:r w:rsidRPr="00811F65">
        <w:rPr>
          <w:rFonts w:eastAsia="TimesNewRoman"/>
          <w:sz w:val="24"/>
          <w:szCs w:val="24"/>
          <w:u w:val="single"/>
          <w:lang w:eastAsia="en-GB"/>
        </w:rPr>
        <w:t>Administration</w:t>
      </w:r>
    </w:p>
    <w:p w14:paraId="255896F2" w14:textId="77777777" w:rsidR="00355DFD" w:rsidRPr="00811F65" w:rsidRDefault="00355DFD" w:rsidP="00355DFD">
      <w:pPr>
        <w:autoSpaceDE w:val="0"/>
        <w:autoSpaceDN w:val="0"/>
        <w:adjustRightInd w:val="0"/>
        <w:ind w:left="851"/>
        <w:rPr>
          <w:rFonts w:eastAsia="TimesNewRoman"/>
          <w:sz w:val="24"/>
          <w:szCs w:val="24"/>
          <w:u w:val="single"/>
          <w:lang w:eastAsia="en-GB"/>
        </w:rPr>
      </w:pPr>
    </w:p>
    <w:p w14:paraId="52A3862C" w14:textId="77777777" w:rsidR="00355DFD" w:rsidRPr="00811F65" w:rsidRDefault="00355DFD" w:rsidP="00355DFD">
      <w:pPr>
        <w:autoSpaceDE w:val="0"/>
        <w:autoSpaceDN w:val="0"/>
        <w:adjustRightInd w:val="0"/>
        <w:ind w:left="851"/>
        <w:rPr>
          <w:rFonts w:eastAsia="TimesNewRoman"/>
          <w:sz w:val="24"/>
          <w:szCs w:val="24"/>
          <w:lang w:eastAsia="en-GB"/>
        </w:rPr>
      </w:pP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skal indtages oralt. Tabletten skal tages 2 gange dagligt med ca. 12 timers mellemrum. Tabletterne kan tages med eller uden mad (se pkt. 5.2). De skal synkes hele med et glas vand.</w:t>
      </w:r>
    </w:p>
    <w:p w14:paraId="3B8ED25F" w14:textId="77777777" w:rsidR="009260DE" w:rsidRPr="00811F65" w:rsidRDefault="009260DE" w:rsidP="009260DE">
      <w:pPr>
        <w:tabs>
          <w:tab w:val="left" w:pos="851"/>
        </w:tabs>
        <w:ind w:left="851"/>
        <w:rPr>
          <w:sz w:val="24"/>
          <w:szCs w:val="24"/>
        </w:rPr>
      </w:pPr>
    </w:p>
    <w:p w14:paraId="71296BAA" w14:textId="77777777" w:rsidR="009260DE" w:rsidRPr="00811F65" w:rsidRDefault="009260DE" w:rsidP="009260DE">
      <w:pPr>
        <w:tabs>
          <w:tab w:val="left" w:pos="851"/>
        </w:tabs>
        <w:ind w:left="851" w:hanging="851"/>
        <w:rPr>
          <w:b/>
          <w:sz w:val="24"/>
          <w:szCs w:val="24"/>
        </w:rPr>
      </w:pPr>
      <w:r w:rsidRPr="00811F65">
        <w:rPr>
          <w:b/>
          <w:sz w:val="24"/>
          <w:szCs w:val="24"/>
        </w:rPr>
        <w:t>4.3</w:t>
      </w:r>
      <w:r w:rsidRPr="00811F65">
        <w:rPr>
          <w:b/>
          <w:sz w:val="24"/>
          <w:szCs w:val="24"/>
        </w:rPr>
        <w:tab/>
        <w:t>Kontraindikationer</w:t>
      </w:r>
    </w:p>
    <w:p w14:paraId="12431B0D" w14:textId="77777777" w:rsidR="00355DFD" w:rsidRPr="00811F65" w:rsidRDefault="00355DFD" w:rsidP="00355DFD">
      <w:pPr>
        <w:ind w:left="851"/>
        <w:rPr>
          <w:rFonts w:eastAsia="TimesNewRoman"/>
          <w:sz w:val="24"/>
          <w:szCs w:val="24"/>
          <w:lang w:eastAsia="en-GB"/>
        </w:rPr>
      </w:pPr>
      <w:r w:rsidRPr="00811F65">
        <w:rPr>
          <w:rFonts w:eastAsia="TimesNewRoman"/>
          <w:sz w:val="24"/>
          <w:szCs w:val="24"/>
          <w:lang w:eastAsia="en-GB"/>
        </w:rPr>
        <w:t xml:space="preserve">Overfølsomhed over for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eller over for et eller flere af hjælpestofferne anført i pkt. 6.1.</w:t>
      </w:r>
    </w:p>
    <w:p w14:paraId="6C221B1A" w14:textId="77777777" w:rsidR="009260DE" w:rsidRPr="00811F65" w:rsidRDefault="009260DE" w:rsidP="009260DE">
      <w:pPr>
        <w:tabs>
          <w:tab w:val="left" w:pos="851"/>
        </w:tabs>
        <w:ind w:left="851"/>
        <w:rPr>
          <w:sz w:val="24"/>
          <w:szCs w:val="24"/>
        </w:rPr>
      </w:pPr>
    </w:p>
    <w:p w14:paraId="73769BD8" w14:textId="77777777" w:rsidR="009260DE" w:rsidRPr="00811F65" w:rsidRDefault="009260DE" w:rsidP="009260DE">
      <w:pPr>
        <w:tabs>
          <w:tab w:val="left" w:pos="851"/>
        </w:tabs>
        <w:ind w:left="851" w:hanging="851"/>
        <w:rPr>
          <w:b/>
          <w:sz w:val="24"/>
          <w:szCs w:val="24"/>
        </w:rPr>
      </w:pPr>
      <w:r w:rsidRPr="00811F65">
        <w:rPr>
          <w:b/>
          <w:sz w:val="24"/>
          <w:szCs w:val="24"/>
        </w:rPr>
        <w:t>4.4</w:t>
      </w:r>
      <w:r w:rsidRPr="00811F65">
        <w:rPr>
          <w:b/>
          <w:sz w:val="24"/>
          <w:szCs w:val="24"/>
        </w:rPr>
        <w:tab/>
        <w:t>Særlige advarsler og forsigtighedsregler vedrørende brugen</w:t>
      </w:r>
    </w:p>
    <w:p w14:paraId="51D18959" w14:textId="77777777" w:rsidR="00355DFD" w:rsidRPr="00811F65" w:rsidRDefault="00355DFD" w:rsidP="00355DFD">
      <w:pPr>
        <w:suppressAutoHyphens/>
        <w:ind w:left="851"/>
        <w:rPr>
          <w:sz w:val="24"/>
          <w:szCs w:val="24"/>
          <w:lang w:eastAsia="fr-LU"/>
        </w:rPr>
      </w:pPr>
      <w:r w:rsidRPr="00811F65">
        <w:rPr>
          <w:sz w:val="24"/>
          <w:szCs w:val="24"/>
        </w:rPr>
        <w:t xml:space="preserve">Der bør overvåges for specifikke sikkerhedshændelser før påbegyndelse af og periodisk under behandling med </w:t>
      </w:r>
      <w:proofErr w:type="spellStart"/>
      <w:r w:rsidRPr="00811F65">
        <w:rPr>
          <w:sz w:val="24"/>
          <w:szCs w:val="24"/>
        </w:rPr>
        <w:t>axitinib</w:t>
      </w:r>
      <w:proofErr w:type="spellEnd"/>
      <w:r w:rsidRPr="00811F65">
        <w:rPr>
          <w:sz w:val="24"/>
          <w:szCs w:val="24"/>
        </w:rPr>
        <w:t xml:space="preserve"> som beskrevet nedenfor.</w:t>
      </w:r>
    </w:p>
    <w:p w14:paraId="6E8EFC96" w14:textId="77777777" w:rsidR="00355DFD" w:rsidRPr="00811F65" w:rsidRDefault="00355DFD" w:rsidP="00355DFD">
      <w:pPr>
        <w:suppressAutoHyphens/>
        <w:ind w:left="851"/>
        <w:rPr>
          <w:sz w:val="24"/>
          <w:szCs w:val="24"/>
        </w:rPr>
      </w:pPr>
    </w:p>
    <w:p w14:paraId="7E7CFDD9" w14:textId="77777777" w:rsidR="00355DFD" w:rsidRPr="00811F65" w:rsidRDefault="00355DFD" w:rsidP="00355DFD">
      <w:pPr>
        <w:autoSpaceDE w:val="0"/>
        <w:autoSpaceDN w:val="0"/>
        <w:adjustRightInd w:val="0"/>
        <w:ind w:left="851"/>
        <w:rPr>
          <w:rFonts w:eastAsia="TimesNewRoman"/>
          <w:sz w:val="24"/>
          <w:szCs w:val="24"/>
          <w:u w:val="single"/>
          <w:lang w:eastAsia="en-GB"/>
        </w:rPr>
      </w:pPr>
      <w:r w:rsidRPr="00811F65">
        <w:rPr>
          <w:rFonts w:eastAsia="TimesNewRoman"/>
          <w:sz w:val="24"/>
          <w:szCs w:val="24"/>
          <w:u w:val="single"/>
          <w:lang w:eastAsia="en-GB"/>
        </w:rPr>
        <w:t>Hjertesvigt</w:t>
      </w:r>
    </w:p>
    <w:p w14:paraId="1C237BAC" w14:textId="77777777"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I kliniske studier med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til behandling af patienter med RCC blev der rapporteret hændelser med hjertesvigt (herunder hjertesvigt, </w:t>
      </w:r>
      <w:proofErr w:type="spellStart"/>
      <w:r w:rsidRPr="00811F65">
        <w:rPr>
          <w:rFonts w:eastAsia="TimesNewRoman"/>
          <w:sz w:val="24"/>
          <w:szCs w:val="24"/>
          <w:lang w:eastAsia="en-GB"/>
        </w:rPr>
        <w:t>kongestivt</w:t>
      </w:r>
      <w:proofErr w:type="spellEnd"/>
      <w:r w:rsidRPr="00811F65">
        <w:rPr>
          <w:rFonts w:eastAsia="TimesNewRoman"/>
          <w:sz w:val="24"/>
          <w:szCs w:val="24"/>
          <w:lang w:eastAsia="en-GB"/>
        </w:rPr>
        <w:t xml:space="preserve"> hjertesvigt, </w:t>
      </w:r>
      <w:proofErr w:type="spellStart"/>
      <w:r w:rsidRPr="00811F65">
        <w:rPr>
          <w:rFonts w:eastAsia="TimesNewRoman"/>
          <w:sz w:val="24"/>
          <w:szCs w:val="24"/>
          <w:lang w:eastAsia="en-GB"/>
        </w:rPr>
        <w:t>kardiopulmonalt</w:t>
      </w:r>
      <w:proofErr w:type="spellEnd"/>
      <w:r w:rsidRPr="00811F65">
        <w:rPr>
          <w:rFonts w:eastAsia="TimesNewRoman"/>
          <w:sz w:val="24"/>
          <w:szCs w:val="24"/>
          <w:lang w:eastAsia="en-GB"/>
        </w:rPr>
        <w:t xml:space="preserve"> svigt, venstre ventrikeldysfunktion, nedsat uddrivningsfraktion og højre ventrikelsvigt) (se pkt. 4.8).</w:t>
      </w:r>
    </w:p>
    <w:p w14:paraId="184C497B" w14:textId="77777777" w:rsidR="00355DFD" w:rsidRPr="00811F65" w:rsidRDefault="00355DFD" w:rsidP="00355DFD">
      <w:pPr>
        <w:autoSpaceDE w:val="0"/>
        <w:autoSpaceDN w:val="0"/>
        <w:adjustRightInd w:val="0"/>
        <w:ind w:left="851"/>
        <w:rPr>
          <w:rFonts w:eastAsia="TimesNewRoman"/>
          <w:sz w:val="24"/>
          <w:szCs w:val="24"/>
          <w:lang w:eastAsia="en-GB"/>
        </w:rPr>
      </w:pPr>
    </w:p>
    <w:p w14:paraId="41ABBEE9" w14:textId="77777777"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Under hele behandlingen med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skal der periodisk monitoreres for symptomer på hjertesvigt.</w:t>
      </w:r>
    </w:p>
    <w:p w14:paraId="31CC3068" w14:textId="291A2E7E"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Håndtering af hjertesvigt kan kræve midlertidig eller permanent afbrydelse af behandlingen og/eller</w:t>
      </w:r>
      <w:r w:rsidR="00811F65">
        <w:rPr>
          <w:rFonts w:eastAsia="TimesNewRoman"/>
          <w:sz w:val="24"/>
          <w:szCs w:val="24"/>
          <w:lang w:eastAsia="en-GB"/>
        </w:rPr>
        <w:t xml:space="preserve"> </w:t>
      </w:r>
      <w:r w:rsidRPr="00811F65">
        <w:rPr>
          <w:rFonts w:eastAsia="TimesNewRoman"/>
          <w:sz w:val="24"/>
          <w:szCs w:val="24"/>
          <w:lang w:eastAsia="en-GB"/>
        </w:rPr>
        <w:t xml:space="preserve">dosisnedsættelse af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w:t>
      </w:r>
    </w:p>
    <w:p w14:paraId="0169D7D5" w14:textId="77777777" w:rsidR="00355DFD" w:rsidRPr="00811F65" w:rsidRDefault="00355DFD" w:rsidP="00355DFD">
      <w:pPr>
        <w:autoSpaceDE w:val="0"/>
        <w:autoSpaceDN w:val="0"/>
        <w:adjustRightInd w:val="0"/>
        <w:ind w:left="851"/>
        <w:rPr>
          <w:rFonts w:eastAsia="TimesNewRoman"/>
          <w:sz w:val="24"/>
          <w:szCs w:val="24"/>
          <w:lang w:eastAsia="en-GB"/>
        </w:rPr>
      </w:pPr>
    </w:p>
    <w:p w14:paraId="5489B5E2" w14:textId="77777777" w:rsidR="00355DFD" w:rsidRPr="00811F65" w:rsidRDefault="00355DFD" w:rsidP="00355DFD">
      <w:pPr>
        <w:autoSpaceDE w:val="0"/>
        <w:autoSpaceDN w:val="0"/>
        <w:adjustRightInd w:val="0"/>
        <w:ind w:left="851"/>
        <w:rPr>
          <w:rFonts w:eastAsia="TimesNewRoman"/>
          <w:sz w:val="24"/>
          <w:szCs w:val="24"/>
          <w:u w:val="single"/>
          <w:lang w:eastAsia="en-GB"/>
        </w:rPr>
      </w:pPr>
      <w:r w:rsidRPr="00811F65">
        <w:rPr>
          <w:rFonts w:eastAsia="TimesNewRoman"/>
          <w:sz w:val="24"/>
          <w:szCs w:val="24"/>
          <w:u w:val="single"/>
          <w:lang w:eastAsia="en-GB"/>
        </w:rPr>
        <w:t>Hypertension</w:t>
      </w:r>
    </w:p>
    <w:p w14:paraId="42137F16" w14:textId="77777777"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I kliniske studier med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til behandling af patienter med RCC, blev hypertension meget hyppigt rapporteret (se pkt. 4.8). </w:t>
      </w:r>
    </w:p>
    <w:p w14:paraId="00FF4816" w14:textId="77777777" w:rsidR="00355DFD" w:rsidRPr="00811F65" w:rsidRDefault="00355DFD" w:rsidP="00355DFD">
      <w:pPr>
        <w:autoSpaceDE w:val="0"/>
        <w:autoSpaceDN w:val="0"/>
        <w:adjustRightInd w:val="0"/>
        <w:ind w:left="851"/>
        <w:rPr>
          <w:rFonts w:eastAsia="TimesNewRoman"/>
          <w:sz w:val="24"/>
          <w:szCs w:val="24"/>
          <w:lang w:eastAsia="en-GB"/>
        </w:rPr>
      </w:pPr>
    </w:p>
    <w:p w14:paraId="5C7D2658" w14:textId="77777777"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I et kontrolleret klinisk studie lå den </w:t>
      </w:r>
      <w:proofErr w:type="spellStart"/>
      <w:r w:rsidRPr="00811F65">
        <w:rPr>
          <w:rFonts w:eastAsia="TimesNewRoman"/>
          <w:sz w:val="24"/>
          <w:szCs w:val="24"/>
          <w:lang w:eastAsia="en-GB"/>
        </w:rPr>
        <w:t>mediane</w:t>
      </w:r>
      <w:proofErr w:type="spellEnd"/>
      <w:r w:rsidRPr="00811F65">
        <w:rPr>
          <w:rFonts w:eastAsia="TimesNewRoman"/>
          <w:sz w:val="24"/>
          <w:szCs w:val="24"/>
          <w:lang w:eastAsia="en-GB"/>
        </w:rPr>
        <w:t xml:space="preserve"> tid til udvikling af hypertension (systolisk blodtryk &gt;150 </w:t>
      </w:r>
      <w:proofErr w:type="spellStart"/>
      <w:r w:rsidRPr="00811F65">
        <w:rPr>
          <w:rFonts w:eastAsia="TimesNewRoman"/>
          <w:sz w:val="24"/>
          <w:szCs w:val="24"/>
          <w:lang w:eastAsia="en-GB"/>
        </w:rPr>
        <w:t>mmHg</w:t>
      </w:r>
      <w:proofErr w:type="spellEnd"/>
      <w:r w:rsidRPr="00811F65">
        <w:rPr>
          <w:rFonts w:eastAsia="TimesNewRoman"/>
          <w:sz w:val="24"/>
          <w:szCs w:val="24"/>
          <w:lang w:eastAsia="en-GB"/>
        </w:rPr>
        <w:t xml:space="preserve"> eller diasystolisk blodtryk &gt;100 </w:t>
      </w:r>
      <w:proofErr w:type="spellStart"/>
      <w:r w:rsidRPr="00811F65">
        <w:rPr>
          <w:rFonts w:eastAsia="TimesNewRoman"/>
          <w:sz w:val="24"/>
          <w:szCs w:val="24"/>
          <w:lang w:eastAsia="en-GB"/>
        </w:rPr>
        <w:t>mmHg</w:t>
      </w:r>
      <w:proofErr w:type="spellEnd"/>
      <w:r w:rsidRPr="00811F65">
        <w:rPr>
          <w:rFonts w:eastAsia="TimesNewRoman"/>
          <w:sz w:val="24"/>
          <w:szCs w:val="24"/>
          <w:lang w:eastAsia="en-GB"/>
        </w:rPr>
        <w:t xml:space="preserve">) inden for de første måneder efter behandlingsstart med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og der er set blodtryksstigninger så tidligt som 4 dage efter behandlingsstart.</w:t>
      </w:r>
    </w:p>
    <w:p w14:paraId="4834DA35" w14:textId="77777777" w:rsidR="00355DFD" w:rsidRPr="00811F65" w:rsidRDefault="00355DFD" w:rsidP="00355DFD">
      <w:pPr>
        <w:autoSpaceDE w:val="0"/>
        <w:autoSpaceDN w:val="0"/>
        <w:adjustRightInd w:val="0"/>
        <w:ind w:left="851"/>
        <w:rPr>
          <w:rFonts w:eastAsia="TimesNewRoman"/>
          <w:sz w:val="24"/>
          <w:szCs w:val="24"/>
          <w:lang w:eastAsia="en-GB"/>
        </w:rPr>
      </w:pPr>
    </w:p>
    <w:p w14:paraId="6D0B7A67" w14:textId="7973ACD8"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Blodtrykket skal være velkontrolleret, inden behandlingen med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initieres. Patienternes blodtryk</w:t>
      </w:r>
      <w:r w:rsidR="00811F65">
        <w:rPr>
          <w:rFonts w:eastAsia="TimesNewRoman"/>
          <w:sz w:val="24"/>
          <w:szCs w:val="24"/>
          <w:lang w:eastAsia="en-GB"/>
        </w:rPr>
        <w:t xml:space="preserve"> </w:t>
      </w:r>
      <w:r w:rsidRPr="00811F65">
        <w:rPr>
          <w:rFonts w:eastAsia="TimesNewRoman"/>
          <w:sz w:val="24"/>
          <w:szCs w:val="24"/>
          <w:lang w:eastAsia="en-GB"/>
        </w:rPr>
        <w:t xml:space="preserve">skal kontrolleres og om nødvendigt behandles med standard </w:t>
      </w:r>
      <w:proofErr w:type="spellStart"/>
      <w:r w:rsidRPr="00811F65">
        <w:rPr>
          <w:rFonts w:eastAsia="TimesNewRoman"/>
          <w:sz w:val="24"/>
          <w:szCs w:val="24"/>
          <w:lang w:eastAsia="en-GB"/>
        </w:rPr>
        <w:t>antihypertensiv</w:t>
      </w:r>
      <w:proofErr w:type="spellEnd"/>
      <w:r w:rsidRPr="00811F65">
        <w:rPr>
          <w:rFonts w:eastAsia="TimesNewRoman"/>
          <w:sz w:val="24"/>
          <w:szCs w:val="24"/>
          <w:lang w:eastAsia="en-GB"/>
        </w:rPr>
        <w:t xml:space="preserve"> behandling. Ved</w:t>
      </w:r>
      <w:r w:rsidR="00811F65">
        <w:rPr>
          <w:rFonts w:eastAsia="TimesNewRoman"/>
          <w:sz w:val="24"/>
          <w:szCs w:val="24"/>
          <w:lang w:eastAsia="en-GB"/>
        </w:rPr>
        <w:t xml:space="preserve"> </w:t>
      </w:r>
      <w:r w:rsidRPr="00811F65">
        <w:rPr>
          <w:rFonts w:eastAsia="TimesNewRoman"/>
          <w:sz w:val="24"/>
          <w:szCs w:val="24"/>
          <w:lang w:eastAsia="en-GB"/>
        </w:rPr>
        <w:t xml:space="preserve">persisterende hypertension, på trods af </w:t>
      </w:r>
      <w:proofErr w:type="spellStart"/>
      <w:r w:rsidRPr="00811F65">
        <w:rPr>
          <w:rFonts w:eastAsia="TimesNewRoman"/>
          <w:sz w:val="24"/>
          <w:szCs w:val="24"/>
          <w:lang w:eastAsia="en-GB"/>
        </w:rPr>
        <w:t>antihypertensiv</w:t>
      </w:r>
      <w:proofErr w:type="spellEnd"/>
      <w:r w:rsidRPr="00811F65">
        <w:rPr>
          <w:rFonts w:eastAsia="TimesNewRoman"/>
          <w:sz w:val="24"/>
          <w:szCs w:val="24"/>
          <w:lang w:eastAsia="en-GB"/>
        </w:rPr>
        <w:t xml:space="preserve"> behandling, bør dosis af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reduceres.</w:t>
      </w:r>
    </w:p>
    <w:p w14:paraId="14BE176E" w14:textId="6BA2889C"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Hos patienter, som udvikler alvorlig hypertension, bør behandlingen med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afbrydes</w:t>
      </w:r>
      <w:r w:rsidR="00811F65">
        <w:rPr>
          <w:rFonts w:eastAsia="TimesNewRoman"/>
          <w:sz w:val="24"/>
          <w:szCs w:val="24"/>
          <w:lang w:eastAsia="en-GB"/>
        </w:rPr>
        <w:t xml:space="preserve"> </w:t>
      </w:r>
      <w:r w:rsidRPr="00811F65">
        <w:rPr>
          <w:rFonts w:eastAsia="TimesNewRoman"/>
          <w:sz w:val="24"/>
          <w:szCs w:val="24"/>
          <w:lang w:eastAsia="en-GB"/>
        </w:rPr>
        <w:t xml:space="preserve">midlertidigt og genstartes ved en lavere dosis, når patienten er </w:t>
      </w:r>
      <w:proofErr w:type="spellStart"/>
      <w:r w:rsidRPr="00811F65">
        <w:rPr>
          <w:rFonts w:eastAsia="TimesNewRoman"/>
          <w:sz w:val="24"/>
          <w:szCs w:val="24"/>
          <w:lang w:eastAsia="en-GB"/>
        </w:rPr>
        <w:t>normotensiv</w:t>
      </w:r>
      <w:proofErr w:type="spellEnd"/>
      <w:r w:rsidRPr="00811F65">
        <w:rPr>
          <w:rFonts w:eastAsia="TimesNewRoman"/>
          <w:sz w:val="24"/>
          <w:szCs w:val="24"/>
          <w:lang w:eastAsia="en-GB"/>
        </w:rPr>
        <w:t>. Hvis behandlingen med</w:t>
      </w:r>
      <w:r w:rsidR="00811F65">
        <w:rPr>
          <w:rFonts w:eastAsia="TimesNewRoman"/>
          <w:sz w:val="24"/>
          <w:szCs w:val="24"/>
          <w:lang w:eastAsia="en-GB"/>
        </w:rPr>
        <w:t xml:space="preserve">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afbrydes, bør blodtrykket kontrolleres med henblik på hypotension hos patienter i</w:t>
      </w:r>
      <w:r w:rsidR="00811F65">
        <w:rPr>
          <w:rFonts w:eastAsia="TimesNewRoman"/>
          <w:sz w:val="24"/>
          <w:szCs w:val="24"/>
          <w:lang w:eastAsia="en-GB"/>
        </w:rPr>
        <w:t xml:space="preserve"> </w:t>
      </w:r>
      <w:proofErr w:type="spellStart"/>
      <w:r w:rsidRPr="00811F65">
        <w:rPr>
          <w:rFonts w:eastAsia="TimesNewRoman"/>
          <w:sz w:val="24"/>
          <w:szCs w:val="24"/>
          <w:lang w:eastAsia="en-GB"/>
        </w:rPr>
        <w:t>antihypertensiv</w:t>
      </w:r>
      <w:proofErr w:type="spellEnd"/>
      <w:r w:rsidRPr="00811F65">
        <w:rPr>
          <w:rFonts w:eastAsia="TimesNewRoman"/>
          <w:sz w:val="24"/>
          <w:szCs w:val="24"/>
          <w:lang w:eastAsia="en-GB"/>
        </w:rPr>
        <w:t xml:space="preserve"> behandling (se pkt. 4.2).</w:t>
      </w:r>
    </w:p>
    <w:p w14:paraId="5B95A243" w14:textId="77777777" w:rsidR="00355DFD" w:rsidRPr="00811F65" w:rsidRDefault="00355DFD" w:rsidP="00355DFD">
      <w:pPr>
        <w:autoSpaceDE w:val="0"/>
        <w:autoSpaceDN w:val="0"/>
        <w:adjustRightInd w:val="0"/>
        <w:ind w:left="851"/>
        <w:rPr>
          <w:rFonts w:eastAsia="TimesNewRoman"/>
          <w:sz w:val="24"/>
          <w:szCs w:val="24"/>
          <w:lang w:eastAsia="en-GB"/>
        </w:rPr>
      </w:pPr>
    </w:p>
    <w:p w14:paraId="675C1044" w14:textId="2AC88515" w:rsidR="00355DFD" w:rsidRPr="00811F65" w:rsidRDefault="00355DFD" w:rsidP="00355DFD">
      <w:pPr>
        <w:autoSpaceDE w:val="0"/>
        <w:autoSpaceDN w:val="0"/>
        <w:adjustRightInd w:val="0"/>
        <w:ind w:left="851"/>
        <w:rPr>
          <w:sz w:val="24"/>
          <w:szCs w:val="24"/>
          <w:lang w:eastAsia="fr-LU"/>
        </w:rPr>
      </w:pPr>
      <w:r w:rsidRPr="00811F65">
        <w:rPr>
          <w:rFonts w:eastAsia="TimesNewRoman"/>
          <w:sz w:val="24"/>
          <w:szCs w:val="24"/>
          <w:lang w:eastAsia="en-GB"/>
        </w:rPr>
        <w:lastRenderedPageBreak/>
        <w:t xml:space="preserve">I tilfælde af alvorlig eller vedvarende arteriel hypertension og symptomer på </w:t>
      </w:r>
      <w:proofErr w:type="spellStart"/>
      <w:r w:rsidRPr="00811F65">
        <w:rPr>
          <w:rFonts w:eastAsia="TimesNewRoman"/>
          <w:sz w:val="24"/>
          <w:szCs w:val="24"/>
          <w:lang w:eastAsia="en-GB"/>
        </w:rPr>
        <w:t>posteriort</w:t>
      </w:r>
      <w:proofErr w:type="spellEnd"/>
      <w:r w:rsidRPr="00811F65">
        <w:rPr>
          <w:rFonts w:eastAsia="TimesNewRoman"/>
          <w:sz w:val="24"/>
          <w:szCs w:val="24"/>
          <w:lang w:eastAsia="en-GB"/>
        </w:rPr>
        <w:t xml:space="preserve"> reversibelt</w:t>
      </w:r>
      <w:r w:rsidR="00811F65">
        <w:rPr>
          <w:rFonts w:eastAsia="TimesNewRoman"/>
          <w:sz w:val="24"/>
          <w:szCs w:val="24"/>
          <w:lang w:eastAsia="en-GB"/>
        </w:rPr>
        <w:t xml:space="preserve"> </w:t>
      </w:r>
      <w:r w:rsidRPr="00811F65">
        <w:rPr>
          <w:rFonts w:eastAsia="TimesNewRoman"/>
          <w:sz w:val="24"/>
          <w:szCs w:val="24"/>
          <w:lang w:eastAsia="en-GB"/>
        </w:rPr>
        <w:t>encefalopati-syndrom (PRES) (se nedenfor), bør det overvejes, om der skal foretages en diagnostisk</w:t>
      </w:r>
      <w:r w:rsidR="00811F65">
        <w:rPr>
          <w:rFonts w:eastAsia="TimesNewRoman"/>
          <w:sz w:val="24"/>
          <w:szCs w:val="24"/>
          <w:lang w:eastAsia="en-GB"/>
        </w:rPr>
        <w:t xml:space="preserve"> </w:t>
      </w:r>
      <w:r w:rsidRPr="00811F65">
        <w:rPr>
          <w:rFonts w:eastAsia="TimesNewRoman"/>
          <w:sz w:val="24"/>
          <w:szCs w:val="24"/>
          <w:lang w:eastAsia="en-GB"/>
        </w:rPr>
        <w:t>magnetisk resonans (MR) scanning af hjernen.</w:t>
      </w:r>
    </w:p>
    <w:p w14:paraId="51E8EB7A" w14:textId="77777777" w:rsidR="00355DFD" w:rsidRPr="00811F65" w:rsidRDefault="00355DFD" w:rsidP="00355DFD">
      <w:pPr>
        <w:suppressAutoHyphens/>
        <w:ind w:left="851"/>
        <w:rPr>
          <w:sz w:val="24"/>
          <w:szCs w:val="24"/>
        </w:rPr>
      </w:pPr>
    </w:p>
    <w:p w14:paraId="6F9E7AF0" w14:textId="77777777" w:rsidR="00355DFD" w:rsidRPr="00811F65" w:rsidRDefault="00355DFD" w:rsidP="00355DFD">
      <w:pPr>
        <w:autoSpaceDE w:val="0"/>
        <w:autoSpaceDN w:val="0"/>
        <w:adjustRightInd w:val="0"/>
        <w:ind w:left="851"/>
        <w:rPr>
          <w:rFonts w:eastAsia="TimesNewRoman"/>
          <w:sz w:val="24"/>
          <w:szCs w:val="24"/>
          <w:u w:val="single"/>
          <w:lang w:eastAsia="en-GB"/>
        </w:rPr>
      </w:pPr>
      <w:proofErr w:type="spellStart"/>
      <w:r w:rsidRPr="00811F65">
        <w:rPr>
          <w:rFonts w:eastAsia="TimesNewRoman"/>
          <w:sz w:val="24"/>
          <w:szCs w:val="24"/>
          <w:u w:val="single"/>
          <w:lang w:eastAsia="en-GB"/>
        </w:rPr>
        <w:t>Thyroidea</w:t>
      </w:r>
      <w:proofErr w:type="spellEnd"/>
      <w:r w:rsidRPr="00811F65">
        <w:rPr>
          <w:rFonts w:eastAsia="TimesNewRoman"/>
          <w:sz w:val="24"/>
          <w:szCs w:val="24"/>
          <w:u w:val="single"/>
          <w:lang w:eastAsia="en-GB"/>
        </w:rPr>
        <w:t>-dysfunktion</w:t>
      </w:r>
    </w:p>
    <w:p w14:paraId="6865E637" w14:textId="2A89D2DD"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I kliniske studier med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til behandling af patienter med RCC, blev der set tilfælde af</w:t>
      </w:r>
      <w:r w:rsidR="00811F65">
        <w:rPr>
          <w:rFonts w:eastAsia="TimesNewRoman"/>
          <w:sz w:val="24"/>
          <w:szCs w:val="24"/>
          <w:lang w:eastAsia="en-GB"/>
        </w:rPr>
        <w:t xml:space="preserve"> </w:t>
      </w:r>
      <w:proofErr w:type="spellStart"/>
      <w:r w:rsidRPr="00811F65">
        <w:rPr>
          <w:rFonts w:eastAsia="TimesNewRoman"/>
          <w:sz w:val="24"/>
          <w:szCs w:val="24"/>
          <w:lang w:eastAsia="en-GB"/>
        </w:rPr>
        <w:t>hypotyreose</w:t>
      </w:r>
      <w:proofErr w:type="spellEnd"/>
      <w:r w:rsidRPr="00811F65">
        <w:rPr>
          <w:rFonts w:eastAsia="TimesNewRoman"/>
          <w:sz w:val="24"/>
          <w:szCs w:val="24"/>
          <w:lang w:eastAsia="en-GB"/>
        </w:rPr>
        <w:t xml:space="preserve">, og i mindre udstrækning </w:t>
      </w:r>
      <w:proofErr w:type="spellStart"/>
      <w:r w:rsidRPr="00811F65">
        <w:rPr>
          <w:rFonts w:eastAsia="TimesNewRoman"/>
          <w:sz w:val="24"/>
          <w:szCs w:val="24"/>
          <w:lang w:eastAsia="en-GB"/>
        </w:rPr>
        <w:t>hypertyreose</w:t>
      </w:r>
      <w:proofErr w:type="spellEnd"/>
      <w:r w:rsidRPr="00811F65">
        <w:rPr>
          <w:rFonts w:eastAsia="TimesNewRoman"/>
          <w:sz w:val="24"/>
          <w:szCs w:val="24"/>
          <w:lang w:eastAsia="en-GB"/>
        </w:rPr>
        <w:t xml:space="preserve"> (se pkt. 4.8).</w:t>
      </w:r>
    </w:p>
    <w:p w14:paraId="283DA872" w14:textId="77777777" w:rsidR="00355DFD" w:rsidRPr="00811F65" w:rsidRDefault="00355DFD" w:rsidP="00355DFD">
      <w:pPr>
        <w:autoSpaceDE w:val="0"/>
        <w:autoSpaceDN w:val="0"/>
        <w:adjustRightInd w:val="0"/>
        <w:ind w:left="851"/>
        <w:rPr>
          <w:rFonts w:eastAsia="TimesNewRoman"/>
          <w:sz w:val="24"/>
          <w:szCs w:val="24"/>
          <w:lang w:eastAsia="en-GB"/>
        </w:rPr>
      </w:pPr>
    </w:p>
    <w:p w14:paraId="40727FCC" w14:textId="3E46EEB9" w:rsidR="00355DFD" w:rsidRPr="00811F65" w:rsidRDefault="00355DFD" w:rsidP="00811F65">
      <w:pPr>
        <w:autoSpaceDE w:val="0"/>
        <w:autoSpaceDN w:val="0"/>
        <w:adjustRightInd w:val="0"/>
        <w:ind w:left="851"/>
        <w:rPr>
          <w:rFonts w:eastAsia="TimesNewRoman"/>
          <w:sz w:val="24"/>
          <w:szCs w:val="24"/>
          <w:lang w:eastAsia="en-GB"/>
        </w:rPr>
      </w:pPr>
      <w:proofErr w:type="spellStart"/>
      <w:r w:rsidRPr="00811F65">
        <w:rPr>
          <w:rFonts w:eastAsia="TimesNewRoman"/>
          <w:sz w:val="24"/>
          <w:szCs w:val="24"/>
          <w:lang w:eastAsia="en-GB"/>
        </w:rPr>
        <w:t>Thyroideafunktionen</w:t>
      </w:r>
      <w:proofErr w:type="spellEnd"/>
      <w:r w:rsidRPr="00811F65">
        <w:rPr>
          <w:rFonts w:eastAsia="TimesNewRoman"/>
          <w:sz w:val="24"/>
          <w:szCs w:val="24"/>
          <w:lang w:eastAsia="en-GB"/>
        </w:rPr>
        <w:t xml:space="preserve"> skal kontrolleres før initiering af behandlingen og periodisk under hele</w:t>
      </w:r>
      <w:r w:rsidR="00811F65">
        <w:rPr>
          <w:rFonts w:eastAsia="TimesNewRoman"/>
          <w:sz w:val="24"/>
          <w:szCs w:val="24"/>
          <w:lang w:eastAsia="en-GB"/>
        </w:rPr>
        <w:t xml:space="preserve"> </w:t>
      </w:r>
      <w:r w:rsidRPr="00811F65">
        <w:rPr>
          <w:rFonts w:eastAsia="TimesNewRoman"/>
          <w:sz w:val="24"/>
          <w:szCs w:val="24"/>
          <w:lang w:eastAsia="en-GB"/>
        </w:rPr>
        <w:t xml:space="preserve">behandlingen. </w:t>
      </w:r>
      <w:proofErr w:type="spellStart"/>
      <w:r w:rsidRPr="00811F65">
        <w:rPr>
          <w:rFonts w:eastAsia="TimesNewRoman"/>
          <w:sz w:val="24"/>
          <w:szCs w:val="24"/>
          <w:lang w:eastAsia="en-GB"/>
        </w:rPr>
        <w:t>Hypotyreose</w:t>
      </w:r>
      <w:proofErr w:type="spellEnd"/>
      <w:r w:rsidRPr="00811F65">
        <w:rPr>
          <w:rFonts w:eastAsia="TimesNewRoman"/>
          <w:sz w:val="24"/>
          <w:szCs w:val="24"/>
          <w:lang w:eastAsia="en-GB"/>
        </w:rPr>
        <w:t xml:space="preserve"> eller </w:t>
      </w:r>
      <w:proofErr w:type="spellStart"/>
      <w:r w:rsidRPr="00811F65">
        <w:rPr>
          <w:rFonts w:eastAsia="TimesNewRoman"/>
          <w:sz w:val="24"/>
          <w:szCs w:val="24"/>
          <w:lang w:eastAsia="en-GB"/>
        </w:rPr>
        <w:t>hypertyreose</w:t>
      </w:r>
      <w:proofErr w:type="spellEnd"/>
      <w:r w:rsidRPr="00811F65">
        <w:rPr>
          <w:rFonts w:eastAsia="TimesNewRoman"/>
          <w:sz w:val="24"/>
          <w:szCs w:val="24"/>
          <w:lang w:eastAsia="en-GB"/>
        </w:rPr>
        <w:t xml:space="preserve"> skal behandles efter gældende medicinsk praksis for at</w:t>
      </w:r>
      <w:r w:rsidR="00811F65">
        <w:rPr>
          <w:rFonts w:eastAsia="TimesNewRoman"/>
          <w:sz w:val="24"/>
          <w:szCs w:val="24"/>
          <w:lang w:eastAsia="en-GB"/>
        </w:rPr>
        <w:t xml:space="preserve"> </w:t>
      </w:r>
      <w:r w:rsidRPr="00811F65">
        <w:rPr>
          <w:rFonts w:eastAsia="TimesNewRoman"/>
          <w:sz w:val="24"/>
          <w:szCs w:val="24"/>
          <w:lang w:eastAsia="en-GB"/>
        </w:rPr>
        <w:t xml:space="preserve">opretholde </w:t>
      </w:r>
      <w:proofErr w:type="spellStart"/>
      <w:r w:rsidRPr="00811F65">
        <w:rPr>
          <w:rFonts w:eastAsia="TimesNewRoman"/>
          <w:sz w:val="24"/>
          <w:szCs w:val="24"/>
          <w:lang w:eastAsia="en-GB"/>
        </w:rPr>
        <w:t>euthyroid</w:t>
      </w:r>
      <w:proofErr w:type="spellEnd"/>
      <w:r w:rsidRPr="00811F65">
        <w:rPr>
          <w:rFonts w:eastAsia="TimesNewRoman"/>
          <w:sz w:val="24"/>
          <w:szCs w:val="24"/>
          <w:lang w:eastAsia="en-GB"/>
        </w:rPr>
        <w:t xml:space="preserve"> tilstand.</w:t>
      </w:r>
    </w:p>
    <w:p w14:paraId="54300117" w14:textId="77777777" w:rsidR="00811F65" w:rsidRDefault="00811F65" w:rsidP="00355DFD">
      <w:pPr>
        <w:autoSpaceDE w:val="0"/>
        <w:autoSpaceDN w:val="0"/>
        <w:adjustRightInd w:val="0"/>
        <w:ind w:left="851"/>
        <w:rPr>
          <w:rFonts w:eastAsia="TimesNewRoman"/>
          <w:sz w:val="24"/>
          <w:szCs w:val="24"/>
          <w:u w:val="single"/>
          <w:lang w:eastAsia="en-GB"/>
        </w:rPr>
      </w:pPr>
    </w:p>
    <w:p w14:paraId="50EBD625" w14:textId="42410A2C" w:rsidR="00355DFD" w:rsidRPr="00811F65" w:rsidRDefault="00355DFD" w:rsidP="00355DFD">
      <w:pPr>
        <w:autoSpaceDE w:val="0"/>
        <w:autoSpaceDN w:val="0"/>
        <w:adjustRightInd w:val="0"/>
        <w:ind w:left="851"/>
        <w:rPr>
          <w:rFonts w:eastAsia="TimesNewRoman"/>
          <w:sz w:val="24"/>
          <w:szCs w:val="24"/>
          <w:u w:val="single"/>
          <w:lang w:eastAsia="en-GB"/>
        </w:rPr>
      </w:pPr>
      <w:r w:rsidRPr="00811F65">
        <w:rPr>
          <w:rFonts w:eastAsia="TimesNewRoman"/>
          <w:sz w:val="24"/>
          <w:szCs w:val="24"/>
          <w:u w:val="single"/>
          <w:lang w:eastAsia="en-GB"/>
        </w:rPr>
        <w:t xml:space="preserve">Arterielle </w:t>
      </w:r>
      <w:proofErr w:type="spellStart"/>
      <w:r w:rsidRPr="00811F65">
        <w:rPr>
          <w:rFonts w:eastAsia="TimesNewRoman"/>
          <w:sz w:val="24"/>
          <w:szCs w:val="24"/>
          <w:u w:val="single"/>
          <w:lang w:eastAsia="en-GB"/>
        </w:rPr>
        <w:t>emboliske</w:t>
      </w:r>
      <w:proofErr w:type="spellEnd"/>
      <w:r w:rsidRPr="00811F65">
        <w:rPr>
          <w:rFonts w:eastAsia="TimesNewRoman"/>
          <w:sz w:val="24"/>
          <w:szCs w:val="24"/>
          <w:u w:val="single"/>
          <w:lang w:eastAsia="en-GB"/>
        </w:rPr>
        <w:t xml:space="preserve"> og </w:t>
      </w:r>
      <w:proofErr w:type="spellStart"/>
      <w:r w:rsidRPr="00811F65">
        <w:rPr>
          <w:rFonts w:eastAsia="TimesNewRoman"/>
          <w:sz w:val="24"/>
          <w:szCs w:val="24"/>
          <w:u w:val="single"/>
          <w:lang w:eastAsia="en-GB"/>
        </w:rPr>
        <w:t>trombotiske</w:t>
      </w:r>
      <w:proofErr w:type="spellEnd"/>
      <w:r w:rsidRPr="00811F65">
        <w:rPr>
          <w:rFonts w:eastAsia="TimesNewRoman"/>
          <w:sz w:val="24"/>
          <w:szCs w:val="24"/>
          <w:u w:val="single"/>
          <w:lang w:eastAsia="en-GB"/>
        </w:rPr>
        <w:t xml:space="preserve"> hændelser</w:t>
      </w:r>
    </w:p>
    <w:p w14:paraId="296EA86C" w14:textId="665C10B5"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Der er set arterielle </w:t>
      </w:r>
      <w:proofErr w:type="spellStart"/>
      <w:r w:rsidRPr="00811F65">
        <w:rPr>
          <w:rFonts w:eastAsia="TimesNewRoman"/>
          <w:sz w:val="24"/>
          <w:szCs w:val="24"/>
          <w:lang w:eastAsia="en-GB"/>
        </w:rPr>
        <w:t>tromboemboliske</w:t>
      </w:r>
      <w:proofErr w:type="spellEnd"/>
      <w:r w:rsidRPr="00811F65">
        <w:rPr>
          <w:rFonts w:eastAsia="TimesNewRoman"/>
          <w:sz w:val="24"/>
          <w:szCs w:val="24"/>
          <w:lang w:eastAsia="en-GB"/>
        </w:rPr>
        <w:t xml:space="preserve"> hændelser (herunder transitorisk cerebral iskæmi,</w:t>
      </w:r>
      <w:r w:rsidR="00811F65">
        <w:rPr>
          <w:rFonts w:eastAsia="TimesNewRoman"/>
          <w:sz w:val="24"/>
          <w:szCs w:val="24"/>
          <w:lang w:eastAsia="en-GB"/>
        </w:rPr>
        <w:t xml:space="preserve"> </w:t>
      </w:r>
      <w:r w:rsidRPr="00811F65">
        <w:rPr>
          <w:rFonts w:eastAsia="TimesNewRoman"/>
          <w:sz w:val="24"/>
          <w:szCs w:val="24"/>
          <w:lang w:eastAsia="en-GB"/>
        </w:rPr>
        <w:t xml:space="preserve">myokardieinfarkt, </w:t>
      </w:r>
      <w:proofErr w:type="spellStart"/>
      <w:r w:rsidRPr="00811F65">
        <w:rPr>
          <w:rFonts w:eastAsia="TimesNewRoman"/>
          <w:sz w:val="24"/>
          <w:szCs w:val="24"/>
          <w:lang w:eastAsia="en-GB"/>
        </w:rPr>
        <w:t>cerebrovaskulært</w:t>
      </w:r>
      <w:proofErr w:type="spellEnd"/>
      <w:r w:rsidRPr="00811F65">
        <w:rPr>
          <w:rFonts w:eastAsia="TimesNewRoman"/>
          <w:sz w:val="24"/>
          <w:szCs w:val="24"/>
          <w:lang w:eastAsia="en-GB"/>
        </w:rPr>
        <w:t xml:space="preserve"> tilfælde og </w:t>
      </w:r>
      <w:proofErr w:type="spellStart"/>
      <w:r w:rsidRPr="00811F65">
        <w:rPr>
          <w:rFonts w:eastAsia="TimesNewRoman"/>
          <w:sz w:val="24"/>
          <w:szCs w:val="24"/>
          <w:lang w:eastAsia="en-GB"/>
        </w:rPr>
        <w:t>nethindearterieokklusion</w:t>
      </w:r>
      <w:proofErr w:type="spellEnd"/>
      <w:r w:rsidRPr="00811F65">
        <w:rPr>
          <w:rFonts w:eastAsia="TimesNewRoman"/>
          <w:sz w:val="24"/>
          <w:szCs w:val="24"/>
          <w:lang w:eastAsia="en-GB"/>
        </w:rPr>
        <w:t>) i kliniske studier med</w:t>
      </w:r>
      <w:r w:rsidR="00811F65">
        <w:rPr>
          <w:rFonts w:eastAsia="TimesNewRoman"/>
          <w:sz w:val="24"/>
          <w:szCs w:val="24"/>
          <w:lang w:eastAsia="en-GB"/>
        </w:rPr>
        <w:t xml:space="preserve">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(se pkt. 4.8).</w:t>
      </w:r>
    </w:p>
    <w:p w14:paraId="154007EF" w14:textId="77777777" w:rsidR="00355DFD" w:rsidRPr="00811F65" w:rsidRDefault="00355DFD" w:rsidP="00355DFD">
      <w:pPr>
        <w:autoSpaceDE w:val="0"/>
        <w:autoSpaceDN w:val="0"/>
        <w:adjustRightInd w:val="0"/>
        <w:ind w:left="851"/>
        <w:rPr>
          <w:rFonts w:eastAsia="TimesNewRoman"/>
          <w:sz w:val="24"/>
          <w:szCs w:val="24"/>
          <w:lang w:eastAsia="en-GB"/>
        </w:rPr>
      </w:pPr>
    </w:p>
    <w:p w14:paraId="320F303C" w14:textId="17A6BA8A" w:rsidR="00355DFD" w:rsidRPr="00811F65" w:rsidRDefault="00355DFD" w:rsidP="00811F65">
      <w:pPr>
        <w:autoSpaceDE w:val="0"/>
        <w:autoSpaceDN w:val="0"/>
        <w:adjustRightInd w:val="0"/>
        <w:ind w:left="851"/>
        <w:rPr>
          <w:rFonts w:eastAsia="TimesNewRoman"/>
          <w:sz w:val="24"/>
          <w:szCs w:val="24"/>
          <w:lang w:eastAsia="en-GB"/>
        </w:rPr>
      </w:pP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bør anvendes med forsigtighed hos patienter med risiko for eller som tidligere har haft en</w:t>
      </w:r>
      <w:r w:rsidR="00811F65">
        <w:rPr>
          <w:rFonts w:eastAsia="TimesNewRoman"/>
          <w:sz w:val="24"/>
          <w:szCs w:val="24"/>
          <w:lang w:eastAsia="en-GB"/>
        </w:rPr>
        <w:t xml:space="preserve"> </w:t>
      </w:r>
      <w:r w:rsidRPr="00811F65">
        <w:rPr>
          <w:rFonts w:eastAsia="TimesNewRoman"/>
          <w:sz w:val="24"/>
          <w:szCs w:val="24"/>
          <w:lang w:eastAsia="en-GB"/>
        </w:rPr>
        <w:t xml:space="preserve">arteriel </w:t>
      </w:r>
      <w:proofErr w:type="spellStart"/>
      <w:r w:rsidRPr="00811F65">
        <w:rPr>
          <w:rFonts w:eastAsia="TimesNewRoman"/>
          <w:sz w:val="24"/>
          <w:szCs w:val="24"/>
          <w:lang w:eastAsia="en-GB"/>
        </w:rPr>
        <w:t>tromboembolisk</w:t>
      </w:r>
      <w:proofErr w:type="spellEnd"/>
      <w:r w:rsidRPr="00811F65">
        <w:rPr>
          <w:rFonts w:eastAsia="TimesNewRoman"/>
          <w:sz w:val="24"/>
          <w:szCs w:val="24"/>
          <w:lang w:eastAsia="en-GB"/>
        </w:rPr>
        <w:t xml:space="preserve"> hændelse.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er ikke undersøgt hos patienter, som har haft arterielle</w:t>
      </w:r>
      <w:r w:rsidR="00811F65">
        <w:rPr>
          <w:rFonts w:eastAsia="TimesNewRoman"/>
          <w:sz w:val="24"/>
          <w:szCs w:val="24"/>
          <w:lang w:eastAsia="en-GB"/>
        </w:rPr>
        <w:t xml:space="preserve"> </w:t>
      </w:r>
      <w:proofErr w:type="spellStart"/>
      <w:r w:rsidRPr="00811F65">
        <w:rPr>
          <w:rFonts w:eastAsia="TimesNewRoman"/>
          <w:sz w:val="24"/>
          <w:szCs w:val="24"/>
          <w:lang w:eastAsia="en-GB"/>
        </w:rPr>
        <w:t>tromboemboliske</w:t>
      </w:r>
      <w:proofErr w:type="spellEnd"/>
      <w:r w:rsidRPr="00811F65">
        <w:rPr>
          <w:rFonts w:eastAsia="TimesNewRoman"/>
          <w:sz w:val="24"/>
          <w:szCs w:val="24"/>
          <w:lang w:eastAsia="en-GB"/>
        </w:rPr>
        <w:t xml:space="preserve"> hændelser inden for de sidste 12 måneder.</w:t>
      </w:r>
    </w:p>
    <w:p w14:paraId="0BBA4132" w14:textId="77777777" w:rsidR="00355DFD" w:rsidRPr="00811F65" w:rsidRDefault="00355DFD" w:rsidP="00355DFD">
      <w:pPr>
        <w:autoSpaceDE w:val="0"/>
        <w:autoSpaceDN w:val="0"/>
        <w:adjustRightInd w:val="0"/>
        <w:ind w:left="851"/>
        <w:rPr>
          <w:rFonts w:eastAsia="TimesNewRoman"/>
          <w:sz w:val="24"/>
          <w:szCs w:val="24"/>
          <w:lang w:eastAsia="en-GB"/>
        </w:rPr>
      </w:pPr>
    </w:p>
    <w:p w14:paraId="0363D503" w14:textId="77777777" w:rsidR="00355DFD" w:rsidRPr="00811F65" w:rsidRDefault="00355DFD" w:rsidP="00355DFD">
      <w:pPr>
        <w:autoSpaceDE w:val="0"/>
        <w:autoSpaceDN w:val="0"/>
        <w:adjustRightInd w:val="0"/>
        <w:ind w:left="851"/>
        <w:rPr>
          <w:rFonts w:eastAsia="TimesNewRoman"/>
          <w:sz w:val="24"/>
          <w:szCs w:val="24"/>
          <w:u w:val="single"/>
          <w:lang w:eastAsia="en-GB"/>
        </w:rPr>
      </w:pPr>
      <w:r w:rsidRPr="00811F65">
        <w:rPr>
          <w:rFonts w:eastAsia="TimesNewRoman"/>
          <w:sz w:val="24"/>
          <w:szCs w:val="24"/>
          <w:u w:val="single"/>
          <w:lang w:eastAsia="en-GB"/>
        </w:rPr>
        <w:t xml:space="preserve">Venøse </w:t>
      </w:r>
      <w:proofErr w:type="spellStart"/>
      <w:r w:rsidRPr="00811F65">
        <w:rPr>
          <w:rFonts w:eastAsia="TimesNewRoman"/>
          <w:sz w:val="24"/>
          <w:szCs w:val="24"/>
          <w:u w:val="single"/>
          <w:lang w:eastAsia="en-GB"/>
        </w:rPr>
        <w:t>emboliske</w:t>
      </w:r>
      <w:proofErr w:type="spellEnd"/>
      <w:r w:rsidRPr="00811F65">
        <w:rPr>
          <w:rFonts w:eastAsia="TimesNewRoman"/>
          <w:sz w:val="24"/>
          <w:szCs w:val="24"/>
          <w:u w:val="single"/>
          <w:lang w:eastAsia="en-GB"/>
        </w:rPr>
        <w:t xml:space="preserve"> og </w:t>
      </w:r>
      <w:proofErr w:type="spellStart"/>
      <w:r w:rsidRPr="00811F65">
        <w:rPr>
          <w:rFonts w:eastAsia="TimesNewRoman"/>
          <w:sz w:val="24"/>
          <w:szCs w:val="24"/>
          <w:u w:val="single"/>
          <w:lang w:eastAsia="en-GB"/>
        </w:rPr>
        <w:t>trombotiske</w:t>
      </w:r>
      <w:proofErr w:type="spellEnd"/>
      <w:r w:rsidRPr="00811F65">
        <w:rPr>
          <w:rFonts w:eastAsia="TimesNewRoman"/>
          <w:sz w:val="24"/>
          <w:szCs w:val="24"/>
          <w:u w:val="single"/>
          <w:lang w:eastAsia="en-GB"/>
        </w:rPr>
        <w:t xml:space="preserve"> hændelser</w:t>
      </w:r>
    </w:p>
    <w:p w14:paraId="2C7E0859" w14:textId="5CA1D9C9"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Der er set venøse </w:t>
      </w:r>
      <w:proofErr w:type="spellStart"/>
      <w:r w:rsidRPr="00811F65">
        <w:rPr>
          <w:rFonts w:eastAsia="TimesNewRoman"/>
          <w:sz w:val="24"/>
          <w:szCs w:val="24"/>
          <w:lang w:eastAsia="en-GB"/>
        </w:rPr>
        <w:t>tromboemboliske</w:t>
      </w:r>
      <w:proofErr w:type="spellEnd"/>
      <w:r w:rsidRPr="00811F65">
        <w:rPr>
          <w:rFonts w:eastAsia="TimesNewRoman"/>
          <w:sz w:val="24"/>
          <w:szCs w:val="24"/>
          <w:lang w:eastAsia="en-GB"/>
        </w:rPr>
        <w:t xml:space="preserve"> hændelser (herunder </w:t>
      </w:r>
      <w:proofErr w:type="spellStart"/>
      <w:r w:rsidRPr="00811F65">
        <w:rPr>
          <w:rFonts w:eastAsia="TimesNewRoman"/>
          <w:sz w:val="24"/>
          <w:szCs w:val="24"/>
          <w:lang w:eastAsia="en-GB"/>
        </w:rPr>
        <w:t>lungeemboli</w:t>
      </w:r>
      <w:proofErr w:type="spellEnd"/>
      <w:r w:rsidRPr="00811F65">
        <w:rPr>
          <w:rFonts w:eastAsia="TimesNewRoman"/>
          <w:sz w:val="24"/>
          <w:szCs w:val="24"/>
          <w:lang w:eastAsia="en-GB"/>
        </w:rPr>
        <w:t xml:space="preserve">, dyb venetrombose og </w:t>
      </w:r>
      <w:proofErr w:type="spellStart"/>
      <w:r w:rsidRPr="00811F65">
        <w:rPr>
          <w:rFonts w:eastAsia="TimesNewRoman"/>
          <w:sz w:val="24"/>
          <w:szCs w:val="24"/>
          <w:lang w:eastAsia="en-GB"/>
        </w:rPr>
        <w:t>retinal</w:t>
      </w:r>
      <w:proofErr w:type="spellEnd"/>
      <w:r w:rsidR="00811F65">
        <w:rPr>
          <w:rFonts w:eastAsia="TimesNewRoman"/>
          <w:sz w:val="24"/>
          <w:szCs w:val="24"/>
          <w:lang w:eastAsia="en-GB"/>
        </w:rPr>
        <w:t xml:space="preserve"> </w:t>
      </w:r>
      <w:r w:rsidRPr="00811F65">
        <w:rPr>
          <w:rFonts w:eastAsia="TimesNewRoman"/>
          <w:sz w:val="24"/>
          <w:szCs w:val="24"/>
          <w:lang w:eastAsia="en-GB"/>
        </w:rPr>
        <w:t xml:space="preserve">vene </w:t>
      </w:r>
      <w:proofErr w:type="spellStart"/>
      <w:r w:rsidRPr="00811F65">
        <w:rPr>
          <w:rFonts w:eastAsia="TimesNewRoman"/>
          <w:sz w:val="24"/>
          <w:szCs w:val="24"/>
          <w:lang w:eastAsia="en-GB"/>
        </w:rPr>
        <w:t>okklusion</w:t>
      </w:r>
      <w:proofErr w:type="spellEnd"/>
      <w:r w:rsidRPr="00811F65">
        <w:rPr>
          <w:rFonts w:eastAsia="TimesNewRoman"/>
          <w:sz w:val="24"/>
          <w:szCs w:val="24"/>
          <w:lang w:eastAsia="en-GB"/>
        </w:rPr>
        <w:t xml:space="preserve">/trombose) i kliniske studier med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(se pkt. 4.8).</w:t>
      </w:r>
    </w:p>
    <w:p w14:paraId="7A130609" w14:textId="77777777" w:rsidR="00355DFD" w:rsidRPr="00811F65" w:rsidRDefault="00355DFD" w:rsidP="00355DFD">
      <w:pPr>
        <w:autoSpaceDE w:val="0"/>
        <w:autoSpaceDN w:val="0"/>
        <w:adjustRightInd w:val="0"/>
        <w:ind w:left="851"/>
        <w:rPr>
          <w:rFonts w:eastAsia="TimesNewRoman"/>
          <w:sz w:val="24"/>
          <w:szCs w:val="24"/>
          <w:lang w:eastAsia="en-GB"/>
        </w:rPr>
      </w:pPr>
    </w:p>
    <w:p w14:paraId="6DEEE9E1" w14:textId="6F296432" w:rsidR="00355DFD" w:rsidRPr="00811F65" w:rsidRDefault="00355DFD" w:rsidP="00811F65">
      <w:pPr>
        <w:autoSpaceDE w:val="0"/>
        <w:autoSpaceDN w:val="0"/>
        <w:adjustRightInd w:val="0"/>
        <w:ind w:left="851"/>
        <w:rPr>
          <w:rFonts w:eastAsia="TimesNewRoman"/>
          <w:sz w:val="24"/>
          <w:szCs w:val="24"/>
          <w:lang w:eastAsia="en-GB"/>
        </w:rPr>
      </w:pP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bør anvendes med forsigtighed hos patienter med risiko for eller som tidligere har haft sådanne hændelser.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er ikke blevet undersøgt hos patienter, som har haft venøse </w:t>
      </w:r>
      <w:proofErr w:type="spellStart"/>
      <w:r w:rsidRPr="00811F65">
        <w:rPr>
          <w:rFonts w:eastAsia="TimesNewRoman"/>
          <w:sz w:val="24"/>
          <w:szCs w:val="24"/>
          <w:lang w:eastAsia="en-GB"/>
        </w:rPr>
        <w:t>tromboemboliske</w:t>
      </w:r>
      <w:proofErr w:type="spellEnd"/>
      <w:r w:rsidRPr="00811F65">
        <w:rPr>
          <w:rFonts w:eastAsia="TimesNewRoman"/>
          <w:sz w:val="24"/>
          <w:szCs w:val="24"/>
          <w:lang w:eastAsia="en-GB"/>
        </w:rPr>
        <w:t xml:space="preserve"> hændelser inden for de sidste 6 måneder. </w:t>
      </w:r>
    </w:p>
    <w:p w14:paraId="018F4365" w14:textId="77777777" w:rsidR="00355DFD" w:rsidRPr="00811F65" w:rsidRDefault="00355DFD" w:rsidP="00355DFD">
      <w:pPr>
        <w:suppressAutoHyphens/>
        <w:ind w:left="851"/>
        <w:rPr>
          <w:rFonts w:eastAsia="TimesNewRoman"/>
          <w:sz w:val="24"/>
          <w:szCs w:val="24"/>
          <w:lang w:eastAsia="en-GB"/>
        </w:rPr>
      </w:pPr>
    </w:p>
    <w:p w14:paraId="70192778" w14:textId="77777777" w:rsidR="00355DFD" w:rsidRPr="00811F65" w:rsidRDefault="00355DFD" w:rsidP="00355DFD">
      <w:pPr>
        <w:autoSpaceDE w:val="0"/>
        <w:autoSpaceDN w:val="0"/>
        <w:adjustRightInd w:val="0"/>
        <w:ind w:left="851"/>
        <w:rPr>
          <w:rFonts w:eastAsia="TimesNewRoman"/>
          <w:sz w:val="24"/>
          <w:szCs w:val="24"/>
          <w:u w:val="single"/>
          <w:lang w:eastAsia="en-GB"/>
        </w:rPr>
      </w:pPr>
      <w:r w:rsidRPr="00811F65">
        <w:rPr>
          <w:rFonts w:eastAsia="TimesNewRoman"/>
          <w:sz w:val="24"/>
          <w:szCs w:val="24"/>
          <w:u w:val="single"/>
          <w:lang w:eastAsia="en-GB"/>
        </w:rPr>
        <w:t>Stigning i hæmoglobin eller hæmatokrit</w:t>
      </w:r>
    </w:p>
    <w:p w14:paraId="7778921C" w14:textId="6B9B0E24"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Behandling med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kan medføre stigning i hæmoglobin eller hæmatokrit, som tegn på en øget</w:t>
      </w:r>
      <w:r w:rsidR="00811F65">
        <w:rPr>
          <w:rFonts w:eastAsia="TimesNewRoman"/>
          <w:sz w:val="24"/>
          <w:szCs w:val="24"/>
          <w:lang w:eastAsia="en-GB"/>
        </w:rPr>
        <w:t xml:space="preserve"> </w:t>
      </w:r>
      <w:r w:rsidRPr="00811F65">
        <w:rPr>
          <w:rFonts w:eastAsia="TimesNewRoman"/>
          <w:sz w:val="24"/>
          <w:szCs w:val="24"/>
          <w:lang w:eastAsia="en-GB"/>
        </w:rPr>
        <w:t xml:space="preserve">mængde røde blodlegemer (se pkt. 4.8 </w:t>
      </w:r>
      <w:proofErr w:type="spellStart"/>
      <w:r w:rsidRPr="00811F65">
        <w:rPr>
          <w:rFonts w:eastAsia="TimesNewRoman"/>
          <w:sz w:val="24"/>
          <w:szCs w:val="24"/>
          <w:lang w:eastAsia="en-GB"/>
        </w:rPr>
        <w:t>polycytæmi</w:t>
      </w:r>
      <w:proofErr w:type="spellEnd"/>
      <w:r w:rsidRPr="00811F65">
        <w:rPr>
          <w:rFonts w:eastAsia="TimesNewRoman"/>
          <w:sz w:val="24"/>
          <w:szCs w:val="24"/>
          <w:lang w:eastAsia="en-GB"/>
        </w:rPr>
        <w:t>). En øget mængde røde blodlegemer kan øge</w:t>
      </w:r>
      <w:r w:rsidR="00811F65">
        <w:rPr>
          <w:rFonts w:eastAsia="TimesNewRoman"/>
          <w:sz w:val="24"/>
          <w:szCs w:val="24"/>
          <w:lang w:eastAsia="en-GB"/>
        </w:rPr>
        <w:t xml:space="preserve"> </w:t>
      </w:r>
      <w:r w:rsidRPr="00811F65">
        <w:rPr>
          <w:rFonts w:eastAsia="TimesNewRoman"/>
          <w:sz w:val="24"/>
          <w:szCs w:val="24"/>
          <w:lang w:eastAsia="en-GB"/>
        </w:rPr>
        <w:t xml:space="preserve">risikoen for </w:t>
      </w:r>
      <w:proofErr w:type="spellStart"/>
      <w:r w:rsidRPr="00811F65">
        <w:rPr>
          <w:rFonts w:eastAsia="TimesNewRoman"/>
          <w:sz w:val="24"/>
          <w:szCs w:val="24"/>
          <w:lang w:eastAsia="en-GB"/>
        </w:rPr>
        <w:t>emboliske</w:t>
      </w:r>
      <w:proofErr w:type="spellEnd"/>
      <w:r w:rsidRPr="00811F65">
        <w:rPr>
          <w:rFonts w:eastAsia="TimesNewRoman"/>
          <w:sz w:val="24"/>
          <w:szCs w:val="24"/>
          <w:lang w:eastAsia="en-GB"/>
        </w:rPr>
        <w:t xml:space="preserve"> og </w:t>
      </w:r>
      <w:proofErr w:type="spellStart"/>
      <w:r w:rsidRPr="00811F65">
        <w:rPr>
          <w:rFonts w:eastAsia="TimesNewRoman"/>
          <w:sz w:val="24"/>
          <w:szCs w:val="24"/>
          <w:lang w:eastAsia="en-GB"/>
        </w:rPr>
        <w:t>trombotiske</w:t>
      </w:r>
      <w:proofErr w:type="spellEnd"/>
      <w:r w:rsidRPr="00811F65">
        <w:rPr>
          <w:rFonts w:eastAsia="TimesNewRoman"/>
          <w:sz w:val="24"/>
          <w:szCs w:val="24"/>
          <w:lang w:eastAsia="en-GB"/>
        </w:rPr>
        <w:t xml:space="preserve"> hændelser.</w:t>
      </w:r>
    </w:p>
    <w:p w14:paraId="678A3EEB" w14:textId="77777777" w:rsidR="00355DFD" w:rsidRPr="00811F65" w:rsidRDefault="00355DFD" w:rsidP="00355DFD">
      <w:pPr>
        <w:autoSpaceDE w:val="0"/>
        <w:autoSpaceDN w:val="0"/>
        <w:adjustRightInd w:val="0"/>
        <w:ind w:left="851"/>
        <w:rPr>
          <w:rFonts w:eastAsia="TimesNewRoman"/>
          <w:sz w:val="24"/>
          <w:szCs w:val="24"/>
          <w:lang w:eastAsia="en-GB"/>
        </w:rPr>
      </w:pPr>
    </w:p>
    <w:p w14:paraId="672323D2" w14:textId="7F27CB96" w:rsidR="00355DFD" w:rsidRPr="00811F65" w:rsidRDefault="00355DFD" w:rsidP="00811F65">
      <w:pPr>
        <w:autoSpaceDE w:val="0"/>
        <w:autoSpaceDN w:val="0"/>
        <w:adjustRightInd w:val="0"/>
        <w:ind w:left="851"/>
        <w:rPr>
          <w:rFonts w:eastAsia="TimesNewRoman"/>
          <w:sz w:val="24"/>
          <w:szCs w:val="24"/>
          <w:lang w:eastAsia="en-GB"/>
        </w:rPr>
      </w:pPr>
      <w:r w:rsidRPr="00811F65">
        <w:rPr>
          <w:rFonts w:eastAsia="TimesNewRoman"/>
          <w:sz w:val="24"/>
          <w:szCs w:val="24"/>
          <w:lang w:eastAsia="en-GB"/>
        </w:rPr>
        <w:t>Hæmoglobin og hæmatokrit skal kontrolleres før initiering og periodisk under hele behandlingen med</w:t>
      </w:r>
      <w:r w:rsidR="00811F65">
        <w:rPr>
          <w:rFonts w:eastAsia="TimesNewRoman"/>
          <w:sz w:val="24"/>
          <w:szCs w:val="24"/>
          <w:lang w:eastAsia="en-GB"/>
        </w:rPr>
        <w:t xml:space="preserve">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Hvis hæmoglobin- eller hæmatokritniveauet stiger til over det normale, skal patienten</w:t>
      </w:r>
      <w:r w:rsidR="00811F65">
        <w:rPr>
          <w:rFonts w:eastAsia="TimesNewRoman"/>
          <w:sz w:val="24"/>
          <w:szCs w:val="24"/>
          <w:lang w:eastAsia="en-GB"/>
        </w:rPr>
        <w:t xml:space="preserve"> </w:t>
      </w:r>
      <w:r w:rsidRPr="00811F65">
        <w:rPr>
          <w:rFonts w:eastAsia="TimesNewRoman"/>
          <w:sz w:val="24"/>
          <w:szCs w:val="24"/>
          <w:lang w:eastAsia="en-GB"/>
        </w:rPr>
        <w:t>behandles efter gældende medicinsk praksis for at nedsætte hæmoglobin eller hæmatokrit til et</w:t>
      </w:r>
      <w:r w:rsidR="00811F65">
        <w:rPr>
          <w:rFonts w:eastAsia="TimesNewRoman"/>
          <w:sz w:val="24"/>
          <w:szCs w:val="24"/>
          <w:lang w:eastAsia="en-GB"/>
        </w:rPr>
        <w:t xml:space="preserve"> </w:t>
      </w:r>
      <w:r w:rsidRPr="00811F65">
        <w:rPr>
          <w:rFonts w:eastAsia="TimesNewRoman"/>
          <w:sz w:val="24"/>
          <w:szCs w:val="24"/>
          <w:lang w:eastAsia="en-GB"/>
        </w:rPr>
        <w:t>acceptabelt niveau.</w:t>
      </w:r>
    </w:p>
    <w:p w14:paraId="4A221438" w14:textId="77777777" w:rsidR="00355DFD" w:rsidRPr="00811F65" w:rsidRDefault="00355DFD" w:rsidP="00355DFD">
      <w:pPr>
        <w:suppressAutoHyphens/>
        <w:ind w:left="851"/>
        <w:rPr>
          <w:rFonts w:eastAsia="TimesNewRoman"/>
          <w:sz w:val="24"/>
          <w:szCs w:val="24"/>
          <w:lang w:eastAsia="en-GB"/>
        </w:rPr>
      </w:pPr>
    </w:p>
    <w:p w14:paraId="186E7586" w14:textId="77777777" w:rsidR="00355DFD" w:rsidRPr="00811F65" w:rsidRDefault="00355DFD" w:rsidP="00355DFD">
      <w:pPr>
        <w:suppressAutoHyphens/>
        <w:ind w:left="851"/>
        <w:rPr>
          <w:rFonts w:eastAsia="TimesNewRoman"/>
          <w:sz w:val="24"/>
          <w:szCs w:val="24"/>
          <w:u w:val="single"/>
          <w:lang w:eastAsia="en-GB"/>
        </w:rPr>
      </w:pPr>
      <w:r w:rsidRPr="00811F65">
        <w:rPr>
          <w:rFonts w:eastAsia="TimesNewRoman"/>
          <w:sz w:val="24"/>
          <w:szCs w:val="24"/>
          <w:u w:val="single"/>
          <w:lang w:eastAsia="en-GB"/>
        </w:rPr>
        <w:t xml:space="preserve">Blødning </w:t>
      </w:r>
    </w:p>
    <w:p w14:paraId="609F4C9A" w14:textId="77777777"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Blødning er set i kliniske studier med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(se pkt. 4.8).</w:t>
      </w:r>
    </w:p>
    <w:p w14:paraId="5A4A8F41" w14:textId="77777777" w:rsidR="00355DFD" w:rsidRPr="00811F65" w:rsidRDefault="00355DFD" w:rsidP="00355DFD">
      <w:pPr>
        <w:autoSpaceDE w:val="0"/>
        <w:autoSpaceDN w:val="0"/>
        <w:adjustRightInd w:val="0"/>
        <w:ind w:left="851"/>
        <w:rPr>
          <w:rFonts w:eastAsia="TimesNewRoman"/>
          <w:sz w:val="24"/>
          <w:szCs w:val="24"/>
          <w:lang w:eastAsia="en-GB"/>
        </w:rPr>
      </w:pPr>
    </w:p>
    <w:p w14:paraId="42B4D37A" w14:textId="186E472E" w:rsidR="00355DFD" w:rsidRPr="00811F65" w:rsidRDefault="00355DFD" w:rsidP="00811F65">
      <w:pPr>
        <w:autoSpaceDE w:val="0"/>
        <w:autoSpaceDN w:val="0"/>
        <w:adjustRightInd w:val="0"/>
        <w:ind w:left="851"/>
        <w:rPr>
          <w:rFonts w:eastAsia="TimesNewRoman"/>
          <w:sz w:val="24"/>
          <w:szCs w:val="24"/>
          <w:lang w:eastAsia="en-GB"/>
        </w:rPr>
      </w:pP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er ikke undersøgt hos patienter med ubehandlede hjernemetastaser eller nylig </w:t>
      </w:r>
      <w:proofErr w:type="spellStart"/>
      <w:r w:rsidRPr="00811F65">
        <w:rPr>
          <w:rFonts w:eastAsia="TimesNewRoman"/>
          <w:sz w:val="24"/>
          <w:szCs w:val="24"/>
          <w:lang w:eastAsia="en-GB"/>
        </w:rPr>
        <w:t>gastrointestinal</w:t>
      </w:r>
      <w:proofErr w:type="spellEnd"/>
      <w:r w:rsidR="00811F65">
        <w:rPr>
          <w:rFonts w:eastAsia="TimesNewRoman"/>
          <w:sz w:val="24"/>
          <w:szCs w:val="24"/>
          <w:lang w:eastAsia="en-GB"/>
        </w:rPr>
        <w:t xml:space="preserve"> </w:t>
      </w:r>
      <w:r w:rsidRPr="00811F65">
        <w:rPr>
          <w:rFonts w:eastAsia="TimesNewRoman"/>
          <w:sz w:val="24"/>
          <w:szCs w:val="24"/>
          <w:lang w:eastAsia="en-GB"/>
        </w:rPr>
        <w:t>blødning og bør ikke anvendes til disse patienter. Hvis der opstår blødning, som kræver medicinsk</w:t>
      </w:r>
      <w:r w:rsidR="00811F65">
        <w:rPr>
          <w:rFonts w:eastAsia="TimesNewRoman"/>
          <w:sz w:val="24"/>
          <w:szCs w:val="24"/>
          <w:lang w:eastAsia="en-GB"/>
        </w:rPr>
        <w:t xml:space="preserve"> </w:t>
      </w:r>
      <w:r w:rsidRPr="00811F65">
        <w:rPr>
          <w:rFonts w:eastAsia="TimesNewRoman"/>
          <w:sz w:val="24"/>
          <w:szCs w:val="24"/>
          <w:lang w:eastAsia="en-GB"/>
        </w:rPr>
        <w:t xml:space="preserve">intervention, skal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-behandlingen midlertidigt afbrydes.</w:t>
      </w:r>
    </w:p>
    <w:p w14:paraId="2E21D48D" w14:textId="77777777" w:rsidR="00355DFD" w:rsidRPr="00811F65" w:rsidRDefault="00355DFD" w:rsidP="00355DFD">
      <w:pPr>
        <w:suppressAutoHyphens/>
        <w:ind w:left="851"/>
        <w:rPr>
          <w:rFonts w:eastAsia="TimesNewRoman"/>
          <w:sz w:val="24"/>
          <w:szCs w:val="24"/>
          <w:lang w:eastAsia="en-GB"/>
        </w:rPr>
      </w:pPr>
    </w:p>
    <w:p w14:paraId="62E3E7E8" w14:textId="77777777" w:rsidR="00355DFD" w:rsidRPr="00811F65" w:rsidRDefault="00355DFD" w:rsidP="00355DFD">
      <w:pPr>
        <w:autoSpaceDE w:val="0"/>
        <w:autoSpaceDN w:val="0"/>
        <w:adjustRightInd w:val="0"/>
        <w:ind w:left="851"/>
        <w:rPr>
          <w:rFonts w:eastAsia="TimesNewRoman"/>
          <w:sz w:val="24"/>
          <w:szCs w:val="24"/>
          <w:u w:val="single"/>
          <w:lang w:eastAsia="en-GB"/>
        </w:rPr>
      </w:pPr>
      <w:proofErr w:type="spellStart"/>
      <w:r w:rsidRPr="00811F65">
        <w:rPr>
          <w:rFonts w:eastAsia="TimesNewRoman"/>
          <w:sz w:val="24"/>
          <w:szCs w:val="24"/>
          <w:u w:val="single"/>
          <w:lang w:eastAsia="en-GB"/>
        </w:rPr>
        <w:t>Aneurismer</w:t>
      </w:r>
      <w:proofErr w:type="spellEnd"/>
      <w:r w:rsidRPr="00811F65">
        <w:rPr>
          <w:rFonts w:eastAsia="TimesNewRoman"/>
          <w:sz w:val="24"/>
          <w:szCs w:val="24"/>
          <w:u w:val="single"/>
          <w:lang w:eastAsia="en-GB"/>
        </w:rPr>
        <w:t xml:space="preserve"> og arterielle dissektioner</w:t>
      </w:r>
    </w:p>
    <w:p w14:paraId="5018D039" w14:textId="052F2B5D"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Brug af VEGF-</w:t>
      </w:r>
      <w:proofErr w:type="spellStart"/>
      <w:r w:rsidRPr="00811F65">
        <w:rPr>
          <w:rFonts w:eastAsia="TimesNewRoman"/>
          <w:sz w:val="24"/>
          <w:szCs w:val="24"/>
          <w:lang w:eastAsia="en-GB"/>
        </w:rPr>
        <w:t>hæmmere</w:t>
      </w:r>
      <w:proofErr w:type="spellEnd"/>
      <w:r w:rsidRPr="00811F65">
        <w:rPr>
          <w:rFonts w:eastAsia="TimesNewRoman"/>
          <w:sz w:val="24"/>
          <w:szCs w:val="24"/>
          <w:lang w:eastAsia="en-GB"/>
        </w:rPr>
        <w:t xml:space="preserve"> hos patienter med eller uden hypertension kan fremme dannelse af</w:t>
      </w:r>
      <w:r w:rsidR="00811F65">
        <w:rPr>
          <w:rFonts w:eastAsia="TimesNewRoman"/>
          <w:sz w:val="24"/>
          <w:szCs w:val="24"/>
          <w:lang w:eastAsia="en-GB"/>
        </w:rPr>
        <w:t xml:space="preserve"> </w:t>
      </w:r>
      <w:proofErr w:type="spellStart"/>
      <w:r w:rsidRPr="00811F65">
        <w:rPr>
          <w:rFonts w:eastAsia="TimesNewRoman"/>
          <w:sz w:val="24"/>
          <w:szCs w:val="24"/>
          <w:lang w:eastAsia="en-GB"/>
        </w:rPr>
        <w:t>aneurismer</w:t>
      </w:r>
      <w:proofErr w:type="spellEnd"/>
      <w:r w:rsidRPr="00811F65">
        <w:rPr>
          <w:rFonts w:eastAsia="TimesNewRoman"/>
          <w:sz w:val="24"/>
          <w:szCs w:val="24"/>
          <w:lang w:eastAsia="en-GB"/>
        </w:rPr>
        <w:t xml:space="preserve"> og/eller arterielle dissektioner. Inden indledning af behandling med </w:t>
      </w:r>
      <w:proofErr w:type="spellStart"/>
      <w:r w:rsidR="00E84059">
        <w:rPr>
          <w:rFonts w:eastAsia="TimesNewRoman"/>
          <w:sz w:val="24"/>
          <w:szCs w:val="24"/>
          <w:lang w:eastAsia="en-GB"/>
        </w:rPr>
        <w:t>Axitinib</w:t>
      </w:r>
      <w:proofErr w:type="spellEnd"/>
      <w:r w:rsidR="00E84059">
        <w:rPr>
          <w:rFonts w:eastAsia="TimesNewRoman"/>
          <w:sz w:val="24"/>
          <w:szCs w:val="24"/>
          <w:lang w:eastAsia="en-GB"/>
        </w:rPr>
        <w:t xml:space="preserve"> "</w:t>
      </w:r>
      <w:proofErr w:type="spellStart"/>
      <w:r w:rsidR="00E84059">
        <w:rPr>
          <w:rFonts w:eastAsia="TimesNewRoman"/>
          <w:sz w:val="24"/>
          <w:szCs w:val="24"/>
          <w:lang w:eastAsia="en-GB"/>
        </w:rPr>
        <w:t>Stada</w:t>
      </w:r>
      <w:proofErr w:type="spellEnd"/>
      <w:r w:rsidR="00E84059">
        <w:rPr>
          <w:rFonts w:eastAsia="TimesNewRoman"/>
          <w:sz w:val="24"/>
          <w:szCs w:val="24"/>
          <w:lang w:eastAsia="en-GB"/>
        </w:rPr>
        <w:t>"</w:t>
      </w:r>
      <w:r w:rsidRPr="00811F65">
        <w:rPr>
          <w:rFonts w:eastAsia="TimesNewRoman"/>
          <w:sz w:val="24"/>
          <w:szCs w:val="24"/>
          <w:lang w:eastAsia="en-GB"/>
        </w:rPr>
        <w:t xml:space="preserve"> bør denne risiko overvejes nøje for patienter med risikofaktorer såsom hypertension eller tidligere </w:t>
      </w:r>
      <w:proofErr w:type="spellStart"/>
      <w:r w:rsidRPr="00811F65">
        <w:rPr>
          <w:rFonts w:eastAsia="TimesNewRoman"/>
          <w:sz w:val="24"/>
          <w:szCs w:val="24"/>
          <w:lang w:eastAsia="en-GB"/>
        </w:rPr>
        <w:t>aneurisme</w:t>
      </w:r>
      <w:proofErr w:type="spellEnd"/>
      <w:r w:rsidRPr="00811F65">
        <w:rPr>
          <w:rFonts w:eastAsia="TimesNewRoman"/>
          <w:sz w:val="24"/>
          <w:szCs w:val="24"/>
          <w:lang w:eastAsia="en-GB"/>
        </w:rPr>
        <w:t>.</w:t>
      </w:r>
    </w:p>
    <w:p w14:paraId="62F8E842" w14:textId="77777777" w:rsidR="00355DFD" w:rsidRPr="00811F65" w:rsidRDefault="00355DFD" w:rsidP="00355DFD">
      <w:pPr>
        <w:autoSpaceDE w:val="0"/>
        <w:autoSpaceDN w:val="0"/>
        <w:adjustRightInd w:val="0"/>
        <w:ind w:left="851"/>
        <w:rPr>
          <w:rFonts w:eastAsia="TimesNewRoman"/>
          <w:sz w:val="24"/>
          <w:szCs w:val="24"/>
          <w:lang w:eastAsia="en-GB"/>
        </w:rPr>
      </w:pPr>
    </w:p>
    <w:p w14:paraId="01F305BF" w14:textId="77777777" w:rsidR="00355DFD" w:rsidRPr="00811F65" w:rsidRDefault="00355DFD" w:rsidP="00355DFD">
      <w:pPr>
        <w:autoSpaceDE w:val="0"/>
        <w:autoSpaceDN w:val="0"/>
        <w:adjustRightInd w:val="0"/>
        <w:ind w:left="851"/>
        <w:rPr>
          <w:rFonts w:eastAsia="TimesNewRoman"/>
          <w:sz w:val="24"/>
          <w:szCs w:val="24"/>
          <w:u w:val="single"/>
          <w:lang w:eastAsia="en-GB"/>
        </w:rPr>
      </w:pPr>
      <w:proofErr w:type="spellStart"/>
      <w:r w:rsidRPr="00811F65">
        <w:rPr>
          <w:rFonts w:eastAsia="TimesNewRoman"/>
          <w:sz w:val="24"/>
          <w:szCs w:val="24"/>
          <w:u w:val="single"/>
          <w:lang w:eastAsia="en-GB"/>
        </w:rPr>
        <w:t>Gastrointestinal</w:t>
      </w:r>
      <w:proofErr w:type="spellEnd"/>
      <w:r w:rsidRPr="00811F65">
        <w:rPr>
          <w:rFonts w:eastAsia="TimesNewRoman"/>
          <w:sz w:val="24"/>
          <w:szCs w:val="24"/>
          <w:u w:val="single"/>
          <w:lang w:eastAsia="en-GB"/>
        </w:rPr>
        <w:t xml:space="preserve"> perforation og fisteldannelse</w:t>
      </w:r>
    </w:p>
    <w:p w14:paraId="633014BA" w14:textId="77777777"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Der er set </w:t>
      </w:r>
      <w:proofErr w:type="spellStart"/>
      <w:r w:rsidRPr="00811F65">
        <w:rPr>
          <w:rFonts w:eastAsia="TimesNewRoman"/>
          <w:sz w:val="24"/>
          <w:szCs w:val="24"/>
          <w:lang w:eastAsia="en-GB"/>
        </w:rPr>
        <w:t>gastrointestinal</w:t>
      </w:r>
      <w:proofErr w:type="spellEnd"/>
      <w:r w:rsidRPr="00811F65">
        <w:rPr>
          <w:rFonts w:eastAsia="TimesNewRoman"/>
          <w:sz w:val="24"/>
          <w:szCs w:val="24"/>
          <w:lang w:eastAsia="en-GB"/>
        </w:rPr>
        <w:t xml:space="preserve"> perforation og fistler i kliniske studier med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(se pkt. 4.8).</w:t>
      </w:r>
    </w:p>
    <w:p w14:paraId="46980115" w14:textId="77777777" w:rsidR="00355DFD" w:rsidRPr="00811F65" w:rsidRDefault="00355DFD" w:rsidP="00355DFD">
      <w:pPr>
        <w:autoSpaceDE w:val="0"/>
        <w:autoSpaceDN w:val="0"/>
        <w:adjustRightInd w:val="0"/>
        <w:ind w:left="851"/>
        <w:rPr>
          <w:rFonts w:eastAsia="TimesNewRoman"/>
          <w:sz w:val="24"/>
          <w:szCs w:val="24"/>
          <w:lang w:eastAsia="en-GB"/>
        </w:rPr>
      </w:pPr>
    </w:p>
    <w:p w14:paraId="3684C641" w14:textId="2E3905A0"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Der skal monitoreres for symptomer på </w:t>
      </w:r>
      <w:proofErr w:type="spellStart"/>
      <w:r w:rsidRPr="00811F65">
        <w:rPr>
          <w:rFonts w:eastAsia="TimesNewRoman"/>
          <w:sz w:val="24"/>
          <w:szCs w:val="24"/>
          <w:lang w:eastAsia="en-GB"/>
        </w:rPr>
        <w:t>gastrointestinal</w:t>
      </w:r>
      <w:proofErr w:type="spellEnd"/>
      <w:r w:rsidRPr="00811F65">
        <w:rPr>
          <w:rFonts w:eastAsia="TimesNewRoman"/>
          <w:sz w:val="24"/>
          <w:szCs w:val="24"/>
          <w:lang w:eastAsia="en-GB"/>
        </w:rPr>
        <w:t xml:space="preserve"> perforation og fistler under hele behandlingen</w:t>
      </w:r>
      <w:r w:rsidR="00811F65">
        <w:rPr>
          <w:rFonts w:eastAsia="TimesNewRoman"/>
          <w:sz w:val="24"/>
          <w:szCs w:val="24"/>
          <w:lang w:eastAsia="en-GB"/>
        </w:rPr>
        <w:t xml:space="preserve"> </w:t>
      </w:r>
      <w:r w:rsidRPr="00811F65">
        <w:rPr>
          <w:rFonts w:eastAsia="TimesNewRoman"/>
          <w:sz w:val="24"/>
          <w:szCs w:val="24"/>
          <w:lang w:eastAsia="en-GB"/>
        </w:rPr>
        <w:t xml:space="preserve">med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w:t>
      </w:r>
    </w:p>
    <w:p w14:paraId="1EB68D06" w14:textId="77777777" w:rsidR="00355DFD" w:rsidRPr="00811F65" w:rsidRDefault="00355DFD" w:rsidP="00355DFD">
      <w:pPr>
        <w:autoSpaceDE w:val="0"/>
        <w:autoSpaceDN w:val="0"/>
        <w:adjustRightInd w:val="0"/>
        <w:ind w:left="851"/>
        <w:rPr>
          <w:rFonts w:eastAsia="TimesNewRoman"/>
          <w:sz w:val="24"/>
          <w:szCs w:val="24"/>
          <w:lang w:eastAsia="en-GB"/>
        </w:rPr>
      </w:pPr>
    </w:p>
    <w:p w14:paraId="5C4CD7C0" w14:textId="77777777" w:rsidR="00355DFD" w:rsidRPr="00811F65" w:rsidRDefault="00355DFD" w:rsidP="00355DFD">
      <w:pPr>
        <w:autoSpaceDE w:val="0"/>
        <w:autoSpaceDN w:val="0"/>
        <w:adjustRightInd w:val="0"/>
        <w:ind w:left="851"/>
        <w:rPr>
          <w:rFonts w:eastAsia="TimesNewRoman"/>
          <w:sz w:val="24"/>
          <w:szCs w:val="24"/>
          <w:u w:val="single"/>
          <w:lang w:eastAsia="en-GB"/>
        </w:rPr>
      </w:pPr>
      <w:r w:rsidRPr="00811F65">
        <w:rPr>
          <w:rFonts w:eastAsia="TimesNewRoman"/>
          <w:sz w:val="24"/>
          <w:szCs w:val="24"/>
          <w:u w:val="single"/>
          <w:lang w:eastAsia="en-GB"/>
        </w:rPr>
        <w:t>Komplikationer til sårheling</w:t>
      </w:r>
    </w:p>
    <w:p w14:paraId="0AFDBFEA" w14:textId="77777777"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Der er ikke udført studier af virkningen af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på sårheling.</w:t>
      </w:r>
    </w:p>
    <w:p w14:paraId="43B81B58" w14:textId="77777777" w:rsidR="00355DFD" w:rsidRPr="00811F65" w:rsidRDefault="00355DFD" w:rsidP="00355DFD">
      <w:pPr>
        <w:autoSpaceDE w:val="0"/>
        <w:autoSpaceDN w:val="0"/>
        <w:adjustRightInd w:val="0"/>
        <w:ind w:left="851"/>
        <w:rPr>
          <w:rFonts w:eastAsia="TimesNewRoman"/>
          <w:sz w:val="24"/>
          <w:szCs w:val="24"/>
          <w:lang w:eastAsia="en-GB"/>
        </w:rPr>
      </w:pPr>
    </w:p>
    <w:p w14:paraId="0F8716F3" w14:textId="0A77AAA5"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Behandlingen med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skal afbrydes mindst 24 timer før planlagt operation. Beslutning om at</w:t>
      </w:r>
      <w:r w:rsidR="00811F65">
        <w:rPr>
          <w:rFonts w:eastAsia="TimesNewRoman"/>
          <w:sz w:val="24"/>
          <w:szCs w:val="24"/>
          <w:lang w:eastAsia="en-GB"/>
        </w:rPr>
        <w:t xml:space="preserve"> </w:t>
      </w:r>
      <w:r w:rsidRPr="00811F65">
        <w:rPr>
          <w:rFonts w:eastAsia="TimesNewRoman"/>
          <w:sz w:val="24"/>
          <w:szCs w:val="24"/>
          <w:lang w:eastAsia="en-GB"/>
        </w:rPr>
        <w:t>genoptage behandlingen bør baseres på klinisk vurdering af tilfredsstillende sårheling.</w:t>
      </w:r>
    </w:p>
    <w:p w14:paraId="4C88202C" w14:textId="77777777" w:rsidR="00355DFD" w:rsidRPr="00811F65" w:rsidRDefault="00355DFD" w:rsidP="00355DFD">
      <w:pPr>
        <w:autoSpaceDE w:val="0"/>
        <w:autoSpaceDN w:val="0"/>
        <w:adjustRightInd w:val="0"/>
        <w:ind w:left="851"/>
        <w:rPr>
          <w:rFonts w:eastAsia="TimesNewRoman"/>
          <w:sz w:val="24"/>
          <w:szCs w:val="24"/>
          <w:lang w:eastAsia="en-GB"/>
        </w:rPr>
      </w:pPr>
    </w:p>
    <w:p w14:paraId="1D472528" w14:textId="77777777" w:rsidR="00355DFD" w:rsidRPr="00811F65" w:rsidRDefault="00355DFD" w:rsidP="00355DFD">
      <w:pPr>
        <w:autoSpaceDE w:val="0"/>
        <w:autoSpaceDN w:val="0"/>
        <w:adjustRightInd w:val="0"/>
        <w:ind w:left="851"/>
        <w:rPr>
          <w:rFonts w:eastAsia="TimesNewRoman"/>
          <w:sz w:val="24"/>
          <w:szCs w:val="24"/>
          <w:u w:val="single"/>
          <w:lang w:eastAsia="en-GB"/>
        </w:rPr>
      </w:pPr>
      <w:proofErr w:type="spellStart"/>
      <w:r w:rsidRPr="00811F65">
        <w:rPr>
          <w:rFonts w:eastAsia="TimesNewRoman"/>
          <w:sz w:val="24"/>
          <w:szCs w:val="24"/>
          <w:u w:val="single"/>
          <w:lang w:eastAsia="en-GB"/>
        </w:rPr>
        <w:t>Posteriort</w:t>
      </w:r>
      <w:proofErr w:type="spellEnd"/>
      <w:r w:rsidRPr="00811F65">
        <w:rPr>
          <w:rFonts w:eastAsia="TimesNewRoman"/>
          <w:sz w:val="24"/>
          <w:szCs w:val="24"/>
          <w:u w:val="single"/>
          <w:lang w:eastAsia="en-GB"/>
        </w:rPr>
        <w:t xml:space="preserve"> reversibelt encefalopati-syndrom (PRES)</w:t>
      </w:r>
    </w:p>
    <w:p w14:paraId="4D693BF5" w14:textId="77777777"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Der er set PRES i kliniske studier ved behandling med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(se pkt. 4.8). </w:t>
      </w:r>
    </w:p>
    <w:p w14:paraId="592E0A55" w14:textId="77777777" w:rsidR="00355DFD" w:rsidRPr="00811F65" w:rsidRDefault="00355DFD" w:rsidP="00355DFD">
      <w:pPr>
        <w:autoSpaceDE w:val="0"/>
        <w:autoSpaceDN w:val="0"/>
        <w:adjustRightInd w:val="0"/>
        <w:ind w:left="851"/>
        <w:rPr>
          <w:rFonts w:eastAsia="TimesNewRoman"/>
          <w:sz w:val="24"/>
          <w:szCs w:val="24"/>
          <w:lang w:eastAsia="en-GB"/>
        </w:rPr>
      </w:pPr>
    </w:p>
    <w:p w14:paraId="564F4109" w14:textId="77777777"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PRES er en neurologisk forstyrrelse med symptomer som hovedpine, anfald, sløvhed, forvirring, blindhed og andre synsforstyrrelser og neurologiske forstyrrelser. Der ses også mild til alvorlig hypertension. Det er nødvendigt at MR-skanne patienten for at stille PRES-diagnosen.</w:t>
      </w:r>
    </w:p>
    <w:p w14:paraId="50B7D735" w14:textId="6A06E850"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Behandlingen med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skal afbrydes midlertidigt eller permanent hos patienter med symptomer på</w:t>
      </w:r>
      <w:r w:rsidR="00811F65">
        <w:rPr>
          <w:rFonts w:eastAsia="TimesNewRoman"/>
          <w:sz w:val="24"/>
          <w:szCs w:val="24"/>
          <w:lang w:eastAsia="en-GB"/>
        </w:rPr>
        <w:t xml:space="preserve"> </w:t>
      </w:r>
      <w:r w:rsidRPr="00811F65">
        <w:rPr>
          <w:rFonts w:eastAsia="TimesNewRoman"/>
          <w:sz w:val="24"/>
          <w:szCs w:val="24"/>
          <w:lang w:eastAsia="en-GB"/>
        </w:rPr>
        <w:t>PRES. Sikkerheden ved genoptagelse af behandlingen hos patienter, som har haft PRES, kendes ikke.</w:t>
      </w:r>
    </w:p>
    <w:p w14:paraId="37C7DDB4" w14:textId="77777777" w:rsidR="00355DFD" w:rsidRPr="00811F65" w:rsidRDefault="00355DFD" w:rsidP="00355DFD">
      <w:pPr>
        <w:autoSpaceDE w:val="0"/>
        <w:autoSpaceDN w:val="0"/>
        <w:adjustRightInd w:val="0"/>
        <w:ind w:left="851"/>
        <w:rPr>
          <w:rFonts w:eastAsia="TimesNewRoman"/>
          <w:sz w:val="24"/>
          <w:szCs w:val="24"/>
          <w:lang w:eastAsia="en-GB"/>
        </w:rPr>
      </w:pPr>
    </w:p>
    <w:p w14:paraId="099106E1" w14:textId="77777777" w:rsidR="00355DFD" w:rsidRPr="00811F65" w:rsidRDefault="00355DFD" w:rsidP="00355DFD">
      <w:pPr>
        <w:autoSpaceDE w:val="0"/>
        <w:autoSpaceDN w:val="0"/>
        <w:adjustRightInd w:val="0"/>
        <w:ind w:left="851"/>
        <w:rPr>
          <w:rFonts w:eastAsia="TimesNewRoman"/>
          <w:sz w:val="24"/>
          <w:szCs w:val="24"/>
          <w:u w:val="single"/>
          <w:lang w:eastAsia="en-GB"/>
        </w:rPr>
      </w:pPr>
      <w:proofErr w:type="spellStart"/>
      <w:r w:rsidRPr="00811F65">
        <w:rPr>
          <w:rFonts w:eastAsia="TimesNewRoman"/>
          <w:sz w:val="24"/>
          <w:szCs w:val="24"/>
          <w:u w:val="single"/>
          <w:lang w:eastAsia="en-GB"/>
        </w:rPr>
        <w:t>Proteinuri</w:t>
      </w:r>
      <w:proofErr w:type="spellEnd"/>
    </w:p>
    <w:p w14:paraId="6D3C635B" w14:textId="14F7E6B8"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Der er rapporteret </w:t>
      </w:r>
      <w:proofErr w:type="spellStart"/>
      <w:r w:rsidRPr="00811F65">
        <w:rPr>
          <w:rFonts w:eastAsia="TimesNewRoman"/>
          <w:sz w:val="24"/>
          <w:szCs w:val="24"/>
          <w:lang w:eastAsia="en-GB"/>
        </w:rPr>
        <w:t>proteinuri</w:t>
      </w:r>
      <w:proofErr w:type="spellEnd"/>
      <w:r w:rsidRPr="00811F65">
        <w:rPr>
          <w:rFonts w:eastAsia="TimesNewRoman"/>
          <w:sz w:val="24"/>
          <w:szCs w:val="24"/>
          <w:lang w:eastAsia="en-GB"/>
        </w:rPr>
        <w:t xml:space="preserve">, herunder grad 3- og 4-proteinuri, i kliniske studier med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(se pkt.</w:t>
      </w:r>
      <w:r w:rsidR="00811F65">
        <w:rPr>
          <w:rFonts w:eastAsia="TimesNewRoman"/>
          <w:sz w:val="24"/>
          <w:szCs w:val="24"/>
          <w:lang w:eastAsia="en-GB"/>
        </w:rPr>
        <w:t xml:space="preserve"> </w:t>
      </w:r>
      <w:r w:rsidRPr="00811F65">
        <w:rPr>
          <w:rFonts w:eastAsia="TimesNewRoman"/>
          <w:sz w:val="24"/>
          <w:szCs w:val="24"/>
          <w:lang w:eastAsia="en-GB"/>
        </w:rPr>
        <w:t>4.8).</w:t>
      </w:r>
    </w:p>
    <w:p w14:paraId="40BC96F7" w14:textId="77777777" w:rsidR="00355DFD" w:rsidRPr="00811F65" w:rsidRDefault="00355DFD" w:rsidP="00355DFD">
      <w:pPr>
        <w:autoSpaceDE w:val="0"/>
        <w:autoSpaceDN w:val="0"/>
        <w:adjustRightInd w:val="0"/>
        <w:ind w:left="851"/>
        <w:rPr>
          <w:rFonts w:eastAsia="TimesNewRoman"/>
          <w:sz w:val="24"/>
          <w:szCs w:val="24"/>
          <w:lang w:eastAsia="en-GB"/>
        </w:rPr>
      </w:pPr>
    </w:p>
    <w:p w14:paraId="5AB2CF29" w14:textId="0C36556F"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Det anbefales at monitorere for </w:t>
      </w:r>
      <w:proofErr w:type="spellStart"/>
      <w:r w:rsidRPr="00811F65">
        <w:rPr>
          <w:rFonts w:eastAsia="TimesNewRoman"/>
          <w:sz w:val="24"/>
          <w:szCs w:val="24"/>
          <w:lang w:eastAsia="en-GB"/>
        </w:rPr>
        <w:t>proteinuri</w:t>
      </w:r>
      <w:proofErr w:type="spellEnd"/>
      <w:r w:rsidRPr="00811F65">
        <w:rPr>
          <w:rFonts w:eastAsia="TimesNewRoman"/>
          <w:sz w:val="24"/>
          <w:szCs w:val="24"/>
          <w:lang w:eastAsia="en-GB"/>
        </w:rPr>
        <w:t xml:space="preserve"> før og regelmæssigt under behandlingen med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Hos</w:t>
      </w:r>
      <w:r w:rsidR="00811F65">
        <w:rPr>
          <w:rFonts w:eastAsia="TimesNewRoman"/>
          <w:sz w:val="24"/>
          <w:szCs w:val="24"/>
          <w:lang w:eastAsia="en-GB"/>
        </w:rPr>
        <w:t xml:space="preserve"> </w:t>
      </w:r>
      <w:r w:rsidRPr="00811F65">
        <w:rPr>
          <w:rFonts w:eastAsia="TimesNewRoman"/>
          <w:sz w:val="24"/>
          <w:szCs w:val="24"/>
          <w:lang w:eastAsia="en-GB"/>
        </w:rPr>
        <w:t xml:space="preserve">patienter, der udvikler moderat til svær </w:t>
      </w:r>
      <w:proofErr w:type="spellStart"/>
      <w:r w:rsidRPr="00811F65">
        <w:rPr>
          <w:rFonts w:eastAsia="TimesNewRoman"/>
          <w:sz w:val="24"/>
          <w:szCs w:val="24"/>
          <w:lang w:eastAsia="en-GB"/>
        </w:rPr>
        <w:t>proteinuri</w:t>
      </w:r>
      <w:proofErr w:type="spellEnd"/>
      <w:r w:rsidRPr="00811F65">
        <w:rPr>
          <w:rFonts w:eastAsia="TimesNewRoman"/>
          <w:sz w:val="24"/>
          <w:szCs w:val="24"/>
          <w:lang w:eastAsia="en-GB"/>
        </w:rPr>
        <w:t xml:space="preserve">, skal dosis reduceres eller behandlingen med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afbrydes midlertidigt (se pkt. 4.2).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skal seponeres, hvis patienten udvikler </w:t>
      </w:r>
      <w:proofErr w:type="spellStart"/>
      <w:r w:rsidRPr="00811F65">
        <w:rPr>
          <w:rFonts w:eastAsia="TimesNewRoman"/>
          <w:sz w:val="24"/>
          <w:szCs w:val="24"/>
          <w:lang w:eastAsia="en-GB"/>
        </w:rPr>
        <w:t>nefrotisk</w:t>
      </w:r>
      <w:proofErr w:type="spellEnd"/>
      <w:r w:rsidRPr="00811F65">
        <w:rPr>
          <w:rFonts w:eastAsia="TimesNewRoman"/>
          <w:sz w:val="24"/>
          <w:szCs w:val="24"/>
          <w:lang w:eastAsia="en-GB"/>
        </w:rPr>
        <w:t xml:space="preserve"> syndrom.</w:t>
      </w:r>
    </w:p>
    <w:p w14:paraId="18C237E1" w14:textId="77777777" w:rsidR="00355DFD" w:rsidRPr="00811F65" w:rsidRDefault="00355DFD" w:rsidP="00355DFD">
      <w:pPr>
        <w:autoSpaceDE w:val="0"/>
        <w:autoSpaceDN w:val="0"/>
        <w:adjustRightInd w:val="0"/>
        <w:ind w:left="851"/>
        <w:rPr>
          <w:sz w:val="24"/>
          <w:szCs w:val="24"/>
          <w:u w:val="single"/>
          <w:lang w:eastAsia="fr-LU"/>
        </w:rPr>
      </w:pPr>
    </w:p>
    <w:p w14:paraId="6DE6805D" w14:textId="77777777" w:rsidR="00355DFD" w:rsidRPr="00811F65" w:rsidRDefault="00355DFD" w:rsidP="00355DFD">
      <w:pPr>
        <w:autoSpaceDE w:val="0"/>
        <w:autoSpaceDN w:val="0"/>
        <w:adjustRightInd w:val="0"/>
        <w:ind w:left="851"/>
        <w:rPr>
          <w:rFonts w:eastAsia="TimesNewRoman"/>
          <w:sz w:val="24"/>
          <w:szCs w:val="24"/>
          <w:u w:val="single"/>
          <w:lang w:eastAsia="en-GB"/>
        </w:rPr>
      </w:pPr>
      <w:r w:rsidRPr="00811F65">
        <w:rPr>
          <w:rFonts w:eastAsia="TimesNewRoman"/>
          <w:sz w:val="24"/>
          <w:szCs w:val="24"/>
          <w:u w:val="single"/>
          <w:lang w:eastAsia="en-GB"/>
        </w:rPr>
        <w:t>Leverrelaterede bivirkninger</w:t>
      </w:r>
    </w:p>
    <w:p w14:paraId="4DE9694F" w14:textId="11EDAD84"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I et kontrolleret klinisk studie med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for behandling af patienter med RCC er der set</w:t>
      </w:r>
      <w:r w:rsidR="00811F65">
        <w:rPr>
          <w:rFonts w:eastAsia="TimesNewRoman"/>
          <w:sz w:val="24"/>
          <w:szCs w:val="24"/>
          <w:lang w:eastAsia="en-GB"/>
        </w:rPr>
        <w:t xml:space="preserve"> </w:t>
      </w:r>
      <w:r w:rsidRPr="00811F65">
        <w:rPr>
          <w:rFonts w:eastAsia="TimesNewRoman"/>
          <w:sz w:val="24"/>
          <w:szCs w:val="24"/>
          <w:lang w:eastAsia="en-GB"/>
        </w:rPr>
        <w:t>leverrelaterede bivirkninger. De hyppigst indberettede leverrelaterede bivirkninger var stigning i</w:t>
      </w:r>
      <w:r w:rsidR="00811F65">
        <w:rPr>
          <w:rFonts w:eastAsia="TimesNewRoman"/>
          <w:sz w:val="24"/>
          <w:szCs w:val="24"/>
          <w:lang w:eastAsia="en-GB"/>
        </w:rPr>
        <w:t xml:space="preserve"> </w:t>
      </w:r>
      <w:proofErr w:type="spellStart"/>
      <w:r w:rsidRPr="00811F65">
        <w:rPr>
          <w:rFonts w:eastAsia="TimesNewRoman"/>
          <w:sz w:val="24"/>
          <w:szCs w:val="24"/>
          <w:lang w:eastAsia="en-GB"/>
        </w:rPr>
        <w:t>alanin-aminotransferase</w:t>
      </w:r>
      <w:proofErr w:type="spellEnd"/>
      <w:r w:rsidRPr="00811F65">
        <w:rPr>
          <w:rFonts w:eastAsia="TimesNewRoman"/>
          <w:sz w:val="24"/>
          <w:szCs w:val="24"/>
          <w:lang w:eastAsia="en-GB"/>
        </w:rPr>
        <w:t xml:space="preserve"> (ALAT), </w:t>
      </w:r>
      <w:proofErr w:type="spellStart"/>
      <w:r w:rsidRPr="00811F65">
        <w:rPr>
          <w:rFonts w:eastAsia="TimesNewRoman"/>
          <w:sz w:val="24"/>
          <w:szCs w:val="24"/>
          <w:lang w:eastAsia="en-GB"/>
        </w:rPr>
        <w:t>aspartat-aminotransferase</w:t>
      </w:r>
      <w:proofErr w:type="spellEnd"/>
      <w:r w:rsidRPr="00811F65">
        <w:rPr>
          <w:rFonts w:eastAsia="TimesNewRoman"/>
          <w:sz w:val="24"/>
          <w:szCs w:val="24"/>
          <w:lang w:eastAsia="en-GB"/>
        </w:rPr>
        <w:t xml:space="preserve"> (ASAT) og plasma-bilirubin (se pkt. 4.8).</w:t>
      </w:r>
    </w:p>
    <w:p w14:paraId="75D08078" w14:textId="67CF6E24"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Der blev ikke observeret samtidig stigning af ALAT (&gt;3 gange den øvre normalgrænse [ULN]) og</w:t>
      </w:r>
      <w:r w:rsidR="00811F65">
        <w:rPr>
          <w:rFonts w:eastAsia="TimesNewRoman"/>
          <w:sz w:val="24"/>
          <w:szCs w:val="24"/>
          <w:lang w:eastAsia="en-GB"/>
        </w:rPr>
        <w:t xml:space="preserve"> </w:t>
      </w:r>
      <w:r w:rsidRPr="00811F65">
        <w:rPr>
          <w:rFonts w:eastAsia="TimesNewRoman"/>
          <w:sz w:val="24"/>
          <w:szCs w:val="24"/>
          <w:lang w:eastAsia="en-GB"/>
        </w:rPr>
        <w:t>bilirubin (&gt;2 gange ULN).</w:t>
      </w:r>
    </w:p>
    <w:p w14:paraId="5ADD80E4" w14:textId="77777777" w:rsidR="00355DFD" w:rsidRPr="00811F65" w:rsidRDefault="00355DFD" w:rsidP="00355DFD">
      <w:pPr>
        <w:autoSpaceDE w:val="0"/>
        <w:autoSpaceDN w:val="0"/>
        <w:adjustRightInd w:val="0"/>
        <w:ind w:left="851"/>
        <w:rPr>
          <w:rFonts w:eastAsia="TimesNewRoman"/>
          <w:sz w:val="24"/>
          <w:szCs w:val="24"/>
          <w:lang w:eastAsia="en-GB"/>
        </w:rPr>
      </w:pPr>
    </w:p>
    <w:p w14:paraId="0CE7BE6B" w14:textId="0865F551"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I et klinisk dosis-responsstudie sås en samtidig stigning af ALAT (12 gange ULN) og bilirubin (2,3</w:t>
      </w:r>
      <w:r w:rsidR="00811F65">
        <w:rPr>
          <w:rFonts w:eastAsia="TimesNewRoman"/>
          <w:sz w:val="24"/>
          <w:szCs w:val="24"/>
          <w:lang w:eastAsia="en-GB"/>
        </w:rPr>
        <w:t xml:space="preserve"> </w:t>
      </w:r>
      <w:r w:rsidRPr="00811F65">
        <w:rPr>
          <w:rFonts w:eastAsia="TimesNewRoman"/>
          <w:sz w:val="24"/>
          <w:szCs w:val="24"/>
          <w:lang w:eastAsia="en-GB"/>
        </w:rPr>
        <w:t>gange ULN), vurderet til at være lægemiddelrelateret levertoksicitet, hos 1 patient ved en startdosis på</w:t>
      </w:r>
      <w:r w:rsidR="00811F65">
        <w:rPr>
          <w:rFonts w:eastAsia="TimesNewRoman"/>
          <w:sz w:val="24"/>
          <w:szCs w:val="24"/>
          <w:lang w:eastAsia="en-GB"/>
        </w:rPr>
        <w:t xml:space="preserve"> </w:t>
      </w:r>
      <w:r w:rsidRPr="00811F65">
        <w:rPr>
          <w:rFonts w:eastAsia="TimesNewRoman"/>
          <w:sz w:val="24"/>
          <w:szCs w:val="24"/>
          <w:lang w:eastAsia="en-GB"/>
        </w:rPr>
        <w:t>20 mg 2 gange dagligt (4 gange den anbefalede daglige dosis).</w:t>
      </w:r>
    </w:p>
    <w:p w14:paraId="3180B948" w14:textId="77777777" w:rsidR="00355DFD" w:rsidRPr="00811F65" w:rsidRDefault="00355DFD" w:rsidP="00355DFD">
      <w:pPr>
        <w:autoSpaceDE w:val="0"/>
        <w:autoSpaceDN w:val="0"/>
        <w:adjustRightInd w:val="0"/>
        <w:ind w:left="851"/>
        <w:rPr>
          <w:rFonts w:eastAsia="TimesNewRoman"/>
          <w:sz w:val="24"/>
          <w:szCs w:val="24"/>
          <w:lang w:eastAsia="en-GB"/>
        </w:rPr>
      </w:pPr>
    </w:p>
    <w:p w14:paraId="6187CCFB" w14:textId="4ECA495A"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Leverfunktionen skal kontrolleres før initiering af behandlingen og regelmæssigt under hele</w:t>
      </w:r>
      <w:r w:rsidR="00811F65">
        <w:rPr>
          <w:rFonts w:eastAsia="TimesNewRoman"/>
          <w:sz w:val="24"/>
          <w:szCs w:val="24"/>
          <w:lang w:eastAsia="en-GB"/>
        </w:rPr>
        <w:t xml:space="preserve"> </w:t>
      </w:r>
      <w:r w:rsidRPr="00811F65">
        <w:rPr>
          <w:rFonts w:eastAsia="TimesNewRoman"/>
          <w:sz w:val="24"/>
          <w:szCs w:val="24"/>
          <w:lang w:eastAsia="en-GB"/>
        </w:rPr>
        <w:t xml:space="preserve">behandlingen med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w:t>
      </w:r>
    </w:p>
    <w:p w14:paraId="31CFA6CE" w14:textId="21F5D6CA" w:rsidR="00E84059" w:rsidRDefault="00E84059">
      <w:pPr>
        <w:rPr>
          <w:rFonts w:eastAsia="TimesNewRoman"/>
          <w:sz w:val="24"/>
          <w:szCs w:val="24"/>
          <w:lang w:eastAsia="en-GB"/>
        </w:rPr>
      </w:pPr>
      <w:r>
        <w:rPr>
          <w:rFonts w:eastAsia="TimesNewRoman"/>
          <w:sz w:val="24"/>
          <w:szCs w:val="24"/>
          <w:lang w:eastAsia="en-GB"/>
        </w:rPr>
        <w:br w:type="page"/>
      </w:r>
    </w:p>
    <w:p w14:paraId="6F3DCA56" w14:textId="77777777" w:rsidR="00355DFD" w:rsidRPr="00811F65" w:rsidRDefault="00355DFD" w:rsidP="00355DFD">
      <w:pPr>
        <w:autoSpaceDE w:val="0"/>
        <w:autoSpaceDN w:val="0"/>
        <w:adjustRightInd w:val="0"/>
        <w:ind w:left="851"/>
        <w:rPr>
          <w:rFonts w:eastAsia="TimesNewRoman"/>
          <w:sz w:val="24"/>
          <w:szCs w:val="24"/>
          <w:lang w:eastAsia="en-GB"/>
        </w:rPr>
      </w:pPr>
    </w:p>
    <w:p w14:paraId="063EFCB7" w14:textId="77777777" w:rsidR="00355DFD" w:rsidRPr="00811F65" w:rsidRDefault="00355DFD" w:rsidP="00355DFD">
      <w:pPr>
        <w:autoSpaceDE w:val="0"/>
        <w:autoSpaceDN w:val="0"/>
        <w:adjustRightInd w:val="0"/>
        <w:ind w:left="851"/>
        <w:rPr>
          <w:rFonts w:eastAsia="TimesNewRoman"/>
          <w:sz w:val="24"/>
          <w:szCs w:val="24"/>
          <w:u w:val="single"/>
          <w:lang w:eastAsia="en-GB"/>
        </w:rPr>
      </w:pPr>
      <w:r w:rsidRPr="00811F65">
        <w:rPr>
          <w:rFonts w:eastAsia="TimesNewRoman"/>
          <w:sz w:val="24"/>
          <w:szCs w:val="24"/>
          <w:u w:val="single"/>
          <w:lang w:eastAsia="en-GB"/>
        </w:rPr>
        <w:t>Nedsat leverfunktion</w:t>
      </w:r>
    </w:p>
    <w:p w14:paraId="56BC803F" w14:textId="0A5F6F3A"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I kliniske studier var den systemiske </w:t>
      </w:r>
      <w:proofErr w:type="spellStart"/>
      <w:r w:rsidRPr="00811F65">
        <w:rPr>
          <w:rFonts w:eastAsia="TimesNewRoman"/>
          <w:sz w:val="24"/>
          <w:szCs w:val="24"/>
          <w:lang w:eastAsia="en-GB"/>
        </w:rPr>
        <w:t>exposure</w:t>
      </w:r>
      <w:proofErr w:type="spellEnd"/>
      <w:r w:rsidRPr="00811F65">
        <w:rPr>
          <w:rFonts w:eastAsia="TimesNewRoman"/>
          <w:sz w:val="24"/>
          <w:szCs w:val="24"/>
          <w:lang w:eastAsia="en-GB"/>
        </w:rPr>
        <w:t xml:space="preserve"> for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ca. 2 gange højere hos patienter med</w:t>
      </w:r>
      <w:r w:rsidR="00811F65">
        <w:rPr>
          <w:rFonts w:eastAsia="TimesNewRoman"/>
          <w:sz w:val="24"/>
          <w:szCs w:val="24"/>
          <w:lang w:eastAsia="en-GB"/>
        </w:rPr>
        <w:t xml:space="preserve"> </w:t>
      </w:r>
      <w:r w:rsidRPr="00811F65">
        <w:rPr>
          <w:rFonts w:eastAsia="TimesNewRoman"/>
          <w:sz w:val="24"/>
          <w:szCs w:val="24"/>
          <w:lang w:eastAsia="en-GB"/>
        </w:rPr>
        <w:t>moderat nedsat leverfunktion (Child-</w:t>
      </w:r>
      <w:proofErr w:type="spellStart"/>
      <w:r w:rsidRPr="00811F65">
        <w:rPr>
          <w:rFonts w:eastAsia="TimesNewRoman"/>
          <w:sz w:val="24"/>
          <w:szCs w:val="24"/>
          <w:lang w:eastAsia="en-GB"/>
        </w:rPr>
        <w:t>Pugh</w:t>
      </w:r>
      <w:proofErr w:type="spellEnd"/>
      <w:r w:rsidRPr="00811F65">
        <w:rPr>
          <w:rFonts w:eastAsia="TimesNewRoman"/>
          <w:sz w:val="24"/>
          <w:szCs w:val="24"/>
          <w:lang w:eastAsia="en-GB"/>
        </w:rPr>
        <w:t xml:space="preserve"> klasse B) sammenlignet med patienter med normal leverfunktion. Dosisreduktion anbefales til patienter med moderat nedsat leverfunktion (Child-</w:t>
      </w:r>
      <w:proofErr w:type="spellStart"/>
      <w:r w:rsidRPr="00811F65">
        <w:rPr>
          <w:rFonts w:eastAsia="TimesNewRoman"/>
          <w:sz w:val="24"/>
          <w:szCs w:val="24"/>
          <w:lang w:eastAsia="en-GB"/>
        </w:rPr>
        <w:t>Pugh</w:t>
      </w:r>
      <w:proofErr w:type="spellEnd"/>
      <w:r w:rsidRPr="00811F65">
        <w:rPr>
          <w:rFonts w:eastAsia="TimesNewRoman"/>
          <w:sz w:val="24"/>
          <w:szCs w:val="24"/>
          <w:lang w:eastAsia="en-GB"/>
        </w:rPr>
        <w:t xml:space="preserve"> klasse B) (se pkt. 4.2).</w:t>
      </w:r>
    </w:p>
    <w:p w14:paraId="1890DA04" w14:textId="77777777" w:rsidR="00355DFD" w:rsidRPr="00811F65" w:rsidRDefault="00355DFD" w:rsidP="00355DFD">
      <w:pPr>
        <w:autoSpaceDE w:val="0"/>
        <w:autoSpaceDN w:val="0"/>
        <w:adjustRightInd w:val="0"/>
        <w:ind w:left="851"/>
        <w:rPr>
          <w:rFonts w:eastAsia="TimesNewRoman"/>
          <w:sz w:val="24"/>
          <w:szCs w:val="24"/>
          <w:lang w:eastAsia="en-GB"/>
        </w:rPr>
      </w:pPr>
    </w:p>
    <w:p w14:paraId="48116C9C" w14:textId="09DCA4D2" w:rsidR="00355DFD" w:rsidRPr="00811F65" w:rsidRDefault="00355DFD" w:rsidP="00355DFD">
      <w:pPr>
        <w:autoSpaceDE w:val="0"/>
        <w:autoSpaceDN w:val="0"/>
        <w:adjustRightInd w:val="0"/>
        <w:ind w:left="851"/>
        <w:rPr>
          <w:rFonts w:eastAsia="TimesNewRoman"/>
          <w:sz w:val="24"/>
          <w:szCs w:val="24"/>
          <w:lang w:eastAsia="en-GB"/>
        </w:rPr>
      </w:pP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er ikke undersøgt hos patienter med svært nedsat leverfunktion (Child-</w:t>
      </w:r>
      <w:proofErr w:type="spellStart"/>
      <w:r w:rsidRPr="00811F65">
        <w:rPr>
          <w:rFonts w:eastAsia="TimesNewRoman"/>
          <w:sz w:val="24"/>
          <w:szCs w:val="24"/>
          <w:lang w:eastAsia="en-GB"/>
        </w:rPr>
        <w:t>Pugh</w:t>
      </w:r>
      <w:proofErr w:type="spellEnd"/>
      <w:r w:rsidRPr="00811F65">
        <w:rPr>
          <w:rFonts w:eastAsia="TimesNewRoman"/>
          <w:sz w:val="24"/>
          <w:szCs w:val="24"/>
          <w:lang w:eastAsia="en-GB"/>
        </w:rPr>
        <w:t xml:space="preserve"> klasse C) og bør</w:t>
      </w:r>
      <w:r w:rsidR="00811F65">
        <w:rPr>
          <w:rFonts w:eastAsia="TimesNewRoman"/>
          <w:sz w:val="24"/>
          <w:szCs w:val="24"/>
          <w:lang w:eastAsia="en-GB"/>
        </w:rPr>
        <w:t xml:space="preserve"> </w:t>
      </w:r>
      <w:r w:rsidRPr="00811F65">
        <w:rPr>
          <w:rFonts w:eastAsia="TimesNewRoman"/>
          <w:sz w:val="24"/>
          <w:szCs w:val="24"/>
          <w:lang w:eastAsia="en-GB"/>
        </w:rPr>
        <w:t>ikke anvendes til denne gruppe patienter.</w:t>
      </w:r>
    </w:p>
    <w:p w14:paraId="5F806A98" w14:textId="77777777" w:rsidR="00355DFD" w:rsidRPr="00811F65" w:rsidRDefault="00355DFD" w:rsidP="00355DFD">
      <w:pPr>
        <w:autoSpaceDE w:val="0"/>
        <w:autoSpaceDN w:val="0"/>
        <w:adjustRightInd w:val="0"/>
        <w:ind w:left="851"/>
        <w:rPr>
          <w:rFonts w:eastAsia="TimesNewRoman"/>
          <w:sz w:val="24"/>
          <w:szCs w:val="24"/>
          <w:lang w:eastAsia="en-GB"/>
        </w:rPr>
      </w:pPr>
    </w:p>
    <w:p w14:paraId="5C8645D3" w14:textId="77777777" w:rsidR="00355DFD" w:rsidRPr="00811F65" w:rsidRDefault="00355DFD" w:rsidP="00355DFD">
      <w:pPr>
        <w:autoSpaceDE w:val="0"/>
        <w:autoSpaceDN w:val="0"/>
        <w:adjustRightInd w:val="0"/>
        <w:ind w:left="851"/>
        <w:rPr>
          <w:sz w:val="24"/>
          <w:szCs w:val="24"/>
          <w:u w:val="single"/>
          <w:lang w:eastAsia="fr-LU"/>
        </w:rPr>
      </w:pPr>
      <w:r w:rsidRPr="00811F65">
        <w:rPr>
          <w:sz w:val="24"/>
          <w:szCs w:val="24"/>
          <w:u w:val="single"/>
        </w:rPr>
        <w:t xml:space="preserve">Ældre (≥ 65 år) og race </w:t>
      </w:r>
    </w:p>
    <w:p w14:paraId="26318C1E" w14:textId="3C6D6AE2" w:rsidR="00355DFD" w:rsidRPr="00811F65" w:rsidRDefault="00355DFD" w:rsidP="00355DFD">
      <w:pPr>
        <w:autoSpaceDE w:val="0"/>
        <w:autoSpaceDN w:val="0"/>
        <w:adjustRightInd w:val="0"/>
        <w:ind w:left="851"/>
        <w:rPr>
          <w:rFonts w:eastAsia="TimesNewRoman"/>
          <w:sz w:val="24"/>
          <w:szCs w:val="24"/>
          <w:lang w:eastAsia="en-GB"/>
        </w:rPr>
      </w:pPr>
      <w:r w:rsidRPr="00811F65">
        <w:rPr>
          <w:sz w:val="24"/>
          <w:szCs w:val="24"/>
        </w:rPr>
        <w:t xml:space="preserve">I et kontrolleret klinisk studie med </w:t>
      </w:r>
      <w:proofErr w:type="spellStart"/>
      <w:r w:rsidRPr="00811F65">
        <w:rPr>
          <w:sz w:val="24"/>
          <w:szCs w:val="24"/>
        </w:rPr>
        <w:t>axitinib</w:t>
      </w:r>
      <w:proofErr w:type="spellEnd"/>
      <w:r w:rsidRPr="00811F65">
        <w:rPr>
          <w:sz w:val="24"/>
          <w:szCs w:val="24"/>
        </w:rPr>
        <w:t xml:space="preserve"> til behandling af patienter med RCC var 34</w:t>
      </w:r>
      <w:r w:rsidR="00E84059">
        <w:rPr>
          <w:sz w:val="24"/>
          <w:szCs w:val="24"/>
        </w:rPr>
        <w:t xml:space="preserve"> %</w:t>
      </w:r>
      <w:r w:rsidRPr="00811F65">
        <w:rPr>
          <w:sz w:val="24"/>
          <w:szCs w:val="24"/>
        </w:rPr>
        <w:t xml:space="preserve"> af patienterne </w:t>
      </w:r>
      <w:r w:rsidRPr="00811F65">
        <w:rPr>
          <w:sz w:val="24"/>
          <w:szCs w:val="24"/>
          <w:u w:val="single"/>
        </w:rPr>
        <w:t>≥</w:t>
      </w:r>
      <w:r w:rsidRPr="00811F65">
        <w:rPr>
          <w:sz w:val="24"/>
          <w:szCs w:val="24"/>
        </w:rPr>
        <w:t xml:space="preserve"> 65 år gamle. Hovedparten af patienterne var hvide (77</w:t>
      </w:r>
      <w:r w:rsidR="00E84059">
        <w:rPr>
          <w:sz w:val="24"/>
          <w:szCs w:val="24"/>
        </w:rPr>
        <w:t xml:space="preserve"> %</w:t>
      </w:r>
      <w:r w:rsidRPr="00811F65">
        <w:rPr>
          <w:sz w:val="24"/>
          <w:szCs w:val="24"/>
        </w:rPr>
        <w:t>) eller asiater (21</w:t>
      </w:r>
      <w:r w:rsidR="00E84059">
        <w:rPr>
          <w:sz w:val="24"/>
          <w:szCs w:val="24"/>
        </w:rPr>
        <w:t> %</w:t>
      </w:r>
      <w:r w:rsidRPr="00811F65">
        <w:rPr>
          <w:sz w:val="24"/>
          <w:szCs w:val="24"/>
        </w:rPr>
        <w:t xml:space="preserve">). Selvom større følsomhed for udvikling af bivirkninger ikke kan udelukkes hos nogle ældre patienter og asiatiske patienter, blev der ikke fundet nogen større forskel i sikkerhed og virkning mellem patienter </w:t>
      </w:r>
      <w:r w:rsidRPr="00811F65">
        <w:rPr>
          <w:sz w:val="24"/>
          <w:szCs w:val="24"/>
          <w:u w:val="single"/>
        </w:rPr>
        <w:t>≥</w:t>
      </w:r>
      <w:r w:rsidRPr="00811F65">
        <w:rPr>
          <w:sz w:val="24"/>
          <w:szCs w:val="24"/>
        </w:rPr>
        <w:t xml:space="preserve"> 65 år gamle og yngre patienter eller mellem hvide patienter og patienter af andre racer.</w:t>
      </w:r>
    </w:p>
    <w:p w14:paraId="55D913EB" w14:textId="77777777" w:rsidR="00355DFD" w:rsidRPr="00811F65" w:rsidRDefault="00355DFD" w:rsidP="00355DFD">
      <w:pPr>
        <w:autoSpaceDE w:val="0"/>
        <w:autoSpaceDN w:val="0"/>
        <w:adjustRightInd w:val="0"/>
        <w:ind w:left="851"/>
        <w:rPr>
          <w:rFonts w:eastAsia="TimesNewRoman"/>
          <w:sz w:val="24"/>
          <w:szCs w:val="24"/>
          <w:lang w:eastAsia="en-GB"/>
        </w:rPr>
      </w:pPr>
    </w:p>
    <w:p w14:paraId="03DE00FB" w14:textId="77777777" w:rsidR="00355DFD" w:rsidRPr="00811F65" w:rsidRDefault="00355DFD" w:rsidP="00355DFD">
      <w:pPr>
        <w:autoSpaceDE w:val="0"/>
        <w:autoSpaceDN w:val="0"/>
        <w:adjustRightInd w:val="0"/>
        <w:ind w:left="851"/>
        <w:rPr>
          <w:sz w:val="24"/>
          <w:szCs w:val="24"/>
          <w:lang w:eastAsia="fr-LU"/>
        </w:rPr>
      </w:pPr>
      <w:r w:rsidRPr="00811F65">
        <w:rPr>
          <w:sz w:val="24"/>
          <w:szCs w:val="24"/>
        </w:rPr>
        <w:t>Der kræves ingen dosisjustering på basis af patientens alder eller race (se pkt. 4.2 og 5.2).</w:t>
      </w:r>
    </w:p>
    <w:p w14:paraId="76D85228" w14:textId="77777777" w:rsidR="00355DFD" w:rsidRPr="00811F65" w:rsidRDefault="00355DFD" w:rsidP="00355DFD">
      <w:pPr>
        <w:ind w:left="851"/>
        <w:rPr>
          <w:sz w:val="24"/>
          <w:szCs w:val="24"/>
          <w:u w:val="single"/>
        </w:rPr>
      </w:pPr>
    </w:p>
    <w:p w14:paraId="63D4B27A" w14:textId="77777777" w:rsidR="00355DFD" w:rsidRPr="00811F65" w:rsidRDefault="00355DFD" w:rsidP="00355DFD">
      <w:pPr>
        <w:ind w:left="851"/>
        <w:rPr>
          <w:sz w:val="24"/>
          <w:szCs w:val="24"/>
          <w:u w:val="single"/>
        </w:rPr>
      </w:pPr>
      <w:r w:rsidRPr="00811F65">
        <w:rPr>
          <w:sz w:val="24"/>
          <w:szCs w:val="24"/>
          <w:u w:val="single"/>
        </w:rPr>
        <w:t>Hjælpestoffer</w:t>
      </w:r>
    </w:p>
    <w:p w14:paraId="71CFEC87" w14:textId="77777777" w:rsidR="00355DFD" w:rsidRPr="00811F65" w:rsidRDefault="00355DFD" w:rsidP="00355DFD">
      <w:pPr>
        <w:ind w:left="851"/>
        <w:rPr>
          <w:sz w:val="24"/>
          <w:szCs w:val="24"/>
        </w:rPr>
      </w:pPr>
    </w:p>
    <w:p w14:paraId="50B1DAB2" w14:textId="77777777" w:rsidR="00355DFD" w:rsidRPr="00811F65" w:rsidRDefault="00355DFD" w:rsidP="00355DFD">
      <w:pPr>
        <w:ind w:left="851"/>
        <w:rPr>
          <w:i/>
          <w:iCs/>
          <w:sz w:val="24"/>
          <w:szCs w:val="24"/>
          <w:u w:val="single"/>
        </w:rPr>
      </w:pPr>
      <w:r w:rsidRPr="00811F65">
        <w:rPr>
          <w:i/>
          <w:iCs/>
          <w:sz w:val="24"/>
          <w:szCs w:val="24"/>
          <w:u w:val="single"/>
        </w:rPr>
        <w:t>Laktose</w:t>
      </w:r>
    </w:p>
    <w:p w14:paraId="521FCEFB" w14:textId="77777777" w:rsidR="00355DFD" w:rsidRPr="00811F65" w:rsidRDefault="00355DFD" w:rsidP="00355DFD">
      <w:pPr>
        <w:ind w:left="851"/>
        <w:rPr>
          <w:sz w:val="24"/>
          <w:szCs w:val="24"/>
        </w:rPr>
      </w:pPr>
      <w:r w:rsidRPr="00811F65">
        <w:rPr>
          <w:sz w:val="24"/>
          <w:szCs w:val="24"/>
        </w:rPr>
        <w:t xml:space="preserve">Dette lægemiddel indeholder laktose. Patienter med sjældne arvelige problemer med </w:t>
      </w:r>
      <w:proofErr w:type="spellStart"/>
      <w:r w:rsidRPr="00811F65">
        <w:rPr>
          <w:sz w:val="24"/>
          <w:szCs w:val="24"/>
        </w:rPr>
        <w:t>galactoseintolerans</w:t>
      </w:r>
      <w:proofErr w:type="spellEnd"/>
      <w:r w:rsidRPr="00811F65">
        <w:rPr>
          <w:sz w:val="24"/>
          <w:szCs w:val="24"/>
        </w:rPr>
        <w:t xml:space="preserve">, total laktasemangel eller </w:t>
      </w:r>
      <w:proofErr w:type="spellStart"/>
      <w:r w:rsidRPr="00811F65">
        <w:rPr>
          <w:sz w:val="24"/>
          <w:szCs w:val="24"/>
        </w:rPr>
        <w:t>glucose-galactosemalabsorption</w:t>
      </w:r>
      <w:proofErr w:type="spellEnd"/>
      <w:r w:rsidRPr="00811F65">
        <w:rPr>
          <w:sz w:val="24"/>
          <w:szCs w:val="24"/>
        </w:rPr>
        <w:t xml:space="preserve"> bør ikke tage dette lægemiddel.</w:t>
      </w:r>
    </w:p>
    <w:p w14:paraId="295457BD" w14:textId="77777777" w:rsidR="00355DFD" w:rsidRPr="00811F65" w:rsidRDefault="00355DFD" w:rsidP="00355DFD">
      <w:pPr>
        <w:ind w:left="851"/>
        <w:rPr>
          <w:sz w:val="24"/>
          <w:szCs w:val="24"/>
        </w:rPr>
      </w:pPr>
    </w:p>
    <w:p w14:paraId="23B6BE5C" w14:textId="77777777" w:rsidR="00355DFD" w:rsidRPr="00811F65" w:rsidRDefault="00355DFD" w:rsidP="00355DFD">
      <w:pPr>
        <w:ind w:left="851"/>
        <w:rPr>
          <w:i/>
          <w:iCs/>
          <w:sz w:val="24"/>
          <w:szCs w:val="24"/>
          <w:u w:val="single"/>
        </w:rPr>
      </w:pPr>
      <w:r w:rsidRPr="00811F65">
        <w:rPr>
          <w:i/>
          <w:iCs/>
          <w:sz w:val="24"/>
          <w:szCs w:val="24"/>
          <w:u w:val="single"/>
        </w:rPr>
        <w:t>Natrium</w:t>
      </w:r>
    </w:p>
    <w:p w14:paraId="34B19AF3" w14:textId="77777777" w:rsidR="00355DFD" w:rsidRPr="00811F65" w:rsidRDefault="00355DFD" w:rsidP="00355DFD">
      <w:pPr>
        <w:ind w:left="851"/>
        <w:rPr>
          <w:sz w:val="24"/>
          <w:szCs w:val="24"/>
        </w:rPr>
      </w:pPr>
      <w:r w:rsidRPr="00811F65">
        <w:rPr>
          <w:sz w:val="24"/>
          <w:szCs w:val="24"/>
        </w:rPr>
        <w:t>Dette lægemiddel indeholder mindre end 1 mmol (23 mg) natrium pr. filmovertrukket tablet, det vil sige i det væsentlige "natriumfrit".</w:t>
      </w:r>
    </w:p>
    <w:p w14:paraId="1236077A" w14:textId="77777777" w:rsidR="009260DE" w:rsidRPr="00811F65" w:rsidRDefault="009260DE" w:rsidP="009260DE">
      <w:pPr>
        <w:tabs>
          <w:tab w:val="left" w:pos="851"/>
        </w:tabs>
        <w:ind w:left="851"/>
        <w:rPr>
          <w:sz w:val="24"/>
          <w:szCs w:val="24"/>
        </w:rPr>
      </w:pPr>
    </w:p>
    <w:p w14:paraId="3DC99F99" w14:textId="77777777" w:rsidR="009260DE" w:rsidRPr="00811F65" w:rsidRDefault="009260DE" w:rsidP="009260DE">
      <w:pPr>
        <w:tabs>
          <w:tab w:val="left" w:pos="851"/>
        </w:tabs>
        <w:ind w:left="851" w:hanging="851"/>
        <w:rPr>
          <w:b/>
          <w:sz w:val="24"/>
          <w:szCs w:val="24"/>
        </w:rPr>
      </w:pPr>
      <w:r w:rsidRPr="00811F65">
        <w:rPr>
          <w:b/>
          <w:sz w:val="24"/>
          <w:szCs w:val="24"/>
        </w:rPr>
        <w:t>4.5</w:t>
      </w:r>
      <w:r w:rsidRPr="00811F65">
        <w:rPr>
          <w:b/>
          <w:sz w:val="24"/>
          <w:szCs w:val="24"/>
        </w:rPr>
        <w:tab/>
        <w:t>Interaktion med andre lægemidler og andre former for interaktion</w:t>
      </w:r>
    </w:p>
    <w:p w14:paraId="32C71824" w14:textId="065EC599" w:rsidR="00355DFD" w:rsidRPr="00811F65" w:rsidRDefault="00355DFD" w:rsidP="00811F65">
      <w:pPr>
        <w:autoSpaceDE w:val="0"/>
        <w:autoSpaceDN w:val="0"/>
        <w:adjustRightInd w:val="0"/>
        <w:ind w:left="851"/>
        <w:rPr>
          <w:rFonts w:eastAsia="TimesNewRoman"/>
          <w:sz w:val="24"/>
          <w:szCs w:val="24"/>
          <w:lang w:eastAsia="en-GB"/>
        </w:rPr>
      </w:pPr>
      <w:r w:rsidRPr="00811F65">
        <w:rPr>
          <w:i/>
          <w:iCs/>
          <w:sz w:val="24"/>
          <w:szCs w:val="24"/>
          <w:lang w:eastAsia="en-GB"/>
        </w:rPr>
        <w:t xml:space="preserve">In </w:t>
      </w:r>
      <w:proofErr w:type="spellStart"/>
      <w:r w:rsidRPr="00811F65">
        <w:rPr>
          <w:i/>
          <w:iCs/>
          <w:sz w:val="24"/>
          <w:szCs w:val="24"/>
          <w:lang w:eastAsia="en-GB"/>
        </w:rPr>
        <w:t>vitro</w:t>
      </w:r>
      <w:proofErr w:type="spellEnd"/>
      <w:r w:rsidRPr="00811F65">
        <w:rPr>
          <w:i/>
          <w:iCs/>
          <w:sz w:val="24"/>
          <w:szCs w:val="24"/>
          <w:lang w:eastAsia="en-GB"/>
        </w:rPr>
        <w:t xml:space="preserve"> </w:t>
      </w:r>
      <w:r w:rsidRPr="00811F65">
        <w:rPr>
          <w:rFonts w:eastAsia="TimesNewRoman"/>
          <w:sz w:val="24"/>
          <w:szCs w:val="24"/>
          <w:lang w:eastAsia="en-GB"/>
        </w:rPr>
        <w:t xml:space="preserve">data antyder, at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primært </w:t>
      </w:r>
      <w:proofErr w:type="spellStart"/>
      <w:r w:rsidRPr="00811F65">
        <w:rPr>
          <w:rFonts w:eastAsia="TimesNewRoman"/>
          <w:sz w:val="24"/>
          <w:szCs w:val="24"/>
          <w:lang w:eastAsia="en-GB"/>
        </w:rPr>
        <w:t>metaboliseres</w:t>
      </w:r>
      <w:proofErr w:type="spellEnd"/>
      <w:r w:rsidRPr="00811F65">
        <w:rPr>
          <w:rFonts w:eastAsia="TimesNewRoman"/>
          <w:sz w:val="24"/>
          <w:szCs w:val="24"/>
          <w:lang w:eastAsia="en-GB"/>
        </w:rPr>
        <w:t xml:space="preserve"> via CYP3A4/5 og i mindre udstrækning via</w:t>
      </w:r>
      <w:r w:rsidR="00811F65">
        <w:rPr>
          <w:rFonts w:eastAsia="TimesNewRoman"/>
          <w:sz w:val="24"/>
          <w:szCs w:val="24"/>
          <w:lang w:eastAsia="en-GB"/>
        </w:rPr>
        <w:t xml:space="preserve"> </w:t>
      </w:r>
      <w:r w:rsidRPr="00811F65">
        <w:rPr>
          <w:rFonts w:eastAsia="TimesNewRoman"/>
          <w:sz w:val="24"/>
          <w:szCs w:val="24"/>
          <w:lang w:eastAsia="en-GB"/>
        </w:rPr>
        <w:t xml:space="preserve">CYP1A2, CYP2C19 og </w:t>
      </w:r>
      <w:proofErr w:type="spellStart"/>
      <w:r w:rsidRPr="00811F65">
        <w:rPr>
          <w:rFonts w:eastAsia="TimesNewRoman"/>
          <w:sz w:val="24"/>
          <w:szCs w:val="24"/>
          <w:lang w:eastAsia="en-GB"/>
        </w:rPr>
        <w:t>uridindiphosphat-glucuronosyltranferase</w:t>
      </w:r>
      <w:proofErr w:type="spellEnd"/>
      <w:r w:rsidRPr="00811F65">
        <w:rPr>
          <w:rFonts w:eastAsia="TimesNewRoman"/>
          <w:sz w:val="24"/>
          <w:szCs w:val="24"/>
          <w:lang w:eastAsia="en-GB"/>
        </w:rPr>
        <w:t xml:space="preserve"> (UGT) 1A1.</w:t>
      </w:r>
    </w:p>
    <w:p w14:paraId="1AF5EA68" w14:textId="77777777" w:rsidR="00355DFD" w:rsidRPr="00811F65" w:rsidRDefault="00355DFD" w:rsidP="00355DFD">
      <w:pPr>
        <w:autoSpaceDE w:val="0"/>
        <w:autoSpaceDN w:val="0"/>
        <w:adjustRightInd w:val="0"/>
        <w:ind w:left="851"/>
        <w:rPr>
          <w:rFonts w:eastAsia="TimesNewRoman"/>
          <w:sz w:val="24"/>
          <w:szCs w:val="24"/>
          <w:lang w:eastAsia="en-GB"/>
        </w:rPr>
      </w:pPr>
    </w:p>
    <w:p w14:paraId="672E5CA3" w14:textId="77777777" w:rsidR="00355DFD" w:rsidRPr="00811F65" w:rsidRDefault="00355DFD" w:rsidP="00355DFD">
      <w:pPr>
        <w:autoSpaceDE w:val="0"/>
        <w:autoSpaceDN w:val="0"/>
        <w:adjustRightInd w:val="0"/>
        <w:ind w:left="851"/>
        <w:rPr>
          <w:rFonts w:eastAsia="TimesNewRoman"/>
          <w:sz w:val="24"/>
          <w:szCs w:val="24"/>
          <w:u w:val="single"/>
          <w:lang w:eastAsia="en-GB"/>
        </w:rPr>
      </w:pPr>
      <w:r w:rsidRPr="00811F65">
        <w:rPr>
          <w:rFonts w:eastAsia="TimesNewRoman"/>
          <w:sz w:val="24"/>
          <w:szCs w:val="24"/>
          <w:u w:val="single"/>
          <w:lang w:eastAsia="en-GB"/>
        </w:rPr>
        <w:t>CYP3A4/5-hæmmere</w:t>
      </w:r>
    </w:p>
    <w:p w14:paraId="1BE275BB" w14:textId="3061220E" w:rsidR="00355DFD" w:rsidRPr="00811F65" w:rsidRDefault="00355DFD" w:rsidP="00355DFD">
      <w:pPr>
        <w:autoSpaceDE w:val="0"/>
        <w:autoSpaceDN w:val="0"/>
        <w:adjustRightInd w:val="0"/>
        <w:ind w:left="851"/>
        <w:rPr>
          <w:rFonts w:eastAsia="TimesNewRoman"/>
          <w:sz w:val="24"/>
          <w:szCs w:val="24"/>
          <w:lang w:eastAsia="en-GB"/>
        </w:rPr>
      </w:pPr>
      <w:proofErr w:type="spellStart"/>
      <w:r w:rsidRPr="00811F65">
        <w:rPr>
          <w:rFonts w:eastAsia="TimesNewRoman"/>
          <w:sz w:val="24"/>
          <w:szCs w:val="24"/>
          <w:lang w:eastAsia="en-GB"/>
        </w:rPr>
        <w:t>Ketoconazol</w:t>
      </w:r>
      <w:proofErr w:type="spellEnd"/>
      <w:r w:rsidRPr="00811F65">
        <w:rPr>
          <w:rFonts w:eastAsia="TimesNewRoman"/>
          <w:sz w:val="24"/>
          <w:szCs w:val="24"/>
          <w:lang w:eastAsia="en-GB"/>
        </w:rPr>
        <w:t>, en potent hæmmer af CYP3A4/5, administreret i doser på 400 mg 1 gang dagligt i</w:t>
      </w:r>
      <w:r w:rsidR="00811F65">
        <w:rPr>
          <w:rFonts w:eastAsia="TimesNewRoman"/>
          <w:sz w:val="24"/>
          <w:szCs w:val="24"/>
          <w:lang w:eastAsia="en-GB"/>
        </w:rPr>
        <w:t xml:space="preserve"> </w:t>
      </w:r>
      <w:r w:rsidRPr="00811F65">
        <w:rPr>
          <w:rFonts w:eastAsia="TimesNewRoman"/>
          <w:sz w:val="24"/>
          <w:szCs w:val="24"/>
          <w:lang w:eastAsia="en-GB"/>
        </w:rPr>
        <w:t xml:space="preserve">7 dage, øgede middelarealet under kurven (AUC) 2 gange og </w:t>
      </w:r>
      <w:proofErr w:type="spellStart"/>
      <w:r w:rsidRPr="00811F65">
        <w:rPr>
          <w:rFonts w:eastAsia="TimesNewRoman"/>
          <w:sz w:val="24"/>
          <w:szCs w:val="24"/>
          <w:lang w:eastAsia="en-GB"/>
        </w:rPr>
        <w:t>C</w:t>
      </w:r>
      <w:r w:rsidRPr="00E84059">
        <w:rPr>
          <w:rFonts w:eastAsia="TimesNewRoman"/>
          <w:sz w:val="24"/>
          <w:szCs w:val="24"/>
          <w:vertAlign w:val="subscript"/>
          <w:lang w:eastAsia="en-GB"/>
        </w:rPr>
        <w:t>max</w:t>
      </w:r>
      <w:proofErr w:type="spellEnd"/>
      <w:r w:rsidRPr="00811F65">
        <w:rPr>
          <w:rFonts w:eastAsia="TimesNewRoman"/>
          <w:sz w:val="24"/>
          <w:szCs w:val="24"/>
          <w:lang w:eastAsia="en-GB"/>
        </w:rPr>
        <w:t xml:space="preserve"> 1,5 gange i forhold til 1 enkelt oral</w:t>
      </w:r>
      <w:r w:rsidR="00811F65">
        <w:rPr>
          <w:rFonts w:eastAsia="TimesNewRoman"/>
          <w:sz w:val="24"/>
          <w:szCs w:val="24"/>
          <w:lang w:eastAsia="en-GB"/>
        </w:rPr>
        <w:t xml:space="preserve"> </w:t>
      </w:r>
      <w:r w:rsidRPr="00811F65">
        <w:rPr>
          <w:rFonts w:eastAsia="TimesNewRoman"/>
          <w:sz w:val="24"/>
          <w:szCs w:val="24"/>
          <w:lang w:eastAsia="en-GB"/>
        </w:rPr>
        <w:t xml:space="preserve">dosis på 5 mg hos raske forsøgspersoner. Samtidig administration af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og potente CYP3A4/5-hæmmere (f.eks. </w:t>
      </w:r>
      <w:proofErr w:type="spellStart"/>
      <w:r w:rsidRPr="00811F65">
        <w:rPr>
          <w:rFonts w:eastAsia="TimesNewRoman"/>
          <w:sz w:val="24"/>
          <w:szCs w:val="24"/>
          <w:lang w:eastAsia="en-GB"/>
        </w:rPr>
        <w:t>ketoconazol</w:t>
      </w:r>
      <w:proofErr w:type="spellEnd"/>
      <w:r w:rsidRPr="00811F65">
        <w:rPr>
          <w:rFonts w:eastAsia="TimesNewRoman"/>
          <w:sz w:val="24"/>
          <w:szCs w:val="24"/>
          <w:lang w:eastAsia="en-GB"/>
        </w:rPr>
        <w:t xml:space="preserve">, </w:t>
      </w:r>
      <w:proofErr w:type="spellStart"/>
      <w:r w:rsidRPr="00811F65">
        <w:rPr>
          <w:rFonts w:eastAsia="TimesNewRoman"/>
          <w:sz w:val="24"/>
          <w:szCs w:val="24"/>
          <w:lang w:eastAsia="en-GB"/>
        </w:rPr>
        <w:t>itraconazol</w:t>
      </w:r>
      <w:proofErr w:type="spellEnd"/>
      <w:r w:rsidRPr="00811F65">
        <w:rPr>
          <w:rFonts w:eastAsia="TimesNewRoman"/>
          <w:sz w:val="24"/>
          <w:szCs w:val="24"/>
          <w:lang w:eastAsia="en-GB"/>
        </w:rPr>
        <w:t xml:space="preserve">, </w:t>
      </w:r>
      <w:proofErr w:type="spellStart"/>
      <w:r w:rsidRPr="00811F65">
        <w:rPr>
          <w:rFonts w:eastAsia="TimesNewRoman"/>
          <w:sz w:val="24"/>
          <w:szCs w:val="24"/>
          <w:lang w:eastAsia="en-GB"/>
        </w:rPr>
        <w:t>clarithromycin</w:t>
      </w:r>
      <w:proofErr w:type="spellEnd"/>
      <w:r w:rsidRPr="00811F65">
        <w:rPr>
          <w:rFonts w:eastAsia="TimesNewRoman"/>
          <w:sz w:val="24"/>
          <w:szCs w:val="24"/>
          <w:lang w:eastAsia="en-GB"/>
        </w:rPr>
        <w:t xml:space="preserve">, </w:t>
      </w:r>
      <w:proofErr w:type="spellStart"/>
      <w:r w:rsidRPr="00811F65">
        <w:rPr>
          <w:rFonts w:eastAsia="TimesNewRoman"/>
          <w:sz w:val="24"/>
          <w:szCs w:val="24"/>
          <w:lang w:eastAsia="en-GB"/>
        </w:rPr>
        <w:t>erythromycin</w:t>
      </w:r>
      <w:proofErr w:type="spellEnd"/>
      <w:r w:rsidRPr="00811F65">
        <w:rPr>
          <w:rFonts w:eastAsia="TimesNewRoman"/>
          <w:sz w:val="24"/>
          <w:szCs w:val="24"/>
          <w:lang w:eastAsia="en-GB"/>
        </w:rPr>
        <w:t xml:space="preserve">, </w:t>
      </w:r>
      <w:proofErr w:type="spellStart"/>
      <w:r w:rsidRPr="00811F65">
        <w:rPr>
          <w:rFonts w:eastAsia="TimesNewRoman"/>
          <w:sz w:val="24"/>
          <w:szCs w:val="24"/>
          <w:lang w:eastAsia="en-GB"/>
        </w:rPr>
        <w:t>atazanavir</w:t>
      </w:r>
      <w:proofErr w:type="spellEnd"/>
      <w:r w:rsidRPr="00811F65">
        <w:rPr>
          <w:rFonts w:eastAsia="TimesNewRoman"/>
          <w:sz w:val="24"/>
          <w:szCs w:val="24"/>
          <w:lang w:eastAsia="en-GB"/>
        </w:rPr>
        <w:t xml:space="preserve">, </w:t>
      </w:r>
      <w:proofErr w:type="spellStart"/>
      <w:r w:rsidRPr="00811F65">
        <w:rPr>
          <w:rFonts w:eastAsia="TimesNewRoman"/>
          <w:sz w:val="24"/>
          <w:szCs w:val="24"/>
          <w:lang w:eastAsia="en-GB"/>
        </w:rPr>
        <w:t>indinavir</w:t>
      </w:r>
      <w:proofErr w:type="spellEnd"/>
      <w:r w:rsidRPr="00811F65">
        <w:rPr>
          <w:rFonts w:eastAsia="TimesNewRoman"/>
          <w:sz w:val="24"/>
          <w:szCs w:val="24"/>
          <w:lang w:eastAsia="en-GB"/>
        </w:rPr>
        <w:t>,</w:t>
      </w:r>
      <w:r w:rsidR="00811F65">
        <w:rPr>
          <w:rFonts w:eastAsia="TimesNewRoman"/>
          <w:sz w:val="24"/>
          <w:szCs w:val="24"/>
          <w:lang w:eastAsia="en-GB"/>
        </w:rPr>
        <w:t xml:space="preserve"> </w:t>
      </w:r>
      <w:proofErr w:type="spellStart"/>
      <w:r w:rsidRPr="00811F65">
        <w:rPr>
          <w:rFonts w:eastAsia="TimesNewRoman"/>
          <w:sz w:val="24"/>
          <w:szCs w:val="24"/>
          <w:lang w:eastAsia="en-GB"/>
        </w:rPr>
        <w:t>nefazodone</w:t>
      </w:r>
      <w:proofErr w:type="spellEnd"/>
      <w:r w:rsidRPr="00811F65">
        <w:rPr>
          <w:rFonts w:eastAsia="TimesNewRoman"/>
          <w:sz w:val="24"/>
          <w:szCs w:val="24"/>
          <w:lang w:eastAsia="en-GB"/>
        </w:rPr>
        <w:t xml:space="preserve">, </w:t>
      </w:r>
      <w:proofErr w:type="spellStart"/>
      <w:r w:rsidRPr="00811F65">
        <w:rPr>
          <w:rFonts w:eastAsia="TimesNewRoman"/>
          <w:sz w:val="24"/>
          <w:szCs w:val="24"/>
          <w:lang w:eastAsia="en-GB"/>
        </w:rPr>
        <w:t>nelfinavir</w:t>
      </w:r>
      <w:proofErr w:type="spellEnd"/>
      <w:r w:rsidRPr="00811F65">
        <w:rPr>
          <w:rFonts w:eastAsia="TimesNewRoman"/>
          <w:sz w:val="24"/>
          <w:szCs w:val="24"/>
          <w:lang w:eastAsia="en-GB"/>
        </w:rPr>
        <w:t xml:space="preserve">, </w:t>
      </w:r>
      <w:proofErr w:type="spellStart"/>
      <w:r w:rsidRPr="00811F65">
        <w:rPr>
          <w:rFonts w:eastAsia="TimesNewRoman"/>
          <w:sz w:val="24"/>
          <w:szCs w:val="24"/>
          <w:lang w:eastAsia="en-GB"/>
        </w:rPr>
        <w:t>ritonavir</w:t>
      </w:r>
      <w:proofErr w:type="spellEnd"/>
      <w:r w:rsidRPr="00811F65">
        <w:rPr>
          <w:rFonts w:eastAsia="TimesNewRoman"/>
          <w:sz w:val="24"/>
          <w:szCs w:val="24"/>
          <w:lang w:eastAsia="en-GB"/>
        </w:rPr>
        <w:t xml:space="preserve">, </w:t>
      </w:r>
      <w:proofErr w:type="spellStart"/>
      <w:r w:rsidRPr="00811F65">
        <w:rPr>
          <w:rFonts w:eastAsia="TimesNewRoman"/>
          <w:sz w:val="24"/>
          <w:szCs w:val="24"/>
          <w:lang w:eastAsia="en-GB"/>
        </w:rPr>
        <w:t>saquinavir</w:t>
      </w:r>
      <w:proofErr w:type="spellEnd"/>
      <w:r w:rsidRPr="00811F65">
        <w:rPr>
          <w:rFonts w:eastAsia="TimesNewRoman"/>
          <w:sz w:val="24"/>
          <w:szCs w:val="24"/>
          <w:lang w:eastAsia="en-GB"/>
        </w:rPr>
        <w:t xml:space="preserve"> og </w:t>
      </w:r>
      <w:proofErr w:type="spellStart"/>
      <w:r w:rsidRPr="00811F65">
        <w:rPr>
          <w:rFonts w:eastAsia="TimesNewRoman"/>
          <w:sz w:val="24"/>
          <w:szCs w:val="24"/>
          <w:lang w:eastAsia="en-GB"/>
        </w:rPr>
        <w:t>telithromycin</w:t>
      </w:r>
      <w:proofErr w:type="spellEnd"/>
      <w:r w:rsidRPr="00811F65">
        <w:rPr>
          <w:rFonts w:eastAsia="TimesNewRoman"/>
          <w:sz w:val="24"/>
          <w:szCs w:val="24"/>
          <w:lang w:eastAsia="en-GB"/>
        </w:rPr>
        <w:t>) kan øge plasmakoncentrationen af</w:t>
      </w:r>
      <w:r w:rsidR="00811F65">
        <w:rPr>
          <w:rFonts w:eastAsia="TimesNewRoman"/>
          <w:sz w:val="24"/>
          <w:szCs w:val="24"/>
          <w:lang w:eastAsia="en-GB"/>
        </w:rPr>
        <w:t xml:space="preserve">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w:t>
      </w:r>
    </w:p>
    <w:p w14:paraId="66304CEF" w14:textId="3746F903"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Grapefrugt kan også øge plasmakoncentrationen af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Det anbefales at vælge</w:t>
      </w:r>
      <w:r w:rsidR="00811F65">
        <w:rPr>
          <w:rFonts w:eastAsia="TimesNewRoman"/>
          <w:sz w:val="24"/>
          <w:szCs w:val="24"/>
          <w:lang w:eastAsia="en-GB"/>
        </w:rPr>
        <w:t xml:space="preserve"> </w:t>
      </w:r>
      <w:r w:rsidRPr="00811F65">
        <w:rPr>
          <w:rFonts w:eastAsia="TimesNewRoman"/>
          <w:sz w:val="24"/>
          <w:szCs w:val="24"/>
          <w:lang w:eastAsia="en-GB"/>
        </w:rPr>
        <w:t>lægemidler med ingen eller minimalt CYP3A4/5-hæmmende potentiale ved samtidig administration.</w:t>
      </w:r>
    </w:p>
    <w:p w14:paraId="4ED82541" w14:textId="38CBC214" w:rsidR="00355DFD" w:rsidRPr="00811F65" w:rsidRDefault="00355DFD" w:rsidP="00811F65">
      <w:pPr>
        <w:autoSpaceDE w:val="0"/>
        <w:autoSpaceDN w:val="0"/>
        <w:adjustRightInd w:val="0"/>
        <w:ind w:left="851"/>
        <w:rPr>
          <w:rFonts w:eastAsia="TimesNewRoman"/>
          <w:sz w:val="24"/>
          <w:szCs w:val="24"/>
          <w:lang w:eastAsia="en-GB"/>
        </w:rPr>
      </w:pPr>
      <w:r w:rsidRPr="00811F65">
        <w:rPr>
          <w:rFonts w:eastAsia="TimesNewRoman"/>
          <w:sz w:val="24"/>
          <w:szCs w:val="24"/>
          <w:lang w:eastAsia="en-GB"/>
        </w:rPr>
        <w:t>Dosisjustering anbefales, hvis det er nødvendigt med samtidig administration af en potent CYP3A4/5-hæmmer (se pkt. 4.2).</w:t>
      </w:r>
    </w:p>
    <w:p w14:paraId="551A114B" w14:textId="308845F8" w:rsidR="00E84059" w:rsidRDefault="00E84059">
      <w:pPr>
        <w:rPr>
          <w:rFonts w:eastAsia="TimesNewRoman"/>
          <w:sz w:val="24"/>
          <w:szCs w:val="24"/>
          <w:lang w:eastAsia="en-GB"/>
        </w:rPr>
      </w:pPr>
      <w:r>
        <w:rPr>
          <w:rFonts w:eastAsia="TimesNewRoman"/>
          <w:sz w:val="24"/>
          <w:szCs w:val="24"/>
          <w:lang w:eastAsia="en-GB"/>
        </w:rPr>
        <w:br w:type="page"/>
      </w:r>
    </w:p>
    <w:p w14:paraId="76F11754" w14:textId="77777777" w:rsidR="00355DFD" w:rsidRPr="00811F65" w:rsidRDefault="00355DFD" w:rsidP="00355DFD">
      <w:pPr>
        <w:ind w:left="851"/>
        <w:rPr>
          <w:rFonts w:eastAsia="TimesNewRoman"/>
          <w:sz w:val="24"/>
          <w:szCs w:val="24"/>
          <w:lang w:eastAsia="en-GB"/>
        </w:rPr>
      </w:pPr>
    </w:p>
    <w:p w14:paraId="64164C8D" w14:textId="77777777" w:rsidR="00355DFD" w:rsidRPr="00811F65" w:rsidRDefault="00355DFD" w:rsidP="00355DFD">
      <w:pPr>
        <w:autoSpaceDE w:val="0"/>
        <w:autoSpaceDN w:val="0"/>
        <w:adjustRightInd w:val="0"/>
        <w:ind w:left="851"/>
        <w:rPr>
          <w:rFonts w:eastAsia="TimesNewRoman"/>
          <w:sz w:val="24"/>
          <w:szCs w:val="24"/>
          <w:u w:val="single"/>
          <w:lang w:eastAsia="en-GB"/>
        </w:rPr>
      </w:pPr>
      <w:r w:rsidRPr="00811F65">
        <w:rPr>
          <w:rFonts w:eastAsia="TimesNewRoman"/>
          <w:sz w:val="24"/>
          <w:szCs w:val="24"/>
          <w:u w:val="single"/>
          <w:lang w:eastAsia="en-GB"/>
        </w:rPr>
        <w:t>CYP1A2 og CYP2C19-hæmmere</w:t>
      </w:r>
    </w:p>
    <w:p w14:paraId="56A5CF5B" w14:textId="2AA46E34"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sz w:val="24"/>
          <w:szCs w:val="24"/>
          <w:lang w:eastAsia="en-GB"/>
        </w:rPr>
        <w:t>CYP1A2 og CYP2C19 bidrager mindre (&lt;10</w:t>
      </w:r>
      <w:r w:rsidR="00E84059">
        <w:rPr>
          <w:rFonts w:eastAsia="TimesNewRoman"/>
          <w:sz w:val="24"/>
          <w:szCs w:val="24"/>
          <w:lang w:eastAsia="en-GB"/>
        </w:rPr>
        <w:t xml:space="preserve"> %</w:t>
      </w:r>
      <w:r w:rsidRPr="00811F65">
        <w:rPr>
          <w:rFonts w:eastAsia="TimesNewRoman"/>
          <w:sz w:val="24"/>
          <w:szCs w:val="24"/>
          <w:lang w:eastAsia="en-GB"/>
        </w:rPr>
        <w:t xml:space="preserve">) til </w:t>
      </w:r>
      <w:proofErr w:type="spellStart"/>
      <w:r w:rsidRPr="00811F65">
        <w:rPr>
          <w:rFonts w:eastAsia="TimesNewRoman"/>
          <w:sz w:val="24"/>
          <w:szCs w:val="24"/>
          <w:lang w:eastAsia="en-GB"/>
        </w:rPr>
        <w:t>metaboliseringen</w:t>
      </w:r>
      <w:proofErr w:type="spellEnd"/>
      <w:r w:rsidRPr="00811F65">
        <w:rPr>
          <w:rFonts w:eastAsia="TimesNewRoman"/>
          <w:sz w:val="24"/>
          <w:szCs w:val="24"/>
          <w:lang w:eastAsia="en-GB"/>
        </w:rPr>
        <w:t xml:space="preserve"> af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Virkningen af potente</w:t>
      </w:r>
      <w:r w:rsidR="00811F65">
        <w:rPr>
          <w:rFonts w:eastAsia="TimesNewRoman"/>
          <w:sz w:val="24"/>
          <w:szCs w:val="24"/>
          <w:lang w:eastAsia="en-GB"/>
        </w:rPr>
        <w:t xml:space="preserve"> </w:t>
      </w:r>
      <w:proofErr w:type="spellStart"/>
      <w:r w:rsidRPr="00811F65">
        <w:rPr>
          <w:rFonts w:eastAsia="TimesNewRoman"/>
          <w:sz w:val="24"/>
          <w:szCs w:val="24"/>
          <w:lang w:eastAsia="en-GB"/>
        </w:rPr>
        <w:t>hæmmere</w:t>
      </w:r>
      <w:proofErr w:type="spellEnd"/>
      <w:r w:rsidRPr="00811F65">
        <w:rPr>
          <w:rFonts w:eastAsia="TimesNewRoman"/>
          <w:sz w:val="24"/>
          <w:szCs w:val="24"/>
          <w:lang w:eastAsia="en-GB"/>
        </w:rPr>
        <w:t xml:space="preserve"> af disse </w:t>
      </w:r>
      <w:proofErr w:type="spellStart"/>
      <w:r w:rsidRPr="00811F65">
        <w:rPr>
          <w:rFonts w:eastAsia="TimesNewRoman"/>
          <w:sz w:val="24"/>
          <w:szCs w:val="24"/>
          <w:lang w:eastAsia="en-GB"/>
        </w:rPr>
        <w:t>isoenzymer</w:t>
      </w:r>
      <w:proofErr w:type="spellEnd"/>
      <w:r w:rsidRPr="00811F65">
        <w:rPr>
          <w:rFonts w:eastAsia="TimesNewRoman"/>
          <w:sz w:val="24"/>
          <w:szCs w:val="24"/>
          <w:lang w:eastAsia="en-GB"/>
        </w:rPr>
        <w:t xml:space="preserve"> på farmakokinetikken af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er ikke undersøgt. Forsigtighed bør</w:t>
      </w:r>
      <w:r w:rsidR="00811F65">
        <w:rPr>
          <w:rFonts w:eastAsia="TimesNewRoman"/>
          <w:sz w:val="24"/>
          <w:szCs w:val="24"/>
          <w:lang w:eastAsia="en-GB"/>
        </w:rPr>
        <w:t xml:space="preserve"> </w:t>
      </w:r>
      <w:r w:rsidRPr="00811F65">
        <w:rPr>
          <w:rFonts w:eastAsia="TimesNewRoman"/>
          <w:sz w:val="24"/>
          <w:szCs w:val="24"/>
          <w:lang w:eastAsia="en-GB"/>
        </w:rPr>
        <w:t xml:space="preserve">udvises, hos patienter der tager potente </w:t>
      </w:r>
      <w:proofErr w:type="spellStart"/>
      <w:r w:rsidRPr="00811F65">
        <w:rPr>
          <w:rFonts w:eastAsia="TimesNewRoman"/>
          <w:sz w:val="24"/>
          <w:szCs w:val="24"/>
          <w:lang w:eastAsia="en-GB"/>
        </w:rPr>
        <w:t>hæmmere</w:t>
      </w:r>
      <w:proofErr w:type="spellEnd"/>
      <w:r w:rsidRPr="00811F65">
        <w:rPr>
          <w:rFonts w:eastAsia="TimesNewRoman"/>
          <w:sz w:val="24"/>
          <w:szCs w:val="24"/>
          <w:lang w:eastAsia="en-GB"/>
        </w:rPr>
        <w:t xml:space="preserve"> af disse </w:t>
      </w:r>
      <w:proofErr w:type="spellStart"/>
      <w:r w:rsidRPr="00811F65">
        <w:rPr>
          <w:rFonts w:eastAsia="TimesNewRoman"/>
          <w:sz w:val="24"/>
          <w:szCs w:val="24"/>
          <w:lang w:eastAsia="en-GB"/>
        </w:rPr>
        <w:t>isoenzymer</w:t>
      </w:r>
      <w:proofErr w:type="spellEnd"/>
      <w:r w:rsidRPr="00811F65">
        <w:rPr>
          <w:rFonts w:eastAsia="TimesNewRoman"/>
          <w:sz w:val="24"/>
          <w:szCs w:val="24"/>
          <w:lang w:eastAsia="en-GB"/>
        </w:rPr>
        <w:t>, på grund af risikoen for</w:t>
      </w:r>
      <w:r w:rsidR="00811F65">
        <w:rPr>
          <w:rFonts w:eastAsia="TimesNewRoman"/>
          <w:sz w:val="24"/>
          <w:szCs w:val="24"/>
          <w:lang w:eastAsia="en-GB"/>
        </w:rPr>
        <w:t xml:space="preserve"> </w:t>
      </w:r>
      <w:r w:rsidRPr="00811F65">
        <w:rPr>
          <w:rFonts w:eastAsia="TimesNewRoman"/>
          <w:sz w:val="24"/>
          <w:szCs w:val="24"/>
          <w:lang w:eastAsia="en-GB"/>
        </w:rPr>
        <w:t xml:space="preserve">stigning i plasmakoncentrationen af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w:t>
      </w:r>
    </w:p>
    <w:p w14:paraId="3210ADCD" w14:textId="77777777" w:rsidR="00355DFD" w:rsidRPr="00811F65" w:rsidRDefault="00355DFD" w:rsidP="00355DFD">
      <w:pPr>
        <w:autoSpaceDE w:val="0"/>
        <w:autoSpaceDN w:val="0"/>
        <w:adjustRightInd w:val="0"/>
        <w:ind w:left="851"/>
        <w:rPr>
          <w:rFonts w:eastAsia="TimesNewRoman"/>
          <w:sz w:val="24"/>
          <w:szCs w:val="24"/>
          <w:u w:val="single"/>
          <w:lang w:eastAsia="en-GB"/>
        </w:rPr>
      </w:pPr>
    </w:p>
    <w:p w14:paraId="44E85FD9" w14:textId="77777777" w:rsidR="00355DFD" w:rsidRPr="00811F65" w:rsidRDefault="00355DFD" w:rsidP="00355DFD">
      <w:pPr>
        <w:autoSpaceDE w:val="0"/>
        <w:autoSpaceDN w:val="0"/>
        <w:adjustRightInd w:val="0"/>
        <w:ind w:left="851"/>
        <w:rPr>
          <w:rFonts w:eastAsia="TimesNewRoman"/>
          <w:sz w:val="24"/>
          <w:szCs w:val="24"/>
          <w:u w:val="single"/>
          <w:lang w:eastAsia="en-GB"/>
        </w:rPr>
      </w:pPr>
      <w:r w:rsidRPr="00811F65">
        <w:rPr>
          <w:rFonts w:eastAsia="TimesNewRoman"/>
          <w:sz w:val="24"/>
          <w:szCs w:val="24"/>
          <w:u w:val="single"/>
          <w:lang w:eastAsia="en-GB"/>
        </w:rPr>
        <w:t>CYP3A4/5-induktorer</w:t>
      </w:r>
    </w:p>
    <w:p w14:paraId="7CE1E523" w14:textId="165DC37C" w:rsidR="00355DFD" w:rsidRPr="00811F65" w:rsidRDefault="00355DFD" w:rsidP="00355DFD">
      <w:pPr>
        <w:autoSpaceDE w:val="0"/>
        <w:autoSpaceDN w:val="0"/>
        <w:adjustRightInd w:val="0"/>
        <w:ind w:left="851"/>
        <w:rPr>
          <w:rFonts w:eastAsia="TimesNewRoman"/>
          <w:sz w:val="24"/>
          <w:szCs w:val="24"/>
          <w:lang w:eastAsia="en-GB"/>
        </w:rPr>
      </w:pPr>
      <w:proofErr w:type="spellStart"/>
      <w:r w:rsidRPr="00811F65">
        <w:rPr>
          <w:rFonts w:eastAsia="TimesNewRoman"/>
          <w:sz w:val="24"/>
          <w:szCs w:val="24"/>
          <w:lang w:eastAsia="en-GB"/>
        </w:rPr>
        <w:t>Rifampicin</w:t>
      </w:r>
      <w:proofErr w:type="spellEnd"/>
      <w:r w:rsidRPr="00811F65">
        <w:rPr>
          <w:rFonts w:eastAsia="TimesNewRoman"/>
          <w:sz w:val="24"/>
          <w:szCs w:val="24"/>
          <w:lang w:eastAsia="en-GB"/>
        </w:rPr>
        <w:t>, en potent induktor af CYP3A4/5, administreret i doser på 600 mg 1 gang dagligt i 9 dage,</w:t>
      </w:r>
      <w:r w:rsidR="00811F65">
        <w:rPr>
          <w:rFonts w:eastAsia="TimesNewRoman"/>
          <w:sz w:val="24"/>
          <w:szCs w:val="24"/>
          <w:lang w:eastAsia="en-GB"/>
        </w:rPr>
        <w:t xml:space="preserve"> </w:t>
      </w:r>
      <w:r w:rsidRPr="00811F65">
        <w:rPr>
          <w:rFonts w:eastAsia="TimesNewRoman"/>
          <w:sz w:val="24"/>
          <w:szCs w:val="24"/>
          <w:lang w:eastAsia="en-GB"/>
        </w:rPr>
        <w:t>reducerede AUC med 79</w:t>
      </w:r>
      <w:r w:rsidR="00E84059">
        <w:rPr>
          <w:rFonts w:eastAsia="TimesNewRoman"/>
          <w:sz w:val="24"/>
          <w:szCs w:val="24"/>
          <w:lang w:eastAsia="en-GB"/>
        </w:rPr>
        <w:t xml:space="preserve"> %</w:t>
      </w:r>
      <w:r w:rsidRPr="00811F65">
        <w:rPr>
          <w:rFonts w:eastAsia="TimesNewRoman"/>
          <w:sz w:val="24"/>
          <w:szCs w:val="24"/>
          <w:lang w:eastAsia="en-GB"/>
        </w:rPr>
        <w:t xml:space="preserve"> og </w:t>
      </w:r>
      <w:proofErr w:type="spellStart"/>
      <w:r w:rsidRPr="00811F65">
        <w:rPr>
          <w:rFonts w:eastAsia="TimesNewRoman"/>
          <w:sz w:val="24"/>
          <w:szCs w:val="24"/>
          <w:lang w:eastAsia="en-GB"/>
        </w:rPr>
        <w:t>C</w:t>
      </w:r>
      <w:r w:rsidRPr="00811F65">
        <w:rPr>
          <w:rFonts w:eastAsia="TimesNewRoman"/>
          <w:sz w:val="24"/>
          <w:szCs w:val="24"/>
          <w:vertAlign w:val="subscript"/>
          <w:lang w:eastAsia="en-GB"/>
        </w:rPr>
        <w:t>max</w:t>
      </w:r>
      <w:proofErr w:type="spellEnd"/>
      <w:r w:rsidRPr="00811F65">
        <w:rPr>
          <w:rFonts w:eastAsia="TimesNewRoman"/>
          <w:sz w:val="24"/>
          <w:szCs w:val="24"/>
          <w:lang w:eastAsia="en-GB"/>
        </w:rPr>
        <w:t xml:space="preserve"> med 71</w:t>
      </w:r>
      <w:r w:rsidR="00E84059">
        <w:rPr>
          <w:rFonts w:eastAsia="TimesNewRoman"/>
          <w:sz w:val="24"/>
          <w:szCs w:val="24"/>
          <w:lang w:eastAsia="en-GB"/>
        </w:rPr>
        <w:t xml:space="preserve"> %</w:t>
      </w:r>
      <w:r w:rsidRPr="00811F65">
        <w:rPr>
          <w:rFonts w:eastAsia="TimesNewRoman"/>
          <w:sz w:val="24"/>
          <w:szCs w:val="24"/>
          <w:lang w:eastAsia="en-GB"/>
        </w:rPr>
        <w:t xml:space="preserve"> i forhold til én enkelt oral dosis på 5 mg hos raske</w:t>
      </w:r>
      <w:r w:rsidR="00811F65">
        <w:rPr>
          <w:rFonts w:eastAsia="TimesNewRoman"/>
          <w:sz w:val="24"/>
          <w:szCs w:val="24"/>
          <w:lang w:eastAsia="en-GB"/>
        </w:rPr>
        <w:t xml:space="preserve"> </w:t>
      </w:r>
      <w:r w:rsidRPr="00811F65">
        <w:rPr>
          <w:rFonts w:eastAsia="TimesNewRoman"/>
          <w:sz w:val="24"/>
          <w:szCs w:val="24"/>
          <w:lang w:eastAsia="en-GB"/>
        </w:rPr>
        <w:t>forsøgspersoner.</w:t>
      </w:r>
    </w:p>
    <w:p w14:paraId="0120638F" w14:textId="77777777" w:rsidR="00355DFD" w:rsidRPr="00811F65" w:rsidRDefault="00355DFD" w:rsidP="00355DFD">
      <w:pPr>
        <w:autoSpaceDE w:val="0"/>
        <w:autoSpaceDN w:val="0"/>
        <w:adjustRightInd w:val="0"/>
        <w:ind w:left="851"/>
        <w:rPr>
          <w:rFonts w:eastAsia="TimesNewRoman"/>
          <w:sz w:val="24"/>
          <w:szCs w:val="24"/>
          <w:lang w:eastAsia="en-GB"/>
        </w:rPr>
      </w:pPr>
    </w:p>
    <w:p w14:paraId="42BBFE03" w14:textId="1905D9BF" w:rsidR="00355DFD" w:rsidRPr="00811F65" w:rsidRDefault="00355DFD" w:rsidP="00811F65">
      <w:pPr>
        <w:autoSpaceDE w:val="0"/>
        <w:autoSpaceDN w:val="0"/>
        <w:adjustRightInd w:val="0"/>
        <w:ind w:left="851"/>
        <w:rPr>
          <w:rFonts w:eastAsia="TimesNewRoman"/>
          <w:sz w:val="24"/>
          <w:szCs w:val="24"/>
          <w:lang w:eastAsia="en-GB"/>
        </w:rPr>
      </w:pPr>
      <w:r w:rsidRPr="00811F65">
        <w:rPr>
          <w:rFonts w:eastAsia="TimesNewRoman"/>
          <w:sz w:val="24"/>
          <w:szCs w:val="24"/>
          <w:lang w:eastAsia="en-GB"/>
        </w:rPr>
        <w:t xml:space="preserve">Samtidig administration af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og potente CYP3A4/5-induktorer (f.eks. </w:t>
      </w:r>
      <w:proofErr w:type="spellStart"/>
      <w:r w:rsidRPr="00811F65">
        <w:rPr>
          <w:rFonts w:eastAsia="TimesNewRoman"/>
          <w:sz w:val="24"/>
          <w:szCs w:val="24"/>
          <w:lang w:eastAsia="en-GB"/>
        </w:rPr>
        <w:t>rifampicin</w:t>
      </w:r>
      <w:proofErr w:type="spellEnd"/>
      <w:r w:rsidRPr="00811F65">
        <w:rPr>
          <w:rFonts w:eastAsia="TimesNewRoman"/>
          <w:sz w:val="24"/>
          <w:szCs w:val="24"/>
          <w:lang w:eastAsia="en-GB"/>
        </w:rPr>
        <w:t>,</w:t>
      </w:r>
      <w:r w:rsidR="00811F65">
        <w:rPr>
          <w:rFonts w:eastAsia="TimesNewRoman"/>
          <w:sz w:val="24"/>
          <w:szCs w:val="24"/>
          <w:lang w:eastAsia="en-GB"/>
        </w:rPr>
        <w:t xml:space="preserve"> </w:t>
      </w:r>
      <w:proofErr w:type="spellStart"/>
      <w:r w:rsidRPr="00811F65">
        <w:rPr>
          <w:rFonts w:eastAsia="TimesNewRoman"/>
          <w:sz w:val="24"/>
          <w:szCs w:val="24"/>
          <w:lang w:eastAsia="en-GB"/>
        </w:rPr>
        <w:t>dexamethason</w:t>
      </w:r>
      <w:proofErr w:type="spellEnd"/>
      <w:r w:rsidRPr="00811F65">
        <w:rPr>
          <w:rFonts w:eastAsia="TimesNewRoman"/>
          <w:sz w:val="24"/>
          <w:szCs w:val="24"/>
          <w:lang w:eastAsia="en-GB"/>
        </w:rPr>
        <w:t xml:space="preserve">, </w:t>
      </w:r>
      <w:proofErr w:type="spellStart"/>
      <w:r w:rsidRPr="00811F65">
        <w:rPr>
          <w:rFonts w:eastAsia="TimesNewRoman"/>
          <w:sz w:val="24"/>
          <w:szCs w:val="24"/>
          <w:lang w:eastAsia="en-GB"/>
        </w:rPr>
        <w:t>phenytoin</w:t>
      </w:r>
      <w:proofErr w:type="spellEnd"/>
      <w:r w:rsidRPr="00811F65">
        <w:rPr>
          <w:rFonts w:eastAsia="TimesNewRoman"/>
          <w:sz w:val="24"/>
          <w:szCs w:val="24"/>
          <w:lang w:eastAsia="en-GB"/>
        </w:rPr>
        <w:t xml:space="preserve">, </w:t>
      </w:r>
      <w:proofErr w:type="spellStart"/>
      <w:r w:rsidRPr="00811F65">
        <w:rPr>
          <w:rFonts w:eastAsia="TimesNewRoman"/>
          <w:sz w:val="24"/>
          <w:szCs w:val="24"/>
          <w:lang w:eastAsia="en-GB"/>
        </w:rPr>
        <w:t>carbamazepin</w:t>
      </w:r>
      <w:proofErr w:type="spellEnd"/>
      <w:r w:rsidRPr="00811F65">
        <w:rPr>
          <w:rFonts w:eastAsia="TimesNewRoman"/>
          <w:sz w:val="24"/>
          <w:szCs w:val="24"/>
          <w:lang w:eastAsia="en-GB"/>
        </w:rPr>
        <w:t xml:space="preserve">, </w:t>
      </w:r>
      <w:proofErr w:type="spellStart"/>
      <w:r w:rsidRPr="00811F65">
        <w:rPr>
          <w:rFonts w:eastAsia="TimesNewRoman"/>
          <w:sz w:val="24"/>
          <w:szCs w:val="24"/>
          <w:lang w:eastAsia="en-GB"/>
        </w:rPr>
        <w:t>rifabutin</w:t>
      </w:r>
      <w:proofErr w:type="spellEnd"/>
      <w:r w:rsidRPr="00811F65">
        <w:rPr>
          <w:rFonts w:eastAsia="TimesNewRoman"/>
          <w:sz w:val="24"/>
          <w:szCs w:val="24"/>
          <w:lang w:eastAsia="en-GB"/>
        </w:rPr>
        <w:t xml:space="preserve">, </w:t>
      </w:r>
      <w:proofErr w:type="spellStart"/>
      <w:r w:rsidRPr="00811F65">
        <w:rPr>
          <w:rFonts w:eastAsia="TimesNewRoman"/>
          <w:sz w:val="24"/>
          <w:szCs w:val="24"/>
          <w:lang w:eastAsia="en-GB"/>
        </w:rPr>
        <w:t>rifapentin</w:t>
      </w:r>
      <w:proofErr w:type="spellEnd"/>
      <w:r w:rsidRPr="00811F65">
        <w:rPr>
          <w:rFonts w:eastAsia="TimesNewRoman"/>
          <w:sz w:val="24"/>
          <w:szCs w:val="24"/>
          <w:lang w:eastAsia="en-GB"/>
        </w:rPr>
        <w:t xml:space="preserve">, </w:t>
      </w:r>
      <w:proofErr w:type="spellStart"/>
      <w:r w:rsidRPr="00811F65">
        <w:rPr>
          <w:rFonts w:eastAsia="TimesNewRoman"/>
          <w:sz w:val="24"/>
          <w:szCs w:val="24"/>
          <w:lang w:eastAsia="en-GB"/>
        </w:rPr>
        <w:t>phenobarbital</w:t>
      </w:r>
      <w:proofErr w:type="spellEnd"/>
      <w:r w:rsidRPr="00811F65">
        <w:rPr>
          <w:rFonts w:eastAsia="TimesNewRoman"/>
          <w:sz w:val="24"/>
          <w:szCs w:val="24"/>
          <w:lang w:eastAsia="en-GB"/>
        </w:rPr>
        <w:t xml:space="preserve"> og perikon) kan nedsætte</w:t>
      </w:r>
      <w:r w:rsidR="00811F65">
        <w:rPr>
          <w:rFonts w:eastAsia="TimesNewRoman"/>
          <w:sz w:val="24"/>
          <w:szCs w:val="24"/>
          <w:lang w:eastAsia="en-GB"/>
        </w:rPr>
        <w:t xml:space="preserve"> </w:t>
      </w:r>
      <w:r w:rsidRPr="00811F65">
        <w:rPr>
          <w:rFonts w:eastAsia="TimesNewRoman"/>
          <w:sz w:val="24"/>
          <w:szCs w:val="24"/>
          <w:lang w:eastAsia="en-GB"/>
        </w:rPr>
        <w:t xml:space="preserve">plasmakoncentrationen af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Det anbefales at vælge lægemidler med ringe eller minimalt</w:t>
      </w:r>
      <w:r w:rsidR="00811F65">
        <w:rPr>
          <w:rFonts w:eastAsia="TimesNewRoman"/>
          <w:sz w:val="24"/>
          <w:szCs w:val="24"/>
          <w:lang w:eastAsia="en-GB"/>
        </w:rPr>
        <w:t xml:space="preserve"> </w:t>
      </w:r>
      <w:r w:rsidRPr="00811F65">
        <w:rPr>
          <w:rFonts w:eastAsia="TimesNewRoman"/>
          <w:sz w:val="24"/>
          <w:szCs w:val="24"/>
          <w:lang w:eastAsia="en-GB"/>
        </w:rPr>
        <w:t>CYP3A4/5-inducerende potentiale ved samtidig administration. Dosisjustering anbefales, hvis det er</w:t>
      </w:r>
      <w:r w:rsidR="00811F65">
        <w:rPr>
          <w:rFonts w:eastAsia="TimesNewRoman"/>
          <w:sz w:val="24"/>
          <w:szCs w:val="24"/>
          <w:lang w:eastAsia="en-GB"/>
        </w:rPr>
        <w:t xml:space="preserve"> </w:t>
      </w:r>
      <w:r w:rsidRPr="00811F65">
        <w:rPr>
          <w:rFonts w:eastAsia="TimesNewRoman"/>
          <w:sz w:val="24"/>
          <w:szCs w:val="24"/>
          <w:lang w:eastAsia="en-GB"/>
        </w:rPr>
        <w:t>nødvendigt med samtidig administration af en potent CYP3A4/5-induktor (se pkt. 4.2).</w:t>
      </w:r>
    </w:p>
    <w:p w14:paraId="410C818C" w14:textId="77777777" w:rsidR="00355DFD" w:rsidRPr="00811F65" w:rsidRDefault="00355DFD" w:rsidP="00355DFD">
      <w:pPr>
        <w:ind w:left="851"/>
        <w:rPr>
          <w:rFonts w:eastAsia="TimesNewRoman"/>
          <w:sz w:val="24"/>
          <w:szCs w:val="24"/>
          <w:lang w:eastAsia="en-GB"/>
        </w:rPr>
      </w:pPr>
    </w:p>
    <w:p w14:paraId="17D2A424" w14:textId="77777777" w:rsidR="00355DFD" w:rsidRPr="00811F65" w:rsidRDefault="00355DFD" w:rsidP="00355DFD">
      <w:pPr>
        <w:autoSpaceDE w:val="0"/>
        <w:autoSpaceDN w:val="0"/>
        <w:adjustRightInd w:val="0"/>
        <w:ind w:left="851"/>
        <w:rPr>
          <w:rFonts w:eastAsia="TimesNewRoman"/>
          <w:sz w:val="24"/>
          <w:szCs w:val="24"/>
          <w:u w:val="single"/>
          <w:lang w:eastAsia="en-GB"/>
        </w:rPr>
      </w:pPr>
      <w:r w:rsidRPr="00811F65">
        <w:rPr>
          <w:rFonts w:eastAsia="TimesNewRoman"/>
          <w:i/>
          <w:iCs/>
          <w:sz w:val="24"/>
          <w:szCs w:val="24"/>
          <w:u w:val="single"/>
          <w:lang w:eastAsia="en-GB"/>
        </w:rPr>
        <w:t xml:space="preserve">In </w:t>
      </w:r>
      <w:proofErr w:type="spellStart"/>
      <w:r w:rsidRPr="00811F65">
        <w:rPr>
          <w:rFonts w:eastAsia="TimesNewRoman"/>
          <w:i/>
          <w:iCs/>
          <w:sz w:val="24"/>
          <w:szCs w:val="24"/>
          <w:u w:val="single"/>
          <w:lang w:eastAsia="en-GB"/>
        </w:rPr>
        <w:t>vitro</w:t>
      </w:r>
      <w:proofErr w:type="spellEnd"/>
      <w:r w:rsidRPr="00811F65">
        <w:rPr>
          <w:rFonts w:eastAsia="TimesNewRoman"/>
          <w:sz w:val="24"/>
          <w:szCs w:val="24"/>
          <w:u w:val="single"/>
          <w:lang w:eastAsia="en-GB"/>
        </w:rPr>
        <w:t xml:space="preserve"> studier af CYP- og UGT-hæmning og -induktion</w:t>
      </w:r>
    </w:p>
    <w:p w14:paraId="33375B35" w14:textId="7CC9912E"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i/>
          <w:iCs/>
          <w:sz w:val="24"/>
          <w:szCs w:val="24"/>
          <w:lang w:eastAsia="en-GB"/>
        </w:rPr>
        <w:t xml:space="preserve">In </w:t>
      </w:r>
      <w:proofErr w:type="spellStart"/>
      <w:r w:rsidRPr="00811F65">
        <w:rPr>
          <w:rFonts w:eastAsia="TimesNewRoman"/>
          <w:i/>
          <w:iCs/>
          <w:sz w:val="24"/>
          <w:szCs w:val="24"/>
          <w:lang w:eastAsia="en-GB"/>
        </w:rPr>
        <w:t>vitro</w:t>
      </w:r>
      <w:proofErr w:type="spellEnd"/>
      <w:r w:rsidRPr="00811F65">
        <w:rPr>
          <w:rFonts w:eastAsia="TimesNewRoman"/>
          <w:i/>
          <w:iCs/>
          <w:sz w:val="24"/>
          <w:szCs w:val="24"/>
          <w:lang w:eastAsia="en-GB"/>
        </w:rPr>
        <w:t xml:space="preserve"> </w:t>
      </w:r>
      <w:r w:rsidRPr="00811F65">
        <w:rPr>
          <w:rFonts w:eastAsia="TimesNewRoman"/>
          <w:sz w:val="24"/>
          <w:szCs w:val="24"/>
          <w:lang w:eastAsia="en-GB"/>
        </w:rPr>
        <w:t xml:space="preserve">studier antyder, at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ikke hæmmer CYP2A6, CYP2C9, CYP2C19, CYP2D6, CYP2E1,</w:t>
      </w:r>
      <w:r w:rsidR="00811F65">
        <w:rPr>
          <w:rFonts w:eastAsia="TimesNewRoman"/>
          <w:sz w:val="24"/>
          <w:szCs w:val="24"/>
          <w:lang w:eastAsia="en-GB"/>
        </w:rPr>
        <w:t xml:space="preserve"> </w:t>
      </w:r>
      <w:r w:rsidRPr="00811F65">
        <w:rPr>
          <w:rFonts w:eastAsia="TimesNewRoman"/>
          <w:sz w:val="24"/>
          <w:szCs w:val="24"/>
          <w:lang w:eastAsia="en-GB"/>
        </w:rPr>
        <w:t>CYP3A4/5 eller UGT1A1 ved terapeutiske plasmakoncentrationer.</w:t>
      </w:r>
    </w:p>
    <w:p w14:paraId="6DB2D765" w14:textId="77777777" w:rsidR="00355DFD" w:rsidRPr="00811F65" w:rsidRDefault="00355DFD" w:rsidP="00355DFD">
      <w:pPr>
        <w:autoSpaceDE w:val="0"/>
        <w:autoSpaceDN w:val="0"/>
        <w:adjustRightInd w:val="0"/>
        <w:ind w:left="851"/>
        <w:rPr>
          <w:rFonts w:eastAsia="TimesNewRoman"/>
          <w:sz w:val="24"/>
          <w:szCs w:val="24"/>
          <w:lang w:eastAsia="en-GB"/>
        </w:rPr>
      </w:pPr>
    </w:p>
    <w:p w14:paraId="2020B684" w14:textId="12969363"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i/>
          <w:iCs/>
          <w:sz w:val="24"/>
          <w:szCs w:val="24"/>
          <w:lang w:eastAsia="en-GB"/>
        </w:rPr>
        <w:t xml:space="preserve">In </w:t>
      </w:r>
      <w:proofErr w:type="spellStart"/>
      <w:r w:rsidRPr="00811F65">
        <w:rPr>
          <w:rFonts w:eastAsia="TimesNewRoman"/>
          <w:i/>
          <w:iCs/>
          <w:sz w:val="24"/>
          <w:szCs w:val="24"/>
          <w:lang w:eastAsia="en-GB"/>
        </w:rPr>
        <w:t>vitro</w:t>
      </w:r>
      <w:proofErr w:type="spellEnd"/>
      <w:r w:rsidRPr="00811F65">
        <w:rPr>
          <w:rFonts w:eastAsia="TimesNewRoman"/>
          <w:i/>
          <w:iCs/>
          <w:sz w:val="24"/>
          <w:szCs w:val="24"/>
          <w:lang w:eastAsia="en-GB"/>
        </w:rPr>
        <w:t xml:space="preserve"> </w:t>
      </w:r>
      <w:r w:rsidRPr="00811F65">
        <w:rPr>
          <w:rFonts w:eastAsia="TimesNewRoman"/>
          <w:sz w:val="24"/>
          <w:szCs w:val="24"/>
          <w:lang w:eastAsia="en-GB"/>
        </w:rPr>
        <w:t xml:space="preserve">studier antyder, at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er en potentiel hæmmer af CYP1A2. Samtidig administration af</w:t>
      </w:r>
      <w:r w:rsidR="00811F65">
        <w:rPr>
          <w:rFonts w:eastAsia="TimesNewRoman"/>
          <w:sz w:val="24"/>
          <w:szCs w:val="24"/>
          <w:lang w:eastAsia="en-GB"/>
        </w:rPr>
        <w:t xml:space="preserve">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og CYP1A2-substrater kan medføre en stigning i koncentrationen af CYP1A2-substrater</w:t>
      </w:r>
      <w:r w:rsidR="00811F65">
        <w:rPr>
          <w:rFonts w:eastAsia="TimesNewRoman"/>
          <w:sz w:val="24"/>
          <w:szCs w:val="24"/>
          <w:lang w:eastAsia="en-GB"/>
        </w:rPr>
        <w:t xml:space="preserve"> </w:t>
      </w:r>
      <w:r w:rsidRPr="00811F65">
        <w:rPr>
          <w:rFonts w:eastAsia="TimesNewRoman"/>
          <w:sz w:val="24"/>
          <w:szCs w:val="24"/>
          <w:lang w:eastAsia="en-GB"/>
        </w:rPr>
        <w:t xml:space="preserve">(f.eks. </w:t>
      </w:r>
      <w:proofErr w:type="spellStart"/>
      <w:r w:rsidRPr="00811F65">
        <w:rPr>
          <w:rFonts w:eastAsia="TimesNewRoman"/>
          <w:sz w:val="24"/>
          <w:szCs w:val="24"/>
          <w:lang w:eastAsia="en-GB"/>
        </w:rPr>
        <w:t>teofyllin</w:t>
      </w:r>
      <w:proofErr w:type="spellEnd"/>
      <w:r w:rsidRPr="00811F65">
        <w:rPr>
          <w:rFonts w:eastAsia="TimesNewRoman"/>
          <w:sz w:val="24"/>
          <w:szCs w:val="24"/>
          <w:lang w:eastAsia="en-GB"/>
        </w:rPr>
        <w:t>).</w:t>
      </w:r>
    </w:p>
    <w:p w14:paraId="22069A4B" w14:textId="77777777" w:rsidR="00355DFD" w:rsidRPr="00811F65" w:rsidRDefault="00355DFD" w:rsidP="00355DFD">
      <w:pPr>
        <w:autoSpaceDE w:val="0"/>
        <w:autoSpaceDN w:val="0"/>
        <w:adjustRightInd w:val="0"/>
        <w:ind w:left="851"/>
        <w:rPr>
          <w:rFonts w:eastAsia="TimesNewRoman"/>
          <w:sz w:val="24"/>
          <w:szCs w:val="24"/>
          <w:lang w:eastAsia="en-GB"/>
        </w:rPr>
      </w:pPr>
    </w:p>
    <w:p w14:paraId="7F84FBFB" w14:textId="79F2D3B2"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i/>
          <w:iCs/>
          <w:sz w:val="24"/>
          <w:szCs w:val="24"/>
          <w:lang w:eastAsia="en-GB"/>
        </w:rPr>
        <w:t xml:space="preserve">In </w:t>
      </w:r>
      <w:proofErr w:type="spellStart"/>
      <w:r w:rsidRPr="00811F65">
        <w:rPr>
          <w:rFonts w:eastAsia="TimesNewRoman"/>
          <w:i/>
          <w:iCs/>
          <w:sz w:val="24"/>
          <w:szCs w:val="24"/>
          <w:lang w:eastAsia="en-GB"/>
        </w:rPr>
        <w:t>vitro</w:t>
      </w:r>
      <w:proofErr w:type="spellEnd"/>
      <w:r w:rsidRPr="00811F65">
        <w:rPr>
          <w:rFonts w:eastAsia="TimesNewRoman"/>
          <w:i/>
          <w:iCs/>
          <w:sz w:val="24"/>
          <w:szCs w:val="24"/>
          <w:lang w:eastAsia="en-GB"/>
        </w:rPr>
        <w:t xml:space="preserve"> </w:t>
      </w:r>
      <w:r w:rsidRPr="00811F65">
        <w:rPr>
          <w:rFonts w:eastAsia="TimesNewRoman"/>
          <w:sz w:val="24"/>
          <w:szCs w:val="24"/>
          <w:lang w:eastAsia="en-GB"/>
        </w:rPr>
        <w:t xml:space="preserve">studier antyder, at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er en potentiel hæmmer af CYP2C8. Samtidig administration af</w:t>
      </w:r>
      <w:r w:rsidR="00811F65">
        <w:rPr>
          <w:rFonts w:eastAsia="TimesNewRoman"/>
          <w:sz w:val="24"/>
          <w:szCs w:val="24"/>
          <w:lang w:eastAsia="en-GB"/>
        </w:rPr>
        <w:t xml:space="preserve">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og </w:t>
      </w:r>
      <w:proofErr w:type="spellStart"/>
      <w:r w:rsidRPr="00811F65">
        <w:rPr>
          <w:rFonts w:eastAsia="TimesNewRoman"/>
          <w:sz w:val="24"/>
          <w:szCs w:val="24"/>
          <w:lang w:eastAsia="en-GB"/>
        </w:rPr>
        <w:t>paclitaxel</w:t>
      </w:r>
      <w:proofErr w:type="spellEnd"/>
      <w:r w:rsidRPr="00811F65">
        <w:rPr>
          <w:rFonts w:eastAsia="TimesNewRoman"/>
          <w:sz w:val="24"/>
          <w:szCs w:val="24"/>
          <w:lang w:eastAsia="en-GB"/>
        </w:rPr>
        <w:t xml:space="preserve">, et kendt CYP2C8-substrat, medførte dog ingen stigning i plasmakoncentrationen af </w:t>
      </w:r>
      <w:proofErr w:type="spellStart"/>
      <w:r w:rsidRPr="00811F65">
        <w:rPr>
          <w:rFonts w:eastAsia="TimesNewRoman"/>
          <w:sz w:val="24"/>
          <w:szCs w:val="24"/>
          <w:lang w:eastAsia="en-GB"/>
        </w:rPr>
        <w:t>paclitaxel</w:t>
      </w:r>
      <w:proofErr w:type="spellEnd"/>
      <w:r w:rsidRPr="00811F65">
        <w:rPr>
          <w:rFonts w:eastAsia="TimesNewRoman"/>
          <w:sz w:val="24"/>
          <w:szCs w:val="24"/>
          <w:lang w:eastAsia="en-GB"/>
        </w:rPr>
        <w:t xml:space="preserve"> hos patienter med fremskreden cancer, hvilket antyder manglende klinisk CYP2C8-hæmning.</w:t>
      </w:r>
    </w:p>
    <w:p w14:paraId="2BC3C532" w14:textId="77777777" w:rsidR="00355DFD" w:rsidRPr="00811F65" w:rsidRDefault="00355DFD" w:rsidP="00355DFD">
      <w:pPr>
        <w:autoSpaceDE w:val="0"/>
        <w:autoSpaceDN w:val="0"/>
        <w:adjustRightInd w:val="0"/>
        <w:ind w:left="851"/>
        <w:rPr>
          <w:rFonts w:eastAsia="TimesNewRoman"/>
          <w:sz w:val="24"/>
          <w:szCs w:val="24"/>
          <w:lang w:eastAsia="en-GB"/>
        </w:rPr>
      </w:pPr>
    </w:p>
    <w:p w14:paraId="73EEE7F5" w14:textId="2D1B3A6C" w:rsidR="00355DFD" w:rsidRPr="00811F65" w:rsidRDefault="00355DFD" w:rsidP="00355DFD">
      <w:pPr>
        <w:autoSpaceDE w:val="0"/>
        <w:autoSpaceDN w:val="0"/>
        <w:adjustRightInd w:val="0"/>
        <w:ind w:left="851"/>
        <w:rPr>
          <w:rFonts w:eastAsia="TimesNewRoman"/>
          <w:sz w:val="24"/>
          <w:szCs w:val="24"/>
          <w:lang w:eastAsia="en-GB"/>
        </w:rPr>
      </w:pPr>
      <w:r w:rsidRPr="00811F65">
        <w:rPr>
          <w:rFonts w:eastAsia="TimesNewRoman"/>
          <w:i/>
          <w:iCs/>
          <w:sz w:val="24"/>
          <w:szCs w:val="24"/>
          <w:lang w:eastAsia="en-GB"/>
        </w:rPr>
        <w:t xml:space="preserve">In </w:t>
      </w:r>
      <w:proofErr w:type="spellStart"/>
      <w:r w:rsidRPr="00811F65">
        <w:rPr>
          <w:rFonts w:eastAsia="TimesNewRoman"/>
          <w:i/>
          <w:iCs/>
          <w:sz w:val="24"/>
          <w:szCs w:val="24"/>
          <w:lang w:eastAsia="en-GB"/>
        </w:rPr>
        <w:t>vitro</w:t>
      </w:r>
      <w:proofErr w:type="spellEnd"/>
      <w:r w:rsidRPr="00811F65">
        <w:rPr>
          <w:rFonts w:eastAsia="TimesNewRoman"/>
          <w:i/>
          <w:iCs/>
          <w:sz w:val="24"/>
          <w:szCs w:val="24"/>
          <w:lang w:eastAsia="en-GB"/>
        </w:rPr>
        <w:t xml:space="preserve"> </w:t>
      </w:r>
      <w:r w:rsidRPr="00811F65">
        <w:rPr>
          <w:rFonts w:eastAsia="TimesNewRoman"/>
          <w:sz w:val="24"/>
          <w:szCs w:val="24"/>
          <w:lang w:eastAsia="en-GB"/>
        </w:rPr>
        <w:t xml:space="preserve">studier med humane </w:t>
      </w:r>
      <w:proofErr w:type="spellStart"/>
      <w:r w:rsidRPr="00811F65">
        <w:rPr>
          <w:rFonts w:eastAsia="TimesNewRoman"/>
          <w:sz w:val="24"/>
          <w:szCs w:val="24"/>
          <w:lang w:eastAsia="en-GB"/>
        </w:rPr>
        <w:t>hepatocytter</w:t>
      </w:r>
      <w:proofErr w:type="spellEnd"/>
      <w:r w:rsidRPr="00811F65">
        <w:rPr>
          <w:rFonts w:eastAsia="TimesNewRoman"/>
          <w:sz w:val="24"/>
          <w:szCs w:val="24"/>
          <w:lang w:eastAsia="en-GB"/>
        </w:rPr>
        <w:t xml:space="preserve"> viste, at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ikke inducerede CYP1A1, CYP1A2 eller</w:t>
      </w:r>
      <w:r w:rsidR="00811F65">
        <w:rPr>
          <w:rFonts w:eastAsia="TimesNewRoman"/>
          <w:sz w:val="24"/>
          <w:szCs w:val="24"/>
          <w:lang w:eastAsia="en-GB"/>
        </w:rPr>
        <w:t xml:space="preserve"> </w:t>
      </w:r>
      <w:r w:rsidRPr="00811F65">
        <w:rPr>
          <w:rFonts w:eastAsia="TimesNewRoman"/>
          <w:sz w:val="24"/>
          <w:szCs w:val="24"/>
          <w:lang w:eastAsia="en-GB"/>
        </w:rPr>
        <w:t xml:space="preserve">CYP3A4/5. Samtidig administration af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forventes ikke at reducere plasmakoncentrationen af</w:t>
      </w:r>
      <w:r w:rsidR="00811F65">
        <w:rPr>
          <w:rFonts w:eastAsia="TimesNewRoman"/>
          <w:sz w:val="24"/>
          <w:szCs w:val="24"/>
          <w:lang w:eastAsia="en-GB"/>
        </w:rPr>
        <w:t xml:space="preserve"> </w:t>
      </w:r>
      <w:r w:rsidRPr="00811F65">
        <w:rPr>
          <w:rFonts w:eastAsia="TimesNewRoman"/>
          <w:sz w:val="24"/>
          <w:szCs w:val="24"/>
          <w:lang w:eastAsia="en-GB"/>
        </w:rPr>
        <w:t xml:space="preserve">CYP1A1, CYP1A2 eller CYP3A4/5 substrater </w:t>
      </w:r>
      <w:r w:rsidRPr="00811F65">
        <w:rPr>
          <w:rFonts w:eastAsia="TimesNewRoman"/>
          <w:i/>
          <w:iCs/>
          <w:sz w:val="24"/>
          <w:szCs w:val="24"/>
          <w:lang w:eastAsia="en-GB"/>
        </w:rPr>
        <w:t xml:space="preserve">in </w:t>
      </w:r>
      <w:proofErr w:type="spellStart"/>
      <w:r w:rsidRPr="00811F65">
        <w:rPr>
          <w:rFonts w:eastAsia="TimesNewRoman"/>
          <w:i/>
          <w:iCs/>
          <w:sz w:val="24"/>
          <w:szCs w:val="24"/>
          <w:lang w:eastAsia="en-GB"/>
        </w:rPr>
        <w:t>vivo</w:t>
      </w:r>
      <w:proofErr w:type="spellEnd"/>
      <w:r w:rsidRPr="00811F65">
        <w:rPr>
          <w:rFonts w:eastAsia="TimesNewRoman"/>
          <w:sz w:val="24"/>
          <w:szCs w:val="24"/>
          <w:lang w:eastAsia="en-GB"/>
        </w:rPr>
        <w:t>.</w:t>
      </w:r>
    </w:p>
    <w:p w14:paraId="2F458D4D" w14:textId="77777777" w:rsidR="00355DFD" w:rsidRPr="00811F65" w:rsidRDefault="00355DFD" w:rsidP="00355DFD">
      <w:pPr>
        <w:autoSpaceDE w:val="0"/>
        <w:autoSpaceDN w:val="0"/>
        <w:adjustRightInd w:val="0"/>
        <w:ind w:left="851"/>
        <w:rPr>
          <w:rFonts w:eastAsia="TimesNewRoman"/>
          <w:sz w:val="24"/>
          <w:szCs w:val="24"/>
          <w:lang w:eastAsia="en-GB"/>
        </w:rPr>
      </w:pPr>
    </w:p>
    <w:p w14:paraId="1A4AA103" w14:textId="77777777" w:rsidR="00355DFD" w:rsidRPr="00811F65" w:rsidRDefault="00355DFD" w:rsidP="00355DFD">
      <w:pPr>
        <w:autoSpaceDE w:val="0"/>
        <w:autoSpaceDN w:val="0"/>
        <w:adjustRightInd w:val="0"/>
        <w:ind w:left="851"/>
        <w:rPr>
          <w:rFonts w:eastAsia="TimesNewRoman"/>
          <w:sz w:val="24"/>
          <w:szCs w:val="24"/>
          <w:u w:val="single"/>
          <w:lang w:eastAsia="en-GB"/>
        </w:rPr>
      </w:pPr>
      <w:r w:rsidRPr="00811F65">
        <w:rPr>
          <w:rFonts w:eastAsia="TimesNewRoman"/>
          <w:sz w:val="24"/>
          <w:szCs w:val="24"/>
          <w:u w:val="single"/>
          <w:lang w:eastAsia="en-GB"/>
        </w:rPr>
        <w:t xml:space="preserve">In </w:t>
      </w:r>
      <w:proofErr w:type="spellStart"/>
      <w:r w:rsidRPr="00811F65">
        <w:rPr>
          <w:rFonts w:eastAsia="TimesNewRoman"/>
          <w:sz w:val="24"/>
          <w:szCs w:val="24"/>
          <w:u w:val="single"/>
          <w:lang w:eastAsia="en-GB"/>
        </w:rPr>
        <w:t>vitro</w:t>
      </w:r>
      <w:proofErr w:type="spellEnd"/>
      <w:r w:rsidRPr="00811F65">
        <w:rPr>
          <w:rFonts w:eastAsia="TimesNewRoman"/>
          <w:sz w:val="24"/>
          <w:szCs w:val="24"/>
          <w:u w:val="single"/>
          <w:lang w:eastAsia="en-GB"/>
        </w:rPr>
        <w:t xml:space="preserve"> studier med P-</w:t>
      </w:r>
      <w:proofErr w:type="spellStart"/>
      <w:r w:rsidRPr="00811F65">
        <w:rPr>
          <w:rFonts w:eastAsia="TimesNewRoman"/>
          <w:sz w:val="24"/>
          <w:szCs w:val="24"/>
          <w:u w:val="single"/>
          <w:lang w:eastAsia="en-GB"/>
        </w:rPr>
        <w:t>glykoprotein</w:t>
      </w:r>
      <w:proofErr w:type="spellEnd"/>
    </w:p>
    <w:p w14:paraId="1185212D" w14:textId="0C8498B1" w:rsidR="00355DFD" w:rsidRPr="00811F65" w:rsidRDefault="00355DFD" w:rsidP="00811F65">
      <w:pPr>
        <w:autoSpaceDE w:val="0"/>
        <w:autoSpaceDN w:val="0"/>
        <w:adjustRightInd w:val="0"/>
        <w:ind w:left="851"/>
        <w:rPr>
          <w:rFonts w:eastAsia="TimesNewRoman"/>
          <w:sz w:val="24"/>
          <w:szCs w:val="24"/>
          <w:lang w:eastAsia="en-GB"/>
        </w:rPr>
      </w:pPr>
      <w:r w:rsidRPr="00811F65">
        <w:rPr>
          <w:rFonts w:eastAsia="TimesNewRoman"/>
          <w:i/>
          <w:iCs/>
          <w:sz w:val="24"/>
          <w:szCs w:val="24"/>
          <w:lang w:eastAsia="en-GB"/>
        </w:rPr>
        <w:t xml:space="preserve">In </w:t>
      </w:r>
      <w:proofErr w:type="spellStart"/>
      <w:r w:rsidRPr="00811F65">
        <w:rPr>
          <w:rFonts w:eastAsia="TimesNewRoman"/>
          <w:i/>
          <w:iCs/>
          <w:sz w:val="24"/>
          <w:szCs w:val="24"/>
          <w:lang w:eastAsia="en-GB"/>
        </w:rPr>
        <w:t>vitro</w:t>
      </w:r>
      <w:proofErr w:type="spellEnd"/>
      <w:r w:rsidRPr="00811F65">
        <w:rPr>
          <w:rFonts w:eastAsia="TimesNewRoman"/>
          <w:i/>
          <w:iCs/>
          <w:sz w:val="24"/>
          <w:szCs w:val="24"/>
          <w:lang w:eastAsia="en-GB"/>
        </w:rPr>
        <w:t xml:space="preserve"> </w:t>
      </w:r>
      <w:r w:rsidRPr="00811F65">
        <w:rPr>
          <w:rFonts w:eastAsia="TimesNewRoman"/>
          <w:sz w:val="24"/>
          <w:szCs w:val="24"/>
          <w:lang w:eastAsia="en-GB"/>
        </w:rPr>
        <w:t xml:space="preserve">studier antyder, at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hæmmer P-</w:t>
      </w:r>
      <w:proofErr w:type="spellStart"/>
      <w:r w:rsidRPr="00811F65">
        <w:rPr>
          <w:rFonts w:eastAsia="TimesNewRoman"/>
          <w:sz w:val="24"/>
          <w:szCs w:val="24"/>
          <w:lang w:eastAsia="en-GB"/>
        </w:rPr>
        <w:t>glykoprotein</w:t>
      </w:r>
      <w:proofErr w:type="spellEnd"/>
      <w:r w:rsidRPr="00811F65">
        <w:rPr>
          <w:rFonts w:eastAsia="TimesNewRoman"/>
          <w:sz w:val="24"/>
          <w:szCs w:val="24"/>
          <w:lang w:eastAsia="en-GB"/>
        </w:rPr>
        <w:t xml:space="preserve">. Men samtidig administration af </w:t>
      </w:r>
      <w:proofErr w:type="spellStart"/>
      <w:r w:rsidRPr="00811F65">
        <w:rPr>
          <w:rFonts w:eastAsia="TimesNewRoman"/>
          <w:sz w:val="24"/>
          <w:szCs w:val="24"/>
          <w:lang w:eastAsia="en-GB"/>
        </w:rPr>
        <w:t>axitinib</w:t>
      </w:r>
      <w:proofErr w:type="spellEnd"/>
      <w:r w:rsidR="00811F65">
        <w:rPr>
          <w:rFonts w:eastAsia="TimesNewRoman"/>
          <w:sz w:val="24"/>
          <w:szCs w:val="24"/>
          <w:lang w:eastAsia="en-GB"/>
        </w:rPr>
        <w:t xml:space="preserve"> </w:t>
      </w:r>
      <w:r w:rsidRPr="00811F65">
        <w:rPr>
          <w:rFonts w:eastAsia="TimesNewRoman"/>
          <w:sz w:val="24"/>
          <w:szCs w:val="24"/>
          <w:lang w:eastAsia="en-GB"/>
        </w:rPr>
        <w:t>forventes ikke at hæmme P-</w:t>
      </w:r>
      <w:proofErr w:type="spellStart"/>
      <w:r w:rsidRPr="00811F65">
        <w:rPr>
          <w:rFonts w:eastAsia="TimesNewRoman"/>
          <w:sz w:val="24"/>
          <w:szCs w:val="24"/>
          <w:lang w:eastAsia="en-GB"/>
        </w:rPr>
        <w:t>glykoprotein</w:t>
      </w:r>
      <w:proofErr w:type="spellEnd"/>
      <w:r w:rsidRPr="00811F65">
        <w:rPr>
          <w:rFonts w:eastAsia="TimesNewRoman"/>
          <w:sz w:val="24"/>
          <w:szCs w:val="24"/>
          <w:lang w:eastAsia="en-GB"/>
        </w:rPr>
        <w:t xml:space="preserve"> ved terapeutiske</w:t>
      </w:r>
      <w:r w:rsidR="00E84059">
        <w:rPr>
          <w:rFonts w:eastAsia="TimesNewRoman"/>
          <w:sz w:val="24"/>
          <w:szCs w:val="24"/>
          <w:lang w:eastAsia="en-GB"/>
        </w:rPr>
        <w:t xml:space="preserve"> </w:t>
      </w:r>
      <w:r w:rsidRPr="00811F65">
        <w:rPr>
          <w:rFonts w:eastAsia="TimesNewRoman"/>
          <w:sz w:val="24"/>
          <w:szCs w:val="24"/>
          <w:lang w:eastAsia="en-GB"/>
        </w:rPr>
        <w:t>plasma</w:t>
      </w:r>
      <w:r w:rsidR="00E84059">
        <w:rPr>
          <w:rFonts w:eastAsia="TimesNewRoman"/>
          <w:sz w:val="24"/>
          <w:szCs w:val="24"/>
          <w:lang w:eastAsia="en-GB"/>
        </w:rPr>
        <w:softHyphen/>
      </w:r>
      <w:r w:rsidRPr="00811F65">
        <w:rPr>
          <w:rFonts w:eastAsia="TimesNewRoman"/>
          <w:sz w:val="24"/>
          <w:szCs w:val="24"/>
          <w:lang w:eastAsia="en-GB"/>
        </w:rPr>
        <w:t>koncentrationer, Det forventes</w:t>
      </w:r>
      <w:r w:rsidR="00811F65">
        <w:rPr>
          <w:rFonts w:eastAsia="TimesNewRoman"/>
          <w:sz w:val="24"/>
          <w:szCs w:val="24"/>
          <w:lang w:eastAsia="en-GB"/>
        </w:rPr>
        <w:t xml:space="preserve"> </w:t>
      </w:r>
      <w:r w:rsidRPr="00811F65">
        <w:rPr>
          <w:rFonts w:eastAsia="TimesNewRoman"/>
          <w:sz w:val="24"/>
          <w:szCs w:val="24"/>
          <w:lang w:eastAsia="en-GB"/>
        </w:rPr>
        <w:t xml:space="preserve">derfor ikke, at samtidig administration af </w:t>
      </w:r>
      <w:proofErr w:type="spellStart"/>
      <w:r w:rsidRPr="00811F65">
        <w:rPr>
          <w:rFonts w:eastAsia="TimesNewRoman"/>
          <w:sz w:val="24"/>
          <w:szCs w:val="24"/>
          <w:lang w:eastAsia="en-GB"/>
        </w:rPr>
        <w:t>axitinib</w:t>
      </w:r>
      <w:proofErr w:type="spellEnd"/>
      <w:r w:rsidRPr="00811F65">
        <w:rPr>
          <w:rFonts w:eastAsia="TimesNewRoman"/>
          <w:sz w:val="24"/>
          <w:szCs w:val="24"/>
          <w:lang w:eastAsia="en-GB"/>
        </w:rPr>
        <w:t xml:space="preserve"> vil medføre en stigning i plasmakoncentrationen af</w:t>
      </w:r>
      <w:r w:rsidR="00811F65">
        <w:rPr>
          <w:rFonts w:eastAsia="TimesNewRoman"/>
          <w:sz w:val="24"/>
          <w:szCs w:val="24"/>
          <w:lang w:eastAsia="en-GB"/>
        </w:rPr>
        <w:t xml:space="preserve"> </w:t>
      </w:r>
      <w:proofErr w:type="spellStart"/>
      <w:r w:rsidRPr="00811F65">
        <w:rPr>
          <w:rFonts w:eastAsia="TimesNewRoman"/>
          <w:sz w:val="24"/>
          <w:szCs w:val="24"/>
          <w:lang w:eastAsia="en-GB"/>
        </w:rPr>
        <w:t>digoxin</w:t>
      </w:r>
      <w:proofErr w:type="spellEnd"/>
      <w:r w:rsidRPr="00811F65">
        <w:rPr>
          <w:rFonts w:eastAsia="TimesNewRoman"/>
          <w:sz w:val="24"/>
          <w:szCs w:val="24"/>
          <w:lang w:eastAsia="en-GB"/>
        </w:rPr>
        <w:t xml:space="preserve"> eller andre </w:t>
      </w:r>
      <w:proofErr w:type="spellStart"/>
      <w:r w:rsidRPr="00811F65">
        <w:rPr>
          <w:rFonts w:eastAsia="TimesNewRoman"/>
          <w:sz w:val="24"/>
          <w:szCs w:val="24"/>
          <w:lang w:eastAsia="en-GB"/>
        </w:rPr>
        <w:t>P-glykoprotein</w:t>
      </w:r>
      <w:r w:rsidR="00811F65">
        <w:rPr>
          <w:rFonts w:eastAsia="TimesNewRoman"/>
          <w:sz w:val="24"/>
          <w:szCs w:val="24"/>
          <w:lang w:eastAsia="en-GB"/>
        </w:rPr>
        <w:softHyphen/>
      </w:r>
      <w:r w:rsidRPr="00811F65">
        <w:rPr>
          <w:rFonts w:eastAsia="TimesNewRoman"/>
          <w:sz w:val="24"/>
          <w:szCs w:val="24"/>
          <w:lang w:eastAsia="en-GB"/>
        </w:rPr>
        <w:t>substrater</w:t>
      </w:r>
      <w:proofErr w:type="spellEnd"/>
      <w:r w:rsidRPr="00811F65">
        <w:rPr>
          <w:rFonts w:eastAsia="TimesNewRoman"/>
          <w:sz w:val="24"/>
          <w:szCs w:val="24"/>
          <w:lang w:eastAsia="en-GB"/>
        </w:rPr>
        <w:t xml:space="preserve"> </w:t>
      </w:r>
      <w:r w:rsidRPr="00811F65">
        <w:rPr>
          <w:rFonts w:eastAsia="TimesNewRoman"/>
          <w:i/>
          <w:iCs/>
          <w:sz w:val="24"/>
          <w:szCs w:val="24"/>
          <w:lang w:eastAsia="en-GB"/>
        </w:rPr>
        <w:t xml:space="preserve">in </w:t>
      </w:r>
      <w:proofErr w:type="spellStart"/>
      <w:r w:rsidRPr="00811F65">
        <w:rPr>
          <w:rFonts w:eastAsia="TimesNewRoman"/>
          <w:i/>
          <w:iCs/>
          <w:sz w:val="24"/>
          <w:szCs w:val="24"/>
          <w:lang w:eastAsia="en-GB"/>
        </w:rPr>
        <w:t>vivo</w:t>
      </w:r>
      <w:proofErr w:type="spellEnd"/>
      <w:r w:rsidRPr="00811F65">
        <w:rPr>
          <w:rFonts w:eastAsia="TimesNewRoman"/>
          <w:sz w:val="24"/>
          <w:szCs w:val="24"/>
          <w:lang w:eastAsia="en-GB"/>
        </w:rPr>
        <w:t>.</w:t>
      </w:r>
    </w:p>
    <w:p w14:paraId="44D2E8DB" w14:textId="77777777" w:rsidR="009260DE" w:rsidRPr="00811F65" w:rsidRDefault="009260DE" w:rsidP="009260DE">
      <w:pPr>
        <w:tabs>
          <w:tab w:val="left" w:pos="851"/>
        </w:tabs>
        <w:ind w:left="851"/>
        <w:rPr>
          <w:sz w:val="24"/>
          <w:szCs w:val="24"/>
        </w:rPr>
      </w:pPr>
    </w:p>
    <w:p w14:paraId="6A3BF0B3" w14:textId="77777777" w:rsidR="009260DE" w:rsidRPr="00811F65" w:rsidRDefault="009260DE" w:rsidP="009260DE">
      <w:pPr>
        <w:tabs>
          <w:tab w:val="left" w:pos="851"/>
        </w:tabs>
        <w:ind w:left="851" w:hanging="851"/>
        <w:rPr>
          <w:b/>
          <w:sz w:val="24"/>
          <w:szCs w:val="24"/>
        </w:rPr>
      </w:pPr>
      <w:r w:rsidRPr="00811F65">
        <w:rPr>
          <w:b/>
          <w:sz w:val="24"/>
          <w:szCs w:val="24"/>
        </w:rPr>
        <w:t>4.6</w:t>
      </w:r>
      <w:r w:rsidRPr="00811F65">
        <w:rPr>
          <w:b/>
          <w:sz w:val="24"/>
          <w:szCs w:val="24"/>
        </w:rPr>
        <w:tab/>
      </w:r>
      <w:r w:rsidR="0071241E" w:rsidRPr="00811F65">
        <w:rPr>
          <w:b/>
          <w:sz w:val="24"/>
          <w:szCs w:val="24"/>
        </w:rPr>
        <w:t>Fertilitet, g</w:t>
      </w:r>
      <w:r w:rsidRPr="00811F65">
        <w:rPr>
          <w:b/>
          <w:sz w:val="24"/>
          <w:szCs w:val="24"/>
        </w:rPr>
        <w:t>raviditet og amning</w:t>
      </w:r>
    </w:p>
    <w:p w14:paraId="79F10DCC" w14:textId="77777777" w:rsidR="00811F65" w:rsidRDefault="00811F65" w:rsidP="00355DFD">
      <w:pPr>
        <w:ind w:left="851"/>
        <w:rPr>
          <w:sz w:val="24"/>
          <w:szCs w:val="24"/>
          <w:u w:val="single"/>
        </w:rPr>
      </w:pPr>
    </w:p>
    <w:p w14:paraId="271FCC9D" w14:textId="19F227E4" w:rsidR="00355DFD" w:rsidRPr="00811F65" w:rsidRDefault="00355DFD" w:rsidP="00355DFD">
      <w:pPr>
        <w:ind w:left="851"/>
        <w:rPr>
          <w:sz w:val="24"/>
          <w:szCs w:val="24"/>
          <w:u w:val="single"/>
          <w:lang w:eastAsia="fr-LU"/>
        </w:rPr>
      </w:pPr>
      <w:r w:rsidRPr="00811F65">
        <w:rPr>
          <w:sz w:val="24"/>
          <w:szCs w:val="24"/>
          <w:u w:val="single"/>
        </w:rPr>
        <w:t>Graviditet</w:t>
      </w:r>
    </w:p>
    <w:p w14:paraId="09F96580" w14:textId="77777777" w:rsidR="00355DFD" w:rsidRPr="00811F65" w:rsidRDefault="00355DFD" w:rsidP="00355DFD">
      <w:pPr>
        <w:ind w:left="851"/>
        <w:rPr>
          <w:sz w:val="24"/>
          <w:szCs w:val="24"/>
        </w:rPr>
      </w:pPr>
      <w:r w:rsidRPr="00811F65">
        <w:rPr>
          <w:sz w:val="24"/>
          <w:szCs w:val="24"/>
        </w:rPr>
        <w:t xml:space="preserve">Der er ingen data vedrørende brugen af </w:t>
      </w:r>
      <w:proofErr w:type="spellStart"/>
      <w:r w:rsidRPr="00811F65">
        <w:rPr>
          <w:sz w:val="24"/>
          <w:szCs w:val="24"/>
        </w:rPr>
        <w:t>axitinib</w:t>
      </w:r>
      <w:proofErr w:type="spellEnd"/>
      <w:r w:rsidRPr="00811F65">
        <w:rPr>
          <w:sz w:val="24"/>
          <w:szCs w:val="24"/>
        </w:rPr>
        <w:t xml:space="preserve"> til gravide kvinder. Baseret på de farmakologiske egenskaber af </w:t>
      </w:r>
      <w:proofErr w:type="spellStart"/>
      <w:r w:rsidRPr="00811F65">
        <w:rPr>
          <w:sz w:val="24"/>
          <w:szCs w:val="24"/>
        </w:rPr>
        <w:t>axitinib</w:t>
      </w:r>
      <w:proofErr w:type="spellEnd"/>
      <w:r w:rsidRPr="00811F65">
        <w:rPr>
          <w:sz w:val="24"/>
          <w:szCs w:val="24"/>
        </w:rPr>
        <w:t xml:space="preserve"> kan det forårsage fosterskader, når det administreres til en gravid kvinde. Dyreforsøg har vist reproduktionstoksicitet, herunder misdannelser (se pkt. 5.3). </w:t>
      </w:r>
      <w:proofErr w:type="spellStart"/>
      <w:r w:rsidRPr="00811F65">
        <w:rPr>
          <w:sz w:val="24"/>
          <w:szCs w:val="24"/>
        </w:rPr>
        <w:t>Axitinib</w:t>
      </w:r>
      <w:proofErr w:type="spellEnd"/>
      <w:r w:rsidRPr="00811F65">
        <w:rPr>
          <w:sz w:val="24"/>
          <w:szCs w:val="24"/>
        </w:rPr>
        <w:t xml:space="preserve"> bør ikke anvendes under graviditet, medmindre kvindens kliniske tilstand kræver behandling med dette lægemiddel.</w:t>
      </w:r>
    </w:p>
    <w:p w14:paraId="3FB79766" w14:textId="77777777" w:rsidR="00355DFD" w:rsidRPr="00811F65" w:rsidRDefault="00355DFD" w:rsidP="00355DFD">
      <w:pPr>
        <w:ind w:left="851"/>
        <w:rPr>
          <w:sz w:val="24"/>
          <w:szCs w:val="24"/>
        </w:rPr>
      </w:pPr>
    </w:p>
    <w:p w14:paraId="0137EADE" w14:textId="77777777" w:rsidR="00355DFD" w:rsidRPr="00811F65" w:rsidRDefault="00355DFD" w:rsidP="00355DFD">
      <w:pPr>
        <w:ind w:left="851"/>
        <w:rPr>
          <w:sz w:val="24"/>
          <w:szCs w:val="24"/>
        </w:rPr>
      </w:pPr>
      <w:r w:rsidRPr="00811F65">
        <w:rPr>
          <w:sz w:val="24"/>
          <w:szCs w:val="24"/>
        </w:rPr>
        <w:t>Kvinder i den fødedygtige alder skal bruge effektiv prævention under og op til 1 uge efter behandlingen.</w:t>
      </w:r>
    </w:p>
    <w:p w14:paraId="5939ECB6" w14:textId="77777777" w:rsidR="00355DFD" w:rsidRPr="00811F65" w:rsidRDefault="00355DFD" w:rsidP="00355DFD">
      <w:pPr>
        <w:ind w:left="851"/>
        <w:rPr>
          <w:sz w:val="24"/>
          <w:szCs w:val="24"/>
          <w:u w:val="single"/>
        </w:rPr>
      </w:pPr>
    </w:p>
    <w:p w14:paraId="1E3AE673" w14:textId="77777777" w:rsidR="00355DFD" w:rsidRPr="00811F65" w:rsidRDefault="00355DFD" w:rsidP="00355DFD">
      <w:pPr>
        <w:ind w:left="851"/>
        <w:rPr>
          <w:sz w:val="24"/>
          <w:szCs w:val="24"/>
          <w:u w:val="single"/>
        </w:rPr>
      </w:pPr>
      <w:r w:rsidRPr="00811F65">
        <w:rPr>
          <w:sz w:val="24"/>
          <w:szCs w:val="24"/>
          <w:u w:val="single"/>
        </w:rPr>
        <w:t>Amning</w:t>
      </w:r>
    </w:p>
    <w:p w14:paraId="54A79109" w14:textId="77777777" w:rsidR="00355DFD" w:rsidRPr="00811F65" w:rsidRDefault="00355DFD" w:rsidP="00355DFD">
      <w:pPr>
        <w:ind w:left="851"/>
        <w:rPr>
          <w:sz w:val="24"/>
          <w:szCs w:val="24"/>
        </w:rPr>
      </w:pPr>
      <w:r w:rsidRPr="00811F65">
        <w:rPr>
          <w:sz w:val="24"/>
          <w:szCs w:val="24"/>
        </w:rPr>
        <w:t xml:space="preserve">Det vides ikke, om </w:t>
      </w:r>
      <w:proofErr w:type="spellStart"/>
      <w:r w:rsidRPr="00811F65">
        <w:rPr>
          <w:sz w:val="24"/>
          <w:szCs w:val="24"/>
        </w:rPr>
        <w:t>axitinib</w:t>
      </w:r>
      <w:proofErr w:type="spellEnd"/>
      <w:r w:rsidRPr="00811F65">
        <w:rPr>
          <w:sz w:val="24"/>
          <w:szCs w:val="24"/>
        </w:rPr>
        <w:t xml:space="preserve"> udskilles i modermælk. Virkning på det ammende barn kan ikke udelukkes. </w:t>
      </w:r>
      <w:proofErr w:type="spellStart"/>
      <w:r w:rsidRPr="00811F65">
        <w:rPr>
          <w:sz w:val="24"/>
          <w:szCs w:val="24"/>
        </w:rPr>
        <w:t>Axitinib</w:t>
      </w:r>
      <w:proofErr w:type="spellEnd"/>
      <w:r w:rsidRPr="00811F65">
        <w:rPr>
          <w:sz w:val="24"/>
          <w:szCs w:val="24"/>
        </w:rPr>
        <w:t xml:space="preserve"> må ikke anvendes under amning.</w:t>
      </w:r>
    </w:p>
    <w:p w14:paraId="3B73D625" w14:textId="77777777" w:rsidR="00355DFD" w:rsidRPr="00811F65" w:rsidRDefault="00355DFD" w:rsidP="00355DFD">
      <w:pPr>
        <w:ind w:left="851"/>
        <w:rPr>
          <w:sz w:val="24"/>
          <w:szCs w:val="24"/>
          <w:u w:val="single"/>
        </w:rPr>
      </w:pPr>
    </w:p>
    <w:p w14:paraId="65EB150B" w14:textId="77777777" w:rsidR="00355DFD" w:rsidRPr="00811F65" w:rsidRDefault="00355DFD" w:rsidP="00355DFD">
      <w:pPr>
        <w:ind w:left="851"/>
        <w:rPr>
          <w:sz w:val="24"/>
          <w:szCs w:val="24"/>
          <w:u w:val="single"/>
        </w:rPr>
      </w:pPr>
      <w:r w:rsidRPr="00811F65">
        <w:rPr>
          <w:sz w:val="24"/>
          <w:szCs w:val="24"/>
          <w:u w:val="single"/>
        </w:rPr>
        <w:t>Fertilitet</w:t>
      </w:r>
    </w:p>
    <w:p w14:paraId="06932B67" w14:textId="77777777" w:rsidR="00355DFD" w:rsidRPr="00811F65" w:rsidRDefault="00355DFD" w:rsidP="00355DFD">
      <w:pPr>
        <w:ind w:left="851"/>
        <w:rPr>
          <w:i/>
          <w:sz w:val="24"/>
          <w:szCs w:val="24"/>
        </w:rPr>
      </w:pPr>
      <w:r w:rsidRPr="00811F65">
        <w:rPr>
          <w:sz w:val="24"/>
          <w:szCs w:val="24"/>
        </w:rPr>
        <w:t xml:space="preserve">På baggrund af ikke-kliniske fund, kan </w:t>
      </w:r>
      <w:proofErr w:type="spellStart"/>
      <w:r w:rsidRPr="00811F65">
        <w:rPr>
          <w:sz w:val="24"/>
          <w:szCs w:val="24"/>
        </w:rPr>
        <w:t>axitinib</w:t>
      </w:r>
      <w:proofErr w:type="spellEnd"/>
      <w:r w:rsidRPr="00811F65">
        <w:rPr>
          <w:sz w:val="24"/>
          <w:szCs w:val="24"/>
        </w:rPr>
        <w:t xml:space="preserve"> potentielt indvirke på human reproduktion og fertilitet (se pkt. 5.3).</w:t>
      </w:r>
    </w:p>
    <w:p w14:paraId="16CC11E6" w14:textId="77777777" w:rsidR="009260DE" w:rsidRPr="00811F65" w:rsidRDefault="009260DE" w:rsidP="009260DE">
      <w:pPr>
        <w:tabs>
          <w:tab w:val="left" w:pos="851"/>
        </w:tabs>
        <w:ind w:left="851"/>
        <w:rPr>
          <w:sz w:val="24"/>
          <w:szCs w:val="24"/>
        </w:rPr>
      </w:pPr>
    </w:p>
    <w:p w14:paraId="2DD7654B" w14:textId="77777777" w:rsidR="009260DE" w:rsidRPr="00811F65" w:rsidRDefault="009260DE" w:rsidP="009260DE">
      <w:pPr>
        <w:tabs>
          <w:tab w:val="left" w:pos="851"/>
        </w:tabs>
        <w:ind w:left="851" w:hanging="851"/>
        <w:rPr>
          <w:b/>
          <w:sz w:val="24"/>
          <w:szCs w:val="24"/>
        </w:rPr>
      </w:pPr>
      <w:r w:rsidRPr="00811F65">
        <w:rPr>
          <w:b/>
          <w:sz w:val="24"/>
          <w:szCs w:val="24"/>
        </w:rPr>
        <w:t>4.7</w:t>
      </w:r>
      <w:r w:rsidRPr="00811F65">
        <w:rPr>
          <w:b/>
          <w:sz w:val="24"/>
          <w:szCs w:val="24"/>
        </w:rPr>
        <w:tab/>
        <w:t xml:space="preserve">Virkning på evnen til at føre motorkøretøj </w:t>
      </w:r>
      <w:r w:rsidR="0071241E" w:rsidRPr="00811F65">
        <w:rPr>
          <w:b/>
          <w:sz w:val="24"/>
          <w:szCs w:val="24"/>
        </w:rPr>
        <w:t>og</w:t>
      </w:r>
      <w:r w:rsidRPr="00811F65">
        <w:rPr>
          <w:b/>
          <w:sz w:val="24"/>
          <w:szCs w:val="24"/>
        </w:rPr>
        <w:t xml:space="preserve"> betjene maskiner</w:t>
      </w:r>
    </w:p>
    <w:p w14:paraId="621DF665" w14:textId="77777777" w:rsidR="00355DFD" w:rsidRPr="00811F65" w:rsidRDefault="00355DFD" w:rsidP="00355DFD">
      <w:pPr>
        <w:ind w:left="851"/>
        <w:rPr>
          <w:sz w:val="24"/>
          <w:szCs w:val="24"/>
          <w:lang w:eastAsia="fr-LU"/>
        </w:rPr>
      </w:pPr>
      <w:r w:rsidRPr="00811F65">
        <w:rPr>
          <w:sz w:val="24"/>
          <w:szCs w:val="24"/>
        </w:rPr>
        <w:t>Ikke mærkning.</w:t>
      </w:r>
    </w:p>
    <w:p w14:paraId="32825C68" w14:textId="77777777" w:rsidR="00355DFD" w:rsidRPr="00811F65" w:rsidRDefault="00355DFD" w:rsidP="00355DFD">
      <w:pPr>
        <w:ind w:left="851"/>
        <w:rPr>
          <w:sz w:val="24"/>
          <w:szCs w:val="24"/>
        </w:rPr>
      </w:pPr>
      <w:proofErr w:type="spellStart"/>
      <w:r w:rsidRPr="00811F65">
        <w:rPr>
          <w:sz w:val="24"/>
          <w:szCs w:val="24"/>
        </w:rPr>
        <w:t>Axitinib</w:t>
      </w:r>
      <w:proofErr w:type="spellEnd"/>
      <w:r w:rsidRPr="00811F65">
        <w:rPr>
          <w:sz w:val="24"/>
          <w:szCs w:val="24"/>
        </w:rPr>
        <w:t xml:space="preserve"> har mindre indflydelse på evnen til at føre motorkøretøj og betjene maskiner. Patienter bør informeres om, at de kan opleve hændelser såsom svimmelhed og/eller træthed under behandling med </w:t>
      </w:r>
      <w:proofErr w:type="spellStart"/>
      <w:r w:rsidRPr="00811F65">
        <w:rPr>
          <w:sz w:val="24"/>
          <w:szCs w:val="24"/>
        </w:rPr>
        <w:t>axitinib</w:t>
      </w:r>
      <w:proofErr w:type="spellEnd"/>
      <w:r w:rsidRPr="00811F65">
        <w:rPr>
          <w:sz w:val="24"/>
          <w:szCs w:val="24"/>
        </w:rPr>
        <w:t>.</w:t>
      </w:r>
    </w:p>
    <w:p w14:paraId="648DC9CD" w14:textId="77777777" w:rsidR="009260DE" w:rsidRPr="00811F65" w:rsidRDefault="009260DE" w:rsidP="009260DE">
      <w:pPr>
        <w:tabs>
          <w:tab w:val="left" w:pos="851"/>
        </w:tabs>
        <w:ind w:left="851"/>
        <w:rPr>
          <w:sz w:val="24"/>
          <w:szCs w:val="24"/>
        </w:rPr>
      </w:pPr>
    </w:p>
    <w:p w14:paraId="2E83A7A6" w14:textId="77777777" w:rsidR="009260DE" w:rsidRPr="00811F65" w:rsidRDefault="009260DE" w:rsidP="009260DE">
      <w:pPr>
        <w:tabs>
          <w:tab w:val="left" w:pos="851"/>
        </w:tabs>
        <w:ind w:left="851" w:hanging="851"/>
        <w:rPr>
          <w:b/>
          <w:sz w:val="24"/>
          <w:szCs w:val="24"/>
        </w:rPr>
      </w:pPr>
      <w:r w:rsidRPr="00811F65">
        <w:rPr>
          <w:b/>
          <w:sz w:val="24"/>
          <w:szCs w:val="24"/>
        </w:rPr>
        <w:t>4.8</w:t>
      </w:r>
      <w:r w:rsidRPr="00811F65">
        <w:rPr>
          <w:b/>
          <w:sz w:val="24"/>
          <w:szCs w:val="24"/>
        </w:rPr>
        <w:tab/>
        <w:t>Bivirkninger</w:t>
      </w:r>
    </w:p>
    <w:p w14:paraId="57A642B4" w14:textId="77777777" w:rsidR="00811F65" w:rsidRDefault="00811F65" w:rsidP="005235F2">
      <w:pPr>
        <w:ind w:left="851"/>
        <w:rPr>
          <w:sz w:val="24"/>
          <w:szCs w:val="24"/>
          <w:u w:val="single"/>
        </w:rPr>
      </w:pPr>
    </w:p>
    <w:p w14:paraId="100BADBC" w14:textId="2FAB3F40" w:rsidR="00355DFD" w:rsidRPr="00811F65" w:rsidRDefault="00355DFD" w:rsidP="005235F2">
      <w:pPr>
        <w:ind w:left="851"/>
        <w:rPr>
          <w:sz w:val="24"/>
          <w:szCs w:val="24"/>
          <w:u w:val="single"/>
          <w:lang w:eastAsia="fr-LU"/>
        </w:rPr>
      </w:pPr>
      <w:r w:rsidRPr="00811F65">
        <w:rPr>
          <w:sz w:val="24"/>
          <w:szCs w:val="24"/>
          <w:u w:val="single"/>
        </w:rPr>
        <w:t>Sammenfatning af sikkerhedsprofilen</w:t>
      </w:r>
    </w:p>
    <w:p w14:paraId="2B14CE81" w14:textId="77777777" w:rsidR="00355DFD" w:rsidRPr="00811F65" w:rsidRDefault="00355DFD" w:rsidP="005235F2">
      <w:pPr>
        <w:ind w:left="851"/>
        <w:rPr>
          <w:sz w:val="24"/>
          <w:szCs w:val="24"/>
        </w:rPr>
      </w:pPr>
      <w:r w:rsidRPr="00811F65">
        <w:rPr>
          <w:rFonts w:eastAsia="TimesNewRoman"/>
          <w:sz w:val="24"/>
          <w:szCs w:val="24"/>
          <w:lang w:eastAsia="en-GB"/>
        </w:rPr>
        <w:t xml:space="preserve">Følgende risici og håndteringen heraf diskuteres mere indgående i pkt. </w:t>
      </w:r>
      <w:r w:rsidRPr="00811F65">
        <w:rPr>
          <w:sz w:val="24"/>
          <w:szCs w:val="24"/>
        </w:rPr>
        <w:t xml:space="preserve">4.4: hjertesvigt, hypertension, </w:t>
      </w:r>
      <w:proofErr w:type="spellStart"/>
      <w:r w:rsidRPr="00811F65">
        <w:rPr>
          <w:sz w:val="24"/>
          <w:szCs w:val="24"/>
        </w:rPr>
        <w:t>thyreoidea</w:t>
      </w:r>
      <w:proofErr w:type="spellEnd"/>
      <w:r w:rsidRPr="00811F65">
        <w:rPr>
          <w:sz w:val="24"/>
          <w:szCs w:val="24"/>
        </w:rPr>
        <w:t xml:space="preserve"> dysfunktion, arterielle </w:t>
      </w:r>
      <w:proofErr w:type="spellStart"/>
      <w:r w:rsidRPr="00811F65">
        <w:rPr>
          <w:sz w:val="24"/>
          <w:szCs w:val="24"/>
        </w:rPr>
        <w:t>tromboemboliske</w:t>
      </w:r>
      <w:proofErr w:type="spellEnd"/>
      <w:r w:rsidRPr="00811F65">
        <w:rPr>
          <w:sz w:val="24"/>
          <w:szCs w:val="24"/>
        </w:rPr>
        <w:t xml:space="preserve"> hændelser, venøse </w:t>
      </w:r>
      <w:proofErr w:type="spellStart"/>
      <w:r w:rsidRPr="00811F65">
        <w:rPr>
          <w:sz w:val="24"/>
          <w:szCs w:val="24"/>
        </w:rPr>
        <w:t>tromboemboliske</w:t>
      </w:r>
      <w:proofErr w:type="spellEnd"/>
      <w:r w:rsidRPr="00811F65">
        <w:rPr>
          <w:sz w:val="24"/>
          <w:szCs w:val="24"/>
        </w:rPr>
        <w:t xml:space="preserve"> hændelser, forhøjet hæmoglobin eller hæmatokrit, blødning, </w:t>
      </w:r>
      <w:proofErr w:type="spellStart"/>
      <w:r w:rsidRPr="00811F65">
        <w:rPr>
          <w:sz w:val="24"/>
          <w:szCs w:val="24"/>
        </w:rPr>
        <w:t>gastrointestinal</w:t>
      </w:r>
      <w:proofErr w:type="spellEnd"/>
      <w:r w:rsidRPr="00811F65">
        <w:rPr>
          <w:sz w:val="24"/>
          <w:szCs w:val="24"/>
        </w:rPr>
        <w:t xml:space="preserve"> perforation og fisteldannelse, komplikationer ved sårheling, PRES, </w:t>
      </w:r>
      <w:proofErr w:type="spellStart"/>
      <w:r w:rsidRPr="00811F65">
        <w:rPr>
          <w:sz w:val="24"/>
          <w:szCs w:val="24"/>
        </w:rPr>
        <w:t>proteinuri</w:t>
      </w:r>
      <w:proofErr w:type="spellEnd"/>
      <w:r w:rsidRPr="00811F65">
        <w:rPr>
          <w:sz w:val="24"/>
          <w:szCs w:val="24"/>
        </w:rPr>
        <w:t xml:space="preserve"> og stigning af leverenzymer.</w:t>
      </w:r>
    </w:p>
    <w:p w14:paraId="5842F019" w14:textId="77777777" w:rsidR="00355DFD" w:rsidRPr="00811F65" w:rsidRDefault="00355DFD" w:rsidP="005235F2">
      <w:pPr>
        <w:ind w:left="851"/>
        <w:rPr>
          <w:sz w:val="24"/>
          <w:szCs w:val="24"/>
        </w:rPr>
      </w:pPr>
    </w:p>
    <w:p w14:paraId="1B01C2A1" w14:textId="62276DCE" w:rsidR="00355DFD" w:rsidRPr="00811F65" w:rsidRDefault="00355DFD" w:rsidP="005235F2">
      <w:pPr>
        <w:ind w:left="851"/>
        <w:rPr>
          <w:sz w:val="24"/>
          <w:szCs w:val="24"/>
          <w:u w:val="single"/>
        </w:rPr>
      </w:pPr>
      <w:r w:rsidRPr="00811F65">
        <w:rPr>
          <w:sz w:val="24"/>
          <w:szCs w:val="24"/>
        </w:rPr>
        <w:t>De mest almindelige (≥ 20</w:t>
      </w:r>
      <w:r w:rsidR="00E84059">
        <w:rPr>
          <w:sz w:val="24"/>
          <w:szCs w:val="24"/>
        </w:rPr>
        <w:t xml:space="preserve"> %</w:t>
      </w:r>
      <w:r w:rsidRPr="00811F65">
        <w:rPr>
          <w:sz w:val="24"/>
          <w:szCs w:val="24"/>
        </w:rPr>
        <w:t xml:space="preserve">) bivirkninger observeret efter behandling med </w:t>
      </w:r>
      <w:proofErr w:type="spellStart"/>
      <w:r w:rsidRPr="00811F65">
        <w:rPr>
          <w:sz w:val="24"/>
          <w:szCs w:val="24"/>
        </w:rPr>
        <w:t>axitinib</w:t>
      </w:r>
      <w:proofErr w:type="spellEnd"/>
      <w:r w:rsidRPr="00811F65">
        <w:rPr>
          <w:sz w:val="24"/>
          <w:szCs w:val="24"/>
        </w:rPr>
        <w:t xml:space="preserve"> var diarré, hypertension, træthed, nedsat appetit, kvalme, vægttab, </w:t>
      </w:r>
      <w:proofErr w:type="spellStart"/>
      <w:r w:rsidRPr="00811F65">
        <w:rPr>
          <w:sz w:val="24"/>
          <w:szCs w:val="24"/>
        </w:rPr>
        <w:t>dysfoni</w:t>
      </w:r>
      <w:proofErr w:type="spellEnd"/>
      <w:r w:rsidRPr="00811F65">
        <w:rPr>
          <w:sz w:val="24"/>
          <w:szCs w:val="24"/>
        </w:rPr>
        <w:t xml:space="preserve">, </w:t>
      </w:r>
      <w:proofErr w:type="spellStart"/>
      <w:r w:rsidRPr="00811F65">
        <w:rPr>
          <w:sz w:val="24"/>
          <w:szCs w:val="24"/>
        </w:rPr>
        <w:t>palmar-plantar</w:t>
      </w:r>
      <w:proofErr w:type="spellEnd"/>
      <w:r w:rsidRPr="00811F65">
        <w:rPr>
          <w:sz w:val="24"/>
          <w:szCs w:val="24"/>
        </w:rPr>
        <w:t xml:space="preserve"> </w:t>
      </w:r>
      <w:proofErr w:type="spellStart"/>
      <w:r w:rsidRPr="00811F65">
        <w:rPr>
          <w:sz w:val="24"/>
          <w:szCs w:val="24"/>
        </w:rPr>
        <w:t>erythrodysæstesi</w:t>
      </w:r>
      <w:proofErr w:type="spellEnd"/>
      <w:r w:rsidRPr="00811F65">
        <w:rPr>
          <w:sz w:val="24"/>
          <w:szCs w:val="24"/>
        </w:rPr>
        <w:t xml:space="preserve"> (hånd-fod) syndrom, blødning, </w:t>
      </w:r>
      <w:proofErr w:type="spellStart"/>
      <w:r w:rsidRPr="00811F65">
        <w:rPr>
          <w:sz w:val="24"/>
          <w:szCs w:val="24"/>
        </w:rPr>
        <w:t>hypothyroidisme</w:t>
      </w:r>
      <w:proofErr w:type="spellEnd"/>
      <w:r w:rsidRPr="00811F65">
        <w:rPr>
          <w:sz w:val="24"/>
          <w:szCs w:val="24"/>
        </w:rPr>
        <w:t xml:space="preserve">, </w:t>
      </w:r>
      <w:proofErr w:type="spellStart"/>
      <w:r w:rsidRPr="00811F65">
        <w:rPr>
          <w:sz w:val="24"/>
          <w:szCs w:val="24"/>
        </w:rPr>
        <w:t>proteinuri</w:t>
      </w:r>
      <w:proofErr w:type="spellEnd"/>
      <w:r w:rsidRPr="00811F65">
        <w:rPr>
          <w:sz w:val="24"/>
          <w:szCs w:val="24"/>
        </w:rPr>
        <w:t>, opkastning, hoste og forstoppelse.</w:t>
      </w:r>
    </w:p>
    <w:p w14:paraId="2D946245" w14:textId="77777777" w:rsidR="00355DFD" w:rsidRPr="00811F65" w:rsidRDefault="00355DFD" w:rsidP="005235F2">
      <w:pPr>
        <w:ind w:left="851"/>
        <w:rPr>
          <w:sz w:val="24"/>
          <w:szCs w:val="24"/>
          <w:u w:val="single"/>
        </w:rPr>
      </w:pPr>
    </w:p>
    <w:p w14:paraId="308ACB5B" w14:textId="77777777" w:rsidR="00355DFD" w:rsidRPr="00811F65" w:rsidRDefault="00355DFD" w:rsidP="005235F2">
      <w:pPr>
        <w:ind w:left="851"/>
        <w:rPr>
          <w:sz w:val="24"/>
          <w:szCs w:val="24"/>
          <w:u w:val="single"/>
        </w:rPr>
      </w:pPr>
      <w:r w:rsidRPr="00811F65">
        <w:rPr>
          <w:sz w:val="24"/>
          <w:szCs w:val="24"/>
          <w:u w:val="single"/>
        </w:rPr>
        <w:t>Liste over bivirkninger i tabelform</w:t>
      </w:r>
    </w:p>
    <w:p w14:paraId="57A8372D" w14:textId="77777777" w:rsidR="00355DFD" w:rsidRPr="00811F65" w:rsidRDefault="00355DFD" w:rsidP="005235F2">
      <w:pPr>
        <w:autoSpaceDE w:val="0"/>
        <w:autoSpaceDN w:val="0"/>
        <w:adjustRightInd w:val="0"/>
        <w:ind w:left="851"/>
        <w:rPr>
          <w:sz w:val="24"/>
          <w:szCs w:val="24"/>
        </w:rPr>
      </w:pPr>
      <w:r w:rsidRPr="00811F65">
        <w:rPr>
          <w:sz w:val="24"/>
          <w:szCs w:val="24"/>
        </w:rPr>
        <w:t xml:space="preserve">Tabel 1 viser bivirkninger rapporteret i et samlet datasæt af 672 patienter, som fik </w:t>
      </w:r>
      <w:proofErr w:type="spellStart"/>
      <w:r w:rsidRPr="00811F65">
        <w:rPr>
          <w:sz w:val="24"/>
          <w:szCs w:val="24"/>
        </w:rPr>
        <w:t>axitinib</w:t>
      </w:r>
      <w:proofErr w:type="spellEnd"/>
      <w:r w:rsidRPr="00811F65">
        <w:rPr>
          <w:sz w:val="24"/>
          <w:szCs w:val="24"/>
        </w:rPr>
        <w:t xml:space="preserve"> i kliniske undersøgelser til behandling af patienter med RCC (se pkt. 5.1). </w:t>
      </w:r>
      <w:r w:rsidRPr="00811F65">
        <w:rPr>
          <w:rFonts w:eastAsia="TimesNewRoman"/>
          <w:sz w:val="24"/>
          <w:szCs w:val="24"/>
          <w:lang w:eastAsia="en-GB"/>
        </w:rPr>
        <w:t>Bivirkninger, som er blevet identificeret i kliniske studier efter markedsføring, er også inkluderet.</w:t>
      </w:r>
    </w:p>
    <w:p w14:paraId="6B59A05F" w14:textId="77777777" w:rsidR="00355DFD" w:rsidRPr="00811F65" w:rsidRDefault="00355DFD" w:rsidP="005235F2">
      <w:pPr>
        <w:ind w:left="851"/>
        <w:rPr>
          <w:sz w:val="24"/>
          <w:szCs w:val="24"/>
        </w:rPr>
      </w:pPr>
    </w:p>
    <w:p w14:paraId="686A5359" w14:textId="77777777" w:rsidR="00355DFD" w:rsidRPr="00811F65" w:rsidRDefault="00355DFD" w:rsidP="005235F2">
      <w:pPr>
        <w:ind w:left="851"/>
        <w:rPr>
          <w:sz w:val="24"/>
          <w:szCs w:val="24"/>
        </w:rPr>
      </w:pPr>
      <w:r w:rsidRPr="00811F65">
        <w:rPr>
          <w:sz w:val="24"/>
          <w:szCs w:val="24"/>
        </w:rPr>
        <w:t xml:space="preserve">Bivirkningerne er opført efter systemorganklasse, frekvenskategori og sværhedsgrad. Hyppighedskategorier er defineret som: meget almindelig (≥ 1/10), almindelig (≥ 1/100 til &lt; 1/10), ikke almindelig (≥ 1/1.000 til &lt; 1/100), sjælden (≥ 1/10.000 til &lt; 1 /1.000), meget sjælden (&lt; 1/10.000) og ikke kendt (kan ikke estimeres ud fra de tilgængelige data). Den nuværende sikkerhedsdatabase for </w:t>
      </w:r>
      <w:proofErr w:type="spellStart"/>
      <w:r w:rsidRPr="00811F65">
        <w:rPr>
          <w:sz w:val="24"/>
          <w:szCs w:val="24"/>
        </w:rPr>
        <w:t>axitinib</w:t>
      </w:r>
      <w:proofErr w:type="spellEnd"/>
      <w:r w:rsidRPr="00811F65">
        <w:rPr>
          <w:sz w:val="24"/>
          <w:szCs w:val="24"/>
        </w:rPr>
        <w:t xml:space="preserve"> er for lille til at påvise sjældne og meget sjældne bivirkninger.</w:t>
      </w:r>
    </w:p>
    <w:p w14:paraId="520C5A78" w14:textId="77777777" w:rsidR="00355DFD" w:rsidRPr="00811F65" w:rsidRDefault="00355DFD" w:rsidP="005235F2">
      <w:pPr>
        <w:ind w:left="851"/>
        <w:rPr>
          <w:sz w:val="24"/>
          <w:szCs w:val="24"/>
        </w:rPr>
      </w:pPr>
    </w:p>
    <w:p w14:paraId="3EF77EF7" w14:textId="77777777" w:rsidR="00355DFD" w:rsidRPr="00811F65" w:rsidRDefault="00355DFD" w:rsidP="005235F2">
      <w:pPr>
        <w:ind w:left="851"/>
        <w:rPr>
          <w:sz w:val="24"/>
          <w:szCs w:val="24"/>
        </w:rPr>
      </w:pPr>
      <w:r w:rsidRPr="00811F65">
        <w:rPr>
          <w:sz w:val="24"/>
          <w:szCs w:val="24"/>
        </w:rPr>
        <w:t>Kategorier er blevet tildelt baseret på absolutte frekvenser i de samlede data fra kliniske undersøgelser. Inden for hver systemorganklasse præsenteres bivirkninger med samme hyppighed i rækkefølge efter faldende alvor.</w:t>
      </w:r>
    </w:p>
    <w:p w14:paraId="37CEAD9C" w14:textId="77777777" w:rsidR="00355DFD" w:rsidRPr="00811F65" w:rsidRDefault="00355DFD" w:rsidP="00355DFD">
      <w:pPr>
        <w:rPr>
          <w:sz w:val="24"/>
          <w:szCs w:val="24"/>
          <w:u w:val="single"/>
        </w:rPr>
      </w:pPr>
    </w:p>
    <w:p w14:paraId="0EE71862" w14:textId="595075E0" w:rsidR="00355DFD" w:rsidRPr="00811F65" w:rsidRDefault="00355DFD" w:rsidP="00355DFD">
      <w:pPr>
        <w:pStyle w:val="Billedtekst"/>
        <w:keepNext/>
        <w:rPr>
          <w:b/>
          <w:bCs/>
          <w:i w:val="0"/>
          <w:iCs w:val="0"/>
          <w:color w:val="auto"/>
          <w:sz w:val="24"/>
          <w:szCs w:val="24"/>
          <w:lang w:val="da-DK"/>
        </w:rPr>
      </w:pPr>
      <w:r w:rsidRPr="00811F65">
        <w:rPr>
          <w:b/>
          <w:bCs/>
          <w:i w:val="0"/>
          <w:iCs w:val="0"/>
          <w:color w:val="auto"/>
          <w:sz w:val="24"/>
          <w:szCs w:val="24"/>
          <w:lang w:val="da-DK"/>
        </w:rPr>
        <w:lastRenderedPageBreak/>
        <w:t xml:space="preserve">Tabel </w:t>
      </w:r>
      <w:r w:rsidRPr="00811F65">
        <w:rPr>
          <w:b/>
          <w:bCs/>
          <w:i w:val="0"/>
          <w:iCs w:val="0"/>
          <w:color w:val="auto"/>
          <w:sz w:val="24"/>
          <w:szCs w:val="24"/>
          <w:lang w:val="da-DK"/>
        </w:rPr>
        <w:fldChar w:fldCharType="begin"/>
      </w:r>
      <w:r w:rsidRPr="00811F65">
        <w:rPr>
          <w:b/>
          <w:bCs/>
          <w:i w:val="0"/>
          <w:iCs w:val="0"/>
          <w:color w:val="auto"/>
          <w:sz w:val="24"/>
          <w:szCs w:val="24"/>
          <w:lang w:val="da-DK"/>
        </w:rPr>
        <w:instrText xml:space="preserve"> SEQ Tabel \* ARABIC </w:instrText>
      </w:r>
      <w:r w:rsidRPr="00811F65">
        <w:rPr>
          <w:b/>
          <w:bCs/>
          <w:i w:val="0"/>
          <w:iCs w:val="0"/>
          <w:color w:val="auto"/>
          <w:sz w:val="24"/>
          <w:szCs w:val="24"/>
          <w:lang w:val="da-DK"/>
        </w:rPr>
        <w:fldChar w:fldCharType="separate"/>
      </w:r>
      <w:r w:rsidR="00AE2E82">
        <w:rPr>
          <w:b/>
          <w:bCs/>
          <w:i w:val="0"/>
          <w:iCs w:val="0"/>
          <w:noProof/>
          <w:color w:val="auto"/>
          <w:sz w:val="24"/>
          <w:szCs w:val="24"/>
          <w:lang w:val="da-DK"/>
        </w:rPr>
        <w:t>1</w:t>
      </w:r>
      <w:r w:rsidRPr="00811F65">
        <w:rPr>
          <w:b/>
          <w:bCs/>
          <w:i w:val="0"/>
          <w:iCs w:val="0"/>
          <w:color w:val="auto"/>
          <w:sz w:val="24"/>
          <w:szCs w:val="24"/>
          <w:lang w:val="da-DK"/>
        </w:rPr>
        <w:fldChar w:fldCharType="end"/>
      </w:r>
      <w:r w:rsidRPr="00811F65">
        <w:rPr>
          <w:b/>
          <w:bCs/>
          <w:i w:val="0"/>
          <w:iCs w:val="0"/>
          <w:color w:val="auto"/>
          <w:sz w:val="24"/>
          <w:szCs w:val="24"/>
          <w:lang w:val="da-DK"/>
        </w:rPr>
        <w:t xml:space="preserve">. Bivirkninger set i RCC-studier hos patienter behandlet med </w:t>
      </w:r>
      <w:proofErr w:type="spellStart"/>
      <w:r w:rsidRPr="00811F65">
        <w:rPr>
          <w:b/>
          <w:bCs/>
          <w:i w:val="0"/>
          <w:iCs w:val="0"/>
          <w:color w:val="auto"/>
          <w:sz w:val="24"/>
          <w:szCs w:val="24"/>
          <w:lang w:val="da-DK"/>
        </w:rPr>
        <w:t>axitinib</w:t>
      </w:r>
      <w:proofErr w:type="spellEnd"/>
      <w:r w:rsidRPr="00811F65">
        <w:rPr>
          <w:b/>
          <w:bCs/>
          <w:i w:val="0"/>
          <w:iCs w:val="0"/>
          <w:color w:val="auto"/>
          <w:sz w:val="24"/>
          <w:szCs w:val="24"/>
          <w:lang w:val="da-DK"/>
        </w:rPr>
        <w:t xml:space="preserve"> (N=672)</w:t>
      </w:r>
    </w:p>
    <w:tbl>
      <w:tblPr>
        <w:tblW w:w="5000" w:type="pct"/>
        <w:tblCellMar>
          <w:left w:w="0" w:type="dxa"/>
          <w:right w:w="0" w:type="dxa"/>
        </w:tblCellMar>
        <w:tblLook w:val="01E0" w:firstRow="1" w:lastRow="1" w:firstColumn="1" w:lastColumn="1" w:noHBand="0" w:noVBand="0"/>
      </w:tblPr>
      <w:tblGrid>
        <w:gridCol w:w="2652"/>
        <w:gridCol w:w="1442"/>
        <w:gridCol w:w="2323"/>
        <w:gridCol w:w="1068"/>
        <w:gridCol w:w="1070"/>
        <w:gridCol w:w="1070"/>
      </w:tblGrid>
      <w:tr w:rsidR="00355DFD" w:rsidRPr="00F42C8D" w14:paraId="06621557" w14:textId="77777777" w:rsidTr="005235F2">
        <w:trPr>
          <w:tblHeader/>
        </w:trPr>
        <w:tc>
          <w:tcPr>
            <w:tcW w:w="1377" w:type="pct"/>
            <w:tcBorders>
              <w:top w:val="single" w:sz="6" w:space="0" w:color="000000"/>
              <w:left w:val="single" w:sz="4" w:space="0" w:color="000000"/>
              <w:bottom w:val="single" w:sz="6" w:space="0" w:color="000000"/>
              <w:right w:val="single" w:sz="6" w:space="0" w:color="000000"/>
            </w:tcBorders>
            <w:hideMark/>
          </w:tcPr>
          <w:p w14:paraId="529F31DB" w14:textId="77777777" w:rsidR="00355DFD" w:rsidRPr="00F42C8D" w:rsidRDefault="00355DFD" w:rsidP="00AC347D">
            <w:pPr>
              <w:rPr>
                <w:b/>
                <w:sz w:val="22"/>
                <w:szCs w:val="22"/>
              </w:rPr>
            </w:pPr>
            <w:r w:rsidRPr="00F42C8D">
              <w:rPr>
                <w:b/>
                <w:sz w:val="22"/>
                <w:szCs w:val="22"/>
              </w:rPr>
              <w:t>Systemorganklasse</w:t>
            </w:r>
          </w:p>
        </w:tc>
        <w:tc>
          <w:tcPr>
            <w:tcW w:w="749" w:type="pct"/>
            <w:tcBorders>
              <w:top w:val="single" w:sz="6" w:space="0" w:color="000000"/>
              <w:left w:val="single" w:sz="6" w:space="0" w:color="000000"/>
              <w:bottom w:val="single" w:sz="6" w:space="0" w:color="000000"/>
              <w:right w:val="single" w:sz="6" w:space="0" w:color="000000"/>
            </w:tcBorders>
            <w:hideMark/>
          </w:tcPr>
          <w:p w14:paraId="4048789F" w14:textId="77777777" w:rsidR="00355DFD" w:rsidRPr="00F42C8D" w:rsidRDefault="00355DFD" w:rsidP="00AC347D">
            <w:pPr>
              <w:rPr>
                <w:b/>
                <w:sz w:val="22"/>
                <w:szCs w:val="22"/>
              </w:rPr>
            </w:pPr>
            <w:r w:rsidRPr="00F42C8D">
              <w:rPr>
                <w:b/>
                <w:sz w:val="22"/>
                <w:szCs w:val="22"/>
              </w:rPr>
              <w:t>Hyppighed</w:t>
            </w:r>
          </w:p>
        </w:tc>
        <w:tc>
          <w:tcPr>
            <w:tcW w:w="1207" w:type="pct"/>
            <w:tcBorders>
              <w:top w:val="single" w:sz="6" w:space="0" w:color="000000"/>
              <w:left w:val="single" w:sz="6" w:space="0" w:color="000000"/>
              <w:bottom w:val="single" w:sz="6" w:space="0" w:color="000000"/>
              <w:right w:val="single" w:sz="6" w:space="0" w:color="000000"/>
            </w:tcBorders>
            <w:hideMark/>
          </w:tcPr>
          <w:p w14:paraId="37485257" w14:textId="77777777" w:rsidR="00355DFD" w:rsidRPr="00F42C8D" w:rsidRDefault="00355DFD" w:rsidP="00AC347D">
            <w:pPr>
              <w:rPr>
                <w:b/>
                <w:sz w:val="22"/>
                <w:szCs w:val="22"/>
              </w:rPr>
            </w:pPr>
            <w:proofErr w:type="spellStart"/>
            <w:r w:rsidRPr="00F42C8D">
              <w:rPr>
                <w:b/>
                <w:sz w:val="22"/>
                <w:szCs w:val="22"/>
              </w:rPr>
              <w:t>Bivirkning</w:t>
            </w:r>
            <w:r w:rsidRPr="00F42C8D">
              <w:rPr>
                <w:b/>
                <w:sz w:val="22"/>
                <w:szCs w:val="22"/>
                <w:vertAlign w:val="superscript"/>
              </w:rPr>
              <w:t>a</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6C8BA0A1" w14:textId="77777777" w:rsidR="00355DFD" w:rsidRPr="00F42C8D" w:rsidRDefault="00355DFD" w:rsidP="00AC347D">
            <w:pPr>
              <w:rPr>
                <w:b/>
                <w:sz w:val="22"/>
                <w:szCs w:val="22"/>
              </w:rPr>
            </w:pPr>
            <w:r w:rsidRPr="00F42C8D">
              <w:rPr>
                <w:b/>
                <w:sz w:val="22"/>
                <w:szCs w:val="22"/>
              </w:rPr>
              <w:t xml:space="preserve">Alle </w:t>
            </w:r>
            <w:proofErr w:type="spellStart"/>
            <w:r w:rsidRPr="00F42C8D">
              <w:rPr>
                <w:b/>
                <w:sz w:val="22"/>
                <w:szCs w:val="22"/>
              </w:rPr>
              <w:t>grader</w:t>
            </w:r>
            <w:r w:rsidRPr="00F42C8D">
              <w:rPr>
                <w:b/>
                <w:sz w:val="22"/>
                <w:szCs w:val="22"/>
                <w:vertAlign w:val="superscript"/>
              </w:rPr>
              <w:t>b</w:t>
            </w:r>
            <w:proofErr w:type="spellEnd"/>
          </w:p>
          <w:p w14:paraId="439E3633" w14:textId="77644467" w:rsidR="00355DFD" w:rsidRPr="00F42C8D" w:rsidRDefault="00E84059" w:rsidP="00AC347D">
            <w:pPr>
              <w:rPr>
                <w:b/>
                <w:sz w:val="22"/>
                <w:szCs w:val="22"/>
              </w:rPr>
            </w:pPr>
            <w:r>
              <w:rPr>
                <w:b/>
                <w:sz w:val="22"/>
                <w:szCs w:val="22"/>
              </w:rPr>
              <w:t xml:space="preserve"> %</w:t>
            </w:r>
          </w:p>
        </w:tc>
        <w:tc>
          <w:tcPr>
            <w:tcW w:w="556" w:type="pct"/>
            <w:tcBorders>
              <w:top w:val="single" w:sz="6" w:space="0" w:color="000000"/>
              <w:left w:val="single" w:sz="6" w:space="0" w:color="000000"/>
              <w:bottom w:val="single" w:sz="6" w:space="0" w:color="000000"/>
              <w:right w:val="single" w:sz="6" w:space="0" w:color="000000"/>
            </w:tcBorders>
            <w:hideMark/>
          </w:tcPr>
          <w:p w14:paraId="27922A28" w14:textId="77777777" w:rsidR="00355DFD" w:rsidRPr="00F42C8D" w:rsidRDefault="00355DFD" w:rsidP="00AC347D">
            <w:pPr>
              <w:rPr>
                <w:b/>
                <w:sz w:val="22"/>
                <w:szCs w:val="22"/>
              </w:rPr>
            </w:pPr>
            <w:proofErr w:type="spellStart"/>
            <w:r w:rsidRPr="00F42C8D">
              <w:rPr>
                <w:b/>
                <w:sz w:val="22"/>
                <w:szCs w:val="22"/>
              </w:rPr>
              <w:t>Grad</w:t>
            </w:r>
            <w:r w:rsidRPr="00F42C8D">
              <w:rPr>
                <w:b/>
                <w:sz w:val="22"/>
                <w:szCs w:val="22"/>
                <w:vertAlign w:val="superscript"/>
              </w:rPr>
              <w:t>b</w:t>
            </w:r>
            <w:proofErr w:type="spellEnd"/>
            <w:r w:rsidRPr="00F42C8D">
              <w:rPr>
                <w:b/>
                <w:sz w:val="22"/>
                <w:szCs w:val="22"/>
              </w:rPr>
              <w:t xml:space="preserve"> 3</w:t>
            </w:r>
          </w:p>
          <w:p w14:paraId="2D67FC07" w14:textId="2D563722" w:rsidR="00355DFD" w:rsidRPr="00F42C8D" w:rsidRDefault="00E84059" w:rsidP="00AC347D">
            <w:pPr>
              <w:rPr>
                <w:b/>
                <w:sz w:val="22"/>
                <w:szCs w:val="22"/>
              </w:rPr>
            </w:pPr>
            <w:r>
              <w:rPr>
                <w:b/>
                <w:sz w:val="22"/>
                <w:szCs w:val="22"/>
              </w:rPr>
              <w:t xml:space="preserve"> %</w:t>
            </w:r>
          </w:p>
        </w:tc>
        <w:tc>
          <w:tcPr>
            <w:tcW w:w="556" w:type="pct"/>
            <w:tcBorders>
              <w:top w:val="single" w:sz="6" w:space="0" w:color="000000"/>
              <w:left w:val="single" w:sz="6" w:space="0" w:color="000000"/>
              <w:bottom w:val="single" w:sz="6" w:space="0" w:color="000000"/>
              <w:right w:val="single" w:sz="6" w:space="0" w:color="000000"/>
            </w:tcBorders>
            <w:hideMark/>
          </w:tcPr>
          <w:p w14:paraId="093C5490" w14:textId="5DD974A5" w:rsidR="00355DFD" w:rsidRPr="00F42C8D" w:rsidRDefault="00355DFD" w:rsidP="00AC347D">
            <w:pPr>
              <w:rPr>
                <w:b/>
                <w:sz w:val="22"/>
                <w:szCs w:val="22"/>
              </w:rPr>
            </w:pPr>
            <w:proofErr w:type="spellStart"/>
            <w:r w:rsidRPr="00F42C8D">
              <w:rPr>
                <w:b/>
                <w:sz w:val="22"/>
                <w:szCs w:val="22"/>
              </w:rPr>
              <w:t>Grad</w:t>
            </w:r>
            <w:r w:rsidRPr="00F42C8D">
              <w:rPr>
                <w:b/>
                <w:sz w:val="22"/>
                <w:szCs w:val="22"/>
                <w:vertAlign w:val="superscript"/>
              </w:rPr>
              <w:t>b</w:t>
            </w:r>
            <w:proofErr w:type="spellEnd"/>
            <w:r w:rsidRPr="00F42C8D">
              <w:rPr>
                <w:b/>
                <w:sz w:val="22"/>
                <w:szCs w:val="22"/>
              </w:rPr>
              <w:t xml:space="preserve"> 4</w:t>
            </w:r>
          </w:p>
          <w:p w14:paraId="6A84DEBE" w14:textId="606CFE04" w:rsidR="00355DFD" w:rsidRPr="00F42C8D" w:rsidRDefault="00E84059" w:rsidP="00AC347D">
            <w:pPr>
              <w:rPr>
                <w:b/>
                <w:sz w:val="22"/>
                <w:szCs w:val="22"/>
              </w:rPr>
            </w:pPr>
            <w:r>
              <w:rPr>
                <w:b/>
                <w:sz w:val="22"/>
                <w:szCs w:val="22"/>
              </w:rPr>
              <w:t xml:space="preserve"> %</w:t>
            </w:r>
          </w:p>
        </w:tc>
      </w:tr>
      <w:tr w:rsidR="00355DFD" w:rsidRPr="00811F65" w14:paraId="612B50AE" w14:textId="77777777" w:rsidTr="005235F2">
        <w:tc>
          <w:tcPr>
            <w:tcW w:w="1377" w:type="pct"/>
            <w:vMerge w:val="restart"/>
            <w:tcBorders>
              <w:top w:val="single" w:sz="6" w:space="0" w:color="000000"/>
              <w:left w:val="single" w:sz="4" w:space="0" w:color="000000"/>
              <w:bottom w:val="single" w:sz="6" w:space="0" w:color="000000"/>
              <w:right w:val="single" w:sz="6" w:space="0" w:color="000000"/>
            </w:tcBorders>
            <w:hideMark/>
          </w:tcPr>
          <w:p w14:paraId="7BD956CF" w14:textId="77777777" w:rsidR="00355DFD" w:rsidRPr="00811F65" w:rsidRDefault="00355DFD" w:rsidP="00AC347D">
            <w:pPr>
              <w:rPr>
                <w:sz w:val="22"/>
                <w:szCs w:val="22"/>
              </w:rPr>
            </w:pPr>
            <w:r w:rsidRPr="00811F65">
              <w:rPr>
                <w:sz w:val="22"/>
                <w:szCs w:val="22"/>
              </w:rPr>
              <w:t>Blod og lymfesystem</w:t>
            </w:r>
          </w:p>
        </w:tc>
        <w:tc>
          <w:tcPr>
            <w:tcW w:w="749" w:type="pct"/>
            <w:vMerge w:val="restart"/>
            <w:tcBorders>
              <w:top w:val="single" w:sz="6" w:space="0" w:color="000000"/>
              <w:left w:val="single" w:sz="6" w:space="0" w:color="000000"/>
              <w:bottom w:val="single" w:sz="6" w:space="0" w:color="000000"/>
              <w:right w:val="single" w:sz="6" w:space="0" w:color="000000"/>
            </w:tcBorders>
            <w:hideMark/>
          </w:tcPr>
          <w:p w14:paraId="5BE449D8" w14:textId="0A4EBD9D" w:rsidR="00355DFD" w:rsidRPr="00811F65" w:rsidRDefault="00355DFD" w:rsidP="00AC347D">
            <w:pPr>
              <w:rPr>
                <w:sz w:val="22"/>
                <w:szCs w:val="22"/>
              </w:rPr>
            </w:pPr>
            <w:r w:rsidRPr="00811F65">
              <w:rPr>
                <w:sz w:val="22"/>
                <w:szCs w:val="22"/>
              </w:rPr>
              <w:t>Almindelig</w:t>
            </w:r>
          </w:p>
        </w:tc>
        <w:tc>
          <w:tcPr>
            <w:tcW w:w="1207" w:type="pct"/>
            <w:tcBorders>
              <w:top w:val="single" w:sz="6" w:space="0" w:color="000000"/>
              <w:left w:val="single" w:sz="6" w:space="0" w:color="000000"/>
              <w:bottom w:val="single" w:sz="6" w:space="0" w:color="000000"/>
              <w:right w:val="single" w:sz="6" w:space="0" w:color="000000"/>
            </w:tcBorders>
            <w:hideMark/>
          </w:tcPr>
          <w:p w14:paraId="5FF1CD0B" w14:textId="77777777" w:rsidR="00355DFD" w:rsidRPr="00811F65" w:rsidRDefault="00355DFD" w:rsidP="00AC347D">
            <w:pPr>
              <w:rPr>
                <w:sz w:val="22"/>
                <w:szCs w:val="22"/>
              </w:rPr>
            </w:pPr>
            <w:proofErr w:type="spellStart"/>
            <w:r w:rsidRPr="00811F65">
              <w:rPr>
                <w:sz w:val="22"/>
                <w:szCs w:val="22"/>
              </w:rPr>
              <w:t>Anaæmi</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5A53F636" w14:textId="77777777" w:rsidR="00355DFD" w:rsidRPr="00811F65" w:rsidRDefault="00355DFD" w:rsidP="00AC347D">
            <w:pPr>
              <w:rPr>
                <w:sz w:val="22"/>
                <w:szCs w:val="22"/>
              </w:rPr>
            </w:pPr>
            <w:r w:rsidRPr="00811F65">
              <w:rPr>
                <w:sz w:val="22"/>
                <w:szCs w:val="22"/>
              </w:rPr>
              <w:t>6.3</w:t>
            </w:r>
          </w:p>
        </w:tc>
        <w:tc>
          <w:tcPr>
            <w:tcW w:w="556" w:type="pct"/>
            <w:tcBorders>
              <w:top w:val="single" w:sz="6" w:space="0" w:color="000000"/>
              <w:left w:val="single" w:sz="6" w:space="0" w:color="000000"/>
              <w:bottom w:val="single" w:sz="6" w:space="0" w:color="000000"/>
              <w:right w:val="single" w:sz="6" w:space="0" w:color="000000"/>
            </w:tcBorders>
            <w:hideMark/>
          </w:tcPr>
          <w:p w14:paraId="62195FF0" w14:textId="77777777" w:rsidR="00355DFD" w:rsidRPr="00811F65" w:rsidRDefault="00355DFD" w:rsidP="00AC347D">
            <w:pPr>
              <w:rPr>
                <w:sz w:val="22"/>
                <w:szCs w:val="22"/>
              </w:rPr>
            </w:pPr>
            <w:r w:rsidRPr="00811F65">
              <w:rPr>
                <w:sz w:val="22"/>
                <w:szCs w:val="22"/>
              </w:rPr>
              <w:t>1.2</w:t>
            </w:r>
          </w:p>
        </w:tc>
        <w:tc>
          <w:tcPr>
            <w:tcW w:w="556" w:type="pct"/>
            <w:tcBorders>
              <w:top w:val="single" w:sz="6" w:space="0" w:color="000000"/>
              <w:left w:val="single" w:sz="6" w:space="0" w:color="000000"/>
              <w:bottom w:val="single" w:sz="6" w:space="0" w:color="000000"/>
              <w:right w:val="single" w:sz="6" w:space="0" w:color="000000"/>
            </w:tcBorders>
            <w:hideMark/>
          </w:tcPr>
          <w:p w14:paraId="028270BA" w14:textId="77777777" w:rsidR="00355DFD" w:rsidRPr="00811F65" w:rsidRDefault="00355DFD" w:rsidP="00AC347D">
            <w:pPr>
              <w:rPr>
                <w:sz w:val="22"/>
                <w:szCs w:val="22"/>
              </w:rPr>
            </w:pPr>
            <w:r w:rsidRPr="00811F65">
              <w:rPr>
                <w:sz w:val="22"/>
                <w:szCs w:val="22"/>
              </w:rPr>
              <w:t>0.4</w:t>
            </w:r>
          </w:p>
        </w:tc>
      </w:tr>
      <w:tr w:rsidR="00355DFD" w:rsidRPr="00811F65" w14:paraId="4DF48DAC" w14:textId="77777777" w:rsidTr="005235F2">
        <w:tc>
          <w:tcPr>
            <w:tcW w:w="1377" w:type="pct"/>
            <w:vMerge/>
            <w:tcBorders>
              <w:top w:val="single" w:sz="6" w:space="0" w:color="000000"/>
              <w:left w:val="single" w:sz="4" w:space="0" w:color="000000"/>
              <w:bottom w:val="single" w:sz="6" w:space="0" w:color="000000"/>
              <w:right w:val="single" w:sz="6" w:space="0" w:color="000000"/>
            </w:tcBorders>
            <w:vAlign w:val="center"/>
            <w:hideMark/>
          </w:tcPr>
          <w:p w14:paraId="55C31D7F" w14:textId="77777777" w:rsidR="00355DFD" w:rsidRPr="00811F65" w:rsidRDefault="00355DFD" w:rsidP="00AC347D">
            <w:pPr>
              <w:rPr>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394F6C66" w14:textId="77777777" w:rsidR="00355DFD" w:rsidRPr="00811F65" w:rsidRDefault="00355DFD" w:rsidP="00AC347D">
            <w:pPr>
              <w:rPr>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36FE6809" w14:textId="77777777" w:rsidR="00355DFD" w:rsidRPr="00811F65" w:rsidRDefault="00355DFD" w:rsidP="00AC347D">
            <w:pPr>
              <w:rPr>
                <w:sz w:val="22"/>
                <w:szCs w:val="22"/>
              </w:rPr>
            </w:pPr>
            <w:proofErr w:type="spellStart"/>
            <w:r w:rsidRPr="00811F65">
              <w:rPr>
                <w:sz w:val="22"/>
                <w:szCs w:val="22"/>
              </w:rPr>
              <w:t>Thrombocytopeni</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58E9F916" w14:textId="77777777" w:rsidR="00355DFD" w:rsidRPr="00811F65" w:rsidRDefault="00355DFD" w:rsidP="00AC347D">
            <w:pPr>
              <w:rPr>
                <w:sz w:val="22"/>
                <w:szCs w:val="22"/>
              </w:rPr>
            </w:pPr>
            <w:r w:rsidRPr="00811F65">
              <w:rPr>
                <w:sz w:val="22"/>
                <w:szCs w:val="22"/>
              </w:rPr>
              <w:t>1.6</w:t>
            </w:r>
          </w:p>
        </w:tc>
        <w:tc>
          <w:tcPr>
            <w:tcW w:w="556" w:type="pct"/>
            <w:tcBorders>
              <w:top w:val="single" w:sz="6" w:space="0" w:color="000000"/>
              <w:left w:val="single" w:sz="6" w:space="0" w:color="000000"/>
              <w:bottom w:val="single" w:sz="6" w:space="0" w:color="000000"/>
              <w:right w:val="single" w:sz="6" w:space="0" w:color="000000"/>
            </w:tcBorders>
            <w:hideMark/>
          </w:tcPr>
          <w:p w14:paraId="23059656" w14:textId="77777777" w:rsidR="00355DFD" w:rsidRPr="00811F65" w:rsidRDefault="00355DFD" w:rsidP="00AC347D">
            <w:pPr>
              <w:rPr>
                <w:sz w:val="22"/>
                <w:szCs w:val="22"/>
              </w:rPr>
            </w:pPr>
            <w:r w:rsidRPr="00811F65">
              <w:rPr>
                <w:sz w:val="22"/>
                <w:szCs w:val="22"/>
              </w:rPr>
              <w:t>0.1</w:t>
            </w:r>
          </w:p>
        </w:tc>
        <w:tc>
          <w:tcPr>
            <w:tcW w:w="556" w:type="pct"/>
            <w:tcBorders>
              <w:top w:val="single" w:sz="6" w:space="0" w:color="000000"/>
              <w:left w:val="single" w:sz="6" w:space="0" w:color="000000"/>
              <w:bottom w:val="single" w:sz="6" w:space="0" w:color="000000"/>
              <w:right w:val="single" w:sz="6" w:space="0" w:color="000000"/>
            </w:tcBorders>
            <w:hideMark/>
          </w:tcPr>
          <w:p w14:paraId="286536D0" w14:textId="77777777" w:rsidR="00355DFD" w:rsidRPr="00811F65" w:rsidRDefault="00355DFD" w:rsidP="00AC347D">
            <w:pPr>
              <w:rPr>
                <w:sz w:val="22"/>
                <w:szCs w:val="22"/>
              </w:rPr>
            </w:pPr>
            <w:r w:rsidRPr="00811F65">
              <w:rPr>
                <w:sz w:val="22"/>
                <w:szCs w:val="22"/>
              </w:rPr>
              <w:t>0</w:t>
            </w:r>
          </w:p>
        </w:tc>
      </w:tr>
      <w:tr w:rsidR="00355DFD" w:rsidRPr="00811F65" w14:paraId="682C7A27" w14:textId="77777777" w:rsidTr="005235F2">
        <w:tc>
          <w:tcPr>
            <w:tcW w:w="1377" w:type="pct"/>
            <w:vMerge/>
            <w:tcBorders>
              <w:top w:val="single" w:sz="6" w:space="0" w:color="000000"/>
              <w:left w:val="single" w:sz="4" w:space="0" w:color="000000"/>
              <w:bottom w:val="single" w:sz="6" w:space="0" w:color="000000"/>
              <w:right w:val="single" w:sz="6" w:space="0" w:color="000000"/>
            </w:tcBorders>
            <w:vAlign w:val="center"/>
            <w:hideMark/>
          </w:tcPr>
          <w:p w14:paraId="39EBDD98" w14:textId="77777777" w:rsidR="00355DFD" w:rsidRPr="00811F65" w:rsidRDefault="00355DFD" w:rsidP="00AC347D">
            <w:pPr>
              <w:rPr>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28A0EF74" w14:textId="77777777" w:rsidR="00355DFD" w:rsidRPr="00811F65" w:rsidRDefault="00355DFD" w:rsidP="00AC347D">
            <w:pPr>
              <w:rPr>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410F09CF" w14:textId="77777777" w:rsidR="00355DFD" w:rsidRPr="00811F65" w:rsidRDefault="00355DFD" w:rsidP="00AC347D">
            <w:pPr>
              <w:rPr>
                <w:sz w:val="22"/>
                <w:szCs w:val="22"/>
              </w:rPr>
            </w:pPr>
            <w:proofErr w:type="spellStart"/>
            <w:r w:rsidRPr="00811F65">
              <w:rPr>
                <w:sz w:val="22"/>
                <w:szCs w:val="22"/>
              </w:rPr>
              <w:t>Polycytæmi</w:t>
            </w:r>
            <w:r w:rsidRPr="00811F65">
              <w:rPr>
                <w:sz w:val="22"/>
                <w:szCs w:val="22"/>
                <w:vertAlign w:val="superscript"/>
              </w:rPr>
              <w:t>c</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78F82DC7" w14:textId="77777777" w:rsidR="00355DFD" w:rsidRPr="00811F65" w:rsidRDefault="00355DFD" w:rsidP="00AC347D">
            <w:pPr>
              <w:rPr>
                <w:sz w:val="22"/>
                <w:szCs w:val="22"/>
              </w:rPr>
            </w:pPr>
            <w:r w:rsidRPr="00811F65">
              <w:rPr>
                <w:sz w:val="22"/>
                <w:szCs w:val="22"/>
              </w:rPr>
              <w:t>1.5</w:t>
            </w:r>
          </w:p>
        </w:tc>
        <w:tc>
          <w:tcPr>
            <w:tcW w:w="556" w:type="pct"/>
            <w:tcBorders>
              <w:top w:val="single" w:sz="6" w:space="0" w:color="000000"/>
              <w:left w:val="single" w:sz="6" w:space="0" w:color="000000"/>
              <w:bottom w:val="single" w:sz="6" w:space="0" w:color="000000"/>
              <w:right w:val="single" w:sz="6" w:space="0" w:color="000000"/>
            </w:tcBorders>
            <w:hideMark/>
          </w:tcPr>
          <w:p w14:paraId="6401147E" w14:textId="77777777" w:rsidR="00355DFD" w:rsidRPr="00811F65" w:rsidRDefault="00355DFD" w:rsidP="00AC347D">
            <w:pPr>
              <w:rPr>
                <w:sz w:val="22"/>
                <w:szCs w:val="22"/>
              </w:rPr>
            </w:pPr>
            <w:r w:rsidRPr="00811F65">
              <w:rPr>
                <w:sz w:val="22"/>
                <w:szCs w:val="22"/>
              </w:rPr>
              <w:t>0.1</w:t>
            </w:r>
          </w:p>
        </w:tc>
        <w:tc>
          <w:tcPr>
            <w:tcW w:w="556" w:type="pct"/>
            <w:tcBorders>
              <w:top w:val="single" w:sz="6" w:space="0" w:color="000000"/>
              <w:left w:val="single" w:sz="6" w:space="0" w:color="000000"/>
              <w:bottom w:val="single" w:sz="6" w:space="0" w:color="000000"/>
              <w:right w:val="single" w:sz="6" w:space="0" w:color="000000"/>
            </w:tcBorders>
            <w:hideMark/>
          </w:tcPr>
          <w:p w14:paraId="187C0084" w14:textId="77777777" w:rsidR="00355DFD" w:rsidRPr="00811F65" w:rsidRDefault="00355DFD" w:rsidP="00AC347D">
            <w:pPr>
              <w:rPr>
                <w:sz w:val="22"/>
                <w:szCs w:val="22"/>
              </w:rPr>
            </w:pPr>
            <w:r w:rsidRPr="00811F65">
              <w:rPr>
                <w:sz w:val="22"/>
                <w:szCs w:val="22"/>
              </w:rPr>
              <w:t>0</w:t>
            </w:r>
          </w:p>
        </w:tc>
      </w:tr>
      <w:tr w:rsidR="00355DFD" w:rsidRPr="00811F65" w14:paraId="78A2C3BC" w14:textId="77777777" w:rsidTr="005235F2">
        <w:tc>
          <w:tcPr>
            <w:tcW w:w="1377" w:type="pct"/>
            <w:vMerge/>
            <w:tcBorders>
              <w:top w:val="single" w:sz="6" w:space="0" w:color="000000"/>
              <w:left w:val="single" w:sz="4" w:space="0" w:color="000000"/>
              <w:bottom w:val="single" w:sz="6" w:space="0" w:color="000000"/>
              <w:right w:val="single" w:sz="6" w:space="0" w:color="000000"/>
            </w:tcBorders>
            <w:vAlign w:val="center"/>
            <w:hideMark/>
          </w:tcPr>
          <w:p w14:paraId="0D571ED6" w14:textId="77777777" w:rsidR="00355DFD" w:rsidRPr="00811F65" w:rsidRDefault="00355DFD" w:rsidP="00AC347D">
            <w:pPr>
              <w:rPr>
                <w:sz w:val="22"/>
                <w:szCs w:val="22"/>
              </w:rPr>
            </w:pPr>
          </w:p>
        </w:tc>
        <w:tc>
          <w:tcPr>
            <w:tcW w:w="749" w:type="pct"/>
            <w:vMerge w:val="restart"/>
            <w:tcBorders>
              <w:top w:val="single" w:sz="6" w:space="0" w:color="000000"/>
              <w:left w:val="single" w:sz="6" w:space="0" w:color="000000"/>
              <w:bottom w:val="single" w:sz="6" w:space="0" w:color="000000"/>
              <w:right w:val="single" w:sz="6" w:space="0" w:color="000000"/>
            </w:tcBorders>
            <w:hideMark/>
          </w:tcPr>
          <w:p w14:paraId="6246A419" w14:textId="77777777" w:rsidR="00355DFD" w:rsidRPr="00811F65" w:rsidRDefault="00355DFD" w:rsidP="00AC347D">
            <w:pPr>
              <w:rPr>
                <w:sz w:val="22"/>
                <w:szCs w:val="22"/>
              </w:rPr>
            </w:pPr>
            <w:r w:rsidRPr="00811F65">
              <w:rPr>
                <w:sz w:val="22"/>
                <w:szCs w:val="22"/>
              </w:rPr>
              <w:t>Ikke almindelig</w:t>
            </w:r>
          </w:p>
        </w:tc>
        <w:tc>
          <w:tcPr>
            <w:tcW w:w="1207" w:type="pct"/>
            <w:tcBorders>
              <w:top w:val="single" w:sz="6" w:space="0" w:color="000000"/>
              <w:left w:val="single" w:sz="6" w:space="0" w:color="000000"/>
              <w:bottom w:val="single" w:sz="4" w:space="0" w:color="000000"/>
              <w:right w:val="single" w:sz="6" w:space="0" w:color="000000"/>
            </w:tcBorders>
            <w:hideMark/>
          </w:tcPr>
          <w:p w14:paraId="4B12414D" w14:textId="77777777" w:rsidR="00355DFD" w:rsidRPr="00811F65" w:rsidRDefault="00355DFD" w:rsidP="00AC347D">
            <w:pPr>
              <w:rPr>
                <w:sz w:val="22"/>
                <w:szCs w:val="22"/>
              </w:rPr>
            </w:pPr>
            <w:proofErr w:type="spellStart"/>
            <w:r w:rsidRPr="00811F65">
              <w:rPr>
                <w:sz w:val="22"/>
                <w:szCs w:val="22"/>
              </w:rPr>
              <w:t>Neutropeni</w:t>
            </w:r>
            <w:proofErr w:type="spellEnd"/>
          </w:p>
        </w:tc>
        <w:tc>
          <w:tcPr>
            <w:tcW w:w="555" w:type="pct"/>
            <w:tcBorders>
              <w:top w:val="single" w:sz="6" w:space="0" w:color="000000"/>
              <w:left w:val="single" w:sz="6" w:space="0" w:color="000000"/>
              <w:bottom w:val="single" w:sz="4" w:space="0" w:color="000000"/>
              <w:right w:val="single" w:sz="6" w:space="0" w:color="000000"/>
            </w:tcBorders>
            <w:hideMark/>
          </w:tcPr>
          <w:p w14:paraId="1660083C" w14:textId="77777777" w:rsidR="00355DFD" w:rsidRPr="00811F65" w:rsidRDefault="00355DFD" w:rsidP="00AC347D">
            <w:pPr>
              <w:rPr>
                <w:sz w:val="22"/>
                <w:szCs w:val="22"/>
              </w:rPr>
            </w:pPr>
            <w:r w:rsidRPr="00811F65">
              <w:rPr>
                <w:sz w:val="22"/>
                <w:szCs w:val="22"/>
              </w:rPr>
              <w:t>0.3</w:t>
            </w:r>
          </w:p>
        </w:tc>
        <w:tc>
          <w:tcPr>
            <w:tcW w:w="556" w:type="pct"/>
            <w:tcBorders>
              <w:top w:val="single" w:sz="6" w:space="0" w:color="000000"/>
              <w:left w:val="single" w:sz="6" w:space="0" w:color="000000"/>
              <w:bottom w:val="single" w:sz="4" w:space="0" w:color="000000"/>
              <w:right w:val="single" w:sz="6" w:space="0" w:color="000000"/>
            </w:tcBorders>
            <w:hideMark/>
          </w:tcPr>
          <w:p w14:paraId="7D28906D" w14:textId="77777777" w:rsidR="00355DFD" w:rsidRPr="00811F65" w:rsidRDefault="00355DFD" w:rsidP="00AC347D">
            <w:pPr>
              <w:rPr>
                <w:sz w:val="22"/>
                <w:szCs w:val="22"/>
              </w:rPr>
            </w:pPr>
            <w:r w:rsidRPr="00811F65">
              <w:rPr>
                <w:sz w:val="22"/>
                <w:szCs w:val="22"/>
              </w:rPr>
              <w:t>0.1</w:t>
            </w:r>
          </w:p>
        </w:tc>
        <w:tc>
          <w:tcPr>
            <w:tcW w:w="556" w:type="pct"/>
            <w:tcBorders>
              <w:top w:val="single" w:sz="6" w:space="0" w:color="000000"/>
              <w:left w:val="single" w:sz="6" w:space="0" w:color="000000"/>
              <w:bottom w:val="single" w:sz="4" w:space="0" w:color="000000"/>
              <w:right w:val="single" w:sz="6" w:space="0" w:color="000000"/>
            </w:tcBorders>
            <w:hideMark/>
          </w:tcPr>
          <w:p w14:paraId="1839B35D" w14:textId="77777777" w:rsidR="00355DFD" w:rsidRPr="00811F65" w:rsidRDefault="00355DFD" w:rsidP="00AC347D">
            <w:pPr>
              <w:rPr>
                <w:sz w:val="22"/>
                <w:szCs w:val="22"/>
              </w:rPr>
            </w:pPr>
            <w:r w:rsidRPr="00811F65">
              <w:rPr>
                <w:sz w:val="22"/>
                <w:szCs w:val="22"/>
              </w:rPr>
              <w:t>0</w:t>
            </w:r>
          </w:p>
        </w:tc>
      </w:tr>
      <w:tr w:rsidR="00355DFD" w:rsidRPr="00811F65" w14:paraId="168F61CB" w14:textId="77777777" w:rsidTr="005235F2">
        <w:tc>
          <w:tcPr>
            <w:tcW w:w="1377" w:type="pct"/>
            <w:vMerge/>
            <w:tcBorders>
              <w:top w:val="single" w:sz="6" w:space="0" w:color="000000"/>
              <w:left w:val="single" w:sz="4" w:space="0" w:color="000000"/>
              <w:bottom w:val="single" w:sz="6" w:space="0" w:color="000000"/>
              <w:right w:val="single" w:sz="6" w:space="0" w:color="000000"/>
            </w:tcBorders>
            <w:vAlign w:val="center"/>
            <w:hideMark/>
          </w:tcPr>
          <w:p w14:paraId="173BF20B" w14:textId="77777777" w:rsidR="00355DFD" w:rsidRPr="00811F65" w:rsidRDefault="00355DFD" w:rsidP="00AC347D">
            <w:pPr>
              <w:rPr>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71C15574" w14:textId="77777777" w:rsidR="00355DFD" w:rsidRPr="00811F65" w:rsidRDefault="00355DFD" w:rsidP="00AC347D">
            <w:pPr>
              <w:rPr>
                <w:sz w:val="22"/>
                <w:szCs w:val="22"/>
              </w:rPr>
            </w:pPr>
          </w:p>
        </w:tc>
        <w:tc>
          <w:tcPr>
            <w:tcW w:w="1207" w:type="pct"/>
            <w:tcBorders>
              <w:top w:val="single" w:sz="4" w:space="0" w:color="000000"/>
              <w:left w:val="single" w:sz="6" w:space="0" w:color="000000"/>
              <w:bottom w:val="single" w:sz="6" w:space="0" w:color="000000"/>
              <w:right w:val="single" w:sz="6" w:space="0" w:color="000000"/>
            </w:tcBorders>
            <w:hideMark/>
          </w:tcPr>
          <w:p w14:paraId="20F82B98" w14:textId="77777777" w:rsidR="00355DFD" w:rsidRPr="00811F65" w:rsidRDefault="00355DFD" w:rsidP="00AC347D">
            <w:pPr>
              <w:rPr>
                <w:sz w:val="22"/>
                <w:szCs w:val="22"/>
              </w:rPr>
            </w:pPr>
            <w:proofErr w:type="spellStart"/>
            <w:r w:rsidRPr="00811F65">
              <w:rPr>
                <w:sz w:val="22"/>
                <w:szCs w:val="22"/>
              </w:rPr>
              <w:t>Leukopeni</w:t>
            </w:r>
            <w:proofErr w:type="spellEnd"/>
          </w:p>
        </w:tc>
        <w:tc>
          <w:tcPr>
            <w:tcW w:w="555" w:type="pct"/>
            <w:tcBorders>
              <w:top w:val="single" w:sz="4" w:space="0" w:color="000000"/>
              <w:left w:val="single" w:sz="6" w:space="0" w:color="000000"/>
              <w:bottom w:val="single" w:sz="6" w:space="0" w:color="000000"/>
              <w:right w:val="single" w:sz="6" w:space="0" w:color="000000"/>
            </w:tcBorders>
            <w:hideMark/>
          </w:tcPr>
          <w:p w14:paraId="6BAD21C9" w14:textId="77777777" w:rsidR="00355DFD" w:rsidRPr="00811F65" w:rsidRDefault="00355DFD" w:rsidP="00AC347D">
            <w:pPr>
              <w:rPr>
                <w:sz w:val="22"/>
                <w:szCs w:val="22"/>
              </w:rPr>
            </w:pPr>
            <w:r w:rsidRPr="00811F65">
              <w:rPr>
                <w:sz w:val="22"/>
                <w:szCs w:val="22"/>
              </w:rPr>
              <w:t>0.4</w:t>
            </w:r>
          </w:p>
        </w:tc>
        <w:tc>
          <w:tcPr>
            <w:tcW w:w="556" w:type="pct"/>
            <w:tcBorders>
              <w:top w:val="single" w:sz="4" w:space="0" w:color="000000"/>
              <w:left w:val="single" w:sz="6" w:space="0" w:color="000000"/>
              <w:bottom w:val="single" w:sz="6" w:space="0" w:color="000000"/>
              <w:right w:val="single" w:sz="6" w:space="0" w:color="000000"/>
            </w:tcBorders>
            <w:hideMark/>
          </w:tcPr>
          <w:p w14:paraId="6BF6055E" w14:textId="77777777" w:rsidR="00355DFD" w:rsidRPr="00811F65" w:rsidRDefault="00355DFD" w:rsidP="00AC347D">
            <w:pPr>
              <w:rPr>
                <w:sz w:val="22"/>
                <w:szCs w:val="22"/>
              </w:rPr>
            </w:pPr>
            <w:r w:rsidRPr="00811F65">
              <w:rPr>
                <w:sz w:val="22"/>
                <w:szCs w:val="22"/>
              </w:rPr>
              <w:t>0</w:t>
            </w:r>
          </w:p>
        </w:tc>
        <w:tc>
          <w:tcPr>
            <w:tcW w:w="556" w:type="pct"/>
            <w:tcBorders>
              <w:top w:val="single" w:sz="4" w:space="0" w:color="000000"/>
              <w:left w:val="single" w:sz="6" w:space="0" w:color="000000"/>
              <w:bottom w:val="single" w:sz="6" w:space="0" w:color="000000"/>
              <w:right w:val="single" w:sz="6" w:space="0" w:color="000000"/>
            </w:tcBorders>
            <w:hideMark/>
          </w:tcPr>
          <w:p w14:paraId="5838CFF9" w14:textId="77777777" w:rsidR="00355DFD" w:rsidRPr="00811F65" w:rsidRDefault="00355DFD" w:rsidP="00AC347D">
            <w:pPr>
              <w:rPr>
                <w:sz w:val="22"/>
                <w:szCs w:val="22"/>
              </w:rPr>
            </w:pPr>
            <w:r w:rsidRPr="00811F65">
              <w:rPr>
                <w:sz w:val="22"/>
                <w:szCs w:val="22"/>
              </w:rPr>
              <w:t>0</w:t>
            </w:r>
          </w:p>
        </w:tc>
      </w:tr>
      <w:tr w:rsidR="00355DFD" w:rsidRPr="00811F65" w14:paraId="5B29D006" w14:textId="77777777" w:rsidTr="005235F2">
        <w:tc>
          <w:tcPr>
            <w:tcW w:w="1377" w:type="pct"/>
            <w:vMerge w:val="restart"/>
            <w:tcBorders>
              <w:top w:val="single" w:sz="6" w:space="0" w:color="000000"/>
              <w:left w:val="single" w:sz="4" w:space="0" w:color="000000"/>
              <w:bottom w:val="single" w:sz="6" w:space="0" w:color="000000"/>
              <w:right w:val="single" w:sz="6" w:space="0" w:color="000000"/>
            </w:tcBorders>
            <w:hideMark/>
          </w:tcPr>
          <w:p w14:paraId="15A77686" w14:textId="77777777" w:rsidR="00355DFD" w:rsidRPr="00811F65" w:rsidRDefault="00355DFD" w:rsidP="00AC347D">
            <w:pPr>
              <w:rPr>
                <w:sz w:val="22"/>
                <w:szCs w:val="22"/>
              </w:rPr>
            </w:pPr>
            <w:r w:rsidRPr="00811F65">
              <w:rPr>
                <w:sz w:val="22"/>
                <w:szCs w:val="22"/>
              </w:rPr>
              <w:t>Det endokrine system</w:t>
            </w:r>
          </w:p>
        </w:tc>
        <w:tc>
          <w:tcPr>
            <w:tcW w:w="749" w:type="pct"/>
            <w:tcBorders>
              <w:top w:val="single" w:sz="6" w:space="0" w:color="000000"/>
              <w:left w:val="single" w:sz="6" w:space="0" w:color="000000"/>
              <w:bottom w:val="single" w:sz="6" w:space="0" w:color="000000"/>
              <w:right w:val="single" w:sz="6" w:space="0" w:color="000000"/>
            </w:tcBorders>
            <w:hideMark/>
          </w:tcPr>
          <w:p w14:paraId="547ABAFC" w14:textId="77777777" w:rsidR="00355DFD" w:rsidRPr="00811F65" w:rsidRDefault="00355DFD" w:rsidP="00AC347D">
            <w:pPr>
              <w:rPr>
                <w:sz w:val="22"/>
                <w:szCs w:val="22"/>
              </w:rPr>
            </w:pPr>
            <w:r w:rsidRPr="00811F65">
              <w:rPr>
                <w:sz w:val="22"/>
                <w:szCs w:val="22"/>
              </w:rPr>
              <w:t>Meget almindelig</w:t>
            </w:r>
          </w:p>
        </w:tc>
        <w:tc>
          <w:tcPr>
            <w:tcW w:w="1207" w:type="pct"/>
            <w:tcBorders>
              <w:top w:val="single" w:sz="6" w:space="0" w:color="000000"/>
              <w:left w:val="single" w:sz="6" w:space="0" w:color="000000"/>
              <w:bottom w:val="single" w:sz="6" w:space="0" w:color="000000"/>
              <w:right w:val="single" w:sz="6" w:space="0" w:color="000000"/>
            </w:tcBorders>
            <w:hideMark/>
          </w:tcPr>
          <w:p w14:paraId="03643A41" w14:textId="77777777" w:rsidR="00355DFD" w:rsidRPr="00811F65" w:rsidRDefault="00355DFD" w:rsidP="00AC347D">
            <w:pPr>
              <w:rPr>
                <w:sz w:val="22"/>
                <w:szCs w:val="22"/>
              </w:rPr>
            </w:pPr>
            <w:proofErr w:type="spellStart"/>
            <w:r w:rsidRPr="00811F65">
              <w:rPr>
                <w:sz w:val="22"/>
                <w:szCs w:val="22"/>
              </w:rPr>
              <w:t>Hypotyreose</w:t>
            </w:r>
            <w:r w:rsidRPr="00F42C8D">
              <w:rPr>
                <w:sz w:val="22"/>
                <w:szCs w:val="22"/>
                <w:vertAlign w:val="superscript"/>
              </w:rPr>
              <w:t>c</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371B87E3" w14:textId="77777777" w:rsidR="00355DFD" w:rsidRPr="00811F65" w:rsidRDefault="00355DFD" w:rsidP="00AC347D">
            <w:pPr>
              <w:rPr>
                <w:sz w:val="22"/>
                <w:szCs w:val="22"/>
              </w:rPr>
            </w:pPr>
            <w:r w:rsidRPr="00811F65">
              <w:rPr>
                <w:sz w:val="22"/>
                <w:szCs w:val="22"/>
              </w:rPr>
              <w:t>24.6</w:t>
            </w:r>
          </w:p>
        </w:tc>
        <w:tc>
          <w:tcPr>
            <w:tcW w:w="556" w:type="pct"/>
            <w:tcBorders>
              <w:top w:val="single" w:sz="6" w:space="0" w:color="000000"/>
              <w:left w:val="single" w:sz="6" w:space="0" w:color="000000"/>
              <w:bottom w:val="single" w:sz="6" w:space="0" w:color="000000"/>
              <w:right w:val="single" w:sz="6" w:space="0" w:color="000000"/>
            </w:tcBorders>
            <w:hideMark/>
          </w:tcPr>
          <w:p w14:paraId="3638D2C0" w14:textId="77777777" w:rsidR="00355DFD" w:rsidRPr="00811F65" w:rsidRDefault="00355DFD" w:rsidP="00AC347D">
            <w:pPr>
              <w:rPr>
                <w:sz w:val="22"/>
                <w:szCs w:val="22"/>
              </w:rPr>
            </w:pPr>
            <w:r w:rsidRPr="00811F65">
              <w:rPr>
                <w:sz w:val="22"/>
                <w:szCs w:val="22"/>
              </w:rPr>
              <w:t>0.3</w:t>
            </w:r>
          </w:p>
        </w:tc>
        <w:tc>
          <w:tcPr>
            <w:tcW w:w="556" w:type="pct"/>
            <w:tcBorders>
              <w:top w:val="single" w:sz="6" w:space="0" w:color="000000"/>
              <w:left w:val="single" w:sz="6" w:space="0" w:color="000000"/>
              <w:bottom w:val="single" w:sz="6" w:space="0" w:color="000000"/>
              <w:right w:val="single" w:sz="6" w:space="0" w:color="000000"/>
            </w:tcBorders>
            <w:hideMark/>
          </w:tcPr>
          <w:p w14:paraId="3CF9EDEF" w14:textId="77777777" w:rsidR="00355DFD" w:rsidRPr="00811F65" w:rsidRDefault="00355DFD" w:rsidP="00AC347D">
            <w:pPr>
              <w:rPr>
                <w:sz w:val="22"/>
                <w:szCs w:val="22"/>
              </w:rPr>
            </w:pPr>
            <w:r w:rsidRPr="00811F65">
              <w:rPr>
                <w:sz w:val="22"/>
                <w:szCs w:val="22"/>
              </w:rPr>
              <w:t>0</w:t>
            </w:r>
          </w:p>
        </w:tc>
      </w:tr>
      <w:tr w:rsidR="00355DFD" w:rsidRPr="00811F65" w14:paraId="351AD367" w14:textId="77777777" w:rsidTr="005235F2">
        <w:tc>
          <w:tcPr>
            <w:tcW w:w="1377" w:type="pct"/>
            <w:vMerge/>
            <w:tcBorders>
              <w:top w:val="single" w:sz="6" w:space="0" w:color="000000"/>
              <w:left w:val="single" w:sz="4" w:space="0" w:color="000000"/>
              <w:bottom w:val="single" w:sz="6" w:space="0" w:color="000000"/>
              <w:right w:val="single" w:sz="6" w:space="0" w:color="000000"/>
            </w:tcBorders>
            <w:vAlign w:val="center"/>
            <w:hideMark/>
          </w:tcPr>
          <w:p w14:paraId="6E1E6D17" w14:textId="77777777" w:rsidR="00355DFD" w:rsidRPr="00811F65" w:rsidRDefault="00355DFD" w:rsidP="00AC347D">
            <w:pPr>
              <w:rPr>
                <w:sz w:val="22"/>
                <w:szCs w:val="22"/>
              </w:rPr>
            </w:pPr>
          </w:p>
        </w:tc>
        <w:tc>
          <w:tcPr>
            <w:tcW w:w="749" w:type="pct"/>
            <w:tcBorders>
              <w:top w:val="single" w:sz="6" w:space="0" w:color="000000"/>
              <w:left w:val="single" w:sz="6" w:space="0" w:color="000000"/>
              <w:bottom w:val="single" w:sz="6" w:space="0" w:color="000000"/>
              <w:right w:val="single" w:sz="6" w:space="0" w:color="000000"/>
            </w:tcBorders>
            <w:hideMark/>
          </w:tcPr>
          <w:p w14:paraId="204BEF50" w14:textId="77777777" w:rsidR="00355DFD" w:rsidRPr="00811F65" w:rsidRDefault="00355DFD" w:rsidP="00AC347D">
            <w:pPr>
              <w:rPr>
                <w:sz w:val="22"/>
                <w:szCs w:val="22"/>
              </w:rPr>
            </w:pPr>
            <w:r w:rsidRPr="00811F65">
              <w:rPr>
                <w:sz w:val="22"/>
                <w:szCs w:val="22"/>
              </w:rPr>
              <w:t xml:space="preserve">Almindelig </w:t>
            </w:r>
          </w:p>
        </w:tc>
        <w:tc>
          <w:tcPr>
            <w:tcW w:w="1207" w:type="pct"/>
            <w:tcBorders>
              <w:top w:val="single" w:sz="6" w:space="0" w:color="000000"/>
              <w:left w:val="single" w:sz="6" w:space="0" w:color="000000"/>
              <w:bottom w:val="single" w:sz="6" w:space="0" w:color="000000"/>
              <w:right w:val="single" w:sz="6" w:space="0" w:color="000000"/>
            </w:tcBorders>
            <w:hideMark/>
          </w:tcPr>
          <w:p w14:paraId="1C288F87" w14:textId="77777777" w:rsidR="00355DFD" w:rsidRPr="00811F65" w:rsidRDefault="00355DFD" w:rsidP="00AC347D">
            <w:pPr>
              <w:rPr>
                <w:sz w:val="22"/>
                <w:szCs w:val="22"/>
              </w:rPr>
            </w:pPr>
            <w:proofErr w:type="spellStart"/>
            <w:r w:rsidRPr="00811F65">
              <w:rPr>
                <w:sz w:val="22"/>
                <w:szCs w:val="22"/>
              </w:rPr>
              <w:t>Hypertyreose</w:t>
            </w:r>
            <w:r w:rsidRPr="00F42C8D">
              <w:rPr>
                <w:sz w:val="22"/>
                <w:szCs w:val="22"/>
                <w:vertAlign w:val="superscript"/>
              </w:rPr>
              <w:t>c</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5B17021C" w14:textId="77777777" w:rsidR="00355DFD" w:rsidRPr="00811F65" w:rsidRDefault="00355DFD" w:rsidP="00AC347D">
            <w:pPr>
              <w:rPr>
                <w:sz w:val="22"/>
                <w:szCs w:val="22"/>
              </w:rPr>
            </w:pPr>
            <w:r w:rsidRPr="00811F65">
              <w:rPr>
                <w:sz w:val="22"/>
                <w:szCs w:val="22"/>
              </w:rPr>
              <w:t>1.6</w:t>
            </w:r>
          </w:p>
        </w:tc>
        <w:tc>
          <w:tcPr>
            <w:tcW w:w="556" w:type="pct"/>
            <w:tcBorders>
              <w:top w:val="single" w:sz="6" w:space="0" w:color="000000"/>
              <w:left w:val="single" w:sz="6" w:space="0" w:color="000000"/>
              <w:bottom w:val="single" w:sz="6" w:space="0" w:color="000000"/>
              <w:right w:val="single" w:sz="6" w:space="0" w:color="000000"/>
            </w:tcBorders>
            <w:hideMark/>
          </w:tcPr>
          <w:p w14:paraId="1CB8E4BC" w14:textId="77777777" w:rsidR="00355DFD" w:rsidRPr="00811F65" w:rsidRDefault="00355DFD" w:rsidP="00AC347D">
            <w:pPr>
              <w:rPr>
                <w:sz w:val="22"/>
                <w:szCs w:val="22"/>
              </w:rPr>
            </w:pPr>
            <w:r w:rsidRPr="00811F65">
              <w:rPr>
                <w:sz w:val="22"/>
                <w:szCs w:val="22"/>
              </w:rPr>
              <w:t>0.1</w:t>
            </w:r>
          </w:p>
        </w:tc>
        <w:tc>
          <w:tcPr>
            <w:tcW w:w="556" w:type="pct"/>
            <w:tcBorders>
              <w:top w:val="single" w:sz="6" w:space="0" w:color="000000"/>
              <w:left w:val="single" w:sz="6" w:space="0" w:color="000000"/>
              <w:bottom w:val="single" w:sz="6" w:space="0" w:color="000000"/>
              <w:right w:val="single" w:sz="6" w:space="0" w:color="000000"/>
            </w:tcBorders>
            <w:hideMark/>
          </w:tcPr>
          <w:p w14:paraId="7C2BBDBC" w14:textId="77777777" w:rsidR="00355DFD" w:rsidRPr="00811F65" w:rsidRDefault="00355DFD" w:rsidP="00AC347D">
            <w:pPr>
              <w:rPr>
                <w:sz w:val="22"/>
                <w:szCs w:val="22"/>
              </w:rPr>
            </w:pPr>
            <w:r w:rsidRPr="00811F65">
              <w:rPr>
                <w:sz w:val="22"/>
                <w:szCs w:val="22"/>
              </w:rPr>
              <w:t>0.1</w:t>
            </w:r>
          </w:p>
        </w:tc>
      </w:tr>
      <w:tr w:rsidR="00355DFD" w:rsidRPr="00811F65" w14:paraId="026412C2" w14:textId="77777777" w:rsidTr="005235F2">
        <w:tc>
          <w:tcPr>
            <w:tcW w:w="1377" w:type="pct"/>
            <w:vMerge w:val="restart"/>
            <w:tcBorders>
              <w:top w:val="single" w:sz="6" w:space="0" w:color="000000"/>
              <w:left w:val="single" w:sz="4" w:space="0" w:color="000000"/>
              <w:bottom w:val="single" w:sz="4" w:space="0" w:color="000000"/>
              <w:right w:val="single" w:sz="6" w:space="0" w:color="000000"/>
            </w:tcBorders>
            <w:hideMark/>
          </w:tcPr>
          <w:p w14:paraId="612CE4DE" w14:textId="77777777" w:rsidR="00355DFD" w:rsidRPr="00811F65" w:rsidRDefault="00355DFD" w:rsidP="00AC347D">
            <w:pPr>
              <w:rPr>
                <w:sz w:val="22"/>
                <w:szCs w:val="22"/>
              </w:rPr>
            </w:pPr>
            <w:r w:rsidRPr="00811F65">
              <w:rPr>
                <w:sz w:val="22"/>
                <w:szCs w:val="22"/>
              </w:rPr>
              <w:t>Metabolisme og ernæring</w:t>
            </w:r>
          </w:p>
        </w:tc>
        <w:tc>
          <w:tcPr>
            <w:tcW w:w="749" w:type="pct"/>
            <w:tcBorders>
              <w:top w:val="single" w:sz="6" w:space="0" w:color="000000"/>
              <w:left w:val="single" w:sz="6" w:space="0" w:color="000000"/>
              <w:bottom w:val="single" w:sz="6" w:space="0" w:color="000000"/>
              <w:right w:val="single" w:sz="6" w:space="0" w:color="000000"/>
            </w:tcBorders>
            <w:hideMark/>
          </w:tcPr>
          <w:p w14:paraId="1254F94F" w14:textId="77777777" w:rsidR="00355DFD" w:rsidRPr="00811F65" w:rsidRDefault="00355DFD" w:rsidP="00AC347D">
            <w:pPr>
              <w:rPr>
                <w:sz w:val="22"/>
                <w:szCs w:val="22"/>
              </w:rPr>
            </w:pPr>
            <w:r w:rsidRPr="00811F65">
              <w:rPr>
                <w:sz w:val="22"/>
                <w:szCs w:val="22"/>
              </w:rPr>
              <w:t>Meget almindelig</w:t>
            </w:r>
          </w:p>
        </w:tc>
        <w:tc>
          <w:tcPr>
            <w:tcW w:w="1207" w:type="pct"/>
            <w:tcBorders>
              <w:top w:val="single" w:sz="6" w:space="0" w:color="000000"/>
              <w:left w:val="single" w:sz="6" w:space="0" w:color="000000"/>
              <w:bottom w:val="single" w:sz="6" w:space="0" w:color="000000"/>
              <w:right w:val="single" w:sz="6" w:space="0" w:color="000000"/>
            </w:tcBorders>
            <w:hideMark/>
          </w:tcPr>
          <w:p w14:paraId="60ED0B50" w14:textId="77777777" w:rsidR="00355DFD" w:rsidRPr="00811F65" w:rsidRDefault="00355DFD" w:rsidP="00AC347D">
            <w:pPr>
              <w:rPr>
                <w:sz w:val="22"/>
                <w:szCs w:val="22"/>
              </w:rPr>
            </w:pPr>
            <w:r w:rsidRPr="00811F65">
              <w:rPr>
                <w:sz w:val="22"/>
                <w:szCs w:val="22"/>
              </w:rPr>
              <w:t xml:space="preserve">Nedsat appetit </w:t>
            </w:r>
          </w:p>
        </w:tc>
        <w:tc>
          <w:tcPr>
            <w:tcW w:w="555" w:type="pct"/>
            <w:tcBorders>
              <w:top w:val="single" w:sz="6" w:space="0" w:color="000000"/>
              <w:left w:val="single" w:sz="6" w:space="0" w:color="000000"/>
              <w:bottom w:val="single" w:sz="6" w:space="0" w:color="000000"/>
              <w:right w:val="single" w:sz="6" w:space="0" w:color="000000"/>
            </w:tcBorders>
            <w:hideMark/>
          </w:tcPr>
          <w:p w14:paraId="00D7DE13" w14:textId="77777777" w:rsidR="00355DFD" w:rsidRPr="00811F65" w:rsidRDefault="00355DFD" w:rsidP="00AC347D">
            <w:pPr>
              <w:rPr>
                <w:sz w:val="22"/>
                <w:szCs w:val="22"/>
              </w:rPr>
            </w:pPr>
            <w:r w:rsidRPr="00811F65">
              <w:rPr>
                <w:sz w:val="22"/>
                <w:szCs w:val="22"/>
              </w:rPr>
              <w:t>39.0</w:t>
            </w:r>
          </w:p>
        </w:tc>
        <w:tc>
          <w:tcPr>
            <w:tcW w:w="556" w:type="pct"/>
            <w:tcBorders>
              <w:top w:val="single" w:sz="6" w:space="0" w:color="000000"/>
              <w:left w:val="single" w:sz="6" w:space="0" w:color="000000"/>
              <w:bottom w:val="single" w:sz="6" w:space="0" w:color="000000"/>
              <w:right w:val="single" w:sz="6" w:space="0" w:color="000000"/>
            </w:tcBorders>
            <w:hideMark/>
          </w:tcPr>
          <w:p w14:paraId="746F227E" w14:textId="77777777" w:rsidR="00355DFD" w:rsidRPr="00811F65" w:rsidRDefault="00355DFD" w:rsidP="00AC347D">
            <w:pPr>
              <w:rPr>
                <w:sz w:val="22"/>
                <w:szCs w:val="22"/>
              </w:rPr>
            </w:pPr>
            <w:r w:rsidRPr="00811F65">
              <w:rPr>
                <w:sz w:val="22"/>
                <w:szCs w:val="22"/>
              </w:rPr>
              <w:t>3.6</w:t>
            </w:r>
          </w:p>
        </w:tc>
        <w:tc>
          <w:tcPr>
            <w:tcW w:w="556" w:type="pct"/>
            <w:tcBorders>
              <w:top w:val="single" w:sz="6" w:space="0" w:color="000000"/>
              <w:left w:val="single" w:sz="6" w:space="0" w:color="000000"/>
              <w:bottom w:val="single" w:sz="6" w:space="0" w:color="000000"/>
              <w:right w:val="single" w:sz="6" w:space="0" w:color="000000"/>
            </w:tcBorders>
            <w:hideMark/>
          </w:tcPr>
          <w:p w14:paraId="668B2054" w14:textId="77777777" w:rsidR="00355DFD" w:rsidRPr="00811F65" w:rsidRDefault="00355DFD" w:rsidP="00AC347D">
            <w:pPr>
              <w:rPr>
                <w:sz w:val="22"/>
                <w:szCs w:val="22"/>
              </w:rPr>
            </w:pPr>
            <w:r w:rsidRPr="00811F65">
              <w:rPr>
                <w:sz w:val="22"/>
                <w:szCs w:val="22"/>
              </w:rPr>
              <w:t>0.3</w:t>
            </w:r>
          </w:p>
        </w:tc>
      </w:tr>
      <w:tr w:rsidR="00355DFD" w:rsidRPr="00811F65" w14:paraId="028C5D91" w14:textId="77777777" w:rsidTr="005235F2">
        <w:tc>
          <w:tcPr>
            <w:tcW w:w="1377" w:type="pct"/>
            <w:vMerge/>
            <w:tcBorders>
              <w:top w:val="single" w:sz="6" w:space="0" w:color="000000"/>
              <w:left w:val="single" w:sz="4" w:space="0" w:color="000000"/>
              <w:bottom w:val="single" w:sz="4" w:space="0" w:color="000000"/>
              <w:right w:val="single" w:sz="6" w:space="0" w:color="000000"/>
            </w:tcBorders>
            <w:vAlign w:val="center"/>
            <w:hideMark/>
          </w:tcPr>
          <w:p w14:paraId="54304097" w14:textId="77777777" w:rsidR="00355DFD" w:rsidRPr="00811F65" w:rsidRDefault="00355DFD" w:rsidP="00AC347D">
            <w:pPr>
              <w:rPr>
                <w:sz w:val="22"/>
                <w:szCs w:val="22"/>
              </w:rPr>
            </w:pPr>
          </w:p>
        </w:tc>
        <w:tc>
          <w:tcPr>
            <w:tcW w:w="749" w:type="pct"/>
            <w:vMerge w:val="restart"/>
            <w:tcBorders>
              <w:top w:val="single" w:sz="6" w:space="0" w:color="000000"/>
              <w:left w:val="single" w:sz="6" w:space="0" w:color="000000"/>
              <w:bottom w:val="single" w:sz="4" w:space="0" w:color="000000"/>
              <w:right w:val="single" w:sz="6" w:space="0" w:color="000000"/>
            </w:tcBorders>
            <w:hideMark/>
          </w:tcPr>
          <w:p w14:paraId="5A2ACFD3" w14:textId="77777777" w:rsidR="00355DFD" w:rsidRPr="00811F65" w:rsidRDefault="00355DFD" w:rsidP="00AC347D">
            <w:pPr>
              <w:rPr>
                <w:sz w:val="22"/>
                <w:szCs w:val="22"/>
              </w:rPr>
            </w:pPr>
            <w:r w:rsidRPr="00811F65">
              <w:rPr>
                <w:sz w:val="22"/>
                <w:szCs w:val="22"/>
              </w:rPr>
              <w:t xml:space="preserve">Almindelig </w:t>
            </w:r>
          </w:p>
        </w:tc>
        <w:tc>
          <w:tcPr>
            <w:tcW w:w="1207" w:type="pct"/>
            <w:tcBorders>
              <w:top w:val="single" w:sz="6" w:space="0" w:color="000000"/>
              <w:left w:val="single" w:sz="6" w:space="0" w:color="000000"/>
              <w:bottom w:val="single" w:sz="6" w:space="0" w:color="000000"/>
              <w:right w:val="single" w:sz="6" w:space="0" w:color="000000"/>
            </w:tcBorders>
            <w:hideMark/>
          </w:tcPr>
          <w:p w14:paraId="3773C2DF" w14:textId="77777777" w:rsidR="00355DFD" w:rsidRPr="00811F65" w:rsidRDefault="00355DFD" w:rsidP="00AC347D">
            <w:pPr>
              <w:rPr>
                <w:sz w:val="22"/>
                <w:szCs w:val="22"/>
              </w:rPr>
            </w:pPr>
            <w:r w:rsidRPr="00811F65">
              <w:rPr>
                <w:sz w:val="22"/>
                <w:szCs w:val="22"/>
              </w:rPr>
              <w:t>Dehydrering</w:t>
            </w:r>
          </w:p>
        </w:tc>
        <w:tc>
          <w:tcPr>
            <w:tcW w:w="555" w:type="pct"/>
            <w:tcBorders>
              <w:top w:val="single" w:sz="6" w:space="0" w:color="000000"/>
              <w:left w:val="single" w:sz="6" w:space="0" w:color="000000"/>
              <w:bottom w:val="single" w:sz="6" w:space="0" w:color="000000"/>
              <w:right w:val="single" w:sz="6" w:space="0" w:color="000000"/>
            </w:tcBorders>
            <w:hideMark/>
          </w:tcPr>
          <w:p w14:paraId="6F07AA18" w14:textId="77777777" w:rsidR="00355DFD" w:rsidRPr="00811F65" w:rsidRDefault="00355DFD" w:rsidP="00AC347D">
            <w:pPr>
              <w:rPr>
                <w:sz w:val="22"/>
                <w:szCs w:val="22"/>
              </w:rPr>
            </w:pPr>
            <w:r w:rsidRPr="00811F65">
              <w:rPr>
                <w:sz w:val="22"/>
                <w:szCs w:val="22"/>
              </w:rPr>
              <w:t>6.7</w:t>
            </w:r>
          </w:p>
        </w:tc>
        <w:tc>
          <w:tcPr>
            <w:tcW w:w="556" w:type="pct"/>
            <w:tcBorders>
              <w:top w:val="single" w:sz="6" w:space="0" w:color="000000"/>
              <w:left w:val="single" w:sz="6" w:space="0" w:color="000000"/>
              <w:bottom w:val="single" w:sz="6" w:space="0" w:color="000000"/>
              <w:right w:val="single" w:sz="6" w:space="0" w:color="000000"/>
            </w:tcBorders>
            <w:hideMark/>
          </w:tcPr>
          <w:p w14:paraId="141546B2" w14:textId="77777777" w:rsidR="00355DFD" w:rsidRPr="00811F65" w:rsidRDefault="00355DFD" w:rsidP="00AC347D">
            <w:pPr>
              <w:rPr>
                <w:sz w:val="22"/>
                <w:szCs w:val="22"/>
              </w:rPr>
            </w:pPr>
            <w:r w:rsidRPr="00811F65">
              <w:rPr>
                <w:sz w:val="22"/>
                <w:szCs w:val="22"/>
              </w:rPr>
              <w:t>3.1</w:t>
            </w:r>
          </w:p>
        </w:tc>
        <w:tc>
          <w:tcPr>
            <w:tcW w:w="556" w:type="pct"/>
            <w:tcBorders>
              <w:top w:val="single" w:sz="6" w:space="0" w:color="000000"/>
              <w:left w:val="single" w:sz="6" w:space="0" w:color="000000"/>
              <w:bottom w:val="single" w:sz="6" w:space="0" w:color="000000"/>
              <w:right w:val="single" w:sz="6" w:space="0" w:color="000000"/>
            </w:tcBorders>
            <w:hideMark/>
          </w:tcPr>
          <w:p w14:paraId="0F45C467" w14:textId="77777777" w:rsidR="00355DFD" w:rsidRPr="00811F65" w:rsidRDefault="00355DFD" w:rsidP="00AC347D">
            <w:pPr>
              <w:rPr>
                <w:sz w:val="22"/>
                <w:szCs w:val="22"/>
              </w:rPr>
            </w:pPr>
            <w:r w:rsidRPr="00811F65">
              <w:rPr>
                <w:sz w:val="22"/>
                <w:szCs w:val="22"/>
              </w:rPr>
              <w:t>0.3</w:t>
            </w:r>
          </w:p>
        </w:tc>
      </w:tr>
      <w:tr w:rsidR="00355DFD" w:rsidRPr="00811F65" w14:paraId="09195DA2" w14:textId="77777777" w:rsidTr="005235F2">
        <w:tc>
          <w:tcPr>
            <w:tcW w:w="1377" w:type="pct"/>
            <w:vMerge/>
            <w:tcBorders>
              <w:top w:val="single" w:sz="6" w:space="0" w:color="000000"/>
              <w:left w:val="single" w:sz="4" w:space="0" w:color="000000"/>
              <w:bottom w:val="single" w:sz="4" w:space="0" w:color="000000"/>
              <w:right w:val="single" w:sz="6" w:space="0" w:color="000000"/>
            </w:tcBorders>
            <w:vAlign w:val="center"/>
            <w:hideMark/>
          </w:tcPr>
          <w:p w14:paraId="5DEE355A" w14:textId="77777777" w:rsidR="00355DFD" w:rsidRPr="00811F65" w:rsidRDefault="00355DFD" w:rsidP="00AC347D">
            <w:pPr>
              <w:rPr>
                <w:sz w:val="22"/>
                <w:szCs w:val="22"/>
              </w:rPr>
            </w:pPr>
          </w:p>
        </w:tc>
        <w:tc>
          <w:tcPr>
            <w:tcW w:w="749" w:type="pct"/>
            <w:vMerge/>
            <w:tcBorders>
              <w:top w:val="single" w:sz="6" w:space="0" w:color="000000"/>
              <w:left w:val="single" w:sz="6" w:space="0" w:color="000000"/>
              <w:bottom w:val="single" w:sz="4" w:space="0" w:color="000000"/>
              <w:right w:val="single" w:sz="6" w:space="0" w:color="000000"/>
            </w:tcBorders>
            <w:vAlign w:val="center"/>
            <w:hideMark/>
          </w:tcPr>
          <w:p w14:paraId="1681A7F3" w14:textId="77777777" w:rsidR="00355DFD" w:rsidRPr="00811F65" w:rsidRDefault="00355DFD" w:rsidP="00AC347D">
            <w:pPr>
              <w:rPr>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0714CF20" w14:textId="77777777" w:rsidR="00355DFD" w:rsidRPr="00811F65" w:rsidRDefault="00355DFD" w:rsidP="00AC347D">
            <w:pPr>
              <w:rPr>
                <w:sz w:val="22"/>
                <w:szCs w:val="22"/>
              </w:rPr>
            </w:pPr>
            <w:proofErr w:type="spellStart"/>
            <w:r w:rsidRPr="00811F65">
              <w:rPr>
                <w:sz w:val="22"/>
                <w:szCs w:val="22"/>
              </w:rPr>
              <w:t>Hyperkaliæmi</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445ABACB" w14:textId="77777777" w:rsidR="00355DFD" w:rsidRPr="00811F65" w:rsidRDefault="00355DFD" w:rsidP="00AC347D">
            <w:pPr>
              <w:rPr>
                <w:sz w:val="22"/>
                <w:szCs w:val="22"/>
              </w:rPr>
            </w:pPr>
            <w:r w:rsidRPr="00811F65">
              <w:rPr>
                <w:sz w:val="22"/>
                <w:szCs w:val="22"/>
              </w:rPr>
              <w:t>2.7</w:t>
            </w:r>
          </w:p>
        </w:tc>
        <w:tc>
          <w:tcPr>
            <w:tcW w:w="556" w:type="pct"/>
            <w:tcBorders>
              <w:top w:val="single" w:sz="6" w:space="0" w:color="000000"/>
              <w:left w:val="single" w:sz="6" w:space="0" w:color="000000"/>
              <w:bottom w:val="single" w:sz="6" w:space="0" w:color="000000"/>
              <w:right w:val="single" w:sz="6" w:space="0" w:color="000000"/>
            </w:tcBorders>
            <w:hideMark/>
          </w:tcPr>
          <w:p w14:paraId="67BCD21D" w14:textId="77777777" w:rsidR="00355DFD" w:rsidRPr="00811F65" w:rsidRDefault="00355DFD" w:rsidP="00AC347D">
            <w:pPr>
              <w:rPr>
                <w:sz w:val="22"/>
                <w:szCs w:val="22"/>
              </w:rPr>
            </w:pPr>
            <w:r w:rsidRPr="00811F65">
              <w:rPr>
                <w:sz w:val="22"/>
                <w:szCs w:val="22"/>
              </w:rPr>
              <w:t>1.2</w:t>
            </w:r>
          </w:p>
        </w:tc>
        <w:tc>
          <w:tcPr>
            <w:tcW w:w="556" w:type="pct"/>
            <w:tcBorders>
              <w:top w:val="single" w:sz="6" w:space="0" w:color="000000"/>
              <w:left w:val="single" w:sz="6" w:space="0" w:color="000000"/>
              <w:bottom w:val="single" w:sz="6" w:space="0" w:color="000000"/>
              <w:right w:val="single" w:sz="6" w:space="0" w:color="000000"/>
            </w:tcBorders>
            <w:hideMark/>
          </w:tcPr>
          <w:p w14:paraId="51D5909B" w14:textId="77777777" w:rsidR="00355DFD" w:rsidRPr="00811F65" w:rsidRDefault="00355DFD" w:rsidP="00AC347D">
            <w:pPr>
              <w:rPr>
                <w:sz w:val="22"/>
                <w:szCs w:val="22"/>
              </w:rPr>
            </w:pPr>
            <w:r w:rsidRPr="00811F65">
              <w:rPr>
                <w:sz w:val="22"/>
                <w:szCs w:val="22"/>
              </w:rPr>
              <w:t>0.1</w:t>
            </w:r>
          </w:p>
        </w:tc>
      </w:tr>
      <w:tr w:rsidR="00355DFD" w:rsidRPr="00811F65" w14:paraId="15995A37" w14:textId="77777777" w:rsidTr="005235F2">
        <w:tc>
          <w:tcPr>
            <w:tcW w:w="1377" w:type="pct"/>
            <w:vMerge/>
            <w:tcBorders>
              <w:top w:val="single" w:sz="6" w:space="0" w:color="000000"/>
              <w:left w:val="single" w:sz="4" w:space="0" w:color="000000"/>
              <w:bottom w:val="single" w:sz="4" w:space="0" w:color="000000"/>
              <w:right w:val="single" w:sz="6" w:space="0" w:color="000000"/>
            </w:tcBorders>
            <w:vAlign w:val="center"/>
            <w:hideMark/>
          </w:tcPr>
          <w:p w14:paraId="2D29C2BB" w14:textId="77777777" w:rsidR="00355DFD" w:rsidRPr="00811F65" w:rsidRDefault="00355DFD" w:rsidP="00AC347D">
            <w:pPr>
              <w:rPr>
                <w:sz w:val="22"/>
                <w:szCs w:val="22"/>
              </w:rPr>
            </w:pPr>
          </w:p>
        </w:tc>
        <w:tc>
          <w:tcPr>
            <w:tcW w:w="749" w:type="pct"/>
            <w:vMerge/>
            <w:tcBorders>
              <w:top w:val="single" w:sz="6" w:space="0" w:color="000000"/>
              <w:left w:val="single" w:sz="6" w:space="0" w:color="000000"/>
              <w:bottom w:val="single" w:sz="4" w:space="0" w:color="000000"/>
              <w:right w:val="single" w:sz="6" w:space="0" w:color="000000"/>
            </w:tcBorders>
            <w:vAlign w:val="center"/>
            <w:hideMark/>
          </w:tcPr>
          <w:p w14:paraId="36204039" w14:textId="77777777" w:rsidR="00355DFD" w:rsidRPr="00811F65" w:rsidRDefault="00355DFD" w:rsidP="00AC347D">
            <w:pPr>
              <w:rPr>
                <w:sz w:val="22"/>
                <w:szCs w:val="22"/>
              </w:rPr>
            </w:pPr>
          </w:p>
        </w:tc>
        <w:tc>
          <w:tcPr>
            <w:tcW w:w="1207" w:type="pct"/>
            <w:tcBorders>
              <w:top w:val="single" w:sz="6" w:space="0" w:color="000000"/>
              <w:left w:val="single" w:sz="6" w:space="0" w:color="000000"/>
              <w:bottom w:val="single" w:sz="4" w:space="0" w:color="000000"/>
              <w:right w:val="single" w:sz="6" w:space="0" w:color="000000"/>
            </w:tcBorders>
            <w:hideMark/>
          </w:tcPr>
          <w:p w14:paraId="0E4C9EB4" w14:textId="77777777" w:rsidR="00355DFD" w:rsidRPr="00811F65" w:rsidRDefault="00355DFD" w:rsidP="00AC347D">
            <w:pPr>
              <w:rPr>
                <w:sz w:val="22"/>
                <w:szCs w:val="22"/>
              </w:rPr>
            </w:pPr>
            <w:proofErr w:type="spellStart"/>
            <w:r w:rsidRPr="00811F65">
              <w:rPr>
                <w:sz w:val="22"/>
                <w:szCs w:val="22"/>
              </w:rPr>
              <w:t>Hyperkalcæmi</w:t>
            </w:r>
            <w:proofErr w:type="spellEnd"/>
          </w:p>
        </w:tc>
        <w:tc>
          <w:tcPr>
            <w:tcW w:w="555" w:type="pct"/>
            <w:tcBorders>
              <w:top w:val="single" w:sz="6" w:space="0" w:color="000000"/>
              <w:left w:val="single" w:sz="6" w:space="0" w:color="000000"/>
              <w:bottom w:val="single" w:sz="4" w:space="0" w:color="000000"/>
              <w:right w:val="single" w:sz="6" w:space="0" w:color="000000"/>
            </w:tcBorders>
            <w:hideMark/>
          </w:tcPr>
          <w:p w14:paraId="2C712A9F" w14:textId="77777777" w:rsidR="00355DFD" w:rsidRPr="00811F65" w:rsidRDefault="00355DFD" w:rsidP="00AC347D">
            <w:pPr>
              <w:rPr>
                <w:sz w:val="22"/>
                <w:szCs w:val="22"/>
              </w:rPr>
            </w:pPr>
            <w:r w:rsidRPr="00811F65">
              <w:rPr>
                <w:sz w:val="22"/>
                <w:szCs w:val="22"/>
              </w:rPr>
              <w:t>2.2</w:t>
            </w:r>
          </w:p>
        </w:tc>
        <w:tc>
          <w:tcPr>
            <w:tcW w:w="556" w:type="pct"/>
            <w:tcBorders>
              <w:top w:val="single" w:sz="6" w:space="0" w:color="000000"/>
              <w:left w:val="single" w:sz="6" w:space="0" w:color="000000"/>
              <w:bottom w:val="single" w:sz="4" w:space="0" w:color="000000"/>
              <w:right w:val="single" w:sz="6" w:space="0" w:color="000000"/>
            </w:tcBorders>
            <w:hideMark/>
          </w:tcPr>
          <w:p w14:paraId="0C7CD754" w14:textId="77777777" w:rsidR="00355DFD" w:rsidRPr="00811F65" w:rsidRDefault="00355DFD" w:rsidP="00AC347D">
            <w:pPr>
              <w:rPr>
                <w:sz w:val="22"/>
                <w:szCs w:val="22"/>
              </w:rPr>
            </w:pPr>
            <w:r w:rsidRPr="00811F65">
              <w:rPr>
                <w:sz w:val="22"/>
                <w:szCs w:val="22"/>
              </w:rPr>
              <w:t>0.1</w:t>
            </w:r>
          </w:p>
        </w:tc>
        <w:tc>
          <w:tcPr>
            <w:tcW w:w="556" w:type="pct"/>
            <w:tcBorders>
              <w:top w:val="single" w:sz="6" w:space="0" w:color="000000"/>
              <w:left w:val="single" w:sz="6" w:space="0" w:color="000000"/>
              <w:bottom w:val="single" w:sz="4" w:space="0" w:color="000000"/>
              <w:right w:val="single" w:sz="6" w:space="0" w:color="000000"/>
            </w:tcBorders>
            <w:hideMark/>
          </w:tcPr>
          <w:p w14:paraId="2C5D6285" w14:textId="77777777" w:rsidR="00355DFD" w:rsidRPr="00811F65" w:rsidRDefault="00355DFD" w:rsidP="00AC347D">
            <w:pPr>
              <w:rPr>
                <w:sz w:val="22"/>
                <w:szCs w:val="22"/>
              </w:rPr>
            </w:pPr>
            <w:r w:rsidRPr="00811F65">
              <w:rPr>
                <w:sz w:val="22"/>
                <w:szCs w:val="22"/>
              </w:rPr>
              <w:t>0.3</w:t>
            </w:r>
          </w:p>
        </w:tc>
      </w:tr>
      <w:tr w:rsidR="00355DFD" w:rsidRPr="00811F65" w14:paraId="5E79E002" w14:textId="77777777" w:rsidTr="005235F2">
        <w:tc>
          <w:tcPr>
            <w:tcW w:w="1377" w:type="pct"/>
            <w:vMerge w:val="restart"/>
            <w:tcBorders>
              <w:top w:val="single" w:sz="4" w:space="0" w:color="000000"/>
              <w:left w:val="single" w:sz="4" w:space="0" w:color="000000"/>
              <w:bottom w:val="single" w:sz="6" w:space="0" w:color="000000"/>
              <w:right w:val="single" w:sz="6" w:space="0" w:color="000000"/>
            </w:tcBorders>
            <w:hideMark/>
          </w:tcPr>
          <w:p w14:paraId="3726B7EA" w14:textId="77777777" w:rsidR="00355DFD" w:rsidRPr="00811F65" w:rsidRDefault="00355DFD" w:rsidP="00AC347D">
            <w:pPr>
              <w:rPr>
                <w:sz w:val="22"/>
                <w:szCs w:val="22"/>
              </w:rPr>
            </w:pPr>
            <w:r w:rsidRPr="00811F65">
              <w:rPr>
                <w:sz w:val="22"/>
                <w:szCs w:val="22"/>
              </w:rPr>
              <w:t>Nervesystemet</w:t>
            </w:r>
          </w:p>
        </w:tc>
        <w:tc>
          <w:tcPr>
            <w:tcW w:w="749" w:type="pct"/>
            <w:vMerge w:val="restart"/>
            <w:tcBorders>
              <w:top w:val="single" w:sz="4" w:space="0" w:color="000000"/>
              <w:left w:val="single" w:sz="6" w:space="0" w:color="000000"/>
              <w:bottom w:val="single" w:sz="6" w:space="0" w:color="000000"/>
              <w:right w:val="single" w:sz="6" w:space="0" w:color="000000"/>
            </w:tcBorders>
            <w:hideMark/>
          </w:tcPr>
          <w:p w14:paraId="636A4DDE" w14:textId="77777777" w:rsidR="00355DFD" w:rsidRPr="00811F65" w:rsidRDefault="00355DFD" w:rsidP="00AC347D">
            <w:pPr>
              <w:rPr>
                <w:sz w:val="22"/>
                <w:szCs w:val="22"/>
              </w:rPr>
            </w:pPr>
            <w:r w:rsidRPr="00811F65">
              <w:rPr>
                <w:sz w:val="22"/>
                <w:szCs w:val="22"/>
              </w:rPr>
              <w:t>Meget almindelig</w:t>
            </w:r>
          </w:p>
        </w:tc>
        <w:tc>
          <w:tcPr>
            <w:tcW w:w="1207" w:type="pct"/>
            <w:tcBorders>
              <w:top w:val="single" w:sz="4" w:space="0" w:color="000000"/>
              <w:left w:val="single" w:sz="6" w:space="0" w:color="000000"/>
              <w:bottom w:val="single" w:sz="4" w:space="0" w:color="000000"/>
              <w:right w:val="single" w:sz="6" w:space="0" w:color="000000"/>
            </w:tcBorders>
            <w:hideMark/>
          </w:tcPr>
          <w:p w14:paraId="003A30E4" w14:textId="77777777" w:rsidR="00355DFD" w:rsidRPr="00811F65" w:rsidRDefault="00355DFD" w:rsidP="00AC347D">
            <w:pPr>
              <w:rPr>
                <w:sz w:val="22"/>
                <w:szCs w:val="22"/>
              </w:rPr>
            </w:pPr>
            <w:r w:rsidRPr="00811F65">
              <w:rPr>
                <w:sz w:val="22"/>
                <w:szCs w:val="22"/>
              </w:rPr>
              <w:t>Hovedpine</w:t>
            </w:r>
          </w:p>
        </w:tc>
        <w:tc>
          <w:tcPr>
            <w:tcW w:w="555" w:type="pct"/>
            <w:tcBorders>
              <w:top w:val="single" w:sz="4" w:space="0" w:color="000000"/>
              <w:left w:val="single" w:sz="6" w:space="0" w:color="000000"/>
              <w:bottom w:val="single" w:sz="4" w:space="0" w:color="000000"/>
              <w:right w:val="single" w:sz="6" w:space="0" w:color="000000"/>
            </w:tcBorders>
            <w:hideMark/>
          </w:tcPr>
          <w:p w14:paraId="53725C3D" w14:textId="77777777" w:rsidR="00355DFD" w:rsidRPr="00811F65" w:rsidRDefault="00355DFD" w:rsidP="00AC347D">
            <w:pPr>
              <w:rPr>
                <w:sz w:val="22"/>
                <w:szCs w:val="22"/>
              </w:rPr>
            </w:pPr>
            <w:r w:rsidRPr="00811F65">
              <w:rPr>
                <w:sz w:val="22"/>
                <w:szCs w:val="22"/>
              </w:rPr>
              <w:t>16.2</w:t>
            </w:r>
          </w:p>
        </w:tc>
        <w:tc>
          <w:tcPr>
            <w:tcW w:w="556" w:type="pct"/>
            <w:tcBorders>
              <w:top w:val="single" w:sz="4" w:space="0" w:color="000000"/>
              <w:left w:val="single" w:sz="6" w:space="0" w:color="000000"/>
              <w:bottom w:val="single" w:sz="4" w:space="0" w:color="000000"/>
              <w:right w:val="single" w:sz="6" w:space="0" w:color="000000"/>
            </w:tcBorders>
            <w:hideMark/>
          </w:tcPr>
          <w:p w14:paraId="65497FF4" w14:textId="77777777" w:rsidR="00355DFD" w:rsidRPr="00811F65" w:rsidRDefault="00355DFD" w:rsidP="00AC347D">
            <w:pPr>
              <w:rPr>
                <w:sz w:val="22"/>
                <w:szCs w:val="22"/>
              </w:rPr>
            </w:pPr>
            <w:r w:rsidRPr="00811F65">
              <w:rPr>
                <w:sz w:val="22"/>
                <w:szCs w:val="22"/>
              </w:rPr>
              <w:t>0.7</w:t>
            </w:r>
          </w:p>
        </w:tc>
        <w:tc>
          <w:tcPr>
            <w:tcW w:w="556" w:type="pct"/>
            <w:tcBorders>
              <w:top w:val="single" w:sz="4" w:space="0" w:color="000000"/>
              <w:left w:val="single" w:sz="6" w:space="0" w:color="000000"/>
              <w:bottom w:val="single" w:sz="4" w:space="0" w:color="000000"/>
              <w:right w:val="single" w:sz="6" w:space="0" w:color="000000"/>
            </w:tcBorders>
            <w:hideMark/>
          </w:tcPr>
          <w:p w14:paraId="4FBE9C2A" w14:textId="77777777" w:rsidR="00355DFD" w:rsidRPr="00811F65" w:rsidRDefault="00355DFD" w:rsidP="00AC347D">
            <w:pPr>
              <w:rPr>
                <w:sz w:val="22"/>
                <w:szCs w:val="22"/>
              </w:rPr>
            </w:pPr>
            <w:r w:rsidRPr="00811F65">
              <w:rPr>
                <w:sz w:val="22"/>
                <w:szCs w:val="22"/>
              </w:rPr>
              <w:t>0</w:t>
            </w:r>
          </w:p>
        </w:tc>
      </w:tr>
      <w:tr w:rsidR="00355DFD" w:rsidRPr="00811F65" w14:paraId="74B42ACE" w14:textId="77777777" w:rsidTr="005235F2">
        <w:tc>
          <w:tcPr>
            <w:tcW w:w="1377" w:type="pct"/>
            <w:vMerge/>
            <w:tcBorders>
              <w:top w:val="single" w:sz="4" w:space="0" w:color="000000"/>
              <w:left w:val="single" w:sz="4" w:space="0" w:color="000000"/>
              <w:bottom w:val="single" w:sz="6" w:space="0" w:color="000000"/>
              <w:right w:val="single" w:sz="6" w:space="0" w:color="000000"/>
            </w:tcBorders>
            <w:vAlign w:val="center"/>
            <w:hideMark/>
          </w:tcPr>
          <w:p w14:paraId="04938406" w14:textId="77777777" w:rsidR="00355DFD" w:rsidRPr="00811F65" w:rsidRDefault="00355DFD" w:rsidP="00AC347D">
            <w:pPr>
              <w:rPr>
                <w:sz w:val="22"/>
                <w:szCs w:val="22"/>
              </w:rPr>
            </w:pPr>
          </w:p>
        </w:tc>
        <w:tc>
          <w:tcPr>
            <w:tcW w:w="749" w:type="pct"/>
            <w:vMerge/>
            <w:tcBorders>
              <w:top w:val="single" w:sz="4" w:space="0" w:color="000000"/>
              <w:left w:val="single" w:sz="6" w:space="0" w:color="000000"/>
              <w:bottom w:val="single" w:sz="6" w:space="0" w:color="000000"/>
              <w:right w:val="single" w:sz="6" w:space="0" w:color="000000"/>
            </w:tcBorders>
            <w:vAlign w:val="center"/>
            <w:hideMark/>
          </w:tcPr>
          <w:p w14:paraId="2A3C7EBF" w14:textId="77777777" w:rsidR="00355DFD" w:rsidRPr="00811F65" w:rsidRDefault="00355DFD" w:rsidP="00AC347D">
            <w:pPr>
              <w:rPr>
                <w:sz w:val="22"/>
                <w:szCs w:val="22"/>
              </w:rPr>
            </w:pPr>
          </w:p>
        </w:tc>
        <w:tc>
          <w:tcPr>
            <w:tcW w:w="1207" w:type="pct"/>
            <w:tcBorders>
              <w:top w:val="single" w:sz="4" w:space="0" w:color="000000"/>
              <w:left w:val="single" w:sz="6" w:space="0" w:color="000000"/>
              <w:bottom w:val="single" w:sz="6" w:space="0" w:color="000000"/>
              <w:right w:val="single" w:sz="6" w:space="0" w:color="000000"/>
            </w:tcBorders>
            <w:hideMark/>
          </w:tcPr>
          <w:p w14:paraId="6DD73170" w14:textId="77777777" w:rsidR="00355DFD" w:rsidRPr="00811F65" w:rsidRDefault="00355DFD" w:rsidP="00AC347D">
            <w:pPr>
              <w:rPr>
                <w:sz w:val="22"/>
                <w:szCs w:val="22"/>
              </w:rPr>
            </w:pPr>
            <w:proofErr w:type="spellStart"/>
            <w:r w:rsidRPr="00811F65">
              <w:rPr>
                <w:sz w:val="22"/>
                <w:szCs w:val="22"/>
              </w:rPr>
              <w:t>Dysgeusi</w:t>
            </w:r>
            <w:proofErr w:type="spellEnd"/>
          </w:p>
        </w:tc>
        <w:tc>
          <w:tcPr>
            <w:tcW w:w="555" w:type="pct"/>
            <w:tcBorders>
              <w:top w:val="single" w:sz="4" w:space="0" w:color="000000"/>
              <w:left w:val="single" w:sz="6" w:space="0" w:color="000000"/>
              <w:bottom w:val="single" w:sz="6" w:space="0" w:color="000000"/>
              <w:right w:val="single" w:sz="6" w:space="0" w:color="000000"/>
            </w:tcBorders>
            <w:hideMark/>
          </w:tcPr>
          <w:p w14:paraId="73907D89" w14:textId="77777777" w:rsidR="00355DFD" w:rsidRPr="00811F65" w:rsidRDefault="00355DFD" w:rsidP="00AC347D">
            <w:pPr>
              <w:rPr>
                <w:sz w:val="22"/>
                <w:szCs w:val="22"/>
              </w:rPr>
            </w:pPr>
            <w:r w:rsidRPr="00811F65">
              <w:rPr>
                <w:sz w:val="22"/>
                <w:szCs w:val="22"/>
              </w:rPr>
              <w:t>11.5</w:t>
            </w:r>
          </w:p>
        </w:tc>
        <w:tc>
          <w:tcPr>
            <w:tcW w:w="556" w:type="pct"/>
            <w:tcBorders>
              <w:top w:val="single" w:sz="4" w:space="0" w:color="000000"/>
              <w:left w:val="single" w:sz="6" w:space="0" w:color="000000"/>
              <w:bottom w:val="single" w:sz="6" w:space="0" w:color="000000"/>
              <w:right w:val="single" w:sz="6" w:space="0" w:color="000000"/>
            </w:tcBorders>
            <w:hideMark/>
          </w:tcPr>
          <w:p w14:paraId="092CE7AF" w14:textId="77777777" w:rsidR="00355DFD" w:rsidRPr="00811F65" w:rsidRDefault="00355DFD" w:rsidP="00AC347D">
            <w:pPr>
              <w:rPr>
                <w:sz w:val="22"/>
                <w:szCs w:val="22"/>
              </w:rPr>
            </w:pPr>
            <w:r w:rsidRPr="00811F65">
              <w:rPr>
                <w:sz w:val="22"/>
                <w:szCs w:val="22"/>
              </w:rPr>
              <w:t>0</w:t>
            </w:r>
          </w:p>
        </w:tc>
        <w:tc>
          <w:tcPr>
            <w:tcW w:w="556" w:type="pct"/>
            <w:tcBorders>
              <w:top w:val="single" w:sz="4" w:space="0" w:color="000000"/>
              <w:left w:val="single" w:sz="6" w:space="0" w:color="000000"/>
              <w:bottom w:val="single" w:sz="6" w:space="0" w:color="000000"/>
              <w:right w:val="single" w:sz="6" w:space="0" w:color="000000"/>
            </w:tcBorders>
            <w:hideMark/>
          </w:tcPr>
          <w:p w14:paraId="1AC0E23E" w14:textId="77777777" w:rsidR="00355DFD" w:rsidRPr="00811F65" w:rsidRDefault="00355DFD" w:rsidP="00AC347D">
            <w:pPr>
              <w:rPr>
                <w:sz w:val="22"/>
                <w:szCs w:val="22"/>
              </w:rPr>
            </w:pPr>
            <w:r w:rsidRPr="00811F65">
              <w:rPr>
                <w:sz w:val="22"/>
                <w:szCs w:val="22"/>
              </w:rPr>
              <w:t>0</w:t>
            </w:r>
          </w:p>
        </w:tc>
      </w:tr>
      <w:tr w:rsidR="00355DFD" w:rsidRPr="00811F65" w14:paraId="60E2F416" w14:textId="77777777" w:rsidTr="005235F2">
        <w:tc>
          <w:tcPr>
            <w:tcW w:w="1377" w:type="pct"/>
            <w:vMerge/>
            <w:tcBorders>
              <w:top w:val="single" w:sz="4" w:space="0" w:color="000000"/>
              <w:left w:val="single" w:sz="4" w:space="0" w:color="000000"/>
              <w:bottom w:val="single" w:sz="6" w:space="0" w:color="000000"/>
              <w:right w:val="single" w:sz="6" w:space="0" w:color="000000"/>
            </w:tcBorders>
            <w:vAlign w:val="center"/>
            <w:hideMark/>
          </w:tcPr>
          <w:p w14:paraId="3EDB0936" w14:textId="77777777" w:rsidR="00355DFD" w:rsidRPr="00811F65" w:rsidRDefault="00355DFD" w:rsidP="00AC347D">
            <w:pPr>
              <w:rPr>
                <w:sz w:val="22"/>
                <w:szCs w:val="22"/>
              </w:rPr>
            </w:pPr>
          </w:p>
        </w:tc>
        <w:tc>
          <w:tcPr>
            <w:tcW w:w="749" w:type="pct"/>
            <w:tcBorders>
              <w:top w:val="single" w:sz="6" w:space="0" w:color="000000"/>
              <w:left w:val="single" w:sz="6" w:space="0" w:color="000000"/>
              <w:bottom w:val="single" w:sz="6" w:space="0" w:color="000000"/>
              <w:right w:val="single" w:sz="6" w:space="0" w:color="000000"/>
            </w:tcBorders>
            <w:vAlign w:val="center"/>
            <w:hideMark/>
          </w:tcPr>
          <w:p w14:paraId="73FD3781" w14:textId="77777777" w:rsidR="00355DFD" w:rsidRPr="00811F65" w:rsidRDefault="00355DFD" w:rsidP="00AC347D">
            <w:pPr>
              <w:rPr>
                <w:sz w:val="22"/>
                <w:szCs w:val="22"/>
              </w:rPr>
            </w:pPr>
            <w:r w:rsidRPr="00811F65">
              <w:rPr>
                <w:sz w:val="22"/>
                <w:szCs w:val="22"/>
              </w:rPr>
              <w:t>Almindelig</w:t>
            </w:r>
          </w:p>
        </w:tc>
        <w:tc>
          <w:tcPr>
            <w:tcW w:w="1207" w:type="pct"/>
            <w:tcBorders>
              <w:top w:val="single" w:sz="6" w:space="0" w:color="000000"/>
              <w:left w:val="single" w:sz="6" w:space="0" w:color="000000"/>
              <w:bottom w:val="single" w:sz="6" w:space="0" w:color="000000"/>
              <w:right w:val="single" w:sz="6" w:space="0" w:color="000000"/>
            </w:tcBorders>
            <w:hideMark/>
          </w:tcPr>
          <w:p w14:paraId="5447365D" w14:textId="77777777" w:rsidR="00355DFD" w:rsidRPr="00811F65" w:rsidRDefault="00355DFD" w:rsidP="00AC347D">
            <w:pPr>
              <w:rPr>
                <w:sz w:val="22"/>
                <w:szCs w:val="22"/>
              </w:rPr>
            </w:pPr>
            <w:r w:rsidRPr="00811F65">
              <w:rPr>
                <w:sz w:val="22"/>
                <w:szCs w:val="22"/>
              </w:rPr>
              <w:t xml:space="preserve">Svimmelhed </w:t>
            </w:r>
          </w:p>
        </w:tc>
        <w:tc>
          <w:tcPr>
            <w:tcW w:w="555" w:type="pct"/>
            <w:tcBorders>
              <w:top w:val="single" w:sz="6" w:space="0" w:color="000000"/>
              <w:left w:val="single" w:sz="6" w:space="0" w:color="000000"/>
              <w:bottom w:val="single" w:sz="6" w:space="0" w:color="000000"/>
              <w:right w:val="single" w:sz="6" w:space="0" w:color="000000"/>
            </w:tcBorders>
            <w:hideMark/>
          </w:tcPr>
          <w:p w14:paraId="4AFD7A35" w14:textId="77777777" w:rsidR="00355DFD" w:rsidRPr="00811F65" w:rsidRDefault="00355DFD" w:rsidP="00AC347D">
            <w:pPr>
              <w:rPr>
                <w:sz w:val="22"/>
                <w:szCs w:val="22"/>
              </w:rPr>
            </w:pPr>
            <w:r w:rsidRPr="00811F65">
              <w:rPr>
                <w:sz w:val="22"/>
                <w:szCs w:val="22"/>
              </w:rPr>
              <w:t>9.1</w:t>
            </w:r>
          </w:p>
        </w:tc>
        <w:tc>
          <w:tcPr>
            <w:tcW w:w="556" w:type="pct"/>
            <w:tcBorders>
              <w:top w:val="single" w:sz="6" w:space="0" w:color="000000"/>
              <w:left w:val="single" w:sz="6" w:space="0" w:color="000000"/>
              <w:bottom w:val="single" w:sz="6" w:space="0" w:color="000000"/>
              <w:right w:val="single" w:sz="6" w:space="0" w:color="000000"/>
            </w:tcBorders>
            <w:hideMark/>
          </w:tcPr>
          <w:p w14:paraId="794616B9" w14:textId="77777777" w:rsidR="00355DFD" w:rsidRPr="00811F65" w:rsidRDefault="00355DFD" w:rsidP="00AC347D">
            <w:pPr>
              <w:rPr>
                <w:sz w:val="22"/>
                <w:szCs w:val="22"/>
              </w:rPr>
            </w:pPr>
            <w:r w:rsidRPr="00811F65">
              <w:rPr>
                <w:sz w:val="22"/>
                <w:szCs w:val="22"/>
              </w:rPr>
              <w:t>0.6</w:t>
            </w:r>
          </w:p>
        </w:tc>
        <w:tc>
          <w:tcPr>
            <w:tcW w:w="556" w:type="pct"/>
            <w:tcBorders>
              <w:top w:val="single" w:sz="6" w:space="0" w:color="000000"/>
              <w:left w:val="single" w:sz="6" w:space="0" w:color="000000"/>
              <w:bottom w:val="single" w:sz="6" w:space="0" w:color="000000"/>
              <w:right w:val="single" w:sz="6" w:space="0" w:color="000000"/>
            </w:tcBorders>
            <w:hideMark/>
          </w:tcPr>
          <w:p w14:paraId="10E29E63" w14:textId="77777777" w:rsidR="00355DFD" w:rsidRPr="00811F65" w:rsidRDefault="00355DFD" w:rsidP="00AC347D">
            <w:pPr>
              <w:rPr>
                <w:sz w:val="22"/>
                <w:szCs w:val="22"/>
              </w:rPr>
            </w:pPr>
            <w:r w:rsidRPr="00811F65">
              <w:rPr>
                <w:sz w:val="22"/>
                <w:szCs w:val="22"/>
              </w:rPr>
              <w:t>0</w:t>
            </w:r>
          </w:p>
        </w:tc>
      </w:tr>
      <w:tr w:rsidR="00355DFD" w:rsidRPr="00811F65" w14:paraId="0715CF9B" w14:textId="77777777" w:rsidTr="005235F2">
        <w:tc>
          <w:tcPr>
            <w:tcW w:w="1377" w:type="pct"/>
            <w:vMerge/>
            <w:tcBorders>
              <w:top w:val="single" w:sz="4" w:space="0" w:color="000000"/>
              <w:left w:val="single" w:sz="4" w:space="0" w:color="000000"/>
              <w:bottom w:val="single" w:sz="6" w:space="0" w:color="000000"/>
              <w:right w:val="single" w:sz="6" w:space="0" w:color="000000"/>
            </w:tcBorders>
            <w:vAlign w:val="center"/>
            <w:hideMark/>
          </w:tcPr>
          <w:p w14:paraId="7DBACBB3" w14:textId="77777777" w:rsidR="00355DFD" w:rsidRPr="00811F65" w:rsidRDefault="00355DFD" w:rsidP="00AC347D">
            <w:pPr>
              <w:rPr>
                <w:sz w:val="22"/>
                <w:szCs w:val="22"/>
              </w:rPr>
            </w:pPr>
          </w:p>
        </w:tc>
        <w:tc>
          <w:tcPr>
            <w:tcW w:w="749" w:type="pct"/>
            <w:tcBorders>
              <w:top w:val="single" w:sz="6" w:space="0" w:color="000000"/>
              <w:left w:val="single" w:sz="6" w:space="0" w:color="000000"/>
              <w:bottom w:val="single" w:sz="6" w:space="0" w:color="000000"/>
              <w:right w:val="single" w:sz="6" w:space="0" w:color="000000"/>
            </w:tcBorders>
            <w:vAlign w:val="center"/>
            <w:hideMark/>
          </w:tcPr>
          <w:p w14:paraId="02259ED2" w14:textId="77777777" w:rsidR="00355DFD" w:rsidRPr="00811F65" w:rsidRDefault="00355DFD" w:rsidP="00AC347D">
            <w:pPr>
              <w:rPr>
                <w:sz w:val="22"/>
                <w:szCs w:val="22"/>
              </w:rPr>
            </w:pPr>
            <w:r w:rsidRPr="00811F65">
              <w:rPr>
                <w:sz w:val="22"/>
                <w:szCs w:val="22"/>
              </w:rPr>
              <w:t>Ikke almindelig</w:t>
            </w:r>
          </w:p>
        </w:tc>
        <w:tc>
          <w:tcPr>
            <w:tcW w:w="1207" w:type="pct"/>
            <w:tcBorders>
              <w:top w:val="single" w:sz="6" w:space="0" w:color="000000"/>
              <w:left w:val="single" w:sz="6" w:space="0" w:color="000000"/>
              <w:bottom w:val="single" w:sz="6" w:space="0" w:color="000000"/>
              <w:right w:val="single" w:sz="6" w:space="0" w:color="000000"/>
            </w:tcBorders>
            <w:hideMark/>
          </w:tcPr>
          <w:p w14:paraId="784A9D73" w14:textId="77777777" w:rsidR="00355DFD" w:rsidRPr="00811F65" w:rsidRDefault="00355DFD" w:rsidP="00AC347D">
            <w:pPr>
              <w:rPr>
                <w:sz w:val="22"/>
                <w:szCs w:val="22"/>
              </w:rPr>
            </w:pPr>
            <w:proofErr w:type="spellStart"/>
            <w:r w:rsidRPr="00811F65">
              <w:rPr>
                <w:sz w:val="22"/>
                <w:szCs w:val="22"/>
              </w:rPr>
              <w:t>Posterior</w:t>
            </w:r>
            <w:proofErr w:type="spellEnd"/>
            <w:r w:rsidRPr="00811F65">
              <w:rPr>
                <w:sz w:val="22"/>
                <w:szCs w:val="22"/>
              </w:rPr>
              <w:t xml:space="preserve"> reversibelt </w:t>
            </w:r>
            <w:proofErr w:type="spellStart"/>
            <w:r w:rsidRPr="00811F65">
              <w:rPr>
                <w:sz w:val="22"/>
                <w:szCs w:val="22"/>
              </w:rPr>
              <w:t>encefalopatisk</w:t>
            </w:r>
            <w:proofErr w:type="spellEnd"/>
            <w:r w:rsidRPr="00811F65">
              <w:rPr>
                <w:sz w:val="22"/>
                <w:szCs w:val="22"/>
              </w:rPr>
              <w:t xml:space="preserve"> </w:t>
            </w:r>
            <w:proofErr w:type="spellStart"/>
            <w:r w:rsidRPr="00811F65">
              <w:rPr>
                <w:sz w:val="22"/>
                <w:szCs w:val="22"/>
              </w:rPr>
              <w:t>syndrom</w:t>
            </w:r>
            <w:r w:rsidRPr="00F42C8D">
              <w:rPr>
                <w:sz w:val="22"/>
                <w:szCs w:val="22"/>
                <w:vertAlign w:val="superscript"/>
              </w:rPr>
              <w:t>e</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618749B3" w14:textId="77777777" w:rsidR="00355DFD" w:rsidRPr="00811F65" w:rsidRDefault="00355DFD" w:rsidP="00AC347D">
            <w:pPr>
              <w:rPr>
                <w:sz w:val="22"/>
                <w:szCs w:val="22"/>
              </w:rPr>
            </w:pPr>
            <w:r w:rsidRPr="00811F65">
              <w:rPr>
                <w:sz w:val="22"/>
                <w:szCs w:val="22"/>
              </w:rPr>
              <w:t>0.3</w:t>
            </w:r>
          </w:p>
        </w:tc>
        <w:tc>
          <w:tcPr>
            <w:tcW w:w="556" w:type="pct"/>
            <w:tcBorders>
              <w:top w:val="single" w:sz="6" w:space="0" w:color="000000"/>
              <w:left w:val="single" w:sz="6" w:space="0" w:color="000000"/>
              <w:bottom w:val="single" w:sz="6" w:space="0" w:color="000000"/>
              <w:right w:val="single" w:sz="6" w:space="0" w:color="000000"/>
            </w:tcBorders>
            <w:hideMark/>
          </w:tcPr>
          <w:p w14:paraId="1E2351CA" w14:textId="77777777" w:rsidR="00355DFD" w:rsidRPr="00811F65" w:rsidRDefault="00355DFD" w:rsidP="00AC347D">
            <w:pPr>
              <w:rPr>
                <w:sz w:val="22"/>
                <w:szCs w:val="22"/>
              </w:rPr>
            </w:pPr>
            <w:r w:rsidRPr="00811F65">
              <w:rPr>
                <w:sz w:val="22"/>
                <w:szCs w:val="22"/>
              </w:rPr>
              <w:t>0.1</w:t>
            </w:r>
          </w:p>
        </w:tc>
        <w:tc>
          <w:tcPr>
            <w:tcW w:w="556" w:type="pct"/>
            <w:tcBorders>
              <w:top w:val="single" w:sz="6" w:space="0" w:color="000000"/>
              <w:left w:val="single" w:sz="6" w:space="0" w:color="000000"/>
              <w:bottom w:val="single" w:sz="6" w:space="0" w:color="000000"/>
              <w:right w:val="single" w:sz="6" w:space="0" w:color="000000"/>
            </w:tcBorders>
            <w:hideMark/>
          </w:tcPr>
          <w:p w14:paraId="4C056C3A" w14:textId="77777777" w:rsidR="00355DFD" w:rsidRPr="00811F65" w:rsidRDefault="00355DFD" w:rsidP="00AC347D">
            <w:pPr>
              <w:rPr>
                <w:sz w:val="22"/>
                <w:szCs w:val="22"/>
              </w:rPr>
            </w:pPr>
            <w:r w:rsidRPr="00811F65">
              <w:rPr>
                <w:sz w:val="22"/>
                <w:szCs w:val="22"/>
              </w:rPr>
              <w:t>0</w:t>
            </w:r>
          </w:p>
        </w:tc>
      </w:tr>
      <w:tr w:rsidR="00355DFD" w:rsidRPr="00811F65" w14:paraId="765697F8" w14:textId="77777777" w:rsidTr="005235F2">
        <w:tc>
          <w:tcPr>
            <w:tcW w:w="1377" w:type="pct"/>
            <w:tcBorders>
              <w:top w:val="single" w:sz="6" w:space="0" w:color="000000"/>
              <w:left w:val="single" w:sz="4" w:space="0" w:color="000000"/>
              <w:bottom w:val="single" w:sz="6" w:space="0" w:color="000000"/>
              <w:right w:val="single" w:sz="6" w:space="0" w:color="000000"/>
            </w:tcBorders>
            <w:hideMark/>
          </w:tcPr>
          <w:p w14:paraId="6ACA1B50" w14:textId="77777777" w:rsidR="00355DFD" w:rsidRPr="00811F65" w:rsidRDefault="00355DFD" w:rsidP="00AC347D">
            <w:pPr>
              <w:rPr>
                <w:sz w:val="22"/>
                <w:szCs w:val="22"/>
              </w:rPr>
            </w:pPr>
            <w:r w:rsidRPr="00811F65">
              <w:rPr>
                <w:sz w:val="22"/>
                <w:szCs w:val="22"/>
              </w:rPr>
              <w:t>Øre og labyrint</w:t>
            </w:r>
          </w:p>
        </w:tc>
        <w:tc>
          <w:tcPr>
            <w:tcW w:w="749" w:type="pct"/>
            <w:tcBorders>
              <w:top w:val="single" w:sz="6" w:space="0" w:color="000000"/>
              <w:left w:val="single" w:sz="6" w:space="0" w:color="000000"/>
              <w:bottom w:val="single" w:sz="6" w:space="0" w:color="000000"/>
              <w:right w:val="single" w:sz="6" w:space="0" w:color="000000"/>
            </w:tcBorders>
            <w:hideMark/>
          </w:tcPr>
          <w:p w14:paraId="6686BA21" w14:textId="77777777" w:rsidR="00355DFD" w:rsidRPr="00811F65" w:rsidRDefault="00355DFD" w:rsidP="00AC347D">
            <w:pPr>
              <w:rPr>
                <w:sz w:val="22"/>
                <w:szCs w:val="22"/>
              </w:rPr>
            </w:pPr>
            <w:r w:rsidRPr="00811F65">
              <w:rPr>
                <w:sz w:val="22"/>
                <w:szCs w:val="22"/>
              </w:rPr>
              <w:t>Almindelig</w:t>
            </w:r>
          </w:p>
        </w:tc>
        <w:tc>
          <w:tcPr>
            <w:tcW w:w="1207" w:type="pct"/>
            <w:tcBorders>
              <w:top w:val="single" w:sz="6" w:space="0" w:color="000000"/>
              <w:left w:val="single" w:sz="6" w:space="0" w:color="000000"/>
              <w:bottom w:val="single" w:sz="6" w:space="0" w:color="000000"/>
              <w:right w:val="single" w:sz="6" w:space="0" w:color="000000"/>
            </w:tcBorders>
            <w:hideMark/>
          </w:tcPr>
          <w:p w14:paraId="599F7DBF" w14:textId="77777777" w:rsidR="00355DFD" w:rsidRPr="00811F65" w:rsidRDefault="00355DFD" w:rsidP="00AC347D">
            <w:pPr>
              <w:rPr>
                <w:sz w:val="22"/>
                <w:szCs w:val="22"/>
              </w:rPr>
            </w:pPr>
            <w:r w:rsidRPr="00811F65">
              <w:rPr>
                <w:sz w:val="22"/>
                <w:szCs w:val="22"/>
              </w:rPr>
              <w:t>Tinnitus</w:t>
            </w:r>
          </w:p>
        </w:tc>
        <w:tc>
          <w:tcPr>
            <w:tcW w:w="555" w:type="pct"/>
            <w:tcBorders>
              <w:top w:val="single" w:sz="6" w:space="0" w:color="000000"/>
              <w:left w:val="single" w:sz="6" w:space="0" w:color="000000"/>
              <w:bottom w:val="single" w:sz="6" w:space="0" w:color="000000"/>
              <w:right w:val="single" w:sz="6" w:space="0" w:color="000000"/>
            </w:tcBorders>
            <w:hideMark/>
          </w:tcPr>
          <w:p w14:paraId="56A7E898" w14:textId="77777777" w:rsidR="00355DFD" w:rsidRPr="00811F65" w:rsidRDefault="00355DFD" w:rsidP="00AC347D">
            <w:pPr>
              <w:rPr>
                <w:sz w:val="22"/>
                <w:szCs w:val="22"/>
              </w:rPr>
            </w:pPr>
            <w:r w:rsidRPr="00811F65">
              <w:rPr>
                <w:sz w:val="22"/>
                <w:szCs w:val="22"/>
              </w:rPr>
              <w:t>3.1</w:t>
            </w:r>
          </w:p>
        </w:tc>
        <w:tc>
          <w:tcPr>
            <w:tcW w:w="556" w:type="pct"/>
            <w:tcBorders>
              <w:top w:val="single" w:sz="6" w:space="0" w:color="000000"/>
              <w:left w:val="single" w:sz="6" w:space="0" w:color="000000"/>
              <w:bottom w:val="single" w:sz="6" w:space="0" w:color="000000"/>
              <w:right w:val="single" w:sz="6" w:space="0" w:color="000000"/>
            </w:tcBorders>
            <w:hideMark/>
          </w:tcPr>
          <w:p w14:paraId="0292F1C1" w14:textId="77777777" w:rsidR="00355DFD" w:rsidRPr="00811F65" w:rsidRDefault="00355DFD" w:rsidP="00AC347D">
            <w:pPr>
              <w:rPr>
                <w:sz w:val="22"/>
                <w:szCs w:val="22"/>
              </w:rPr>
            </w:pPr>
            <w:r w:rsidRPr="00811F65">
              <w:rPr>
                <w:sz w:val="22"/>
                <w:szCs w:val="22"/>
              </w:rPr>
              <w:t>0</w:t>
            </w:r>
          </w:p>
        </w:tc>
        <w:tc>
          <w:tcPr>
            <w:tcW w:w="556" w:type="pct"/>
            <w:tcBorders>
              <w:top w:val="single" w:sz="6" w:space="0" w:color="000000"/>
              <w:left w:val="single" w:sz="6" w:space="0" w:color="000000"/>
              <w:bottom w:val="single" w:sz="6" w:space="0" w:color="000000"/>
              <w:right w:val="single" w:sz="6" w:space="0" w:color="000000"/>
            </w:tcBorders>
            <w:hideMark/>
          </w:tcPr>
          <w:p w14:paraId="5A51271E" w14:textId="77777777" w:rsidR="00355DFD" w:rsidRPr="00811F65" w:rsidRDefault="00355DFD" w:rsidP="00AC347D">
            <w:pPr>
              <w:rPr>
                <w:sz w:val="22"/>
                <w:szCs w:val="22"/>
              </w:rPr>
            </w:pPr>
            <w:r w:rsidRPr="00811F65">
              <w:rPr>
                <w:sz w:val="22"/>
                <w:szCs w:val="22"/>
              </w:rPr>
              <w:t>0</w:t>
            </w:r>
          </w:p>
        </w:tc>
      </w:tr>
      <w:tr w:rsidR="00355DFD" w:rsidRPr="00811F65" w14:paraId="7BF449C8" w14:textId="77777777" w:rsidTr="005235F2">
        <w:tc>
          <w:tcPr>
            <w:tcW w:w="1377" w:type="pct"/>
            <w:tcBorders>
              <w:top w:val="single" w:sz="6" w:space="0" w:color="000000"/>
              <w:left w:val="single" w:sz="4" w:space="0" w:color="000000"/>
              <w:bottom w:val="single" w:sz="6" w:space="0" w:color="000000"/>
              <w:right w:val="single" w:sz="6" w:space="0" w:color="000000"/>
            </w:tcBorders>
            <w:hideMark/>
          </w:tcPr>
          <w:p w14:paraId="7310EF6A" w14:textId="77777777" w:rsidR="00355DFD" w:rsidRPr="00811F65" w:rsidRDefault="00355DFD" w:rsidP="00AC347D">
            <w:pPr>
              <w:rPr>
                <w:sz w:val="22"/>
                <w:szCs w:val="22"/>
              </w:rPr>
            </w:pPr>
            <w:r w:rsidRPr="00811F65">
              <w:rPr>
                <w:sz w:val="22"/>
                <w:szCs w:val="22"/>
              </w:rPr>
              <w:t>Hjerte</w:t>
            </w:r>
          </w:p>
        </w:tc>
        <w:tc>
          <w:tcPr>
            <w:tcW w:w="749" w:type="pct"/>
            <w:tcBorders>
              <w:top w:val="single" w:sz="6" w:space="0" w:color="000000"/>
              <w:left w:val="single" w:sz="6" w:space="0" w:color="000000"/>
              <w:bottom w:val="single" w:sz="6" w:space="0" w:color="000000"/>
              <w:right w:val="single" w:sz="6" w:space="0" w:color="000000"/>
            </w:tcBorders>
            <w:hideMark/>
          </w:tcPr>
          <w:p w14:paraId="6BBDAC1E" w14:textId="77777777" w:rsidR="00355DFD" w:rsidRPr="00811F65" w:rsidRDefault="00355DFD" w:rsidP="00AC347D">
            <w:pPr>
              <w:rPr>
                <w:sz w:val="22"/>
                <w:szCs w:val="22"/>
              </w:rPr>
            </w:pPr>
            <w:r w:rsidRPr="00811F65">
              <w:rPr>
                <w:sz w:val="22"/>
                <w:szCs w:val="22"/>
              </w:rPr>
              <w:t>Almindelig</w:t>
            </w:r>
          </w:p>
        </w:tc>
        <w:tc>
          <w:tcPr>
            <w:tcW w:w="1207" w:type="pct"/>
            <w:tcBorders>
              <w:top w:val="single" w:sz="6" w:space="0" w:color="000000"/>
              <w:left w:val="single" w:sz="6" w:space="0" w:color="000000"/>
              <w:bottom w:val="single" w:sz="6" w:space="0" w:color="000000"/>
              <w:right w:val="single" w:sz="6" w:space="0" w:color="000000"/>
            </w:tcBorders>
            <w:hideMark/>
          </w:tcPr>
          <w:p w14:paraId="6680E96A" w14:textId="77777777" w:rsidR="00355DFD" w:rsidRPr="00811F65" w:rsidRDefault="00355DFD" w:rsidP="00AC347D">
            <w:pPr>
              <w:rPr>
                <w:sz w:val="22"/>
                <w:szCs w:val="22"/>
              </w:rPr>
            </w:pPr>
            <w:proofErr w:type="spellStart"/>
            <w:proofErr w:type="gramStart"/>
            <w:r w:rsidRPr="00811F65">
              <w:rPr>
                <w:sz w:val="22"/>
                <w:szCs w:val="22"/>
              </w:rPr>
              <w:t>Hjertesvigt</w:t>
            </w:r>
            <w:r w:rsidRPr="00F42C8D">
              <w:rPr>
                <w:sz w:val="22"/>
                <w:szCs w:val="22"/>
                <w:vertAlign w:val="superscript"/>
              </w:rPr>
              <w:t>c,d</w:t>
            </w:r>
            <w:proofErr w:type="gramEnd"/>
            <w:r w:rsidRPr="00F42C8D">
              <w:rPr>
                <w:sz w:val="22"/>
                <w:szCs w:val="22"/>
                <w:vertAlign w:val="superscript"/>
              </w:rPr>
              <w:t>,f</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7A8784B6" w14:textId="77777777" w:rsidR="00355DFD" w:rsidRPr="00811F65" w:rsidRDefault="00355DFD" w:rsidP="00AC347D">
            <w:pPr>
              <w:rPr>
                <w:sz w:val="22"/>
                <w:szCs w:val="22"/>
              </w:rPr>
            </w:pPr>
            <w:r w:rsidRPr="00811F65">
              <w:rPr>
                <w:sz w:val="22"/>
                <w:szCs w:val="22"/>
              </w:rPr>
              <w:t>1.8</w:t>
            </w:r>
          </w:p>
        </w:tc>
        <w:tc>
          <w:tcPr>
            <w:tcW w:w="556" w:type="pct"/>
            <w:tcBorders>
              <w:top w:val="single" w:sz="6" w:space="0" w:color="000000"/>
              <w:left w:val="single" w:sz="6" w:space="0" w:color="000000"/>
              <w:bottom w:val="single" w:sz="6" w:space="0" w:color="000000"/>
              <w:right w:val="single" w:sz="6" w:space="0" w:color="000000"/>
            </w:tcBorders>
            <w:hideMark/>
          </w:tcPr>
          <w:p w14:paraId="3BFB27F6" w14:textId="77777777" w:rsidR="00355DFD" w:rsidRPr="00811F65" w:rsidRDefault="00355DFD" w:rsidP="00AC347D">
            <w:pPr>
              <w:rPr>
                <w:sz w:val="22"/>
                <w:szCs w:val="22"/>
              </w:rPr>
            </w:pPr>
            <w:r w:rsidRPr="00811F65">
              <w:rPr>
                <w:sz w:val="22"/>
                <w:szCs w:val="22"/>
              </w:rPr>
              <w:t>0.3</w:t>
            </w:r>
          </w:p>
        </w:tc>
        <w:tc>
          <w:tcPr>
            <w:tcW w:w="556" w:type="pct"/>
            <w:tcBorders>
              <w:top w:val="single" w:sz="6" w:space="0" w:color="000000"/>
              <w:left w:val="single" w:sz="6" w:space="0" w:color="000000"/>
              <w:bottom w:val="single" w:sz="6" w:space="0" w:color="000000"/>
              <w:right w:val="single" w:sz="6" w:space="0" w:color="000000"/>
            </w:tcBorders>
            <w:hideMark/>
          </w:tcPr>
          <w:p w14:paraId="2D38ED4C" w14:textId="77777777" w:rsidR="00355DFD" w:rsidRPr="00811F65" w:rsidRDefault="00355DFD" w:rsidP="00AC347D">
            <w:pPr>
              <w:rPr>
                <w:sz w:val="22"/>
                <w:szCs w:val="22"/>
              </w:rPr>
            </w:pPr>
            <w:r w:rsidRPr="00811F65">
              <w:rPr>
                <w:sz w:val="22"/>
                <w:szCs w:val="22"/>
              </w:rPr>
              <w:t>0.7</w:t>
            </w:r>
          </w:p>
        </w:tc>
      </w:tr>
      <w:tr w:rsidR="00355DFD" w:rsidRPr="00811F65" w14:paraId="4B3B9C7B" w14:textId="77777777" w:rsidTr="005235F2">
        <w:tc>
          <w:tcPr>
            <w:tcW w:w="1377" w:type="pct"/>
            <w:vMerge w:val="restart"/>
            <w:tcBorders>
              <w:top w:val="single" w:sz="6" w:space="0" w:color="000000"/>
              <w:left w:val="single" w:sz="4" w:space="0" w:color="000000"/>
              <w:bottom w:val="single" w:sz="4" w:space="0" w:color="auto"/>
              <w:right w:val="single" w:sz="6" w:space="0" w:color="000000"/>
            </w:tcBorders>
            <w:hideMark/>
          </w:tcPr>
          <w:p w14:paraId="65BF814E" w14:textId="77777777" w:rsidR="00355DFD" w:rsidRPr="00811F65" w:rsidRDefault="00355DFD" w:rsidP="00AC347D">
            <w:pPr>
              <w:rPr>
                <w:sz w:val="22"/>
                <w:szCs w:val="22"/>
              </w:rPr>
            </w:pPr>
            <w:proofErr w:type="spellStart"/>
            <w:r w:rsidRPr="00811F65">
              <w:rPr>
                <w:sz w:val="22"/>
                <w:szCs w:val="22"/>
              </w:rPr>
              <w:t>Vaskulære</w:t>
            </w:r>
            <w:proofErr w:type="spellEnd"/>
            <w:r w:rsidRPr="00811F65">
              <w:rPr>
                <w:sz w:val="22"/>
                <w:szCs w:val="22"/>
              </w:rPr>
              <w:t xml:space="preserve"> sygdomme</w:t>
            </w:r>
          </w:p>
        </w:tc>
        <w:tc>
          <w:tcPr>
            <w:tcW w:w="749" w:type="pct"/>
            <w:vMerge w:val="restart"/>
            <w:tcBorders>
              <w:top w:val="single" w:sz="6" w:space="0" w:color="000000"/>
              <w:left w:val="single" w:sz="6" w:space="0" w:color="000000"/>
              <w:bottom w:val="single" w:sz="6" w:space="0" w:color="000000"/>
              <w:right w:val="single" w:sz="6" w:space="0" w:color="000000"/>
            </w:tcBorders>
            <w:hideMark/>
          </w:tcPr>
          <w:p w14:paraId="7ED06CB7" w14:textId="77777777" w:rsidR="00355DFD" w:rsidRPr="00811F65" w:rsidRDefault="00355DFD" w:rsidP="00AC347D">
            <w:pPr>
              <w:rPr>
                <w:sz w:val="22"/>
                <w:szCs w:val="22"/>
              </w:rPr>
            </w:pPr>
            <w:r w:rsidRPr="00811F65">
              <w:rPr>
                <w:sz w:val="22"/>
                <w:szCs w:val="22"/>
              </w:rPr>
              <w:t>Meget almindelig</w:t>
            </w:r>
          </w:p>
        </w:tc>
        <w:tc>
          <w:tcPr>
            <w:tcW w:w="1207" w:type="pct"/>
            <w:tcBorders>
              <w:top w:val="single" w:sz="6" w:space="0" w:color="000000"/>
              <w:left w:val="single" w:sz="6" w:space="0" w:color="000000"/>
              <w:bottom w:val="single" w:sz="6" w:space="0" w:color="000000"/>
              <w:right w:val="single" w:sz="6" w:space="0" w:color="000000"/>
            </w:tcBorders>
            <w:hideMark/>
          </w:tcPr>
          <w:p w14:paraId="1CE7B174" w14:textId="77777777" w:rsidR="00355DFD" w:rsidRPr="00811F65" w:rsidRDefault="00355DFD" w:rsidP="00AC347D">
            <w:pPr>
              <w:rPr>
                <w:sz w:val="22"/>
                <w:szCs w:val="22"/>
              </w:rPr>
            </w:pPr>
            <w:proofErr w:type="spellStart"/>
            <w:r w:rsidRPr="00811F65">
              <w:rPr>
                <w:sz w:val="22"/>
                <w:szCs w:val="22"/>
              </w:rPr>
              <w:t>Hypertension</w:t>
            </w:r>
            <w:r w:rsidRPr="00F42C8D">
              <w:rPr>
                <w:sz w:val="22"/>
                <w:szCs w:val="22"/>
                <w:vertAlign w:val="superscript"/>
              </w:rPr>
              <w:t>g</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7F8F641D" w14:textId="77777777" w:rsidR="00355DFD" w:rsidRPr="00811F65" w:rsidRDefault="00355DFD" w:rsidP="00AC347D">
            <w:pPr>
              <w:rPr>
                <w:sz w:val="22"/>
                <w:szCs w:val="22"/>
              </w:rPr>
            </w:pPr>
            <w:r w:rsidRPr="00811F65">
              <w:rPr>
                <w:sz w:val="22"/>
                <w:szCs w:val="22"/>
              </w:rPr>
              <w:t>51.2</w:t>
            </w:r>
          </w:p>
        </w:tc>
        <w:tc>
          <w:tcPr>
            <w:tcW w:w="556" w:type="pct"/>
            <w:tcBorders>
              <w:top w:val="single" w:sz="6" w:space="0" w:color="000000"/>
              <w:left w:val="single" w:sz="6" w:space="0" w:color="000000"/>
              <w:bottom w:val="single" w:sz="6" w:space="0" w:color="000000"/>
              <w:right w:val="single" w:sz="6" w:space="0" w:color="000000"/>
            </w:tcBorders>
            <w:hideMark/>
          </w:tcPr>
          <w:p w14:paraId="3B00967C" w14:textId="77777777" w:rsidR="00355DFD" w:rsidRPr="00811F65" w:rsidRDefault="00355DFD" w:rsidP="00AC347D">
            <w:pPr>
              <w:rPr>
                <w:sz w:val="22"/>
                <w:szCs w:val="22"/>
              </w:rPr>
            </w:pPr>
            <w:r w:rsidRPr="00811F65">
              <w:rPr>
                <w:sz w:val="22"/>
                <w:szCs w:val="22"/>
              </w:rPr>
              <w:t>22.0</w:t>
            </w:r>
          </w:p>
        </w:tc>
        <w:tc>
          <w:tcPr>
            <w:tcW w:w="556" w:type="pct"/>
            <w:tcBorders>
              <w:top w:val="single" w:sz="6" w:space="0" w:color="000000"/>
              <w:left w:val="single" w:sz="6" w:space="0" w:color="000000"/>
              <w:bottom w:val="single" w:sz="6" w:space="0" w:color="000000"/>
              <w:right w:val="single" w:sz="6" w:space="0" w:color="000000"/>
            </w:tcBorders>
            <w:hideMark/>
          </w:tcPr>
          <w:p w14:paraId="2099E6E5" w14:textId="77777777" w:rsidR="00355DFD" w:rsidRPr="00811F65" w:rsidRDefault="00355DFD" w:rsidP="00AC347D">
            <w:pPr>
              <w:rPr>
                <w:sz w:val="22"/>
                <w:szCs w:val="22"/>
              </w:rPr>
            </w:pPr>
            <w:r w:rsidRPr="00811F65">
              <w:rPr>
                <w:sz w:val="22"/>
                <w:szCs w:val="22"/>
              </w:rPr>
              <w:t>1.0</w:t>
            </w:r>
          </w:p>
        </w:tc>
      </w:tr>
      <w:tr w:rsidR="00355DFD" w:rsidRPr="00811F65" w14:paraId="66284B4A" w14:textId="77777777" w:rsidTr="005235F2">
        <w:tc>
          <w:tcPr>
            <w:tcW w:w="1377" w:type="pct"/>
            <w:vMerge/>
            <w:tcBorders>
              <w:top w:val="single" w:sz="6" w:space="0" w:color="000000"/>
              <w:left w:val="single" w:sz="4" w:space="0" w:color="000000"/>
              <w:bottom w:val="single" w:sz="4" w:space="0" w:color="auto"/>
              <w:right w:val="single" w:sz="6" w:space="0" w:color="000000"/>
            </w:tcBorders>
            <w:vAlign w:val="center"/>
            <w:hideMark/>
          </w:tcPr>
          <w:p w14:paraId="48EF0ADA" w14:textId="77777777" w:rsidR="00355DFD" w:rsidRPr="00811F65" w:rsidRDefault="00355DFD" w:rsidP="00AC347D">
            <w:pPr>
              <w:rPr>
                <w:rFonts w:eastAsiaTheme="minorHAnsi"/>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158023D1"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6FEABB80" w14:textId="77777777" w:rsidR="00355DFD" w:rsidRPr="00811F65" w:rsidRDefault="00355DFD" w:rsidP="00AC347D">
            <w:pPr>
              <w:rPr>
                <w:sz w:val="22"/>
                <w:szCs w:val="22"/>
              </w:rPr>
            </w:pPr>
            <w:proofErr w:type="spellStart"/>
            <w:proofErr w:type="gramStart"/>
            <w:r w:rsidRPr="00811F65">
              <w:rPr>
                <w:sz w:val="22"/>
                <w:szCs w:val="22"/>
              </w:rPr>
              <w:t>Blødning</w:t>
            </w:r>
            <w:r w:rsidRPr="00F42C8D">
              <w:rPr>
                <w:sz w:val="22"/>
                <w:szCs w:val="22"/>
                <w:vertAlign w:val="superscript"/>
              </w:rPr>
              <w:t>c,d</w:t>
            </w:r>
            <w:proofErr w:type="gramEnd"/>
            <w:r w:rsidRPr="00F42C8D">
              <w:rPr>
                <w:sz w:val="22"/>
                <w:szCs w:val="22"/>
                <w:vertAlign w:val="superscript"/>
              </w:rPr>
              <w:t>,h</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1B280EA5" w14:textId="77777777" w:rsidR="00355DFD" w:rsidRPr="00811F65" w:rsidRDefault="00355DFD" w:rsidP="00AC347D">
            <w:pPr>
              <w:rPr>
                <w:sz w:val="22"/>
                <w:szCs w:val="22"/>
              </w:rPr>
            </w:pPr>
            <w:r w:rsidRPr="00811F65">
              <w:rPr>
                <w:sz w:val="22"/>
                <w:szCs w:val="22"/>
              </w:rPr>
              <w:t>25.7</w:t>
            </w:r>
          </w:p>
        </w:tc>
        <w:tc>
          <w:tcPr>
            <w:tcW w:w="556" w:type="pct"/>
            <w:tcBorders>
              <w:top w:val="single" w:sz="6" w:space="0" w:color="000000"/>
              <w:left w:val="single" w:sz="6" w:space="0" w:color="000000"/>
              <w:bottom w:val="single" w:sz="6" w:space="0" w:color="000000"/>
              <w:right w:val="single" w:sz="6" w:space="0" w:color="000000"/>
            </w:tcBorders>
            <w:hideMark/>
          </w:tcPr>
          <w:p w14:paraId="6AC68E34" w14:textId="77777777" w:rsidR="00355DFD" w:rsidRPr="00811F65" w:rsidRDefault="00355DFD" w:rsidP="00AC347D">
            <w:pPr>
              <w:rPr>
                <w:sz w:val="22"/>
                <w:szCs w:val="22"/>
              </w:rPr>
            </w:pPr>
            <w:r w:rsidRPr="00811F65">
              <w:rPr>
                <w:sz w:val="22"/>
                <w:szCs w:val="22"/>
              </w:rPr>
              <w:t>3.0</w:t>
            </w:r>
          </w:p>
        </w:tc>
        <w:tc>
          <w:tcPr>
            <w:tcW w:w="556" w:type="pct"/>
            <w:tcBorders>
              <w:top w:val="single" w:sz="6" w:space="0" w:color="000000"/>
              <w:left w:val="single" w:sz="6" w:space="0" w:color="000000"/>
              <w:bottom w:val="single" w:sz="6" w:space="0" w:color="000000"/>
              <w:right w:val="single" w:sz="6" w:space="0" w:color="000000"/>
            </w:tcBorders>
            <w:hideMark/>
          </w:tcPr>
          <w:p w14:paraId="5E4A5EEB" w14:textId="77777777" w:rsidR="00355DFD" w:rsidRPr="00811F65" w:rsidRDefault="00355DFD" w:rsidP="00AC347D">
            <w:pPr>
              <w:rPr>
                <w:sz w:val="22"/>
                <w:szCs w:val="22"/>
              </w:rPr>
            </w:pPr>
            <w:r w:rsidRPr="00811F65">
              <w:rPr>
                <w:sz w:val="22"/>
                <w:szCs w:val="22"/>
              </w:rPr>
              <w:t>1.0</w:t>
            </w:r>
          </w:p>
        </w:tc>
      </w:tr>
      <w:tr w:rsidR="00355DFD" w:rsidRPr="00811F65" w14:paraId="79AF663A" w14:textId="77777777" w:rsidTr="005235F2">
        <w:tc>
          <w:tcPr>
            <w:tcW w:w="1377" w:type="pct"/>
            <w:vMerge/>
            <w:tcBorders>
              <w:top w:val="single" w:sz="6" w:space="0" w:color="000000"/>
              <w:left w:val="single" w:sz="4" w:space="0" w:color="000000"/>
              <w:bottom w:val="single" w:sz="4" w:space="0" w:color="auto"/>
              <w:right w:val="single" w:sz="6" w:space="0" w:color="000000"/>
            </w:tcBorders>
            <w:vAlign w:val="center"/>
            <w:hideMark/>
          </w:tcPr>
          <w:p w14:paraId="32DD41A1" w14:textId="77777777" w:rsidR="00355DFD" w:rsidRPr="00811F65" w:rsidRDefault="00355DFD" w:rsidP="00AC347D">
            <w:pPr>
              <w:rPr>
                <w:rFonts w:eastAsiaTheme="minorHAnsi"/>
                <w:sz w:val="22"/>
                <w:szCs w:val="22"/>
              </w:rPr>
            </w:pPr>
          </w:p>
        </w:tc>
        <w:tc>
          <w:tcPr>
            <w:tcW w:w="749" w:type="pct"/>
            <w:vMerge w:val="restart"/>
            <w:tcBorders>
              <w:top w:val="single" w:sz="6" w:space="0" w:color="000000"/>
              <w:left w:val="single" w:sz="6" w:space="0" w:color="000000"/>
              <w:bottom w:val="single" w:sz="6" w:space="0" w:color="000000"/>
              <w:right w:val="single" w:sz="6" w:space="0" w:color="000000"/>
            </w:tcBorders>
            <w:vAlign w:val="center"/>
            <w:hideMark/>
          </w:tcPr>
          <w:p w14:paraId="6D2B9EF8" w14:textId="77777777" w:rsidR="00355DFD" w:rsidRPr="00811F65" w:rsidRDefault="00355DFD" w:rsidP="00AC347D">
            <w:pPr>
              <w:rPr>
                <w:sz w:val="22"/>
                <w:szCs w:val="22"/>
              </w:rPr>
            </w:pPr>
            <w:r w:rsidRPr="00811F65">
              <w:rPr>
                <w:sz w:val="22"/>
                <w:szCs w:val="22"/>
              </w:rPr>
              <w:t>Almindelig</w:t>
            </w:r>
          </w:p>
        </w:tc>
        <w:tc>
          <w:tcPr>
            <w:tcW w:w="1207" w:type="pct"/>
            <w:tcBorders>
              <w:top w:val="single" w:sz="6" w:space="0" w:color="000000"/>
              <w:left w:val="single" w:sz="6" w:space="0" w:color="000000"/>
              <w:bottom w:val="single" w:sz="6" w:space="0" w:color="000000"/>
              <w:right w:val="single" w:sz="6" w:space="0" w:color="000000"/>
            </w:tcBorders>
            <w:hideMark/>
          </w:tcPr>
          <w:p w14:paraId="3D7E75FF" w14:textId="77777777" w:rsidR="00355DFD" w:rsidRPr="00811F65" w:rsidRDefault="00355DFD" w:rsidP="00AC347D">
            <w:pPr>
              <w:rPr>
                <w:sz w:val="22"/>
                <w:szCs w:val="22"/>
              </w:rPr>
            </w:pPr>
            <w:r w:rsidRPr="00811F65">
              <w:rPr>
                <w:sz w:val="22"/>
                <w:szCs w:val="22"/>
              </w:rPr>
              <w:t xml:space="preserve">Venøse </w:t>
            </w:r>
            <w:proofErr w:type="spellStart"/>
            <w:r w:rsidRPr="00811F65">
              <w:rPr>
                <w:sz w:val="22"/>
                <w:szCs w:val="22"/>
              </w:rPr>
              <w:t>embolisk</w:t>
            </w:r>
            <w:proofErr w:type="spellEnd"/>
            <w:r w:rsidRPr="00811F65">
              <w:rPr>
                <w:sz w:val="22"/>
                <w:szCs w:val="22"/>
              </w:rPr>
              <w:t xml:space="preserve"> og </w:t>
            </w:r>
            <w:proofErr w:type="spellStart"/>
            <w:r w:rsidRPr="00811F65">
              <w:rPr>
                <w:sz w:val="22"/>
                <w:szCs w:val="22"/>
              </w:rPr>
              <w:t>trombotisk</w:t>
            </w:r>
            <w:proofErr w:type="spellEnd"/>
            <w:r w:rsidRPr="00811F65">
              <w:rPr>
                <w:sz w:val="22"/>
                <w:szCs w:val="22"/>
              </w:rPr>
              <w:t xml:space="preserve"> </w:t>
            </w:r>
            <w:proofErr w:type="spellStart"/>
            <w:proofErr w:type="gramStart"/>
            <w:r w:rsidRPr="00811F65">
              <w:rPr>
                <w:sz w:val="22"/>
                <w:szCs w:val="22"/>
              </w:rPr>
              <w:t>hændelse</w:t>
            </w:r>
            <w:r w:rsidRPr="00F42C8D">
              <w:rPr>
                <w:sz w:val="22"/>
                <w:szCs w:val="22"/>
                <w:vertAlign w:val="superscript"/>
              </w:rPr>
              <w:t>c,d</w:t>
            </w:r>
            <w:proofErr w:type="gramEnd"/>
            <w:r w:rsidRPr="00F42C8D">
              <w:rPr>
                <w:sz w:val="22"/>
                <w:szCs w:val="22"/>
                <w:vertAlign w:val="superscript"/>
              </w:rPr>
              <w:t>,i</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378192AD" w14:textId="77777777" w:rsidR="00355DFD" w:rsidRPr="00811F65" w:rsidRDefault="00355DFD" w:rsidP="00AC347D">
            <w:pPr>
              <w:rPr>
                <w:sz w:val="22"/>
                <w:szCs w:val="22"/>
              </w:rPr>
            </w:pPr>
            <w:r w:rsidRPr="00811F65">
              <w:rPr>
                <w:sz w:val="22"/>
                <w:szCs w:val="22"/>
              </w:rPr>
              <w:t>2.8</w:t>
            </w:r>
          </w:p>
        </w:tc>
        <w:tc>
          <w:tcPr>
            <w:tcW w:w="556" w:type="pct"/>
            <w:tcBorders>
              <w:top w:val="single" w:sz="6" w:space="0" w:color="000000"/>
              <w:left w:val="single" w:sz="6" w:space="0" w:color="000000"/>
              <w:bottom w:val="single" w:sz="6" w:space="0" w:color="000000"/>
              <w:right w:val="single" w:sz="6" w:space="0" w:color="000000"/>
            </w:tcBorders>
            <w:hideMark/>
          </w:tcPr>
          <w:p w14:paraId="00E4C4ED" w14:textId="77777777" w:rsidR="00355DFD" w:rsidRPr="00811F65" w:rsidRDefault="00355DFD" w:rsidP="00AC347D">
            <w:pPr>
              <w:rPr>
                <w:sz w:val="22"/>
                <w:szCs w:val="22"/>
              </w:rPr>
            </w:pPr>
            <w:r w:rsidRPr="00811F65">
              <w:rPr>
                <w:sz w:val="22"/>
                <w:szCs w:val="22"/>
              </w:rPr>
              <w:t>0.9</w:t>
            </w:r>
          </w:p>
        </w:tc>
        <w:tc>
          <w:tcPr>
            <w:tcW w:w="556" w:type="pct"/>
            <w:tcBorders>
              <w:top w:val="single" w:sz="6" w:space="0" w:color="000000"/>
              <w:left w:val="single" w:sz="6" w:space="0" w:color="000000"/>
              <w:bottom w:val="single" w:sz="6" w:space="0" w:color="000000"/>
              <w:right w:val="single" w:sz="6" w:space="0" w:color="000000"/>
            </w:tcBorders>
            <w:hideMark/>
          </w:tcPr>
          <w:p w14:paraId="636375E9" w14:textId="77777777" w:rsidR="00355DFD" w:rsidRPr="00811F65" w:rsidRDefault="00355DFD" w:rsidP="00AC347D">
            <w:pPr>
              <w:rPr>
                <w:sz w:val="22"/>
                <w:szCs w:val="22"/>
              </w:rPr>
            </w:pPr>
            <w:r w:rsidRPr="00811F65">
              <w:rPr>
                <w:sz w:val="22"/>
                <w:szCs w:val="22"/>
              </w:rPr>
              <w:t>1.2</w:t>
            </w:r>
          </w:p>
        </w:tc>
      </w:tr>
      <w:tr w:rsidR="00355DFD" w:rsidRPr="00811F65" w14:paraId="36EB2BAE" w14:textId="77777777" w:rsidTr="005235F2">
        <w:tc>
          <w:tcPr>
            <w:tcW w:w="1377" w:type="pct"/>
            <w:vMerge/>
            <w:tcBorders>
              <w:top w:val="single" w:sz="6" w:space="0" w:color="000000"/>
              <w:left w:val="single" w:sz="4" w:space="0" w:color="000000"/>
              <w:bottom w:val="single" w:sz="4" w:space="0" w:color="auto"/>
              <w:right w:val="single" w:sz="6" w:space="0" w:color="000000"/>
            </w:tcBorders>
            <w:vAlign w:val="center"/>
            <w:hideMark/>
          </w:tcPr>
          <w:p w14:paraId="58F1AAAB" w14:textId="77777777" w:rsidR="00355DFD" w:rsidRPr="00811F65" w:rsidRDefault="00355DFD" w:rsidP="00AC347D">
            <w:pPr>
              <w:rPr>
                <w:rFonts w:eastAsiaTheme="minorHAnsi"/>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4A2D35AA"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4370A8E7" w14:textId="77777777" w:rsidR="00355DFD" w:rsidRPr="00811F65" w:rsidRDefault="00355DFD" w:rsidP="00AC347D">
            <w:pPr>
              <w:rPr>
                <w:sz w:val="22"/>
                <w:szCs w:val="22"/>
              </w:rPr>
            </w:pPr>
            <w:proofErr w:type="spellStart"/>
            <w:r w:rsidRPr="00811F65">
              <w:rPr>
                <w:sz w:val="22"/>
                <w:szCs w:val="22"/>
              </w:rPr>
              <w:t>Arterial</w:t>
            </w:r>
            <w:proofErr w:type="spellEnd"/>
            <w:r w:rsidRPr="00811F65">
              <w:rPr>
                <w:sz w:val="22"/>
                <w:szCs w:val="22"/>
              </w:rPr>
              <w:t xml:space="preserve"> </w:t>
            </w:r>
            <w:proofErr w:type="spellStart"/>
            <w:r w:rsidRPr="00811F65">
              <w:rPr>
                <w:sz w:val="22"/>
                <w:szCs w:val="22"/>
              </w:rPr>
              <w:t>embolisk</w:t>
            </w:r>
            <w:proofErr w:type="spellEnd"/>
            <w:r w:rsidRPr="00811F65">
              <w:rPr>
                <w:sz w:val="22"/>
                <w:szCs w:val="22"/>
              </w:rPr>
              <w:t xml:space="preserve"> og </w:t>
            </w:r>
            <w:proofErr w:type="spellStart"/>
            <w:r w:rsidRPr="00811F65">
              <w:rPr>
                <w:sz w:val="22"/>
                <w:szCs w:val="22"/>
              </w:rPr>
              <w:t>trombotisk</w:t>
            </w:r>
            <w:proofErr w:type="spellEnd"/>
            <w:r w:rsidRPr="00811F65">
              <w:rPr>
                <w:sz w:val="22"/>
                <w:szCs w:val="22"/>
              </w:rPr>
              <w:t xml:space="preserve"> </w:t>
            </w:r>
            <w:proofErr w:type="spellStart"/>
            <w:proofErr w:type="gramStart"/>
            <w:r w:rsidRPr="00811F65">
              <w:rPr>
                <w:sz w:val="22"/>
                <w:szCs w:val="22"/>
              </w:rPr>
              <w:t>hændelser</w:t>
            </w:r>
            <w:r w:rsidRPr="00F42C8D">
              <w:rPr>
                <w:sz w:val="22"/>
                <w:szCs w:val="22"/>
                <w:vertAlign w:val="superscript"/>
              </w:rPr>
              <w:t>c,d</w:t>
            </w:r>
            <w:proofErr w:type="gramEnd"/>
            <w:r w:rsidRPr="00F42C8D">
              <w:rPr>
                <w:sz w:val="22"/>
                <w:szCs w:val="22"/>
                <w:vertAlign w:val="superscript"/>
              </w:rPr>
              <w:t>,j</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540C8035" w14:textId="77777777" w:rsidR="00355DFD" w:rsidRPr="00811F65" w:rsidRDefault="00355DFD" w:rsidP="00AC347D">
            <w:pPr>
              <w:rPr>
                <w:sz w:val="22"/>
                <w:szCs w:val="22"/>
              </w:rPr>
            </w:pPr>
            <w:r w:rsidRPr="00811F65">
              <w:rPr>
                <w:sz w:val="22"/>
                <w:szCs w:val="22"/>
              </w:rPr>
              <w:t>2.8</w:t>
            </w:r>
          </w:p>
        </w:tc>
        <w:tc>
          <w:tcPr>
            <w:tcW w:w="556" w:type="pct"/>
            <w:tcBorders>
              <w:top w:val="single" w:sz="6" w:space="0" w:color="000000"/>
              <w:left w:val="single" w:sz="6" w:space="0" w:color="000000"/>
              <w:bottom w:val="single" w:sz="6" w:space="0" w:color="000000"/>
              <w:right w:val="single" w:sz="6" w:space="0" w:color="000000"/>
            </w:tcBorders>
            <w:hideMark/>
          </w:tcPr>
          <w:p w14:paraId="7E9F465E" w14:textId="77777777" w:rsidR="00355DFD" w:rsidRPr="00811F65" w:rsidRDefault="00355DFD" w:rsidP="00AC347D">
            <w:pPr>
              <w:rPr>
                <w:sz w:val="22"/>
                <w:szCs w:val="22"/>
              </w:rPr>
            </w:pPr>
            <w:r w:rsidRPr="00811F65">
              <w:rPr>
                <w:sz w:val="22"/>
                <w:szCs w:val="22"/>
              </w:rPr>
              <w:t>1.2</w:t>
            </w:r>
          </w:p>
        </w:tc>
        <w:tc>
          <w:tcPr>
            <w:tcW w:w="556" w:type="pct"/>
            <w:tcBorders>
              <w:top w:val="single" w:sz="6" w:space="0" w:color="000000"/>
              <w:left w:val="single" w:sz="6" w:space="0" w:color="000000"/>
              <w:bottom w:val="single" w:sz="6" w:space="0" w:color="000000"/>
              <w:right w:val="single" w:sz="6" w:space="0" w:color="000000"/>
            </w:tcBorders>
            <w:hideMark/>
          </w:tcPr>
          <w:p w14:paraId="3F5B918A" w14:textId="77777777" w:rsidR="00355DFD" w:rsidRPr="00811F65" w:rsidRDefault="00355DFD" w:rsidP="00AC347D">
            <w:pPr>
              <w:rPr>
                <w:sz w:val="22"/>
                <w:szCs w:val="22"/>
              </w:rPr>
            </w:pPr>
            <w:r w:rsidRPr="00811F65">
              <w:rPr>
                <w:sz w:val="22"/>
                <w:szCs w:val="22"/>
              </w:rPr>
              <w:t>1.3</w:t>
            </w:r>
          </w:p>
        </w:tc>
      </w:tr>
      <w:tr w:rsidR="00355DFD" w:rsidRPr="00811F65" w14:paraId="79A12112" w14:textId="77777777" w:rsidTr="005235F2">
        <w:tc>
          <w:tcPr>
            <w:tcW w:w="1377" w:type="pct"/>
            <w:vMerge/>
            <w:tcBorders>
              <w:top w:val="single" w:sz="6" w:space="0" w:color="000000"/>
              <w:left w:val="single" w:sz="4" w:space="0" w:color="000000"/>
              <w:bottom w:val="single" w:sz="4" w:space="0" w:color="auto"/>
              <w:right w:val="single" w:sz="6" w:space="0" w:color="000000"/>
            </w:tcBorders>
            <w:vAlign w:val="center"/>
            <w:hideMark/>
          </w:tcPr>
          <w:p w14:paraId="76F7962A" w14:textId="77777777" w:rsidR="00355DFD" w:rsidRPr="00811F65" w:rsidRDefault="00355DFD" w:rsidP="00AC347D">
            <w:pPr>
              <w:rPr>
                <w:rFonts w:eastAsiaTheme="minorHAnsi"/>
                <w:sz w:val="22"/>
                <w:szCs w:val="22"/>
              </w:rPr>
            </w:pPr>
          </w:p>
        </w:tc>
        <w:tc>
          <w:tcPr>
            <w:tcW w:w="749" w:type="pct"/>
            <w:tcBorders>
              <w:top w:val="single" w:sz="6" w:space="0" w:color="000000"/>
              <w:left w:val="single" w:sz="6" w:space="0" w:color="000000"/>
              <w:bottom w:val="single" w:sz="6" w:space="0" w:color="000000"/>
              <w:right w:val="single" w:sz="6" w:space="0" w:color="000000"/>
            </w:tcBorders>
            <w:hideMark/>
          </w:tcPr>
          <w:p w14:paraId="1348AEF0" w14:textId="77777777" w:rsidR="00355DFD" w:rsidRPr="00811F65" w:rsidRDefault="00355DFD" w:rsidP="00AC347D">
            <w:pPr>
              <w:rPr>
                <w:sz w:val="22"/>
                <w:szCs w:val="22"/>
              </w:rPr>
            </w:pPr>
            <w:r w:rsidRPr="00811F65">
              <w:rPr>
                <w:sz w:val="22"/>
                <w:szCs w:val="22"/>
              </w:rPr>
              <w:t>Ikke kendt</w:t>
            </w:r>
          </w:p>
        </w:tc>
        <w:tc>
          <w:tcPr>
            <w:tcW w:w="1207" w:type="pct"/>
            <w:tcBorders>
              <w:top w:val="single" w:sz="6" w:space="0" w:color="000000"/>
              <w:left w:val="single" w:sz="6" w:space="0" w:color="000000"/>
              <w:bottom w:val="single" w:sz="6" w:space="0" w:color="000000"/>
              <w:right w:val="single" w:sz="6" w:space="0" w:color="000000"/>
            </w:tcBorders>
            <w:hideMark/>
          </w:tcPr>
          <w:p w14:paraId="666BF365" w14:textId="77777777" w:rsidR="00355DFD" w:rsidRPr="00811F65" w:rsidRDefault="00355DFD" w:rsidP="00AC347D">
            <w:pPr>
              <w:rPr>
                <w:rFonts w:eastAsia="TimesNewRoman"/>
                <w:sz w:val="22"/>
                <w:szCs w:val="22"/>
              </w:rPr>
            </w:pPr>
            <w:proofErr w:type="spellStart"/>
            <w:r w:rsidRPr="00811F65">
              <w:rPr>
                <w:rFonts w:eastAsia="TimesNewRoman"/>
                <w:sz w:val="22"/>
                <w:szCs w:val="22"/>
              </w:rPr>
              <w:t>Aneurismer</w:t>
            </w:r>
            <w:proofErr w:type="spellEnd"/>
            <w:r w:rsidRPr="00811F65">
              <w:rPr>
                <w:rFonts w:eastAsia="TimesNewRoman"/>
                <w:sz w:val="22"/>
                <w:szCs w:val="22"/>
              </w:rPr>
              <w:t xml:space="preserve"> og arterielle</w:t>
            </w:r>
          </w:p>
          <w:p w14:paraId="56654B19" w14:textId="77777777" w:rsidR="00355DFD" w:rsidRPr="00811F65" w:rsidRDefault="00355DFD" w:rsidP="00AC347D">
            <w:pPr>
              <w:rPr>
                <w:sz w:val="22"/>
                <w:szCs w:val="22"/>
              </w:rPr>
            </w:pPr>
            <w:proofErr w:type="spellStart"/>
            <w:r w:rsidRPr="00811F65">
              <w:rPr>
                <w:rFonts w:eastAsia="TimesNewRoman"/>
                <w:sz w:val="22"/>
                <w:szCs w:val="22"/>
              </w:rPr>
              <w:t>dissektioner</w:t>
            </w:r>
            <w:r w:rsidRPr="00F42C8D">
              <w:rPr>
                <w:rFonts w:eastAsia="TimesNewRoman"/>
                <w:sz w:val="22"/>
                <w:szCs w:val="22"/>
                <w:vertAlign w:val="superscript"/>
              </w:rPr>
              <w:t>d</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06FEDD05" w14:textId="77777777" w:rsidR="00355DFD" w:rsidRPr="00811F65" w:rsidRDefault="00355DFD" w:rsidP="00AC347D">
            <w:pPr>
              <w:rPr>
                <w:sz w:val="22"/>
                <w:szCs w:val="22"/>
              </w:rPr>
            </w:pPr>
            <w:r w:rsidRPr="00811F65">
              <w:rPr>
                <w:sz w:val="22"/>
                <w:szCs w:val="22"/>
              </w:rPr>
              <w:t>-</w:t>
            </w:r>
          </w:p>
        </w:tc>
        <w:tc>
          <w:tcPr>
            <w:tcW w:w="556" w:type="pct"/>
            <w:tcBorders>
              <w:top w:val="single" w:sz="6" w:space="0" w:color="000000"/>
              <w:left w:val="single" w:sz="6" w:space="0" w:color="000000"/>
              <w:bottom w:val="single" w:sz="6" w:space="0" w:color="000000"/>
              <w:right w:val="single" w:sz="6" w:space="0" w:color="000000"/>
            </w:tcBorders>
            <w:hideMark/>
          </w:tcPr>
          <w:p w14:paraId="7A71C19C" w14:textId="77777777" w:rsidR="00355DFD" w:rsidRPr="00811F65" w:rsidRDefault="00355DFD" w:rsidP="00AC347D">
            <w:pPr>
              <w:rPr>
                <w:sz w:val="22"/>
                <w:szCs w:val="22"/>
              </w:rPr>
            </w:pPr>
            <w:r w:rsidRPr="00811F65">
              <w:rPr>
                <w:sz w:val="22"/>
                <w:szCs w:val="22"/>
              </w:rPr>
              <w:t>-</w:t>
            </w:r>
          </w:p>
        </w:tc>
        <w:tc>
          <w:tcPr>
            <w:tcW w:w="556" w:type="pct"/>
            <w:tcBorders>
              <w:top w:val="single" w:sz="6" w:space="0" w:color="000000"/>
              <w:left w:val="single" w:sz="6" w:space="0" w:color="000000"/>
              <w:bottom w:val="single" w:sz="6" w:space="0" w:color="000000"/>
              <w:right w:val="single" w:sz="6" w:space="0" w:color="000000"/>
            </w:tcBorders>
            <w:hideMark/>
          </w:tcPr>
          <w:p w14:paraId="791D71BC" w14:textId="77777777" w:rsidR="00355DFD" w:rsidRPr="00811F65" w:rsidRDefault="00355DFD" w:rsidP="00AC347D">
            <w:pPr>
              <w:rPr>
                <w:sz w:val="22"/>
                <w:szCs w:val="22"/>
              </w:rPr>
            </w:pPr>
            <w:r w:rsidRPr="00811F65">
              <w:rPr>
                <w:sz w:val="22"/>
                <w:szCs w:val="22"/>
              </w:rPr>
              <w:t>-</w:t>
            </w:r>
          </w:p>
        </w:tc>
      </w:tr>
      <w:tr w:rsidR="00355DFD" w:rsidRPr="00811F65" w14:paraId="026D330A" w14:textId="77777777" w:rsidTr="005235F2">
        <w:tc>
          <w:tcPr>
            <w:tcW w:w="1377" w:type="pct"/>
            <w:vMerge w:val="restart"/>
            <w:tcBorders>
              <w:top w:val="single" w:sz="4" w:space="0" w:color="auto"/>
              <w:left w:val="single" w:sz="4" w:space="0" w:color="auto"/>
              <w:bottom w:val="single" w:sz="6" w:space="0" w:color="000000"/>
              <w:right w:val="single" w:sz="4" w:space="0" w:color="auto"/>
            </w:tcBorders>
            <w:hideMark/>
          </w:tcPr>
          <w:p w14:paraId="357E9F68" w14:textId="77777777" w:rsidR="00355DFD" w:rsidRPr="00811F65" w:rsidRDefault="00355DFD" w:rsidP="00AC347D">
            <w:pPr>
              <w:rPr>
                <w:sz w:val="22"/>
                <w:szCs w:val="22"/>
              </w:rPr>
            </w:pPr>
            <w:r w:rsidRPr="00811F65">
              <w:rPr>
                <w:sz w:val="22"/>
                <w:szCs w:val="22"/>
              </w:rPr>
              <w:t xml:space="preserve">Luftveje, thorax og </w:t>
            </w:r>
            <w:proofErr w:type="spellStart"/>
            <w:r w:rsidRPr="00811F65">
              <w:rPr>
                <w:sz w:val="22"/>
                <w:szCs w:val="22"/>
              </w:rPr>
              <w:t>mediastinum</w:t>
            </w:r>
            <w:proofErr w:type="spellEnd"/>
          </w:p>
        </w:tc>
        <w:tc>
          <w:tcPr>
            <w:tcW w:w="749" w:type="pct"/>
            <w:vMerge w:val="restart"/>
            <w:tcBorders>
              <w:top w:val="single" w:sz="6" w:space="0" w:color="000000"/>
              <w:left w:val="single" w:sz="4" w:space="0" w:color="auto"/>
              <w:bottom w:val="single" w:sz="6" w:space="0" w:color="000000"/>
              <w:right w:val="single" w:sz="6" w:space="0" w:color="000000"/>
            </w:tcBorders>
            <w:hideMark/>
          </w:tcPr>
          <w:p w14:paraId="55B639F6" w14:textId="77777777" w:rsidR="00355DFD" w:rsidRPr="00811F65" w:rsidRDefault="00355DFD" w:rsidP="00AC347D">
            <w:pPr>
              <w:rPr>
                <w:sz w:val="22"/>
                <w:szCs w:val="22"/>
              </w:rPr>
            </w:pPr>
            <w:r w:rsidRPr="00811F65">
              <w:rPr>
                <w:sz w:val="22"/>
                <w:szCs w:val="22"/>
              </w:rPr>
              <w:t>Meget almindelig</w:t>
            </w:r>
          </w:p>
        </w:tc>
        <w:tc>
          <w:tcPr>
            <w:tcW w:w="1207" w:type="pct"/>
            <w:tcBorders>
              <w:top w:val="single" w:sz="6" w:space="0" w:color="000000"/>
              <w:left w:val="single" w:sz="6" w:space="0" w:color="000000"/>
              <w:bottom w:val="single" w:sz="6" w:space="0" w:color="000000"/>
              <w:right w:val="single" w:sz="6" w:space="0" w:color="000000"/>
            </w:tcBorders>
            <w:hideMark/>
          </w:tcPr>
          <w:p w14:paraId="4ADA82C2" w14:textId="77777777" w:rsidR="00355DFD" w:rsidRPr="00811F65" w:rsidRDefault="00355DFD" w:rsidP="00AC347D">
            <w:pPr>
              <w:rPr>
                <w:sz w:val="22"/>
                <w:szCs w:val="22"/>
              </w:rPr>
            </w:pPr>
            <w:proofErr w:type="spellStart"/>
            <w:r w:rsidRPr="00811F65">
              <w:rPr>
                <w:sz w:val="22"/>
                <w:szCs w:val="22"/>
              </w:rPr>
              <w:t>Dyspnø</w:t>
            </w:r>
            <w:r w:rsidRPr="00F42C8D">
              <w:rPr>
                <w:sz w:val="22"/>
                <w:szCs w:val="22"/>
                <w:vertAlign w:val="superscript"/>
              </w:rPr>
              <w:t>d</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3BD73800" w14:textId="77777777" w:rsidR="00355DFD" w:rsidRPr="00811F65" w:rsidRDefault="00355DFD" w:rsidP="00AC347D">
            <w:pPr>
              <w:rPr>
                <w:sz w:val="22"/>
                <w:szCs w:val="22"/>
              </w:rPr>
            </w:pPr>
            <w:r w:rsidRPr="00811F65">
              <w:rPr>
                <w:sz w:val="22"/>
                <w:szCs w:val="22"/>
              </w:rPr>
              <w:t>17.1</w:t>
            </w:r>
          </w:p>
        </w:tc>
        <w:tc>
          <w:tcPr>
            <w:tcW w:w="556" w:type="pct"/>
            <w:tcBorders>
              <w:top w:val="single" w:sz="6" w:space="0" w:color="000000"/>
              <w:left w:val="single" w:sz="6" w:space="0" w:color="000000"/>
              <w:bottom w:val="single" w:sz="6" w:space="0" w:color="000000"/>
              <w:right w:val="single" w:sz="6" w:space="0" w:color="000000"/>
            </w:tcBorders>
            <w:hideMark/>
          </w:tcPr>
          <w:p w14:paraId="4A8C2494" w14:textId="77777777" w:rsidR="00355DFD" w:rsidRPr="00811F65" w:rsidRDefault="00355DFD" w:rsidP="00AC347D">
            <w:pPr>
              <w:rPr>
                <w:sz w:val="22"/>
                <w:szCs w:val="22"/>
              </w:rPr>
            </w:pPr>
            <w:r w:rsidRPr="00811F65">
              <w:rPr>
                <w:sz w:val="22"/>
                <w:szCs w:val="22"/>
              </w:rPr>
              <w:t>3.6</w:t>
            </w:r>
          </w:p>
        </w:tc>
        <w:tc>
          <w:tcPr>
            <w:tcW w:w="556" w:type="pct"/>
            <w:tcBorders>
              <w:top w:val="single" w:sz="6" w:space="0" w:color="000000"/>
              <w:left w:val="single" w:sz="6" w:space="0" w:color="000000"/>
              <w:bottom w:val="single" w:sz="6" w:space="0" w:color="000000"/>
              <w:right w:val="single" w:sz="6" w:space="0" w:color="000000"/>
            </w:tcBorders>
            <w:hideMark/>
          </w:tcPr>
          <w:p w14:paraId="7D640DAA" w14:textId="77777777" w:rsidR="00355DFD" w:rsidRPr="00811F65" w:rsidRDefault="00355DFD" w:rsidP="00AC347D">
            <w:pPr>
              <w:rPr>
                <w:sz w:val="22"/>
                <w:szCs w:val="22"/>
              </w:rPr>
            </w:pPr>
            <w:r w:rsidRPr="00811F65">
              <w:rPr>
                <w:sz w:val="22"/>
                <w:szCs w:val="22"/>
              </w:rPr>
              <w:t>0.6</w:t>
            </w:r>
          </w:p>
        </w:tc>
      </w:tr>
      <w:tr w:rsidR="00355DFD" w:rsidRPr="00811F65" w14:paraId="5E96F89B" w14:textId="77777777" w:rsidTr="005235F2">
        <w:tc>
          <w:tcPr>
            <w:tcW w:w="1377" w:type="pct"/>
            <w:vMerge/>
            <w:tcBorders>
              <w:top w:val="single" w:sz="4" w:space="0" w:color="auto"/>
              <w:left w:val="single" w:sz="4" w:space="0" w:color="auto"/>
              <w:bottom w:val="single" w:sz="6" w:space="0" w:color="000000"/>
              <w:right w:val="single" w:sz="4" w:space="0" w:color="auto"/>
            </w:tcBorders>
            <w:vAlign w:val="center"/>
            <w:hideMark/>
          </w:tcPr>
          <w:p w14:paraId="324BB8E9" w14:textId="77777777" w:rsidR="00355DFD" w:rsidRPr="00811F65" w:rsidRDefault="00355DFD" w:rsidP="00AC347D">
            <w:pPr>
              <w:rPr>
                <w:rFonts w:eastAsiaTheme="minorHAnsi"/>
                <w:sz w:val="22"/>
                <w:szCs w:val="22"/>
              </w:rPr>
            </w:pPr>
          </w:p>
        </w:tc>
        <w:tc>
          <w:tcPr>
            <w:tcW w:w="749" w:type="pct"/>
            <w:vMerge/>
            <w:tcBorders>
              <w:top w:val="single" w:sz="6" w:space="0" w:color="000000"/>
              <w:left w:val="single" w:sz="4" w:space="0" w:color="auto"/>
              <w:bottom w:val="single" w:sz="6" w:space="0" w:color="000000"/>
              <w:right w:val="single" w:sz="6" w:space="0" w:color="000000"/>
            </w:tcBorders>
            <w:vAlign w:val="center"/>
            <w:hideMark/>
          </w:tcPr>
          <w:p w14:paraId="1E0197EB"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3E2DD19C" w14:textId="77777777" w:rsidR="00355DFD" w:rsidRPr="00811F65" w:rsidRDefault="00355DFD" w:rsidP="00AC347D">
            <w:pPr>
              <w:rPr>
                <w:sz w:val="22"/>
                <w:szCs w:val="22"/>
              </w:rPr>
            </w:pPr>
            <w:r w:rsidRPr="00811F65">
              <w:rPr>
                <w:sz w:val="22"/>
                <w:szCs w:val="22"/>
              </w:rPr>
              <w:t>Hoste</w:t>
            </w:r>
          </w:p>
        </w:tc>
        <w:tc>
          <w:tcPr>
            <w:tcW w:w="555" w:type="pct"/>
            <w:tcBorders>
              <w:top w:val="single" w:sz="6" w:space="0" w:color="000000"/>
              <w:left w:val="single" w:sz="6" w:space="0" w:color="000000"/>
              <w:bottom w:val="single" w:sz="6" w:space="0" w:color="000000"/>
              <w:right w:val="single" w:sz="6" w:space="0" w:color="000000"/>
            </w:tcBorders>
            <w:hideMark/>
          </w:tcPr>
          <w:p w14:paraId="7ECF3332" w14:textId="77777777" w:rsidR="00355DFD" w:rsidRPr="00811F65" w:rsidRDefault="00355DFD" w:rsidP="00AC347D">
            <w:pPr>
              <w:rPr>
                <w:sz w:val="22"/>
                <w:szCs w:val="22"/>
              </w:rPr>
            </w:pPr>
            <w:r w:rsidRPr="00811F65">
              <w:rPr>
                <w:sz w:val="22"/>
                <w:szCs w:val="22"/>
              </w:rPr>
              <w:t>20.4</w:t>
            </w:r>
          </w:p>
        </w:tc>
        <w:tc>
          <w:tcPr>
            <w:tcW w:w="556" w:type="pct"/>
            <w:tcBorders>
              <w:top w:val="single" w:sz="6" w:space="0" w:color="000000"/>
              <w:left w:val="single" w:sz="6" w:space="0" w:color="000000"/>
              <w:bottom w:val="single" w:sz="6" w:space="0" w:color="000000"/>
              <w:right w:val="single" w:sz="6" w:space="0" w:color="000000"/>
            </w:tcBorders>
            <w:hideMark/>
          </w:tcPr>
          <w:p w14:paraId="6DEC0A16" w14:textId="77777777" w:rsidR="00355DFD" w:rsidRPr="00811F65" w:rsidRDefault="00355DFD" w:rsidP="00AC347D">
            <w:pPr>
              <w:rPr>
                <w:sz w:val="22"/>
                <w:szCs w:val="22"/>
              </w:rPr>
            </w:pPr>
            <w:r w:rsidRPr="00811F65">
              <w:rPr>
                <w:sz w:val="22"/>
                <w:szCs w:val="22"/>
              </w:rPr>
              <w:t>0.6</w:t>
            </w:r>
          </w:p>
        </w:tc>
        <w:tc>
          <w:tcPr>
            <w:tcW w:w="556" w:type="pct"/>
            <w:tcBorders>
              <w:top w:val="single" w:sz="6" w:space="0" w:color="000000"/>
              <w:left w:val="single" w:sz="6" w:space="0" w:color="000000"/>
              <w:bottom w:val="single" w:sz="6" w:space="0" w:color="000000"/>
              <w:right w:val="single" w:sz="6" w:space="0" w:color="000000"/>
            </w:tcBorders>
            <w:hideMark/>
          </w:tcPr>
          <w:p w14:paraId="134BD0D3" w14:textId="77777777" w:rsidR="00355DFD" w:rsidRPr="00811F65" w:rsidRDefault="00355DFD" w:rsidP="00AC347D">
            <w:pPr>
              <w:rPr>
                <w:sz w:val="22"/>
                <w:szCs w:val="22"/>
              </w:rPr>
            </w:pPr>
            <w:r w:rsidRPr="00811F65">
              <w:rPr>
                <w:sz w:val="22"/>
                <w:szCs w:val="22"/>
              </w:rPr>
              <w:t>0</w:t>
            </w:r>
          </w:p>
        </w:tc>
      </w:tr>
      <w:tr w:rsidR="00355DFD" w:rsidRPr="00811F65" w14:paraId="7BF78E0A" w14:textId="77777777" w:rsidTr="005235F2">
        <w:tc>
          <w:tcPr>
            <w:tcW w:w="1377" w:type="pct"/>
            <w:vMerge/>
            <w:tcBorders>
              <w:top w:val="single" w:sz="4" w:space="0" w:color="auto"/>
              <w:left w:val="single" w:sz="4" w:space="0" w:color="auto"/>
              <w:bottom w:val="single" w:sz="6" w:space="0" w:color="000000"/>
              <w:right w:val="single" w:sz="4" w:space="0" w:color="auto"/>
            </w:tcBorders>
            <w:vAlign w:val="center"/>
            <w:hideMark/>
          </w:tcPr>
          <w:p w14:paraId="60CC36DC" w14:textId="77777777" w:rsidR="00355DFD" w:rsidRPr="00811F65" w:rsidRDefault="00355DFD" w:rsidP="00AC347D">
            <w:pPr>
              <w:rPr>
                <w:rFonts w:eastAsiaTheme="minorHAnsi"/>
                <w:sz w:val="22"/>
                <w:szCs w:val="22"/>
              </w:rPr>
            </w:pPr>
          </w:p>
        </w:tc>
        <w:tc>
          <w:tcPr>
            <w:tcW w:w="749" w:type="pct"/>
            <w:vMerge/>
            <w:tcBorders>
              <w:top w:val="single" w:sz="6" w:space="0" w:color="000000"/>
              <w:left w:val="single" w:sz="4" w:space="0" w:color="auto"/>
              <w:bottom w:val="single" w:sz="6" w:space="0" w:color="000000"/>
              <w:right w:val="single" w:sz="6" w:space="0" w:color="000000"/>
            </w:tcBorders>
            <w:vAlign w:val="center"/>
            <w:hideMark/>
          </w:tcPr>
          <w:p w14:paraId="15618CFC"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5A6A6B13" w14:textId="77777777" w:rsidR="00355DFD" w:rsidRPr="00811F65" w:rsidRDefault="00355DFD" w:rsidP="00AC347D">
            <w:pPr>
              <w:rPr>
                <w:sz w:val="22"/>
                <w:szCs w:val="22"/>
              </w:rPr>
            </w:pPr>
            <w:proofErr w:type="spellStart"/>
            <w:r w:rsidRPr="00811F65">
              <w:rPr>
                <w:sz w:val="22"/>
                <w:szCs w:val="22"/>
              </w:rPr>
              <w:t>Dysfomi</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3F9A9557" w14:textId="77777777" w:rsidR="00355DFD" w:rsidRPr="00811F65" w:rsidRDefault="00355DFD" w:rsidP="00AC347D">
            <w:pPr>
              <w:rPr>
                <w:sz w:val="22"/>
                <w:szCs w:val="22"/>
              </w:rPr>
            </w:pPr>
            <w:r w:rsidRPr="00811F65">
              <w:rPr>
                <w:sz w:val="22"/>
                <w:szCs w:val="22"/>
              </w:rPr>
              <w:t>32.7</w:t>
            </w:r>
          </w:p>
        </w:tc>
        <w:tc>
          <w:tcPr>
            <w:tcW w:w="556" w:type="pct"/>
            <w:tcBorders>
              <w:top w:val="single" w:sz="6" w:space="0" w:color="000000"/>
              <w:left w:val="single" w:sz="6" w:space="0" w:color="000000"/>
              <w:bottom w:val="single" w:sz="6" w:space="0" w:color="000000"/>
              <w:right w:val="single" w:sz="6" w:space="0" w:color="000000"/>
            </w:tcBorders>
            <w:hideMark/>
          </w:tcPr>
          <w:p w14:paraId="285FF17D" w14:textId="77777777" w:rsidR="00355DFD" w:rsidRPr="00811F65" w:rsidRDefault="00355DFD" w:rsidP="00AC347D">
            <w:pPr>
              <w:rPr>
                <w:sz w:val="22"/>
                <w:szCs w:val="22"/>
              </w:rPr>
            </w:pPr>
            <w:r w:rsidRPr="00811F65">
              <w:rPr>
                <w:sz w:val="22"/>
                <w:szCs w:val="22"/>
              </w:rPr>
              <w:t>0</w:t>
            </w:r>
          </w:p>
        </w:tc>
        <w:tc>
          <w:tcPr>
            <w:tcW w:w="556" w:type="pct"/>
            <w:tcBorders>
              <w:top w:val="single" w:sz="6" w:space="0" w:color="000000"/>
              <w:left w:val="single" w:sz="6" w:space="0" w:color="000000"/>
              <w:bottom w:val="single" w:sz="6" w:space="0" w:color="000000"/>
              <w:right w:val="single" w:sz="6" w:space="0" w:color="000000"/>
            </w:tcBorders>
            <w:hideMark/>
          </w:tcPr>
          <w:p w14:paraId="03C01BCF" w14:textId="77777777" w:rsidR="00355DFD" w:rsidRPr="00811F65" w:rsidRDefault="00355DFD" w:rsidP="00AC347D">
            <w:pPr>
              <w:rPr>
                <w:sz w:val="22"/>
                <w:szCs w:val="22"/>
              </w:rPr>
            </w:pPr>
            <w:r w:rsidRPr="00811F65">
              <w:rPr>
                <w:sz w:val="22"/>
                <w:szCs w:val="22"/>
              </w:rPr>
              <w:t>0.1</w:t>
            </w:r>
          </w:p>
        </w:tc>
      </w:tr>
      <w:tr w:rsidR="00355DFD" w:rsidRPr="00811F65" w14:paraId="28375EF8" w14:textId="77777777" w:rsidTr="005235F2">
        <w:tc>
          <w:tcPr>
            <w:tcW w:w="1377" w:type="pct"/>
            <w:vMerge/>
            <w:tcBorders>
              <w:top w:val="single" w:sz="4" w:space="0" w:color="auto"/>
              <w:left w:val="single" w:sz="4" w:space="0" w:color="auto"/>
              <w:bottom w:val="single" w:sz="6" w:space="0" w:color="000000"/>
              <w:right w:val="single" w:sz="4" w:space="0" w:color="auto"/>
            </w:tcBorders>
            <w:vAlign w:val="center"/>
            <w:hideMark/>
          </w:tcPr>
          <w:p w14:paraId="63111E86" w14:textId="77777777" w:rsidR="00355DFD" w:rsidRPr="00811F65" w:rsidRDefault="00355DFD" w:rsidP="00AC347D">
            <w:pPr>
              <w:rPr>
                <w:rFonts w:eastAsiaTheme="minorHAnsi"/>
                <w:sz w:val="22"/>
                <w:szCs w:val="22"/>
              </w:rPr>
            </w:pPr>
          </w:p>
        </w:tc>
        <w:tc>
          <w:tcPr>
            <w:tcW w:w="749" w:type="pct"/>
            <w:tcBorders>
              <w:top w:val="single" w:sz="6" w:space="0" w:color="000000"/>
              <w:left w:val="single" w:sz="4" w:space="0" w:color="auto"/>
              <w:bottom w:val="single" w:sz="6" w:space="0" w:color="000000"/>
              <w:right w:val="single" w:sz="6" w:space="0" w:color="000000"/>
            </w:tcBorders>
            <w:hideMark/>
          </w:tcPr>
          <w:p w14:paraId="22CCF57D" w14:textId="77777777" w:rsidR="00355DFD" w:rsidRPr="00811F65" w:rsidRDefault="00355DFD" w:rsidP="00AC347D">
            <w:pPr>
              <w:rPr>
                <w:sz w:val="22"/>
                <w:szCs w:val="22"/>
              </w:rPr>
            </w:pPr>
            <w:r w:rsidRPr="00811F65">
              <w:rPr>
                <w:sz w:val="22"/>
                <w:szCs w:val="22"/>
              </w:rPr>
              <w:t>Almindelig</w:t>
            </w:r>
          </w:p>
        </w:tc>
        <w:tc>
          <w:tcPr>
            <w:tcW w:w="1207" w:type="pct"/>
            <w:tcBorders>
              <w:top w:val="single" w:sz="6" w:space="0" w:color="000000"/>
              <w:left w:val="single" w:sz="6" w:space="0" w:color="000000"/>
              <w:bottom w:val="single" w:sz="6" w:space="0" w:color="000000"/>
              <w:right w:val="single" w:sz="6" w:space="0" w:color="000000"/>
            </w:tcBorders>
            <w:hideMark/>
          </w:tcPr>
          <w:p w14:paraId="2BF28B16" w14:textId="77777777" w:rsidR="00355DFD" w:rsidRPr="00811F65" w:rsidRDefault="00355DFD" w:rsidP="00AC347D">
            <w:pPr>
              <w:rPr>
                <w:sz w:val="22"/>
                <w:szCs w:val="22"/>
              </w:rPr>
            </w:pPr>
            <w:proofErr w:type="spellStart"/>
            <w:r w:rsidRPr="00811F65">
              <w:rPr>
                <w:sz w:val="22"/>
                <w:szCs w:val="22"/>
              </w:rPr>
              <w:t>Oropharyngeal</w:t>
            </w:r>
            <w:proofErr w:type="spellEnd"/>
            <w:r w:rsidRPr="00811F65">
              <w:rPr>
                <w:sz w:val="22"/>
                <w:szCs w:val="22"/>
              </w:rPr>
              <w:t xml:space="preserve"> smerte</w:t>
            </w:r>
          </w:p>
        </w:tc>
        <w:tc>
          <w:tcPr>
            <w:tcW w:w="555" w:type="pct"/>
            <w:tcBorders>
              <w:top w:val="single" w:sz="6" w:space="0" w:color="000000"/>
              <w:left w:val="single" w:sz="6" w:space="0" w:color="000000"/>
              <w:bottom w:val="single" w:sz="6" w:space="0" w:color="000000"/>
              <w:right w:val="single" w:sz="6" w:space="0" w:color="000000"/>
            </w:tcBorders>
            <w:hideMark/>
          </w:tcPr>
          <w:p w14:paraId="12CE9A32" w14:textId="77777777" w:rsidR="00355DFD" w:rsidRPr="00811F65" w:rsidRDefault="00355DFD" w:rsidP="00AC347D">
            <w:pPr>
              <w:rPr>
                <w:sz w:val="22"/>
                <w:szCs w:val="22"/>
              </w:rPr>
            </w:pPr>
            <w:r w:rsidRPr="00811F65">
              <w:rPr>
                <w:sz w:val="22"/>
                <w:szCs w:val="22"/>
              </w:rPr>
              <w:t>7.4</w:t>
            </w:r>
          </w:p>
        </w:tc>
        <w:tc>
          <w:tcPr>
            <w:tcW w:w="556" w:type="pct"/>
            <w:tcBorders>
              <w:top w:val="single" w:sz="6" w:space="0" w:color="000000"/>
              <w:left w:val="single" w:sz="6" w:space="0" w:color="000000"/>
              <w:bottom w:val="single" w:sz="6" w:space="0" w:color="000000"/>
              <w:right w:val="single" w:sz="6" w:space="0" w:color="000000"/>
            </w:tcBorders>
            <w:hideMark/>
          </w:tcPr>
          <w:p w14:paraId="1AFE236B" w14:textId="77777777" w:rsidR="00355DFD" w:rsidRPr="00811F65" w:rsidRDefault="00355DFD" w:rsidP="00AC347D">
            <w:pPr>
              <w:rPr>
                <w:sz w:val="22"/>
                <w:szCs w:val="22"/>
              </w:rPr>
            </w:pPr>
            <w:r w:rsidRPr="00811F65">
              <w:rPr>
                <w:sz w:val="22"/>
                <w:szCs w:val="22"/>
              </w:rPr>
              <w:t>0</w:t>
            </w:r>
          </w:p>
        </w:tc>
        <w:tc>
          <w:tcPr>
            <w:tcW w:w="556" w:type="pct"/>
            <w:tcBorders>
              <w:top w:val="single" w:sz="6" w:space="0" w:color="000000"/>
              <w:left w:val="single" w:sz="6" w:space="0" w:color="000000"/>
              <w:bottom w:val="single" w:sz="6" w:space="0" w:color="000000"/>
              <w:right w:val="single" w:sz="6" w:space="0" w:color="000000"/>
            </w:tcBorders>
            <w:hideMark/>
          </w:tcPr>
          <w:p w14:paraId="22A17CA4" w14:textId="77777777" w:rsidR="00355DFD" w:rsidRPr="00811F65" w:rsidRDefault="00355DFD" w:rsidP="00AC347D">
            <w:pPr>
              <w:rPr>
                <w:sz w:val="22"/>
                <w:szCs w:val="22"/>
              </w:rPr>
            </w:pPr>
            <w:r w:rsidRPr="00811F65">
              <w:rPr>
                <w:sz w:val="22"/>
                <w:szCs w:val="22"/>
              </w:rPr>
              <w:t>0</w:t>
            </w:r>
          </w:p>
        </w:tc>
      </w:tr>
      <w:tr w:rsidR="00355DFD" w:rsidRPr="00811F65" w14:paraId="21DD42AE" w14:textId="77777777" w:rsidTr="005235F2">
        <w:tc>
          <w:tcPr>
            <w:tcW w:w="1377" w:type="pct"/>
            <w:vMerge w:val="restart"/>
            <w:tcBorders>
              <w:top w:val="nil"/>
              <w:left w:val="single" w:sz="4" w:space="0" w:color="000000"/>
              <w:bottom w:val="single" w:sz="6" w:space="0" w:color="000000"/>
              <w:right w:val="single" w:sz="6" w:space="0" w:color="000000"/>
            </w:tcBorders>
            <w:hideMark/>
          </w:tcPr>
          <w:p w14:paraId="6F431D31" w14:textId="77777777" w:rsidR="00355DFD" w:rsidRPr="00811F65" w:rsidRDefault="00355DFD" w:rsidP="00AC347D">
            <w:pPr>
              <w:rPr>
                <w:sz w:val="22"/>
                <w:szCs w:val="22"/>
              </w:rPr>
            </w:pPr>
            <w:r w:rsidRPr="00811F65">
              <w:rPr>
                <w:sz w:val="22"/>
                <w:szCs w:val="22"/>
              </w:rPr>
              <w:t>Mave-tarm-kanalen</w:t>
            </w:r>
          </w:p>
        </w:tc>
        <w:tc>
          <w:tcPr>
            <w:tcW w:w="749" w:type="pct"/>
            <w:vMerge w:val="restart"/>
            <w:tcBorders>
              <w:top w:val="single" w:sz="6" w:space="0" w:color="000000"/>
              <w:left w:val="single" w:sz="6" w:space="0" w:color="000000"/>
              <w:bottom w:val="single" w:sz="6" w:space="0" w:color="000000"/>
              <w:right w:val="single" w:sz="6" w:space="0" w:color="000000"/>
            </w:tcBorders>
            <w:hideMark/>
          </w:tcPr>
          <w:p w14:paraId="7CC3DD7A" w14:textId="77777777" w:rsidR="00355DFD" w:rsidRPr="00811F65" w:rsidRDefault="00355DFD" w:rsidP="00AC347D">
            <w:pPr>
              <w:rPr>
                <w:sz w:val="22"/>
                <w:szCs w:val="22"/>
              </w:rPr>
            </w:pPr>
            <w:r w:rsidRPr="00811F65">
              <w:rPr>
                <w:sz w:val="22"/>
                <w:szCs w:val="22"/>
              </w:rPr>
              <w:t xml:space="preserve">Meget almindelig </w:t>
            </w:r>
          </w:p>
        </w:tc>
        <w:tc>
          <w:tcPr>
            <w:tcW w:w="1207" w:type="pct"/>
            <w:tcBorders>
              <w:top w:val="single" w:sz="6" w:space="0" w:color="000000"/>
              <w:left w:val="single" w:sz="6" w:space="0" w:color="000000"/>
              <w:bottom w:val="single" w:sz="6" w:space="0" w:color="000000"/>
              <w:right w:val="single" w:sz="6" w:space="0" w:color="000000"/>
            </w:tcBorders>
            <w:hideMark/>
          </w:tcPr>
          <w:p w14:paraId="01149B1E" w14:textId="77777777" w:rsidR="00355DFD" w:rsidRPr="00811F65" w:rsidRDefault="00355DFD" w:rsidP="00AC347D">
            <w:pPr>
              <w:rPr>
                <w:sz w:val="22"/>
                <w:szCs w:val="22"/>
              </w:rPr>
            </w:pPr>
            <w:r w:rsidRPr="00811F65">
              <w:rPr>
                <w:sz w:val="22"/>
                <w:szCs w:val="22"/>
              </w:rPr>
              <w:t>Diarré</w:t>
            </w:r>
          </w:p>
        </w:tc>
        <w:tc>
          <w:tcPr>
            <w:tcW w:w="555" w:type="pct"/>
            <w:tcBorders>
              <w:top w:val="single" w:sz="6" w:space="0" w:color="000000"/>
              <w:left w:val="single" w:sz="6" w:space="0" w:color="000000"/>
              <w:bottom w:val="single" w:sz="6" w:space="0" w:color="000000"/>
              <w:right w:val="single" w:sz="6" w:space="0" w:color="000000"/>
            </w:tcBorders>
            <w:hideMark/>
          </w:tcPr>
          <w:p w14:paraId="0E8F82E0" w14:textId="77777777" w:rsidR="00355DFD" w:rsidRPr="00811F65" w:rsidRDefault="00355DFD" w:rsidP="00AC347D">
            <w:pPr>
              <w:rPr>
                <w:sz w:val="22"/>
                <w:szCs w:val="22"/>
              </w:rPr>
            </w:pPr>
            <w:r w:rsidRPr="00811F65">
              <w:rPr>
                <w:sz w:val="22"/>
                <w:szCs w:val="22"/>
              </w:rPr>
              <w:t>55.4</w:t>
            </w:r>
          </w:p>
        </w:tc>
        <w:tc>
          <w:tcPr>
            <w:tcW w:w="556" w:type="pct"/>
            <w:tcBorders>
              <w:top w:val="single" w:sz="6" w:space="0" w:color="000000"/>
              <w:left w:val="single" w:sz="6" w:space="0" w:color="000000"/>
              <w:bottom w:val="single" w:sz="6" w:space="0" w:color="000000"/>
              <w:right w:val="single" w:sz="6" w:space="0" w:color="000000"/>
            </w:tcBorders>
            <w:hideMark/>
          </w:tcPr>
          <w:p w14:paraId="329C8EF6" w14:textId="77777777" w:rsidR="00355DFD" w:rsidRPr="00811F65" w:rsidRDefault="00355DFD" w:rsidP="00AC347D">
            <w:pPr>
              <w:rPr>
                <w:sz w:val="22"/>
                <w:szCs w:val="22"/>
              </w:rPr>
            </w:pPr>
            <w:r w:rsidRPr="00811F65">
              <w:rPr>
                <w:sz w:val="22"/>
                <w:szCs w:val="22"/>
              </w:rPr>
              <w:t>10.1</w:t>
            </w:r>
          </w:p>
        </w:tc>
        <w:tc>
          <w:tcPr>
            <w:tcW w:w="556" w:type="pct"/>
            <w:tcBorders>
              <w:top w:val="single" w:sz="6" w:space="0" w:color="000000"/>
              <w:left w:val="single" w:sz="6" w:space="0" w:color="000000"/>
              <w:bottom w:val="single" w:sz="6" w:space="0" w:color="000000"/>
              <w:right w:val="single" w:sz="6" w:space="0" w:color="000000"/>
            </w:tcBorders>
            <w:hideMark/>
          </w:tcPr>
          <w:p w14:paraId="3B255290" w14:textId="77777777" w:rsidR="00355DFD" w:rsidRPr="00811F65" w:rsidRDefault="00355DFD" w:rsidP="00AC347D">
            <w:pPr>
              <w:rPr>
                <w:sz w:val="22"/>
                <w:szCs w:val="22"/>
              </w:rPr>
            </w:pPr>
            <w:r w:rsidRPr="00811F65">
              <w:rPr>
                <w:sz w:val="22"/>
                <w:szCs w:val="22"/>
              </w:rPr>
              <w:t>0.1</w:t>
            </w:r>
          </w:p>
        </w:tc>
      </w:tr>
      <w:tr w:rsidR="00355DFD" w:rsidRPr="00811F65" w14:paraId="731279B4"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4053DFA2" w14:textId="77777777" w:rsidR="00355DFD" w:rsidRPr="00811F65" w:rsidRDefault="00355DFD" w:rsidP="00AC347D">
            <w:pPr>
              <w:rPr>
                <w:rFonts w:eastAsiaTheme="minorHAnsi"/>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6CB71C32"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47C19BE8" w14:textId="77777777" w:rsidR="00355DFD" w:rsidRPr="00811F65" w:rsidRDefault="00355DFD" w:rsidP="00AC347D">
            <w:pPr>
              <w:rPr>
                <w:sz w:val="22"/>
                <w:szCs w:val="22"/>
              </w:rPr>
            </w:pPr>
            <w:r w:rsidRPr="00811F65">
              <w:rPr>
                <w:sz w:val="22"/>
                <w:szCs w:val="22"/>
              </w:rPr>
              <w:t xml:space="preserve">Opkastning </w:t>
            </w:r>
          </w:p>
        </w:tc>
        <w:tc>
          <w:tcPr>
            <w:tcW w:w="555" w:type="pct"/>
            <w:tcBorders>
              <w:top w:val="single" w:sz="6" w:space="0" w:color="000000"/>
              <w:left w:val="single" w:sz="6" w:space="0" w:color="000000"/>
              <w:bottom w:val="single" w:sz="6" w:space="0" w:color="000000"/>
              <w:right w:val="single" w:sz="6" w:space="0" w:color="000000"/>
            </w:tcBorders>
            <w:hideMark/>
          </w:tcPr>
          <w:p w14:paraId="6986E2EE" w14:textId="77777777" w:rsidR="00355DFD" w:rsidRPr="00811F65" w:rsidRDefault="00355DFD" w:rsidP="00AC347D">
            <w:pPr>
              <w:rPr>
                <w:sz w:val="22"/>
                <w:szCs w:val="22"/>
              </w:rPr>
            </w:pPr>
            <w:r w:rsidRPr="00811F65">
              <w:rPr>
                <w:sz w:val="22"/>
                <w:szCs w:val="22"/>
              </w:rPr>
              <w:t>23.7</w:t>
            </w:r>
          </w:p>
        </w:tc>
        <w:tc>
          <w:tcPr>
            <w:tcW w:w="556" w:type="pct"/>
            <w:tcBorders>
              <w:top w:val="single" w:sz="6" w:space="0" w:color="000000"/>
              <w:left w:val="single" w:sz="6" w:space="0" w:color="000000"/>
              <w:bottom w:val="single" w:sz="6" w:space="0" w:color="000000"/>
              <w:right w:val="single" w:sz="6" w:space="0" w:color="000000"/>
            </w:tcBorders>
            <w:hideMark/>
          </w:tcPr>
          <w:p w14:paraId="76BCA185" w14:textId="77777777" w:rsidR="00355DFD" w:rsidRPr="00811F65" w:rsidRDefault="00355DFD" w:rsidP="00AC347D">
            <w:pPr>
              <w:rPr>
                <w:sz w:val="22"/>
                <w:szCs w:val="22"/>
              </w:rPr>
            </w:pPr>
            <w:r w:rsidRPr="00811F65">
              <w:rPr>
                <w:sz w:val="22"/>
                <w:szCs w:val="22"/>
              </w:rPr>
              <w:t>2.7</w:t>
            </w:r>
          </w:p>
        </w:tc>
        <w:tc>
          <w:tcPr>
            <w:tcW w:w="556" w:type="pct"/>
            <w:tcBorders>
              <w:top w:val="single" w:sz="6" w:space="0" w:color="000000"/>
              <w:left w:val="single" w:sz="6" w:space="0" w:color="000000"/>
              <w:bottom w:val="single" w:sz="6" w:space="0" w:color="000000"/>
              <w:right w:val="single" w:sz="6" w:space="0" w:color="000000"/>
            </w:tcBorders>
            <w:hideMark/>
          </w:tcPr>
          <w:p w14:paraId="3D8D5C15" w14:textId="77777777" w:rsidR="00355DFD" w:rsidRPr="00811F65" w:rsidRDefault="00355DFD" w:rsidP="00AC347D">
            <w:pPr>
              <w:rPr>
                <w:sz w:val="22"/>
                <w:szCs w:val="22"/>
              </w:rPr>
            </w:pPr>
            <w:r w:rsidRPr="00811F65">
              <w:rPr>
                <w:sz w:val="22"/>
                <w:szCs w:val="22"/>
              </w:rPr>
              <w:t>0.1</w:t>
            </w:r>
          </w:p>
        </w:tc>
      </w:tr>
      <w:tr w:rsidR="00355DFD" w:rsidRPr="00811F65" w14:paraId="233F5DA4"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26D3D3B2" w14:textId="77777777" w:rsidR="00355DFD" w:rsidRPr="00811F65" w:rsidRDefault="00355DFD" w:rsidP="00AC347D">
            <w:pPr>
              <w:rPr>
                <w:rFonts w:eastAsiaTheme="minorHAnsi"/>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276D1D52"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200A9B79" w14:textId="77777777" w:rsidR="00355DFD" w:rsidRPr="00811F65" w:rsidRDefault="00355DFD" w:rsidP="00AC347D">
            <w:pPr>
              <w:rPr>
                <w:sz w:val="22"/>
                <w:szCs w:val="22"/>
              </w:rPr>
            </w:pPr>
            <w:r w:rsidRPr="00811F65">
              <w:rPr>
                <w:sz w:val="22"/>
                <w:szCs w:val="22"/>
              </w:rPr>
              <w:t>Kvalme</w:t>
            </w:r>
          </w:p>
        </w:tc>
        <w:tc>
          <w:tcPr>
            <w:tcW w:w="555" w:type="pct"/>
            <w:tcBorders>
              <w:top w:val="single" w:sz="6" w:space="0" w:color="000000"/>
              <w:left w:val="single" w:sz="6" w:space="0" w:color="000000"/>
              <w:bottom w:val="single" w:sz="6" w:space="0" w:color="000000"/>
              <w:right w:val="single" w:sz="6" w:space="0" w:color="000000"/>
            </w:tcBorders>
            <w:hideMark/>
          </w:tcPr>
          <w:p w14:paraId="51FB2BC6" w14:textId="77777777" w:rsidR="00355DFD" w:rsidRPr="00811F65" w:rsidRDefault="00355DFD" w:rsidP="00AC347D">
            <w:pPr>
              <w:rPr>
                <w:sz w:val="22"/>
                <w:szCs w:val="22"/>
              </w:rPr>
            </w:pPr>
            <w:r w:rsidRPr="00811F65">
              <w:rPr>
                <w:sz w:val="22"/>
                <w:szCs w:val="22"/>
              </w:rPr>
              <w:t>33.0</w:t>
            </w:r>
          </w:p>
        </w:tc>
        <w:tc>
          <w:tcPr>
            <w:tcW w:w="556" w:type="pct"/>
            <w:tcBorders>
              <w:top w:val="single" w:sz="6" w:space="0" w:color="000000"/>
              <w:left w:val="single" w:sz="6" w:space="0" w:color="000000"/>
              <w:bottom w:val="single" w:sz="6" w:space="0" w:color="000000"/>
              <w:right w:val="single" w:sz="6" w:space="0" w:color="000000"/>
            </w:tcBorders>
            <w:hideMark/>
          </w:tcPr>
          <w:p w14:paraId="2BCB3B53" w14:textId="77777777" w:rsidR="00355DFD" w:rsidRPr="00811F65" w:rsidRDefault="00355DFD" w:rsidP="00AC347D">
            <w:pPr>
              <w:rPr>
                <w:sz w:val="22"/>
                <w:szCs w:val="22"/>
              </w:rPr>
            </w:pPr>
            <w:r w:rsidRPr="00811F65">
              <w:rPr>
                <w:sz w:val="22"/>
                <w:szCs w:val="22"/>
              </w:rPr>
              <w:t>2.2</w:t>
            </w:r>
          </w:p>
        </w:tc>
        <w:tc>
          <w:tcPr>
            <w:tcW w:w="556" w:type="pct"/>
            <w:tcBorders>
              <w:top w:val="single" w:sz="6" w:space="0" w:color="000000"/>
              <w:left w:val="single" w:sz="6" w:space="0" w:color="000000"/>
              <w:bottom w:val="single" w:sz="6" w:space="0" w:color="000000"/>
              <w:right w:val="single" w:sz="6" w:space="0" w:color="000000"/>
            </w:tcBorders>
            <w:hideMark/>
          </w:tcPr>
          <w:p w14:paraId="2EAFA450" w14:textId="77777777" w:rsidR="00355DFD" w:rsidRPr="00811F65" w:rsidRDefault="00355DFD" w:rsidP="00AC347D">
            <w:pPr>
              <w:rPr>
                <w:sz w:val="22"/>
                <w:szCs w:val="22"/>
              </w:rPr>
            </w:pPr>
            <w:r w:rsidRPr="00811F65">
              <w:rPr>
                <w:sz w:val="22"/>
                <w:szCs w:val="22"/>
              </w:rPr>
              <w:t>0.1</w:t>
            </w:r>
          </w:p>
        </w:tc>
      </w:tr>
      <w:tr w:rsidR="00355DFD" w:rsidRPr="00811F65" w14:paraId="5CCAABF7"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50F8287B" w14:textId="77777777" w:rsidR="00355DFD" w:rsidRPr="00811F65" w:rsidRDefault="00355DFD" w:rsidP="00AC347D">
            <w:pPr>
              <w:rPr>
                <w:rFonts w:eastAsiaTheme="minorHAnsi"/>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5B35D099"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3A905639" w14:textId="77777777" w:rsidR="00355DFD" w:rsidRPr="00811F65" w:rsidRDefault="00355DFD" w:rsidP="00AC347D">
            <w:pPr>
              <w:rPr>
                <w:sz w:val="22"/>
                <w:szCs w:val="22"/>
              </w:rPr>
            </w:pPr>
            <w:proofErr w:type="spellStart"/>
            <w:r w:rsidRPr="00811F65">
              <w:rPr>
                <w:sz w:val="22"/>
                <w:szCs w:val="22"/>
              </w:rPr>
              <w:t>Abdominale</w:t>
            </w:r>
            <w:proofErr w:type="spellEnd"/>
            <w:r w:rsidRPr="00811F65">
              <w:rPr>
                <w:sz w:val="22"/>
                <w:szCs w:val="22"/>
              </w:rPr>
              <w:t xml:space="preserve"> smerter</w:t>
            </w:r>
          </w:p>
        </w:tc>
        <w:tc>
          <w:tcPr>
            <w:tcW w:w="555" w:type="pct"/>
            <w:tcBorders>
              <w:top w:val="single" w:sz="6" w:space="0" w:color="000000"/>
              <w:left w:val="single" w:sz="6" w:space="0" w:color="000000"/>
              <w:bottom w:val="single" w:sz="6" w:space="0" w:color="000000"/>
              <w:right w:val="single" w:sz="6" w:space="0" w:color="000000"/>
            </w:tcBorders>
            <w:hideMark/>
          </w:tcPr>
          <w:p w14:paraId="4E489DFA" w14:textId="77777777" w:rsidR="00355DFD" w:rsidRPr="00811F65" w:rsidRDefault="00355DFD" w:rsidP="00AC347D">
            <w:pPr>
              <w:rPr>
                <w:sz w:val="22"/>
                <w:szCs w:val="22"/>
              </w:rPr>
            </w:pPr>
            <w:r w:rsidRPr="00811F65">
              <w:rPr>
                <w:sz w:val="22"/>
                <w:szCs w:val="22"/>
              </w:rPr>
              <w:t>14.7</w:t>
            </w:r>
          </w:p>
        </w:tc>
        <w:tc>
          <w:tcPr>
            <w:tcW w:w="556" w:type="pct"/>
            <w:tcBorders>
              <w:top w:val="single" w:sz="6" w:space="0" w:color="000000"/>
              <w:left w:val="single" w:sz="6" w:space="0" w:color="000000"/>
              <w:bottom w:val="single" w:sz="6" w:space="0" w:color="000000"/>
              <w:right w:val="single" w:sz="6" w:space="0" w:color="000000"/>
            </w:tcBorders>
            <w:hideMark/>
          </w:tcPr>
          <w:p w14:paraId="52E14E6B" w14:textId="77777777" w:rsidR="00355DFD" w:rsidRPr="00811F65" w:rsidRDefault="00355DFD" w:rsidP="00AC347D">
            <w:pPr>
              <w:rPr>
                <w:sz w:val="22"/>
                <w:szCs w:val="22"/>
              </w:rPr>
            </w:pPr>
            <w:r w:rsidRPr="00811F65">
              <w:rPr>
                <w:sz w:val="22"/>
                <w:szCs w:val="22"/>
              </w:rPr>
              <w:t>2.5</w:t>
            </w:r>
          </w:p>
        </w:tc>
        <w:tc>
          <w:tcPr>
            <w:tcW w:w="556" w:type="pct"/>
            <w:tcBorders>
              <w:top w:val="single" w:sz="6" w:space="0" w:color="000000"/>
              <w:left w:val="single" w:sz="6" w:space="0" w:color="000000"/>
              <w:bottom w:val="single" w:sz="6" w:space="0" w:color="000000"/>
              <w:right w:val="single" w:sz="6" w:space="0" w:color="000000"/>
            </w:tcBorders>
            <w:hideMark/>
          </w:tcPr>
          <w:p w14:paraId="288A4D78" w14:textId="77777777" w:rsidR="00355DFD" w:rsidRPr="00811F65" w:rsidRDefault="00355DFD" w:rsidP="00AC347D">
            <w:pPr>
              <w:rPr>
                <w:sz w:val="22"/>
                <w:szCs w:val="22"/>
              </w:rPr>
            </w:pPr>
            <w:r w:rsidRPr="00811F65">
              <w:rPr>
                <w:sz w:val="22"/>
                <w:szCs w:val="22"/>
              </w:rPr>
              <w:t>0.3</w:t>
            </w:r>
          </w:p>
        </w:tc>
      </w:tr>
      <w:tr w:rsidR="00355DFD" w:rsidRPr="00811F65" w14:paraId="2AA264A0"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6634057C" w14:textId="77777777" w:rsidR="00355DFD" w:rsidRPr="00811F65" w:rsidRDefault="00355DFD" w:rsidP="00AC347D">
            <w:pPr>
              <w:rPr>
                <w:rFonts w:eastAsiaTheme="minorHAnsi"/>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74C34F51"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03C6DE80" w14:textId="77777777" w:rsidR="00355DFD" w:rsidRPr="00811F65" w:rsidRDefault="00355DFD" w:rsidP="00AC347D">
            <w:pPr>
              <w:rPr>
                <w:sz w:val="22"/>
                <w:szCs w:val="22"/>
              </w:rPr>
            </w:pPr>
            <w:r w:rsidRPr="00811F65">
              <w:rPr>
                <w:sz w:val="22"/>
                <w:szCs w:val="22"/>
              </w:rPr>
              <w:t xml:space="preserve">Obstipation </w:t>
            </w:r>
          </w:p>
        </w:tc>
        <w:tc>
          <w:tcPr>
            <w:tcW w:w="555" w:type="pct"/>
            <w:tcBorders>
              <w:top w:val="single" w:sz="6" w:space="0" w:color="000000"/>
              <w:left w:val="single" w:sz="6" w:space="0" w:color="000000"/>
              <w:bottom w:val="single" w:sz="6" w:space="0" w:color="000000"/>
              <w:right w:val="single" w:sz="6" w:space="0" w:color="000000"/>
            </w:tcBorders>
            <w:hideMark/>
          </w:tcPr>
          <w:p w14:paraId="7F528294" w14:textId="77777777" w:rsidR="00355DFD" w:rsidRPr="00811F65" w:rsidRDefault="00355DFD" w:rsidP="00AC347D">
            <w:pPr>
              <w:rPr>
                <w:sz w:val="22"/>
                <w:szCs w:val="22"/>
              </w:rPr>
            </w:pPr>
            <w:r w:rsidRPr="00811F65">
              <w:rPr>
                <w:sz w:val="22"/>
                <w:szCs w:val="22"/>
              </w:rPr>
              <w:t>20.2</w:t>
            </w:r>
          </w:p>
        </w:tc>
        <w:tc>
          <w:tcPr>
            <w:tcW w:w="556" w:type="pct"/>
            <w:tcBorders>
              <w:top w:val="single" w:sz="6" w:space="0" w:color="000000"/>
              <w:left w:val="single" w:sz="6" w:space="0" w:color="000000"/>
              <w:bottom w:val="single" w:sz="6" w:space="0" w:color="000000"/>
              <w:right w:val="single" w:sz="6" w:space="0" w:color="000000"/>
            </w:tcBorders>
            <w:hideMark/>
          </w:tcPr>
          <w:p w14:paraId="1B685CCE" w14:textId="77777777" w:rsidR="00355DFD" w:rsidRPr="00811F65" w:rsidRDefault="00355DFD" w:rsidP="00AC347D">
            <w:pPr>
              <w:rPr>
                <w:sz w:val="22"/>
                <w:szCs w:val="22"/>
              </w:rPr>
            </w:pPr>
            <w:r w:rsidRPr="00811F65">
              <w:rPr>
                <w:sz w:val="22"/>
                <w:szCs w:val="22"/>
              </w:rPr>
              <w:t>1.0</w:t>
            </w:r>
          </w:p>
        </w:tc>
        <w:tc>
          <w:tcPr>
            <w:tcW w:w="556" w:type="pct"/>
            <w:tcBorders>
              <w:top w:val="single" w:sz="6" w:space="0" w:color="000000"/>
              <w:left w:val="single" w:sz="6" w:space="0" w:color="000000"/>
              <w:bottom w:val="single" w:sz="6" w:space="0" w:color="000000"/>
              <w:right w:val="single" w:sz="6" w:space="0" w:color="000000"/>
            </w:tcBorders>
            <w:hideMark/>
          </w:tcPr>
          <w:p w14:paraId="0DBD1A30" w14:textId="77777777" w:rsidR="00355DFD" w:rsidRPr="00811F65" w:rsidRDefault="00355DFD" w:rsidP="00AC347D">
            <w:pPr>
              <w:rPr>
                <w:sz w:val="22"/>
                <w:szCs w:val="22"/>
              </w:rPr>
            </w:pPr>
            <w:r w:rsidRPr="00811F65">
              <w:rPr>
                <w:sz w:val="22"/>
                <w:szCs w:val="22"/>
              </w:rPr>
              <w:t>0</w:t>
            </w:r>
          </w:p>
        </w:tc>
      </w:tr>
      <w:tr w:rsidR="00355DFD" w:rsidRPr="00811F65" w14:paraId="65D4F54F"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32FB2904" w14:textId="77777777" w:rsidR="00355DFD" w:rsidRPr="00811F65" w:rsidRDefault="00355DFD" w:rsidP="00AC347D">
            <w:pPr>
              <w:rPr>
                <w:rFonts w:eastAsiaTheme="minorHAnsi"/>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68613E97"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75AB1346" w14:textId="77777777" w:rsidR="00355DFD" w:rsidRPr="00811F65" w:rsidRDefault="00355DFD" w:rsidP="00AC347D">
            <w:pPr>
              <w:rPr>
                <w:sz w:val="22"/>
                <w:szCs w:val="22"/>
              </w:rPr>
            </w:pPr>
            <w:proofErr w:type="spellStart"/>
            <w:r w:rsidRPr="00811F65">
              <w:rPr>
                <w:sz w:val="22"/>
                <w:szCs w:val="22"/>
              </w:rPr>
              <w:t>Stomatitis</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3F0F5E43" w14:textId="77777777" w:rsidR="00355DFD" w:rsidRPr="00811F65" w:rsidRDefault="00355DFD" w:rsidP="00AC347D">
            <w:pPr>
              <w:rPr>
                <w:sz w:val="22"/>
                <w:szCs w:val="22"/>
              </w:rPr>
            </w:pPr>
            <w:r w:rsidRPr="00811F65">
              <w:rPr>
                <w:sz w:val="22"/>
                <w:szCs w:val="22"/>
              </w:rPr>
              <w:t>15.5</w:t>
            </w:r>
          </w:p>
        </w:tc>
        <w:tc>
          <w:tcPr>
            <w:tcW w:w="556" w:type="pct"/>
            <w:tcBorders>
              <w:top w:val="single" w:sz="6" w:space="0" w:color="000000"/>
              <w:left w:val="single" w:sz="6" w:space="0" w:color="000000"/>
              <w:bottom w:val="single" w:sz="6" w:space="0" w:color="000000"/>
              <w:right w:val="single" w:sz="6" w:space="0" w:color="000000"/>
            </w:tcBorders>
            <w:hideMark/>
          </w:tcPr>
          <w:p w14:paraId="4BA017AA" w14:textId="77777777" w:rsidR="00355DFD" w:rsidRPr="00811F65" w:rsidRDefault="00355DFD" w:rsidP="00AC347D">
            <w:pPr>
              <w:rPr>
                <w:sz w:val="22"/>
                <w:szCs w:val="22"/>
              </w:rPr>
            </w:pPr>
            <w:r w:rsidRPr="00811F65">
              <w:rPr>
                <w:sz w:val="22"/>
                <w:szCs w:val="22"/>
              </w:rPr>
              <w:t>1.8</w:t>
            </w:r>
          </w:p>
        </w:tc>
        <w:tc>
          <w:tcPr>
            <w:tcW w:w="556" w:type="pct"/>
            <w:tcBorders>
              <w:top w:val="single" w:sz="6" w:space="0" w:color="000000"/>
              <w:left w:val="single" w:sz="6" w:space="0" w:color="000000"/>
              <w:bottom w:val="single" w:sz="6" w:space="0" w:color="000000"/>
              <w:right w:val="single" w:sz="6" w:space="0" w:color="000000"/>
            </w:tcBorders>
            <w:hideMark/>
          </w:tcPr>
          <w:p w14:paraId="57B8C11A" w14:textId="77777777" w:rsidR="00355DFD" w:rsidRPr="00811F65" w:rsidRDefault="00355DFD" w:rsidP="00AC347D">
            <w:pPr>
              <w:rPr>
                <w:sz w:val="22"/>
                <w:szCs w:val="22"/>
              </w:rPr>
            </w:pPr>
            <w:r w:rsidRPr="00811F65">
              <w:rPr>
                <w:sz w:val="22"/>
                <w:szCs w:val="22"/>
              </w:rPr>
              <w:t>0</w:t>
            </w:r>
          </w:p>
        </w:tc>
      </w:tr>
      <w:tr w:rsidR="00355DFD" w:rsidRPr="00811F65" w14:paraId="285462B6"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35D3C2FF" w14:textId="77777777" w:rsidR="00355DFD" w:rsidRPr="00811F65" w:rsidRDefault="00355DFD" w:rsidP="00AC347D">
            <w:pPr>
              <w:rPr>
                <w:rFonts w:eastAsiaTheme="minorHAnsi"/>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17EC8EAD"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692A34BF" w14:textId="77777777" w:rsidR="00355DFD" w:rsidRPr="00811F65" w:rsidRDefault="00355DFD" w:rsidP="00AC347D">
            <w:pPr>
              <w:rPr>
                <w:sz w:val="22"/>
                <w:szCs w:val="22"/>
              </w:rPr>
            </w:pPr>
            <w:r w:rsidRPr="00811F65">
              <w:rPr>
                <w:sz w:val="22"/>
                <w:szCs w:val="22"/>
              </w:rPr>
              <w:t>Dyspepsi</w:t>
            </w:r>
          </w:p>
        </w:tc>
        <w:tc>
          <w:tcPr>
            <w:tcW w:w="555" w:type="pct"/>
            <w:tcBorders>
              <w:top w:val="single" w:sz="6" w:space="0" w:color="000000"/>
              <w:left w:val="single" w:sz="6" w:space="0" w:color="000000"/>
              <w:bottom w:val="single" w:sz="6" w:space="0" w:color="000000"/>
              <w:right w:val="single" w:sz="6" w:space="0" w:color="000000"/>
            </w:tcBorders>
            <w:hideMark/>
          </w:tcPr>
          <w:p w14:paraId="1336828B" w14:textId="77777777" w:rsidR="00355DFD" w:rsidRPr="00811F65" w:rsidRDefault="00355DFD" w:rsidP="00AC347D">
            <w:pPr>
              <w:rPr>
                <w:sz w:val="22"/>
                <w:szCs w:val="22"/>
              </w:rPr>
            </w:pPr>
            <w:r w:rsidRPr="00811F65">
              <w:rPr>
                <w:sz w:val="22"/>
                <w:szCs w:val="22"/>
              </w:rPr>
              <w:t>11.2</w:t>
            </w:r>
          </w:p>
        </w:tc>
        <w:tc>
          <w:tcPr>
            <w:tcW w:w="556" w:type="pct"/>
            <w:tcBorders>
              <w:top w:val="single" w:sz="6" w:space="0" w:color="000000"/>
              <w:left w:val="single" w:sz="6" w:space="0" w:color="000000"/>
              <w:bottom w:val="single" w:sz="6" w:space="0" w:color="000000"/>
              <w:right w:val="single" w:sz="6" w:space="0" w:color="000000"/>
            </w:tcBorders>
            <w:hideMark/>
          </w:tcPr>
          <w:p w14:paraId="2D3ACB57" w14:textId="77777777" w:rsidR="00355DFD" w:rsidRPr="00811F65" w:rsidRDefault="00355DFD" w:rsidP="00AC347D">
            <w:pPr>
              <w:rPr>
                <w:sz w:val="22"/>
                <w:szCs w:val="22"/>
              </w:rPr>
            </w:pPr>
            <w:r w:rsidRPr="00811F65">
              <w:rPr>
                <w:sz w:val="22"/>
                <w:szCs w:val="22"/>
              </w:rPr>
              <w:t>0.1</w:t>
            </w:r>
          </w:p>
        </w:tc>
        <w:tc>
          <w:tcPr>
            <w:tcW w:w="556" w:type="pct"/>
            <w:tcBorders>
              <w:top w:val="single" w:sz="6" w:space="0" w:color="000000"/>
              <w:left w:val="single" w:sz="6" w:space="0" w:color="000000"/>
              <w:bottom w:val="single" w:sz="6" w:space="0" w:color="000000"/>
              <w:right w:val="single" w:sz="6" w:space="0" w:color="000000"/>
            </w:tcBorders>
            <w:hideMark/>
          </w:tcPr>
          <w:p w14:paraId="43978EF7" w14:textId="77777777" w:rsidR="00355DFD" w:rsidRPr="00811F65" w:rsidRDefault="00355DFD" w:rsidP="00AC347D">
            <w:pPr>
              <w:rPr>
                <w:sz w:val="22"/>
                <w:szCs w:val="22"/>
              </w:rPr>
            </w:pPr>
            <w:r w:rsidRPr="00811F65">
              <w:rPr>
                <w:sz w:val="22"/>
                <w:szCs w:val="22"/>
              </w:rPr>
              <w:t>0</w:t>
            </w:r>
          </w:p>
        </w:tc>
      </w:tr>
      <w:tr w:rsidR="00355DFD" w:rsidRPr="00811F65" w14:paraId="52D603F4"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485BB6CF" w14:textId="77777777" w:rsidR="00355DFD" w:rsidRPr="00811F65" w:rsidRDefault="00355DFD" w:rsidP="00AC347D">
            <w:pPr>
              <w:rPr>
                <w:rFonts w:eastAsiaTheme="minorHAnsi"/>
                <w:sz w:val="22"/>
                <w:szCs w:val="22"/>
              </w:rPr>
            </w:pPr>
          </w:p>
        </w:tc>
        <w:tc>
          <w:tcPr>
            <w:tcW w:w="749" w:type="pct"/>
            <w:vMerge w:val="restart"/>
            <w:tcBorders>
              <w:top w:val="single" w:sz="6" w:space="0" w:color="000000"/>
              <w:left w:val="single" w:sz="6" w:space="0" w:color="000000"/>
              <w:bottom w:val="single" w:sz="6" w:space="0" w:color="000000"/>
              <w:right w:val="single" w:sz="6" w:space="0" w:color="000000"/>
            </w:tcBorders>
            <w:hideMark/>
          </w:tcPr>
          <w:p w14:paraId="0181031D" w14:textId="77777777" w:rsidR="00355DFD" w:rsidRPr="00811F65" w:rsidRDefault="00355DFD" w:rsidP="00AC347D">
            <w:pPr>
              <w:rPr>
                <w:sz w:val="22"/>
                <w:szCs w:val="22"/>
              </w:rPr>
            </w:pPr>
            <w:r w:rsidRPr="00811F65">
              <w:rPr>
                <w:sz w:val="22"/>
                <w:szCs w:val="22"/>
              </w:rPr>
              <w:t>Almindelig</w:t>
            </w:r>
          </w:p>
        </w:tc>
        <w:tc>
          <w:tcPr>
            <w:tcW w:w="1207" w:type="pct"/>
            <w:tcBorders>
              <w:top w:val="single" w:sz="6" w:space="0" w:color="000000"/>
              <w:left w:val="single" w:sz="6" w:space="0" w:color="000000"/>
              <w:bottom w:val="single" w:sz="6" w:space="0" w:color="000000"/>
              <w:right w:val="single" w:sz="6" w:space="0" w:color="000000"/>
            </w:tcBorders>
            <w:hideMark/>
          </w:tcPr>
          <w:p w14:paraId="4D610FD4" w14:textId="6A28524A" w:rsidR="00355DFD" w:rsidRPr="00811F65" w:rsidRDefault="00355DFD" w:rsidP="00AC347D">
            <w:pPr>
              <w:rPr>
                <w:sz w:val="22"/>
                <w:szCs w:val="22"/>
              </w:rPr>
            </w:pPr>
            <w:r w:rsidRPr="00811F65">
              <w:rPr>
                <w:sz w:val="22"/>
                <w:szCs w:val="22"/>
              </w:rPr>
              <w:t xml:space="preserve">Øvre </w:t>
            </w:r>
            <w:proofErr w:type="spellStart"/>
            <w:r w:rsidRPr="00811F65">
              <w:rPr>
                <w:sz w:val="22"/>
                <w:szCs w:val="22"/>
              </w:rPr>
              <w:t>abdominal</w:t>
            </w:r>
            <w:proofErr w:type="spellEnd"/>
            <w:r w:rsidRPr="00811F65">
              <w:rPr>
                <w:sz w:val="22"/>
                <w:szCs w:val="22"/>
              </w:rPr>
              <w:t xml:space="preserve"> smert</w:t>
            </w:r>
            <w:r w:rsidR="00F42C8D">
              <w:rPr>
                <w:sz w:val="22"/>
                <w:szCs w:val="22"/>
              </w:rPr>
              <w:t>e</w:t>
            </w:r>
            <w:r w:rsidRPr="00811F65">
              <w:rPr>
                <w:sz w:val="22"/>
                <w:szCs w:val="22"/>
              </w:rPr>
              <w:t>r</w:t>
            </w:r>
          </w:p>
        </w:tc>
        <w:tc>
          <w:tcPr>
            <w:tcW w:w="555" w:type="pct"/>
            <w:tcBorders>
              <w:top w:val="single" w:sz="6" w:space="0" w:color="000000"/>
              <w:left w:val="single" w:sz="6" w:space="0" w:color="000000"/>
              <w:bottom w:val="single" w:sz="6" w:space="0" w:color="000000"/>
              <w:right w:val="single" w:sz="6" w:space="0" w:color="000000"/>
            </w:tcBorders>
            <w:hideMark/>
          </w:tcPr>
          <w:p w14:paraId="1FA91CDF" w14:textId="77777777" w:rsidR="00355DFD" w:rsidRPr="00811F65" w:rsidRDefault="00355DFD" w:rsidP="00AC347D">
            <w:pPr>
              <w:rPr>
                <w:sz w:val="22"/>
                <w:szCs w:val="22"/>
              </w:rPr>
            </w:pPr>
            <w:r w:rsidRPr="00811F65">
              <w:rPr>
                <w:sz w:val="22"/>
                <w:szCs w:val="22"/>
              </w:rPr>
              <w:t>9.4</w:t>
            </w:r>
          </w:p>
        </w:tc>
        <w:tc>
          <w:tcPr>
            <w:tcW w:w="556" w:type="pct"/>
            <w:tcBorders>
              <w:top w:val="single" w:sz="6" w:space="0" w:color="000000"/>
              <w:left w:val="single" w:sz="6" w:space="0" w:color="000000"/>
              <w:bottom w:val="single" w:sz="6" w:space="0" w:color="000000"/>
              <w:right w:val="single" w:sz="6" w:space="0" w:color="000000"/>
            </w:tcBorders>
            <w:hideMark/>
          </w:tcPr>
          <w:p w14:paraId="35C568AF" w14:textId="77777777" w:rsidR="00355DFD" w:rsidRPr="00811F65" w:rsidRDefault="00355DFD" w:rsidP="00AC347D">
            <w:pPr>
              <w:rPr>
                <w:sz w:val="22"/>
                <w:szCs w:val="22"/>
              </w:rPr>
            </w:pPr>
            <w:r w:rsidRPr="00811F65">
              <w:rPr>
                <w:sz w:val="22"/>
                <w:szCs w:val="22"/>
              </w:rPr>
              <w:t>0.9</w:t>
            </w:r>
          </w:p>
        </w:tc>
        <w:tc>
          <w:tcPr>
            <w:tcW w:w="556" w:type="pct"/>
            <w:tcBorders>
              <w:top w:val="single" w:sz="6" w:space="0" w:color="000000"/>
              <w:left w:val="single" w:sz="6" w:space="0" w:color="000000"/>
              <w:bottom w:val="single" w:sz="6" w:space="0" w:color="000000"/>
              <w:right w:val="single" w:sz="6" w:space="0" w:color="000000"/>
            </w:tcBorders>
            <w:hideMark/>
          </w:tcPr>
          <w:p w14:paraId="714DDAF6" w14:textId="77777777" w:rsidR="00355DFD" w:rsidRPr="00811F65" w:rsidRDefault="00355DFD" w:rsidP="00AC347D">
            <w:pPr>
              <w:rPr>
                <w:sz w:val="22"/>
                <w:szCs w:val="22"/>
              </w:rPr>
            </w:pPr>
            <w:r w:rsidRPr="00811F65">
              <w:rPr>
                <w:sz w:val="22"/>
                <w:szCs w:val="22"/>
              </w:rPr>
              <w:t>0</w:t>
            </w:r>
          </w:p>
        </w:tc>
      </w:tr>
      <w:tr w:rsidR="00355DFD" w:rsidRPr="00811F65" w14:paraId="7A117E09"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776299C1" w14:textId="77777777" w:rsidR="00355DFD" w:rsidRPr="00811F65" w:rsidRDefault="00355DFD" w:rsidP="00AC347D">
            <w:pPr>
              <w:rPr>
                <w:rFonts w:eastAsiaTheme="minorHAnsi"/>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1CB17375"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5EA70A2C" w14:textId="77777777" w:rsidR="00355DFD" w:rsidRPr="00811F65" w:rsidRDefault="00355DFD" w:rsidP="00AC347D">
            <w:pPr>
              <w:rPr>
                <w:sz w:val="22"/>
                <w:szCs w:val="22"/>
              </w:rPr>
            </w:pPr>
            <w:proofErr w:type="spellStart"/>
            <w:r w:rsidRPr="00811F65">
              <w:rPr>
                <w:sz w:val="22"/>
                <w:szCs w:val="22"/>
              </w:rPr>
              <w:t>Flatulens</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493E1C71" w14:textId="77777777" w:rsidR="00355DFD" w:rsidRPr="00811F65" w:rsidRDefault="00355DFD" w:rsidP="00AC347D">
            <w:pPr>
              <w:rPr>
                <w:sz w:val="22"/>
                <w:szCs w:val="22"/>
              </w:rPr>
            </w:pPr>
            <w:r w:rsidRPr="00811F65">
              <w:rPr>
                <w:sz w:val="22"/>
                <w:szCs w:val="22"/>
              </w:rPr>
              <w:t>4.5</w:t>
            </w:r>
          </w:p>
        </w:tc>
        <w:tc>
          <w:tcPr>
            <w:tcW w:w="556" w:type="pct"/>
            <w:tcBorders>
              <w:top w:val="single" w:sz="6" w:space="0" w:color="000000"/>
              <w:left w:val="single" w:sz="6" w:space="0" w:color="000000"/>
              <w:bottom w:val="single" w:sz="6" w:space="0" w:color="000000"/>
              <w:right w:val="single" w:sz="6" w:space="0" w:color="000000"/>
            </w:tcBorders>
            <w:hideMark/>
          </w:tcPr>
          <w:p w14:paraId="6ED5E873" w14:textId="77777777" w:rsidR="00355DFD" w:rsidRPr="00811F65" w:rsidRDefault="00355DFD" w:rsidP="00AC347D">
            <w:pPr>
              <w:rPr>
                <w:sz w:val="22"/>
                <w:szCs w:val="22"/>
              </w:rPr>
            </w:pPr>
            <w:r w:rsidRPr="00811F65">
              <w:rPr>
                <w:sz w:val="22"/>
                <w:szCs w:val="22"/>
              </w:rPr>
              <w:t>0</w:t>
            </w:r>
          </w:p>
        </w:tc>
        <w:tc>
          <w:tcPr>
            <w:tcW w:w="556" w:type="pct"/>
            <w:tcBorders>
              <w:top w:val="single" w:sz="6" w:space="0" w:color="000000"/>
              <w:left w:val="single" w:sz="6" w:space="0" w:color="000000"/>
              <w:bottom w:val="single" w:sz="6" w:space="0" w:color="000000"/>
              <w:right w:val="single" w:sz="6" w:space="0" w:color="000000"/>
            </w:tcBorders>
            <w:hideMark/>
          </w:tcPr>
          <w:p w14:paraId="1F4375F8" w14:textId="77777777" w:rsidR="00355DFD" w:rsidRPr="00811F65" w:rsidRDefault="00355DFD" w:rsidP="00AC347D">
            <w:pPr>
              <w:rPr>
                <w:sz w:val="22"/>
                <w:szCs w:val="22"/>
              </w:rPr>
            </w:pPr>
            <w:r w:rsidRPr="00811F65">
              <w:rPr>
                <w:sz w:val="22"/>
                <w:szCs w:val="22"/>
              </w:rPr>
              <w:t>0</w:t>
            </w:r>
          </w:p>
        </w:tc>
      </w:tr>
      <w:tr w:rsidR="00355DFD" w:rsidRPr="00811F65" w14:paraId="0956A0CB"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0C1D2266" w14:textId="77777777" w:rsidR="00355DFD" w:rsidRPr="00811F65" w:rsidRDefault="00355DFD" w:rsidP="00AC347D">
            <w:pPr>
              <w:rPr>
                <w:rFonts w:eastAsiaTheme="minorHAnsi"/>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54BD51BC"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7DF5795A" w14:textId="77777777" w:rsidR="00355DFD" w:rsidRPr="00811F65" w:rsidRDefault="00355DFD" w:rsidP="00AC347D">
            <w:pPr>
              <w:rPr>
                <w:sz w:val="22"/>
                <w:szCs w:val="22"/>
              </w:rPr>
            </w:pPr>
            <w:r w:rsidRPr="00811F65">
              <w:rPr>
                <w:sz w:val="22"/>
                <w:szCs w:val="22"/>
              </w:rPr>
              <w:t>Hæmorider</w:t>
            </w:r>
          </w:p>
        </w:tc>
        <w:tc>
          <w:tcPr>
            <w:tcW w:w="555" w:type="pct"/>
            <w:tcBorders>
              <w:top w:val="single" w:sz="6" w:space="0" w:color="000000"/>
              <w:left w:val="single" w:sz="6" w:space="0" w:color="000000"/>
              <w:bottom w:val="single" w:sz="6" w:space="0" w:color="000000"/>
              <w:right w:val="single" w:sz="6" w:space="0" w:color="000000"/>
            </w:tcBorders>
            <w:hideMark/>
          </w:tcPr>
          <w:p w14:paraId="4D3D6CA7" w14:textId="77777777" w:rsidR="00355DFD" w:rsidRPr="00811F65" w:rsidRDefault="00355DFD" w:rsidP="00AC347D">
            <w:pPr>
              <w:rPr>
                <w:sz w:val="22"/>
                <w:szCs w:val="22"/>
              </w:rPr>
            </w:pPr>
            <w:r w:rsidRPr="00811F65">
              <w:rPr>
                <w:sz w:val="22"/>
                <w:szCs w:val="22"/>
              </w:rPr>
              <w:t>3.3</w:t>
            </w:r>
          </w:p>
        </w:tc>
        <w:tc>
          <w:tcPr>
            <w:tcW w:w="556" w:type="pct"/>
            <w:tcBorders>
              <w:top w:val="single" w:sz="6" w:space="0" w:color="000000"/>
              <w:left w:val="single" w:sz="6" w:space="0" w:color="000000"/>
              <w:bottom w:val="single" w:sz="6" w:space="0" w:color="000000"/>
              <w:right w:val="single" w:sz="6" w:space="0" w:color="000000"/>
            </w:tcBorders>
            <w:hideMark/>
          </w:tcPr>
          <w:p w14:paraId="487E1F5B" w14:textId="77777777" w:rsidR="00355DFD" w:rsidRPr="00811F65" w:rsidRDefault="00355DFD" w:rsidP="00AC347D">
            <w:pPr>
              <w:rPr>
                <w:sz w:val="22"/>
                <w:szCs w:val="22"/>
              </w:rPr>
            </w:pPr>
            <w:r w:rsidRPr="00811F65">
              <w:rPr>
                <w:sz w:val="22"/>
                <w:szCs w:val="22"/>
              </w:rPr>
              <w:t>0</w:t>
            </w:r>
          </w:p>
        </w:tc>
        <w:tc>
          <w:tcPr>
            <w:tcW w:w="556" w:type="pct"/>
            <w:tcBorders>
              <w:top w:val="single" w:sz="6" w:space="0" w:color="000000"/>
              <w:left w:val="single" w:sz="6" w:space="0" w:color="000000"/>
              <w:bottom w:val="single" w:sz="6" w:space="0" w:color="000000"/>
              <w:right w:val="single" w:sz="6" w:space="0" w:color="000000"/>
            </w:tcBorders>
            <w:hideMark/>
          </w:tcPr>
          <w:p w14:paraId="2985B3FC" w14:textId="77777777" w:rsidR="00355DFD" w:rsidRPr="00811F65" w:rsidRDefault="00355DFD" w:rsidP="00AC347D">
            <w:pPr>
              <w:rPr>
                <w:sz w:val="22"/>
                <w:szCs w:val="22"/>
              </w:rPr>
            </w:pPr>
            <w:r w:rsidRPr="00811F65">
              <w:rPr>
                <w:sz w:val="22"/>
                <w:szCs w:val="22"/>
              </w:rPr>
              <w:t>0</w:t>
            </w:r>
          </w:p>
        </w:tc>
      </w:tr>
      <w:tr w:rsidR="00355DFD" w:rsidRPr="00811F65" w14:paraId="5455CA4B"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5B6341D8" w14:textId="77777777" w:rsidR="00355DFD" w:rsidRPr="00811F65" w:rsidRDefault="00355DFD" w:rsidP="00AC347D">
            <w:pPr>
              <w:rPr>
                <w:rFonts w:eastAsiaTheme="minorHAnsi"/>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09E1DADB"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3895BFCD" w14:textId="77777777" w:rsidR="00355DFD" w:rsidRPr="00811F65" w:rsidRDefault="00355DFD" w:rsidP="00AC347D">
            <w:pPr>
              <w:rPr>
                <w:sz w:val="22"/>
                <w:szCs w:val="22"/>
              </w:rPr>
            </w:pPr>
            <w:proofErr w:type="spellStart"/>
            <w:r w:rsidRPr="00811F65">
              <w:rPr>
                <w:sz w:val="22"/>
                <w:szCs w:val="22"/>
              </w:rPr>
              <w:t>Glossodyni</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63EBF6CF" w14:textId="77777777" w:rsidR="00355DFD" w:rsidRPr="00811F65" w:rsidRDefault="00355DFD" w:rsidP="00AC347D">
            <w:pPr>
              <w:rPr>
                <w:sz w:val="22"/>
                <w:szCs w:val="22"/>
              </w:rPr>
            </w:pPr>
            <w:r w:rsidRPr="00811F65">
              <w:rPr>
                <w:sz w:val="22"/>
                <w:szCs w:val="22"/>
              </w:rPr>
              <w:t>2.8</w:t>
            </w:r>
          </w:p>
        </w:tc>
        <w:tc>
          <w:tcPr>
            <w:tcW w:w="556" w:type="pct"/>
            <w:tcBorders>
              <w:top w:val="single" w:sz="6" w:space="0" w:color="000000"/>
              <w:left w:val="single" w:sz="6" w:space="0" w:color="000000"/>
              <w:bottom w:val="single" w:sz="6" w:space="0" w:color="000000"/>
              <w:right w:val="single" w:sz="6" w:space="0" w:color="000000"/>
            </w:tcBorders>
            <w:hideMark/>
          </w:tcPr>
          <w:p w14:paraId="6E684D25" w14:textId="77777777" w:rsidR="00355DFD" w:rsidRPr="00811F65" w:rsidRDefault="00355DFD" w:rsidP="00AC347D">
            <w:pPr>
              <w:rPr>
                <w:sz w:val="22"/>
                <w:szCs w:val="22"/>
              </w:rPr>
            </w:pPr>
            <w:r w:rsidRPr="00811F65">
              <w:rPr>
                <w:sz w:val="22"/>
                <w:szCs w:val="22"/>
              </w:rPr>
              <w:t>0</w:t>
            </w:r>
          </w:p>
        </w:tc>
        <w:tc>
          <w:tcPr>
            <w:tcW w:w="556" w:type="pct"/>
            <w:tcBorders>
              <w:top w:val="single" w:sz="6" w:space="0" w:color="000000"/>
              <w:left w:val="single" w:sz="6" w:space="0" w:color="000000"/>
              <w:bottom w:val="single" w:sz="6" w:space="0" w:color="000000"/>
              <w:right w:val="single" w:sz="6" w:space="0" w:color="000000"/>
            </w:tcBorders>
            <w:hideMark/>
          </w:tcPr>
          <w:p w14:paraId="32647E80" w14:textId="77777777" w:rsidR="00355DFD" w:rsidRPr="00811F65" w:rsidRDefault="00355DFD" w:rsidP="00AC347D">
            <w:pPr>
              <w:rPr>
                <w:sz w:val="22"/>
                <w:szCs w:val="22"/>
              </w:rPr>
            </w:pPr>
            <w:r w:rsidRPr="00811F65">
              <w:rPr>
                <w:sz w:val="22"/>
                <w:szCs w:val="22"/>
              </w:rPr>
              <w:t>0</w:t>
            </w:r>
          </w:p>
        </w:tc>
      </w:tr>
      <w:tr w:rsidR="00355DFD" w:rsidRPr="00811F65" w14:paraId="680624FE"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7A3E7842" w14:textId="77777777" w:rsidR="00355DFD" w:rsidRPr="00811F65" w:rsidRDefault="00355DFD" w:rsidP="00AC347D">
            <w:pPr>
              <w:rPr>
                <w:rFonts w:eastAsiaTheme="minorHAnsi"/>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49987416"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78AA506C" w14:textId="77777777" w:rsidR="00355DFD" w:rsidRPr="00811F65" w:rsidRDefault="00355DFD" w:rsidP="00AC347D">
            <w:pPr>
              <w:rPr>
                <w:sz w:val="22"/>
                <w:szCs w:val="22"/>
              </w:rPr>
            </w:pPr>
            <w:proofErr w:type="spellStart"/>
            <w:r w:rsidRPr="00811F65">
              <w:rPr>
                <w:sz w:val="22"/>
                <w:szCs w:val="22"/>
              </w:rPr>
              <w:t>Gastrointestinal</w:t>
            </w:r>
            <w:proofErr w:type="spellEnd"/>
            <w:r w:rsidRPr="00811F65">
              <w:rPr>
                <w:sz w:val="22"/>
                <w:szCs w:val="22"/>
              </w:rPr>
              <w:t xml:space="preserve"> perforation og </w:t>
            </w:r>
            <w:proofErr w:type="spellStart"/>
            <w:proofErr w:type="gramStart"/>
            <w:r w:rsidRPr="00811F65">
              <w:rPr>
                <w:sz w:val="22"/>
                <w:szCs w:val="22"/>
              </w:rPr>
              <w:t>fistler</w:t>
            </w:r>
            <w:r w:rsidRPr="00F42C8D">
              <w:rPr>
                <w:sz w:val="22"/>
                <w:szCs w:val="22"/>
                <w:vertAlign w:val="superscript"/>
              </w:rPr>
              <w:t>c,k</w:t>
            </w:r>
            <w:proofErr w:type="spellEnd"/>
            <w:proofErr w:type="gramEnd"/>
          </w:p>
        </w:tc>
        <w:tc>
          <w:tcPr>
            <w:tcW w:w="555" w:type="pct"/>
            <w:tcBorders>
              <w:top w:val="single" w:sz="6" w:space="0" w:color="000000"/>
              <w:left w:val="single" w:sz="6" w:space="0" w:color="000000"/>
              <w:bottom w:val="single" w:sz="6" w:space="0" w:color="000000"/>
              <w:right w:val="single" w:sz="6" w:space="0" w:color="000000"/>
            </w:tcBorders>
            <w:hideMark/>
          </w:tcPr>
          <w:p w14:paraId="38DC36AC" w14:textId="77777777" w:rsidR="00355DFD" w:rsidRPr="00811F65" w:rsidRDefault="00355DFD" w:rsidP="00AC347D">
            <w:pPr>
              <w:rPr>
                <w:sz w:val="22"/>
                <w:szCs w:val="22"/>
              </w:rPr>
            </w:pPr>
            <w:r w:rsidRPr="00811F65">
              <w:rPr>
                <w:sz w:val="22"/>
                <w:szCs w:val="22"/>
              </w:rPr>
              <w:t>1.9</w:t>
            </w:r>
          </w:p>
        </w:tc>
        <w:tc>
          <w:tcPr>
            <w:tcW w:w="556" w:type="pct"/>
            <w:tcBorders>
              <w:top w:val="single" w:sz="6" w:space="0" w:color="000000"/>
              <w:left w:val="single" w:sz="6" w:space="0" w:color="000000"/>
              <w:bottom w:val="single" w:sz="6" w:space="0" w:color="000000"/>
              <w:right w:val="single" w:sz="6" w:space="0" w:color="000000"/>
            </w:tcBorders>
            <w:hideMark/>
          </w:tcPr>
          <w:p w14:paraId="732A2CA3" w14:textId="77777777" w:rsidR="00355DFD" w:rsidRPr="00811F65" w:rsidRDefault="00355DFD" w:rsidP="00AC347D">
            <w:pPr>
              <w:rPr>
                <w:sz w:val="22"/>
                <w:szCs w:val="22"/>
              </w:rPr>
            </w:pPr>
            <w:r w:rsidRPr="00811F65">
              <w:rPr>
                <w:sz w:val="22"/>
                <w:szCs w:val="22"/>
              </w:rPr>
              <w:t>0.9</w:t>
            </w:r>
          </w:p>
        </w:tc>
        <w:tc>
          <w:tcPr>
            <w:tcW w:w="556" w:type="pct"/>
            <w:tcBorders>
              <w:top w:val="single" w:sz="6" w:space="0" w:color="000000"/>
              <w:left w:val="single" w:sz="6" w:space="0" w:color="000000"/>
              <w:bottom w:val="single" w:sz="6" w:space="0" w:color="000000"/>
              <w:right w:val="single" w:sz="6" w:space="0" w:color="000000"/>
            </w:tcBorders>
            <w:hideMark/>
          </w:tcPr>
          <w:p w14:paraId="33FF6659" w14:textId="77777777" w:rsidR="00355DFD" w:rsidRPr="00811F65" w:rsidRDefault="00355DFD" w:rsidP="00AC347D">
            <w:pPr>
              <w:rPr>
                <w:sz w:val="22"/>
                <w:szCs w:val="22"/>
              </w:rPr>
            </w:pPr>
            <w:r w:rsidRPr="00811F65">
              <w:rPr>
                <w:sz w:val="22"/>
                <w:szCs w:val="22"/>
              </w:rPr>
              <w:t>0.3</w:t>
            </w:r>
          </w:p>
        </w:tc>
      </w:tr>
      <w:tr w:rsidR="00355DFD" w:rsidRPr="00811F65" w14:paraId="6D0FE4DA" w14:textId="77777777" w:rsidTr="005235F2">
        <w:tc>
          <w:tcPr>
            <w:tcW w:w="1377" w:type="pct"/>
            <w:vMerge w:val="restart"/>
            <w:tcBorders>
              <w:top w:val="nil"/>
              <w:left w:val="single" w:sz="4" w:space="0" w:color="000000"/>
              <w:bottom w:val="single" w:sz="6" w:space="0" w:color="000000"/>
              <w:right w:val="single" w:sz="6" w:space="0" w:color="000000"/>
            </w:tcBorders>
            <w:hideMark/>
          </w:tcPr>
          <w:p w14:paraId="4EC61B1C" w14:textId="77777777" w:rsidR="00355DFD" w:rsidRPr="00811F65" w:rsidRDefault="00355DFD" w:rsidP="00AC347D">
            <w:pPr>
              <w:rPr>
                <w:sz w:val="22"/>
                <w:szCs w:val="22"/>
              </w:rPr>
            </w:pPr>
            <w:r w:rsidRPr="00811F65">
              <w:rPr>
                <w:sz w:val="22"/>
                <w:szCs w:val="22"/>
              </w:rPr>
              <w:t>Lever og galdeveje</w:t>
            </w:r>
          </w:p>
        </w:tc>
        <w:tc>
          <w:tcPr>
            <w:tcW w:w="749" w:type="pct"/>
            <w:vMerge w:val="restart"/>
            <w:tcBorders>
              <w:top w:val="single" w:sz="6" w:space="0" w:color="000000"/>
              <w:left w:val="single" w:sz="6" w:space="0" w:color="000000"/>
              <w:bottom w:val="single" w:sz="6" w:space="0" w:color="000000"/>
              <w:right w:val="single" w:sz="6" w:space="0" w:color="000000"/>
            </w:tcBorders>
            <w:hideMark/>
          </w:tcPr>
          <w:p w14:paraId="210ADE29" w14:textId="77777777" w:rsidR="00355DFD" w:rsidRPr="00811F65" w:rsidRDefault="00355DFD" w:rsidP="00AC347D">
            <w:pPr>
              <w:rPr>
                <w:sz w:val="22"/>
                <w:szCs w:val="22"/>
              </w:rPr>
            </w:pPr>
            <w:r w:rsidRPr="00811F65">
              <w:rPr>
                <w:sz w:val="22"/>
                <w:szCs w:val="22"/>
              </w:rPr>
              <w:t>Almindelig</w:t>
            </w:r>
          </w:p>
        </w:tc>
        <w:tc>
          <w:tcPr>
            <w:tcW w:w="1207" w:type="pct"/>
            <w:tcBorders>
              <w:top w:val="single" w:sz="6" w:space="0" w:color="000000"/>
              <w:left w:val="single" w:sz="6" w:space="0" w:color="000000"/>
              <w:bottom w:val="single" w:sz="6" w:space="0" w:color="000000"/>
              <w:right w:val="single" w:sz="6" w:space="0" w:color="000000"/>
            </w:tcBorders>
            <w:hideMark/>
          </w:tcPr>
          <w:p w14:paraId="38F98E55" w14:textId="77777777" w:rsidR="00355DFD" w:rsidRPr="00811F65" w:rsidRDefault="00355DFD" w:rsidP="00AC347D">
            <w:pPr>
              <w:rPr>
                <w:sz w:val="22"/>
                <w:szCs w:val="22"/>
              </w:rPr>
            </w:pPr>
            <w:proofErr w:type="spellStart"/>
            <w:r w:rsidRPr="00811F65">
              <w:rPr>
                <w:sz w:val="22"/>
                <w:szCs w:val="22"/>
              </w:rPr>
              <w:t>Hyperbilirubinaæmi</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58D618A3" w14:textId="77777777" w:rsidR="00355DFD" w:rsidRPr="00811F65" w:rsidRDefault="00355DFD" w:rsidP="00AC347D">
            <w:pPr>
              <w:rPr>
                <w:sz w:val="22"/>
                <w:szCs w:val="22"/>
              </w:rPr>
            </w:pPr>
            <w:r w:rsidRPr="00811F65">
              <w:rPr>
                <w:sz w:val="22"/>
                <w:szCs w:val="22"/>
              </w:rPr>
              <w:t>1.3</w:t>
            </w:r>
          </w:p>
        </w:tc>
        <w:tc>
          <w:tcPr>
            <w:tcW w:w="556" w:type="pct"/>
            <w:tcBorders>
              <w:top w:val="single" w:sz="6" w:space="0" w:color="000000"/>
              <w:left w:val="single" w:sz="6" w:space="0" w:color="000000"/>
              <w:bottom w:val="single" w:sz="6" w:space="0" w:color="000000"/>
              <w:right w:val="single" w:sz="6" w:space="0" w:color="000000"/>
            </w:tcBorders>
            <w:hideMark/>
          </w:tcPr>
          <w:p w14:paraId="287C032D" w14:textId="77777777" w:rsidR="00355DFD" w:rsidRPr="00811F65" w:rsidRDefault="00355DFD" w:rsidP="00AC347D">
            <w:pPr>
              <w:rPr>
                <w:sz w:val="22"/>
                <w:szCs w:val="22"/>
              </w:rPr>
            </w:pPr>
            <w:r w:rsidRPr="00811F65">
              <w:rPr>
                <w:sz w:val="22"/>
                <w:szCs w:val="22"/>
              </w:rPr>
              <w:t>0.1</w:t>
            </w:r>
          </w:p>
        </w:tc>
        <w:tc>
          <w:tcPr>
            <w:tcW w:w="556" w:type="pct"/>
            <w:tcBorders>
              <w:top w:val="single" w:sz="6" w:space="0" w:color="000000"/>
              <w:left w:val="single" w:sz="6" w:space="0" w:color="000000"/>
              <w:bottom w:val="single" w:sz="6" w:space="0" w:color="000000"/>
              <w:right w:val="single" w:sz="6" w:space="0" w:color="000000"/>
            </w:tcBorders>
            <w:hideMark/>
          </w:tcPr>
          <w:p w14:paraId="3892A6A5" w14:textId="77777777" w:rsidR="00355DFD" w:rsidRPr="00811F65" w:rsidRDefault="00355DFD" w:rsidP="00AC347D">
            <w:pPr>
              <w:rPr>
                <w:sz w:val="22"/>
                <w:szCs w:val="22"/>
              </w:rPr>
            </w:pPr>
            <w:r w:rsidRPr="00811F65">
              <w:rPr>
                <w:sz w:val="22"/>
                <w:szCs w:val="22"/>
              </w:rPr>
              <w:t>0.1</w:t>
            </w:r>
          </w:p>
        </w:tc>
      </w:tr>
      <w:tr w:rsidR="00355DFD" w:rsidRPr="00811F65" w14:paraId="6CD35F90"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15CB6207" w14:textId="77777777" w:rsidR="00355DFD" w:rsidRPr="00811F65" w:rsidRDefault="00355DFD" w:rsidP="00AC347D">
            <w:pPr>
              <w:rPr>
                <w:rFonts w:eastAsiaTheme="minorHAnsi"/>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367C7080"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5EF49CB0" w14:textId="77777777" w:rsidR="00355DFD" w:rsidRPr="00811F65" w:rsidRDefault="00355DFD" w:rsidP="00AC347D">
            <w:pPr>
              <w:rPr>
                <w:sz w:val="22"/>
                <w:szCs w:val="22"/>
              </w:rPr>
            </w:pPr>
            <w:proofErr w:type="spellStart"/>
            <w:r w:rsidRPr="00811F65">
              <w:rPr>
                <w:sz w:val="22"/>
                <w:szCs w:val="22"/>
              </w:rPr>
              <w:t>Cholecystitis</w:t>
            </w:r>
            <w:r w:rsidRPr="00F42C8D">
              <w:rPr>
                <w:sz w:val="22"/>
                <w:szCs w:val="22"/>
                <w:vertAlign w:val="superscript"/>
              </w:rPr>
              <w:t>n</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692C02FF" w14:textId="77777777" w:rsidR="00355DFD" w:rsidRPr="00811F65" w:rsidRDefault="00355DFD" w:rsidP="00AC347D">
            <w:pPr>
              <w:rPr>
                <w:sz w:val="22"/>
                <w:szCs w:val="22"/>
              </w:rPr>
            </w:pPr>
            <w:r w:rsidRPr="00811F65">
              <w:rPr>
                <w:sz w:val="22"/>
                <w:szCs w:val="22"/>
              </w:rPr>
              <w:t>1.0</w:t>
            </w:r>
          </w:p>
        </w:tc>
        <w:tc>
          <w:tcPr>
            <w:tcW w:w="556" w:type="pct"/>
            <w:tcBorders>
              <w:top w:val="single" w:sz="6" w:space="0" w:color="000000"/>
              <w:left w:val="single" w:sz="6" w:space="0" w:color="000000"/>
              <w:bottom w:val="single" w:sz="6" w:space="0" w:color="000000"/>
              <w:right w:val="single" w:sz="6" w:space="0" w:color="000000"/>
            </w:tcBorders>
            <w:hideMark/>
          </w:tcPr>
          <w:p w14:paraId="587BE287" w14:textId="77777777" w:rsidR="00355DFD" w:rsidRPr="00811F65" w:rsidRDefault="00355DFD" w:rsidP="00AC347D">
            <w:pPr>
              <w:rPr>
                <w:sz w:val="22"/>
                <w:szCs w:val="22"/>
              </w:rPr>
            </w:pPr>
            <w:r w:rsidRPr="00811F65">
              <w:rPr>
                <w:sz w:val="22"/>
                <w:szCs w:val="22"/>
              </w:rPr>
              <w:t>0.6</w:t>
            </w:r>
          </w:p>
        </w:tc>
        <w:tc>
          <w:tcPr>
            <w:tcW w:w="556" w:type="pct"/>
            <w:tcBorders>
              <w:top w:val="single" w:sz="6" w:space="0" w:color="000000"/>
              <w:left w:val="single" w:sz="6" w:space="0" w:color="000000"/>
              <w:bottom w:val="single" w:sz="6" w:space="0" w:color="000000"/>
              <w:right w:val="single" w:sz="6" w:space="0" w:color="000000"/>
            </w:tcBorders>
            <w:hideMark/>
          </w:tcPr>
          <w:p w14:paraId="23AE327B" w14:textId="77777777" w:rsidR="00355DFD" w:rsidRPr="00811F65" w:rsidRDefault="00355DFD" w:rsidP="00AC347D">
            <w:pPr>
              <w:rPr>
                <w:sz w:val="22"/>
                <w:szCs w:val="22"/>
              </w:rPr>
            </w:pPr>
            <w:r w:rsidRPr="00811F65">
              <w:rPr>
                <w:sz w:val="22"/>
                <w:szCs w:val="22"/>
              </w:rPr>
              <w:t>0.1</w:t>
            </w:r>
          </w:p>
        </w:tc>
      </w:tr>
      <w:tr w:rsidR="00355DFD" w:rsidRPr="00811F65" w14:paraId="5A8849C2" w14:textId="77777777" w:rsidTr="005235F2">
        <w:tc>
          <w:tcPr>
            <w:tcW w:w="1377" w:type="pct"/>
            <w:vMerge w:val="restart"/>
            <w:tcBorders>
              <w:top w:val="nil"/>
              <w:left w:val="single" w:sz="4" w:space="0" w:color="000000"/>
              <w:bottom w:val="single" w:sz="6" w:space="0" w:color="000000"/>
              <w:right w:val="single" w:sz="6" w:space="0" w:color="000000"/>
            </w:tcBorders>
            <w:hideMark/>
          </w:tcPr>
          <w:p w14:paraId="04061113" w14:textId="77777777" w:rsidR="00355DFD" w:rsidRPr="00811F65" w:rsidRDefault="00355DFD" w:rsidP="00AC347D">
            <w:pPr>
              <w:rPr>
                <w:rFonts w:eastAsia="TimesNewRoman"/>
                <w:sz w:val="22"/>
                <w:szCs w:val="22"/>
              </w:rPr>
            </w:pPr>
            <w:r w:rsidRPr="00811F65">
              <w:rPr>
                <w:rFonts w:eastAsia="TimesNewRoman"/>
                <w:sz w:val="22"/>
                <w:szCs w:val="22"/>
              </w:rPr>
              <w:lastRenderedPageBreak/>
              <w:t>Hud og subkutane væv</w:t>
            </w:r>
          </w:p>
        </w:tc>
        <w:tc>
          <w:tcPr>
            <w:tcW w:w="749" w:type="pct"/>
            <w:vMerge w:val="restart"/>
            <w:tcBorders>
              <w:top w:val="single" w:sz="6" w:space="0" w:color="000000"/>
              <w:left w:val="single" w:sz="6" w:space="0" w:color="000000"/>
              <w:bottom w:val="single" w:sz="6" w:space="0" w:color="000000"/>
              <w:right w:val="single" w:sz="6" w:space="0" w:color="000000"/>
            </w:tcBorders>
            <w:hideMark/>
          </w:tcPr>
          <w:p w14:paraId="77C9BFD2" w14:textId="77777777" w:rsidR="00355DFD" w:rsidRPr="00811F65" w:rsidRDefault="00355DFD" w:rsidP="00AC347D">
            <w:pPr>
              <w:rPr>
                <w:sz w:val="22"/>
                <w:szCs w:val="22"/>
              </w:rPr>
            </w:pPr>
            <w:r w:rsidRPr="00811F65">
              <w:rPr>
                <w:sz w:val="22"/>
                <w:szCs w:val="22"/>
              </w:rPr>
              <w:t>Meget almindelig</w:t>
            </w:r>
          </w:p>
        </w:tc>
        <w:tc>
          <w:tcPr>
            <w:tcW w:w="1207" w:type="pct"/>
            <w:tcBorders>
              <w:top w:val="single" w:sz="6" w:space="0" w:color="000000"/>
              <w:left w:val="single" w:sz="6" w:space="0" w:color="000000"/>
              <w:bottom w:val="single" w:sz="6" w:space="0" w:color="000000"/>
              <w:right w:val="single" w:sz="6" w:space="0" w:color="000000"/>
            </w:tcBorders>
            <w:hideMark/>
          </w:tcPr>
          <w:p w14:paraId="11D0C4CB" w14:textId="77777777" w:rsidR="00355DFD" w:rsidRPr="00811F65" w:rsidRDefault="00355DFD" w:rsidP="00AC347D">
            <w:pPr>
              <w:rPr>
                <w:sz w:val="22"/>
                <w:szCs w:val="22"/>
              </w:rPr>
            </w:pPr>
            <w:proofErr w:type="spellStart"/>
            <w:r w:rsidRPr="00811F65">
              <w:rPr>
                <w:sz w:val="22"/>
                <w:szCs w:val="22"/>
              </w:rPr>
              <w:t>Palmo-plantar</w:t>
            </w:r>
            <w:proofErr w:type="spellEnd"/>
            <w:r w:rsidRPr="00811F65">
              <w:rPr>
                <w:sz w:val="22"/>
                <w:szCs w:val="22"/>
              </w:rPr>
              <w:t xml:space="preserve"> </w:t>
            </w:r>
            <w:proofErr w:type="spellStart"/>
            <w:r w:rsidRPr="00811F65">
              <w:rPr>
                <w:sz w:val="22"/>
                <w:szCs w:val="22"/>
              </w:rPr>
              <w:t>erytrodysæstesi</w:t>
            </w:r>
            <w:proofErr w:type="spellEnd"/>
            <w:r w:rsidRPr="00811F65">
              <w:rPr>
                <w:sz w:val="22"/>
                <w:szCs w:val="22"/>
              </w:rPr>
              <w:t xml:space="preserve"> (hån dog fod syndrom)</w:t>
            </w:r>
          </w:p>
        </w:tc>
        <w:tc>
          <w:tcPr>
            <w:tcW w:w="555" w:type="pct"/>
            <w:tcBorders>
              <w:top w:val="single" w:sz="6" w:space="0" w:color="000000"/>
              <w:left w:val="single" w:sz="6" w:space="0" w:color="000000"/>
              <w:bottom w:val="single" w:sz="6" w:space="0" w:color="000000"/>
              <w:right w:val="single" w:sz="6" w:space="0" w:color="000000"/>
            </w:tcBorders>
            <w:hideMark/>
          </w:tcPr>
          <w:p w14:paraId="111A49A2" w14:textId="77777777" w:rsidR="00355DFD" w:rsidRPr="00811F65" w:rsidRDefault="00355DFD" w:rsidP="00AC347D">
            <w:pPr>
              <w:rPr>
                <w:sz w:val="22"/>
                <w:szCs w:val="22"/>
              </w:rPr>
            </w:pPr>
            <w:r w:rsidRPr="00811F65">
              <w:rPr>
                <w:sz w:val="22"/>
                <w:szCs w:val="22"/>
              </w:rPr>
              <w:t>32.1</w:t>
            </w:r>
          </w:p>
        </w:tc>
        <w:tc>
          <w:tcPr>
            <w:tcW w:w="556" w:type="pct"/>
            <w:tcBorders>
              <w:top w:val="single" w:sz="6" w:space="0" w:color="000000"/>
              <w:left w:val="single" w:sz="6" w:space="0" w:color="000000"/>
              <w:bottom w:val="single" w:sz="6" w:space="0" w:color="000000"/>
              <w:right w:val="single" w:sz="6" w:space="0" w:color="000000"/>
            </w:tcBorders>
            <w:hideMark/>
          </w:tcPr>
          <w:p w14:paraId="388793EF" w14:textId="77777777" w:rsidR="00355DFD" w:rsidRPr="00811F65" w:rsidRDefault="00355DFD" w:rsidP="00AC347D">
            <w:pPr>
              <w:rPr>
                <w:sz w:val="22"/>
                <w:szCs w:val="22"/>
              </w:rPr>
            </w:pPr>
            <w:r w:rsidRPr="00811F65">
              <w:rPr>
                <w:sz w:val="22"/>
                <w:szCs w:val="22"/>
              </w:rPr>
              <w:t>7.6</w:t>
            </w:r>
          </w:p>
        </w:tc>
        <w:tc>
          <w:tcPr>
            <w:tcW w:w="556" w:type="pct"/>
            <w:tcBorders>
              <w:top w:val="single" w:sz="6" w:space="0" w:color="000000"/>
              <w:left w:val="single" w:sz="6" w:space="0" w:color="000000"/>
              <w:bottom w:val="single" w:sz="6" w:space="0" w:color="000000"/>
              <w:right w:val="single" w:sz="6" w:space="0" w:color="000000"/>
            </w:tcBorders>
            <w:hideMark/>
          </w:tcPr>
          <w:p w14:paraId="4443079F" w14:textId="77777777" w:rsidR="00355DFD" w:rsidRPr="00811F65" w:rsidRDefault="00355DFD" w:rsidP="00AC347D">
            <w:pPr>
              <w:rPr>
                <w:sz w:val="22"/>
                <w:szCs w:val="22"/>
              </w:rPr>
            </w:pPr>
            <w:r w:rsidRPr="00811F65">
              <w:rPr>
                <w:sz w:val="22"/>
                <w:szCs w:val="22"/>
              </w:rPr>
              <w:t>0</w:t>
            </w:r>
          </w:p>
        </w:tc>
      </w:tr>
      <w:tr w:rsidR="00355DFD" w:rsidRPr="00811F65" w14:paraId="6C9A076D"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39828001" w14:textId="77777777" w:rsidR="00355DFD" w:rsidRPr="00811F65" w:rsidRDefault="00355DFD" w:rsidP="00AC347D">
            <w:pPr>
              <w:rPr>
                <w:rFonts w:eastAsia="TimesNewRoman"/>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5E7568C0"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5940650A" w14:textId="77777777" w:rsidR="00355DFD" w:rsidRPr="00811F65" w:rsidRDefault="00355DFD" w:rsidP="00AC347D">
            <w:pPr>
              <w:rPr>
                <w:sz w:val="22"/>
                <w:szCs w:val="22"/>
              </w:rPr>
            </w:pPr>
            <w:r w:rsidRPr="00811F65">
              <w:rPr>
                <w:sz w:val="22"/>
                <w:szCs w:val="22"/>
              </w:rPr>
              <w:t xml:space="preserve">Udslæt </w:t>
            </w:r>
          </w:p>
        </w:tc>
        <w:tc>
          <w:tcPr>
            <w:tcW w:w="555" w:type="pct"/>
            <w:tcBorders>
              <w:top w:val="single" w:sz="6" w:space="0" w:color="000000"/>
              <w:left w:val="single" w:sz="6" w:space="0" w:color="000000"/>
              <w:bottom w:val="single" w:sz="6" w:space="0" w:color="000000"/>
              <w:right w:val="single" w:sz="6" w:space="0" w:color="000000"/>
            </w:tcBorders>
            <w:hideMark/>
          </w:tcPr>
          <w:p w14:paraId="167121ED" w14:textId="77777777" w:rsidR="00355DFD" w:rsidRPr="00811F65" w:rsidRDefault="00355DFD" w:rsidP="00AC347D">
            <w:pPr>
              <w:rPr>
                <w:sz w:val="22"/>
                <w:szCs w:val="22"/>
              </w:rPr>
            </w:pPr>
            <w:r w:rsidRPr="00811F65">
              <w:rPr>
                <w:sz w:val="22"/>
                <w:szCs w:val="22"/>
              </w:rPr>
              <w:t>14.3</w:t>
            </w:r>
          </w:p>
        </w:tc>
        <w:tc>
          <w:tcPr>
            <w:tcW w:w="556" w:type="pct"/>
            <w:tcBorders>
              <w:top w:val="single" w:sz="6" w:space="0" w:color="000000"/>
              <w:left w:val="single" w:sz="6" w:space="0" w:color="000000"/>
              <w:bottom w:val="single" w:sz="6" w:space="0" w:color="000000"/>
              <w:right w:val="single" w:sz="6" w:space="0" w:color="000000"/>
            </w:tcBorders>
            <w:hideMark/>
          </w:tcPr>
          <w:p w14:paraId="0D2F4D27" w14:textId="77777777" w:rsidR="00355DFD" w:rsidRPr="00811F65" w:rsidRDefault="00355DFD" w:rsidP="00AC347D">
            <w:pPr>
              <w:rPr>
                <w:sz w:val="22"/>
                <w:szCs w:val="22"/>
              </w:rPr>
            </w:pPr>
            <w:r w:rsidRPr="00811F65">
              <w:rPr>
                <w:sz w:val="22"/>
                <w:szCs w:val="22"/>
              </w:rPr>
              <w:t>0.1</w:t>
            </w:r>
          </w:p>
        </w:tc>
        <w:tc>
          <w:tcPr>
            <w:tcW w:w="556" w:type="pct"/>
            <w:tcBorders>
              <w:top w:val="single" w:sz="6" w:space="0" w:color="000000"/>
              <w:left w:val="single" w:sz="6" w:space="0" w:color="000000"/>
              <w:bottom w:val="single" w:sz="6" w:space="0" w:color="000000"/>
              <w:right w:val="single" w:sz="6" w:space="0" w:color="000000"/>
            </w:tcBorders>
            <w:hideMark/>
          </w:tcPr>
          <w:p w14:paraId="6AAF92A7" w14:textId="77777777" w:rsidR="00355DFD" w:rsidRPr="00811F65" w:rsidRDefault="00355DFD" w:rsidP="00AC347D">
            <w:pPr>
              <w:rPr>
                <w:sz w:val="22"/>
                <w:szCs w:val="22"/>
              </w:rPr>
            </w:pPr>
            <w:r w:rsidRPr="00811F65">
              <w:rPr>
                <w:sz w:val="22"/>
                <w:szCs w:val="22"/>
              </w:rPr>
              <w:t>0</w:t>
            </w:r>
          </w:p>
        </w:tc>
      </w:tr>
      <w:tr w:rsidR="00355DFD" w:rsidRPr="00811F65" w14:paraId="0934FBB5"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6C1BDCFA" w14:textId="77777777" w:rsidR="00355DFD" w:rsidRPr="00811F65" w:rsidRDefault="00355DFD" w:rsidP="00AC347D">
            <w:pPr>
              <w:rPr>
                <w:rFonts w:eastAsia="TimesNewRoman"/>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03F950BE"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0E9B4E7C" w14:textId="77777777" w:rsidR="00355DFD" w:rsidRPr="00811F65" w:rsidRDefault="00355DFD" w:rsidP="00AC347D">
            <w:pPr>
              <w:rPr>
                <w:sz w:val="22"/>
                <w:szCs w:val="22"/>
              </w:rPr>
            </w:pPr>
            <w:r w:rsidRPr="00811F65">
              <w:rPr>
                <w:sz w:val="22"/>
                <w:szCs w:val="22"/>
              </w:rPr>
              <w:t xml:space="preserve">Tør hud </w:t>
            </w:r>
          </w:p>
        </w:tc>
        <w:tc>
          <w:tcPr>
            <w:tcW w:w="555" w:type="pct"/>
            <w:tcBorders>
              <w:top w:val="single" w:sz="6" w:space="0" w:color="000000"/>
              <w:left w:val="single" w:sz="6" w:space="0" w:color="000000"/>
              <w:bottom w:val="single" w:sz="6" w:space="0" w:color="000000"/>
              <w:right w:val="single" w:sz="6" w:space="0" w:color="000000"/>
            </w:tcBorders>
            <w:hideMark/>
          </w:tcPr>
          <w:p w14:paraId="771EAD21" w14:textId="77777777" w:rsidR="00355DFD" w:rsidRPr="00811F65" w:rsidRDefault="00355DFD" w:rsidP="00AC347D">
            <w:pPr>
              <w:rPr>
                <w:sz w:val="22"/>
                <w:szCs w:val="22"/>
              </w:rPr>
            </w:pPr>
            <w:r w:rsidRPr="00811F65">
              <w:rPr>
                <w:sz w:val="22"/>
                <w:szCs w:val="22"/>
              </w:rPr>
              <w:t>10.1</w:t>
            </w:r>
          </w:p>
        </w:tc>
        <w:tc>
          <w:tcPr>
            <w:tcW w:w="556" w:type="pct"/>
            <w:tcBorders>
              <w:top w:val="single" w:sz="6" w:space="0" w:color="000000"/>
              <w:left w:val="single" w:sz="6" w:space="0" w:color="000000"/>
              <w:bottom w:val="single" w:sz="6" w:space="0" w:color="000000"/>
              <w:right w:val="single" w:sz="6" w:space="0" w:color="000000"/>
            </w:tcBorders>
            <w:hideMark/>
          </w:tcPr>
          <w:p w14:paraId="6EE4D321" w14:textId="77777777" w:rsidR="00355DFD" w:rsidRPr="00811F65" w:rsidRDefault="00355DFD" w:rsidP="00AC347D">
            <w:pPr>
              <w:rPr>
                <w:sz w:val="22"/>
                <w:szCs w:val="22"/>
              </w:rPr>
            </w:pPr>
            <w:r w:rsidRPr="00811F65">
              <w:rPr>
                <w:sz w:val="22"/>
                <w:szCs w:val="22"/>
              </w:rPr>
              <w:t>0.1</w:t>
            </w:r>
          </w:p>
        </w:tc>
        <w:tc>
          <w:tcPr>
            <w:tcW w:w="556" w:type="pct"/>
            <w:tcBorders>
              <w:top w:val="single" w:sz="6" w:space="0" w:color="000000"/>
              <w:left w:val="single" w:sz="6" w:space="0" w:color="000000"/>
              <w:bottom w:val="single" w:sz="6" w:space="0" w:color="000000"/>
              <w:right w:val="single" w:sz="6" w:space="0" w:color="000000"/>
            </w:tcBorders>
            <w:hideMark/>
          </w:tcPr>
          <w:p w14:paraId="5B849AD6" w14:textId="77777777" w:rsidR="00355DFD" w:rsidRPr="00811F65" w:rsidRDefault="00355DFD" w:rsidP="00AC347D">
            <w:pPr>
              <w:rPr>
                <w:sz w:val="22"/>
                <w:szCs w:val="22"/>
              </w:rPr>
            </w:pPr>
            <w:r w:rsidRPr="00811F65">
              <w:rPr>
                <w:sz w:val="22"/>
                <w:szCs w:val="22"/>
              </w:rPr>
              <w:t>0</w:t>
            </w:r>
          </w:p>
        </w:tc>
      </w:tr>
      <w:tr w:rsidR="00355DFD" w:rsidRPr="00811F65" w14:paraId="785D811E"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50A8FAD0" w14:textId="77777777" w:rsidR="00355DFD" w:rsidRPr="00811F65" w:rsidRDefault="00355DFD" w:rsidP="00AC347D">
            <w:pPr>
              <w:rPr>
                <w:rFonts w:eastAsia="TimesNewRoman"/>
                <w:sz w:val="22"/>
                <w:szCs w:val="22"/>
              </w:rPr>
            </w:pPr>
          </w:p>
        </w:tc>
        <w:tc>
          <w:tcPr>
            <w:tcW w:w="749" w:type="pct"/>
            <w:vMerge w:val="restart"/>
            <w:tcBorders>
              <w:top w:val="single" w:sz="6" w:space="0" w:color="000000"/>
              <w:left w:val="single" w:sz="6" w:space="0" w:color="000000"/>
              <w:bottom w:val="single" w:sz="6" w:space="0" w:color="000000"/>
              <w:right w:val="single" w:sz="6" w:space="0" w:color="000000"/>
            </w:tcBorders>
            <w:hideMark/>
          </w:tcPr>
          <w:p w14:paraId="7DAACFE8" w14:textId="77777777" w:rsidR="00355DFD" w:rsidRPr="00811F65" w:rsidRDefault="00355DFD" w:rsidP="00AC347D">
            <w:pPr>
              <w:rPr>
                <w:sz w:val="22"/>
                <w:szCs w:val="22"/>
              </w:rPr>
            </w:pPr>
            <w:r w:rsidRPr="00811F65">
              <w:rPr>
                <w:sz w:val="22"/>
                <w:szCs w:val="22"/>
              </w:rPr>
              <w:t>Almindelig</w:t>
            </w:r>
          </w:p>
        </w:tc>
        <w:tc>
          <w:tcPr>
            <w:tcW w:w="1207" w:type="pct"/>
            <w:tcBorders>
              <w:top w:val="single" w:sz="6" w:space="0" w:color="000000"/>
              <w:left w:val="single" w:sz="6" w:space="0" w:color="000000"/>
              <w:bottom w:val="single" w:sz="6" w:space="0" w:color="000000"/>
              <w:right w:val="single" w:sz="6" w:space="0" w:color="000000"/>
            </w:tcBorders>
            <w:hideMark/>
          </w:tcPr>
          <w:p w14:paraId="1CF6E906" w14:textId="77777777" w:rsidR="00355DFD" w:rsidRPr="00811F65" w:rsidRDefault="00355DFD" w:rsidP="00AC347D">
            <w:pPr>
              <w:rPr>
                <w:sz w:val="22"/>
                <w:szCs w:val="22"/>
              </w:rPr>
            </w:pPr>
            <w:proofErr w:type="spellStart"/>
            <w:r w:rsidRPr="00811F65">
              <w:rPr>
                <w:sz w:val="22"/>
                <w:szCs w:val="22"/>
              </w:rPr>
              <w:t>Pruritus</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47565AD4" w14:textId="77777777" w:rsidR="00355DFD" w:rsidRPr="00811F65" w:rsidRDefault="00355DFD" w:rsidP="00AC347D">
            <w:pPr>
              <w:rPr>
                <w:sz w:val="22"/>
                <w:szCs w:val="22"/>
              </w:rPr>
            </w:pPr>
            <w:r w:rsidRPr="00811F65">
              <w:rPr>
                <w:sz w:val="22"/>
                <w:szCs w:val="22"/>
              </w:rPr>
              <w:t>6.0</w:t>
            </w:r>
          </w:p>
        </w:tc>
        <w:tc>
          <w:tcPr>
            <w:tcW w:w="556" w:type="pct"/>
            <w:tcBorders>
              <w:top w:val="single" w:sz="6" w:space="0" w:color="000000"/>
              <w:left w:val="single" w:sz="6" w:space="0" w:color="000000"/>
              <w:bottom w:val="single" w:sz="6" w:space="0" w:color="000000"/>
              <w:right w:val="single" w:sz="6" w:space="0" w:color="000000"/>
            </w:tcBorders>
            <w:hideMark/>
          </w:tcPr>
          <w:p w14:paraId="56E75413" w14:textId="77777777" w:rsidR="00355DFD" w:rsidRPr="00811F65" w:rsidRDefault="00355DFD" w:rsidP="00AC347D">
            <w:pPr>
              <w:rPr>
                <w:sz w:val="22"/>
                <w:szCs w:val="22"/>
              </w:rPr>
            </w:pPr>
            <w:r w:rsidRPr="00811F65">
              <w:rPr>
                <w:sz w:val="22"/>
                <w:szCs w:val="22"/>
              </w:rPr>
              <w:t>0</w:t>
            </w:r>
          </w:p>
        </w:tc>
        <w:tc>
          <w:tcPr>
            <w:tcW w:w="556" w:type="pct"/>
            <w:tcBorders>
              <w:top w:val="single" w:sz="6" w:space="0" w:color="000000"/>
              <w:left w:val="single" w:sz="6" w:space="0" w:color="000000"/>
              <w:bottom w:val="single" w:sz="6" w:space="0" w:color="000000"/>
              <w:right w:val="single" w:sz="6" w:space="0" w:color="000000"/>
            </w:tcBorders>
            <w:hideMark/>
          </w:tcPr>
          <w:p w14:paraId="03914DAC" w14:textId="77777777" w:rsidR="00355DFD" w:rsidRPr="00811F65" w:rsidRDefault="00355DFD" w:rsidP="00AC347D">
            <w:pPr>
              <w:rPr>
                <w:sz w:val="22"/>
                <w:szCs w:val="22"/>
              </w:rPr>
            </w:pPr>
            <w:r w:rsidRPr="00811F65">
              <w:rPr>
                <w:sz w:val="22"/>
                <w:szCs w:val="22"/>
              </w:rPr>
              <w:t>0</w:t>
            </w:r>
          </w:p>
        </w:tc>
      </w:tr>
      <w:tr w:rsidR="00355DFD" w:rsidRPr="00811F65" w14:paraId="240D7309"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362F6099" w14:textId="77777777" w:rsidR="00355DFD" w:rsidRPr="00811F65" w:rsidRDefault="00355DFD" w:rsidP="00AC347D">
            <w:pPr>
              <w:rPr>
                <w:rFonts w:eastAsia="TimesNewRoman"/>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52999B6F"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69ECC099" w14:textId="77777777" w:rsidR="00355DFD" w:rsidRPr="00811F65" w:rsidRDefault="00355DFD" w:rsidP="00AC347D">
            <w:pPr>
              <w:rPr>
                <w:sz w:val="22"/>
                <w:szCs w:val="22"/>
              </w:rPr>
            </w:pPr>
            <w:proofErr w:type="spellStart"/>
            <w:r w:rsidRPr="00811F65">
              <w:rPr>
                <w:sz w:val="22"/>
                <w:szCs w:val="22"/>
              </w:rPr>
              <w:t>Erytem</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3AA58E2A" w14:textId="77777777" w:rsidR="00355DFD" w:rsidRPr="00811F65" w:rsidRDefault="00355DFD" w:rsidP="00AC347D">
            <w:pPr>
              <w:rPr>
                <w:sz w:val="22"/>
                <w:szCs w:val="22"/>
              </w:rPr>
            </w:pPr>
            <w:r w:rsidRPr="00811F65">
              <w:rPr>
                <w:sz w:val="22"/>
                <w:szCs w:val="22"/>
              </w:rPr>
              <w:t>3.7</w:t>
            </w:r>
          </w:p>
        </w:tc>
        <w:tc>
          <w:tcPr>
            <w:tcW w:w="556" w:type="pct"/>
            <w:tcBorders>
              <w:top w:val="single" w:sz="6" w:space="0" w:color="000000"/>
              <w:left w:val="single" w:sz="6" w:space="0" w:color="000000"/>
              <w:bottom w:val="single" w:sz="6" w:space="0" w:color="000000"/>
              <w:right w:val="single" w:sz="6" w:space="0" w:color="000000"/>
            </w:tcBorders>
            <w:hideMark/>
          </w:tcPr>
          <w:p w14:paraId="7C4BC043" w14:textId="77777777" w:rsidR="00355DFD" w:rsidRPr="00811F65" w:rsidRDefault="00355DFD" w:rsidP="00AC347D">
            <w:pPr>
              <w:rPr>
                <w:sz w:val="22"/>
                <w:szCs w:val="22"/>
              </w:rPr>
            </w:pPr>
            <w:r w:rsidRPr="00811F65">
              <w:rPr>
                <w:sz w:val="22"/>
                <w:szCs w:val="22"/>
              </w:rPr>
              <w:t>0</w:t>
            </w:r>
          </w:p>
        </w:tc>
        <w:tc>
          <w:tcPr>
            <w:tcW w:w="556" w:type="pct"/>
            <w:tcBorders>
              <w:top w:val="single" w:sz="6" w:space="0" w:color="000000"/>
              <w:left w:val="single" w:sz="6" w:space="0" w:color="000000"/>
              <w:bottom w:val="single" w:sz="6" w:space="0" w:color="000000"/>
              <w:right w:val="single" w:sz="6" w:space="0" w:color="000000"/>
            </w:tcBorders>
            <w:hideMark/>
          </w:tcPr>
          <w:p w14:paraId="011BD6D6" w14:textId="77777777" w:rsidR="00355DFD" w:rsidRPr="00811F65" w:rsidRDefault="00355DFD" w:rsidP="00AC347D">
            <w:pPr>
              <w:rPr>
                <w:sz w:val="22"/>
                <w:szCs w:val="22"/>
              </w:rPr>
            </w:pPr>
            <w:r w:rsidRPr="00811F65">
              <w:rPr>
                <w:sz w:val="22"/>
                <w:szCs w:val="22"/>
              </w:rPr>
              <w:t>0</w:t>
            </w:r>
          </w:p>
        </w:tc>
      </w:tr>
      <w:tr w:rsidR="00355DFD" w:rsidRPr="00811F65" w14:paraId="229FFFD1"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3302E8F4" w14:textId="77777777" w:rsidR="00355DFD" w:rsidRPr="00811F65" w:rsidRDefault="00355DFD" w:rsidP="00AC347D">
            <w:pPr>
              <w:rPr>
                <w:rFonts w:eastAsia="TimesNewRoman"/>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11AF9EF7"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19721C0C" w14:textId="77777777" w:rsidR="00355DFD" w:rsidRPr="00811F65" w:rsidRDefault="00355DFD" w:rsidP="00AC347D">
            <w:pPr>
              <w:rPr>
                <w:sz w:val="22"/>
                <w:szCs w:val="22"/>
              </w:rPr>
            </w:pPr>
            <w:proofErr w:type="spellStart"/>
            <w:r w:rsidRPr="00811F65">
              <w:rPr>
                <w:sz w:val="22"/>
                <w:szCs w:val="22"/>
              </w:rPr>
              <w:t>Alopeci</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49AABDEE" w14:textId="77777777" w:rsidR="00355DFD" w:rsidRPr="00811F65" w:rsidRDefault="00355DFD" w:rsidP="00AC347D">
            <w:pPr>
              <w:rPr>
                <w:sz w:val="22"/>
                <w:szCs w:val="22"/>
              </w:rPr>
            </w:pPr>
            <w:r w:rsidRPr="00811F65">
              <w:rPr>
                <w:sz w:val="22"/>
                <w:szCs w:val="22"/>
              </w:rPr>
              <w:t>5.7</w:t>
            </w:r>
          </w:p>
        </w:tc>
        <w:tc>
          <w:tcPr>
            <w:tcW w:w="556" w:type="pct"/>
            <w:tcBorders>
              <w:top w:val="single" w:sz="6" w:space="0" w:color="000000"/>
              <w:left w:val="single" w:sz="6" w:space="0" w:color="000000"/>
              <w:bottom w:val="single" w:sz="6" w:space="0" w:color="000000"/>
              <w:right w:val="single" w:sz="6" w:space="0" w:color="000000"/>
            </w:tcBorders>
            <w:hideMark/>
          </w:tcPr>
          <w:p w14:paraId="3645332F" w14:textId="77777777" w:rsidR="00355DFD" w:rsidRPr="00811F65" w:rsidRDefault="00355DFD" w:rsidP="00AC347D">
            <w:pPr>
              <w:rPr>
                <w:sz w:val="22"/>
                <w:szCs w:val="22"/>
              </w:rPr>
            </w:pPr>
            <w:r w:rsidRPr="00811F65">
              <w:rPr>
                <w:sz w:val="22"/>
                <w:szCs w:val="22"/>
              </w:rPr>
              <w:t>0</w:t>
            </w:r>
          </w:p>
        </w:tc>
        <w:tc>
          <w:tcPr>
            <w:tcW w:w="556" w:type="pct"/>
            <w:tcBorders>
              <w:top w:val="single" w:sz="6" w:space="0" w:color="000000"/>
              <w:left w:val="single" w:sz="6" w:space="0" w:color="000000"/>
              <w:bottom w:val="single" w:sz="6" w:space="0" w:color="000000"/>
              <w:right w:val="single" w:sz="6" w:space="0" w:color="000000"/>
            </w:tcBorders>
            <w:hideMark/>
          </w:tcPr>
          <w:p w14:paraId="17C95A75" w14:textId="77777777" w:rsidR="00355DFD" w:rsidRPr="00811F65" w:rsidRDefault="00355DFD" w:rsidP="00AC347D">
            <w:pPr>
              <w:rPr>
                <w:sz w:val="22"/>
                <w:szCs w:val="22"/>
              </w:rPr>
            </w:pPr>
            <w:r w:rsidRPr="00811F65">
              <w:rPr>
                <w:sz w:val="22"/>
                <w:szCs w:val="22"/>
              </w:rPr>
              <w:t>0</w:t>
            </w:r>
          </w:p>
        </w:tc>
      </w:tr>
      <w:tr w:rsidR="00355DFD" w:rsidRPr="00811F65" w14:paraId="3C0ABE7A" w14:textId="77777777" w:rsidTr="005235F2">
        <w:tc>
          <w:tcPr>
            <w:tcW w:w="1377" w:type="pct"/>
            <w:vMerge w:val="restart"/>
            <w:tcBorders>
              <w:top w:val="nil"/>
              <w:left w:val="single" w:sz="4" w:space="0" w:color="000000"/>
              <w:bottom w:val="single" w:sz="6" w:space="0" w:color="000000"/>
              <w:right w:val="single" w:sz="6" w:space="0" w:color="000000"/>
            </w:tcBorders>
            <w:hideMark/>
          </w:tcPr>
          <w:p w14:paraId="12D427EE" w14:textId="01D44B57" w:rsidR="00355DFD" w:rsidRPr="00811F65" w:rsidRDefault="00355DFD" w:rsidP="00AC347D">
            <w:pPr>
              <w:rPr>
                <w:sz w:val="22"/>
                <w:szCs w:val="22"/>
              </w:rPr>
            </w:pPr>
            <w:r w:rsidRPr="00811F65">
              <w:rPr>
                <w:rFonts w:eastAsia="TimesNewRoman"/>
                <w:sz w:val="22"/>
                <w:szCs w:val="22"/>
              </w:rPr>
              <w:t>Knogler, led, muskler og</w:t>
            </w:r>
            <w:r w:rsidR="00F42C8D">
              <w:rPr>
                <w:rFonts w:eastAsia="TimesNewRoman"/>
                <w:sz w:val="22"/>
                <w:szCs w:val="22"/>
              </w:rPr>
              <w:t xml:space="preserve"> </w:t>
            </w:r>
            <w:r w:rsidRPr="00811F65">
              <w:rPr>
                <w:rFonts w:eastAsia="TimesNewRoman"/>
                <w:sz w:val="22"/>
                <w:szCs w:val="22"/>
              </w:rPr>
              <w:t>bindevæv</w:t>
            </w:r>
          </w:p>
        </w:tc>
        <w:tc>
          <w:tcPr>
            <w:tcW w:w="749" w:type="pct"/>
            <w:vMerge w:val="restart"/>
            <w:tcBorders>
              <w:top w:val="single" w:sz="6" w:space="0" w:color="000000"/>
              <w:left w:val="single" w:sz="6" w:space="0" w:color="000000"/>
              <w:bottom w:val="single" w:sz="6" w:space="0" w:color="000000"/>
              <w:right w:val="single" w:sz="6" w:space="0" w:color="000000"/>
            </w:tcBorders>
            <w:hideMark/>
          </w:tcPr>
          <w:p w14:paraId="700C89D5" w14:textId="77777777" w:rsidR="00355DFD" w:rsidRPr="00811F65" w:rsidRDefault="00355DFD" w:rsidP="00AC347D">
            <w:pPr>
              <w:rPr>
                <w:sz w:val="22"/>
                <w:szCs w:val="22"/>
              </w:rPr>
            </w:pPr>
            <w:r w:rsidRPr="00811F65">
              <w:rPr>
                <w:sz w:val="22"/>
                <w:szCs w:val="22"/>
              </w:rPr>
              <w:t>Meget almindelig</w:t>
            </w:r>
          </w:p>
        </w:tc>
        <w:tc>
          <w:tcPr>
            <w:tcW w:w="1207" w:type="pct"/>
            <w:tcBorders>
              <w:top w:val="single" w:sz="6" w:space="0" w:color="000000"/>
              <w:left w:val="single" w:sz="6" w:space="0" w:color="000000"/>
              <w:bottom w:val="single" w:sz="6" w:space="0" w:color="000000"/>
              <w:right w:val="single" w:sz="6" w:space="0" w:color="000000"/>
            </w:tcBorders>
            <w:hideMark/>
          </w:tcPr>
          <w:p w14:paraId="2C10AF4F" w14:textId="77777777" w:rsidR="00355DFD" w:rsidRPr="00811F65" w:rsidRDefault="00355DFD" w:rsidP="00AC347D">
            <w:pPr>
              <w:rPr>
                <w:sz w:val="22"/>
                <w:szCs w:val="22"/>
              </w:rPr>
            </w:pPr>
            <w:proofErr w:type="spellStart"/>
            <w:r w:rsidRPr="00811F65">
              <w:rPr>
                <w:sz w:val="22"/>
                <w:szCs w:val="22"/>
              </w:rPr>
              <w:t>Artralgi</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17223827" w14:textId="77777777" w:rsidR="00355DFD" w:rsidRPr="00811F65" w:rsidRDefault="00355DFD" w:rsidP="00AC347D">
            <w:pPr>
              <w:rPr>
                <w:sz w:val="22"/>
                <w:szCs w:val="22"/>
              </w:rPr>
            </w:pPr>
            <w:r w:rsidRPr="00811F65">
              <w:rPr>
                <w:sz w:val="22"/>
                <w:szCs w:val="22"/>
              </w:rPr>
              <w:t>17.7</w:t>
            </w:r>
          </w:p>
        </w:tc>
        <w:tc>
          <w:tcPr>
            <w:tcW w:w="556" w:type="pct"/>
            <w:tcBorders>
              <w:top w:val="single" w:sz="6" w:space="0" w:color="000000"/>
              <w:left w:val="single" w:sz="6" w:space="0" w:color="000000"/>
              <w:bottom w:val="single" w:sz="6" w:space="0" w:color="000000"/>
              <w:right w:val="single" w:sz="6" w:space="0" w:color="000000"/>
            </w:tcBorders>
            <w:hideMark/>
          </w:tcPr>
          <w:p w14:paraId="16D0EA77" w14:textId="77777777" w:rsidR="00355DFD" w:rsidRPr="00811F65" w:rsidRDefault="00355DFD" w:rsidP="00AC347D">
            <w:pPr>
              <w:rPr>
                <w:sz w:val="22"/>
                <w:szCs w:val="22"/>
              </w:rPr>
            </w:pPr>
            <w:r w:rsidRPr="00811F65">
              <w:rPr>
                <w:sz w:val="22"/>
                <w:szCs w:val="22"/>
              </w:rPr>
              <w:t>1.9</w:t>
            </w:r>
          </w:p>
        </w:tc>
        <w:tc>
          <w:tcPr>
            <w:tcW w:w="556" w:type="pct"/>
            <w:tcBorders>
              <w:top w:val="single" w:sz="6" w:space="0" w:color="000000"/>
              <w:left w:val="single" w:sz="6" w:space="0" w:color="000000"/>
              <w:bottom w:val="single" w:sz="6" w:space="0" w:color="000000"/>
              <w:right w:val="single" w:sz="6" w:space="0" w:color="000000"/>
            </w:tcBorders>
            <w:hideMark/>
          </w:tcPr>
          <w:p w14:paraId="67BF96D8" w14:textId="77777777" w:rsidR="00355DFD" w:rsidRPr="00811F65" w:rsidRDefault="00355DFD" w:rsidP="00AC347D">
            <w:pPr>
              <w:rPr>
                <w:sz w:val="22"/>
                <w:szCs w:val="22"/>
              </w:rPr>
            </w:pPr>
            <w:r w:rsidRPr="00811F65">
              <w:rPr>
                <w:sz w:val="22"/>
                <w:szCs w:val="22"/>
              </w:rPr>
              <w:t>0.3</w:t>
            </w:r>
          </w:p>
        </w:tc>
      </w:tr>
      <w:tr w:rsidR="00355DFD" w:rsidRPr="00811F65" w14:paraId="4DC451C1"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033A1847" w14:textId="77777777" w:rsidR="00355DFD" w:rsidRPr="00811F65" w:rsidRDefault="00355DFD" w:rsidP="00AC347D">
            <w:pPr>
              <w:rPr>
                <w:rFonts w:eastAsiaTheme="minorHAnsi"/>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66C219FB"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3F6BA93F" w14:textId="77777777" w:rsidR="00355DFD" w:rsidRPr="00811F65" w:rsidRDefault="00355DFD" w:rsidP="00AC347D">
            <w:pPr>
              <w:rPr>
                <w:sz w:val="22"/>
                <w:szCs w:val="22"/>
              </w:rPr>
            </w:pPr>
            <w:proofErr w:type="spellStart"/>
            <w:r w:rsidRPr="00811F65">
              <w:rPr>
                <w:sz w:val="22"/>
                <w:szCs w:val="22"/>
              </w:rPr>
              <w:t>Ekstremitssmerter</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2048B86B" w14:textId="77777777" w:rsidR="00355DFD" w:rsidRPr="00811F65" w:rsidRDefault="00355DFD" w:rsidP="00AC347D">
            <w:pPr>
              <w:rPr>
                <w:sz w:val="22"/>
                <w:szCs w:val="22"/>
              </w:rPr>
            </w:pPr>
            <w:r w:rsidRPr="00811F65">
              <w:rPr>
                <w:sz w:val="22"/>
                <w:szCs w:val="22"/>
              </w:rPr>
              <w:t>14.1</w:t>
            </w:r>
          </w:p>
        </w:tc>
        <w:tc>
          <w:tcPr>
            <w:tcW w:w="556" w:type="pct"/>
            <w:tcBorders>
              <w:top w:val="single" w:sz="6" w:space="0" w:color="000000"/>
              <w:left w:val="single" w:sz="6" w:space="0" w:color="000000"/>
              <w:bottom w:val="single" w:sz="6" w:space="0" w:color="000000"/>
              <w:right w:val="single" w:sz="6" w:space="0" w:color="000000"/>
            </w:tcBorders>
            <w:hideMark/>
          </w:tcPr>
          <w:p w14:paraId="20D7B53E" w14:textId="77777777" w:rsidR="00355DFD" w:rsidRPr="00811F65" w:rsidRDefault="00355DFD" w:rsidP="00AC347D">
            <w:pPr>
              <w:rPr>
                <w:sz w:val="22"/>
                <w:szCs w:val="22"/>
              </w:rPr>
            </w:pPr>
            <w:r w:rsidRPr="00811F65">
              <w:rPr>
                <w:sz w:val="22"/>
                <w:szCs w:val="22"/>
              </w:rPr>
              <w:t>1.0</w:t>
            </w:r>
          </w:p>
        </w:tc>
        <w:tc>
          <w:tcPr>
            <w:tcW w:w="556" w:type="pct"/>
            <w:tcBorders>
              <w:top w:val="single" w:sz="6" w:space="0" w:color="000000"/>
              <w:left w:val="single" w:sz="6" w:space="0" w:color="000000"/>
              <w:bottom w:val="single" w:sz="6" w:space="0" w:color="000000"/>
              <w:right w:val="single" w:sz="6" w:space="0" w:color="000000"/>
            </w:tcBorders>
            <w:hideMark/>
          </w:tcPr>
          <w:p w14:paraId="0E50D33C" w14:textId="77777777" w:rsidR="00355DFD" w:rsidRPr="00811F65" w:rsidRDefault="00355DFD" w:rsidP="00AC347D">
            <w:pPr>
              <w:rPr>
                <w:sz w:val="22"/>
                <w:szCs w:val="22"/>
              </w:rPr>
            </w:pPr>
            <w:r w:rsidRPr="00811F65">
              <w:rPr>
                <w:sz w:val="22"/>
                <w:szCs w:val="22"/>
              </w:rPr>
              <w:t>0.3</w:t>
            </w:r>
          </w:p>
        </w:tc>
      </w:tr>
      <w:tr w:rsidR="00355DFD" w:rsidRPr="00811F65" w14:paraId="3636EF94"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7F813259" w14:textId="77777777" w:rsidR="00355DFD" w:rsidRPr="00811F65" w:rsidRDefault="00355DFD" w:rsidP="00AC347D">
            <w:pPr>
              <w:rPr>
                <w:rFonts w:eastAsiaTheme="minorHAnsi"/>
                <w:sz w:val="22"/>
                <w:szCs w:val="22"/>
              </w:rPr>
            </w:pPr>
          </w:p>
        </w:tc>
        <w:tc>
          <w:tcPr>
            <w:tcW w:w="749" w:type="pct"/>
            <w:tcBorders>
              <w:top w:val="single" w:sz="6" w:space="0" w:color="000000"/>
              <w:left w:val="single" w:sz="6" w:space="0" w:color="000000"/>
              <w:bottom w:val="single" w:sz="6" w:space="0" w:color="000000"/>
              <w:right w:val="single" w:sz="6" w:space="0" w:color="000000"/>
            </w:tcBorders>
            <w:vAlign w:val="center"/>
            <w:hideMark/>
          </w:tcPr>
          <w:p w14:paraId="1A758D5A" w14:textId="77777777" w:rsidR="00355DFD" w:rsidRPr="00811F65" w:rsidRDefault="00355DFD" w:rsidP="00AC347D">
            <w:pPr>
              <w:rPr>
                <w:sz w:val="22"/>
                <w:szCs w:val="22"/>
              </w:rPr>
            </w:pPr>
            <w:r w:rsidRPr="00811F65">
              <w:rPr>
                <w:sz w:val="22"/>
                <w:szCs w:val="22"/>
              </w:rPr>
              <w:t>almindelig</w:t>
            </w:r>
          </w:p>
        </w:tc>
        <w:tc>
          <w:tcPr>
            <w:tcW w:w="1207" w:type="pct"/>
            <w:tcBorders>
              <w:top w:val="single" w:sz="6" w:space="0" w:color="000000"/>
              <w:left w:val="single" w:sz="6" w:space="0" w:color="000000"/>
              <w:bottom w:val="single" w:sz="6" w:space="0" w:color="000000"/>
              <w:right w:val="single" w:sz="6" w:space="0" w:color="000000"/>
            </w:tcBorders>
            <w:hideMark/>
          </w:tcPr>
          <w:p w14:paraId="2ABC637A" w14:textId="77777777" w:rsidR="00355DFD" w:rsidRPr="00811F65" w:rsidRDefault="00355DFD" w:rsidP="00AC347D">
            <w:pPr>
              <w:rPr>
                <w:sz w:val="22"/>
                <w:szCs w:val="22"/>
              </w:rPr>
            </w:pPr>
            <w:proofErr w:type="spellStart"/>
            <w:r w:rsidRPr="00811F65">
              <w:rPr>
                <w:sz w:val="22"/>
                <w:szCs w:val="22"/>
              </w:rPr>
              <w:t>Myalgia</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1841187D" w14:textId="77777777" w:rsidR="00355DFD" w:rsidRPr="00811F65" w:rsidRDefault="00355DFD" w:rsidP="00AC347D">
            <w:pPr>
              <w:rPr>
                <w:sz w:val="22"/>
                <w:szCs w:val="22"/>
              </w:rPr>
            </w:pPr>
            <w:r w:rsidRPr="00811F65">
              <w:rPr>
                <w:sz w:val="22"/>
                <w:szCs w:val="22"/>
              </w:rPr>
              <w:t>8.2</w:t>
            </w:r>
          </w:p>
        </w:tc>
        <w:tc>
          <w:tcPr>
            <w:tcW w:w="556" w:type="pct"/>
            <w:tcBorders>
              <w:top w:val="single" w:sz="6" w:space="0" w:color="000000"/>
              <w:left w:val="single" w:sz="6" w:space="0" w:color="000000"/>
              <w:bottom w:val="single" w:sz="6" w:space="0" w:color="000000"/>
              <w:right w:val="single" w:sz="6" w:space="0" w:color="000000"/>
            </w:tcBorders>
            <w:hideMark/>
          </w:tcPr>
          <w:p w14:paraId="14552CBC" w14:textId="77777777" w:rsidR="00355DFD" w:rsidRPr="00811F65" w:rsidRDefault="00355DFD" w:rsidP="00AC347D">
            <w:pPr>
              <w:rPr>
                <w:sz w:val="22"/>
                <w:szCs w:val="22"/>
              </w:rPr>
            </w:pPr>
            <w:r w:rsidRPr="00811F65">
              <w:rPr>
                <w:sz w:val="22"/>
                <w:szCs w:val="22"/>
              </w:rPr>
              <w:t>0.6</w:t>
            </w:r>
          </w:p>
        </w:tc>
        <w:tc>
          <w:tcPr>
            <w:tcW w:w="556" w:type="pct"/>
            <w:tcBorders>
              <w:top w:val="single" w:sz="6" w:space="0" w:color="000000"/>
              <w:left w:val="single" w:sz="6" w:space="0" w:color="000000"/>
              <w:bottom w:val="single" w:sz="6" w:space="0" w:color="000000"/>
              <w:right w:val="single" w:sz="6" w:space="0" w:color="000000"/>
            </w:tcBorders>
            <w:hideMark/>
          </w:tcPr>
          <w:p w14:paraId="22A1DA0D" w14:textId="77777777" w:rsidR="00355DFD" w:rsidRPr="00811F65" w:rsidRDefault="00355DFD" w:rsidP="00AC347D">
            <w:pPr>
              <w:rPr>
                <w:sz w:val="22"/>
                <w:szCs w:val="22"/>
              </w:rPr>
            </w:pPr>
            <w:r w:rsidRPr="00811F65">
              <w:rPr>
                <w:sz w:val="22"/>
                <w:szCs w:val="22"/>
              </w:rPr>
              <w:t>0.1</w:t>
            </w:r>
          </w:p>
        </w:tc>
      </w:tr>
      <w:tr w:rsidR="00355DFD" w:rsidRPr="00811F65" w14:paraId="7F661DD5" w14:textId="77777777" w:rsidTr="005235F2">
        <w:tc>
          <w:tcPr>
            <w:tcW w:w="1377" w:type="pct"/>
            <w:vMerge w:val="restart"/>
            <w:tcBorders>
              <w:top w:val="nil"/>
              <w:left w:val="single" w:sz="4" w:space="0" w:color="000000"/>
              <w:bottom w:val="single" w:sz="6" w:space="0" w:color="000000"/>
              <w:right w:val="single" w:sz="6" w:space="0" w:color="000000"/>
            </w:tcBorders>
            <w:hideMark/>
          </w:tcPr>
          <w:p w14:paraId="7491C5D9" w14:textId="77777777" w:rsidR="00355DFD" w:rsidRPr="00811F65" w:rsidRDefault="00355DFD" w:rsidP="00AC347D">
            <w:pPr>
              <w:rPr>
                <w:sz w:val="22"/>
                <w:szCs w:val="22"/>
              </w:rPr>
            </w:pPr>
            <w:r w:rsidRPr="00811F65">
              <w:rPr>
                <w:sz w:val="22"/>
                <w:szCs w:val="22"/>
              </w:rPr>
              <w:t>Nyrer og urinveje</w:t>
            </w:r>
          </w:p>
        </w:tc>
        <w:tc>
          <w:tcPr>
            <w:tcW w:w="749" w:type="pct"/>
            <w:tcBorders>
              <w:top w:val="single" w:sz="6" w:space="0" w:color="000000"/>
              <w:left w:val="single" w:sz="6" w:space="0" w:color="000000"/>
              <w:bottom w:val="single" w:sz="6" w:space="0" w:color="000000"/>
              <w:right w:val="single" w:sz="6" w:space="0" w:color="000000"/>
            </w:tcBorders>
            <w:hideMark/>
          </w:tcPr>
          <w:p w14:paraId="176001CE" w14:textId="77777777" w:rsidR="00355DFD" w:rsidRPr="00811F65" w:rsidRDefault="00355DFD" w:rsidP="00AC347D">
            <w:pPr>
              <w:rPr>
                <w:sz w:val="22"/>
                <w:szCs w:val="22"/>
              </w:rPr>
            </w:pPr>
            <w:r w:rsidRPr="00811F65">
              <w:rPr>
                <w:sz w:val="22"/>
                <w:szCs w:val="22"/>
              </w:rPr>
              <w:t>Meget almindelig</w:t>
            </w:r>
          </w:p>
        </w:tc>
        <w:tc>
          <w:tcPr>
            <w:tcW w:w="1207" w:type="pct"/>
            <w:tcBorders>
              <w:top w:val="single" w:sz="6" w:space="0" w:color="000000"/>
              <w:left w:val="single" w:sz="6" w:space="0" w:color="000000"/>
              <w:bottom w:val="single" w:sz="6" w:space="0" w:color="000000"/>
              <w:right w:val="single" w:sz="6" w:space="0" w:color="000000"/>
            </w:tcBorders>
            <w:hideMark/>
          </w:tcPr>
          <w:p w14:paraId="59320BEF" w14:textId="77777777" w:rsidR="00355DFD" w:rsidRPr="00811F65" w:rsidRDefault="00355DFD" w:rsidP="00AC347D">
            <w:pPr>
              <w:rPr>
                <w:sz w:val="22"/>
                <w:szCs w:val="22"/>
              </w:rPr>
            </w:pPr>
            <w:proofErr w:type="spellStart"/>
            <w:r w:rsidRPr="00811F65">
              <w:rPr>
                <w:sz w:val="22"/>
                <w:szCs w:val="22"/>
              </w:rPr>
              <w:t>Proteinuri</w:t>
            </w:r>
            <w:r w:rsidRPr="00F42C8D">
              <w:rPr>
                <w:sz w:val="22"/>
                <w:szCs w:val="22"/>
                <w:vertAlign w:val="superscript"/>
              </w:rPr>
              <w:t>l</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7000B054" w14:textId="77777777" w:rsidR="00355DFD" w:rsidRPr="00811F65" w:rsidRDefault="00355DFD" w:rsidP="00AC347D">
            <w:pPr>
              <w:rPr>
                <w:sz w:val="22"/>
                <w:szCs w:val="22"/>
              </w:rPr>
            </w:pPr>
            <w:r w:rsidRPr="00811F65">
              <w:rPr>
                <w:sz w:val="22"/>
                <w:szCs w:val="22"/>
              </w:rPr>
              <w:t>21.1</w:t>
            </w:r>
          </w:p>
        </w:tc>
        <w:tc>
          <w:tcPr>
            <w:tcW w:w="556" w:type="pct"/>
            <w:tcBorders>
              <w:top w:val="single" w:sz="6" w:space="0" w:color="000000"/>
              <w:left w:val="single" w:sz="6" w:space="0" w:color="000000"/>
              <w:bottom w:val="single" w:sz="6" w:space="0" w:color="000000"/>
              <w:right w:val="single" w:sz="6" w:space="0" w:color="000000"/>
            </w:tcBorders>
            <w:hideMark/>
          </w:tcPr>
          <w:p w14:paraId="657984EB" w14:textId="77777777" w:rsidR="00355DFD" w:rsidRPr="00811F65" w:rsidRDefault="00355DFD" w:rsidP="00AC347D">
            <w:pPr>
              <w:rPr>
                <w:sz w:val="22"/>
                <w:szCs w:val="22"/>
              </w:rPr>
            </w:pPr>
            <w:r w:rsidRPr="00811F65">
              <w:rPr>
                <w:sz w:val="22"/>
                <w:szCs w:val="22"/>
              </w:rPr>
              <w:t>4.8</w:t>
            </w:r>
          </w:p>
        </w:tc>
        <w:tc>
          <w:tcPr>
            <w:tcW w:w="556" w:type="pct"/>
            <w:tcBorders>
              <w:top w:val="single" w:sz="6" w:space="0" w:color="000000"/>
              <w:left w:val="single" w:sz="6" w:space="0" w:color="000000"/>
              <w:bottom w:val="single" w:sz="6" w:space="0" w:color="000000"/>
              <w:right w:val="single" w:sz="6" w:space="0" w:color="000000"/>
            </w:tcBorders>
            <w:hideMark/>
          </w:tcPr>
          <w:p w14:paraId="01ED15B3" w14:textId="77777777" w:rsidR="00355DFD" w:rsidRPr="00811F65" w:rsidRDefault="00355DFD" w:rsidP="00AC347D">
            <w:pPr>
              <w:rPr>
                <w:sz w:val="22"/>
                <w:szCs w:val="22"/>
              </w:rPr>
            </w:pPr>
            <w:r w:rsidRPr="00811F65">
              <w:rPr>
                <w:sz w:val="22"/>
                <w:szCs w:val="22"/>
              </w:rPr>
              <w:t>0.1</w:t>
            </w:r>
          </w:p>
        </w:tc>
      </w:tr>
      <w:tr w:rsidR="00355DFD" w:rsidRPr="00811F65" w14:paraId="3CBE532F"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0B938239" w14:textId="77777777" w:rsidR="00355DFD" w:rsidRPr="00811F65" w:rsidRDefault="00355DFD" w:rsidP="00AC347D">
            <w:pPr>
              <w:rPr>
                <w:rFonts w:eastAsiaTheme="minorHAnsi"/>
                <w:sz w:val="22"/>
                <w:szCs w:val="22"/>
              </w:rPr>
            </w:pPr>
          </w:p>
        </w:tc>
        <w:tc>
          <w:tcPr>
            <w:tcW w:w="749" w:type="pct"/>
            <w:tcBorders>
              <w:top w:val="single" w:sz="6" w:space="0" w:color="000000"/>
              <w:left w:val="single" w:sz="6" w:space="0" w:color="000000"/>
              <w:bottom w:val="single" w:sz="6" w:space="0" w:color="000000"/>
              <w:right w:val="single" w:sz="6" w:space="0" w:color="000000"/>
            </w:tcBorders>
            <w:hideMark/>
          </w:tcPr>
          <w:p w14:paraId="34F78944" w14:textId="77777777" w:rsidR="00355DFD" w:rsidRPr="00811F65" w:rsidRDefault="00355DFD" w:rsidP="00AC347D">
            <w:pPr>
              <w:rPr>
                <w:sz w:val="22"/>
                <w:szCs w:val="22"/>
              </w:rPr>
            </w:pPr>
            <w:r w:rsidRPr="00811F65">
              <w:rPr>
                <w:sz w:val="22"/>
                <w:szCs w:val="22"/>
              </w:rPr>
              <w:t>Almindelig</w:t>
            </w:r>
          </w:p>
        </w:tc>
        <w:tc>
          <w:tcPr>
            <w:tcW w:w="1207" w:type="pct"/>
            <w:tcBorders>
              <w:top w:val="single" w:sz="6" w:space="0" w:color="000000"/>
              <w:left w:val="single" w:sz="6" w:space="0" w:color="000000"/>
              <w:bottom w:val="single" w:sz="6" w:space="0" w:color="000000"/>
              <w:right w:val="single" w:sz="6" w:space="0" w:color="000000"/>
            </w:tcBorders>
            <w:hideMark/>
          </w:tcPr>
          <w:p w14:paraId="1759D743" w14:textId="77777777" w:rsidR="00355DFD" w:rsidRPr="00811F65" w:rsidRDefault="00355DFD" w:rsidP="00AC347D">
            <w:pPr>
              <w:rPr>
                <w:sz w:val="22"/>
                <w:szCs w:val="22"/>
              </w:rPr>
            </w:pPr>
            <w:proofErr w:type="spellStart"/>
            <w:r w:rsidRPr="00811F65">
              <w:rPr>
                <w:sz w:val="22"/>
                <w:szCs w:val="22"/>
              </w:rPr>
              <w:t>Nyresvigt</w:t>
            </w:r>
            <w:r w:rsidRPr="00F42C8D">
              <w:rPr>
                <w:sz w:val="22"/>
                <w:szCs w:val="22"/>
                <w:vertAlign w:val="superscript"/>
              </w:rPr>
              <w:t>m</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6CA3EBD8" w14:textId="77777777" w:rsidR="00355DFD" w:rsidRPr="00811F65" w:rsidRDefault="00355DFD" w:rsidP="00AC347D">
            <w:pPr>
              <w:rPr>
                <w:sz w:val="22"/>
                <w:szCs w:val="22"/>
              </w:rPr>
            </w:pPr>
            <w:r w:rsidRPr="00811F65">
              <w:rPr>
                <w:sz w:val="22"/>
                <w:szCs w:val="22"/>
              </w:rPr>
              <w:t>1.6</w:t>
            </w:r>
          </w:p>
        </w:tc>
        <w:tc>
          <w:tcPr>
            <w:tcW w:w="556" w:type="pct"/>
            <w:tcBorders>
              <w:top w:val="single" w:sz="6" w:space="0" w:color="000000"/>
              <w:left w:val="single" w:sz="6" w:space="0" w:color="000000"/>
              <w:bottom w:val="single" w:sz="6" w:space="0" w:color="000000"/>
              <w:right w:val="single" w:sz="6" w:space="0" w:color="000000"/>
            </w:tcBorders>
            <w:hideMark/>
          </w:tcPr>
          <w:p w14:paraId="679BBABF" w14:textId="77777777" w:rsidR="00355DFD" w:rsidRPr="00811F65" w:rsidRDefault="00355DFD" w:rsidP="00AC347D">
            <w:pPr>
              <w:rPr>
                <w:sz w:val="22"/>
                <w:szCs w:val="22"/>
              </w:rPr>
            </w:pPr>
            <w:r w:rsidRPr="00811F65">
              <w:rPr>
                <w:sz w:val="22"/>
                <w:szCs w:val="22"/>
              </w:rPr>
              <w:t>0.9</w:t>
            </w:r>
          </w:p>
        </w:tc>
        <w:tc>
          <w:tcPr>
            <w:tcW w:w="556" w:type="pct"/>
            <w:tcBorders>
              <w:top w:val="single" w:sz="6" w:space="0" w:color="000000"/>
              <w:left w:val="single" w:sz="6" w:space="0" w:color="000000"/>
              <w:bottom w:val="single" w:sz="6" w:space="0" w:color="000000"/>
              <w:right w:val="single" w:sz="6" w:space="0" w:color="000000"/>
            </w:tcBorders>
            <w:hideMark/>
          </w:tcPr>
          <w:p w14:paraId="5C582633" w14:textId="77777777" w:rsidR="00355DFD" w:rsidRPr="00811F65" w:rsidRDefault="00355DFD" w:rsidP="00AC347D">
            <w:pPr>
              <w:rPr>
                <w:sz w:val="22"/>
                <w:szCs w:val="22"/>
              </w:rPr>
            </w:pPr>
            <w:r w:rsidRPr="00811F65">
              <w:rPr>
                <w:sz w:val="22"/>
                <w:szCs w:val="22"/>
              </w:rPr>
              <w:t>0.1</w:t>
            </w:r>
          </w:p>
        </w:tc>
      </w:tr>
      <w:tr w:rsidR="00355DFD" w:rsidRPr="00811F65" w14:paraId="49DBCB25" w14:textId="77777777" w:rsidTr="005235F2">
        <w:tc>
          <w:tcPr>
            <w:tcW w:w="1377" w:type="pct"/>
            <w:vMerge w:val="restart"/>
            <w:tcBorders>
              <w:top w:val="nil"/>
              <w:left w:val="single" w:sz="4" w:space="0" w:color="000000"/>
              <w:bottom w:val="single" w:sz="6" w:space="0" w:color="000000"/>
              <w:right w:val="single" w:sz="6" w:space="0" w:color="000000"/>
            </w:tcBorders>
            <w:hideMark/>
          </w:tcPr>
          <w:p w14:paraId="08C98CBC" w14:textId="51394880" w:rsidR="00355DFD" w:rsidRPr="00811F65" w:rsidRDefault="00355DFD" w:rsidP="00AC347D">
            <w:pPr>
              <w:rPr>
                <w:rFonts w:eastAsia="TimesNewRoman"/>
                <w:sz w:val="22"/>
                <w:szCs w:val="22"/>
              </w:rPr>
            </w:pPr>
            <w:r w:rsidRPr="00811F65">
              <w:rPr>
                <w:rFonts w:eastAsia="TimesNewRoman"/>
                <w:sz w:val="22"/>
                <w:szCs w:val="22"/>
              </w:rPr>
              <w:t>Almene symptomer</w:t>
            </w:r>
            <w:r w:rsidR="00F42C8D">
              <w:rPr>
                <w:rFonts w:eastAsia="TimesNewRoman"/>
                <w:sz w:val="22"/>
                <w:szCs w:val="22"/>
              </w:rPr>
              <w:t xml:space="preserve"> </w:t>
            </w:r>
            <w:r w:rsidRPr="00811F65">
              <w:rPr>
                <w:rFonts w:eastAsia="TimesNewRoman"/>
                <w:sz w:val="22"/>
                <w:szCs w:val="22"/>
              </w:rPr>
              <w:t>og reaktioner på administrationsstedet</w:t>
            </w:r>
          </w:p>
        </w:tc>
        <w:tc>
          <w:tcPr>
            <w:tcW w:w="749" w:type="pct"/>
            <w:vMerge w:val="restart"/>
            <w:tcBorders>
              <w:top w:val="single" w:sz="6" w:space="0" w:color="000000"/>
              <w:left w:val="single" w:sz="6" w:space="0" w:color="000000"/>
              <w:bottom w:val="single" w:sz="6" w:space="0" w:color="000000"/>
              <w:right w:val="single" w:sz="6" w:space="0" w:color="000000"/>
            </w:tcBorders>
            <w:hideMark/>
          </w:tcPr>
          <w:p w14:paraId="3728ABE4" w14:textId="77777777" w:rsidR="00355DFD" w:rsidRPr="00811F65" w:rsidRDefault="00355DFD" w:rsidP="00AC347D">
            <w:pPr>
              <w:rPr>
                <w:sz w:val="22"/>
                <w:szCs w:val="22"/>
              </w:rPr>
            </w:pPr>
            <w:r w:rsidRPr="00811F65">
              <w:rPr>
                <w:sz w:val="22"/>
                <w:szCs w:val="22"/>
              </w:rPr>
              <w:t>Meget almindelig</w:t>
            </w:r>
          </w:p>
        </w:tc>
        <w:tc>
          <w:tcPr>
            <w:tcW w:w="1207" w:type="pct"/>
            <w:tcBorders>
              <w:top w:val="single" w:sz="6" w:space="0" w:color="000000"/>
              <w:left w:val="single" w:sz="6" w:space="0" w:color="000000"/>
              <w:bottom w:val="single" w:sz="6" w:space="0" w:color="000000"/>
              <w:right w:val="single" w:sz="6" w:space="0" w:color="000000"/>
            </w:tcBorders>
            <w:hideMark/>
          </w:tcPr>
          <w:p w14:paraId="2E570805" w14:textId="77777777" w:rsidR="00355DFD" w:rsidRPr="00811F65" w:rsidRDefault="00355DFD" w:rsidP="00AC347D">
            <w:pPr>
              <w:rPr>
                <w:sz w:val="22"/>
                <w:szCs w:val="22"/>
              </w:rPr>
            </w:pPr>
            <w:r w:rsidRPr="00811F65">
              <w:rPr>
                <w:sz w:val="22"/>
                <w:szCs w:val="22"/>
              </w:rPr>
              <w:t xml:space="preserve">Træthed </w:t>
            </w:r>
          </w:p>
        </w:tc>
        <w:tc>
          <w:tcPr>
            <w:tcW w:w="555" w:type="pct"/>
            <w:tcBorders>
              <w:top w:val="single" w:sz="6" w:space="0" w:color="000000"/>
              <w:left w:val="single" w:sz="6" w:space="0" w:color="000000"/>
              <w:bottom w:val="single" w:sz="6" w:space="0" w:color="000000"/>
              <w:right w:val="single" w:sz="6" w:space="0" w:color="000000"/>
            </w:tcBorders>
            <w:hideMark/>
          </w:tcPr>
          <w:p w14:paraId="5BDB7883" w14:textId="77777777" w:rsidR="00355DFD" w:rsidRPr="00811F65" w:rsidRDefault="00355DFD" w:rsidP="00AC347D">
            <w:pPr>
              <w:rPr>
                <w:sz w:val="22"/>
                <w:szCs w:val="22"/>
              </w:rPr>
            </w:pPr>
            <w:r w:rsidRPr="00811F65">
              <w:rPr>
                <w:sz w:val="22"/>
                <w:szCs w:val="22"/>
              </w:rPr>
              <w:t>45.1</w:t>
            </w:r>
          </w:p>
        </w:tc>
        <w:tc>
          <w:tcPr>
            <w:tcW w:w="556" w:type="pct"/>
            <w:tcBorders>
              <w:top w:val="single" w:sz="6" w:space="0" w:color="000000"/>
              <w:left w:val="single" w:sz="6" w:space="0" w:color="000000"/>
              <w:bottom w:val="single" w:sz="6" w:space="0" w:color="000000"/>
              <w:right w:val="single" w:sz="6" w:space="0" w:color="000000"/>
            </w:tcBorders>
            <w:hideMark/>
          </w:tcPr>
          <w:p w14:paraId="0DAB2B7C" w14:textId="77777777" w:rsidR="00355DFD" w:rsidRPr="00811F65" w:rsidRDefault="00355DFD" w:rsidP="00AC347D">
            <w:pPr>
              <w:rPr>
                <w:sz w:val="22"/>
                <w:szCs w:val="22"/>
              </w:rPr>
            </w:pPr>
            <w:r w:rsidRPr="00811F65">
              <w:rPr>
                <w:sz w:val="22"/>
                <w:szCs w:val="22"/>
              </w:rPr>
              <w:t>10.6</w:t>
            </w:r>
          </w:p>
        </w:tc>
        <w:tc>
          <w:tcPr>
            <w:tcW w:w="556" w:type="pct"/>
            <w:tcBorders>
              <w:top w:val="single" w:sz="6" w:space="0" w:color="000000"/>
              <w:left w:val="single" w:sz="6" w:space="0" w:color="000000"/>
              <w:bottom w:val="single" w:sz="6" w:space="0" w:color="000000"/>
              <w:right w:val="single" w:sz="6" w:space="0" w:color="000000"/>
            </w:tcBorders>
            <w:hideMark/>
          </w:tcPr>
          <w:p w14:paraId="7AAFEB1E" w14:textId="77777777" w:rsidR="00355DFD" w:rsidRPr="00811F65" w:rsidRDefault="00355DFD" w:rsidP="00AC347D">
            <w:pPr>
              <w:rPr>
                <w:sz w:val="22"/>
                <w:szCs w:val="22"/>
              </w:rPr>
            </w:pPr>
            <w:r w:rsidRPr="00811F65">
              <w:rPr>
                <w:sz w:val="22"/>
                <w:szCs w:val="22"/>
              </w:rPr>
              <w:t>0.3</w:t>
            </w:r>
          </w:p>
        </w:tc>
      </w:tr>
      <w:tr w:rsidR="00355DFD" w:rsidRPr="00811F65" w14:paraId="412F064D"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100D1DFD" w14:textId="77777777" w:rsidR="00355DFD" w:rsidRPr="00811F65" w:rsidRDefault="00355DFD" w:rsidP="00AC347D">
            <w:pPr>
              <w:rPr>
                <w:rFonts w:eastAsia="TimesNewRoman"/>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62443AB1"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6E8C7296" w14:textId="77777777" w:rsidR="00355DFD" w:rsidRPr="00811F65" w:rsidRDefault="00355DFD" w:rsidP="00AC347D">
            <w:pPr>
              <w:rPr>
                <w:sz w:val="22"/>
                <w:szCs w:val="22"/>
              </w:rPr>
            </w:pPr>
            <w:proofErr w:type="spellStart"/>
            <w:r w:rsidRPr="00811F65">
              <w:rPr>
                <w:sz w:val="22"/>
                <w:szCs w:val="22"/>
              </w:rPr>
              <w:t>Asteni</w:t>
            </w:r>
            <w:r w:rsidRPr="00F42C8D">
              <w:rPr>
                <w:sz w:val="22"/>
                <w:szCs w:val="22"/>
                <w:vertAlign w:val="superscript"/>
              </w:rPr>
              <w:t>d</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1D14DFFA" w14:textId="77777777" w:rsidR="00355DFD" w:rsidRPr="00811F65" w:rsidRDefault="00355DFD" w:rsidP="00AC347D">
            <w:pPr>
              <w:rPr>
                <w:sz w:val="22"/>
                <w:szCs w:val="22"/>
              </w:rPr>
            </w:pPr>
            <w:r w:rsidRPr="00811F65">
              <w:rPr>
                <w:sz w:val="22"/>
                <w:szCs w:val="22"/>
              </w:rPr>
              <w:t>13.8</w:t>
            </w:r>
          </w:p>
        </w:tc>
        <w:tc>
          <w:tcPr>
            <w:tcW w:w="556" w:type="pct"/>
            <w:tcBorders>
              <w:top w:val="single" w:sz="6" w:space="0" w:color="000000"/>
              <w:left w:val="single" w:sz="6" w:space="0" w:color="000000"/>
              <w:bottom w:val="single" w:sz="6" w:space="0" w:color="000000"/>
              <w:right w:val="single" w:sz="6" w:space="0" w:color="000000"/>
            </w:tcBorders>
            <w:hideMark/>
          </w:tcPr>
          <w:p w14:paraId="44E13A7C" w14:textId="77777777" w:rsidR="00355DFD" w:rsidRPr="00811F65" w:rsidRDefault="00355DFD" w:rsidP="00AC347D">
            <w:pPr>
              <w:rPr>
                <w:sz w:val="22"/>
                <w:szCs w:val="22"/>
              </w:rPr>
            </w:pPr>
            <w:r w:rsidRPr="00811F65">
              <w:rPr>
                <w:sz w:val="22"/>
                <w:szCs w:val="22"/>
              </w:rPr>
              <w:t>2.8</w:t>
            </w:r>
          </w:p>
        </w:tc>
        <w:tc>
          <w:tcPr>
            <w:tcW w:w="556" w:type="pct"/>
            <w:tcBorders>
              <w:top w:val="single" w:sz="6" w:space="0" w:color="000000"/>
              <w:left w:val="single" w:sz="6" w:space="0" w:color="000000"/>
              <w:bottom w:val="single" w:sz="6" w:space="0" w:color="000000"/>
              <w:right w:val="single" w:sz="6" w:space="0" w:color="000000"/>
            </w:tcBorders>
            <w:hideMark/>
          </w:tcPr>
          <w:p w14:paraId="0F8D7786" w14:textId="77777777" w:rsidR="00355DFD" w:rsidRPr="00811F65" w:rsidRDefault="00355DFD" w:rsidP="00AC347D">
            <w:pPr>
              <w:rPr>
                <w:sz w:val="22"/>
                <w:szCs w:val="22"/>
              </w:rPr>
            </w:pPr>
            <w:r w:rsidRPr="00811F65">
              <w:rPr>
                <w:sz w:val="22"/>
                <w:szCs w:val="22"/>
              </w:rPr>
              <w:t>0.3</w:t>
            </w:r>
          </w:p>
        </w:tc>
      </w:tr>
      <w:tr w:rsidR="00355DFD" w:rsidRPr="00811F65" w14:paraId="07EFC6DE"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4411A1C5" w14:textId="77777777" w:rsidR="00355DFD" w:rsidRPr="00811F65" w:rsidRDefault="00355DFD" w:rsidP="00AC347D">
            <w:pPr>
              <w:rPr>
                <w:rFonts w:eastAsia="TimesNewRoman"/>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7377EEAF"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5B0CB3E5" w14:textId="77777777" w:rsidR="00355DFD" w:rsidRPr="00811F65" w:rsidRDefault="00355DFD" w:rsidP="00AC347D">
            <w:pPr>
              <w:rPr>
                <w:sz w:val="22"/>
                <w:szCs w:val="22"/>
              </w:rPr>
            </w:pPr>
            <w:r w:rsidRPr="00811F65">
              <w:rPr>
                <w:sz w:val="22"/>
                <w:szCs w:val="22"/>
              </w:rPr>
              <w:t xml:space="preserve">Slimhindeinflammation </w:t>
            </w:r>
          </w:p>
        </w:tc>
        <w:tc>
          <w:tcPr>
            <w:tcW w:w="555" w:type="pct"/>
            <w:tcBorders>
              <w:top w:val="single" w:sz="6" w:space="0" w:color="000000"/>
              <w:left w:val="single" w:sz="6" w:space="0" w:color="000000"/>
              <w:bottom w:val="single" w:sz="6" w:space="0" w:color="000000"/>
              <w:right w:val="single" w:sz="6" w:space="0" w:color="000000"/>
            </w:tcBorders>
            <w:hideMark/>
          </w:tcPr>
          <w:p w14:paraId="115E5001" w14:textId="77777777" w:rsidR="00355DFD" w:rsidRPr="00811F65" w:rsidRDefault="00355DFD" w:rsidP="00AC347D">
            <w:pPr>
              <w:rPr>
                <w:sz w:val="22"/>
                <w:szCs w:val="22"/>
              </w:rPr>
            </w:pPr>
            <w:r w:rsidRPr="00811F65">
              <w:rPr>
                <w:sz w:val="22"/>
                <w:szCs w:val="22"/>
              </w:rPr>
              <w:t>13.7</w:t>
            </w:r>
          </w:p>
        </w:tc>
        <w:tc>
          <w:tcPr>
            <w:tcW w:w="556" w:type="pct"/>
            <w:tcBorders>
              <w:top w:val="single" w:sz="6" w:space="0" w:color="000000"/>
              <w:left w:val="single" w:sz="6" w:space="0" w:color="000000"/>
              <w:bottom w:val="single" w:sz="6" w:space="0" w:color="000000"/>
              <w:right w:val="single" w:sz="6" w:space="0" w:color="000000"/>
            </w:tcBorders>
            <w:hideMark/>
          </w:tcPr>
          <w:p w14:paraId="6A2FFAD8" w14:textId="77777777" w:rsidR="00355DFD" w:rsidRPr="00811F65" w:rsidRDefault="00355DFD" w:rsidP="00AC347D">
            <w:pPr>
              <w:rPr>
                <w:sz w:val="22"/>
                <w:szCs w:val="22"/>
              </w:rPr>
            </w:pPr>
            <w:r w:rsidRPr="00811F65">
              <w:rPr>
                <w:sz w:val="22"/>
                <w:szCs w:val="22"/>
              </w:rPr>
              <w:t>1.0</w:t>
            </w:r>
          </w:p>
        </w:tc>
        <w:tc>
          <w:tcPr>
            <w:tcW w:w="556" w:type="pct"/>
            <w:tcBorders>
              <w:top w:val="single" w:sz="6" w:space="0" w:color="000000"/>
              <w:left w:val="single" w:sz="6" w:space="0" w:color="000000"/>
              <w:bottom w:val="single" w:sz="6" w:space="0" w:color="000000"/>
              <w:right w:val="single" w:sz="6" w:space="0" w:color="000000"/>
            </w:tcBorders>
            <w:hideMark/>
          </w:tcPr>
          <w:p w14:paraId="4DB7316B" w14:textId="77777777" w:rsidR="00355DFD" w:rsidRPr="00811F65" w:rsidRDefault="00355DFD" w:rsidP="00AC347D">
            <w:pPr>
              <w:rPr>
                <w:sz w:val="22"/>
                <w:szCs w:val="22"/>
              </w:rPr>
            </w:pPr>
            <w:r w:rsidRPr="00811F65">
              <w:rPr>
                <w:sz w:val="22"/>
                <w:szCs w:val="22"/>
              </w:rPr>
              <w:t>0</w:t>
            </w:r>
          </w:p>
        </w:tc>
      </w:tr>
      <w:tr w:rsidR="00355DFD" w:rsidRPr="00811F65" w14:paraId="12C15A73" w14:textId="77777777" w:rsidTr="005235F2">
        <w:tc>
          <w:tcPr>
            <w:tcW w:w="1377" w:type="pct"/>
            <w:vMerge w:val="restart"/>
            <w:tcBorders>
              <w:top w:val="nil"/>
              <w:left w:val="single" w:sz="4" w:space="0" w:color="000000"/>
              <w:bottom w:val="single" w:sz="6" w:space="0" w:color="000000"/>
              <w:right w:val="single" w:sz="6" w:space="0" w:color="000000"/>
            </w:tcBorders>
            <w:hideMark/>
          </w:tcPr>
          <w:p w14:paraId="14ACE2D5" w14:textId="77777777" w:rsidR="00355DFD" w:rsidRPr="00811F65" w:rsidRDefault="00355DFD" w:rsidP="00AC347D">
            <w:pPr>
              <w:rPr>
                <w:sz w:val="22"/>
                <w:szCs w:val="22"/>
              </w:rPr>
            </w:pPr>
            <w:r w:rsidRPr="00811F65">
              <w:rPr>
                <w:sz w:val="22"/>
                <w:szCs w:val="22"/>
              </w:rPr>
              <w:t>Undersøgelser</w:t>
            </w:r>
          </w:p>
        </w:tc>
        <w:tc>
          <w:tcPr>
            <w:tcW w:w="749" w:type="pct"/>
            <w:tcBorders>
              <w:top w:val="single" w:sz="6" w:space="0" w:color="000000"/>
              <w:left w:val="single" w:sz="6" w:space="0" w:color="000000"/>
              <w:bottom w:val="single" w:sz="6" w:space="0" w:color="000000"/>
              <w:right w:val="single" w:sz="6" w:space="0" w:color="000000"/>
            </w:tcBorders>
            <w:hideMark/>
          </w:tcPr>
          <w:p w14:paraId="4786B0FD" w14:textId="77777777" w:rsidR="00355DFD" w:rsidRPr="00811F65" w:rsidRDefault="00355DFD" w:rsidP="00AC347D">
            <w:pPr>
              <w:rPr>
                <w:sz w:val="22"/>
                <w:szCs w:val="22"/>
              </w:rPr>
            </w:pPr>
            <w:r w:rsidRPr="00811F65">
              <w:rPr>
                <w:sz w:val="22"/>
                <w:szCs w:val="22"/>
              </w:rPr>
              <w:t>Meget almindelig</w:t>
            </w:r>
          </w:p>
        </w:tc>
        <w:tc>
          <w:tcPr>
            <w:tcW w:w="1207" w:type="pct"/>
            <w:tcBorders>
              <w:top w:val="single" w:sz="6" w:space="0" w:color="000000"/>
              <w:left w:val="single" w:sz="6" w:space="0" w:color="000000"/>
              <w:bottom w:val="single" w:sz="6" w:space="0" w:color="000000"/>
              <w:right w:val="single" w:sz="6" w:space="0" w:color="000000"/>
            </w:tcBorders>
            <w:hideMark/>
          </w:tcPr>
          <w:p w14:paraId="1540A8D0" w14:textId="77777777" w:rsidR="00355DFD" w:rsidRPr="00811F65" w:rsidRDefault="00355DFD" w:rsidP="00AC347D">
            <w:pPr>
              <w:rPr>
                <w:sz w:val="22"/>
                <w:szCs w:val="22"/>
              </w:rPr>
            </w:pPr>
            <w:r w:rsidRPr="00811F65">
              <w:rPr>
                <w:sz w:val="22"/>
                <w:szCs w:val="22"/>
              </w:rPr>
              <w:t xml:space="preserve">Vægttab </w:t>
            </w:r>
          </w:p>
        </w:tc>
        <w:tc>
          <w:tcPr>
            <w:tcW w:w="555" w:type="pct"/>
            <w:tcBorders>
              <w:top w:val="single" w:sz="6" w:space="0" w:color="000000"/>
              <w:left w:val="single" w:sz="6" w:space="0" w:color="000000"/>
              <w:bottom w:val="single" w:sz="6" w:space="0" w:color="000000"/>
              <w:right w:val="single" w:sz="6" w:space="0" w:color="000000"/>
            </w:tcBorders>
            <w:hideMark/>
          </w:tcPr>
          <w:p w14:paraId="6C98F14D" w14:textId="77777777" w:rsidR="00355DFD" w:rsidRPr="00811F65" w:rsidRDefault="00355DFD" w:rsidP="00AC347D">
            <w:pPr>
              <w:rPr>
                <w:sz w:val="22"/>
                <w:szCs w:val="22"/>
              </w:rPr>
            </w:pPr>
            <w:r w:rsidRPr="00811F65">
              <w:rPr>
                <w:sz w:val="22"/>
                <w:szCs w:val="22"/>
              </w:rPr>
              <w:t>32.7</w:t>
            </w:r>
          </w:p>
        </w:tc>
        <w:tc>
          <w:tcPr>
            <w:tcW w:w="556" w:type="pct"/>
            <w:tcBorders>
              <w:top w:val="single" w:sz="6" w:space="0" w:color="000000"/>
              <w:left w:val="single" w:sz="6" w:space="0" w:color="000000"/>
              <w:bottom w:val="single" w:sz="6" w:space="0" w:color="000000"/>
              <w:right w:val="single" w:sz="6" w:space="0" w:color="000000"/>
            </w:tcBorders>
            <w:hideMark/>
          </w:tcPr>
          <w:p w14:paraId="426E0A96" w14:textId="77777777" w:rsidR="00355DFD" w:rsidRPr="00811F65" w:rsidRDefault="00355DFD" w:rsidP="00AC347D">
            <w:pPr>
              <w:rPr>
                <w:sz w:val="22"/>
                <w:szCs w:val="22"/>
              </w:rPr>
            </w:pPr>
            <w:r w:rsidRPr="00811F65">
              <w:rPr>
                <w:sz w:val="22"/>
                <w:szCs w:val="22"/>
              </w:rPr>
              <w:t>4.9</w:t>
            </w:r>
          </w:p>
        </w:tc>
        <w:tc>
          <w:tcPr>
            <w:tcW w:w="556" w:type="pct"/>
            <w:tcBorders>
              <w:top w:val="single" w:sz="6" w:space="0" w:color="000000"/>
              <w:left w:val="single" w:sz="6" w:space="0" w:color="000000"/>
              <w:bottom w:val="single" w:sz="6" w:space="0" w:color="000000"/>
              <w:right w:val="single" w:sz="6" w:space="0" w:color="000000"/>
            </w:tcBorders>
            <w:hideMark/>
          </w:tcPr>
          <w:p w14:paraId="129900D3" w14:textId="77777777" w:rsidR="00355DFD" w:rsidRPr="00811F65" w:rsidRDefault="00355DFD" w:rsidP="00AC347D">
            <w:pPr>
              <w:rPr>
                <w:sz w:val="22"/>
                <w:szCs w:val="22"/>
              </w:rPr>
            </w:pPr>
            <w:r w:rsidRPr="00811F65">
              <w:rPr>
                <w:sz w:val="22"/>
                <w:szCs w:val="22"/>
              </w:rPr>
              <w:t>0</w:t>
            </w:r>
          </w:p>
        </w:tc>
      </w:tr>
      <w:tr w:rsidR="00355DFD" w:rsidRPr="00811F65" w14:paraId="71701393"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1EB79F4F" w14:textId="77777777" w:rsidR="00355DFD" w:rsidRPr="00811F65" w:rsidRDefault="00355DFD" w:rsidP="00AC347D">
            <w:pPr>
              <w:rPr>
                <w:rFonts w:eastAsiaTheme="minorHAnsi"/>
                <w:sz w:val="22"/>
                <w:szCs w:val="22"/>
              </w:rPr>
            </w:pPr>
          </w:p>
        </w:tc>
        <w:tc>
          <w:tcPr>
            <w:tcW w:w="749" w:type="pct"/>
            <w:vMerge w:val="restart"/>
            <w:tcBorders>
              <w:top w:val="single" w:sz="6" w:space="0" w:color="000000"/>
              <w:left w:val="single" w:sz="6" w:space="0" w:color="000000"/>
              <w:bottom w:val="single" w:sz="6" w:space="0" w:color="000000"/>
              <w:right w:val="single" w:sz="6" w:space="0" w:color="000000"/>
            </w:tcBorders>
            <w:hideMark/>
          </w:tcPr>
          <w:p w14:paraId="05674FA7" w14:textId="77777777" w:rsidR="00355DFD" w:rsidRPr="00811F65" w:rsidRDefault="00355DFD" w:rsidP="00AC347D">
            <w:pPr>
              <w:rPr>
                <w:sz w:val="22"/>
                <w:szCs w:val="22"/>
              </w:rPr>
            </w:pPr>
            <w:r w:rsidRPr="00811F65">
              <w:rPr>
                <w:sz w:val="22"/>
                <w:szCs w:val="22"/>
              </w:rPr>
              <w:t xml:space="preserve">Almindelig </w:t>
            </w:r>
          </w:p>
        </w:tc>
        <w:tc>
          <w:tcPr>
            <w:tcW w:w="1207" w:type="pct"/>
            <w:tcBorders>
              <w:top w:val="single" w:sz="6" w:space="0" w:color="000000"/>
              <w:left w:val="single" w:sz="6" w:space="0" w:color="000000"/>
              <w:bottom w:val="single" w:sz="6" w:space="0" w:color="000000"/>
              <w:right w:val="single" w:sz="6" w:space="0" w:color="000000"/>
            </w:tcBorders>
            <w:hideMark/>
          </w:tcPr>
          <w:p w14:paraId="676764C0" w14:textId="77777777" w:rsidR="00355DFD" w:rsidRPr="00811F65" w:rsidRDefault="00355DFD" w:rsidP="00AC347D">
            <w:pPr>
              <w:rPr>
                <w:sz w:val="22"/>
                <w:szCs w:val="22"/>
              </w:rPr>
            </w:pPr>
            <w:r w:rsidRPr="00811F65">
              <w:rPr>
                <w:sz w:val="22"/>
                <w:szCs w:val="22"/>
              </w:rPr>
              <w:t xml:space="preserve">Stigning i </w:t>
            </w:r>
            <w:proofErr w:type="spellStart"/>
            <w:r w:rsidRPr="00811F65">
              <w:rPr>
                <w:sz w:val="22"/>
                <w:szCs w:val="22"/>
              </w:rPr>
              <w:t>lipase</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0491049A" w14:textId="77777777" w:rsidR="00355DFD" w:rsidRPr="00811F65" w:rsidRDefault="00355DFD" w:rsidP="00AC347D">
            <w:pPr>
              <w:rPr>
                <w:sz w:val="22"/>
                <w:szCs w:val="22"/>
              </w:rPr>
            </w:pPr>
            <w:r w:rsidRPr="00811F65">
              <w:rPr>
                <w:sz w:val="22"/>
                <w:szCs w:val="22"/>
              </w:rPr>
              <w:t>3.7</w:t>
            </w:r>
          </w:p>
        </w:tc>
        <w:tc>
          <w:tcPr>
            <w:tcW w:w="556" w:type="pct"/>
            <w:tcBorders>
              <w:top w:val="single" w:sz="6" w:space="0" w:color="000000"/>
              <w:left w:val="single" w:sz="6" w:space="0" w:color="000000"/>
              <w:bottom w:val="single" w:sz="6" w:space="0" w:color="000000"/>
              <w:right w:val="single" w:sz="6" w:space="0" w:color="000000"/>
            </w:tcBorders>
            <w:hideMark/>
          </w:tcPr>
          <w:p w14:paraId="4A6A3C2C" w14:textId="77777777" w:rsidR="00355DFD" w:rsidRPr="00811F65" w:rsidRDefault="00355DFD" w:rsidP="00AC347D">
            <w:pPr>
              <w:rPr>
                <w:sz w:val="22"/>
                <w:szCs w:val="22"/>
              </w:rPr>
            </w:pPr>
            <w:r w:rsidRPr="00811F65">
              <w:rPr>
                <w:sz w:val="22"/>
                <w:szCs w:val="22"/>
              </w:rPr>
              <w:t>0.7</w:t>
            </w:r>
          </w:p>
        </w:tc>
        <w:tc>
          <w:tcPr>
            <w:tcW w:w="556" w:type="pct"/>
            <w:tcBorders>
              <w:top w:val="single" w:sz="6" w:space="0" w:color="000000"/>
              <w:left w:val="single" w:sz="6" w:space="0" w:color="000000"/>
              <w:bottom w:val="single" w:sz="6" w:space="0" w:color="000000"/>
              <w:right w:val="single" w:sz="6" w:space="0" w:color="000000"/>
            </w:tcBorders>
            <w:hideMark/>
          </w:tcPr>
          <w:p w14:paraId="68932E9C" w14:textId="77777777" w:rsidR="00355DFD" w:rsidRPr="00811F65" w:rsidRDefault="00355DFD" w:rsidP="00AC347D">
            <w:pPr>
              <w:rPr>
                <w:sz w:val="22"/>
                <w:szCs w:val="22"/>
              </w:rPr>
            </w:pPr>
            <w:r w:rsidRPr="00811F65">
              <w:rPr>
                <w:sz w:val="22"/>
                <w:szCs w:val="22"/>
              </w:rPr>
              <w:t>0.7</w:t>
            </w:r>
          </w:p>
        </w:tc>
      </w:tr>
      <w:tr w:rsidR="00355DFD" w:rsidRPr="00811F65" w14:paraId="3FECD259"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73ABE6BC" w14:textId="77777777" w:rsidR="00355DFD" w:rsidRPr="00811F65" w:rsidRDefault="00355DFD" w:rsidP="00AC347D">
            <w:pPr>
              <w:rPr>
                <w:rFonts w:eastAsiaTheme="minorHAnsi"/>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24BFAFB6"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68C4A4DE" w14:textId="77777777" w:rsidR="00355DFD" w:rsidRPr="00811F65" w:rsidRDefault="00355DFD" w:rsidP="00AC347D">
            <w:pPr>
              <w:rPr>
                <w:sz w:val="22"/>
                <w:szCs w:val="22"/>
              </w:rPr>
            </w:pPr>
            <w:r w:rsidRPr="00811F65">
              <w:rPr>
                <w:sz w:val="22"/>
                <w:szCs w:val="22"/>
              </w:rPr>
              <w:t xml:space="preserve">Stigning i </w:t>
            </w:r>
            <w:proofErr w:type="spellStart"/>
            <w:r w:rsidRPr="00811F65">
              <w:rPr>
                <w:sz w:val="22"/>
                <w:szCs w:val="22"/>
              </w:rPr>
              <w:t>alanine</w:t>
            </w:r>
            <w:proofErr w:type="spellEnd"/>
            <w:r w:rsidRPr="00811F65">
              <w:rPr>
                <w:sz w:val="22"/>
                <w:szCs w:val="22"/>
              </w:rPr>
              <w:t xml:space="preserve"> </w:t>
            </w:r>
            <w:proofErr w:type="spellStart"/>
            <w:r w:rsidRPr="00811F65">
              <w:rPr>
                <w:sz w:val="22"/>
                <w:szCs w:val="22"/>
              </w:rPr>
              <w:t>aminotransferase</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5AF5CAFD" w14:textId="77777777" w:rsidR="00355DFD" w:rsidRPr="00811F65" w:rsidRDefault="00355DFD" w:rsidP="00AC347D">
            <w:pPr>
              <w:rPr>
                <w:sz w:val="22"/>
                <w:szCs w:val="22"/>
              </w:rPr>
            </w:pPr>
            <w:r w:rsidRPr="00811F65">
              <w:rPr>
                <w:sz w:val="22"/>
                <w:szCs w:val="22"/>
              </w:rPr>
              <w:t>6.5</w:t>
            </w:r>
          </w:p>
        </w:tc>
        <w:tc>
          <w:tcPr>
            <w:tcW w:w="556" w:type="pct"/>
            <w:tcBorders>
              <w:top w:val="single" w:sz="6" w:space="0" w:color="000000"/>
              <w:left w:val="single" w:sz="6" w:space="0" w:color="000000"/>
              <w:bottom w:val="single" w:sz="6" w:space="0" w:color="000000"/>
              <w:right w:val="single" w:sz="6" w:space="0" w:color="000000"/>
            </w:tcBorders>
            <w:hideMark/>
          </w:tcPr>
          <w:p w14:paraId="22792CCB" w14:textId="77777777" w:rsidR="00355DFD" w:rsidRPr="00811F65" w:rsidRDefault="00355DFD" w:rsidP="00AC347D">
            <w:pPr>
              <w:rPr>
                <w:sz w:val="22"/>
                <w:szCs w:val="22"/>
              </w:rPr>
            </w:pPr>
            <w:r w:rsidRPr="00811F65">
              <w:rPr>
                <w:sz w:val="22"/>
                <w:szCs w:val="22"/>
              </w:rPr>
              <w:t>1.2</w:t>
            </w:r>
          </w:p>
        </w:tc>
        <w:tc>
          <w:tcPr>
            <w:tcW w:w="556" w:type="pct"/>
            <w:tcBorders>
              <w:top w:val="single" w:sz="6" w:space="0" w:color="000000"/>
              <w:left w:val="single" w:sz="6" w:space="0" w:color="000000"/>
              <w:bottom w:val="single" w:sz="6" w:space="0" w:color="000000"/>
              <w:right w:val="single" w:sz="6" w:space="0" w:color="000000"/>
            </w:tcBorders>
            <w:hideMark/>
          </w:tcPr>
          <w:p w14:paraId="1DB83C45" w14:textId="77777777" w:rsidR="00355DFD" w:rsidRPr="00811F65" w:rsidRDefault="00355DFD" w:rsidP="00AC347D">
            <w:pPr>
              <w:rPr>
                <w:sz w:val="22"/>
                <w:szCs w:val="22"/>
              </w:rPr>
            </w:pPr>
            <w:r w:rsidRPr="00811F65">
              <w:rPr>
                <w:sz w:val="22"/>
                <w:szCs w:val="22"/>
              </w:rPr>
              <w:t>0</w:t>
            </w:r>
          </w:p>
        </w:tc>
      </w:tr>
      <w:tr w:rsidR="00355DFD" w:rsidRPr="00811F65" w14:paraId="5245AF7C"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7B4E6B68" w14:textId="77777777" w:rsidR="00355DFD" w:rsidRPr="00811F65" w:rsidRDefault="00355DFD" w:rsidP="00AC347D">
            <w:pPr>
              <w:rPr>
                <w:rFonts w:eastAsiaTheme="minorHAnsi"/>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0A7B7523"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3D497909" w14:textId="77777777" w:rsidR="00355DFD" w:rsidRPr="00811F65" w:rsidRDefault="00355DFD" w:rsidP="00AC347D">
            <w:pPr>
              <w:rPr>
                <w:sz w:val="22"/>
                <w:szCs w:val="22"/>
              </w:rPr>
            </w:pPr>
            <w:r w:rsidRPr="00811F65">
              <w:rPr>
                <w:sz w:val="22"/>
                <w:szCs w:val="22"/>
              </w:rPr>
              <w:t>Stigning i amylase</w:t>
            </w:r>
          </w:p>
        </w:tc>
        <w:tc>
          <w:tcPr>
            <w:tcW w:w="555" w:type="pct"/>
            <w:tcBorders>
              <w:top w:val="single" w:sz="6" w:space="0" w:color="000000"/>
              <w:left w:val="single" w:sz="6" w:space="0" w:color="000000"/>
              <w:bottom w:val="single" w:sz="6" w:space="0" w:color="000000"/>
              <w:right w:val="single" w:sz="6" w:space="0" w:color="000000"/>
            </w:tcBorders>
            <w:hideMark/>
          </w:tcPr>
          <w:p w14:paraId="46B52663" w14:textId="77777777" w:rsidR="00355DFD" w:rsidRPr="00811F65" w:rsidRDefault="00355DFD" w:rsidP="00AC347D">
            <w:pPr>
              <w:rPr>
                <w:sz w:val="22"/>
                <w:szCs w:val="22"/>
              </w:rPr>
            </w:pPr>
            <w:r w:rsidRPr="00811F65">
              <w:rPr>
                <w:sz w:val="22"/>
                <w:szCs w:val="22"/>
              </w:rPr>
              <w:t>3.4</w:t>
            </w:r>
          </w:p>
        </w:tc>
        <w:tc>
          <w:tcPr>
            <w:tcW w:w="556" w:type="pct"/>
            <w:tcBorders>
              <w:top w:val="single" w:sz="6" w:space="0" w:color="000000"/>
              <w:left w:val="single" w:sz="6" w:space="0" w:color="000000"/>
              <w:bottom w:val="single" w:sz="6" w:space="0" w:color="000000"/>
              <w:right w:val="single" w:sz="6" w:space="0" w:color="000000"/>
            </w:tcBorders>
            <w:hideMark/>
          </w:tcPr>
          <w:p w14:paraId="2E8E6ED2" w14:textId="77777777" w:rsidR="00355DFD" w:rsidRPr="00811F65" w:rsidRDefault="00355DFD" w:rsidP="00AC347D">
            <w:pPr>
              <w:rPr>
                <w:sz w:val="22"/>
                <w:szCs w:val="22"/>
              </w:rPr>
            </w:pPr>
            <w:r w:rsidRPr="00811F65">
              <w:rPr>
                <w:sz w:val="22"/>
                <w:szCs w:val="22"/>
              </w:rPr>
              <w:t>0.6</w:t>
            </w:r>
          </w:p>
        </w:tc>
        <w:tc>
          <w:tcPr>
            <w:tcW w:w="556" w:type="pct"/>
            <w:tcBorders>
              <w:top w:val="single" w:sz="6" w:space="0" w:color="000000"/>
              <w:left w:val="single" w:sz="6" w:space="0" w:color="000000"/>
              <w:bottom w:val="single" w:sz="6" w:space="0" w:color="000000"/>
              <w:right w:val="single" w:sz="6" w:space="0" w:color="000000"/>
            </w:tcBorders>
            <w:hideMark/>
          </w:tcPr>
          <w:p w14:paraId="293E3360" w14:textId="77777777" w:rsidR="00355DFD" w:rsidRPr="00811F65" w:rsidRDefault="00355DFD" w:rsidP="00AC347D">
            <w:pPr>
              <w:rPr>
                <w:sz w:val="22"/>
                <w:szCs w:val="22"/>
              </w:rPr>
            </w:pPr>
            <w:r w:rsidRPr="00811F65">
              <w:rPr>
                <w:sz w:val="22"/>
                <w:szCs w:val="22"/>
              </w:rPr>
              <w:t>0.4</w:t>
            </w:r>
          </w:p>
        </w:tc>
      </w:tr>
      <w:tr w:rsidR="00355DFD" w:rsidRPr="00811F65" w14:paraId="2106532F"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5669F812" w14:textId="77777777" w:rsidR="00355DFD" w:rsidRPr="00811F65" w:rsidRDefault="00355DFD" w:rsidP="00AC347D">
            <w:pPr>
              <w:rPr>
                <w:rFonts w:eastAsiaTheme="minorHAnsi"/>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3A5EA414"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5BC96F6D" w14:textId="77777777" w:rsidR="00355DFD" w:rsidRPr="00811F65" w:rsidRDefault="00355DFD" w:rsidP="00AC347D">
            <w:pPr>
              <w:rPr>
                <w:sz w:val="22"/>
                <w:szCs w:val="22"/>
              </w:rPr>
            </w:pPr>
            <w:r w:rsidRPr="00811F65">
              <w:rPr>
                <w:sz w:val="22"/>
                <w:szCs w:val="22"/>
              </w:rPr>
              <w:t xml:space="preserve">Stigning i </w:t>
            </w:r>
            <w:proofErr w:type="spellStart"/>
            <w:r w:rsidRPr="00811F65">
              <w:rPr>
                <w:sz w:val="22"/>
                <w:szCs w:val="22"/>
              </w:rPr>
              <w:t>aspartate</w:t>
            </w:r>
            <w:proofErr w:type="spellEnd"/>
            <w:r w:rsidRPr="00811F65">
              <w:rPr>
                <w:sz w:val="22"/>
                <w:szCs w:val="22"/>
              </w:rPr>
              <w:t xml:space="preserve"> </w:t>
            </w:r>
            <w:proofErr w:type="spellStart"/>
            <w:r w:rsidRPr="00811F65">
              <w:rPr>
                <w:sz w:val="22"/>
                <w:szCs w:val="22"/>
              </w:rPr>
              <w:t>aminotransferase</w:t>
            </w:r>
            <w:proofErr w:type="spellEnd"/>
            <w:r w:rsidRPr="00811F65">
              <w:rPr>
                <w:sz w:val="22"/>
                <w:szCs w:val="22"/>
              </w:rPr>
              <w:t xml:space="preserve"> </w:t>
            </w:r>
          </w:p>
        </w:tc>
        <w:tc>
          <w:tcPr>
            <w:tcW w:w="555" w:type="pct"/>
            <w:tcBorders>
              <w:top w:val="single" w:sz="6" w:space="0" w:color="000000"/>
              <w:left w:val="single" w:sz="6" w:space="0" w:color="000000"/>
              <w:bottom w:val="single" w:sz="6" w:space="0" w:color="000000"/>
              <w:right w:val="single" w:sz="6" w:space="0" w:color="000000"/>
            </w:tcBorders>
            <w:hideMark/>
          </w:tcPr>
          <w:p w14:paraId="59C49278" w14:textId="77777777" w:rsidR="00355DFD" w:rsidRPr="00811F65" w:rsidRDefault="00355DFD" w:rsidP="00AC347D">
            <w:pPr>
              <w:rPr>
                <w:sz w:val="22"/>
                <w:szCs w:val="22"/>
              </w:rPr>
            </w:pPr>
            <w:r w:rsidRPr="00811F65">
              <w:rPr>
                <w:sz w:val="22"/>
                <w:szCs w:val="22"/>
              </w:rPr>
              <w:t>6.1</w:t>
            </w:r>
          </w:p>
        </w:tc>
        <w:tc>
          <w:tcPr>
            <w:tcW w:w="556" w:type="pct"/>
            <w:tcBorders>
              <w:top w:val="single" w:sz="6" w:space="0" w:color="000000"/>
              <w:left w:val="single" w:sz="6" w:space="0" w:color="000000"/>
              <w:bottom w:val="single" w:sz="6" w:space="0" w:color="000000"/>
              <w:right w:val="single" w:sz="6" w:space="0" w:color="000000"/>
            </w:tcBorders>
            <w:hideMark/>
          </w:tcPr>
          <w:p w14:paraId="6533F8AF" w14:textId="77777777" w:rsidR="00355DFD" w:rsidRPr="00811F65" w:rsidRDefault="00355DFD" w:rsidP="00AC347D">
            <w:pPr>
              <w:rPr>
                <w:sz w:val="22"/>
                <w:szCs w:val="22"/>
              </w:rPr>
            </w:pPr>
            <w:r w:rsidRPr="00811F65">
              <w:rPr>
                <w:sz w:val="22"/>
                <w:szCs w:val="22"/>
              </w:rPr>
              <w:t>1.0</w:t>
            </w:r>
          </w:p>
        </w:tc>
        <w:tc>
          <w:tcPr>
            <w:tcW w:w="556" w:type="pct"/>
            <w:tcBorders>
              <w:top w:val="single" w:sz="6" w:space="0" w:color="000000"/>
              <w:left w:val="single" w:sz="6" w:space="0" w:color="000000"/>
              <w:bottom w:val="single" w:sz="6" w:space="0" w:color="000000"/>
              <w:right w:val="single" w:sz="6" w:space="0" w:color="000000"/>
            </w:tcBorders>
            <w:hideMark/>
          </w:tcPr>
          <w:p w14:paraId="15D82B6B" w14:textId="77777777" w:rsidR="00355DFD" w:rsidRPr="00811F65" w:rsidRDefault="00355DFD" w:rsidP="00AC347D">
            <w:pPr>
              <w:rPr>
                <w:sz w:val="22"/>
                <w:szCs w:val="22"/>
              </w:rPr>
            </w:pPr>
            <w:r w:rsidRPr="00811F65">
              <w:rPr>
                <w:sz w:val="22"/>
                <w:szCs w:val="22"/>
              </w:rPr>
              <w:t>0</w:t>
            </w:r>
          </w:p>
        </w:tc>
      </w:tr>
      <w:tr w:rsidR="00355DFD" w:rsidRPr="00811F65" w14:paraId="7F314E5F"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0AB1E51B" w14:textId="77777777" w:rsidR="00355DFD" w:rsidRPr="00811F65" w:rsidRDefault="00355DFD" w:rsidP="00AC347D">
            <w:pPr>
              <w:rPr>
                <w:rFonts w:eastAsiaTheme="minorHAnsi"/>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65AEE4AB"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0187663E" w14:textId="77777777" w:rsidR="00355DFD" w:rsidRPr="00811F65" w:rsidRDefault="00355DFD" w:rsidP="00AC347D">
            <w:pPr>
              <w:rPr>
                <w:sz w:val="22"/>
                <w:szCs w:val="22"/>
              </w:rPr>
            </w:pPr>
            <w:r w:rsidRPr="00811F65">
              <w:rPr>
                <w:sz w:val="22"/>
                <w:szCs w:val="22"/>
              </w:rPr>
              <w:t xml:space="preserve">Stigning i basisk fosfatase </w:t>
            </w:r>
          </w:p>
        </w:tc>
        <w:tc>
          <w:tcPr>
            <w:tcW w:w="555" w:type="pct"/>
            <w:tcBorders>
              <w:top w:val="single" w:sz="6" w:space="0" w:color="000000"/>
              <w:left w:val="single" w:sz="6" w:space="0" w:color="000000"/>
              <w:bottom w:val="single" w:sz="6" w:space="0" w:color="000000"/>
              <w:right w:val="single" w:sz="6" w:space="0" w:color="000000"/>
            </w:tcBorders>
            <w:hideMark/>
          </w:tcPr>
          <w:p w14:paraId="4269FE23" w14:textId="77777777" w:rsidR="00355DFD" w:rsidRPr="00811F65" w:rsidRDefault="00355DFD" w:rsidP="00AC347D">
            <w:pPr>
              <w:rPr>
                <w:sz w:val="22"/>
                <w:szCs w:val="22"/>
              </w:rPr>
            </w:pPr>
            <w:r w:rsidRPr="00811F65">
              <w:rPr>
                <w:sz w:val="22"/>
                <w:szCs w:val="22"/>
              </w:rPr>
              <w:t>4.8</w:t>
            </w:r>
          </w:p>
        </w:tc>
        <w:tc>
          <w:tcPr>
            <w:tcW w:w="556" w:type="pct"/>
            <w:tcBorders>
              <w:top w:val="single" w:sz="6" w:space="0" w:color="000000"/>
              <w:left w:val="single" w:sz="6" w:space="0" w:color="000000"/>
              <w:bottom w:val="single" w:sz="6" w:space="0" w:color="000000"/>
              <w:right w:val="single" w:sz="6" w:space="0" w:color="000000"/>
            </w:tcBorders>
            <w:hideMark/>
          </w:tcPr>
          <w:p w14:paraId="77476598" w14:textId="77777777" w:rsidR="00355DFD" w:rsidRPr="00811F65" w:rsidRDefault="00355DFD" w:rsidP="00AC347D">
            <w:pPr>
              <w:rPr>
                <w:sz w:val="22"/>
                <w:szCs w:val="22"/>
              </w:rPr>
            </w:pPr>
            <w:r w:rsidRPr="00811F65">
              <w:rPr>
                <w:sz w:val="22"/>
                <w:szCs w:val="22"/>
              </w:rPr>
              <w:t>0.3</w:t>
            </w:r>
          </w:p>
        </w:tc>
        <w:tc>
          <w:tcPr>
            <w:tcW w:w="556" w:type="pct"/>
            <w:tcBorders>
              <w:top w:val="single" w:sz="6" w:space="0" w:color="000000"/>
              <w:left w:val="single" w:sz="6" w:space="0" w:color="000000"/>
              <w:bottom w:val="single" w:sz="6" w:space="0" w:color="000000"/>
              <w:right w:val="single" w:sz="6" w:space="0" w:color="000000"/>
            </w:tcBorders>
            <w:hideMark/>
          </w:tcPr>
          <w:p w14:paraId="09117E92" w14:textId="77777777" w:rsidR="00355DFD" w:rsidRPr="00811F65" w:rsidRDefault="00355DFD" w:rsidP="00AC347D">
            <w:pPr>
              <w:rPr>
                <w:sz w:val="22"/>
                <w:szCs w:val="22"/>
              </w:rPr>
            </w:pPr>
            <w:r w:rsidRPr="00811F65">
              <w:rPr>
                <w:sz w:val="22"/>
                <w:szCs w:val="22"/>
              </w:rPr>
              <w:t>0</w:t>
            </w:r>
          </w:p>
        </w:tc>
      </w:tr>
      <w:tr w:rsidR="00355DFD" w:rsidRPr="00811F65" w14:paraId="70988918"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2198A094" w14:textId="77777777" w:rsidR="00355DFD" w:rsidRPr="00811F65" w:rsidRDefault="00355DFD" w:rsidP="00AC347D">
            <w:pPr>
              <w:rPr>
                <w:rFonts w:eastAsiaTheme="minorHAnsi"/>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77551039"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155C5F55" w14:textId="77777777" w:rsidR="00355DFD" w:rsidRPr="00811F65" w:rsidRDefault="00355DFD" w:rsidP="00AC347D">
            <w:pPr>
              <w:rPr>
                <w:sz w:val="22"/>
                <w:szCs w:val="22"/>
              </w:rPr>
            </w:pPr>
            <w:r w:rsidRPr="00811F65">
              <w:rPr>
                <w:sz w:val="22"/>
                <w:szCs w:val="22"/>
              </w:rPr>
              <w:t xml:space="preserve">Stigning i </w:t>
            </w:r>
            <w:proofErr w:type="spellStart"/>
            <w:r w:rsidRPr="00811F65">
              <w:rPr>
                <w:sz w:val="22"/>
                <w:szCs w:val="22"/>
              </w:rPr>
              <w:t>kreatinin</w:t>
            </w:r>
            <w:proofErr w:type="spellEnd"/>
          </w:p>
        </w:tc>
        <w:tc>
          <w:tcPr>
            <w:tcW w:w="555" w:type="pct"/>
            <w:tcBorders>
              <w:top w:val="single" w:sz="6" w:space="0" w:color="000000"/>
              <w:left w:val="single" w:sz="6" w:space="0" w:color="000000"/>
              <w:bottom w:val="single" w:sz="6" w:space="0" w:color="000000"/>
              <w:right w:val="single" w:sz="6" w:space="0" w:color="000000"/>
            </w:tcBorders>
            <w:hideMark/>
          </w:tcPr>
          <w:p w14:paraId="13C206D7" w14:textId="77777777" w:rsidR="00355DFD" w:rsidRPr="00811F65" w:rsidRDefault="00355DFD" w:rsidP="00AC347D">
            <w:pPr>
              <w:rPr>
                <w:sz w:val="22"/>
                <w:szCs w:val="22"/>
              </w:rPr>
            </w:pPr>
            <w:r w:rsidRPr="00811F65">
              <w:rPr>
                <w:sz w:val="22"/>
                <w:szCs w:val="22"/>
              </w:rPr>
              <w:t>5.7</w:t>
            </w:r>
          </w:p>
        </w:tc>
        <w:tc>
          <w:tcPr>
            <w:tcW w:w="556" w:type="pct"/>
            <w:tcBorders>
              <w:top w:val="single" w:sz="6" w:space="0" w:color="000000"/>
              <w:left w:val="single" w:sz="6" w:space="0" w:color="000000"/>
              <w:bottom w:val="single" w:sz="6" w:space="0" w:color="000000"/>
              <w:right w:val="single" w:sz="6" w:space="0" w:color="000000"/>
            </w:tcBorders>
            <w:hideMark/>
          </w:tcPr>
          <w:p w14:paraId="158D1A1C" w14:textId="77777777" w:rsidR="00355DFD" w:rsidRPr="00811F65" w:rsidRDefault="00355DFD" w:rsidP="00AC347D">
            <w:pPr>
              <w:rPr>
                <w:sz w:val="22"/>
                <w:szCs w:val="22"/>
              </w:rPr>
            </w:pPr>
            <w:r w:rsidRPr="00811F65">
              <w:rPr>
                <w:sz w:val="22"/>
                <w:szCs w:val="22"/>
              </w:rPr>
              <w:t>0.4</w:t>
            </w:r>
          </w:p>
        </w:tc>
        <w:tc>
          <w:tcPr>
            <w:tcW w:w="556" w:type="pct"/>
            <w:tcBorders>
              <w:top w:val="single" w:sz="6" w:space="0" w:color="000000"/>
              <w:left w:val="single" w:sz="6" w:space="0" w:color="000000"/>
              <w:bottom w:val="single" w:sz="6" w:space="0" w:color="000000"/>
              <w:right w:val="single" w:sz="6" w:space="0" w:color="000000"/>
            </w:tcBorders>
            <w:hideMark/>
          </w:tcPr>
          <w:p w14:paraId="612F59E5" w14:textId="77777777" w:rsidR="00355DFD" w:rsidRPr="00811F65" w:rsidRDefault="00355DFD" w:rsidP="00AC347D">
            <w:pPr>
              <w:rPr>
                <w:sz w:val="22"/>
                <w:szCs w:val="22"/>
              </w:rPr>
            </w:pPr>
            <w:r w:rsidRPr="00811F65">
              <w:rPr>
                <w:sz w:val="22"/>
                <w:szCs w:val="22"/>
              </w:rPr>
              <w:t>0</w:t>
            </w:r>
          </w:p>
        </w:tc>
      </w:tr>
      <w:tr w:rsidR="00355DFD" w:rsidRPr="00811F65" w14:paraId="34C424AA" w14:textId="77777777" w:rsidTr="005235F2">
        <w:tc>
          <w:tcPr>
            <w:tcW w:w="1377" w:type="pct"/>
            <w:vMerge/>
            <w:tcBorders>
              <w:top w:val="nil"/>
              <w:left w:val="single" w:sz="4" w:space="0" w:color="000000"/>
              <w:bottom w:val="single" w:sz="6" w:space="0" w:color="000000"/>
              <w:right w:val="single" w:sz="6" w:space="0" w:color="000000"/>
            </w:tcBorders>
            <w:vAlign w:val="center"/>
            <w:hideMark/>
          </w:tcPr>
          <w:p w14:paraId="26D054EE" w14:textId="77777777" w:rsidR="00355DFD" w:rsidRPr="00811F65" w:rsidRDefault="00355DFD" w:rsidP="00AC347D">
            <w:pPr>
              <w:rPr>
                <w:rFonts w:eastAsiaTheme="minorHAnsi"/>
                <w:sz w:val="22"/>
                <w:szCs w:val="22"/>
              </w:rPr>
            </w:pPr>
          </w:p>
        </w:tc>
        <w:tc>
          <w:tcPr>
            <w:tcW w:w="749" w:type="pct"/>
            <w:vMerge/>
            <w:tcBorders>
              <w:top w:val="single" w:sz="6" w:space="0" w:color="000000"/>
              <w:left w:val="single" w:sz="6" w:space="0" w:color="000000"/>
              <w:bottom w:val="single" w:sz="6" w:space="0" w:color="000000"/>
              <w:right w:val="single" w:sz="6" w:space="0" w:color="000000"/>
            </w:tcBorders>
            <w:vAlign w:val="center"/>
            <w:hideMark/>
          </w:tcPr>
          <w:p w14:paraId="21570801" w14:textId="77777777" w:rsidR="00355DFD" w:rsidRPr="00811F65" w:rsidRDefault="00355DFD" w:rsidP="00AC347D">
            <w:pPr>
              <w:rPr>
                <w:rFonts w:eastAsiaTheme="minorHAnsi"/>
                <w:sz w:val="22"/>
                <w:szCs w:val="22"/>
              </w:rPr>
            </w:pPr>
          </w:p>
        </w:tc>
        <w:tc>
          <w:tcPr>
            <w:tcW w:w="1207" w:type="pct"/>
            <w:tcBorders>
              <w:top w:val="single" w:sz="6" w:space="0" w:color="000000"/>
              <w:left w:val="single" w:sz="6" w:space="0" w:color="000000"/>
              <w:bottom w:val="single" w:sz="6" w:space="0" w:color="000000"/>
              <w:right w:val="single" w:sz="6" w:space="0" w:color="000000"/>
            </w:tcBorders>
            <w:hideMark/>
          </w:tcPr>
          <w:p w14:paraId="22DAC42A" w14:textId="77777777" w:rsidR="00355DFD" w:rsidRPr="00811F65" w:rsidRDefault="00355DFD" w:rsidP="00AC347D">
            <w:pPr>
              <w:rPr>
                <w:sz w:val="22"/>
                <w:szCs w:val="22"/>
              </w:rPr>
            </w:pPr>
            <w:r w:rsidRPr="00811F65">
              <w:rPr>
                <w:sz w:val="22"/>
                <w:szCs w:val="22"/>
              </w:rPr>
              <w:t>Stigning i TSH</w:t>
            </w:r>
          </w:p>
        </w:tc>
        <w:tc>
          <w:tcPr>
            <w:tcW w:w="555" w:type="pct"/>
            <w:tcBorders>
              <w:top w:val="single" w:sz="6" w:space="0" w:color="000000"/>
              <w:left w:val="single" w:sz="6" w:space="0" w:color="000000"/>
              <w:bottom w:val="single" w:sz="6" w:space="0" w:color="000000"/>
              <w:right w:val="single" w:sz="6" w:space="0" w:color="000000"/>
            </w:tcBorders>
            <w:hideMark/>
          </w:tcPr>
          <w:p w14:paraId="3DA442C5" w14:textId="77777777" w:rsidR="00355DFD" w:rsidRPr="00811F65" w:rsidRDefault="00355DFD" w:rsidP="00AC347D">
            <w:pPr>
              <w:rPr>
                <w:sz w:val="22"/>
                <w:szCs w:val="22"/>
              </w:rPr>
            </w:pPr>
            <w:r w:rsidRPr="00811F65">
              <w:rPr>
                <w:sz w:val="22"/>
                <w:szCs w:val="22"/>
              </w:rPr>
              <w:t>7.9</w:t>
            </w:r>
          </w:p>
        </w:tc>
        <w:tc>
          <w:tcPr>
            <w:tcW w:w="556" w:type="pct"/>
            <w:tcBorders>
              <w:top w:val="single" w:sz="6" w:space="0" w:color="000000"/>
              <w:left w:val="single" w:sz="6" w:space="0" w:color="000000"/>
              <w:bottom w:val="single" w:sz="6" w:space="0" w:color="000000"/>
              <w:right w:val="single" w:sz="6" w:space="0" w:color="000000"/>
            </w:tcBorders>
            <w:hideMark/>
          </w:tcPr>
          <w:p w14:paraId="61A24C4B" w14:textId="77777777" w:rsidR="00355DFD" w:rsidRPr="00811F65" w:rsidRDefault="00355DFD" w:rsidP="00AC347D">
            <w:pPr>
              <w:rPr>
                <w:sz w:val="22"/>
                <w:szCs w:val="22"/>
              </w:rPr>
            </w:pPr>
            <w:r w:rsidRPr="00811F65">
              <w:rPr>
                <w:sz w:val="22"/>
                <w:szCs w:val="22"/>
              </w:rPr>
              <w:t>0</w:t>
            </w:r>
          </w:p>
        </w:tc>
        <w:tc>
          <w:tcPr>
            <w:tcW w:w="556" w:type="pct"/>
            <w:tcBorders>
              <w:top w:val="single" w:sz="6" w:space="0" w:color="000000"/>
              <w:left w:val="single" w:sz="6" w:space="0" w:color="000000"/>
              <w:bottom w:val="single" w:sz="6" w:space="0" w:color="000000"/>
              <w:right w:val="single" w:sz="6" w:space="0" w:color="000000"/>
            </w:tcBorders>
            <w:hideMark/>
          </w:tcPr>
          <w:p w14:paraId="2A55B316" w14:textId="77777777" w:rsidR="00355DFD" w:rsidRPr="00811F65" w:rsidRDefault="00355DFD" w:rsidP="00AC347D">
            <w:pPr>
              <w:rPr>
                <w:sz w:val="22"/>
                <w:szCs w:val="22"/>
              </w:rPr>
            </w:pPr>
            <w:r w:rsidRPr="00811F65">
              <w:rPr>
                <w:sz w:val="22"/>
                <w:szCs w:val="22"/>
              </w:rPr>
              <w:t>0</w:t>
            </w:r>
          </w:p>
        </w:tc>
      </w:tr>
    </w:tbl>
    <w:p w14:paraId="63BF6725" w14:textId="22DE3D7C" w:rsidR="00355DFD" w:rsidRPr="00811F65" w:rsidRDefault="00355DFD" w:rsidP="00E84059">
      <w:pPr>
        <w:ind w:left="284" w:hanging="284"/>
        <w:rPr>
          <w:sz w:val="24"/>
          <w:szCs w:val="24"/>
          <w:lang w:eastAsia="fr-LU"/>
        </w:rPr>
      </w:pPr>
      <w:r w:rsidRPr="00811F65">
        <w:rPr>
          <w:sz w:val="24"/>
          <w:szCs w:val="24"/>
          <w:vertAlign w:val="superscript"/>
        </w:rPr>
        <w:t xml:space="preserve">a </w:t>
      </w:r>
      <w:r w:rsidR="005235F2" w:rsidRPr="00811F65">
        <w:rPr>
          <w:sz w:val="24"/>
          <w:szCs w:val="24"/>
          <w:vertAlign w:val="superscript"/>
        </w:rPr>
        <w:tab/>
      </w:r>
      <w:r w:rsidRPr="00811F65">
        <w:rPr>
          <w:sz w:val="24"/>
          <w:szCs w:val="24"/>
        </w:rPr>
        <w:t>Bivirkninger er anført efter behandlingsrelateret hyppighed uanset årsag.</w:t>
      </w:r>
    </w:p>
    <w:p w14:paraId="40E4EB08" w14:textId="42E9768B" w:rsidR="00355DFD" w:rsidRPr="00811F65" w:rsidRDefault="00355DFD" w:rsidP="00E84059">
      <w:pPr>
        <w:ind w:left="284" w:hanging="284"/>
        <w:rPr>
          <w:sz w:val="24"/>
          <w:szCs w:val="24"/>
          <w:lang w:val="en-US"/>
        </w:rPr>
      </w:pPr>
      <w:r w:rsidRPr="00811F65">
        <w:rPr>
          <w:sz w:val="24"/>
          <w:szCs w:val="24"/>
          <w:vertAlign w:val="superscript"/>
          <w:lang w:val="en-US"/>
        </w:rPr>
        <w:t>b</w:t>
      </w:r>
      <w:r w:rsidRPr="00811F65">
        <w:rPr>
          <w:sz w:val="24"/>
          <w:szCs w:val="24"/>
          <w:lang w:val="en-US"/>
        </w:rPr>
        <w:t xml:space="preserve"> </w:t>
      </w:r>
      <w:r w:rsidR="005235F2" w:rsidRPr="00811F65">
        <w:rPr>
          <w:sz w:val="24"/>
          <w:szCs w:val="24"/>
          <w:lang w:val="en-US"/>
        </w:rPr>
        <w:tab/>
      </w:r>
      <w:r w:rsidRPr="00811F65">
        <w:rPr>
          <w:sz w:val="24"/>
          <w:szCs w:val="24"/>
          <w:lang w:val="en-US"/>
        </w:rPr>
        <w:t>National Cancer Institute Common Terminology Criteria for Adverse Events, Version 3.0</w:t>
      </w:r>
    </w:p>
    <w:p w14:paraId="29195DA9" w14:textId="11758AB1" w:rsidR="00355DFD" w:rsidRPr="00811F65" w:rsidRDefault="00355DFD" w:rsidP="00E84059">
      <w:pPr>
        <w:ind w:left="284" w:hanging="284"/>
        <w:rPr>
          <w:sz w:val="24"/>
          <w:szCs w:val="24"/>
        </w:rPr>
      </w:pPr>
      <w:r w:rsidRPr="00811F65">
        <w:rPr>
          <w:sz w:val="24"/>
          <w:szCs w:val="24"/>
          <w:vertAlign w:val="superscript"/>
        </w:rPr>
        <w:t>c</w:t>
      </w:r>
      <w:r w:rsidRPr="00811F65">
        <w:rPr>
          <w:sz w:val="24"/>
          <w:szCs w:val="24"/>
        </w:rPr>
        <w:t xml:space="preserve"> </w:t>
      </w:r>
      <w:r w:rsidR="005235F2" w:rsidRPr="00811F65">
        <w:rPr>
          <w:sz w:val="24"/>
          <w:szCs w:val="24"/>
        </w:rPr>
        <w:tab/>
      </w:r>
      <w:r w:rsidRPr="00811F65">
        <w:rPr>
          <w:sz w:val="24"/>
          <w:szCs w:val="24"/>
        </w:rPr>
        <w:t>Se afsnittet beskrivelse af udvalgte bivirkninger.</w:t>
      </w:r>
    </w:p>
    <w:p w14:paraId="4D2AE85F" w14:textId="655653C2" w:rsidR="00355DFD" w:rsidRPr="00811F65" w:rsidRDefault="00355DFD" w:rsidP="00E84059">
      <w:pPr>
        <w:ind w:left="284" w:hanging="284"/>
        <w:rPr>
          <w:sz w:val="24"/>
          <w:szCs w:val="24"/>
        </w:rPr>
      </w:pPr>
      <w:r w:rsidRPr="00811F65">
        <w:rPr>
          <w:sz w:val="24"/>
          <w:szCs w:val="24"/>
          <w:vertAlign w:val="superscript"/>
        </w:rPr>
        <w:t>d</w:t>
      </w:r>
      <w:r w:rsidRPr="00811F65">
        <w:rPr>
          <w:sz w:val="24"/>
          <w:szCs w:val="24"/>
        </w:rPr>
        <w:t xml:space="preserve"> </w:t>
      </w:r>
      <w:r w:rsidR="005235F2" w:rsidRPr="00811F65">
        <w:rPr>
          <w:sz w:val="24"/>
          <w:szCs w:val="24"/>
        </w:rPr>
        <w:tab/>
      </w:r>
      <w:r w:rsidRPr="00811F65">
        <w:rPr>
          <w:sz w:val="24"/>
          <w:szCs w:val="24"/>
        </w:rPr>
        <w:t>Fatale tilfælde (grad 5) blev rapporteret.</w:t>
      </w:r>
    </w:p>
    <w:p w14:paraId="02216566" w14:textId="3BD820CE" w:rsidR="00355DFD" w:rsidRPr="00811F65" w:rsidRDefault="00355DFD" w:rsidP="00E84059">
      <w:pPr>
        <w:ind w:left="284" w:hanging="284"/>
        <w:rPr>
          <w:sz w:val="24"/>
          <w:szCs w:val="24"/>
        </w:rPr>
      </w:pPr>
      <w:r w:rsidRPr="00811F65">
        <w:rPr>
          <w:sz w:val="24"/>
          <w:szCs w:val="24"/>
          <w:vertAlign w:val="superscript"/>
        </w:rPr>
        <w:t>e</w:t>
      </w:r>
      <w:r w:rsidRPr="00811F65">
        <w:rPr>
          <w:sz w:val="24"/>
          <w:szCs w:val="24"/>
        </w:rPr>
        <w:t xml:space="preserve"> </w:t>
      </w:r>
      <w:r w:rsidR="005235F2" w:rsidRPr="00811F65">
        <w:rPr>
          <w:sz w:val="24"/>
          <w:szCs w:val="24"/>
        </w:rPr>
        <w:tab/>
      </w:r>
      <w:r w:rsidRPr="00811F65">
        <w:rPr>
          <w:sz w:val="24"/>
          <w:szCs w:val="24"/>
        </w:rPr>
        <w:t xml:space="preserve">Inklusive </w:t>
      </w:r>
      <w:proofErr w:type="spellStart"/>
      <w:r w:rsidRPr="00811F65">
        <w:rPr>
          <w:sz w:val="24"/>
          <w:szCs w:val="24"/>
        </w:rPr>
        <w:t>leukoencefalopti</w:t>
      </w:r>
      <w:proofErr w:type="spellEnd"/>
      <w:r w:rsidRPr="00811F65">
        <w:rPr>
          <w:sz w:val="24"/>
          <w:szCs w:val="24"/>
        </w:rPr>
        <w:t>.</w:t>
      </w:r>
    </w:p>
    <w:p w14:paraId="563BA836" w14:textId="6D6F44D1" w:rsidR="00355DFD" w:rsidRPr="00811F65" w:rsidRDefault="00355DFD" w:rsidP="00E84059">
      <w:pPr>
        <w:ind w:left="284" w:hanging="284"/>
        <w:rPr>
          <w:sz w:val="24"/>
          <w:szCs w:val="24"/>
        </w:rPr>
      </w:pPr>
      <w:r w:rsidRPr="00811F65">
        <w:rPr>
          <w:sz w:val="24"/>
          <w:szCs w:val="24"/>
          <w:vertAlign w:val="superscript"/>
        </w:rPr>
        <w:t>f</w:t>
      </w:r>
      <w:r w:rsidRPr="00811F65">
        <w:rPr>
          <w:sz w:val="24"/>
          <w:szCs w:val="24"/>
        </w:rPr>
        <w:t xml:space="preserve"> </w:t>
      </w:r>
      <w:r w:rsidR="005235F2" w:rsidRPr="00811F65">
        <w:rPr>
          <w:sz w:val="24"/>
          <w:szCs w:val="24"/>
        </w:rPr>
        <w:tab/>
      </w:r>
      <w:r w:rsidRPr="00811F65">
        <w:rPr>
          <w:sz w:val="24"/>
          <w:szCs w:val="24"/>
        </w:rPr>
        <w:t xml:space="preserve">Inklusive hjertesvigt, </w:t>
      </w:r>
      <w:proofErr w:type="spellStart"/>
      <w:r w:rsidRPr="00811F65">
        <w:rPr>
          <w:sz w:val="24"/>
          <w:szCs w:val="24"/>
        </w:rPr>
        <w:t>kongestivt</w:t>
      </w:r>
      <w:proofErr w:type="spellEnd"/>
      <w:r w:rsidRPr="00811F65">
        <w:rPr>
          <w:sz w:val="24"/>
          <w:szCs w:val="24"/>
        </w:rPr>
        <w:t xml:space="preserve"> hjertesvigt, </w:t>
      </w:r>
      <w:proofErr w:type="spellStart"/>
      <w:r w:rsidRPr="00811F65">
        <w:rPr>
          <w:sz w:val="24"/>
          <w:szCs w:val="24"/>
        </w:rPr>
        <w:t>kardiopulmonært</w:t>
      </w:r>
      <w:proofErr w:type="spellEnd"/>
      <w:r w:rsidRPr="00811F65">
        <w:rPr>
          <w:sz w:val="24"/>
          <w:szCs w:val="24"/>
        </w:rPr>
        <w:t xml:space="preserve"> svigt, nedsat </w:t>
      </w:r>
      <w:proofErr w:type="spellStart"/>
      <w:r w:rsidRPr="00811F65">
        <w:rPr>
          <w:sz w:val="24"/>
          <w:szCs w:val="24"/>
        </w:rPr>
        <w:t>ejektionsfraktion</w:t>
      </w:r>
      <w:proofErr w:type="spellEnd"/>
      <w:r w:rsidRPr="00811F65">
        <w:rPr>
          <w:sz w:val="24"/>
          <w:szCs w:val="24"/>
        </w:rPr>
        <w:t xml:space="preserve">, venstre </w:t>
      </w:r>
      <w:proofErr w:type="spellStart"/>
      <w:r w:rsidRPr="00811F65">
        <w:rPr>
          <w:sz w:val="24"/>
          <w:szCs w:val="24"/>
        </w:rPr>
        <w:t>ventrikulær</w:t>
      </w:r>
      <w:proofErr w:type="spellEnd"/>
      <w:r w:rsidRPr="00811F65">
        <w:rPr>
          <w:sz w:val="24"/>
          <w:szCs w:val="24"/>
        </w:rPr>
        <w:t xml:space="preserve"> dysfunktion og højre ventrikelsvigt.</w:t>
      </w:r>
    </w:p>
    <w:p w14:paraId="49B0F543" w14:textId="60AFF8CA" w:rsidR="00355DFD" w:rsidRPr="00811F65" w:rsidRDefault="00355DFD" w:rsidP="00E84059">
      <w:pPr>
        <w:ind w:left="284" w:hanging="284"/>
        <w:rPr>
          <w:sz w:val="24"/>
          <w:szCs w:val="24"/>
        </w:rPr>
      </w:pPr>
      <w:r w:rsidRPr="00811F65">
        <w:rPr>
          <w:sz w:val="24"/>
          <w:szCs w:val="24"/>
          <w:vertAlign w:val="superscript"/>
        </w:rPr>
        <w:t>g</w:t>
      </w:r>
      <w:r w:rsidRPr="00811F65">
        <w:rPr>
          <w:sz w:val="24"/>
          <w:szCs w:val="24"/>
        </w:rPr>
        <w:t xml:space="preserve"> </w:t>
      </w:r>
      <w:r w:rsidR="005235F2" w:rsidRPr="00811F65">
        <w:rPr>
          <w:sz w:val="24"/>
          <w:szCs w:val="24"/>
        </w:rPr>
        <w:tab/>
      </w:r>
      <w:r w:rsidRPr="00811F65">
        <w:rPr>
          <w:sz w:val="24"/>
          <w:szCs w:val="24"/>
        </w:rPr>
        <w:t xml:space="preserve">Inklusive accelereret hypertension, øget blodtryk, hypertension og </w:t>
      </w:r>
      <w:proofErr w:type="spellStart"/>
      <w:r w:rsidRPr="00811F65">
        <w:rPr>
          <w:sz w:val="24"/>
          <w:szCs w:val="24"/>
        </w:rPr>
        <w:t>hypertensiv</w:t>
      </w:r>
      <w:proofErr w:type="spellEnd"/>
      <w:r w:rsidRPr="00811F65">
        <w:rPr>
          <w:sz w:val="24"/>
          <w:szCs w:val="24"/>
        </w:rPr>
        <w:t xml:space="preserve"> krise.</w:t>
      </w:r>
    </w:p>
    <w:p w14:paraId="24BDED6C" w14:textId="59E848C1" w:rsidR="00355DFD" w:rsidRPr="00811F65" w:rsidRDefault="00355DFD" w:rsidP="00E84059">
      <w:pPr>
        <w:ind w:left="284" w:hanging="284"/>
        <w:rPr>
          <w:sz w:val="24"/>
          <w:szCs w:val="24"/>
        </w:rPr>
      </w:pPr>
      <w:r w:rsidRPr="00811F65">
        <w:rPr>
          <w:sz w:val="24"/>
          <w:szCs w:val="24"/>
          <w:vertAlign w:val="superscript"/>
        </w:rPr>
        <w:t>h</w:t>
      </w:r>
      <w:r w:rsidRPr="00811F65">
        <w:rPr>
          <w:sz w:val="24"/>
          <w:szCs w:val="24"/>
        </w:rPr>
        <w:t xml:space="preserve"> </w:t>
      </w:r>
      <w:r w:rsidR="005235F2" w:rsidRPr="00811F65">
        <w:rPr>
          <w:sz w:val="24"/>
          <w:szCs w:val="24"/>
        </w:rPr>
        <w:tab/>
      </w:r>
      <w:r w:rsidRPr="00811F65">
        <w:rPr>
          <w:sz w:val="24"/>
          <w:szCs w:val="24"/>
        </w:rPr>
        <w:t xml:space="preserve">Inklusive forlængelse af aktiveret partiel </w:t>
      </w:r>
      <w:proofErr w:type="spellStart"/>
      <w:r w:rsidRPr="00811F65">
        <w:rPr>
          <w:sz w:val="24"/>
          <w:szCs w:val="24"/>
        </w:rPr>
        <w:t>tromboplastin</w:t>
      </w:r>
      <w:proofErr w:type="spellEnd"/>
      <w:r w:rsidRPr="00811F65">
        <w:rPr>
          <w:sz w:val="24"/>
          <w:szCs w:val="24"/>
        </w:rPr>
        <w:t xml:space="preserve">-tid, anal blødning, arteriel blødning, tilstedeværende af blod i urin, blødning i centralnervesystemet, hjerneblødning, forlænget koagulationstid, </w:t>
      </w:r>
      <w:proofErr w:type="spellStart"/>
      <w:r w:rsidRPr="00811F65">
        <w:rPr>
          <w:sz w:val="24"/>
          <w:szCs w:val="24"/>
        </w:rPr>
        <w:t>konjunktival</w:t>
      </w:r>
      <w:proofErr w:type="spellEnd"/>
      <w:r w:rsidRPr="00811F65">
        <w:rPr>
          <w:sz w:val="24"/>
          <w:szCs w:val="24"/>
        </w:rPr>
        <w:t xml:space="preserve"> blødning, kontusion, blodig diarré, unormal </w:t>
      </w:r>
      <w:proofErr w:type="spellStart"/>
      <w:r w:rsidRPr="00811F65">
        <w:rPr>
          <w:sz w:val="24"/>
          <w:szCs w:val="24"/>
        </w:rPr>
        <w:t>uterin</w:t>
      </w:r>
      <w:proofErr w:type="spellEnd"/>
      <w:r w:rsidRPr="00811F65">
        <w:rPr>
          <w:sz w:val="24"/>
          <w:szCs w:val="24"/>
        </w:rPr>
        <w:t xml:space="preserve"> blødning, næseblod, maveblødning, </w:t>
      </w:r>
      <w:proofErr w:type="spellStart"/>
      <w:r w:rsidRPr="00811F65">
        <w:rPr>
          <w:sz w:val="24"/>
          <w:szCs w:val="24"/>
        </w:rPr>
        <w:t>gastrointestinal</w:t>
      </w:r>
      <w:proofErr w:type="spellEnd"/>
      <w:r w:rsidRPr="00811F65">
        <w:rPr>
          <w:sz w:val="24"/>
          <w:szCs w:val="24"/>
        </w:rPr>
        <w:t xml:space="preserve"> blødning, tandkødsblødning, </w:t>
      </w:r>
      <w:proofErr w:type="spellStart"/>
      <w:r w:rsidRPr="00811F65">
        <w:rPr>
          <w:sz w:val="24"/>
          <w:szCs w:val="24"/>
        </w:rPr>
        <w:t>hæmatemese</w:t>
      </w:r>
      <w:proofErr w:type="spellEnd"/>
      <w:r w:rsidRPr="00811F65">
        <w:rPr>
          <w:sz w:val="24"/>
          <w:szCs w:val="24"/>
        </w:rPr>
        <w:t xml:space="preserve">, </w:t>
      </w:r>
      <w:proofErr w:type="spellStart"/>
      <w:r w:rsidRPr="00811F65">
        <w:rPr>
          <w:sz w:val="24"/>
          <w:szCs w:val="24"/>
        </w:rPr>
        <w:t>hæmatochezi</w:t>
      </w:r>
      <w:proofErr w:type="spellEnd"/>
      <w:r w:rsidRPr="00811F65">
        <w:rPr>
          <w:sz w:val="24"/>
          <w:szCs w:val="24"/>
        </w:rPr>
        <w:t xml:space="preserve">, hæmatokrit nedsat, </w:t>
      </w:r>
      <w:proofErr w:type="spellStart"/>
      <w:r w:rsidRPr="00811F65">
        <w:rPr>
          <w:sz w:val="24"/>
          <w:szCs w:val="24"/>
        </w:rPr>
        <w:t>hæmatom</w:t>
      </w:r>
      <w:proofErr w:type="spellEnd"/>
      <w:r w:rsidRPr="00811F65">
        <w:rPr>
          <w:sz w:val="24"/>
          <w:szCs w:val="24"/>
        </w:rPr>
        <w:t xml:space="preserve">, hæmaturi, hæmoglobin nedsat, hæmoglobin, </w:t>
      </w:r>
      <w:proofErr w:type="spellStart"/>
      <w:r w:rsidRPr="00811F65">
        <w:rPr>
          <w:sz w:val="24"/>
          <w:szCs w:val="24"/>
        </w:rPr>
        <w:t>hæmoral</w:t>
      </w:r>
      <w:proofErr w:type="spellEnd"/>
      <w:r w:rsidRPr="00811F65">
        <w:rPr>
          <w:sz w:val="24"/>
          <w:szCs w:val="24"/>
        </w:rPr>
        <w:t xml:space="preserve"> urinvejsblødning, </w:t>
      </w:r>
      <w:proofErr w:type="spellStart"/>
      <w:r w:rsidRPr="00811F65">
        <w:rPr>
          <w:sz w:val="24"/>
          <w:szCs w:val="24"/>
        </w:rPr>
        <w:t>hæmororhage</w:t>
      </w:r>
      <w:proofErr w:type="spellEnd"/>
      <w:r w:rsidRPr="00811F65">
        <w:rPr>
          <w:sz w:val="24"/>
          <w:szCs w:val="24"/>
        </w:rPr>
        <w:t xml:space="preserve">, </w:t>
      </w:r>
      <w:proofErr w:type="spellStart"/>
      <w:r w:rsidRPr="00811F65">
        <w:rPr>
          <w:sz w:val="24"/>
          <w:szCs w:val="24"/>
        </w:rPr>
        <w:t>hæmoral</w:t>
      </w:r>
      <w:proofErr w:type="spellEnd"/>
      <w:r w:rsidRPr="00811F65">
        <w:rPr>
          <w:sz w:val="24"/>
          <w:szCs w:val="24"/>
        </w:rPr>
        <w:t xml:space="preserve"> </w:t>
      </w:r>
      <w:proofErr w:type="spellStart"/>
      <w:r w:rsidRPr="00811F65">
        <w:rPr>
          <w:sz w:val="24"/>
          <w:szCs w:val="24"/>
        </w:rPr>
        <w:t>tractus</w:t>
      </w:r>
      <w:proofErr w:type="spellEnd"/>
      <w:r w:rsidRPr="00811F65">
        <w:rPr>
          <w:sz w:val="24"/>
          <w:szCs w:val="24"/>
        </w:rPr>
        <w:t xml:space="preserve">, </w:t>
      </w:r>
      <w:proofErr w:type="spellStart"/>
      <w:r w:rsidRPr="00811F65">
        <w:rPr>
          <w:sz w:val="24"/>
          <w:szCs w:val="24"/>
        </w:rPr>
        <w:t>hæmoral</w:t>
      </w:r>
      <w:proofErr w:type="spellEnd"/>
      <w:r w:rsidRPr="00811F65">
        <w:rPr>
          <w:sz w:val="24"/>
          <w:szCs w:val="24"/>
        </w:rPr>
        <w:t xml:space="preserve"> </w:t>
      </w:r>
      <w:proofErr w:type="spellStart"/>
      <w:r w:rsidRPr="00811F65">
        <w:rPr>
          <w:sz w:val="24"/>
          <w:szCs w:val="24"/>
        </w:rPr>
        <w:t>tractus</w:t>
      </w:r>
      <w:proofErr w:type="spellEnd"/>
      <w:r w:rsidRPr="00811F65">
        <w:rPr>
          <w:sz w:val="24"/>
          <w:szCs w:val="24"/>
        </w:rPr>
        <w:t xml:space="preserve">, </w:t>
      </w:r>
      <w:proofErr w:type="spellStart"/>
      <w:r w:rsidRPr="00811F65">
        <w:rPr>
          <w:sz w:val="24"/>
          <w:szCs w:val="24"/>
        </w:rPr>
        <w:t>haemorhage</w:t>
      </w:r>
      <w:proofErr w:type="spellEnd"/>
      <w:r w:rsidRPr="00811F65">
        <w:rPr>
          <w:sz w:val="24"/>
          <w:szCs w:val="24"/>
        </w:rPr>
        <w:t xml:space="preserve">. til blå mærker, øget INR, lavere </w:t>
      </w:r>
      <w:proofErr w:type="spellStart"/>
      <w:r w:rsidRPr="00811F65">
        <w:rPr>
          <w:sz w:val="24"/>
          <w:szCs w:val="24"/>
        </w:rPr>
        <w:t>gastrointestinal</w:t>
      </w:r>
      <w:proofErr w:type="spellEnd"/>
      <w:r w:rsidRPr="00811F65">
        <w:rPr>
          <w:sz w:val="24"/>
          <w:szCs w:val="24"/>
        </w:rPr>
        <w:t xml:space="preserve"> blødning, </w:t>
      </w:r>
      <w:proofErr w:type="spellStart"/>
      <w:r w:rsidRPr="00811F65">
        <w:rPr>
          <w:sz w:val="24"/>
          <w:szCs w:val="24"/>
        </w:rPr>
        <w:t>melena</w:t>
      </w:r>
      <w:proofErr w:type="spellEnd"/>
      <w:r w:rsidRPr="00811F65">
        <w:rPr>
          <w:sz w:val="24"/>
          <w:szCs w:val="24"/>
        </w:rPr>
        <w:t xml:space="preserve">, </w:t>
      </w:r>
      <w:proofErr w:type="spellStart"/>
      <w:r w:rsidRPr="00811F65">
        <w:rPr>
          <w:sz w:val="24"/>
          <w:szCs w:val="24"/>
        </w:rPr>
        <w:t>petechiae</w:t>
      </w:r>
      <w:proofErr w:type="spellEnd"/>
      <w:r w:rsidRPr="00811F65">
        <w:rPr>
          <w:sz w:val="24"/>
          <w:szCs w:val="24"/>
        </w:rPr>
        <w:t xml:space="preserve">, </w:t>
      </w:r>
      <w:proofErr w:type="spellStart"/>
      <w:r w:rsidRPr="00811F65">
        <w:rPr>
          <w:sz w:val="24"/>
          <w:szCs w:val="24"/>
        </w:rPr>
        <w:t>pharyngeal</w:t>
      </w:r>
      <w:proofErr w:type="spellEnd"/>
      <w:r w:rsidRPr="00811F65">
        <w:rPr>
          <w:sz w:val="24"/>
          <w:szCs w:val="24"/>
        </w:rPr>
        <w:t xml:space="preserve"> blødning, </w:t>
      </w:r>
      <w:proofErr w:type="spellStart"/>
      <w:r w:rsidRPr="00811F65">
        <w:rPr>
          <w:sz w:val="24"/>
          <w:szCs w:val="24"/>
        </w:rPr>
        <w:t>protrombintid</w:t>
      </w:r>
      <w:proofErr w:type="spellEnd"/>
      <w:r w:rsidRPr="00811F65">
        <w:rPr>
          <w:sz w:val="24"/>
          <w:szCs w:val="24"/>
        </w:rPr>
        <w:t xml:space="preserve"> forlænget, </w:t>
      </w:r>
      <w:proofErr w:type="spellStart"/>
      <w:r w:rsidRPr="00811F65">
        <w:rPr>
          <w:sz w:val="24"/>
          <w:szCs w:val="24"/>
        </w:rPr>
        <w:t>pulmonal</w:t>
      </w:r>
      <w:proofErr w:type="spellEnd"/>
      <w:r w:rsidRPr="00811F65">
        <w:rPr>
          <w:sz w:val="24"/>
          <w:szCs w:val="24"/>
        </w:rPr>
        <w:t xml:space="preserve"> blødning, </w:t>
      </w:r>
      <w:proofErr w:type="spellStart"/>
      <w:r w:rsidRPr="00811F65">
        <w:rPr>
          <w:sz w:val="24"/>
          <w:szCs w:val="24"/>
        </w:rPr>
        <w:t>purpura</w:t>
      </w:r>
      <w:proofErr w:type="spellEnd"/>
      <w:r w:rsidRPr="00811F65">
        <w:rPr>
          <w:sz w:val="24"/>
          <w:szCs w:val="24"/>
        </w:rPr>
        <w:t xml:space="preserve">, </w:t>
      </w:r>
      <w:proofErr w:type="spellStart"/>
      <w:r w:rsidRPr="00811F65">
        <w:rPr>
          <w:sz w:val="24"/>
          <w:szCs w:val="24"/>
        </w:rPr>
        <w:t>rektal</w:t>
      </w:r>
      <w:proofErr w:type="spellEnd"/>
      <w:r w:rsidRPr="00811F65">
        <w:rPr>
          <w:sz w:val="24"/>
          <w:szCs w:val="24"/>
        </w:rPr>
        <w:t xml:space="preserve"> blødning, nedsat antal røde blodlegemer, nyreblødning, </w:t>
      </w:r>
      <w:proofErr w:type="spellStart"/>
      <w:r w:rsidRPr="00811F65">
        <w:rPr>
          <w:sz w:val="24"/>
          <w:szCs w:val="24"/>
        </w:rPr>
        <w:t>skleral</w:t>
      </w:r>
      <w:proofErr w:type="spellEnd"/>
      <w:r w:rsidRPr="00811F65">
        <w:rPr>
          <w:sz w:val="24"/>
          <w:szCs w:val="24"/>
        </w:rPr>
        <w:t xml:space="preserve"> blødning, </w:t>
      </w:r>
      <w:proofErr w:type="spellStart"/>
      <w:r w:rsidRPr="00811F65">
        <w:rPr>
          <w:sz w:val="24"/>
          <w:szCs w:val="24"/>
        </w:rPr>
        <w:t>scrotal</w:t>
      </w:r>
      <w:proofErr w:type="spellEnd"/>
      <w:r w:rsidRPr="00811F65">
        <w:rPr>
          <w:sz w:val="24"/>
          <w:szCs w:val="24"/>
        </w:rPr>
        <w:t xml:space="preserve"> </w:t>
      </w:r>
      <w:proofErr w:type="spellStart"/>
      <w:r w:rsidRPr="00811F65">
        <w:rPr>
          <w:sz w:val="24"/>
          <w:szCs w:val="24"/>
        </w:rPr>
        <w:t>hæmatocele</w:t>
      </w:r>
      <w:proofErr w:type="spellEnd"/>
      <w:r w:rsidRPr="00811F65">
        <w:rPr>
          <w:sz w:val="24"/>
          <w:szCs w:val="24"/>
        </w:rPr>
        <w:t xml:space="preserve"> blødning, </w:t>
      </w:r>
      <w:proofErr w:type="spellStart"/>
      <w:r w:rsidRPr="00811F65">
        <w:rPr>
          <w:sz w:val="24"/>
          <w:szCs w:val="24"/>
        </w:rPr>
        <w:t>subaraknoidal</w:t>
      </w:r>
      <w:proofErr w:type="spellEnd"/>
      <w:r w:rsidRPr="00811F65">
        <w:rPr>
          <w:sz w:val="24"/>
          <w:szCs w:val="24"/>
        </w:rPr>
        <w:t xml:space="preserve"> blødning, blødning fra tungen, blødning i de øvre dele af </w:t>
      </w:r>
      <w:proofErr w:type="spellStart"/>
      <w:r w:rsidRPr="00811F65">
        <w:rPr>
          <w:sz w:val="24"/>
          <w:szCs w:val="24"/>
        </w:rPr>
        <w:t>mave-tarmkanalen</w:t>
      </w:r>
      <w:proofErr w:type="spellEnd"/>
      <w:r w:rsidRPr="00811F65">
        <w:rPr>
          <w:sz w:val="24"/>
          <w:szCs w:val="24"/>
        </w:rPr>
        <w:t xml:space="preserve"> og vaginal blødning.</w:t>
      </w:r>
    </w:p>
    <w:p w14:paraId="254A1929" w14:textId="3F3BF91E" w:rsidR="00355DFD" w:rsidRPr="00811F65" w:rsidRDefault="00355DFD" w:rsidP="00E84059">
      <w:pPr>
        <w:ind w:left="284" w:hanging="284"/>
        <w:rPr>
          <w:sz w:val="24"/>
          <w:szCs w:val="24"/>
        </w:rPr>
      </w:pPr>
      <w:r w:rsidRPr="00811F65">
        <w:rPr>
          <w:sz w:val="24"/>
          <w:szCs w:val="24"/>
          <w:vertAlign w:val="superscript"/>
        </w:rPr>
        <w:t>j</w:t>
      </w:r>
      <w:r w:rsidRPr="00811F65">
        <w:rPr>
          <w:sz w:val="24"/>
          <w:szCs w:val="24"/>
        </w:rPr>
        <w:t xml:space="preserve"> </w:t>
      </w:r>
      <w:r w:rsidR="005235F2" w:rsidRPr="00811F65">
        <w:rPr>
          <w:sz w:val="24"/>
          <w:szCs w:val="24"/>
        </w:rPr>
        <w:tab/>
      </w:r>
      <w:r w:rsidRPr="00811F65">
        <w:rPr>
          <w:sz w:val="24"/>
          <w:szCs w:val="24"/>
        </w:rPr>
        <w:t xml:space="preserve">Inklusive akut myokardieinfarkt, </w:t>
      </w:r>
      <w:proofErr w:type="spellStart"/>
      <w:r w:rsidRPr="00811F65">
        <w:rPr>
          <w:sz w:val="24"/>
          <w:szCs w:val="24"/>
        </w:rPr>
        <w:t>emboli</w:t>
      </w:r>
      <w:proofErr w:type="spellEnd"/>
      <w:r w:rsidRPr="00811F65">
        <w:rPr>
          <w:sz w:val="24"/>
          <w:szCs w:val="24"/>
        </w:rPr>
        <w:t xml:space="preserve">, myokardieinfarkt, </w:t>
      </w:r>
      <w:proofErr w:type="spellStart"/>
      <w:r w:rsidRPr="00811F65">
        <w:rPr>
          <w:sz w:val="24"/>
          <w:szCs w:val="24"/>
        </w:rPr>
        <w:t>retinal</w:t>
      </w:r>
      <w:proofErr w:type="spellEnd"/>
      <w:r w:rsidRPr="00811F65">
        <w:rPr>
          <w:sz w:val="24"/>
          <w:szCs w:val="24"/>
        </w:rPr>
        <w:t xml:space="preserve"> </w:t>
      </w:r>
      <w:proofErr w:type="spellStart"/>
      <w:r w:rsidRPr="00811F65">
        <w:rPr>
          <w:sz w:val="24"/>
          <w:szCs w:val="24"/>
        </w:rPr>
        <w:t>arterieokklusion</w:t>
      </w:r>
      <w:proofErr w:type="spellEnd"/>
      <w:r w:rsidRPr="00811F65">
        <w:rPr>
          <w:sz w:val="24"/>
          <w:szCs w:val="24"/>
        </w:rPr>
        <w:t xml:space="preserve"> og forbigående iskæmisk anfald.</w:t>
      </w:r>
    </w:p>
    <w:p w14:paraId="26B3F3F7" w14:textId="7AD0C80A" w:rsidR="00355DFD" w:rsidRPr="00811F65" w:rsidRDefault="00355DFD" w:rsidP="005235F2">
      <w:pPr>
        <w:ind w:left="284" w:hanging="284"/>
        <w:rPr>
          <w:sz w:val="24"/>
          <w:szCs w:val="24"/>
        </w:rPr>
      </w:pPr>
      <w:r w:rsidRPr="00811F65">
        <w:rPr>
          <w:sz w:val="24"/>
          <w:szCs w:val="24"/>
          <w:vertAlign w:val="superscript"/>
        </w:rPr>
        <w:lastRenderedPageBreak/>
        <w:t>k</w:t>
      </w:r>
      <w:r w:rsidRPr="00811F65">
        <w:rPr>
          <w:sz w:val="24"/>
          <w:szCs w:val="24"/>
        </w:rPr>
        <w:t xml:space="preserve"> </w:t>
      </w:r>
      <w:r w:rsidR="005235F2" w:rsidRPr="00811F65">
        <w:rPr>
          <w:sz w:val="24"/>
          <w:szCs w:val="24"/>
        </w:rPr>
        <w:tab/>
      </w:r>
      <w:proofErr w:type="spellStart"/>
      <w:r w:rsidRPr="00811F65">
        <w:rPr>
          <w:sz w:val="24"/>
          <w:szCs w:val="24"/>
        </w:rPr>
        <w:t>Gastrointestinal</w:t>
      </w:r>
      <w:proofErr w:type="spellEnd"/>
      <w:r w:rsidRPr="00811F65">
        <w:rPr>
          <w:sz w:val="24"/>
          <w:szCs w:val="24"/>
        </w:rPr>
        <w:t xml:space="preserve"> perforation og fistler omfatter følgende termer: </w:t>
      </w:r>
      <w:proofErr w:type="spellStart"/>
      <w:r w:rsidRPr="00811F65">
        <w:rPr>
          <w:sz w:val="24"/>
          <w:szCs w:val="24"/>
        </w:rPr>
        <w:t>abdominal</w:t>
      </w:r>
      <w:proofErr w:type="spellEnd"/>
      <w:r w:rsidRPr="00811F65">
        <w:rPr>
          <w:sz w:val="24"/>
          <w:szCs w:val="24"/>
        </w:rPr>
        <w:t xml:space="preserve"> absces, anal fistel, fistel, </w:t>
      </w:r>
      <w:proofErr w:type="spellStart"/>
      <w:r w:rsidRPr="00811F65">
        <w:rPr>
          <w:sz w:val="24"/>
          <w:szCs w:val="24"/>
        </w:rPr>
        <w:t>gastrointestinal</w:t>
      </w:r>
      <w:proofErr w:type="spellEnd"/>
      <w:r w:rsidRPr="00811F65">
        <w:rPr>
          <w:sz w:val="24"/>
          <w:szCs w:val="24"/>
        </w:rPr>
        <w:t xml:space="preserve"> fistel, </w:t>
      </w:r>
      <w:proofErr w:type="spellStart"/>
      <w:r w:rsidRPr="00811F65">
        <w:rPr>
          <w:sz w:val="24"/>
          <w:szCs w:val="24"/>
        </w:rPr>
        <w:t>anastomose</w:t>
      </w:r>
      <w:proofErr w:type="spellEnd"/>
      <w:r w:rsidRPr="00811F65">
        <w:rPr>
          <w:sz w:val="24"/>
          <w:szCs w:val="24"/>
        </w:rPr>
        <w:t xml:space="preserve"> lækage, </w:t>
      </w:r>
      <w:proofErr w:type="spellStart"/>
      <w:r w:rsidRPr="00811F65">
        <w:rPr>
          <w:sz w:val="24"/>
          <w:szCs w:val="24"/>
        </w:rPr>
        <w:t>gastrointestinal</w:t>
      </w:r>
      <w:proofErr w:type="spellEnd"/>
      <w:r w:rsidRPr="00811F65">
        <w:rPr>
          <w:sz w:val="24"/>
          <w:szCs w:val="24"/>
        </w:rPr>
        <w:t xml:space="preserve"> perforation, tyktarmsperforation, </w:t>
      </w:r>
      <w:proofErr w:type="spellStart"/>
      <w:r w:rsidRPr="00811F65">
        <w:rPr>
          <w:sz w:val="24"/>
          <w:szCs w:val="24"/>
        </w:rPr>
        <w:t>øsofagobronkial</w:t>
      </w:r>
      <w:proofErr w:type="spellEnd"/>
      <w:r w:rsidRPr="00811F65">
        <w:rPr>
          <w:sz w:val="24"/>
          <w:szCs w:val="24"/>
        </w:rPr>
        <w:t xml:space="preserve"> fistel og </w:t>
      </w:r>
      <w:proofErr w:type="spellStart"/>
      <w:r w:rsidRPr="00811F65">
        <w:rPr>
          <w:sz w:val="24"/>
          <w:szCs w:val="24"/>
        </w:rPr>
        <w:t>peritonitis</w:t>
      </w:r>
      <w:proofErr w:type="spellEnd"/>
      <w:r w:rsidRPr="00811F65">
        <w:rPr>
          <w:sz w:val="24"/>
          <w:szCs w:val="24"/>
        </w:rPr>
        <w:t>.</w:t>
      </w:r>
    </w:p>
    <w:p w14:paraId="60A31BCD" w14:textId="36972729" w:rsidR="00355DFD" w:rsidRPr="00811F65" w:rsidRDefault="00355DFD" w:rsidP="005235F2">
      <w:pPr>
        <w:ind w:left="284" w:hanging="284"/>
        <w:rPr>
          <w:sz w:val="24"/>
          <w:szCs w:val="24"/>
        </w:rPr>
      </w:pPr>
      <w:r w:rsidRPr="00811F65">
        <w:rPr>
          <w:sz w:val="24"/>
          <w:szCs w:val="24"/>
          <w:vertAlign w:val="superscript"/>
        </w:rPr>
        <w:t>l</w:t>
      </w:r>
      <w:r w:rsidRPr="00811F65">
        <w:rPr>
          <w:sz w:val="24"/>
          <w:szCs w:val="24"/>
        </w:rPr>
        <w:t xml:space="preserve"> </w:t>
      </w:r>
      <w:r w:rsidR="005235F2" w:rsidRPr="00811F65">
        <w:rPr>
          <w:sz w:val="24"/>
          <w:szCs w:val="24"/>
        </w:rPr>
        <w:tab/>
      </w:r>
      <w:proofErr w:type="spellStart"/>
      <w:r w:rsidRPr="00811F65">
        <w:rPr>
          <w:sz w:val="24"/>
          <w:szCs w:val="24"/>
        </w:rPr>
        <w:t>Proteinuri</w:t>
      </w:r>
      <w:proofErr w:type="spellEnd"/>
      <w:r w:rsidRPr="00811F65">
        <w:rPr>
          <w:sz w:val="24"/>
          <w:szCs w:val="24"/>
        </w:rPr>
        <w:t xml:space="preserve"> omfatter følgende termer: protein i urin, protein tilstede i urinen og </w:t>
      </w:r>
      <w:proofErr w:type="spellStart"/>
      <w:r w:rsidRPr="00811F65">
        <w:rPr>
          <w:sz w:val="24"/>
          <w:szCs w:val="24"/>
        </w:rPr>
        <w:t>proteinuri</w:t>
      </w:r>
      <w:proofErr w:type="spellEnd"/>
      <w:r w:rsidRPr="00811F65">
        <w:rPr>
          <w:sz w:val="24"/>
          <w:szCs w:val="24"/>
        </w:rPr>
        <w:t>.</w:t>
      </w:r>
    </w:p>
    <w:p w14:paraId="6C6E75D7" w14:textId="5FC62FBA" w:rsidR="00355DFD" w:rsidRPr="00811F65" w:rsidRDefault="00355DFD" w:rsidP="005235F2">
      <w:pPr>
        <w:ind w:left="284" w:hanging="284"/>
        <w:rPr>
          <w:sz w:val="24"/>
          <w:szCs w:val="24"/>
        </w:rPr>
      </w:pPr>
      <w:r w:rsidRPr="00811F65">
        <w:rPr>
          <w:sz w:val="24"/>
          <w:szCs w:val="24"/>
          <w:vertAlign w:val="superscript"/>
        </w:rPr>
        <w:t>m</w:t>
      </w:r>
      <w:r w:rsidRPr="00811F65">
        <w:rPr>
          <w:sz w:val="24"/>
          <w:szCs w:val="24"/>
        </w:rPr>
        <w:t xml:space="preserve"> </w:t>
      </w:r>
      <w:r w:rsidR="005235F2" w:rsidRPr="00811F65">
        <w:rPr>
          <w:sz w:val="24"/>
          <w:szCs w:val="24"/>
        </w:rPr>
        <w:tab/>
      </w:r>
      <w:r w:rsidRPr="00811F65">
        <w:rPr>
          <w:sz w:val="24"/>
          <w:szCs w:val="24"/>
        </w:rPr>
        <w:t>Herunder akut nyresvigt</w:t>
      </w:r>
    </w:p>
    <w:p w14:paraId="64ABA84C" w14:textId="5121D89F" w:rsidR="00355DFD" w:rsidRPr="00811F65" w:rsidRDefault="00355DFD" w:rsidP="005235F2">
      <w:pPr>
        <w:ind w:left="284" w:hanging="284"/>
        <w:rPr>
          <w:sz w:val="24"/>
          <w:szCs w:val="24"/>
        </w:rPr>
      </w:pPr>
      <w:r w:rsidRPr="00811F65">
        <w:rPr>
          <w:sz w:val="24"/>
          <w:szCs w:val="24"/>
          <w:vertAlign w:val="superscript"/>
        </w:rPr>
        <w:t>n</w:t>
      </w:r>
      <w:r w:rsidRPr="00811F65">
        <w:rPr>
          <w:sz w:val="24"/>
          <w:szCs w:val="24"/>
        </w:rPr>
        <w:t xml:space="preserve"> </w:t>
      </w:r>
      <w:r w:rsidR="005235F2" w:rsidRPr="00811F65">
        <w:rPr>
          <w:sz w:val="24"/>
          <w:szCs w:val="24"/>
        </w:rPr>
        <w:tab/>
      </w:r>
      <w:proofErr w:type="spellStart"/>
      <w:r w:rsidRPr="00811F65">
        <w:rPr>
          <w:sz w:val="24"/>
          <w:szCs w:val="24"/>
        </w:rPr>
        <w:t>Kolecystitis</w:t>
      </w:r>
      <w:proofErr w:type="spellEnd"/>
      <w:r w:rsidRPr="00811F65">
        <w:rPr>
          <w:sz w:val="24"/>
          <w:szCs w:val="24"/>
        </w:rPr>
        <w:t xml:space="preserve"> omfatter akut </w:t>
      </w:r>
      <w:proofErr w:type="spellStart"/>
      <w:r w:rsidRPr="00811F65">
        <w:rPr>
          <w:sz w:val="24"/>
          <w:szCs w:val="24"/>
        </w:rPr>
        <w:t>cholecystitis</w:t>
      </w:r>
      <w:proofErr w:type="spellEnd"/>
      <w:r w:rsidRPr="00811F65">
        <w:rPr>
          <w:sz w:val="24"/>
          <w:szCs w:val="24"/>
        </w:rPr>
        <w:t xml:space="preserve">, </w:t>
      </w:r>
      <w:proofErr w:type="spellStart"/>
      <w:r w:rsidRPr="00811F65">
        <w:rPr>
          <w:sz w:val="24"/>
          <w:szCs w:val="24"/>
        </w:rPr>
        <w:t>cholecystitis</w:t>
      </w:r>
      <w:proofErr w:type="spellEnd"/>
      <w:r w:rsidRPr="00811F65">
        <w:rPr>
          <w:sz w:val="24"/>
          <w:szCs w:val="24"/>
        </w:rPr>
        <w:t xml:space="preserve">, infektiøs </w:t>
      </w:r>
      <w:proofErr w:type="spellStart"/>
      <w:r w:rsidRPr="00811F65">
        <w:rPr>
          <w:sz w:val="24"/>
          <w:szCs w:val="24"/>
        </w:rPr>
        <w:t>cholecystitis</w:t>
      </w:r>
      <w:proofErr w:type="spellEnd"/>
      <w:r w:rsidRPr="00811F65">
        <w:rPr>
          <w:sz w:val="24"/>
          <w:szCs w:val="24"/>
        </w:rPr>
        <w:t>.</w:t>
      </w:r>
    </w:p>
    <w:p w14:paraId="28645ABB" w14:textId="77777777" w:rsidR="00355DFD" w:rsidRPr="00811F65" w:rsidRDefault="00355DFD" w:rsidP="00355DFD">
      <w:pPr>
        <w:rPr>
          <w:sz w:val="24"/>
          <w:szCs w:val="24"/>
          <w:u w:val="single"/>
        </w:rPr>
      </w:pPr>
    </w:p>
    <w:p w14:paraId="2CF979B9" w14:textId="77777777" w:rsidR="00355DFD" w:rsidRPr="00811F65" w:rsidRDefault="00355DFD" w:rsidP="005235F2">
      <w:pPr>
        <w:ind w:left="851"/>
        <w:rPr>
          <w:sz w:val="24"/>
          <w:szCs w:val="24"/>
          <w:u w:val="single"/>
        </w:rPr>
      </w:pPr>
      <w:r w:rsidRPr="00811F65">
        <w:rPr>
          <w:sz w:val="24"/>
          <w:szCs w:val="24"/>
          <w:u w:val="single"/>
        </w:rPr>
        <w:t>Beskrivelse af udvalgte bivirkninger</w:t>
      </w:r>
    </w:p>
    <w:p w14:paraId="79BF741D" w14:textId="77777777" w:rsidR="00355DFD" w:rsidRPr="00811F65" w:rsidRDefault="00355DFD" w:rsidP="005235F2">
      <w:pPr>
        <w:ind w:left="851"/>
        <w:rPr>
          <w:sz w:val="24"/>
          <w:szCs w:val="24"/>
        </w:rPr>
      </w:pPr>
    </w:p>
    <w:p w14:paraId="40D6686F" w14:textId="77777777" w:rsidR="00355DFD" w:rsidRPr="00811F65" w:rsidRDefault="00355DFD" w:rsidP="005235F2">
      <w:pPr>
        <w:ind w:left="851"/>
        <w:rPr>
          <w:i/>
          <w:iCs/>
          <w:sz w:val="24"/>
          <w:szCs w:val="24"/>
          <w:u w:val="single"/>
        </w:rPr>
      </w:pPr>
      <w:r w:rsidRPr="00811F65">
        <w:rPr>
          <w:i/>
          <w:iCs/>
          <w:sz w:val="24"/>
          <w:szCs w:val="24"/>
          <w:u w:val="single"/>
        </w:rPr>
        <w:t>Hjertesvigt hændelser (se pkt. 4.4)</w:t>
      </w:r>
    </w:p>
    <w:p w14:paraId="7C713360" w14:textId="2FDB5D14" w:rsidR="00355DFD" w:rsidRPr="00811F65" w:rsidRDefault="00355DFD" w:rsidP="005235F2">
      <w:pPr>
        <w:ind w:left="851"/>
        <w:rPr>
          <w:sz w:val="24"/>
          <w:szCs w:val="24"/>
        </w:rPr>
      </w:pPr>
      <w:r w:rsidRPr="00811F65">
        <w:rPr>
          <w:sz w:val="24"/>
          <w:szCs w:val="24"/>
        </w:rPr>
        <w:t xml:space="preserve">I et kontrolleret klinisk studie med </w:t>
      </w:r>
      <w:proofErr w:type="spellStart"/>
      <w:r w:rsidRPr="00811F65">
        <w:rPr>
          <w:sz w:val="24"/>
          <w:szCs w:val="24"/>
        </w:rPr>
        <w:t>axitinib</w:t>
      </w:r>
      <w:proofErr w:type="spellEnd"/>
      <w:r w:rsidRPr="00811F65">
        <w:rPr>
          <w:sz w:val="24"/>
          <w:szCs w:val="24"/>
        </w:rPr>
        <w:t xml:space="preserve"> (N = 359) til behandling af patienter med RCC blev der rapporteret hjertesvigt hos 1,7</w:t>
      </w:r>
      <w:r w:rsidR="00E84059">
        <w:rPr>
          <w:sz w:val="24"/>
          <w:szCs w:val="24"/>
        </w:rPr>
        <w:t xml:space="preserve"> %</w:t>
      </w:r>
      <w:r w:rsidRPr="00811F65">
        <w:rPr>
          <w:sz w:val="24"/>
          <w:szCs w:val="24"/>
        </w:rPr>
        <w:t xml:space="preserve"> af patienterne, der fik </w:t>
      </w:r>
      <w:proofErr w:type="spellStart"/>
      <w:r w:rsidRPr="00811F65">
        <w:rPr>
          <w:sz w:val="24"/>
          <w:szCs w:val="24"/>
        </w:rPr>
        <w:t>axitinib</w:t>
      </w:r>
      <w:proofErr w:type="spellEnd"/>
      <w:r w:rsidRPr="00811F65">
        <w:rPr>
          <w:sz w:val="24"/>
          <w:szCs w:val="24"/>
        </w:rPr>
        <w:t>, inklusive hjertesvigt (0,6</w:t>
      </w:r>
      <w:r w:rsidR="00E84059">
        <w:rPr>
          <w:sz w:val="24"/>
          <w:szCs w:val="24"/>
        </w:rPr>
        <w:t xml:space="preserve"> %</w:t>
      </w:r>
      <w:r w:rsidRPr="00811F65">
        <w:rPr>
          <w:sz w:val="24"/>
          <w:szCs w:val="24"/>
        </w:rPr>
        <w:t>), hjertesvigt (0,6</w:t>
      </w:r>
      <w:r w:rsidR="00E84059">
        <w:rPr>
          <w:sz w:val="24"/>
          <w:szCs w:val="24"/>
        </w:rPr>
        <w:t xml:space="preserve"> %</w:t>
      </w:r>
      <w:r w:rsidRPr="00811F65">
        <w:rPr>
          <w:sz w:val="24"/>
          <w:szCs w:val="24"/>
        </w:rPr>
        <w:t>), venstre ventrikel dysfunktion (0,3</w:t>
      </w:r>
      <w:r w:rsidR="00E84059">
        <w:rPr>
          <w:sz w:val="24"/>
          <w:szCs w:val="24"/>
        </w:rPr>
        <w:t xml:space="preserve"> %</w:t>
      </w:r>
      <w:r w:rsidRPr="00811F65">
        <w:rPr>
          <w:sz w:val="24"/>
          <w:szCs w:val="24"/>
        </w:rPr>
        <w:t>) og højre ventrikelsvigt (0,3</w:t>
      </w:r>
      <w:r w:rsidR="00E84059">
        <w:rPr>
          <w:sz w:val="24"/>
          <w:szCs w:val="24"/>
        </w:rPr>
        <w:t xml:space="preserve"> %</w:t>
      </w:r>
      <w:r w:rsidRPr="00811F65">
        <w:rPr>
          <w:sz w:val="24"/>
          <w:szCs w:val="24"/>
        </w:rPr>
        <w:t>). Grad 4 hjertesvigt bivirkninger blev rapporteret hos 0,6</w:t>
      </w:r>
      <w:r w:rsidR="00E84059">
        <w:rPr>
          <w:sz w:val="24"/>
          <w:szCs w:val="24"/>
        </w:rPr>
        <w:t xml:space="preserve"> %</w:t>
      </w:r>
      <w:r w:rsidRPr="00811F65">
        <w:rPr>
          <w:sz w:val="24"/>
          <w:szCs w:val="24"/>
        </w:rPr>
        <w:t xml:space="preserve"> af patienterne, der fik </w:t>
      </w:r>
      <w:proofErr w:type="spellStart"/>
      <w:r w:rsidRPr="00811F65">
        <w:rPr>
          <w:sz w:val="24"/>
          <w:szCs w:val="24"/>
        </w:rPr>
        <w:t>axitinib</w:t>
      </w:r>
      <w:proofErr w:type="spellEnd"/>
      <w:r w:rsidRPr="00811F65">
        <w:rPr>
          <w:sz w:val="24"/>
          <w:szCs w:val="24"/>
        </w:rPr>
        <w:t>. Fatalt hjertesvigt blev rapporteret hos 0,6</w:t>
      </w:r>
      <w:r w:rsidR="00E84059">
        <w:rPr>
          <w:sz w:val="24"/>
          <w:szCs w:val="24"/>
        </w:rPr>
        <w:t xml:space="preserve"> %</w:t>
      </w:r>
      <w:r w:rsidRPr="00811F65">
        <w:rPr>
          <w:sz w:val="24"/>
          <w:szCs w:val="24"/>
        </w:rPr>
        <w:t xml:space="preserve"> af patienterne, der fik </w:t>
      </w:r>
      <w:proofErr w:type="spellStart"/>
      <w:r w:rsidRPr="00811F65">
        <w:rPr>
          <w:sz w:val="24"/>
          <w:szCs w:val="24"/>
        </w:rPr>
        <w:t>axitinib</w:t>
      </w:r>
      <w:proofErr w:type="spellEnd"/>
      <w:r w:rsidRPr="00811F65">
        <w:rPr>
          <w:sz w:val="24"/>
          <w:szCs w:val="24"/>
        </w:rPr>
        <w:t>.</w:t>
      </w:r>
    </w:p>
    <w:p w14:paraId="1DCCEDE7" w14:textId="77777777" w:rsidR="00355DFD" w:rsidRPr="00811F65" w:rsidRDefault="00355DFD" w:rsidP="005235F2">
      <w:pPr>
        <w:ind w:left="851"/>
        <w:rPr>
          <w:sz w:val="24"/>
          <w:szCs w:val="24"/>
        </w:rPr>
      </w:pPr>
    </w:p>
    <w:p w14:paraId="59CF6C7E" w14:textId="39A6363B" w:rsidR="00355DFD" w:rsidRPr="00811F65" w:rsidRDefault="00355DFD" w:rsidP="005235F2">
      <w:pPr>
        <w:ind w:left="851"/>
        <w:rPr>
          <w:sz w:val="24"/>
          <w:szCs w:val="24"/>
        </w:rPr>
      </w:pPr>
      <w:r w:rsidRPr="00811F65">
        <w:rPr>
          <w:sz w:val="24"/>
          <w:szCs w:val="24"/>
        </w:rPr>
        <w:t xml:space="preserve">I monoterapistudier med </w:t>
      </w:r>
      <w:proofErr w:type="spellStart"/>
      <w:r w:rsidRPr="00811F65">
        <w:rPr>
          <w:sz w:val="24"/>
          <w:szCs w:val="24"/>
        </w:rPr>
        <w:t>axitinib</w:t>
      </w:r>
      <w:proofErr w:type="spellEnd"/>
      <w:r w:rsidRPr="00811F65">
        <w:rPr>
          <w:sz w:val="24"/>
          <w:szCs w:val="24"/>
        </w:rPr>
        <w:t xml:space="preserve"> (N = 672) til behandling af patienter med RCC blev hjertesvigt (inklusive hjertesvigt, </w:t>
      </w:r>
      <w:proofErr w:type="spellStart"/>
      <w:r w:rsidRPr="00811F65">
        <w:rPr>
          <w:sz w:val="24"/>
          <w:szCs w:val="24"/>
        </w:rPr>
        <w:t>kongestivt</w:t>
      </w:r>
      <w:proofErr w:type="spellEnd"/>
      <w:r w:rsidRPr="00811F65">
        <w:rPr>
          <w:sz w:val="24"/>
          <w:szCs w:val="24"/>
        </w:rPr>
        <w:t xml:space="preserve"> hjertesvigt, hjertesvigt, venstre </w:t>
      </w:r>
      <w:proofErr w:type="spellStart"/>
      <w:r w:rsidRPr="00811F65">
        <w:rPr>
          <w:sz w:val="24"/>
          <w:szCs w:val="24"/>
        </w:rPr>
        <w:t>ventrikulær</w:t>
      </w:r>
      <w:proofErr w:type="spellEnd"/>
      <w:r w:rsidRPr="00811F65">
        <w:rPr>
          <w:sz w:val="24"/>
          <w:szCs w:val="24"/>
        </w:rPr>
        <w:t xml:space="preserve"> dysfunktion, nedsat </w:t>
      </w:r>
      <w:proofErr w:type="spellStart"/>
      <w:r w:rsidRPr="00811F65">
        <w:rPr>
          <w:sz w:val="24"/>
          <w:szCs w:val="24"/>
        </w:rPr>
        <w:t>ejektionsfraktion</w:t>
      </w:r>
      <w:proofErr w:type="spellEnd"/>
      <w:r w:rsidRPr="00811F65">
        <w:rPr>
          <w:sz w:val="24"/>
          <w:szCs w:val="24"/>
        </w:rPr>
        <w:t xml:space="preserve"> og højre ventrikelsvigt) rapporteret hos 1,8</w:t>
      </w:r>
      <w:r w:rsidR="00E84059">
        <w:rPr>
          <w:sz w:val="24"/>
          <w:szCs w:val="24"/>
        </w:rPr>
        <w:t xml:space="preserve"> %</w:t>
      </w:r>
      <w:r w:rsidRPr="00811F65">
        <w:rPr>
          <w:sz w:val="24"/>
          <w:szCs w:val="24"/>
        </w:rPr>
        <w:t xml:space="preserve"> patienter, der får </w:t>
      </w:r>
      <w:proofErr w:type="spellStart"/>
      <w:r w:rsidRPr="00811F65">
        <w:rPr>
          <w:sz w:val="24"/>
          <w:szCs w:val="24"/>
        </w:rPr>
        <w:t>axitinib</w:t>
      </w:r>
      <w:proofErr w:type="spellEnd"/>
      <w:r w:rsidRPr="00811F65">
        <w:rPr>
          <w:sz w:val="24"/>
          <w:szCs w:val="24"/>
        </w:rPr>
        <w:t>. Grad 3/4 hjerteinsufficiens blev rapporteret hos 1,0</w:t>
      </w:r>
      <w:r w:rsidR="00E84059">
        <w:rPr>
          <w:sz w:val="24"/>
          <w:szCs w:val="24"/>
        </w:rPr>
        <w:t xml:space="preserve"> %</w:t>
      </w:r>
      <w:r w:rsidRPr="00811F65">
        <w:rPr>
          <w:sz w:val="24"/>
          <w:szCs w:val="24"/>
        </w:rPr>
        <w:t xml:space="preserve"> af patienterne, og fatale hjertesvigtshændelser blev rapporteret hos 0,3</w:t>
      </w:r>
      <w:r w:rsidR="00E84059">
        <w:rPr>
          <w:sz w:val="24"/>
          <w:szCs w:val="24"/>
        </w:rPr>
        <w:t xml:space="preserve"> %</w:t>
      </w:r>
      <w:r w:rsidRPr="00811F65">
        <w:rPr>
          <w:sz w:val="24"/>
          <w:szCs w:val="24"/>
        </w:rPr>
        <w:t xml:space="preserve"> af patienterne, der fik </w:t>
      </w:r>
      <w:proofErr w:type="spellStart"/>
      <w:r w:rsidRPr="00811F65">
        <w:rPr>
          <w:sz w:val="24"/>
          <w:szCs w:val="24"/>
        </w:rPr>
        <w:t>axitinib</w:t>
      </w:r>
      <w:proofErr w:type="spellEnd"/>
      <w:r w:rsidRPr="00811F65">
        <w:rPr>
          <w:sz w:val="24"/>
          <w:szCs w:val="24"/>
        </w:rPr>
        <w:t>.</w:t>
      </w:r>
    </w:p>
    <w:p w14:paraId="0581F2BF" w14:textId="77777777" w:rsidR="00355DFD" w:rsidRPr="00811F65" w:rsidRDefault="00355DFD" w:rsidP="005235F2">
      <w:pPr>
        <w:ind w:left="851"/>
        <w:rPr>
          <w:sz w:val="24"/>
          <w:szCs w:val="24"/>
        </w:rPr>
      </w:pPr>
    </w:p>
    <w:p w14:paraId="654A3C1C" w14:textId="77777777" w:rsidR="00355DFD" w:rsidRPr="00811F65" w:rsidRDefault="00355DFD" w:rsidP="005235F2">
      <w:pPr>
        <w:ind w:left="851"/>
        <w:rPr>
          <w:i/>
          <w:iCs/>
          <w:sz w:val="24"/>
          <w:szCs w:val="24"/>
          <w:u w:val="single"/>
        </w:rPr>
      </w:pPr>
      <w:proofErr w:type="spellStart"/>
      <w:r w:rsidRPr="00811F65">
        <w:rPr>
          <w:i/>
          <w:iCs/>
          <w:sz w:val="24"/>
          <w:szCs w:val="24"/>
          <w:u w:val="single"/>
        </w:rPr>
        <w:t>Thyroideadysfunktion</w:t>
      </w:r>
      <w:proofErr w:type="spellEnd"/>
      <w:r w:rsidRPr="00811F65">
        <w:rPr>
          <w:i/>
          <w:iCs/>
          <w:sz w:val="24"/>
          <w:szCs w:val="24"/>
          <w:u w:val="single"/>
        </w:rPr>
        <w:t xml:space="preserve"> (se pkt. 4.4)</w:t>
      </w:r>
    </w:p>
    <w:p w14:paraId="6BF0FD3F" w14:textId="6384658B" w:rsidR="00355DFD" w:rsidRPr="00811F65" w:rsidRDefault="00355DFD" w:rsidP="005235F2">
      <w:pPr>
        <w:ind w:left="851"/>
        <w:rPr>
          <w:sz w:val="24"/>
          <w:szCs w:val="24"/>
        </w:rPr>
      </w:pPr>
      <w:r w:rsidRPr="00811F65">
        <w:rPr>
          <w:sz w:val="24"/>
          <w:szCs w:val="24"/>
        </w:rPr>
        <w:t xml:space="preserve">I et kontrolleret klinisk studie med </w:t>
      </w:r>
      <w:proofErr w:type="spellStart"/>
      <w:r w:rsidRPr="00811F65">
        <w:rPr>
          <w:sz w:val="24"/>
          <w:szCs w:val="24"/>
        </w:rPr>
        <w:t>axitinib</w:t>
      </w:r>
      <w:proofErr w:type="spellEnd"/>
      <w:r w:rsidRPr="00811F65">
        <w:rPr>
          <w:sz w:val="24"/>
          <w:szCs w:val="24"/>
        </w:rPr>
        <w:t xml:space="preserve"> til behandling af patienter med RCC blev </w:t>
      </w:r>
      <w:proofErr w:type="spellStart"/>
      <w:r w:rsidRPr="00811F65">
        <w:rPr>
          <w:sz w:val="24"/>
          <w:szCs w:val="24"/>
        </w:rPr>
        <w:t>hypothyroidisme</w:t>
      </w:r>
      <w:proofErr w:type="spellEnd"/>
      <w:r w:rsidRPr="00811F65">
        <w:rPr>
          <w:sz w:val="24"/>
          <w:szCs w:val="24"/>
        </w:rPr>
        <w:t xml:space="preserve"> rapporteret hos 20,9</w:t>
      </w:r>
      <w:r w:rsidR="00E84059">
        <w:rPr>
          <w:sz w:val="24"/>
          <w:szCs w:val="24"/>
        </w:rPr>
        <w:t xml:space="preserve"> %</w:t>
      </w:r>
      <w:r w:rsidRPr="00811F65">
        <w:rPr>
          <w:sz w:val="24"/>
          <w:szCs w:val="24"/>
        </w:rPr>
        <w:t xml:space="preserve"> af patienterne, og </w:t>
      </w:r>
      <w:proofErr w:type="spellStart"/>
      <w:r w:rsidRPr="00811F65">
        <w:rPr>
          <w:sz w:val="24"/>
          <w:szCs w:val="24"/>
        </w:rPr>
        <w:t>hyperthyroidisme</w:t>
      </w:r>
      <w:proofErr w:type="spellEnd"/>
      <w:r w:rsidRPr="00811F65">
        <w:rPr>
          <w:sz w:val="24"/>
          <w:szCs w:val="24"/>
        </w:rPr>
        <w:t xml:space="preserve"> blev rapporteret hos 1,1</w:t>
      </w:r>
      <w:r w:rsidR="00E84059">
        <w:rPr>
          <w:sz w:val="24"/>
          <w:szCs w:val="24"/>
        </w:rPr>
        <w:t xml:space="preserve"> %</w:t>
      </w:r>
      <w:r w:rsidRPr="00811F65">
        <w:rPr>
          <w:sz w:val="24"/>
          <w:szCs w:val="24"/>
        </w:rPr>
        <w:t xml:space="preserve"> af patienterne. Forøget </w:t>
      </w:r>
      <w:proofErr w:type="spellStart"/>
      <w:r w:rsidRPr="00811F65">
        <w:rPr>
          <w:sz w:val="24"/>
          <w:szCs w:val="24"/>
        </w:rPr>
        <w:t>thyreoideastimulerende</w:t>
      </w:r>
      <w:proofErr w:type="spellEnd"/>
      <w:r w:rsidRPr="00811F65">
        <w:rPr>
          <w:sz w:val="24"/>
          <w:szCs w:val="24"/>
        </w:rPr>
        <w:t xml:space="preserve"> hormon (TSH) blev rapporteret som en bivirkning hos 5,3</w:t>
      </w:r>
      <w:r w:rsidR="00E84059">
        <w:rPr>
          <w:sz w:val="24"/>
          <w:szCs w:val="24"/>
        </w:rPr>
        <w:t xml:space="preserve"> %</w:t>
      </w:r>
      <w:r w:rsidRPr="00811F65">
        <w:rPr>
          <w:sz w:val="24"/>
          <w:szCs w:val="24"/>
        </w:rPr>
        <w:t xml:space="preserve"> af patienterne, der fik </w:t>
      </w:r>
      <w:proofErr w:type="spellStart"/>
      <w:r w:rsidRPr="00811F65">
        <w:rPr>
          <w:sz w:val="24"/>
          <w:szCs w:val="24"/>
        </w:rPr>
        <w:t>axitinib</w:t>
      </w:r>
      <w:proofErr w:type="spellEnd"/>
      <w:r w:rsidRPr="00811F65">
        <w:rPr>
          <w:sz w:val="24"/>
          <w:szCs w:val="24"/>
        </w:rPr>
        <w:t xml:space="preserve">. Under rutinemæssige laboratorievurderinger, hos patienter, som havde TSH &lt; 5 </w:t>
      </w:r>
      <w:proofErr w:type="spellStart"/>
      <w:r w:rsidRPr="00811F65">
        <w:rPr>
          <w:sz w:val="24"/>
          <w:szCs w:val="24"/>
        </w:rPr>
        <w:t>μU</w:t>
      </w:r>
      <w:proofErr w:type="spellEnd"/>
      <w:r w:rsidRPr="00811F65">
        <w:rPr>
          <w:sz w:val="24"/>
          <w:szCs w:val="24"/>
        </w:rPr>
        <w:t xml:space="preserve">/ml før behandling, forekom forhøjelser af TSH til ≥ 10 </w:t>
      </w:r>
      <w:proofErr w:type="spellStart"/>
      <w:r w:rsidRPr="00811F65">
        <w:rPr>
          <w:sz w:val="24"/>
          <w:szCs w:val="24"/>
        </w:rPr>
        <w:t>μU</w:t>
      </w:r>
      <w:proofErr w:type="spellEnd"/>
      <w:r w:rsidRPr="00811F65">
        <w:rPr>
          <w:sz w:val="24"/>
          <w:szCs w:val="24"/>
        </w:rPr>
        <w:t>/</w:t>
      </w:r>
      <w:proofErr w:type="spellStart"/>
      <w:r w:rsidRPr="00811F65">
        <w:rPr>
          <w:sz w:val="24"/>
          <w:szCs w:val="24"/>
        </w:rPr>
        <w:t>mL</w:t>
      </w:r>
      <w:proofErr w:type="spellEnd"/>
      <w:r w:rsidRPr="00811F65">
        <w:rPr>
          <w:sz w:val="24"/>
          <w:szCs w:val="24"/>
        </w:rPr>
        <w:t xml:space="preserve"> hos 32,2</w:t>
      </w:r>
      <w:r w:rsidR="00E84059">
        <w:rPr>
          <w:sz w:val="24"/>
          <w:szCs w:val="24"/>
        </w:rPr>
        <w:t xml:space="preserve"> %</w:t>
      </w:r>
      <w:r w:rsidRPr="00811F65">
        <w:rPr>
          <w:sz w:val="24"/>
          <w:szCs w:val="24"/>
        </w:rPr>
        <w:t xml:space="preserve"> af patienterne, der fik </w:t>
      </w:r>
      <w:proofErr w:type="spellStart"/>
      <w:r w:rsidRPr="00811F65">
        <w:rPr>
          <w:sz w:val="24"/>
          <w:szCs w:val="24"/>
        </w:rPr>
        <w:t>axitinib</w:t>
      </w:r>
      <w:proofErr w:type="spellEnd"/>
      <w:r w:rsidRPr="00811F65">
        <w:rPr>
          <w:sz w:val="24"/>
          <w:szCs w:val="24"/>
        </w:rPr>
        <w:t>.</w:t>
      </w:r>
    </w:p>
    <w:p w14:paraId="17305C7D" w14:textId="77777777" w:rsidR="00355DFD" w:rsidRPr="00811F65" w:rsidRDefault="00355DFD" w:rsidP="005235F2">
      <w:pPr>
        <w:ind w:left="851"/>
        <w:rPr>
          <w:sz w:val="24"/>
          <w:szCs w:val="24"/>
        </w:rPr>
      </w:pPr>
    </w:p>
    <w:p w14:paraId="3558F1F7" w14:textId="523C8381" w:rsidR="00355DFD" w:rsidRPr="00811F65" w:rsidRDefault="00355DFD" w:rsidP="005235F2">
      <w:pPr>
        <w:ind w:left="851"/>
        <w:rPr>
          <w:sz w:val="24"/>
          <w:szCs w:val="24"/>
        </w:rPr>
      </w:pPr>
      <w:r w:rsidRPr="00811F65">
        <w:rPr>
          <w:sz w:val="24"/>
          <w:szCs w:val="24"/>
        </w:rPr>
        <w:t xml:space="preserve">I </w:t>
      </w:r>
      <w:proofErr w:type="spellStart"/>
      <w:r w:rsidRPr="00811F65">
        <w:rPr>
          <w:sz w:val="24"/>
          <w:szCs w:val="24"/>
        </w:rPr>
        <w:t>poolede</w:t>
      </w:r>
      <w:proofErr w:type="spellEnd"/>
      <w:r w:rsidRPr="00811F65">
        <w:rPr>
          <w:sz w:val="24"/>
          <w:szCs w:val="24"/>
        </w:rPr>
        <w:t xml:space="preserve"> kliniske studier med </w:t>
      </w:r>
      <w:proofErr w:type="spellStart"/>
      <w:r w:rsidRPr="00811F65">
        <w:rPr>
          <w:sz w:val="24"/>
          <w:szCs w:val="24"/>
        </w:rPr>
        <w:t>axitinib</w:t>
      </w:r>
      <w:proofErr w:type="spellEnd"/>
      <w:r w:rsidRPr="00811F65">
        <w:rPr>
          <w:sz w:val="24"/>
          <w:szCs w:val="24"/>
        </w:rPr>
        <w:t xml:space="preserve"> (N = 672) til behandling af patienter med RCC blev </w:t>
      </w:r>
      <w:proofErr w:type="spellStart"/>
      <w:r w:rsidRPr="00811F65">
        <w:rPr>
          <w:sz w:val="24"/>
          <w:szCs w:val="24"/>
        </w:rPr>
        <w:t>hypothyroidisme</w:t>
      </w:r>
      <w:proofErr w:type="spellEnd"/>
      <w:r w:rsidRPr="00811F65">
        <w:rPr>
          <w:sz w:val="24"/>
          <w:szCs w:val="24"/>
        </w:rPr>
        <w:t xml:space="preserve"> rapporteret hos 24,6</w:t>
      </w:r>
      <w:r w:rsidR="00E84059">
        <w:rPr>
          <w:sz w:val="24"/>
          <w:szCs w:val="24"/>
        </w:rPr>
        <w:t xml:space="preserve"> %</w:t>
      </w:r>
      <w:r w:rsidRPr="00811F65">
        <w:rPr>
          <w:sz w:val="24"/>
          <w:szCs w:val="24"/>
        </w:rPr>
        <w:t xml:space="preserve"> af patienterne, der fik </w:t>
      </w:r>
      <w:proofErr w:type="spellStart"/>
      <w:r w:rsidRPr="00811F65">
        <w:rPr>
          <w:sz w:val="24"/>
          <w:szCs w:val="24"/>
        </w:rPr>
        <w:t>axitinib</w:t>
      </w:r>
      <w:proofErr w:type="spellEnd"/>
      <w:r w:rsidRPr="00811F65">
        <w:rPr>
          <w:sz w:val="24"/>
          <w:szCs w:val="24"/>
        </w:rPr>
        <w:t xml:space="preserve">. </w:t>
      </w:r>
      <w:proofErr w:type="spellStart"/>
      <w:r w:rsidRPr="00811F65">
        <w:rPr>
          <w:sz w:val="24"/>
          <w:szCs w:val="24"/>
        </w:rPr>
        <w:t>Hyperthyroidisme</w:t>
      </w:r>
      <w:proofErr w:type="spellEnd"/>
      <w:r w:rsidRPr="00811F65">
        <w:rPr>
          <w:sz w:val="24"/>
          <w:szCs w:val="24"/>
        </w:rPr>
        <w:t xml:space="preserve"> blev rapporteret hos 1,6</w:t>
      </w:r>
      <w:r w:rsidR="00E84059">
        <w:rPr>
          <w:sz w:val="24"/>
          <w:szCs w:val="24"/>
        </w:rPr>
        <w:t xml:space="preserve"> %</w:t>
      </w:r>
      <w:r w:rsidRPr="00811F65">
        <w:rPr>
          <w:sz w:val="24"/>
          <w:szCs w:val="24"/>
        </w:rPr>
        <w:t xml:space="preserve"> af patienterne, der fik </w:t>
      </w:r>
      <w:proofErr w:type="spellStart"/>
      <w:r w:rsidRPr="00811F65">
        <w:rPr>
          <w:sz w:val="24"/>
          <w:szCs w:val="24"/>
        </w:rPr>
        <w:t>axitinib</w:t>
      </w:r>
      <w:proofErr w:type="spellEnd"/>
      <w:r w:rsidRPr="00811F65">
        <w:rPr>
          <w:sz w:val="24"/>
          <w:szCs w:val="24"/>
        </w:rPr>
        <w:t>.</w:t>
      </w:r>
    </w:p>
    <w:p w14:paraId="3047604E" w14:textId="77777777" w:rsidR="00355DFD" w:rsidRPr="00811F65" w:rsidRDefault="00355DFD" w:rsidP="005235F2">
      <w:pPr>
        <w:ind w:left="851"/>
        <w:rPr>
          <w:sz w:val="24"/>
          <w:szCs w:val="24"/>
        </w:rPr>
      </w:pPr>
    </w:p>
    <w:p w14:paraId="3D46666E" w14:textId="77777777" w:rsidR="00355DFD" w:rsidRPr="00811F65" w:rsidRDefault="00355DFD" w:rsidP="005235F2">
      <w:pPr>
        <w:ind w:left="851"/>
        <w:rPr>
          <w:i/>
          <w:iCs/>
          <w:sz w:val="24"/>
          <w:szCs w:val="24"/>
          <w:u w:val="single"/>
        </w:rPr>
      </w:pPr>
      <w:r w:rsidRPr="00811F65">
        <w:rPr>
          <w:i/>
          <w:iCs/>
          <w:sz w:val="24"/>
          <w:szCs w:val="24"/>
          <w:u w:val="single"/>
        </w:rPr>
        <w:t xml:space="preserve">Venøse </w:t>
      </w:r>
      <w:proofErr w:type="spellStart"/>
      <w:r w:rsidRPr="00811F65">
        <w:rPr>
          <w:i/>
          <w:iCs/>
          <w:sz w:val="24"/>
          <w:szCs w:val="24"/>
          <w:u w:val="single"/>
        </w:rPr>
        <w:t>tromboemboliske</w:t>
      </w:r>
      <w:proofErr w:type="spellEnd"/>
      <w:r w:rsidRPr="00811F65">
        <w:rPr>
          <w:i/>
          <w:iCs/>
          <w:sz w:val="24"/>
          <w:szCs w:val="24"/>
          <w:u w:val="single"/>
        </w:rPr>
        <w:t xml:space="preserve"> hændelser (se pkt. 4.4) </w:t>
      </w:r>
    </w:p>
    <w:p w14:paraId="50D4587C" w14:textId="1A87D9A2" w:rsidR="00355DFD" w:rsidRPr="00811F65" w:rsidRDefault="00355DFD" w:rsidP="005235F2">
      <w:pPr>
        <w:ind w:left="851"/>
        <w:rPr>
          <w:sz w:val="24"/>
          <w:szCs w:val="24"/>
        </w:rPr>
      </w:pPr>
      <w:r w:rsidRPr="00811F65">
        <w:rPr>
          <w:sz w:val="24"/>
          <w:szCs w:val="24"/>
        </w:rPr>
        <w:t xml:space="preserve">I et klinisk studie med </w:t>
      </w:r>
      <w:proofErr w:type="spellStart"/>
      <w:r w:rsidRPr="00811F65">
        <w:rPr>
          <w:sz w:val="24"/>
          <w:szCs w:val="24"/>
        </w:rPr>
        <w:t>axitinib</w:t>
      </w:r>
      <w:proofErr w:type="spellEnd"/>
      <w:r w:rsidRPr="00811F65">
        <w:rPr>
          <w:sz w:val="24"/>
          <w:szCs w:val="24"/>
        </w:rPr>
        <w:t xml:space="preserve"> til behandling af patienter med RCC, blev der rapporteret venøse </w:t>
      </w:r>
      <w:proofErr w:type="spellStart"/>
      <w:r w:rsidRPr="00811F65">
        <w:rPr>
          <w:sz w:val="24"/>
          <w:szCs w:val="24"/>
        </w:rPr>
        <w:t>tromboemboliske</w:t>
      </w:r>
      <w:proofErr w:type="spellEnd"/>
      <w:r w:rsidRPr="00811F65">
        <w:rPr>
          <w:sz w:val="24"/>
          <w:szCs w:val="24"/>
        </w:rPr>
        <w:t xml:space="preserve"> hændelser hos 3,9</w:t>
      </w:r>
      <w:r w:rsidR="00E84059">
        <w:rPr>
          <w:sz w:val="24"/>
          <w:szCs w:val="24"/>
        </w:rPr>
        <w:t xml:space="preserve"> %</w:t>
      </w:r>
      <w:r w:rsidRPr="00811F65">
        <w:rPr>
          <w:sz w:val="24"/>
          <w:szCs w:val="24"/>
        </w:rPr>
        <w:t xml:space="preserve"> af patienterne, der fik </w:t>
      </w:r>
      <w:proofErr w:type="spellStart"/>
      <w:r w:rsidRPr="00811F65">
        <w:rPr>
          <w:sz w:val="24"/>
          <w:szCs w:val="24"/>
        </w:rPr>
        <w:t>axitinib</w:t>
      </w:r>
      <w:proofErr w:type="spellEnd"/>
      <w:r w:rsidRPr="00811F65">
        <w:rPr>
          <w:sz w:val="24"/>
          <w:szCs w:val="24"/>
        </w:rPr>
        <w:t xml:space="preserve">, herunder </w:t>
      </w:r>
      <w:proofErr w:type="spellStart"/>
      <w:r w:rsidRPr="00811F65">
        <w:rPr>
          <w:sz w:val="24"/>
          <w:szCs w:val="24"/>
        </w:rPr>
        <w:t>lungeemboli</w:t>
      </w:r>
      <w:proofErr w:type="spellEnd"/>
      <w:r w:rsidRPr="00811F65">
        <w:rPr>
          <w:sz w:val="24"/>
          <w:szCs w:val="24"/>
        </w:rPr>
        <w:t xml:space="preserve"> (2,2</w:t>
      </w:r>
      <w:r w:rsidR="00E84059">
        <w:rPr>
          <w:sz w:val="24"/>
          <w:szCs w:val="24"/>
        </w:rPr>
        <w:t xml:space="preserve"> %</w:t>
      </w:r>
      <w:r w:rsidRPr="00811F65">
        <w:rPr>
          <w:sz w:val="24"/>
          <w:szCs w:val="24"/>
        </w:rPr>
        <w:t xml:space="preserve">), </w:t>
      </w:r>
      <w:proofErr w:type="spellStart"/>
      <w:r w:rsidRPr="00811F65">
        <w:rPr>
          <w:sz w:val="24"/>
          <w:szCs w:val="24"/>
        </w:rPr>
        <w:t>retinal</w:t>
      </w:r>
      <w:proofErr w:type="spellEnd"/>
      <w:r w:rsidRPr="00811F65">
        <w:rPr>
          <w:sz w:val="24"/>
          <w:szCs w:val="24"/>
        </w:rPr>
        <w:t xml:space="preserve"> vene </w:t>
      </w:r>
      <w:proofErr w:type="spellStart"/>
      <w:r w:rsidRPr="00811F65">
        <w:rPr>
          <w:sz w:val="24"/>
          <w:szCs w:val="24"/>
        </w:rPr>
        <w:t>okklusion</w:t>
      </w:r>
      <w:proofErr w:type="spellEnd"/>
      <w:r w:rsidRPr="00811F65">
        <w:rPr>
          <w:sz w:val="24"/>
          <w:szCs w:val="24"/>
        </w:rPr>
        <w:t>/trombose (0,6</w:t>
      </w:r>
      <w:r w:rsidR="00E84059">
        <w:rPr>
          <w:sz w:val="24"/>
          <w:szCs w:val="24"/>
        </w:rPr>
        <w:t xml:space="preserve"> %</w:t>
      </w:r>
      <w:r w:rsidRPr="00811F65">
        <w:rPr>
          <w:sz w:val="24"/>
          <w:szCs w:val="24"/>
        </w:rPr>
        <w:t>) og dyb venetrombose (0,6</w:t>
      </w:r>
      <w:r w:rsidR="00E84059">
        <w:rPr>
          <w:sz w:val="24"/>
          <w:szCs w:val="24"/>
        </w:rPr>
        <w:t> %</w:t>
      </w:r>
      <w:r w:rsidRPr="00811F65">
        <w:rPr>
          <w:sz w:val="24"/>
          <w:szCs w:val="24"/>
        </w:rPr>
        <w:t xml:space="preserve">). Grad 3/4 venøse </w:t>
      </w:r>
      <w:proofErr w:type="spellStart"/>
      <w:r w:rsidRPr="00811F65">
        <w:rPr>
          <w:sz w:val="24"/>
          <w:szCs w:val="24"/>
        </w:rPr>
        <w:t>tromboemboliske</w:t>
      </w:r>
      <w:proofErr w:type="spellEnd"/>
      <w:r w:rsidRPr="00811F65">
        <w:rPr>
          <w:sz w:val="24"/>
          <w:szCs w:val="24"/>
        </w:rPr>
        <w:t xml:space="preserve"> hændelser blev rapporteret hos 3,1</w:t>
      </w:r>
      <w:r w:rsidR="00E84059">
        <w:rPr>
          <w:sz w:val="24"/>
          <w:szCs w:val="24"/>
        </w:rPr>
        <w:t xml:space="preserve"> %</w:t>
      </w:r>
      <w:r w:rsidRPr="00811F65">
        <w:rPr>
          <w:sz w:val="24"/>
          <w:szCs w:val="24"/>
        </w:rPr>
        <w:t xml:space="preserve"> af patienterne i behandling med </w:t>
      </w:r>
      <w:proofErr w:type="spellStart"/>
      <w:r w:rsidRPr="00811F65">
        <w:rPr>
          <w:sz w:val="24"/>
          <w:szCs w:val="24"/>
        </w:rPr>
        <w:t>axitinib</w:t>
      </w:r>
      <w:proofErr w:type="spellEnd"/>
      <w:r w:rsidRPr="00811F65">
        <w:rPr>
          <w:sz w:val="24"/>
          <w:szCs w:val="24"/>
        </w:rPr>
        <w:t xml:space="preserve">. Dødelig </w:t>
      </w:r>
      <w:proofErr w:type="spellStart"/>
      <w:r w:rsidRPr="00811F65">
        <w:rPr>
          <w:sz w:val="24"/>
          <w:szCs w:val="24"/>
        </w:rPr>
        <w:t>lungeemboli</w:t>
      </w:r>
      <w:proofErr w:type="spellEnd"/>
      <w:r w:rsidRPr="00811F65">
        <w:rPr>
          <w:sz w:val="24"/>
          <w:szCs w:val="24"/>
        </w:rPr>
        <w:t xml:space="preserve"> blev set hos én patient (0,3</w:t>
      </w:r>
      <w:r w:rsidR="00E84059">
        <w:rPr>
          <w:sz w:val="24"/>
          <w:szCs w:val="24"/>
        </w:rPr>
        <w:t xml:space="preserve"> %</w:t>
      </w:r>
      <w:r w:rsidRPr="00811F65">
        <w:rPr>
          <w:sz w:val="24"/>
          <w:szCs w:val="24"/>
        </w:rPr>
        <w:t xml:space="preserve">) i behandling med </w:t>
      </w:r>
      <w:proofErr w:type="spellStart"/>
      <w:r w:rsidRPr="00811F65">
        <w:rPr>
          <w:sz w:val="24"/>
          <w:szCs w:val="24"/>
        </w:rPr>
        <w:t>axitinib</w:t>
      </w:r>
      <w:proofErr w:type="spellEnd"/>
      <w:r w:rsidRPr="00811F65">
        <w:rPr>
          <w:sz w:val="24"/>
          <w:szCs w:val="24"/>
        </w:rPr>
        <w:t xml:space="preserve">. </w:t>
      </w:r>
    </w:p>
    <w:p w14:paraId="7D5374AB" w14:textId="77777777" w:rsidR="00355DFD" w:rsidRPr="00811F65" w:rsidRDefault="00355DFD" w:rsidP="005235F2">
      <w:pPr>
        <w:ind w:left="851"/>
        <w:rPr>
          <w:sz w:val="24"/>
          <w:szCs w:val="24"/>
        </w:rPr>
      </w:pPr>
    </w:p>
    <w:p w14:paraId="05AFCC58" w14:textId="7F287CBE" w:rsidR="00355DFD" w:rsidRPr="00811F65" w:rsidRDefault="00355DFD" w:rsidP="005235F2">
      <w:pPr>
        <w:ind w:left="851"/>
        <w:rPr>
          <w:sz w:val="24"/>
          <w:szCs w:val="24"/>
        </w:rPr>
      </w:pPr>
      <w:r w:rsidRPr="00811F65">
        <w:rPr>
          <w:sz w:val="24"/>
          <w:szCs w:val="24"/>
        </w:rPr>
        <w:t xml:space="preserve">I </w:t>
      </w:r>
      <w:proofErr w:type="spellStart"/>
      <w:r w:rsidRPr="00811F65">
        <w:rPr>
          <w:sz w:val="24"/>
          <w:szCs w:val="24"/>
        </w:rPr>
        <w:t>poolede</w:t>
      </w:r>
      <w:proofErr w:type="spellEnd"/>
      <w:r w:rsidRPr="00811F65">
        <w:rPr>
          <w:sz w:val="24"/>
          <w:szCs w:val="24"/>
        </w:rPr>
        <w:t xml:space="preserve"> kliniske studier med </w:t>
      </w:r>
      <w:proofErr w:type="spellStart"/>
      <w:r w:rsidRPr="00811F65">
        <w:rPr>
          <w:sz w:val="24"/>
          <w:szCs w:val="24"/>
        </w:rPr>
        <w:t>axitinib</w:t>
      </w:r>
      <w:proofErr w:type="spellEnd"/>
      <w:r w:rsidRPr="00811F65">
        <w:rPr>
          <w:sz w:val="24"/>
          <w:szCs w:val="24"/>
        </w:rPr>
        <w:t xml:space="preserve"> (N = 672) til behandling af RCC blev der rapporteret venøse </w:t>
      </w:r>
      <w:proofErr w:type="spellStart"/>
      <w:r w:rsidRPr="00811F65">
        <w:rPr>
          <w:sz w:val="24"/>
          <w:szCs w:val="24"/>
        </w:rPr>
        <w:t>tromboemboliske</w:t>
      </w:r>
      <w:proofErr w:type="spellEnd"/>
      <w:r w:rsidRPr="00811F65">
        <w:rPr>
          <w:sz w:val="24"/>
          <w:szCs w:val="24"/>
        </w:rPr>
        <w:t xml:space="preserve"> hændelser hos 2,8</w:t>
      </w:r>
      <w:r w:rsidR="00E84059">
        <w:rPr>
          <w:sz w:val="24"/>
          <w:szCs w:val="24"/>
        </w:rPr>
        <w:t xml:space="preserve"> %</w:t>
      </w:r>
      <w:r w:rsidRPr="00811F65">
        <w:rPr>
          <w:sz w:val="24"/>
          <w:szCs w:val="24"/>
        </w:rPr>
        <w:t xml:space="preserve"> af de patienter, der fik </w:t>
      </w:r>
      <w:proofErr w:type="spellStart"/>
      <w:r w:rsidRPr="00811F65">
        <w:rPr>
          <w:sz w:val="24"/>
          <w:szCs w:val="24"/>
        </w:rPr>
        <w:t>axitinib</w:t>
      </w:r>
      <w:proofErr w:type="spellEnd"/>
      <w:r w:rsidRPr="00811F65">
        <w:rPr>
          <w:sz w:val="24"/>
          <w:szCs w:val="24"/>
        </w:rPr>
        <w:t xml:space="preserve">. Grad 3 venøse </w:t>
      </w:r>
      <w:proofErr w:type="spellStart"/>
      <w:r w:rsidRPr="00811F65">
        <w:rPr>
          <w:sz w:val="24"/>
          <w:szCs w:val="24"/>
        </w:rPr>
        <w:t>tromboemboliske</w:t>
      </w:r>
      <w:proofErr w:type="spellEnd"/>
      <w:r w:rsidRPr="00811F65">
        <w:rPr>
          <w:sz w:val="24"/>
          <w:szCs w:val="24"/>
        </w:rPr>
        <w:t xml:space="preserve"> hændelser blev rapporteret hos 0,9</w:t>
      </w:r>
      <w:r w:rsidR="00E84059">
        <w:rPr>
          <w:sz w:val="24"/>
          <w:szCs w:val="24"/>
        </w:rPr>
        <w:t xml:space="preserve"> %</w:t>
      </w:r>
      <w:r w:rsidRPr="00811F65">
        <w:rPr>
          <w:sz w:val="24"/>
          <w:szCs w:val="24"/>
        </w:rPr>
        <w:t xml:space="preserve"> af patienterne. Grad 4 venøse </w:t>
      </w:r>
      <w:proofErr w:type="spellStart"/>
      <w:r w:rsidRPr="00811F65">
        <w:rPr>
          <w:sz w:val="24"/>
          <w:szCs w:val="24"/>
        </w:rPr>
        <w:t>tromboemboliske</w:t>
      </w:r>
      <w:proofErr w:type="spellEnd"/>
      <w:r w:rsidRPr="00811F65">
        <w:rPr>
          <w:sz w:val="24"/>
          <w:szCs w:val="24"/>
        </w:rPr>
        <w:t xml:space="preserve"> hændelser blev rapporteret hos 1,2</w:t>
      </w:r>
      <w:r w:rsidR="00E84059">
        <w:rPr>
          <w:sz w:val="24"/>
          <w:szCs w:val="24"/>
        </w:rPr>
        <w:t xml:space="preserve"> %</w:t>
      </w:r>
      <w:r w:rsidRPr="00811F65">
        <w:rPr>
          <w:sz w:val="24"/>
          <w:szCs w:val="24"/>
        </w:rPr>
        <w:t xml:space="preserve"> af patienterne. Dødelige venøse </w:t>
      </w:r>
      <w:proofErr w:type="spellStart"/>
      <w:r w:rsidRPr="00811F65">
        <w:rPr>
          <w:sz w:val="24"/>
          <w:szCs w:val="24"/>
        </w:rPr>
        <w:t>tromboemboliske</w:t>
      </w:r>
      <w:proofErr w:type="spellEnd"/>
      <w:r w:rsidRPr="00811F65">
        <w:rPr>
          <w:sz w:val="24"/>
          <w:szCs w:val="24"/>
        </w:rPr>
        <w:t xml:space="preserve"> hændelser blev rapporteret hos 0,1</w:t>
      </w:r>
      <w:r w:rsidR="00E84059">
        <w:rPr>
          <w:sz w:val="24"/>
          <w:szCs w:val="24"/>
        </w:rPr>
        <w:t xml:space="preserve"> %</w:t>
      </w:r>
      <w:r w:rsidRPr="00811F65">
        <w:rPr>
          <w:sz w:val="24"/>
          <w:szCs w:val="24"/>
        </w:rPr>
        <w:t xml:space="preserve"> af de patienter, der fik </w:t>
      </w:r>
      <w:proofErr w:type="spellStart"/>
      <w:r w:rsidRPr="00811F65">
        <w:rPr>
          <w:sz w:val="24"/>
          <w:szCs w:val="24"/>
        </w:rPr>
        <w:t>axitinib</w:t>
      </w:r>
      <w:proofErr w:type="spellEnd"/>
      <w:r w:rsidRPr="00811F65">
        <w:rPr>
          <w:sz w:val="24"/>
          <w:szCs w:val="24"/>
        </w:rPr>
        <w:t>.</w:t>
      </w:r>
    </w:p>
    <w:p w14:paraId="443F0823" w14:textId="77777777" w:rsidR="00355DFD" w:rsidRPr="00811F65" w:rsidRDefault="00355DFD" w:rsidP="005235F2">
      <w:pPr>
        <w:ind w:left="851"/>
        <w:rPr>
          <w:sz w:val="24"/>
          <w:szCs w:val="24"/>
        </w:rPr>
      </w:pPr>
    </w:p>
    <w:p w14:paraId="4127FB16" w14:textId="77777777" w:rsidR="00355DFD" w:rsidRPr="00811F65" w:rsidRDefault="00355DFD" w:rsidP="005235F2">
      <w:pPr>
        <w:ind w:left="851"/>
        <w:rPr>
          <w:i/>
          <w:iCs/>
          <w:sz w:val="24"/>
          <w:szCs w:val="24"/>
          <w:u w:val="single"/>
        </w:rPr>
      </w:pPr>
      <w:r w:rsidRPr="00811F65">
        <w:rPr>
          <w:i/>
          <w:iCs/>
          <w:sz w:val="24"/>
          <w:szCs w:val="24"/>
          <w:u w:val="single"/>
        </w:rPr>
        <w:t xml:space="preserve">Arterielle </w:t>
      </w:r>
      <w:proofErr w:type="spellStart"/>
      <w:r w:rsidRPr="00811F65">
        <w:rPr>
          <w:i/>
          <w:iCs/>
          <w:sz w:val="24"/>
          <w:szCs w:val="24"/>
          <w:u w:val="single"/>
        </w:rPr>
        <w:t>emboliske</w:t>
      </w:r>
      <w:proofErr w:type="spellEnd"/>
      <w:r w:rsidRPr="00811F65">
        <w:rPr>
          <w:i/>
          <w:iCs/>
          <w:sz w:val="24"/>
          <w:szCs w:val="24"/>
          <w:u w:val="single"/>
        </w:rPr>
        <w:t xml:space="preserve"> og </w:t>
      </w:r>
      <w:proofErr w:type="spellStart"/>
      <w:r w:rsidRPr="00811F65">
        <w:rPr>
          <w:i/>
          <w:iCs/>
          <w:sz w:val="24"/>
          <w:szCs w:val="24"/>
          <w:u w:val="single"/>
        </w:rPr>
        <w:t>trombotiske</w:t>
      </w:r>
      <w:proofErr w:type="spellEnd"/>
      <w:r w:rsidRPr="00811F65">
        <w:rPr>
          <w:i/>
          <w:iCs/>
          <w:sz w:val="24"/>
          <w:szCs w:val="24"/>
          <w:u w:val="single"/>
        </w:rPr>
        <w:t xml:space="preserve"> hændelser (se pkt. 4.4) </w:t>
      </w:r>
    </w:p>
    <w:p w14:paraId="35D842B3" w14:textId="3A0AA3BD" w:rsidR="00355DFD" w:rsidRPr="00811F65" w:rsidRDefault="00355DFD" w:rsidP="005235F2">
      <w:pPr>
        <w:ind w:left="851"/>
        <w:rPr>
          <w:sz w:val="24"/>
          <w:szCs w:val="24"/>
        </w:rPr>
      </w:pPr>
      <w:r w:rsidRPr="00811F65">
        <w:rPr>
          <w:sz w:val="24"/>
          <w:szCs w:val="24"/>
        </w:rPr>
        <w:t xml:space="preserve">I et klinisk studie med </w:t>
      </w:r>
      <w:proofErr w:type="spellStart"/>
      <w:r w:rsidRPr="00811F65">
        <w:rPr>
          <w:sz w:val="24"/>
          <w:szCs w:val="24"/>
        </w:rPr>
        <w:t>axitinib</w:t>
      </w:r>
      <w:proofErr w:type="spellEnd"/>
      <w:r w:rsidRPr="00811F65">
        <w:rPr>
          <w:sz w:val="24"/>
          <w:szCs w:val="24"/>
        </w:rPr>
        <w:t xml:space="preserve"> til behandling af patienter med RCC, blev der rapporteret arterielle </w:t>
      </w:r>
      <w:proofErr w:type="spellStart"/>
      <w:r w:rsidRPr="00811F65">
        <w:rPr>
          <w:sz w:val="24"/>
          <w:szCs w:val="24"/>
        </w:rPr>
        <w:t>tromboemboliske</w:t>
      </w:r>
      <w:proofErr w:type="spellEnd"/>
      <w:r w:rsidRPr="00811F65">
        <w:rPr>
          <w:sz w:val="24"/>
          <w:szCs w:val="24"/>
        </w:rPr>
        <w:t xml:space="preserve"> bivirkninger hos 4,7</w:t>
      </w:r>
      <w:r w:rsidR="00E84059">
        <w:rPr>
          <w:sz w:val="24"/>
          <w:szCs w:val="24"/>
        </w:rPr>
        <w:t xml:space="preserve"> %</w:t>
      </w:r>
      <w:r w:rsidRPr="00811F65">
        <w:rPr>
          <w:sz w:val="24"/>
          <w:szCs w:val="24"/>
        </w:rPr>
        <w:t xml:space="preserve"> af patienterne, der fik </w:t>
      </w:r>
      <w:proofErr w:type="spellStart"/>
      <w:r w:rsidRPr="00811F65">
        <w:rPr>
          <w:sz w:val="24"/>
          <w:szCs w:val="24"/>
        </w:rPr>
        <w:t>axitinib</w:t>
      </w:r>
      <w:proofErr w:type="spellEnd"/>
      <w:r w:rsidRPr="00811F65">
        <w:rPr>
          <w:sz w:val="24"/>
          <w:szCs w:val="24"/>
        </w:rPr>
        <w:t>, herunder myokardieinfarkt (1,4</w:t>
      </w:r>
      <w:r w:rsidR="00E84059">
        <w:rPr>
          <w:sz w:val="24"/>
          <w:szCs w:val="24"/>
        </w:rPr>
        <w:t xml:space="preserve"> %</w:t>
      </w:r>
      <w:r w:rsidRPr="00811F65">
        <w:rPr>
          <w:sz w:val="24"/>
          <w:szCs w:val="24"/>
        </w:rPr>
        <w:t>), transitorisk cerebral iskæmi (0,8</w:t>
      </w:r>
      <w:r w:rsidR="00E84059">
        <w:rPr>
          <w:sz w:val="24"/>
          <w:szCs w:val="24"/>
        </w:rPr>
        <w:t xml:space="preserve"> %</w:t>
      </w:r>
      <w:r w:rsidRPr="00811F65">
        <w:rPr>
          <w:sz w:val="24"/>
          <w:szCs w:val="24"/>
        </w:rPr>
        <w:t xml:space="preserve">) og </w:t>
      </w:r>
      <w:proofErr w:type="spellStart"/>
      <w:r w:rsidRPr="00811F65">
        <w:rPr>
          <w:sz w:val="24"/>
          <w:szCs w:val="24"/>
        </w:rPr>
        <w:t>cerebrovaskulære</w:t>
      </w:r>
      <w:proofErr w:type="spellEnd"/>
      <w:r w:rsidRPr="00811F65">
        <w:rPr>
          <w:sz w:val="24"/>
          <w:szCs w:val="24"/>
        </w:rPr>
        <w:t xml:space="preserve"> hændelser (0,6</w:t>
      </w:r>
      <w:r w:rsidR="00E84059">
        <w:rPr>
          <w:sz w:val="24"/>
          <w:szCs w:val="24"/>
        </w:rPr>
        <w:t xml:space="preserve"> %</w:t>
      </w:r>
      <w:r w:rsidRPr="00811F65">
        <w:rPr>
          <w:sz w:val="24"/>
          <w:szCs w:val="24"/>
        </w:rPr>
        <w:t xml:space="preserve">). Der blev rapporteret arterielle </w:t>
      </w:r>
      <w:proofErr w:type="spellStart"/>
      <w:r w:rsidRPr="00811F65">
        <w:rPr>
          <w:sz w:val="24"/>
          <w:szCs w:val="24"/>
        </w:rPr>
        <w:t>tromboemboliske</w:t>
      </w:r>
      <w:proofErr w:type="spellEnd"/>
      <w:r w:rsidRPr="00811F65">
        <w:rPr>
          <w:sz w:val="24"/>
          <w:szCs w:val="24"/>
        </w:rPr>
        <w:t xml:space="preserve"> hændelser af grad 3/4 hos 3,3</w:t>
      </w:r>
      <w:r w:rsidR="00E84059">
        <w:rPr>
          <w:sz w:val="24"/>
          <w:szCs w:val="24"/>
        </w:rPr>
        <w:t xml:space="preserve"> %</w:t>
      </w:r>
      <w:r w:rsidRPr="00811F65">
        <w:rPr>
          <w:sz w:val="24"/>
          <w:szCs w:val="24"/>
        </w:rPr>
        <w:t xml:space="preserve"> af patienterne, der fik </w:t>
      </w:r>
      <w:proofErr w:type="spellStart"/>
      <w:r w:rsidRPr="00811F65">
        <w:rPr>
          <w:sz w:val="24"/>
          <w:szCs w:val="24"/>
        </w:rPr>
        <w:t>axitinib</w:t>
      </w:r>
      <w:proofErr w:type="spellEnd"/>
      <w:r w:rsidRPr="00811F65">
        <w:rPr>
          <w:sz w:val="24"/>
          <w:szCs w:val="24"/>
        </w:rPr>
        <w:t xml:space="preserve">. Et fatalt akut myokardieinfarkt og et </w:t>
      </w:r>
      <w:proofErr w:type="spellStart"/>
      <w:r w:rsidRPr="00811F65">
        <w:rPr>
          <w:sz w:val="24"/>
          <w:szCs w:val="24"/>
        </w:rPr>
        <w:t>cerebrovaskulært</w:t>
      </w:r>
      <w:proofErr w:type="spellEnd"/>
      <w:r w:rsidRPr="00811F65">
        <w:rPr>
          <w:sz w:val="24"/>
          <w:szCs w:val="24"/>
        </w:rPr>
        <w:t xml:space="preserve"> tilfælde blev hver især rapporteret hos én patient (0,3</w:t>
      </w:r>
      <w:r w:rsidR="00E84059">
        <w:rPr>
          <w:sz w:val="24"/>
          <w:szCs w:val="24"/>
        </w:rPr>
        <w:t xml:space="preserve"> %</w:t>
      </w:r>
      <w:r w:rsidRPr="00811F65">
        <w:rPr>
          <w:sz w:val="24"/>
          <w:szCs w:val="24"/>
        </w:rPr>
        <w:t xml:space="preserve">). I studier med </w:t>
      </w:r>
      <w:proofErr w:type="spellStart"/>
      <w:r w:rsidRPr="00811F65">
        <w:rPr>
          <w:sz w:val="24"/>
          <w:szCs w:val="24"/>
        </w:rPr>
        <w:t>axitinib</w:t>
      </w:r>
      <w:proofErr w:type="spellEnd"/>
      <w:r w:rsidRPr="00811F65">
        <w:rPr>
          <w:sz w:val="24"/>
          <w:szCs w:val="24"/>
        </w:rPr>
        <w:t xml:space="preserve"> givet som monoterapi (N = 850) så man arterielle </w:t>
      </w:r>
      <w:proofErr w:type="spellStart"/>
      <w:r w:rsidRPr="00811F65">
        <w:rPr>
          <w:sz w:val="24"/>
          <w:szCs w:val="24"/>
        </w:rPr>
        <w:t>tromboemboliske</w:t>
      </w:r>
      <w:proofErr w:type="spellEnd"/>
      <w:r w:rsidRPr="00811F65">
        <w:rPr>
          <w:sz w:val="24"/>
          <w:szCs w:val="24"/>
        </w:rPr>
        <w:t xml:space="preserve"> bivirkninger (herunder transitoriske iskæmisk anfald, myokardieinfarkt og </w:t>
      </w:r>
      <w:proofErr w:type="spellStart"/>
      <w:r w:rsidRPr="00811F65">
        <w:rPr>
          <w:sz w:val="24"/>
          <w:szCs w:val="24"/>
        </w:rPr>
        <w:t>cerebrovaskulære</w:t>
      </w:r>
      <w:proofErr w:type="spellEnd"/>
      <w:r w:rsidRPr="00811F65">
        <w:rPr>
          <w:sz w:val="24"/>
          <w:szCs w:val="24"/>
        </w:rPr>
        <w:t xml:space="preserve"> hændelser) hos 5,3</w:t>
      </w:r>
      <w:r w:rsidR="00E84059">
        <w:rPr>
          <w:sz w:val="24"/>
          <w:szCs w:val="24"/>
        </w:rPr>
        <w:t xml:space="preserve"> %</w:t>
      </w:r>
      <w:r w:rsidRPr="00811F65">
        <w:rPr>
          <w:sz w:val="24"/>
          <w:szCs w:val="24"/>
        </w:rPr>
        <w:t xml:space="preserve"> af patienterne, der fik </w:t>
      </w:r>
      <w:proofErr w:type="spellStart"/>
      <w:r w:rsidRPr="00811F65">
        <w:rPr>
          <w:sz w:val="24"/>
          <w:szCs w:val="24"/>
        </w:rPr>
        <w:t>axitinib</w:t>
      </w:r>
      <w:proofErr w:type="spellEnd"/>
      <w:r w:rsidRPr="00811F65">
        <w:rPr>
          <w:sz w:val="24"/>
          <w:szCs w:val="24"/>
        </w:rPr>
        <w:t xml:space="preserve">. </w:t>
      </w:r>
    </w:p>
    <w:p w14:paraId="4483A059" w14:textId="77777777" w:rsidR="00355DFD" w:rsidRPr="00811F65" w:rsidRDefault="00355DFD" w:rsidP="005235F2">
      <w:pPr>
        <w:ind w:left="851"/>
        <w:rPr>
          <w:sz w:val="24"/>
          <w:szCs w:val="24"/>
        </w:rPr>
      </w:pPr>
    </w:p>
    <w:p w14:paraId="08AB4F93" w14:textId="2B3F0E49" w:rsidR="00355DFD" w:rsidRPr="00811F65" w:rsidRDefault="00355DFD" w:rsidP="005235F2">
      <w:pPr>
        <w:ind w:left="851"/>
        <w:rPr>
          <w:sz w:val="24"/>
          <w:szCs w:val="24"/>
        </w:rPr>
      </w:pPr>
      <w:r w:rsidRPr="00811F65">
        <w:rPr>
          <w:sz w:val="24"/>
          <w:szCs w:val="24"/>
        </w:rPr>
        <w:t xml:space="preserve">I </w:t>
      </w:r>
      <w:proofErr w:type="spellStart"/>
      <w:r w:rsidRPr="00811F65">
        <w:rPr>
          <w:sz w:val="24"/>
          <w:szCs w:val="24"/>
        </w:rPr>
        <w:t>poolede</w:t>
      </w:r>
      <w:proofErr w:type="spellEnd"/>
      <w:r w:rsidRPr="00811F65">
        <w:rPr>
          <w:sz w:val="24"/>
          <w:szCs w:val="24"/>
        </w:rPr>
        <w:t xml:space="preserve"> kliniske studier med </w:t>
      </w:r>
      <w:proofErr w:type="spellStart"/>
      <w:r w:rsidRPr="00811F65">
        <w:rPr>
          <w:sz w:val="24"/>
          <w:szCs w:val="24"/>
        </w:rPr>
        <w:t>axitinib</w:t>
      </w:r>
      <w:proofErr w:type="spellEnd"/>
      <w:r w:rsidRPr="00811F65">
        <w:rPr>
          <w:sz w:val="24"/>
          <w:szCs w:val="24"/>
        </w:rPr>
        <w:t xml:space="preserve"> (N = 672) til behandling af RCC blev der rapporteret arterielle </w:t>
      </w:r>
      <w:proofErr w:type="spellStart"/>
      <w:r w:rsidRPr="00811F65">
        <w:rPr>
          <w:sz w:val="24"/>
          <w:szCs w:val="24"/>
        </w:rPr>
        <w:t>tromboemboliske</w:t>
      </w:r>
      <w:proofErr w:type="spellEnd"/>
      <w:r w:rsidRPr="00811F65">
        <w:rPr>
          <w:sz w:val="24"/>
          <w:szCs w:val="24"/>
        </w:rPr>
        <w:t xml:space="preserve"> hændelser hos 2,8</w:t>
      </w:r>
      <w:r w:rsidR="00E84059">
        <w:rPr>
          <w:sz w:val="24"/>
          <w:szCs w:val="24"/>
        </w:rPr>
        <w:t xml:space="preserve"> %</w:t>
      </w:r>
      <w:r w:rsidRPr="00811F65">
        <w:rPr>
          <w:sz w:val="24"/>
          <w:szCs w:val="24"/>
        </w:rPr>
        <w:t xml:space="preserve"> af de patienter, der fik </w:t>
      </w:r>
      <w:proofErr w:type="spellStart"/>
      <w:r w:rsidRPr="00811F65">
        <w:rPr>
          <w:sz w:val="24"/>
          <w:szCs w:val="24"/>
        </w:rPr>
        <w:t>axitinib</w:t>
      </w:r>
      <w:proofErr w:type="spellEnd"/>
      <w:r w:rsidRPr="00811F65">
        <w:rPr>
          <w:sz w:val="24"/>
          <w:szCs w:val="24"/>
        </w:rPr>
        <w:t xml:space="preserve">. Grad 3 arterielle </w:t>
      </w:r>
      <w:proofErr w:type="spellStart"/>
      <w:r w:rsidRPr="00811F65">
        <w:rPr>
          <w:sz w:val="24"/>
          <w:szCs w:val="24"/>
        </w:rPr>
        <w:t>tromboemboliske</w:t>
      </w:r>
      <w:proofErr w:type="spellEnd"/>
      <w:r w:rsidRPr="00811F65">
        <w:rPr>
          <w:sz w:val="24"/>
          <w:szCs w:val="24"/>
        </w:rPr>
        <w:t xml:space="preserve"> hændelser blev rapporteret hos 1,2</w:t>
      </w:r>
      <w:r w:rsidR="00E84059">
        <w:rPr>
          <w:sz w:val="24"/>
          <w:szCs w:val="24"/>
        </w:rPr>
        <w:t xml:space="preserve"> %</w:t>
      </w:r>
      <w:r w:rsidRPr="00811F65">
        <w:rPr>
          <w:sz w:val="24"/>
          <w:szCs w:val="24"/>
        </w:rPr>
        <w:t xml:space="preserve"> af patienterne. Grad 4 arterielle </w:t>
      </w:r>
      <w:proofErr w:type="spellStart"/>
      <w:r w:rsidRPr="00811F65">
        <w:rPr>
          <w:sz w:val="24"/>
          <w:szCs w:val="24"/>
        </w:rPr>
        <w:t>tromboemboliske</w:t>
      </w:r>
      <w:proofErr w:type="spellEnd"/>
      <w:r w:rsidRPr="00811F65">
        <w:rPr>
          <w:sz w:val="24"/>
          <w:szCs w:val="24"/>
        </w:rPr>
        <w:t xml:space="preserve"> hændelser blev rapporteret hos 1,3</w:t>
      </w:r>
      <w:r w:rsidR="00E84059">
        <w:rPr>
          <w:sz w:val="24"/>
          <w:szCs w:val="24"/>
        </w:rPr>
        <w:t xml:space="preserve"> %</w:t>
      </w:r>
      <w:r w:rsidRPr="00811F65">
        <w:rPr>
          <w:sz w:val="24"/>
          <w:szCs w:val="24"/>
        </w:rPr>
        <w:t xml:space="preserve"> af patienterne. Dødelig </w:t>
      </w:r>
      <w:proofErr w:type="spellStart"/>
      <w:r w:rsidRPr="00811F65">
        <w:rPr>
          <w:sz w:val="24"/>
          <w:szCs w:val="24"/>
        </w:rPr>
        <w:t>artérielle</w:t>
      </w:r>
      <w:proofErr w:type="spellEnd"/>
      <w:r w:rsidRPr="00811F65">
        <w:rPr>
          <w:sz w:val="24"/>
          <w:szCs w:val="24"/>
        </w:rPr>
        <w:t xml:space="preserve"> </w:t>
      </w:r>
      <w:proofErr w:type="spellStart"/>
      <w:r w:rsidRPr="00811F65">
        <w:rPr>
          <w:sz w:val="24"/>
          <w:szCs w:val="24"/>
        </w:rPr>
        <w:t>tromboemboliske</w:t>
      </w:r>
      <w:proofErr w:type="spellEnd"/>
      <w:r w:rsidRPr="00811F65">
        <w:rPr>
          <w:sz w:val="24"/>
          <w:szCs w:val="24"/>
        </w:rPr>
        <w:t xml:space="preserve"> hændelser blev rapporteret hos 0,3</w:t>
      </w:r>
      <w:r w:rsidR="00E84059">
        <w:rPr>
          <w:sz w:val="24"/>
          <w:szCs w:val="24"/>
        </w:rPr>
        <w:t xml:space="preserve"> %</w:t>
      </w:r>
      <w:r w:rsidRPr="00811F65">
        <w:rPr>
          <w:sz w:val="24"/>
          <w:szCs w:val="24"/>
        </w:rPr>
        <w:t xml:space="preserve"> af de patienter, der fik </w:t>
      </w:r>
      <w:proofErr w:type="spellStart"/>
      <w:r w:rsidRPr="00811F65">
        <w:rPr>
          <w:sz w:val="24"/>
          <w:szCs w:val="24"/>
        </w:rPr>
        <w:t>axitinib</w:t>
      </w:r>
      <w:proofErr w:type="spellEnd"/>
      <w:r w:rsidRPr="00811F65">
        <w:rPr>
          <w:sz w:val="24"/>
          <w:szCs w:val="24"/>
        </w:rPr>
        <w:t>.</w:t>
      </w:r>
    </w:p>
    <w:p w14:paraId="2F187AB1" w14:textId="77777777" w:rsidR="00355DFD" w:rsidRPr="00811F65" w:rsidRDefault="00355DFD" w:rsidP="005235F2">
      <w:pPr>
        <w:ind w:left="851"/>
        <w:rPr>
          <w:sz w:val="24"/>
          <w:szCs w:val="24"/>
        </w:rPr>
      </w:pPr>
    </w:p>
    <w:p w14:paraId="5927AC4B" w14:textId="77777777" w:rsidR="00355DFD" w:rsidRPr="00811F65" w:rsidRDefault="00355DFD" w:rsidP="005235F2">
      <w:pPr>
        <w:ind w:left="851"/>
        <w:rPr>
          <w:i/>
          <w:iCs/>
          <w:sz w:val="24"/>
          <w:szCs w:val="24"/>
          <w:u w:val="single"/>
        </w:rPr>
      </w:pPr>
      <w:proofErr w:type="spellStart"/>
      <w:r w:rsidRPr="00811F65">
        <w:rPr>
          <w:i/>
          <w:iCs/>
          <w:sz w:val="24"/>
          <w:szCs w:val="24"/>
          <w:u w:val="single"/>
        </w:rPr>
        <w:t>Polycytæmi</w:t>
      </w:r>
      <w:proofErr w:type="spellEnd"/>
      <w:r w:rsidRPr="00811F65">
        <w:rPr>
          <w:i/>
          <w:iCs/>
          <w:sz w:val="24"/>
          <w:szCs w:val="24"/>
          <w:u w:val="single"/>
        </w:rPr>
        <w:t xml:space="preserve"> (stigning i hæmoglobin eller hæmatokrit se pkt. 4.4) </w:t>
      </w:r>
    </w:p>
    <w:p w14:paraId="6209AAD6" w14:textId="1E7A1355" w:rsidR="00355DFD" w:rsidRPr="00811F65" w:rsidRDefault="00355DFD" w:rsidP="005235F2">
      <w:pPr>
        <w:ind w:left="851"/>
        <w:rPr>
          <w:sz w:val="24"/>
          <w:szCs w:val="24"/>
        </w:rPr>
      </w:pPr>
      <w:r w:rsidRPr="00811F65">
        <w:rPr>
          <w:sz w:val="24"/>
          <w:szCs w:val="24"/>
        </w:rPr>
        <w:t xml:space="preserve">I et kontrolleret klinisk studie med </w:t>
      </w:r>
      <w:proofErr w:type="spellStart"/>
      <w:r w:rsidRPr="00811F65">
        <w:rPr>
          <w:sz w:val="24"/>
          <w:szCs w:val="24"/>
        </w:rPr>
        <w:t>axitinib</w:t>
      </w:r>
      <w:proofErr w:type="spellEnd"/>
      <w:r w:rsidRPr="00811F65">
        <w:rPr>
          <w:sz w:val="24"/>
          <w:szCs w:val="24"/>
        </w:rPr>
        <w:t xml:space="preserve"> til behandling af patienter med RCC, så man </w:t>
      </w:r>
      <w:proofErr w:type="spellStart"/>
      <w:r w:rsidRPr="00811F65">
        <w:rPr>
          <w:sz w:val="24"/>
          <w:szCs w:val="24"/>
        </w:rPr>
        <w:t>polycytæmi</w:t>
      </w:r>
      <w:proofErr w:type="spellEnd"/>
      <w:r w:rsidRPr="00811F65">
        <w:rPr>
          <w:sz w:val="24"/>
          <w:szCs w:val="24"/>
        </w:rPr>
        <w:t xml:space="preserve"> hos 1,4</w:t>
      </w:r>
      <w:r w:rsidR="00E84059">
        <w:rPr>
          <w:sz w:val="24"/>
          <w:szCs w:val="24"/>
        </w:rPr>
        <w:t xml:space="preserve"> %</w:t>
      </w:r>
      <w:r w:rsidRPr="00811F65">
        <w:rPr>
          <w:sz w:val="24"/>
          <w:szCs w:val="24"/>
        </w:rPr>
        <w:t xml:space="preserve"> af patienterne, der fik </w:t>
      </w:r>
      <w:proofErr w:type="spellStart"/>
      <w:r w:rsidRPr="00811F65">
        <w:rPr>
          <w:sz w:val="24"/>
          <w:szCs w:val="24"/>
        </w:rPr>
        <w:t>axitinib</w:t>
      </w:r>
      <w:proofErr w:type="spellEnd"/>
      <w:r w:rsidRPr="00811F65">
        <w:rPr>
          <w:sz w:val="24"/>
          <w:szCs w:val="24"/>
        </w:rPr>
        <w:t>. Ved rutinemæssige laboratorie</w:t>
      </w:r>
      <w:r w:rsidR="00E84059">
        <w:rPr>
          <w:sz w:val="24"/>
          <w:szCs w:val="24"/>
        </w:rPr>
        <w:softHyphen/>
      </w:r>
      <w:r w:rsidRPr="00811F65">
        <w:rPr>
          <w:sz w:val="24"/>
          <w:szCs w:val="24"/>
        </w:rPr>
        <w:t>undersøgelser fandt man hæmoglobinniveauer over det normale hos 9,7</w:t>
      </w:r>
      <w:r w:rsidR="00E84059">
        <w:rPr>
          <w:sz w:val="24"/>
          <w:szCs w:val="24"/>
        </w:rPr>
        <w:t xml:space="preserve"> %</w:t>
      </w:r>
      <w:r w:rsidRPr="00811F65">
        <w:rPr>
          <w:sz w:val="24"/>
          <w:szCs w:val="24"/>
        </w:rPr>
        <w:t xml:space="preserve"> af patienterne, der fik </w:t>
      </w:r>
      <w:proofErr w:type="spellStart"/>
      <w:r w:rsidRPr="00811F65">
        <w:rPr>
          <w:sz w:val="24"/>
          <w:szCs w:val="24"/>
        </w:rPr>
        <w:t>axitinib</w:t>
      </w:r>
      <w:proofErr w:type="spellEnd"/>
      <w:r w:rsidRPr="00811F65">
        <w:rPr>
          <w:sz w:val="24"/>
          <w:szCs w:val="24"/>
        </w:rPr>
        <w:t xml:space="preserve">. I fire kliniske studier med </w:t>
      </w:r>
      <w:proofErr w:type="spellStart"/>
      <w:r w:rsidRPr="00811F65">
        <w:rPr>
          <w:sz w:val="24"/>
          <w:szCs w:val="24"/>
        </w:rPr>
        <w:t>axitinib</w:t>
      </w:r>
      <w:proofErr w:type="spellEnd"/>
      <w:r w:rsidRPr="00811F65">
        <w:rPr>
          <w:sz w:val="24"/>
          <w:szCs w:val="24"/>
        </w:rPr>
        <w:t xml:space="preserve"> til behandling af patienter med RCC (N</w:t>
      </w:r>
      <w:r w:rsidR="00E84059">
        <w:rPr>
          <w:sz w:val="24"/>
          <w:szCs w:val="24"/>
        </w:rPr>
        <w:t> </w:t>
      </w:r>
      <w:r w:rsidRPr="00811F65">
        <w:rPr>
          <w:sz w:val="24"/>
          <w:szCs w:val="24"/>
        </w:rPr>
        <w:t>=</w:t>
      </w:r>
      <w:r w:rsidR="00E84059">
        <w:rPr>
          <w:sz w:val="24"/>
          <w:szCs w:val="24"/>
        </w:rPr>
        <w:t> </w:t>
      </w:r>
      <w:r w:rsidRPr="00811F65">
        <w:rPr>
          <w:sz w:val="24"/>
          <w:szCs w:val="24"/>
        </w:rPr>
        <w:t>537) så man hæmoglobinniveauer over det normale hos 13,6</w:t>
      </w:r>
      <w:r w:rsidR="00E84059">
        <w:rPr>
          <w:sz w:val="24"/>
          <w:szCs w:val="24"/>
        </w:rPr>
        <w:t xml:space="preserve"> %</w:t>
      </w:r>
      <w:r w:rsidRPr="00811F65">
        <w:rPr>
          <w:sz w:val="24"/>
          <w:szCs w:val="24"/>
        </w:rPr>
        <w:t xml:space="preserve"> af patienterne, der fik </w:t>
      </w:r>
      <w:proofErr w:type="spellStart"/>
      <w:r w:rsidRPr="00811F65">
        <w:rPr>
          <w:sz w:val="24"/>
          <w:szCs w:val="24"/>
        </w:rPr>
        <w:t>axitinib</w:t>
      </w:r>
      <w:proofErr w:type="spellEnd"/>
      <w:r w:rsidRPr="00811F65">
        <w:rPr>
          <w:sz w:val="24"/>
          <w:szCs w:val="24"/>
        </w:rPr>
        <w:t xml:space="preserve">. </w:t>
      </w:r>
    </w:p>
    <w:p w14:paraId="27EBBBAB" w14:textId="77777777" w:rsidR="00355DFD" w:rsidRPr="00811F65" w:rsidRDefault="00355DFD" w:rsidP="005235F2">
      <w:pPr>
        <w:ind w:left="851"/>
        <w:rPr>
          <w:sz w:val="24"/>
          <w:szCs w:val="24"/>
        </w:rPr>
      </w:pPr>
    </w:p>
    <w:p w14:paraId="198B667D" w14:textId="770E5640" w:rsidR="00355DFD" w:rsidRPr="00811F65" w:rsidRDefault="00355DFD" w:rsidP="005235F2">
      <w:pPr>
        <w:ind w:left="851"/>
        <w:rPr>
          <w:sz w:val="24"/>
          <w:szCs w:val="24"/>
          <w:u w:val="single"/>
        </w:rPr>
      </w:pPr>
      <w:r w:rsidRPr="00811F65">
        <w:rPr>
          <w:sz w:val="24"/>
          <w:szCs w:val="24"/>
        </w:rPr>
        <w:t xml:space="preserve">I </w:t>
      </w:r>
      <w:proofErr w:type="spellStart"/>
      <w:r w:rsidRPr="00811F65">
        <w:rPr>
          <w:sz w:val="24"/>
          <w:szCs w:val="24"/>
        </w:rPr>
        <w:t>poolede</w:t>
      </w:r>
      <w:proofErr w:type="spellEnd"/>
      <w:r w:rsidRPr="00811F65">
        <w:rPr>
          <w:sz w:val="24"/>
          <w:szCs w:val="24"/>
        </w:rPr>
        <w:t xml:space="preserve"> kliniske studier med </w:t>
      </w:r>
      <w:proofErr w:type="spellStart"/>
      <w:r w:rsidRPr="00811F65">
        <w:rPr>
          <w:sz w:val="24"/>
          <w:szCs w:val="24"/>
        </w:rPr>
        <w:t>axitinib</w:t>
      </w:r>
      <w:proofErr w:type="spellEnd"/>
      <w:r w:rsidRPr="00811F65">
        <w:rPr>
          <w:sz w:val="24"/>
          <w:szCs w:val="24"/>
        </w:rPr>
        <w:t xml:space="preserve"> (N = 672) til behandling af patienter med RCC blev der rapporteret </w:t>
      </w:r>
      <w:proofErr w:type="spellStart"/>
      <w:r w:rsidRPr="00811F65">
        <w:rPr>
          <w:sz w:val="24"/>
          <w:szCs w:val="24"/>
        </w:rPr>
        <w:t>polycytæmi</w:t>
      </w:r>
      <w:proofErr w:type="spellEnd"/>
      <w:r w:rsidRPr="00811F65">
        <w:rPr>
          <w:sz w:val="24"/>
          <w:szCs w:val="24"/>
        </w:rPr>
        <w:t xml:space="preserve"> hos 1,5</w:t>
      </w:r>
      <w:r w:rsidR="00E84059">
        <w:rPr>
          <w:sz w:val="24"/>
          <w:szCs w:val="24"/>
        </w:rPr>
        <w:t xml:space="preserve"> %</w:t>
      </w:r>
      <w:r w:rsidRPr="00811F65">
        <w:rPr>
          <w:sz w:val="24"/>
          <w:szCs w:val="24"/>
        </w:rPr>
        <w:t xml:space="preserve"> af de patienter, der fik </w:t>
      </w:r>
      <w:proofErr w:type="spellStart"/>
      <w:r w:rsidRPr="00811F65">
        <w:rPr>
          <w:sz w:val="24"/>
          <w:szCs w:val="24"/>
        </w:rPr>
        <w:t>axitinib</w:t>
      </w:r>
      <w:proofErr w:type="spellEnd"/>
      <w:r w:rsidRPr="00811F65">
        <w:rPr>
          <w:sz w:val="24"/>
          <w:szCs w:val="24"/>
        </w:rPr>
        <w:t xml:space="preserve">. </w:t>
      </w:r>
    </w:p>
    <w:p w14:paraId="13E79B4F" w14:textId="77777777" w:rsidR="00355DFD" w:rsidRPr="00811F65" w:rsidRDefault="00355DFD" w:rsidP="005235F2">
      <w:pPr>
        <w:ind w:left="851"/>
        <w:rPr>
          <w:sz w:val="24"/>
          <w:szCs w:val="24"/>
        </w:rPr>
      </w:pPr>
    </w:p>
    <w:p w14:paraId="373DEDA2" w14:textId="77777777" w:rsidR="00355DFD" w:rsidRPr="00811F65" w:rsidRDefault="00355DFD" w:rsidP="005235F2">
      <w:pPr>
        <w:ind w:left="851"/>
        <w:rPr>
          <w:sz w:val="24"/>
          <w:szCs w:val="24"/>
          <w:u w:val="single"/>
        </w:rPr>
      </w:pPr>
      <w:r w:rsidRPr="00811F65">
        <w:rPr>
          <w:i/>
          <w:iCs/>
          <w:sz w:val="24"/>
          <w:szCs w:val="24"/>
          <w:u w:val="single"/>
        </w:rPr>
        <w:t xml:space="preserve">Blødning </w:t>
      </w:r>
      <w:r w:rsidRPr="00811F65">
        <w:rPr>
          <w:sz w:val="24"/>
          <w:szCs w:val="24"/>
          <w:u w:val="single"/>
        </w:rPr>
        <w:t xml:space="preserve">(se pkt. 4.4) </w:t>
      </w:r>
    </w:p>
    <w:p w14:paraId="5DD221B6" w14:textId="68B4EB33" w:rsidR="00355DFD" w:rsidRPr="00811F65" w:rsidRDefault="00355DFD" w:rsidP="005235F2">
      <w:pPr>
        <w:ind w:left="851"/>
        <w:rPr>
          <w:sz w:val="24"/>
          <w:szCs w:val="24"/>
        </w:rPr>
      </w:pPr>
      <w:r w:rsidRPr="00811F65">
        <w:rPr>
          <w:sz w:val="24"/>
          <w:szCs w:val="24"/>
        </w:rPr>
        <w:t xml:space="preserve">I et klinisk studie med </w:t>
      </w:r>
      <w:proofErr w:type="spellStart"/>
      <w:r w:rsidRPr="00811F65">
        <w:rPr>
          <w:sz w:val="24"/>
          <w:szCs w:val="24"/>
        </w:rPr>
        <w:t>axitinib</w:t>
      </w:r>
      <w:proofErr w:type="spellEnd"/>
      <w:r w:rsidRPr="00811F65">
        <w:rPr>
          <w:sz w:val="24"/>
          <w:szCs w:val="24"/>
        </w:rPr>
        <w:t xml:space="preserve"> til behandling af patienter med RCC, hvor patienter med ubehandlede hjernemetastaser var blevet ekskluderet, blev der rapporteret blødnings</w:t>
      </w:r>
      <w:r w:rsidR="00E84059">
        <w:rPr>
          <w:sz w:val="24"/>
          <w:szCs w:val="24"/>
        </w:rPr>
        <w:softHyphen/>
      </w:r>
      <w:r w:rsidRPr="00811F65">
        <w:rPr>
          <w:sz w:val="24"/>
          <w:szCs w:val="24"/>
        </w:rPr>
        <w:t>relaterede bivirkninger hos 21,4</w:t>
      </w:r>
      <w:r w:rsidR="00E84059">
        <w:rPr>
          <w:sz w:val="24"/>
          <w:szCs w:val="24"/>
        </w:rPr>
        <w:t xml:space="preserve"> %</w:t>
      </w:r>
      <w:r w:rsidRPr="00811F65">
        <w:rPr>
          <w:sz w:val="24"/>
          <w:szCs w:val="24"/>
        </w:rPr>
        <w:t xml:space="preserve"> af patienterne, der fik </w:t>
      </w:r>
      <w:proofErr w:type="spellStart"/>
      <w:r w:rsidRPr="00811F65">
        <w:rPr>
          <w:sz w:val="24"/>
          <w:szCs w:val="24"/>
        </w:rPr>
        <w:t>axitinib</w:t>
      </w:r>
      <w:proofErr w:type="spellEnd"/>
      <w:r w:rsidRPr="00811F65">
        <w:rPr>
          <w:sz w:val="24"/>
          <w:szCs w:val="24"/>
        </w:rPr>
        <w:t xml:space="preserve">. Bivirkningerne hos patienter i behandling med </w:t>
      </w:r>
      <w:proofErr w:type="spellStart"/>
      <w:r w:rsidRPr="00811F65">
        <w:rPr>
          <w:sz w:val="24"/>
          <w:szCs w:val="24"/>
        </w:rPr>
        <w:t>axitinib</w:t>
      </w:r>
      <w:proofErr w:type="spellEnd"/>
      <w:r w:rsidRPr="00811F65">
        <w:rPr>
          <w:sz w:val="24"/>
          <w:szCs w:val="24"/>
        </w:rPr>
        <w:t xml:space="preserve"> inkluderede </w:t>
      </w:r>
      <w:proofErr w:type="spellStart"/>
      <w:r w:rsidRPr="00811F65">
        <w:rPr>
          <w:sz w:val="24"/>
          <w:szCs w:val="24"/>
        </w:rPr>
        <w:t>epistaxis</w:t>
      </w:r>
      <w:proofErr w:type="spellEnd"/>
      <w:r w:rsidRPr="00811F65">
        <w:rPr>
          <w:sz w:val="24"/>
          <w:szCs w:val="24"/>
        </w:rPr>
        <w:t xml:space="preserve"> (7,8</w:t>
      </w:r>
      <w:r w:rsidR="00E84059">
        <w:rPr>
          <w:sz w:val="24"/>
          <w:szCs w:val="24"/>
        </w:rPr>
        <w:t xml:space="preserve"> %</w:t>
      </w:r>
      <w:r w:rsidRPr="00811F65">
        <w:rPr>
          <w:sz w:val="24"/>
          <w:szCs w:val="24"/>
        </w:rPr>
        <w:t>), hæmaturi (3,6</w:t>
      </w:r>
      <w:r w:rsidR="00E84059">
        <w:rPr>
          <w:sz w:val="24"/>
          <w:szCs w:val="24"/>
        </w:rPr>
        <w:t xml:space="preserve"> %</w:t>
      </w:r>
      <w:r w:rsidRPr="00811F65">
        <w:rPr>
          <w:sz w:val="24"/>
          <w:szCs w:val="24"/>
        </w:rPr>
        <w:t xml:space="preserve">), </w:t>
      </w:r>
      <w:proofErr w:type="spellStart"/>
      <w:r w:rsidRPr="00811F65">
        <w:rPr>
          <w:sz w:val="24"/>
          <w:szCs w:val="24"/>
        </w:rPr>
        <w:t>hæmoptyse</w:t>
      </w:r>
      <w:proofErr w:type="spellEnd"/>
      <w:r w:rsidRPr="00811F65">
        <w:rPr>
          <w:sz w:val="24"/>
          <w:szCs w:val="24"/>
        </w:rPr>
        <w:t xml:space="preserve"> (2,5</w:t>
      </w:r>
      <w:r w:rsidR="00E84059">
        <w:rPr>
          <w:sz w:val="24"/>
          <w:szCs w:val="24"/>
        </w:rPr>
        <w:t xml:space="preserve"> %</w:t>
      </w:r>
      <w:r w:rsidRPr="00811F65">
        <w:rPr>
          <w:sz w:val="24"/>
          <w:szCs w:val="24"/>
        </w:rPr>
        <w:t xml:space="preserve">), </w:t>
      </w:r>
      <w:proofErr w:type="spellStart"/>
      <w:r w:rsidRPr="00811F65">
        <w:rPr>
          <w:sz w:val="24"/>
          <w:szCs w:val="24"/>
        </w:rPr>
        <w:t>rektalblødning</w:t>
      </w:r>
      <w:proofErr w:type="spellEnd"/>
      <w:r w:rsidRPr="00811F65">
        <w:rPr>
          <w:sz w:val="24"/>
          <w:szCs w:val="24"/>
        </w:rPr>
        <w:t xml:space="preserve"> (2,2</w:t>
      </w:r>
      <w:r w:rsidR="00E84059">
        <w:rPr>
          <w:sz w:val="24"/>
          <w:szCs w:val="24"/>
        </w:rPr>
        <w:t xml:space="preserve"> %</w:t>
      </w:r>
      <w:r w:rsidRPr="00811F65">
        <w:rPr>
          <w:sz w:val="24"/>
          <w:szCs w:val="24"/>
        </w:rPr>
        <w:t xml:space="preserve">), </w:t>
      </w:r>
      <w:proofErr w:type="spellStart"/>
      <w:r w:rsidRPr="00811F65">
        <w:rPr>
          <w:sz w:val="24"/>
          <w:szCs w:val="24"/>
        </w:rPr>
        <w:t>gingival</w:t>
      </w:r>
      <w:proofErr w:type="spellEnd"/>
      <w:r w:rsidRPr="00811F65">
        <w:rPr>
          <w:sz w:val="24"/>
          <w:szCs w:val="24"/>
        </w:rPr>
        <w:t xml:space="preserve"> blødning (1,1</w:t>
      </w:r>
      <w:r w:rsidR="00E84059">
        <w:rPr>
          <w:sz w:val="24"/>
          <w:szCs w:val="24"/>
        </w:rPr>
        <w:t xml:space="preserve"> %</w:t>
      </w:r>
      <w:r w:rsidRPr="00811F65">
        <w:rPr>
          <w:sz w:val="24"/>
          <w:szCs w:val="24"/>
        </w:rPr>
        <w:t>), gastrisk blødning (0,6</w:t>
      </w:r>
      <w:r w:rsidR="00E84059">
        <w:rPr>
          <w:sz w:val="24"/>
          <w:szCs w:val="24"/>
        </w:rPr>
        <w:t xml:space="preserve"> %</w:t>
      </w:r>
      <w:r w:rsidRPr="00811F65">
        <w:rPr>
          <w:sz w:val="24"/>
          <w:szCs w:val="24"/>
        </w:rPr>
        <w:t>), hjerneblødning (0,3</w:t>
      </w:r>
      <w:r w:rsidR="00E84059">
        <w:rPr>
          <w:sz w:val="24"/>
          <w:szCs w:val="24"/>
        </w:rPr>
        <w:t xml:space="preserve"> %</w:t>
      </w:r>
      <w:r w:rsidRPr="00811F65">
        <w:rPr>
          <w:sz w:val="24"/>
          <w:szCs w:val="24"/>
        </w:rPr>
        <w:t xml:space="preserve">) og nedre </w:t>
      </w:r>
      <w:proofErr w:type="spellStart"/>
      <w:r w:rsidRPr="00811F65">
        <w:rPr>
          <w:sz w:val="24"/>
          <w:szCs w:val="24"/>
        </w:rPr>
        <w:t>gastrointestinal</w:t>
      </w:r>
      <w:proofErr w:type="spellEnd"/>
      <w:r w:rsidRPr="00811F65">
        <w:rPr>
          <w:sz w:val="24"/>
          <w:szCs w:val="24"/>
        </w:rPr>
        <w:t xml:space="preserve"> blødning (0,3</w:t>
      </w:r>
      <w:r w:rsidR="00E84059">
        <w:rPr>
          <w:sz w:val="24"/>
          <w:szCs w:val="24"/>
        </w:rPr>
        <w:t xml:space="preserve"> %</w:t>
      </w:r>
      <w:r w:rsidRPr="00811F65">
        <w:rPr>
          <w:sz w:val="24"/>
          <w:szCs w:val="24"/>
        </w:rPr>
        <w:t>). Blødningsrelaterede bivirkninger Grad ≥3 blev set hos 3,1</w:t>
      </w:r>
      <w:r w:rsidR="00E84059">
        <w:rPr>
          <w:sz w:val="24"/>
          <w:szCs w:val="24"/>
        </w:rPr>
        <w:t xml:space="preserve"> %</w:t>
      </w:r>
      <w:r w:rsidRPr="00811F65">
        <w:rPr>
          <w:sz w:val="24"/>
          <w:szCs w:val="24"/>
        </w:rPr>
        <w:t xml:space="preserve"> af patienterne i behandling med </w:t>
      </w:r>
      <w:proofErr w:type="spellStart"/>
      <w:r w:rsidRPr="00811F65">
        <w:rPr>
          <w:sz w:val="24"/>
          <w:szCs w:val="24"/>
        </w:rPr>
        <w:t>axitinib</w:t>
      </w:r>
      <w:proofErr w:type="spellEnd"/>
      <w:r w:rsidRPr="00811F65">
        <w:rPr>
          <w:sz w:val="24"/>
          <w:szCs w:val="24"/>
        </w:rPr>
        <w:t xml:space="preserve"> (herunder hjerneblødning, gastrisk blødning, nedre </w:t>
      </w:r>
      <w:proofErr w:type="spellStart"/>
      <w:r w:rsidRPr="00811F65">
        <w:rPr>
          <w:sz w:val="24"/>
          <w:szCs w:val="24"/>
        </w:rPr>
        <w:t>gastrointestinal</w:t>
      </w:r>
      <w:proofErr w:type="spellEnd"/>
      <w:r w:rsidRPr="00811F65">
        <w:rPr>
          <w:sz w:val="24"/>
          <w:szCs w:val="24"/>
        </w:rPr>
        <w:t xml:space="preserve"> blødning og </w:t>
      </w:r>
      <w:proofErr w:type="spellStart"/>
      <w:r w:rsidRPr="00811F65">
        <w:rPr>
          <w:sz w:val="24"/>
          <w:szCs w:val="24"/>
        </w:rPr>
        <w:t>hæmoptyse</w:t>
      </w:r>
      <w:proofErr w:type="spellEnd"/>
      <w:r w:rsidRPr="00811F65">
        <w:rPr>
          <w:sz w:val="24"/>
          <w:szCs w:val="24"/>
        </w:rPr>
        <w:t>). Dødelig blødning sås hos 1 patient (0,3</w:t>
      </w:r>
      <w:r w:rsidR="00E84059">
        <w:rPr>
          <w:sz w:val="24"/>
          <w:szCs w:val="24"/>
        </w:rPr>
        <w:t xml:space="preserve"> %</w:t>
      </w:r>
      <w:r w:rsidRPr="00811F65">
        <w:rPr>
          <w:sz w:val="24"/>
          <w:szCs w:val="24"/>
        </w:rPr>
        <w:t xml:space="preserve">) i behandling med </w:t>
      </w:r>
      <w:proofErr w:type="spellStart"/>
      <w:r w:rsidRPr="00811F65">
        <w:rPr>
          <w:sz w:val="24"/>
          <w:szCs w:val="24"/>
        </w:rPr>
        <w:t>axitinib</w:t>
      </w:r>
      <w:proofErr w:type="spellEnd"/>
      <w:r w:rsidRPr="00811F65">
        <w:rPr>
          <w:sz w:val="24"/>
          <w:szCs w:val="24"/>
        </w:rPr>
        <w:t xml:space="preserve"> (gastrisk blødning). I studier med </w:t>
      </w:r>
      <w:proofErr w:type="spellStart"/>
      <w:r w:rsidRPr="00811F65">
        <w:rPr>
          <w:sz w:val="24"/>
          <w:szCs w:val="24"/>
        </w:rPr>
        <w:t>axitinib</w:t>
      </w:r>
      <w:proofErr w:type="spellEnd"/>
      <w:r w:rsidRPr="00811F65">
        <w:rPr>
          <w:sz w:val="24"/>
          <w:szCs w:val="24"/>
        </w:rPr>
        <w:t xml:space="preserve"> givet som monoterapi (N = 850) så man </w:t>
      </w:r>
      <w:proofErr w:type="spellStart"/>
      <w:r w:rsidRPr="00811F65">
        <w:rPr>
          <w:sz w:val="24"/>
          <w:szCs w:val="24"/>
        </w:rPr>
        <w:t>hæmoptyse</w:t>
      </w:r>
      <w:proofErr w:type="spellEnd"/>
      <w:r w:rsidRPr="00811F65">
        <w:rPr>
          <w:sz w:val="24"/>
          <w:szCs w:val="24"/>
        </w:rPr>
        <w:t xml:space="preserve"> hos 3,9</w:t>
      </w:r>
      <w:r w:rsidR="00E84059">
        <w:rPr>
          <w:sz w:val="24"/>
          <w:szCs w:val="24"/>
        </w:rPr>
        <w:t xml:space="preserve"> %</w:t>
      </w:r>
      <w:r w:rsidRPr="00811F65">
        <w:rPr>
          <w:sz w:val="24"/>
          <w:szCs w:val="24"/>
        </w:rPr>
        <w:t xml:space="preserve"> af patienterne; </w:t>
      </w:r>
      <w:proofErr w:type="spellStart"/>
      <w:r w:rsidRPr="00811F65">
        <w:rPr>
          <w:sz w:val="24"/>
          <w:szCs w:val="24"/>
        </w:rPr>
        <w:t>hæmoptyse</w:t>
      </w:r>
      <w:proofErr w:type="spellEnd"/>
      <w:r w:rsidRPr="00811F65">
        <w:rPr>
          <w:sz w:val="24"/>
          <w:szCs w:val="24"/>
        </w:rPr>
        <w:t xml:space="preserve"> af Grad ≥3 blev rapporteret hos 0,5</w:t>
      </w:r>
      <w:r w:rsidR="00E84059">
        <w:rPr>
          <w:sz w:val="24"/>
          <w:szCs w:val="24"/>
        </w:rPr>
        <w:t xml:space="preserve"> %</w:t>
      </w:r>
      <w:r w:rsidRPr="00811F65">
        <w:rPr>
          <w:sz w:val="24"/>
          <w:szCs w:val="24"/>
        </w:rPr>
        <w:t xml:space="preserve"> af patienterne. </w:t>
      </w:r>
    </w:p>
    <w:p w14:paraId="6164365B" w14:textId="77777777" w:rsidR="00355DFD" w:rsidRPr="00811F65" w:rsidRDefault="00355DFD" w:rsidP="005235F2">
      <w:pPr>
        <w:ind w:left="851"/>
        <w:rPr>
          <w:sz w:val="24"/>
          <w:szCs w:val="24"/>
        </w:rPr>
      </w:pPr>
    </w:p>
    <w:p w14:paraId="5C8628D5" w14:textId="36304B8F" w:rsidR="00355DFD" w:rsidRPr="00811F65" w:rsidRDefault="00355DFD" w:rsidP="005235F2">
      <w:pPr>
        <w:ind w:left="851"/>
        <w:rPr>
          <w:sz w:val="24"/>
          <w:szCs w:val="24"/>
        </w:rPr>
      </w:pPr>
      <w:r w:rsidRPr="00811F65">
        <w:rPr>
          <w:sz w:val="24"/>
          <w:szCs w:val="24"/>
        </w:rPr>
        <w:t xml:space="preserve">I </w:t>
      </w:r>
      <w:proofErr w:type="spellStart"/>
      <w:r w:rsidRPr="00811F65">
        <w:rPr>
          <w:sz w:val="24"/>
          <w:szCs w:val="24"/>
        </w:rPr>
        <w:t>poolede</w:t>
      </w:r>
      <w:proofErr w:type="spellEnd"/>
      <w:r w:rsidRPr="00811F65">
        <w:rPr>
          <w:sz w:val="24"/>
          <w:szCs w:val="24"/>
        </w:rPr>
        <w:t xml:space="preserve"> kliniske studier med </w:t>
      </w:r>
      <w:proofErr w:type="spellStart"/>
      <w:r w:rsidRPr="00811F65">
        <w:rPr>
          <w:sz w:val="24"/>
          <w:szCs w:val="24"/>
        </w:rPr>
        <w:t>axitinib</w:t>
      </w:r>
      <w:proofErr w:type="spellEnd"/>
      <w:r w:rsidRPr="00811F65">
        <w:rPr>
          <w:sz w:val="24"/>
          <w:szCs w:val="24"/>
        </w:rPr>
        <w:t xml:space="preserve"> (N = 672) til behandling af RCC blev der rapporteret blødningsrelaterede hændelser hos 25,7</w:t>
      </w:r>
      <w:r w:rsidR="00E84059">
        <w:rPr>
          <w:sz w:val="24"/>
          <w:szCs w:val="24"/>
        </w:rPr>
        <w:t xml:space="preserve"> %</w:t>
      </w:r>
      <w:r w:rsidRPr="00811F65">
        <w:rPr>
          <w:sz w:val="24"/>
          <w:szCs w:val="24"/>
        </w:rPr>
        <w:t xml:space="preserve"> af de patienter, der fik </w:t>
      </w:r>
      <w:proofErr w:type="spellStart"/>
      <w:r w:rsidRPr="00811F65">
        <w:rPr>
          <w:sz w:val="24"/>
          <w:szCs w:val="24"/>
        </w:rPr>
        <w:t>axitinib</w:t>
      </w:r>
      <w:proofErr w:type="spellEnd"/>
      <w:r w:rsidRPr="00811F65">
        <w:rPr>
          <w:sz w:val="24"/>
          <w:szCs w:val="24"/>
        </w:rPr>
        <w:t>. Grad 3 blødningsrelaterede bivirkninger blev rapporteret hos 3</w:t>
      </w:r>
      <w:r w:rsidR="00E84059">
        <w:rPr>
          <w:sz w:val="24"/>
          <w:szCs w:val="24"/>
        </w:rPr>
        <w:t xml:space="preserve"> %</w:t>
      </w:r>
      <w:r w:rsidRPr="00811F65">
        <w:rPr>
          <w:sz w:val="24"/>
          <w:szCs w:val="24"/>
        </w:rPr>
        <w:t>. Grad 4 blødningsrelaterede bivirkninger blev rapporteret hos 1</w:t>
      </w:r>
      <w:r w:rsidR="00E84059">
        <w:rPr>
          <w:sz w:val="24"/>
          <w:szCs w:val="24"/>
        </w:rPr>
        <w:t xml:space="preserve"> %</w:t>
      </w:r>
      <w:r w:rsidRPr="00811F65">
        <w:rPr>
          <w:sz w:val="24"/>
          <w:szCs w:val="24"/>
        </w:rPr>
        <w:t>, og dødelige blødningsrelaterede bivirkninger blev rapporteret hos 0,4</w:t>
      </w:r>
      <w:r w:rsidR="00E84059">
        <w:rPr>
          <w:sz w:val="24"/>
          <w:szCs w:val="24"/>
        </w:rPr>
        <w:t xml:space="preserve"> %</w:t>
      </w:r>
      <w:r w:rsidRPr="00811F65">
        <w:rPr>
          <w:sz w:val="24"/>
          <w:szCs w:val="24"/>
        </w:rPr>
        <w:t xml:space="preserve"> af de patienter, der fik </w:t>
      </w:r>
      <w:proofErr w:type="spellStart"/>
      <w:r w:rsidRPr="00811F65">
        <w:rPr>
          <w:sz w:val="24"/>
          <w:szCs w:val="24"/>
        </w:rPr>
        <w:t>axitinib</w:t>
      </w:r>
      <w:proofErr w:type="spellEnd"/>
      <w:r w:rsidRPr="00811F65">
        <w:rPr>
          <w:sz w:val="24"/>
          <w:szCs w:val="24"/>
        </w:rPr>
        <w:t>.</w:t>
      </w:r>
    </w:p>
    <w:p w14:paraId="21D9632D" w14:textId="6E64F743" w:rsidR="00E84059" w:rsidRDefault="00E84059">
      <w:pPr>
        <w:rPr>
          <w:sz w:val="24"/>
          <w:szCs w:val="24"/>
        </w:rPr>
      </w:pPr>
      <w:r>
        <w:rPr>
          <w:sz w:val="24"/>
          <w:szCs w:val="24"/>
        </w:rPr>
        <w:br w:type="page"/>
      </w:r>
    </w:p>
    <w:p w14:paraId="326EC95E" w14:textId="77777777" w:rsidR="00355DFD" w:rsidRPr="00811F65" w:rsidRDefault="00355DFD" w:rsidP="005235F2">
      <w:pPr>
        <w:ind w:left="851"/>
        <w:rPr>
          <w:sz w:val="24"/>
          <w:szCs w:val="24"/>
        </w:rPr>
      </w:pPr>
    </w:p>
    <w:p w14:paraId="2BBE6920" w14:textId="77777777" w:rsidR="00355DFD" w:rsidRPr="00811F65" w:rsidRDefault="00355DFD" w:rsidP="005235F2">
      <w:pPr>
        <w:ind w:left="851"/>
        <w:rPr>
          <w:i/>
          <w:iCs/>
          <w:sz w:val="24"/>
          <w:szCs w:val="24"/>
          <w:u w:val="single"/>
        </w:rPr>
      </w:pPr>
      <w:proofErr w:type="spellStart"/>
      <w:r w:rsidRPr="00811F65">
        <w:rPr>
          <w:i/>
          <w:iCs/>
          <w:sz w:val="24"/>
          <w:szCs w:val="24"/>
          <w:u w:val="single"/>
        </w:rPr>
        <w:t>Gastrointestinal</w:t>
      </w:r>
      <w:proofErr w:type="spellEnd"/>
      <w:r w:rsidRPr="00811F65">
        <w:rPr>
          <w:i/>
          <w:iCs/>
          <w:sz w:val="24"/>
          <w:szCs w:val="24"/>
          <w:u w:val="single"/>
        </w:rPr>
        <w:t xml:space="preserve"> perforation og fisteldannelse </w:t>
      </w:r>
      <w:r w:rsidRPr="00811F65">
        <w:rPr>
          <w:sz w:val="24"/>
          <w:szCs w:val="24"/>
          <w:u w:val="single"/>
        </w:rPr>
        <w:t>(se pkt. 4.4)</w:t>
      </w:r>
      <w:r w:rsidRPr="00811F65">
        <w:rPr>
          <w:i/>
          <w:iCs/>
          <w:sz w:val="24"/>
          <w:szCs w:val="24"/>
          <w:u w:val="single"/>
        </w:rPr>
        <w:t xml:space="preserve"> </w:t>
      </w:r>
    </w:p>
    <w:p w14:paraId="42D3B7CF" w14:textId="1772AD8A" w:rsidR="00355DFD" w:rsidRPr="00811F65" w:rsidRDefault="00355DFD" w:rsidP="005235F2">
      <w:pPr>
        <w:ind w:left="851"/>
        <w:rPr>
          <w:sz w:val="24"/>
          <w:szCs w:val="24"/>
        </w:rPr>
      </w:pPr>
      <w:r w:rsidRPr="00811F65">
        <w:rPr>
          <w:sz w:val="24"/>
          <w:szCs w:val="24"/>
        </w:rPr>
        <w:t xml:space="preserve">I et kontrolleret klinisk studie med </w:t>
      </w:r>
      <w:proofErr w:type="spellStart"/>
      <w:r w:rsidRPr="00811F65">
        <w:rPr>
          <w:sz w:val="24"/>
          <w:szCs w:val="24"/>
        </w:rPr>
        <w:t>axitinib</w:t>
      </w:r>
      <w:proofErr w:type="spellEnd"/>
      <w:r w:rsidRPr="00811F65">
        <w:rPr>
          <w:sz w:val="24"/>
          <w:szCs w:val="24"/>
        </w:rPr>
        <w:t xml:space="preserve"> til behandling af patienter med RCC sås hændelser med </w:t>
      </w:r>
      <w:proofErr w:type="spellStart"/>
      <w:r w:rsidRPr="00811F65">
        <w:rPr>
          <w:sz w:val="24"/>
          <w:szCs w:val="24"/>
        </w:rPr>
        <w:t>gastrointestinal</w:t>
      </w:r>
      <w:proofErr w:type="spellEnd"/>
      <w:r w:rsidRPr="00811F65">
        <w:rPr>
          <w:sz w:val="24"/>
          <w:szCs w:val="24"/>
        </w:rPr>
        <w:t xml:space="preserve"> perforation hos 1,7</w:t>
      </w:r>
      <w:r w:rsidR="00E84059">
        <w:rPr>
          <w:sz w:val="24"/>
          <w:szCs w:val="24"/>
        </w:rPr>
        <w:t xml:space="preserve"> %</w:t>
      </w:r>
      <w:r w:rsidRPr="00811F65">
        <w:rPr>
          <w:sz w:val="24"/>
          <w:szCs w:val="24"/>
        </w:rPr>
        <w:t xml:space="preserve"> af patienterne, der fik </w:t>
      </w:r>
      <w:proofErr w:type="spellStart"/>
      <w:r w:rsidRPr="00811F65">
        <w:rPr>
          <w:sz w:val="24"/>
          <w:szCs w:val="24"/>
        </w:rPr>
        <w:t>axitinib</w:t>
      </w:r>
      <w:proofErr w:type="spellEnd"/>
      <w:r w:rsidRPr="00811F65">
        <w:rPr>
          <w:sz w:val="24"/>
          <w:szCs w:val="24"/>
        </w:rPr>
        <w:t xml:space="preserve">, herunder </w:t>
      </w:r>
      <w:proofErr w:type="spellStart"/>
      <w:r w:rsidRPr="00811F65">
        <w:rPr>
          <w:sz w:val="24"/>
          <w:szCs w:val="24"/>
        </w:rPr>
        <w:t>analfistler</w:t>
      </w:r>
      <w:proofErr w:type="spellEnd"/>
      <w:r w:rsidRPr="00811F65">
        <w:rPr>
          <w:sz w:val="24"/>
          <w:szCs w:val="24"/>
        </w:rPr>
        <w:t xml:space="preserve"> (0,6</w:t>
      </w:r>
      <w:r w:rsidR="00E84059">
        <w:rPr>
          <w:sz w:val="24"/>
          <w:szCs w:val="24"/>
        </w:rPr>
        <w:t xml:space="preserve"> %</w:t>
      </w:r>
      <w:r w:rsidRPr="00811F65">
        <w:rPr>
          <w:sz w:val="24"/>
          <w:szCs w:val="24"/>
        </w:rPr>
        <w:t>), fistler (0,3</w:t>
      </w:r>
      <w:r w:rsidR="00E84059">
        <w:rPr>
          <w:sz w:val="24"/>
          <w:szCs w:val="24"/>
        </w:rPr>
        <w:t xml:space="preserve"> %</w:t>
      </w:r>
      <w:r w:rsidRPr="00811F65">
        <w:rPr>
          <w:sz w:val="24"/>
          <w:szCs w:val="24"/>
        </w:rPr>
        <w:t xml:space="preserve">) og </w:t>
      </w:r>
      <w:proofErr w:type="spellStart"/>
      <w:r w:rsidRPr="00811F65">
        <w:rPr>
          <w:sz w:val="24"/>
          <w:szCs w:val="24"/>
        </w:rPr>
        <w:t>gastrointestinal</w:t>
      </w:r>
      <w:proofErr w:type="spellEnd"/>
      <w:r w:rsidRPr="00811F65">
        <w:rPr>
          <w:sz w:val="24"/>
          <w:szCs w:val="24"/>
        </w:rPr>
        <w:t xml:space="preserve"> perforation (0,3</w:t>
      </w:r>
      <w:r w:rsidR="00E84059">
        <w:rPr>
          <w:sz w:val="24"/>
          <w:szCs w:val="24"/>
        </w:rPr>
        <w:t xml:space="preserve"> %</w:t>
      </w:r>
      <w:r w:rsidRPr="00811F65">
        <w:rPr>
          <w:sz w:val="24"/>
          <w:szCs w:val="24"/>
        </w:rPr>
        <w:t xml:space="preserve">). I studier med </w:t>
      </w:r>
      <w:proofErr w:type="spellStart"/>
      <w:r w:rsidRPr="00811F65">
        <w:rPr>
          <w:sz w:val="24"/>
          <w:szCs w:val="24"/>
        </w:rPr>
        <w:t>axitinib</w:t>
      </w:r>
      <w:proofErr w:type="spellEnd"/>
      <w:r w:rsidRPr="00811F65">
        <w:rPr>
          <w:sz w:val="24"/>
          <w:szCs w:val="24"/>
        </w:rPr>
        <w:t xml:space="preserve"> givet som monoterapi (N = 850), sås hændelser med </w:t>
      </w:r>
      <w:proofErr w:type="spellStart"/>
      <w:r w:rsidRPr="00811F65">
        <w:rPr>
          <w:sz w:val="24"/>
          <w:szCs w:val="24"/>
        </w:rPr>
        <w:t>gastrointestinal</w:t>
      </w:r>
      <w:proofErr w:type="spellEnd"/>
      <w:r w:rsidRPr="00811F65">
        <w:rPr>
          <w:sz w:val="24"/>
          <w:szCs w:val="24"/>
        </w:rPr>
        <w:t xml:space="preserve"> perforation hos 1,9</w:t>
      </w:r>
      <w:r w:rsidR="00E84059">
        <w:rPr>
          <w:sz w:val="24"/>
          <w:szCs w:val="24"/>
        </w:rPr>
        <w:t xml:space="preserve"> %</w:t>
      </w:r>
      <w:r w:rsidRPr="00811F65">
        <w:rPr>
          <w:sz w:val="24"/>
          <w:szCs w:val="24"/>
        </w:rPr>
        <w:t xml:space="preserve"> af patienterne og dødelig </w:t>
      </w:r>
      <w:proofErr w:type="spellStart"/>
      <w:r w:rsidRPr="00811F65">
        <w:rPr>
          <w:sz w:val="24"/>
          <w:szCs w:val="24"/>
        </w:rPr>
        <w:t>gastrointestinal</w:t>
      </w:r>
      <w:proofErr w:type="spellEnd"/>
      <w:r w:rsidRPr="00811F65">
        <w:rPr>
          <w:sz w:val="24"/>
          <w:szCs w:val="24"/>
        </w:rPr>
        <w:t xml:space="preserve"> perforation sås hos 1 patient (0,1</w:t>
      </w:r>
      <w:r w:rsidR="00E84059">
        <w:rPr>
          <w:sz w:val="24"/>
          <w:szCs w:val="24"/>
        </w:rPr>
        <w:t xml:space="preserve"> %</w:t>
      </w:r>
      <w:r w:rsidRPr="00811F65">
        <w:rPr>
          <w:sz w:val="24"/>
          <w:szCs w:val="24"/>
        </w:rPr>
        <w:t xml:space="preserve">). </w:t>
      </w:r>
    </w:p>
    <w:p w14:paraId="4F3F491B" w14:textId="77777777" w:rsidR="00355DFD" w:rsidRPr="00811F65" w:rsidRDefault="00355DFD" w:rsidP="005235F2">
      <w:pPr>
        <w:ind w:left="851"/>
        <w:rPr>
          <w:sz w:val="24"/>
          <w:szCs w:val="24"/>
        </w:rPr>
      </w:pPr>
    </w:p>
    <w:p w14:paraId="49E46088" w14:textId="120851DA" w:rsidR="00355DFD" w:rsidRPr="00811F65" w:rsidRDefault="00355DFD" w:rsidP="005235F2">
      <w:pPr>
        <w:ind w:left="851"/>
        <w:rPr>
          <w:sz w:val="24"/>
          <w:szCs w:val="24"/>
        </w:rPr>
      </w:pPr>
      <w:r w:rsidRPr="00811F65">
        <w:rPr>
          <w:sz w:val="24"/>
          <w:szCs w:val="24"/>
        </w:rPr>
        <w:t xml:space="preserve">I </w:t>
      </w:r>
      <w:proofErr w:type="spellStart"/>
      <w:r w:rsidRPr="00811F65">
        <w:rPr>
          <w:sz w:val="24"/>
          <w:szCs w:val="24"/>
        </w:rPr>
        <w:t>poolede</w:t>
      </w:r>
      <w:proofErr w:type="spellEnd"/>
      <w:r w:rsidRPr="00811F65">
        <w:rPr>
          <w:sz w:val="24"/>
          <w:szCs w:val="24"/>
        </w:rPr>
        <w:t xml:space="preserve"> kliniske studier med </w:t>
      </w:r>
      <w:proofErr w:type="spellStart"/>
      <w:r w:rsidRPr="00811F65">
        <w:rPr>
          <w:sz w:val="24"/>
          <w:szCs w:val="24"/>
        </w:rPr>
        <w:t>axitinib</w:t>
      </w:r>
      <w:proofErr w:type="spellEnd"/>
      <w:r w:rsidRPr="00811F65">
        <w:rPr>
          <w:sz w:val="24"/>
          <w:szCs w:val="24"/>
        </w:rPr>
        <w:t xml:space="preserve"> (N = 672) til behandling af RCC blev der rapporteret </w:t>
      </w:r>
      <w:proofErr w:type="spellStart"/>
      <w:r w:rsidRPr="00811F65">
        <w:rPr>
          <w:sz w:val="24"/>
          <w:szCs w:val="24"/>
        </w:rPr>
        <w:t>gastrointestinal</w:t>
      </w:r>
      <w:proofErr w:type="spellEnd"/>
      <w:r w:rsidRPr="00811F65">
        <w:rPr>
          <w:sz w:val="24"/>
          <w:szCs w:val="24"/>
        </w:rPr>
        <w:t xml:space="preserve"> perforation og fistler hos 1,9</w:t>
      </w:r>
      <w:r w:rsidR="00E84059">
        <w:rPr>
          <w:sz w:val="24"/>
          <w:szCs w:val="24"/>
        </w:rPr>
        <w:t xml:space="preserve"> %</w:t>
      </w:r>
      <w:r w:rsidRPr="00811F65">
        <w:rPr>
          <w:sz w:val="24"/>
          <w:szCs w:val="24"/>
        </w:rPr>
        <w:t xml:space="preserve"> af de patienter, der fik </w:t>
      </w:r>
      <w:proofErr w:type="spellStart"/>
      <w:r w:rsidRPr="00811F65">
        <w:rPr>
          <w:sz w:val="24"/>
          <w:szCs w:val="24"/>
        </w:rPr>
        <w:t>axitinib</w:t>
      </w:r>
      <w:proofErr w:type="spellEnd"/>
      <w:r w:rsidRPr="00811F65">
        <w:rPr>
          <w:sz w:val="24"/>
          <w:szCs w:val="24"/>
        </w:rPr>
        <w:t>.</w:t>
      </w:r>
    </w:p>
    <w:p w14:paraId="5958256F" w14:textId="77777777" w:rsidR="00355DFD" w:rsidRPr="00811F65" w:rsidRDefault="00355DFD" w:rsidP="005235F2">
      <w:pPr>
        <w:ind w:left="851"/>
        <w:rPr>
          <w:sz w:val="24"/>
          <w:szCs w:val="24"/>
        </w:rPr>
      </w:pPr>
    </w:p>
    <w:p w14:paraId="25A0FFF9" w14:textId="77777777" w:rsidR="00355DFD" w:rsidRPr="00811F65" w:rsidRDefault="00355DFD" w:rsidP="005235F2">
      <w:pPr>
        <w:autoSpaceDE w:val="0"/>
        <w:autoSpaceDN w:val="0"/>
        <w:adjustRightInd w:val="0"/>
        <w:ind w:left="851"/>
        <w:rPr>
          <w:sz w:val="24"/>
          <w:szCs w:val="24"/>
          <w:u w:val="single"/>
        </w:rPr>
      </w:pPr>
      <w:r w:rsidRPr="00811F65">
        <w:rPr>
          <w:noProof/>
          <w:sz w:val="24"/>
          <w:szCs w:val="24"/>
          <w:u w:val="single"/>
        </w:rPr>
        <w:t>Indberetning af formodede bivirkninger</w:t>
      </w:r>
    </w:p>
    <w:p w14:paraId="2C88B578" w14:textId="77777777" w:rsidR="00355DFD" w:rsidRPr="00811F65" w:rsidRDefault="00355DFD" w:rsidP="005235F2">
      <w:pPr>
        <w:ind w:left="851"/>
        <w:rPr>
          <w:noProof/>
          <w:sz w:val="24"/>
          <w:szCs w:val="24"/>
        </w:rPr>
      </w:pPr>
      <w:r w:rsidRPr="00811F65">
        <w:rPr>
          <w:noProof/>
          <w:sz w:val="24"/>
          <w:szCs w:val="24"/>
        </w:rPr>
        <w:t>Når lægemidlet er godkendt, er indberetning af formodede bivirkninger vigtig.</w:t>
      </w:r>
      <w:r w:rsidRPr="00811F65">
        <w:rPr>
          <w:sz w:val="24"/>
          <w:szCs w:val="24"/>
        </w:rPr>
        <w:t xml:space="preserve"> </w:t>
      </w:r>
      <w:r w:rsidRPr="00811F65">
        <w:rPr>
          <w:noProof/>
          <w:sz w:val="24"/>
          <w:szCs w:val="24"/>
        </w:rPr>
        <w:t>Det muliggør løbende overvågning af benefit/risk-forholdet for lægemidlet.</w:t>
      </w:r>
      <w:r w:rsidRPr="00811F65">
        <w:rPr>
          <w:sz w:val="24"/>
          <w:szCs w:val="24"/>
        </w:rPr>
        <w:t xml:space="preserve"> </w:t>
      </w:r>
      <w:r w:rsidRPr="00811F65">
        <w:rPr>
          <w:noProof/>
          <w:sz w:val="24"/>
          <w:szCs w:val="24"/>
        </w:rPr>
        <w:t>Sundhedspersoner anmodes om at indberette alle formodede bivirkninger via:</w:t>
      </w:r>
    </w:p>
    <w:p w14:paraId="13A69769" w14:textId="77777777" w:rsidR="00355DFD" w:rsidRPr="00811F65" w:rsidRDefault="00355DFD" w:rsidP="005235F2">
      <w:pPr>
        <w:ind w:left="851"/>
        <w:rPr>
          <w:noProof/>
          <w:sz w:val="24"/>
          <w:szCs w:val="24"/>
        </w:rPr>
      </w:pPr>
    </w:p>
    <w:p w14:paraId="790B5050" w14:textId="77777777" w:rsidR="00355DFD" w:rsidRPr="00811F65" w:rsidRDefault="00355DFD" w:rsidP="005235F2">
      <w:pPr>
        <w:ind w:left="851"/>
        <w:rPr>
          <w:rFonts w:eastAsia="Calibri"/>
          <w:color w:val="000000"/>
          <w:sz w:val="24"/>
          <w:szCs w:val="24"/>
          <w:lang w:eastAsia="zh-CN"/>
        </w:rPr>
      </w:pPr>
      <w:r w:rsidRPr="00811F65">
        <w:rPr>
          <w:sz w:val="24"/>
          <w:szCs w:val="24"/>
        </w:rPr>
        <w:t>Lægemiddelstyrelsen</w:t>
      </w:r>
    </w:p>
    <w:p w14:paraId="4214FD9B" w14:textId="77777777" w:rsidR="00355DFD" w:rsidRPr="00811F65" w:rsidRDefault="00355DFD" w:rsidP="005235F2">
      <w:pPr>
        <w:ind w:left="851"/>
        <w:rPr>
          <w:rFonts w:eastAsia="Calibri"/>
          <w:noProof/>
          <w:sz w:val="24"/>
          <w:szCs w:val="24"/>
          <w:lang w:eastAsia="zh-CN"/>
        </w:rPr>
      </w:pPr>
      <w:r w:rsidRPr="00811F65">
        <w:rPr>
          <w:rFonts w:eastAsia="Calibri"/>
          <w:sz w:val="24"/>
          <w:szCs w:val="24"/>
          <w:lang w:eastAsia="zh-CN"/>
        </w:rPr>
        <w:t>Axel Heides Gade 1</w:t>
      </w:r>
    </w:p>
    <w:p w14:paraId="3A51F68E" w14:textId="77777777" w:rsidR="00355DFD" w:rsidRPr="00811F65" w:rsidRDefault="00355DFD" w:rsidP="005235F2">
      <w:pPr>
        <w:ind w:left="851"/>
        <w:rPr>
          <w:rFonts w:eastAsia="Calibri"/>
          <w:noProof/>
          <w:sz w:val="24"/>
          <w:szCs w:val="24"/>
          <w:lang w:eastAsia="zh-CN"/>
        </w:rPr>
      </w:pPr>
      <w:r w:rsidRPr="00811F65">
        <w:rPr>
          <w:rFonts w:eastAsia="Calibri"/>
          <w:noProof/>
          <w:sz w:val="24"/>
          <w:szCs w:val="24"/>
          <w:lang w:eastAsia="zh-CN"/>
        </w:rPr>
        <w:t xml:space="preserve">DK-2300 </w:t>
      </w:r>
      <w:r w:rsidRPr="00811F65">
        <w:rPr>
          <w:rFonts w:eastAsia="Calibri"/>
          <w:sz w:val="24"/>
          <w:szCs w:val="24"/>
          <w:lang w:eastAsia="zh-CN"/>
        </w:rPr>
        <w:t>København S</w:t>
      </w:r>
    </w:p>
    <w:p w14:paraId="756C77DB" w14:textId="77777777" w:rsidR="00355DFD" w:rsidRPr="00811F65" w:rsidRDefault="00355DFD" w:rsidP="005235F2">
      <w:pPr>
        <w:ind w:left="851"/>
        <w:rPr>
          <w:sz w:val="24"/>
          <w:szCs w:val="24"/>
          <w:u w:val="single"/>
          <w:lang w:eastAsia="fr-LU"/>
        </w:rPr>
      </w:pPr>
      <w:r w:rsidRPr="00811F65">
        <w:rPr>
          <w:rFonts w:eastAsia="Calibri"/>
          <w:sz w:val="24"/>
          <w:szCs w:val="24"/>
          <w:lang w:eastAsia="zh-CN"/>
        </w:rPr>
        <w:t>Websted</w:t>
      </w:r>
      <w:r w:rsidRPr="00811F65">
        <w:rPr>
          <w:rFonts w:eastAsia="Calibri"/>
          <w:noProof/>
          <w:sz w:val="24"/>
          <w:szCs w:val="24"/>
          <w:lang w:eastAsia="zh-CN"/>
        </w:rPr>
        <w:t xml:space="preserve">: </w:t>
      </w:r>
      <w:hyperlink r:id="rId8" w:history="1">
        <w:r w:rsidRPr="00811F65">
          <w:rPr>
            <w:rStyle w:val="Hyperlink"/>
            <w:rFonts w:eastAsia="Calibri"/>
            <w:noProof/>
            <w:sz w:val="24"/>
            <w:szCs w:val="24"/>
            <w:lang w:eastAsia="zh-CN"/>
          </w:rPr>
          <w:t>www.meldenbivirkning.dk</w:t>
        </w:r>
      </w:hyperlink>
    </w:p>
    <w:p w14:paraId="5E8296D9" w14:textId="77777777" w:rsidR="009260DE" w:rsidRPr="00811F65" w:rsidRDefault="009260DE" w:rsidP="00A10294">
      <w:pPr>
        <w:tabs>
          <w:tab w:val="left" w:pos="851"/>
        </w:tabs>
        <w:ind w:left="851"/>
        <w:rPr>
          <w:sz w:val="24"/>
          <w:szCs w:val="24"/>
        </w:rPr>
      </w:pPr>
    </w:p>
    <w:p w14:paraId="52E1FC5D" w14:textId="77777777" w:rsidR="009260DE" w:rsidRPr="00811F65" w:rsidRDefault="009260DE" w:rsidP="009260DE">
      <w:pPr>
        <w:tabs>
          <w:tab w:val="left" w:pos="851"/>
        </w:tabs>
        <w:ind w:left="851" w:hanging="851"/>
        <w:rPr>
          <w:b/>
          <w:sz w:val="24"/>
          <w:szCs w:val="24"/>
        </w:rPr>
      </w:pPr>
      <w:r w:rsidRPr="00811F65">
        <w:rPr>
          <w:b/>
          <w:sz w:val="24"/>
          <w:szCs w:val="24"/>
        </w:rPr>
        <w:t>4.9</w:t>
      </w:r>
      <w:r w:rsidRPr="00811F65">
        <w:rPr>
          <w:b/>
          <w:sz w:val="24"/>
          <w:szCs w:val="24"/>
        </w:rPr>
        <w:tab/>
        <w:t>Overdosering</w:t>
      </w:r>
    </w:p>
    <w:p w14:paraId="110108DA" w14:textId="77777777" w:rsidR="00355DFD" w:rsidRPr="00811F65" w:rsidRDefault="00355DFD" w:rsidP="005235F2">
      <w:pPr>
        <w:ind w:left="851"/>
        <w:rPr>
          <w:sz w:val="24"/>
          <w:szCs w:val="24"/>
          <w:lang w:eastAsia="fr-LU"/>
        </w:rPr>
      </w:pPr>
      <w:r w:rsidRPr="00811F65">
        <w:rPr>
          <w:sz w:val="24"/>
          <w:szCs w:val="24"/>
        </w:rPr>
        <w:t xml:space="preserve">Der er ingen specifik behandling for overdosering af </w:t>
      </w:r>
      <w:proofErr w:type="spellStart"/>
      <w:r w:rsidRPr="00811F65">
        <w:rPr>
          <w:sz w:val="24"/>
          <w:szCs w:val="24"/>
        </w:rPr>
        <w:t>axitinib</w:t>
      </w:r>
      <w:proofErr w:type="spellEnd"/>
      <w:r w:rsidRPr="00811F65">
        <w:rPr>
          <w:sz w:val="24"/>
          <w:szCs w:val="24"/>
        </w:rPr>
        <w:t>.</w:t>
      </w:r>
    </w:p>
    <w:p w14:paraId="6FBD3EBA" w14:textId="77777777" w:rsidR="00355DFD" w:rsidRPr="00811F65" w:rsidRDefault="00355DFD" w:rsidP="005235F2">
      <w:pPr>
        <w:ind w:left="851"/>
        <w:rPr>
          <w:sz w:val="24"/>
          <w:szCs w:val="24"/>
        </w:rPr>
      </w:pPr>
    </w:p>
    <w:p w14:paraId="4A1C53DD" w14:textId="77777777" w:rsidR="00355DFD" w:rsidRPr="00811F65" w:rsidRDefault="00355DFD" w:rsidP="005235F2">
      <w:pPr>
        <w:ind w:left="851"/>
        <w:rPr>
          <w:sz w:val="24"/>
          <w:szCs w:val="24"/>
        </w:rPr>
      </w:pPr>
      <w:r w:rsidRPr="00811F65">
        <w:rPr>
          <w:sz w:val="24"/>
          <w:szCs w:val="24"/>
        </w:rPr>
        <w:t xml:space="preserve">I et kontrolleret klinisk studie med </w:t>
      </w:r>
      <w:proofErr w:type="spellStart"/>
      <w:r w:rsidRPr="00811F65">
        <w:rPr>
          <w:sz w:val="24"/>
          <w:szCs w:val="24"/>
        </w:rPr>
        <w:t>axitinib</w:t>
      </w:r>
      <w:proofErr w:type="spellEnd"/>
      <w:r w:rsidRPr="00811F65">
        <w:rPr>
          <w:sz w:val="24"/>
          <w:szCs w:val="24"/>
        </w:rPr>
        <w:t xml:space="preserve"> til behandling af patienter med RCC fik en patient utilsigtet en dosis på 20 mg to gange dagligt i 4 dage og oplevede svimmelhed (grad 1).</w:t>
      </w:r>
    </w:p>
    <w:p w14:paraId="3BCA2D83" w14:textId="77777777" w:rsidR="00355DFD" w:rsidRPr="00811F65" w:rsidRDefault="00355DFD" w:rsidP="005235F2">
      <w:pPr>
        <w:ind w:left="851"/>
        <w:rPr>
          <w:sz w:val="24"/>
          <w:szCs w:val="24"/>
        </w:rPr>
      </w:pPr>
    </w:p>
    <w:p w14:paraId="5640C777" w14:textId="77777777" w:rsidR="00355DFD" w:rsidRPr="00811F65" w:rsidRDefault="00355DFD" w:rsidP="005235F2">
      <w:pPr>
        <w:ind w:left="851"/>
        <w:rPr>
          <w:sz w:val="24"/>
          <w:szCs w:val="24"/>
        </w:rPr>
      </w:pPr>
      <w:r w:rsidRPr="00811F65">
        <w:rPr>
          <w:sz w:val="24"/>
          <w:szCs w:val="24"/>
        </w:rPr>
        <w:t xml:space="preserve">I et klinisk dosisfindende studie med </w:t>
      </w:r>
      <w:proofErr w:type="spellStart"/>
      <w:r w:rsidRPr="00811F65">
        <w:rPr>
          <w:sz w:val="24"/>
          <w:szCs w:val="24"/>
        </w:rPr>
        <w:t>axitinib</w:t>
      </w:r>
      <w:proofErr w:type="spellEnd"/>
      <w:r w:rsidRPr="00811F65">
        <w:rPr>
          <w:sz w:val="24"/>
          <w:szCs w:val="24"/>
        </w:rPr>
        <w:t xml:space="preserve"> oplevede forsøgspersoner, der fik startdoser på 10 mg to gange dagligt eller 20 mg to gange dagligt, bivirkninger, som inkluderede hypertension, kramper forbundet med hypertension og fatal </w:t>
      </w:r>
      <w:proofErr w:type="spellStart"/>
      <w:r w:rsidRPr="00811F65">
        <w:rPr>
          <w:sz w:val="24"/>
          <w:szCs w:val="24"/>
        </w:rPr>
        <w:t>hæmotyse</w:t>
      </w:r>
      <w:proofErr w:type="spellEnd"/>
      <w:r w:rsidRPr="00811F65">
        <w:rPr>
          <w:sz w:val="24"/>
          <w:szCs w:val="24"/>
        </w:rPr>
        <w:t>.</w:t>
      </w:r>
    </w:p>
    <w:p w14:paraId="0E310802" w14:textId="77777777" w:rsidR="00355DFD" w:rsidRPr="00811F65" w:rsidRDefault="00355DFD" w:rsidP="005235F2">
      <w:pPr>
        <w:ind w:left="851"/>
        <w:rPr>
          <w:sz w:val="24"/>
          <w:szCs w:val="24"/>
        </w:rPr>
      </w:pPr>
    </w:p>
    <w:p w14:paraId="0A0CFE29" w14:textId="77777777" w:rsidR="00355DFD" w:rsidRPr="00811F65" w:rsidRDefault="00355DFD" w:rsidP="005235F2">
      <w:pPr>
        <w:ind w:left="851"/>
        <w:rPr>
          <w:sz w:val="24"/>
          <w:szCs w:val="24"/>
        </w:rPr>
      </w:pPr>
      <w:r w:rsidRPr="00811F65">
        <w:rPr>
          <w:sz w:val="24"/>
          <w:szCs w:val="24"/>
        </w:rPr>
        <w:t xml:space="preserve">I tilfælde af mistanke om overdosering bør </w:t>
      </w:r>
      <w:proofErr w:type="spellStart"/>
      <w:r w:rsidRPr="00811F65">
        <w:rPr>
          <w:sz w:val="24"/>
          <w:szCs w:val="24"/>
        </w:rPr>
        <w:t>axitinib</w:t>
      </w:r>
      <w:proofErr w:type="spellEnd"/>
      <w:r w:rsidRPr="00811F65">
        <w:rPr>
          <w:sz w:val="24"/>
          <w:szCs w:val="24"/>
        </w:rPr>
        <w:t xml:space="preserve"> tilbageholdes og støttende behandling iværksættes.</w:t>
      </w:r>
    </w:p>
    <w:p w14:paraId="5FC2C3AB" w14:textId="77777777" w:rsidR="009260DE" w:rsidRPr="00811F65" w:rsidRDefault="009260DE" w:rsidP="009260DE">
      <w:pPr>
        <w:tabs>
          <w:tab w:val="left" w:pos="851"/>
        </w:tabs>
        <w:ind w:left="851"/>
        <w:rPr>
          <w:sz w:val="24"/>
          <w:szCs w:val="24"/>
        </w:rPr>
      </w:pPr>
    </w:p>
    <w:p w14:paraId="4DD970BB" w14:textId="77777777" w:rsidR="009260DE" w:rsidRPr="00811F65" w:rsidRDefault="009260DE" w:rsidP="009260DE">
      <w:pPr>
        <w:tabs>
          <w:tab w:val="left" w:pos="851"/>
        </w:tabs>
        <w:ind w:left="851" w:hanging="851"/>
        <w:rPr>
          <w:b/>
          <w:sz w:val="24"/>
          <w:szCs w:val="24"/>
        </w:rPr>
      </w:pPr>
      <w:r w:rsidRPr="00811F65">
        <w:rPr>
          <w:b/>
          <w:sz w:val="24"/>
          <w:szCs w:val="24"/>
        </w:rPr>
        <w:t>4.10</w:t>
      </w:r>
      <w:r w:rsidRPr="00811F65">
        <w:rPr>
          <w:b/>
          <w:sz w:val="24"/>
          <w:szCs w:val="24"/>
        </w:rPr>
        <w:tab/>
        <w:t>Udlevering</w:t>
      </w:r>
    </w:p>
    <w:p w14:paraId="29C68835" w14:textId="18257493" w:rsidR="009260DE" w:rsidRPr="00811F65" w:rsidRDefault="00662E21" w:rsidP="009260DE">
      <w:pPr>
        <w:tabs>
          <w:tab w:val="left" w:pos="851"/>
        </w:tabs>
        <w:ind w:left="851"/>
        <w:rPr>
          <w:sz w:val="24"/>
          <w:szCs w:val="24"/>
        </w:rPr>
      </w:pPr>
      <w:r w:rsidRPr="00811F65">
        <w:rPr>
          <w:sz w:val="24"/>
          <w:szCs w:val="24"/>
        </w:rPr>
        <w:t>BEGR (kun til sygehuse)</w:t>
      </w:r>
    </w:p>
    <w:p w14:paraId="40641DAA" w14:textId="77777777" w:rsidR="009260DE" w:rsidRPr="00811F65" w:rsidRDefault="009260DE" w:rsidP="009260DE">
      <w:pPr>
        <w:tabs>
          <w:tab w:val="left" w:pos="851"/>
        </w:tabs>
        <w:ind w:left="851"/>
        <w:rPr>
          <w:sz w:val="24"/>
          <w:szCs w:val="24"/>
        </w:rPr>
      </w:pPr>
    </w:p>
    <w:p w14:paraId="5BD2D660" w14:textId="77777777" w:rsidR="009260DE" w:rsidRPr="00811F65" w:rsidRDefault="009260DE" w:rsidP="009260DE">
      <w:pPr>
        <w:tabs>
          <w:tab w:val="left" w:pos="851"/>
        </w:tabs>
        <w:ind w:left="851"/>
        <w:rPr>
          <w:sz w:val="24"/>
          <w:szCs w:val="24"/>
        </w:rPr>
      </w:pPr>
    </w:p>
    <w:p w14:paraId="427715FD" w14:textId="77777777" w:rsidR="009260DE" w:rsidRPr="00811F65" w:rsidRDefault="009260DE" w:rsidP="009260DE">
      <w:pPr>
        <w:tabs>
          <w:tab w:val="left" w:pos="851"/>
        </w:tabs>
        <w:ind w:left="851" w:hanging="851"/>
        <w:rPr>
          <w:b/>
          <w:sz w:val="24"/>
          <w:szCs w:val="24"/>
        </w:rPr>
      </w:pPr>
      <w:r w:rsidRPr="00811F65">
        <w:rPr>
          <w:b/>
          <w:sz w:val="24"/>
          <w:szCs w:val="24"/>
        </w:rPr>
        <w:t>5.</w:t>
      </w:r>
      <w:r w:rsidRPr="00811F65">
        <w:rPr>
          <w:b/>
          <w:sz w:val="24"/>
          <w:szCs w:val="24"/>
        </w:rPr>
        <w:tab/>
        <w:t>FARMAKOLOGISKE EGENSKABER</w:t>
      </w:r>
    </w:p>
    <w:p w14:paraId="6D936113" w14:textId="77777777" w:rsidR="009260DE" w:rsidRPr="00811F65" w:rsidRDefault="009260DE" w:rsidP="009260DE">
      <w:pPr>
        <w:tabs>
          <w:tab w:val="left" w:pos="851"/>
        </w:tabs>
        <w:ind w:left="851"/>
        <w:rPr>
          <w:sz w:val="24"/>
          <w:szCs w:val="24"/>
        </w:rPr>
      </w:pPr>
    </w:p>
    <w:p w14:paraId="4A0011C2" w14:textId="77777777" w:rsidR="009260DE" w:rsidRPr="00811F65" w:rsidRDefault="009260DE" w:rsidP="009260DE">
      <w:pPr>
        <w:tabs>
          <w:tab w:val="num" w:pos="851"/>
        </w:tabs>
        <w:ind w:left="851" w:hanging="851"/>
        <w:rPr>
          <w:b/>
          <w:sz w:val="24"/>
          <w:szCs w:val="24"/>
        </w:rPr>
      </w:pPr>
      <w:r w:rsidRPr="00811F65">
        <w:rPr>
          <w:b/>
          <w:sz w:val="24"/>
          <w:szCs w:val="24"/>
        </w:rPr>
        <w:t>5.1</w:t>
      </w:r>
      <w:r w:rsidRPr="00811F65">
        <w:rPr>
          <w:b/>
          <w:sz w:val="24"/>
          <w:szCs w:val="24"/>
        </w:rPr>
        <w:tab/>
      </w:r>
      <w:proofErr w:type="spellStart"/>
      <w:r w:rsidRPr="00811F65">
        <w:rPr>
          <w:b/>
          <w:sz w:val="24"/>
          <w:szCs w:val="24"/>
        </w:rPr>
        <w:t>Farmakodynamiske</w:t>
      </w:r>
      <w:proofErr w:type="spellEnd"/>
      <w:r w:rsidRPr="00811F65">
        <w:rPr>
          <w:b/>
          <w:sz w:val="24"/>
          <w:szCs w:val="24"/>
        </w:rPr>
        <w:t xml:space="preserve"> egenskaber</w:t>
      </w:r>
    </w:p>
    <w:p w14:paraId="2B0CADCE" w14:textId="77777777" w:rsidR="00355DFD" w:rsidRPr="00811F65" w:rsidRDefault="00355DFD" w:rsidP="005235F2">
      <w:pPr>
        <w:suppressAutoHyphens/>
        <w:ind w:left="851"/>
        <w:rPr>
          <w:sz w:val="24"/>
          <w:szCs w:val="24"/>
        </w:rPr>
      </w:pPr>
      <w:proofErr w:type="spellStart"/>
      <w:r w:rsidRPr="00811F65">
        <w:rPr>
          <w:sz w:val="24"/>
          <w:szCs w:val="24"/>
        </w:rPr>
        <w:t>Farmakoterapeutisk</w:t>
      </w:r>
      <w:proofErr w:type="spellEnd"/>
      <w:r w:rsidRPr="00811F65">
        <w:rPr>
          <w:sz w:val="24"/>
          <w:szCs w:val="24"/>
        </w:rPr>
        <w:t xml:space="preserve"> klassifikation: Protein-</w:t>
      </w:r>
      <w:proofErr w:type="spellStart"/>
      <w:r w:rsidRPr="00811F65">
        <w:rPr>
          <w:sz w:val="24"/>
          <w:szCs w:val="24"/>
        </w:rPr>
        <w:t>tyrosinkinase</w:t>
      </w:r>
      <w:proofErr w:type="spellEnd"/>
      <w:r w:rsidRPr="00811F65">
        <w:rPr>
          <w:sz w:val="24"/>
          <w:szCs w:val="24"/>
        </w:rPr>
        <w:t>-hæmmer, ATC-kode: L01EK01.</w:t>
      </w:r>
    </w:p>
    <w:p w14:paraId="20747BF3" w14:textId="77777777" w:rsidR="00355DFD" w:rsidRPr="00AC347D" w:rsidRDefault="00355DFD" w:rsidP="005235F2">
      <w:pPr>
        <w:suppressAutoHyphens/>
        <w:ind w:left="851"/>
        <w:rPr>
          <w:sz w:val="24"/>
          <w:szCs w:val="24"/>
        </w:rPr>
      </w:pPr>
    </w:p>
    <w:p w14:paraId="2FC3D106" w14:textId="77777777" w:rsidR="00355DFD" w:rsidRPr="00811F65" w:rsidRDefault="00355DFD" w:rsidP="005235F2">
      <w:pPr>
        <w:suppressAutoHyphens/>
        <w:ind w:left="851"/>
        <w:rPr>
          <w:sz w:val="24"/>
          <w:szCs w:val="24"/>
          <w:u w:val="single"/>
        </w:rPr>
      </w:pPr>
      <w:r w:rsidRPr="00811F65">
        <w:rPr>
          <w:sz w:val="24"/>
          <w:szCs w:val="24"/>
          <w:u w:val="single"/>
        </w:rPr>
        <w:t>Virkningsmekanisme</w:t>
      </w:r>
    </w:p>
    <w:p w14:paraId="0636B26B" w14:textId="4BD6B69A" w:rsidR="00355DFD" w:rsidRPr="00811F65" w:rsidRDefault="00355DFD" w:rsidP="005235F2">
      <w:pPr>
        <w:suppressAutoHyphens/>
        <w:ind w:left="851"/>
        <w:rPr>
          <w:sz w:val="24"/>
          <w:szCs w:val="24"/>
        </w:rPr>
      </w:pPr>
      <w:proofErr w:type="spellStart"/>
      <w:r w:rsidRPr="00811F65">
        <w:rPr>
          <w:sz w:val="24"/>
          <w:szCs w:val="24"/>
        </w:rPr>
        <w:t>Axitinib</w:t>
      </w:r>
      <w:proofErr w:type="spellEnd"/>
      <w:r w:rsidRPr="00811F65">
        <w:rPr>
          <w:sz w:val="24"/>
          <w:szCs w:val="24"/>
        </w:rPr>
        <w:t xml:space="preserve"> er en potent og </w:t>
      </w:r>
      <w:proofErr w:type="gramStart"/>
      <w:r w:rsidRPr="00811F65">
        <w:rPr>
          <w:sz w:val="24"/>
          <w:szCs w:val="24"/>
        </w:rPr>
        <w:t>selektiv</w:t>
      </w:r>
      <w:proofErr w:type="gramEnd"/>
      <w:r w:rsidRPr="00811F65">
        <w:rPr>
          <w:sz w:val="24"/>
          <w:szCs w:val="24"/>
        </w:rPr>
        <w:t xml:space="preserve"> hæmmer af </w:t>
      </w:r>
      <w:proofErr w:type="spellStart"/>
      <w:r w:rsidRPr="00811F65">
        <w:rPr>
          <w:sz w:val="24"/>
          <w:szCs w:val="24"/>
        </w:rPr>
        <w:t>vaskulær</w:t>
      </w:r>
      <w:proofErr w:type="spellEnd"/>
      <w:r w:rsidRPr="00811F65">
        <w:rPr>
          <w:sz w:val="24"/>
          <w:szCs w:val="24"/>
        </w:rPr>
        <w:t xml:space="preserve"> </w:t>
      </w:r>
      <w:proofErr w:type="spellStart"/>
      <w:r w:rsidRPr="00811F65">
        <w:rPr>
          <w:sz w:val="24"/>
          <w:szCs w:val="24"/>
        </w:rPr>
        <w:t>endotelial</w:t>
      </w:r>
      <w:proofErr w:type="spellEnd"/>
      <w:r w:rsidRPr="00811F65">
        <w:rPr>
          <w:sz w:val="24"/>
          <w:szCs w:val="24"/>
        </w:rPr>
        <w:t xml:space="preserve"> vækstfaktor receptorer (VEGFR)-1, VEGFR-2 og VEGFR-3. Disse receptorer er involveret i den patologiske </w:t>
      </w:r>
      <w:proofErr w:type="spellStart"/>
      <w:r w:rsidRPr="00811F65">
        <w:rPr>
          <w:sz w:val="24"/>
          <w:szCs w:val="24"/>
        </w:rPr>
        <w:t>angiogenese</w:t>
      </w:r>
      <w:proofErr w:type="spellEnd"/>
      <w:r w:rsidRPr="00811F65">
        <w:rPr>
          <w:sz w:val="24"/>
          <w:szCs w:val="24"/>
        </w:rPr>
        <w:t xml:space="preserve">, tumorvækst og metastatisk cancerprogression. </w:t>
      </w:r>
      <w:proofErr w:type="spellStart"/>
      <w:r w:rsidRPr="00811F65">
        <w:rPr>
          <w:sz w:val="24"/>
          <w:szCs w:val="24"/>
        </w:rPr>
        <w:t>Axitinib</w:t>
      </w:r>
      <w:proofErr w:type="spellEnd"/>
      <w:r w:rsidRPr="00811F65">
        <w:rPr>
          <w:sz w:val="24"/>
          <w:szCs w:val="24"/>
        </w:rPr>
        <w:t xml:space="preserve"> har vist sig kraftigt at hæmme VEGF-medierede </w:t>
      </w:r>
      <w:proofErr w:type="spellStart"/>
      <w:r w:rsidRPr="00811F65">
        <w:rPr>
          <w:sz w:val="24"/>
          <w:szCs w:val="24"/>
        </w:rPr>
        <w:t>endotelcellers</w:t>
      </w:r>
      <w:proofErr w:type="spellEnd"/>
      <w:r w:rsidRPr="00811F65">
        <w:rPr>
          <w:sz w:val="24"/>
          <w:szCs w:val="24"/>
        </w:rPr>
        <w:t xml:space="preserve"> spredning og </w:t>
      </w:r>
      <w:r w:rsidR="00E84059">
        <w:rPr>
          <w:sz w:val="24"/>
          <w:szCs w:val="24"/>
        </w:rPr>
        <w:t>-</w:t>
      </w:r>
      <w:r w:rsidRPr="00811F65">
        <w:rPr>
          <w:sz w:val="24"/>
          <w:szCs w:val="24"/>
        </w:rPr>
        <w:t xml:space="preserve">overlevelse. </w:t>
      </w:r>
      <w:proofErr w:type="spellStart"/>
      <w:r w:rsidRPr="00811F65">
        <w:rPr>
          <w:sz w:val="24"/>
          <w:szCs w:val="24"/>
        </w:rPr>
        <w:t>Axitinib</w:t>
      </w:r>
      <w:proofErr w:type="spellEnd"/>
      <w:r w:rsidRPr="00811F65">
        <w:rPr>
          <w:sz w:val="24"/>
          <w:szCs w:val="24"/>
        </w:rPr>
        <w:t xml:space="preserve"> hæmmede </w:t>
      </w:r>
      <w:proofErr w:type="spellStart"/>
      <w:r w:rsidRPr="00811F65">
        <w:rPr>
          <w:sz w:val="24"/>
          <w:szCs w:val="24"/>
        </w:rPr>
        <w:t>fosforyleringen</w:t>
      </w:r>
      <w:proofErr w:type="spellEnd"/>
      <w:r w:rsidRPr="00811F65">
        <w:rPr>
          <w:sz w:val="24"/>
          <w:szCs w:val="24"/>
        </w:rPr>
        <w:t xml:space="preserve"> af VEGF-2 i </w:t>
      </w:r>
      <w:proofErr w:type="spellStart"/>
      <w:r w:rsidRPr="00811F65">
        <w:rPr>
          <w:sz w:val="24"/>
          <w:szCs w:val="24"/>
        </w:rPr>
        <w:t>xenotransplanteret</w:t>
      </w:r>
      <w:proofErr w:type="spellEnd"/>
      <w:r w:rsidRPr="00811F65">
        <w:rPr>
          <w:sz w:val="24"/>
          <w:szCs w:val="24"/>
        </w:rPr>
        <w:t xml:space="preserve"> </w:t>
      </w:r>
      <w:proofErr w:type="spellStart"/>
      <w:r w:rsidRPr="00811F65">
        <w:rPr>
          <w:sz w:val="24"/>
          <w:szCs w:val="24"/>
        </w:rPr>
        <w:t>tumorvaskulatur</w:t>
      </w:r>
      <w:proofErr w:type="spellEnd"/>
      <w:r w:rsidRPr="00811F65">
        <w:rPr>
          <w:sz w:val="24"/>
          <w:szCs w:val="24"/>
        </w:rPr>
        <w:t xml:space="preserve"> </w:t>
      </w:r>
      <w:r w:rsidRPr="00811F65">
        <w:rPr>
          <w:i/>
          <w:iCs/>
          <w:sz w:val="24"/>
          <w:szCs w:val="24"/>
        </w:rPr>
        <w:t xml:space="preserve">in </w:t>
      </w:r>
      <w:proofErr w:type="spellStart"/>
      <w:r w:rsidRPr="00811F65">
        <w:rPr>
          <w:i/>
          <w:iCs/>
          <w:sz w:val="24"/>
          <w:szCs w:val="24"/>
        </w:rPr>
        <w:t>vivo</w:t>
      </w:r>
      <w:proofErr w:type="spellEnd"/>
      <w:r w:rsidRPr="00811F65">
        <w:rPr>
          <w:sz w:val="24"/>
          <w:szCs w:val="24"/>
        </w:rPr>
        <w:t xml:space="preserve"> og medførte </w:t>
      </w:r>
      <w:r w:rsidRPr="00811F65">
        <w:rPr>
          <w:sz w:val="24"/>
          <w:szCs w:val="24"/>
        </w:rPr>
        <w:lastRenderedPageBreak/>
        <w:t>forsinket tumorvækst, regression og hæmning af metastasering i flere forsøgsmodeller af cancer.</w:t>
      </w:r>
    </w:p>
    <w:p w14:paraId="7B67612C" w14:textId="77777777" w:rsidR="00355DFD" w:rsidRPr="00811F65" w:rsidRDefault="00355DFD" w:rsidP="005235F2">
      <w:pPr>
        <w:suppressAutoHyphens/>
        <w:ind w:left="851"/>
        <w:rPr>
          <w:sz w:val="24"/>
          <w:szCs w:val="24"/>
        </w:rPr>
      </w:pPr>
    </w:p>
    <w:p w14:paraId="4807DEED" w14:textId="77777777" w:rsidR="00355DFD" w:rsidRPr="00811F65" w:rsidRDefault="00355DFD" w:rsidP="005235F2">
      <w:pPr>
        <w:suppressAutoHyphens/>
        <w:ind w:left="851"/>
        <w:rPr>
          <w:sz w:val="24"/>
          <w:szCs w:val="24"/>
          <w:u w:val="single"/>
        </w:rPr>
      </w:pPr>
      <w:r w:rsidRPr="00811F65">
        <w:rPr>
          <w:sz w:val="24"/>
          <w:szCs w:val="24"/>
          <w:u w:val="single"/>
        </w:rPr>
        <w:t xml:space="preserve">Virkning på </w:t>
      </w:r>
      <w:proofErr w:type="spellStart"/>
      <w:r w:rsidRPr="00811F65">
        <w:rPr>
          <w:sz w:val="24"/>
          <w:szCs w:val="24"/>
          <w:u w:val="single"/>
        </w:rPr>
        <w:t>QTc</w:t>
      </w:r>
      <w:proofErr w:type="spellEnd"/>
      <w:r w:rsidRPr="00811F65">
        <w:rPr>
          <w:sz w:val="24"/>
          <w:szCs w:val="24"/>
          <w:u w:val="single"/>
        </w:rPr>
        <w:t>-interval</w:t>
      </w:r>
    </w:p>
    <w:p w14:paraId="3479590F" w14:textId="25CC984E" w:rsidR="00355DFD" w:rsidRPr="00811F65" w:rsidRDefault="00355DFD" w:rsidP="005235F2">
      <w:pPr>
        <w:suppressAutoHyphens/>
        <w:ind w:left="851"/>
        <w:rPr>
          <w:sz w:val="24"/>
          <w:szCs w:val="24"/>
        </w:rPr>
      </w:pPr>
      <w:r w:rsidRPr="00811F65">
        <w:rPr>
          <w:sz w:val="24"/>
          <w:szCs w:val="24"/>
        </w:rPr>
        <w:t xml:space="preserve">I et randomiseret overkrydsningsforsøg, fik 35 raske forsøgspersoner en enkeltdosis </w:t>
      </w:r>
      <w:proofErr w:type="spellStart"/>
      <w:r w:rsidRPr="00811F65">
        <w:rPr>
          <w:sz w:val="24"/>
          <w:szCs w:val="24"/>
        </w:rPr>
        <w:t>axitinib</w:t>
      </w:r>
      <w:proofErr w:type="spellEnd"/>
      <w:r w:rsidRPr="00811F65">
        <w:rPr>
          <w:sz w:val="24"/>
          <w:szCs w:val="24"/>
        </w:rPr>
        <w:t xml:space="preserve"> (5 mg)</w:t>
      </w:r>
      <w:r w:rsidR="00AC347D">
        <w:rPr>
          <w:sz w:val="24"/>
          <w:szCs w:val="24"/>
        </w:rPr>
        <w:t xml:space="preserve"> </w:t>
      </w:r>
      <w:r w:rsidRPr="00811F65">
        <w:rPr>
          <w:sz w:val="24"/>
          <w:szCs w:val="24"/>
        </w:rPr>
        <w:t xml:space="preserve">med og uden samtidig dosering af 400 mg </w:t>
      </w:r>
      <w:proofErr w:type="spellStart"/>
      <w:r w:rsidRPr="00811F65">
        <w:rPr>
          <w:sz w:val="24"/>
          <w:szCs w:val="24"/>
        </w:rPr>
        <w:t>ketokonazol</w:t>
      </w:r>
      <w:proofErr w:type="spellEnd"/>
      <w:r w:rsidRPr="00811F65">
        <w:rPr>
          <w:sz w:val="24"/>
          <w:szCs w:val="24"/>
        </w:rPr>
        <w:t xml:space="preserve"> i 7 dage. Resultatet af studiet indicerede, at en</w:t>
      </w:r>
      <w:r w:rsidR="00AC347D">
        <w:rPr>
          <w:sz w:val="24"/>
          <w:szCs w:val="24"/>
        </w:rPr>
        <w:t xml:space="preserve"> </w:t>
      </w:r>
      <w:r w:rsidRPr="00811F65">
        <w:rPr>
          <w:sz w:val="24"/>
          <w:szCs w:val="24"/>
        </w:rPr>
        <w:t>plasmaeksponering op til 2 gange det forventede terapeutisk niveau efter en 5 mg dosis ikke medførte</w:t>
      </w:r>
      <w:r w:rsidR="00AC347D">
        <w:rPr>
          <w:sz w:val="24"/>
          <w:szCs w:val="24"/>
        </w:rPr>
        <w:t xml:space="preserve"> </w:t>
      </w:r>
      <w:r w:rsidRPr="00811F65">
        <w:rPr>
          <w:sz w:val="24"/>
          <w:szCs w:val="24"/>
        </w:rPr>
        <w:t>en klinisk signifikant forlængelse af QT-intervallet.</w:t>
      </w:r>
    </w:p>
    <w:p w14:paraId="2E5A63CD" w14:textId="77777777" w:rsidR="00355DFD" w:rsidRPr="00811F65" w:rsidRDefault="00355DFD" w:rsidP="005235F2">
      <w:pPr>
        <w:suppressAutoHyphens/>
        <w:ind w:left="851"/>
        <w:rPr>
          <w:sz w:val="24"/>
          <w:szCs w:val="24"/>
        </w:rPr>
      </w:pPr>
    </w:p>
    <w:p w14:paraId="5CB370A9" w14:textId="77777777" w:rsidR="00355DFD" w:rsidRPr="00811F65" w:rsidRDefault="00355DFD" w:rsidP="005235F2">
      <w:pPr>
        <w:suppressAutoHyphens/>
        <w:ind w:left="851"/>
        <w:rPr>
          <w:sz w:val="24"/>
          <w:szCs w:val="24"/>
          <w:u w:val="single"/>
        </w:rPr>
      </w:pPr>
      <w:r w:rsidRPr="00811F65">
        <w:rPr>
          <w:sz w:val="24"/>
          <w:szCs w:val="24"/>
          <w:u w:val="single"/>
        </w:rPr>
        <w:t>Klinisk virkning og sikkerhed</w:t>
      </w:r>
    </w:p>
    <w:p w14:paraId="6AF5DE48" w14:textId="77777777" w:rsidR="00355DFD" w:rsidRPr="00811F65" w:rsidRDefault="00355DFD" w:rsidP="005235F2">
      <w:pPr>
        <w:suppressAutoHyphens/>
        <w:ind w:left="851"/>
        <w:rPr>
          <w:sz w:val="24"/>
          <w:szCs w:val="24"/>
        </w:rPr>
      </w:pPr>
      <w:r w:rsidRPr="00811F65">
        <w:rPr>
          <w:sz w:val="24"/>
          <w:szCs w:val="24"/>
        </w:rPr>
        <w:t xml:space="preserve">Sikkerhed og virkning af </w:t>
      </w:r>
      <w:proofErr w:type="spellStart"/>
      <w:r w:rsidRPr="00811F65">
        <w:rPr>
          <w:sz w:val="24"/>
          <w:szCs w:val="24"/>
        </w:rPr>
        <w:t>axitinib</w:t>
      </w:r>
      <w:proofErr w:type="spellEnd"/>
      <w:r w:rsidRPr="00811F65">
        <w:rPr>
          <w:sz w:val="24"/>
          <w:szCs w:val="24"/>
        </w:rPr>
        <w:t xml:space="preserve"> er blevet undersøgt i et </w:t>
      </w:r>
      <w:proofErr w:type="spellStart"/>
      <w:r w:rsidRPr="00811F65">
        <w:rPr>
          <w:sz w:val="24"/>
          <w:szCs w:val="24"/>
        </w:rPr>
        <w:t>ublindet</w:t>
      </w:r>
      <w:proofErr w:type="spellEnd"/>
      <w:r w:rsidRPr="00811F65">
        <w:rPr>
          <w:sz w:val="24"/>
          <w:szCs w:val="24"/>
        </w:rPr>
        <w:t>, multicenter fase 3-studie.</w:t>
      </w:r>
    </w:p>
    <w:p w14:paraId="60313578" w14:textId="115867D1" w:rsidR="00355DFD" w:rsidRPr="00811F65" w:rsidRDefault="00355DFD" w:rsidP="005235F2">
      <w:pPr>
        <w:suppressAutoHyphens/>
        <w:ind w:left="851"/>
        <w:rPr>
          <w:sz w:val="24"/>
          <w:szCs w:val="24"/>
        </w:rPr>
      </w:pPr>
      <w:r w:rsidRPr="00811F65">
        <w:rPr>
          <w:sz w:val="24"/>
          <w:szCs w:val="24"/>
        </w:rPr>
        <w:t>Patienterne (N = 723) med fremskreden RCC, hvis sygdom havde progredieret under eller efter én</w:t>
      </w:r>
      <w:r w:rsidR="00AC347D">
        <w:rPr>
          <w:sz w:val="24"/>
          <w:szCs w:val="24"/>
        </w:rPr>
        <w:t xml:space="preserve"> </w:t>
      </w:r>
      <w:r w:rsidRPr="00811F65">
        <w:rPr>
          <w:sz w:val="24"/>
          <w:szCs w:val="24"/>
        </w:rPr>
        <w:t xml:space="preserve">tidligere systemisk behandling, herunder </w:t>
      </w:r>
      <w:proofErr w:type="spellStart"/>
      <w:r w:rsidRPr="00811F65">
        <w:rPr>
          <w:sz w:val="24"/>
          <w:szCs w:val="24"/>
        </w:rPr>
        <w:t>sunitinib</w:t>
      </w:r>
      <w:proofErr w:type="spellEnd"/>
      <w:r w:rsidRPr="00811F65">
        <w:rPr>
          <w:sz w:val="24"/>
          <w:szCs w:val="24"/>
        </w:rPr>
        <w:t xml:space="preserve">-, </w:t>
      </w:r>
      <w:proofErr w:type="spellStart"/>
      <w:r w:rsidRPr="00811F65">
        <w:rPr>
          <w:sz w:val="24"/>
          <w:szCs w:val="24"/>
        </w:rPr>
        <w:t>bevacizumab</w:t>
      </w:r>
      <w:proofErr w:type="spellEnd"/>
      <w:r w:rsidRPr="00811F65">
        <w:rPr>
          <w:sz w:val="24"/>
          <w:szCs w:val="24"/>
        </w:rPr>
        <w:t xml:space="preserve">-, </w:t>
      </w:r>
      <w:proofErr w:type="spellStart"/>
      <w:r w:rsidRPr="00811F65">
        <w:rPr>
          <w:sz w:val="24"/>
          <w:szCs w:val="24"/>
        </w:rPr>
        <w:t>temsirolimus</w:t>
      </w:r>
      <w:proofErr w:type="spellEnd"/>
      <w:r w:rsidRPr="00811F65">
        <w:rPr>
          <w:sz w:val="24"/>
          <w:szCs w:val="24"/>
        </w:rPr>
        <w:t>-, eller cytokinholdige</w:t>
      </w:r>
      <w:r w:rsidR="00AC347D">
        <w:rPr>
          <w:sz w:val="24"/>
          <w:szCs w:val="24"/>
        </w:rPr>
        <w:t xml:space="preserve"> </w:t>
      </w:r>
      <w:r w:rsidRPr="00811F65">
        <w:rPr>
          <w:sz w:val="24"/>
          <w:szCs w:val="24"/>
        </w:rPr>
        <w:t xml:space="preserve">behandlingsregimer, blev randomiseret (1:1) til behandling med </w:t>
      </w:r>
      <w:proofErr w:type="spellStart"/>
      <w:r w:rsidRPr="00811F65">
        <w:rPr>
          <w:sz w:val="24"/>
          <w:szCs w:val="24"/>
        </w:rPr>
        <w:t>axitinib</w:t>
      </w:r>
      <w:proofErr w:type="spellEnd"/>
      <w:r w:rsidRPr="00811F65">
        <w:rPr>
          <w:sz w:val="24"/>
          <w:szCs w:val="24"/>
        </w:rPr>
        <w:t xml:space="preserve"> (N = 361) eller</w:t>
      </w:r>
      <w:r w:rsidR="00AC347D">
        <w:rPr>
          <w:sz w:val="24"/>
          <w:szCs w:val="24"/>
        </w:rPr>
        <w:t xml:space="preserve"> </w:t>
      </w:r>
      <w:proofErr w:type="spellStart"/>
      <w:r w:rsidRPr="00811F65">
        <w:rPr>
          <w:sz w:val="24"/>
          <w:szCs w:val="24"/>
        </w:rPr>
        <w:t>sorafenib</w:t>
      </w:r>
      <w:proofErr w:type="spellEnd"/>
      <w:r w:rsidRPr="00811F65">
        <w:rPr>
          <w:sz w:val="24"/>
          <w:szCs w:val="24"/>
        </w:rPr>
        <w:t xml:space="preserve"> (N = 362). Det primære endepunkt, progressionsfri overlevelse (PFS), blev vurderet ved en</w:t>
      </w:r>
      <w:r w:rsidR="00AC347D">
        <w:rPr>
          <w:sz w:val="24"/>
          <w:szCs w:val="24"/>
        </w:rPr>
        <w:t xml:space="preserve"> </w:t>
      </w:r>
      <w:r w:rsidRPr="00811F65">
        <w:rPr>
          <w:sz w:val="24"/>
          <w:szCs w:val="24"/>
        </w:rPr>
        <w:t>uafhængig, blindet, central gennemgang. Sekundære endepunkter omfatter objektiv responsrate (ORR)</w:t>
      </w:r>
      <w:r w:rsidR="00AC347D">
        <w:rPr>
          <w:sz w:val="24"/>
          <w:szCs w:val="24"/>
        </w:rPr>
        <w:t xml:space="preserve"> </w:t>
      </w:r>
      <w:r w:rsidRPr="00811F65">
        <w:rPr>
          <w:sz w:val="24"/>
          <w:szCs w:val="24"/>
        </w:rPr>
        <w:t>og samlet overlevelse (OS).</w:t>
      </w:r>
    </w:p>
    <w:p w14:paraId="5ADD239E" w14:textId="77777777" w:rsidR="00355DFD" w:rsidRPr="00811F65" w:rsidRDefault="00355DFD" w:rsidP="005235F2">
      <w:pPr>
        <w:suppressAutoHyphens/>
        <w:ind w:left="851"/>
        <w:rPr>
          <w:sz w:val="24"/>
          <w:szCs w:val="24"/>
        </w:rPr>
      </w:pPr>
    </w:p>
    <w:p w14:paraId="1F34E9C9" w14:textId="7FAFEB13" w:rsidR="00355DFD" w:rsidRPr="00811F65" w:rsidRDefault="00355DFD" w:rsidP="005235F2">
      <w:pPr>
        <w:suppressAutoHyphens/>
        <w:ind w:left="851"/>
        <w:rPr>
          <w:sz w:val="24"/>
          <w:szCs w:val="24"/>
        </w:rPr>
      </w:pPr>
      <w:r w:rsidRPr="00811F65">
        <w:rPr>
          <w:sz w:val="24"/>
          <w:szCs w:val="24"/>
        </w:rPr>
        <w:t>I dette studie havde 389 af de inkluderede patienter (53,8</w:t>
      </w:r>
      <w:r w:rsidR="00E84059">
        <w:rPr>
          <w:sz w:val="24"/>
          <w:szCs w:val="24"/>
        </w:rPr>
        <w:t xml:space="preserve"> %</w:t>
      </w:r>
      <w:r w:rsidRPr="00811F65">
        <w:rPr>
          <w:sz w:val="24"/>
          <w:szCs w:val="24"/>
        </w:rPr>
        <w:t xml:space="preserve">) tidligere fået </w:t>
      </w:r>
      <w:proofErr w:type="spellStart"/>
      <w:r w:rsidRPr="00811F65">
        <w:rPr>
          <w:sz w:val="24"/>
          <w:szCs w:val="24"/>
        </w:rPr>
        <w:t>sunitinibbaseret</w:t>
      </w:r>
      <w:proofErr w:type="spellEnd"/>
      <w:r w:rsidRPr="00811F65">
        <w:rPr>
          <w:sz w:val="24"/>
          <w:szCs w:val="24"/>
        </w:rPr>
        <w:t xml:space="preserve"> behandling,</w:t>
      </w:r>
      <w:r w:rsidR="00AC347D">
        <w:rPr>
          <w:sz w:val="24"/>
          <w:szCs w:val="24"/>
        </w:rPr>
        <w:t xml:space="preserve"> </w:t>
      </w:r>
      <w:r w:rsidRPr="00811F65">
        <w:rPr>
          <w:sz w:val="24"/>
          <w:szCs w:val="24"/>
        </w:rPr>
        <w:t>251 patienter (34,7</w:t>
      </w:r>
      <w:r w:rsidR="00E84059">
        <w:rPr>
          <w:sz w:val="24"/>
          <w:szCs w:val="24"/>
        </w:rPr>
        <w:t xml:space="preserve"> %</w:t>
      </w:r>
      <w:r w:rsidRPr="00811F65">
        <w:rPr>
          <w:sz w:val="24"/>
          <w:szCs w:val="24"/>
        </w:rPr>
        <w:t>) havde tidligere fået cytokinbaseret behandling (interleukin-2 eller interferonalfa), 59 patienter (8,2</w:t>
      </w:r>
      <w:r w:rsidR="00E84059">
        <w:rPr>
          <w:sz w:val="24"/>
          <w:szCs w:val="24"/>
        </w:rPr>
        <w:t xml:space="preserve"> %</w:t>
      </w:r>
      <w:r w:rsidRPr="00811F65">
        <w:rPr>
          <w:sz w:val="24"/>
          <w:szCs w:val="24"/>
        </w:rPr>
        <w:t xml:space="preserve">) havde tidligere fået </w:t>
      </w:r>
      <w:proofErr w:type="spellStart"/>
      <w:r w:rsidRPr="00811F65">
        <w:rPr>
          <w:sz w:val="24"/>
          <w:szCs w:val="24"/>
        </w:rPr>
        <w:t>bevacizumab</w:t>
      </w:r>
      <w:r w:rsidR="00E84059">
        <w:rPr>
          <w:sz w:val="24"/>
          <w:szCs w:val="24"/>
        </w:rPr>
        <w:softHyphen/>
      </w:r>
      <w:r w:rsidRPr="00811F65">
        <w:rPr>
          <w:sz w:val="24"/>
          <w:szCs w:val="24"/>
        </w:rPr>
        <w:t>baseret</w:t>
      </w:r>
      <w:proofErr w:type="spellEnd"/>
      <w:r w:rsidRPr="00811F65">
        <w:rPr>
          <w:sz w:val="24"/>
          <w:szCs w:val="24"/>
        </w:rPr>
        <w:t xml:space="preserve"> behandling og 24 (3,3</w:t>
      </w:r>
      <w:r w:rsidR="00E84059">
        <w:rPr>
          <w:sz w:val="24"/>
          <w:szCs w:val="24"/>
        </w:rPr>
        <w:t xml:space="preserve"> %</w:t>
      </w:r>
      <w:r w:rsidRPr="00811F65">
        <w:rPr>
          <w:sz w:val="24"/>
          <w:szCs w:val="24"/>
        </w:rPr>
        <w:t xml:space="preserve">) patienter havde tidligere fået </w:t>
      </w:r>
      <w:proofErr w:type="spellStart"/>
      <w:r w:rsidRPr="00811F65">
        <w:rPr>
          <w:sz w:val="24"/>
          <w:szCs w:val="24"/>
        </w:rPr>
        <w:t>temsirolimusbaseret</w:t>
      </w:r>
      <w:proofErr w:type="spellEnd"/>
      <w:r w:rsidRPr="00811F65">
        <w:rPr>
          <w:sz w:val="24"/>
          <w:szCs w:val="24"/>
        </w:rPr>
        <w:t xml:space="preserve"> behandling. Demografi og sygdomskarakteristika ved behandlingsstart var sammenlignelige mellem </w:t>
      </w:r>
      <w:proofErr w:type="spellStart"/>
      <w:r w:rsidRPr="00811F65">
        <w:rPr>
          <w:sz w:val="24"/>
          <w:szCs w:val="24"/>
        </w:rPr>
        <w:t>axitinib</w:t>
      </w:r>
      <w:proofErr w:type="spellEnd"/>
      <w:r w:rsidRPr="00811F65">
        <w:rPr>
          <w:sz w:val="24"/>
          <w:szCs w:val="24"/>
        </w:rPr>
        <w:t xml:space="preserve"> og </w:t>
      </w:r>
      <w:proofErr w:type="spellStart"/>
      <w:r w:rsidRPr="00811F65">
        <w:rPr>
          <w:sz w:val="24"/>
          <w:szCs w:val="24"/>
        </w:rPr>
        <w:t>sorafenib</w:t>
      </w:r>
      <w:proofErr w:type="spellEnd"/>
      <w:r w:rsidRPr="00811F65">
        <w:rPr>
          <w:sz w:val="24"/>
          <w:szCs w:val="24"/>
        </w:rPr>
        <w:t xml:space="preserve"> grupperne med hensyn til alder, køn, race, Eastern </w:t>
      </w:r>
      <w:proofErr w:type="spellStart"/>
      <w:r w:rsidRPr="00811F65">
        <w:rPr>
          <w:sz w:val="24"/>
          <w:szCs w:val="24"/>
        </w:rPr>
        <w:t>Cooperative</w:t>
      </w:r>
      <w:proofErr w:type="spellEnd"/>
      <w:r w:rsidRPr="00811F65">
        <w:rPr>
          <w:sz w:val="24"/>
          <w:szCs w:val="24"/>
        </w:rPr>
        <w:t xml:space="preserve"> </w:t>
      </w:r>
      <w:proofErr w:type="spellStart"/>
      <w:r w:rsidRPr="00811F65">
        <w:rPr>
          <w:sz w:val="24"/>
          <w:szCs w:val="24"/>
        </w:rPr>
        <w:t>Oncology</w:t>
      </w:r>
      <w:proofErr w:type="spellEnd"/>
      <w:r w:rsidRPr="00811F65">
        <w:rPr>
          <w:sz w:val="24"/>
          <w:szCs w:val="24"/>
        </w:rPr>
        <w:t xml:space="preserve"> Group (ECOG) performance-status, geografisk område og tidligere behandling.</w:t>
      </w:r>
    </w:p>
    <w:p w14:paraId="4BF98788" w14:textId="77777777" w:rsidR="00355DFD" w:rsidRPr="00811F65" w:rsidRDefault="00355DFD" w:rsidP="005235F2">
      <w:pPr>
        <w:suppressAutoHyphens/>
        <w:ind w:left="851"/>
        <w:rPr>
          <w:sz w:val="24"/>
          <w:szCs w:val="24"/>
        </w:rPr>
      </w:pPr>
    </w:p>
    <w:p w14:paraId="6ADFD478" w14:textId="3DA0FCD2" w:rsidR="00355DFD" w:rsidRPr="00811F65" w:rsidRDefault="00355DFD" w:rsidP="005235F2">
      <w:pPr>
        <w:suppressAutoHyphens/>
        <w:ind w:left="851"/>
        <w:rPr>
          <w:sz w:val="24"/>
          <w:szCs w:val="24"/>
        </w:rPr>
      </w:pPr>
      <w:r w:rsidRPr="00811F65">
        <w:rPr>
          <w:sz w:val="24"/>
          <w:szCs w:val="24"/>
        </w:rPr>
        <w:t xml:space="preserve">I den samlede patientpopulation og de to største undergrupper (tidligere </w:t>
      </w:r>
      <w:proofErr w:type="spellStart"/>
      <w:r w:rsidRPr="00811F65">
        <w:rPr>
          <w:sz w:val="24"/>
          <w:szCs w:val="24"/>
        </w:rPr>
        <w:t>sunitinib</w:t>
      </w:r>
      <w:proofErr w:type="spellEnd"/>
      <w:r w:rsidRPr="00811F65">
        <w:rPr>
          <w:sz w:val="24"/>
          <w:szCs w:val="24"/>
        </w:rPr>
        <w:t xml:space="preserve"> behandling og</w:t>
      </w:r>
      <w:r w:rsidR="00AC347D">
        <w:rPr>
          <w:sz w:val="24"/>
          <w:szCs w:val="24"/>
        </w:rPr>
        <w:t xml:space="preserve"> </w:t>
      </w:r>
      <w:r w:rsidRPr="00811F65">
        <w:rPr>
          <w:sz w:val="24"/>
          <w:szCs w:val="24"/>
        </w:rPr>
        <w:t xml:space="preserve">tidligere cytokin behandling) var der en statistisk signifikant fordel for </w:t>
      </w:r>
      <w:proofErr w:type="spellStart"/>
      <w:r w:rsidRPr="00811F65">
        <w:rPr>
          <w:sz w:val="24"/>
          <w:szCs w:val="24"/>
        </w:rPr>
        <w:t>axitinib</w:t>
      </w:r>
      <w:proofErr w:type="spellEnd"/>
      <w:r w:rsidRPr="00811F65">
        <w:rPr>
          <w:sz w:val="24"/>
          <w:szCs w:val="24"/>
        </w:rPr>
        <w:t xml:space="preserve"> overfor </w:t>
      </w:r>
      <w:proofErr w:type="spellStart"/>
      <w:r w:rsidRPr="00811F65">
        <w:rPr>
          <w:sz w:val="24"/>
          <w:szCs w:val="24"/>
        </w:rPr>
        <w:t>sorafenib</w:t>
      </w:r>
      <w:proofErr w:type="spellEnd"/>
      <w:r w:rsidRPr="00811F65">
        <w:rPr>
          <w:sz w:val="24"/>
          <w:szCs w:val="24"/>
        </w:rPr>
        <w:t xml:space="preserve"> i</w:t>
      </w:r>
      <w:r w:rsidR="00AC347D">
        <w:rPr>
          <w:sz w:val="24"/>
          <w:szCs w:val="24"/>
        </w:rPr>
        <w:t xml:space="preserve"> </w:t>
      </w:r>
      <w:r w:rsidRPr="00811F65">
        <w:rPr>
          <w:sz w:val="24"/>
          <w:szCs w:val="24"/>
        </w:rPr>
        <w:t>forhold til det primære endepunkt af PFS (se skema 2 og figur 1, 2 og 3).</w:t>
      </w:r>
    </w:p>
    <w:p w14:paraId="27E6FF80" w14:textId="77777777" w:rsidR="00355DFD" w:rsidRPr="00811F65" w:rsidRDefault="00355DFD" w:rsidP="005235F2">
      <w:pPr>
        <w:suppressAutoHyphens/>
        <w:ind w:left="851"/>
        <w:rPr>
          <w:sz w:val="24"/>
          <w:szCs w:val="24"/>
        </w:rPr>
      </w:pPr>
    </w:p>
    <w:p w14:paraId="5BC0C3AA" w14:textId="4DC1D161" w:rsidR="00355DFD" w:rsidRPr="00811F65" w:rsidRDefault="00355DFD" w:rsidP="005235F2">
      <w:pPr>
        <w:suppressAutoHyphens/>
        <w:ind w:left="851"/>
        <w:rPr>
          <w:sz w:val="24"/>
          <w:szCs w:val="24"/>
        </w:rPr>
      </w:pPr>
      <w:r w:rsidRPr="00811F65">
        <w:rPr>
          <w:sz w:val="24"/>
          <w:szCs w:val="24"/>
        </w:rPr>
        <w:t xml:space="preserve">Forlængelsen af den </w:t>
      </w:r>
      <w:proofErr w:type="spellStart"/>
      <w:r w:rsidRPr="00811F65">
        <w:rPr>
          <w:sz w:val="24"/>
          <w:szCs w:val="24"/>
        </w:rPr>
        <w:t>mediane</w:t>
      </w:r>
      <w:proofErr w:type="spellEnd"/>
      <w:r w:rsidRPr="00811F65">
        <w:rPr>
          <w:sz w:val="24"/>
          <w:szCs w:val="24"/>
        </w:rPr>
        <w:t xml:space="preserve"> </w:t>
      </w:r>
      <w:proofErr w:type="gramStart"/>
      <w:r w:rsidRPr="00811F65">
        <w:rPr>
          <w:sz w:val="24"/>
          <w:szCs w:val="24"/>
        </w:rPr>
        <w:t>PFS effekt</w:t>
      </w:r>
      <w:proofErr w:type="gramEnd"/>
      <w:r w:rsidRPr="00811F65">
        <w:rPr>
          <w:sz w:val="24"/>
          <w:szCs w:val="24"/>
        </w:rPr>
        <w:t xml:space="preserve"> var forskellig i de to undergrupper afhængigt</w:t>
      </w:r>
      <w:r w:rsidR="00AC347D">
        <w:rPr>
          <w:sz w:val="24"/>
          <w:szCs w:val="24"/>
        </w:rPr>
        <w:t xml:space="preserve"> </w:t>
      </w:r>
      <w:r w:rsidRPr="00811F65">
        <w:rPr>
          <w:sz w:val="24"/>
          <w:szCs w:val="24"/>
        </w:rPr>
        <w:t>af den tidligere behandling. To af undergrupperne var for små til at give pålidelige resultater (tidligere</w:t>
      </w:r>
      <w:r w:rsidR="00AC347D">
        <w:rPr>
          <w:sz w:val="24"/>
          <w:szCs w:val="24"/>
        </w:rPr>
        <w:t xml:space="preserve"> </w:t>
      </w:r>
      <w:proofErr w:type="spellStart"/>
      <w:r w:rsidRPr="00811F65">
        <w:rPr>
          <w:sz w:val="24"/>
          <w:szCs w:val="24"/>
        </w:rPr>
        <w:t>temsirolimus</w:t>
      </w:r>
      <w:proofErr w:type="spellEnd"/>
      <w:r w:rsidRPr="00811F65">
        <w:rPr>
          <w:sz w:val="24"/>
          <w:szCs w:val="24"/>
        </w:rPr>
        <w:t xml:space="preserve"> behandling eller </w:t>
      </w:r>
      <w:proofErr w:type="spellStart"/>
      <w:r w:rsidRPr="00811F65">
        <w:rPr>
          <w:sz w:val="24"/>
          <w:szCs w:val="24"/>
        </w:rPr>
        <w:t>bevacizumab</w:t>
      </w:r>
      <w:proofErr w:type="spellEnd"/>
      <w:r w:rsidRPr="00811F65">
        <w:rPr>
          <w:sz w:val="24"/>
          <w:szCs w:val="24"/>
        </w:rPr>
        <w:t xml:space="preserve"> behandling). Der var ingen statistisk signifikant forskel i OS mellem armene den samlede population eller i undergrupperne afhængigt af tidligere behandling.</w:t>
      </w:r>
    </w:p>
    <w:p w14:paraId="0D1F2AFA" w14:textId="77777777" w:rsidR="00355DFD" w:rsidRPr="00811F65" w:rsidRDefault="00355DFD" w:rsidP="00355DFD">
      <w:pPr>
        <w:pStyle w:val="Default"/>
        <w:rPr>
          <w:color w:val="auto"/>
        </w:rPr>
      </w:pPr>
    </w:p>
    <w:p w14:paraId="7FC0609B" w14:textId="77777777" w:rsidR="00355DFD" w:rsidRPr="00811F65" w:rsidRDefault="00355DFD" w:rsidP="00355DFD">
      <w:pPr>
        <w:pStyle w:val="Default"/>
        <w:rPr>
          <w:b/>
          <w:bCs/>
          <w:color w:val="auto"/>
        </w:rPr>
      </w:pPr>
      <w:r w:rsidRPr="00811F65">
        <w:rPr>
          <w:b/>
          <w:bCs/>
          <w:color w:val="auto"/>
        </w:rPr>
        <w:t xml:space="preserve">Tabel 2. Effekt resultater </w:t>
      </w:r>
    </w:p>
    <w:tbl>
      <w:tblPr>
        <w:tblStyle w:val="Tabel-Gitter"/>
        <w:tblW w:w="5000" w:type="pct"/>
        <w:tblInd w:w="0" w:type="dxa"/>
        <w:tblLook w:val="04A0" w:firstRow="1" w:lastRow="0" w:firstColumn="1" w:lastColumn="0" w:noHBand="0" w:noVBand="1"/>
      </w:tblPr>
      <w:tblGrid>
        <w:gridCol w:w="2850"/>
        <w:gridCol w:w="1800"/>
        <w:gridCol w:w="1972"/>
        <w:gridCol w:w="1926"/>
        <w:gridCol w:w="1080"/>
      </w:tblGrid>
      <w:tr w:rsidR="00355DFD" w:rsidRPr="00AC347D" w14:paraId="26F282EC" w14:textId="77777777" w:rsidTr="00AC347D">
        <w:tc>
          <w:tcPr>
            <w:tcW w:w="1480" w:type="pct"/>
            <w:tcBorders>
              <w:top w:val="single" w:sz="4" w:space="0" w:color="auto"/>
              <w:left w:val="single" w:sz="4" w:space="0" w:color="auto"/>
              <w:bottom w:val="single" w:sz="4" w:space="0" w:color="auto"/>
              <w:right w:val="single" w:sz="4" w:space="0" w:color="auto"/>
            </w:tcBorders>
            <w:hideMark/>
          </w:tcPr>
          <w:p w14:paraId="12470576" w14:textId="77777777" w:rsidR="00355DFD" w:rsidRPr="00AC347D" w:rsidRDefault="00355DFD">
            <w:pPr>
              <w:autoSpaceDE w:val="0"/>
              <w:autoSpaceDN w:val="0"/>
              <w:adjustRightInd w:val="0"/>
              <w:rPr>
                <w:rFonts w:eastAsia="TimesNewRoman,Bold"/>
                <w:b/>
                <w:bCs/>
                <w:sz w:val="22"/>
                <w:szCs w:val="22"/>
                <w:lang w:val="da-DK" w:eastAsia="en-GB"/>
              </w:rPr>
            </w:pPr>
            <w:r w:rsidRPr="00AC347D">
              <w:rPr>
                <w:rFonts w:eastAsia="TimesNewRoman,Bold"/>
                <w:b/>
                <w:bCs/>
                <w:sz w:val="22"/>
                <w:szCs w:val="22"/>
                <w:lang w:val="da-DK" w:eastAsia="en-GB"/>
              </w:rPr>
              <w:t>Endepunkt/</w:t>
            </w:r>
          </w:p>
          <w:p w14:paraId="49A929C0" w14:textId="77777777" w:rsidR="00355DFD" w:rsidRPr="00AC347D" w:rsidRDefault="00355DFD">
            <w:pPr>
              <w:suppressAutoHyphens/>
              <w:rPr>
                <w:sz w:val="22"/>
                <w:szCs w:val="22"/>
                <w:lang w:val="da-DK" w:eastAsia="fr-LU"/>
              </w:rPr>
            </w:pPr>
            <w:r w:rsidRPr="00AC347D">
              <w:rPr>
                <w:rFonts w:eastAsia="TimesNewRoman,Bold"/>
                <w:b/>
                <w:bCs/>
                <w:sz w:val="22"/>
                <w:szCs w:val="22"/>
                <w:lang w:val="da-DK" w:eastAsia="en-GB"/>
              </w:rPr>
              <w:t>studiepopulation</w:t>
            </w:r>
          </w:p>
        </w:tc>
        <w:tc>
          <w:tcPr>
            <w:tcW w:w="935" w:type="pct"/>
            <w:tcBorders>
              <w:top w:val="single" w:sz="4" w:space="0" w:color="auto"/>
              <w:left w:val="single" w:sz="4" w:space="0" w:color="auto"/>
              <w:bottom w:val="single" w:sz="4" w:space="0" w:color="auto"/>
              <w:right w:val="single" w:sz="4" w:space="0" w:color="auto"/>
            </w:tcBorders>
          </w:tcPr>
          <w:p w14:paraId="79B39931" w14:textId="77777777" w:rsidR="00355DFD" w:rsidRPr="00AC347D" w:rsidRDefault="00355DFD">
            <w:pPr>
              <w:suppressAutoHyphens/>
              <w:jc w:val="center"/>
              <w:rPr>
                <w:sz w:val="22"/>
                <w:szCs w:val="22"/>
                <w:lang w:val="da-DK"/>
              </w:rPr>
            </w:pPr>
            <w:proofErr w:type="spellStart"/>
            <w:r w:rsidRPr="00AC347D">
              <w:rPr>
                <w:rFonts w:eastAsia="TimesNewRoman,Bold"/>
                <w:b/>
                <w:bCs/>
                <w:sz w:val="22"/>
                <w:szCs w:val="22"/>
                <w:lang w:val="da-DK" w:eastAsia="en-GB"/>
              </w:rPr>
              <w:t>axitinib</w:t>
            </w:r>
            <w:proofErr w:type="spellEnd"/>
          </w:p>
          <w:p w14:paraId="7A08E2F6" w14:textId="77777777" w:rsidR="00355DFD" w:rsidRPr="00AC347D" w:rsidRDefault="00355DFD">
            <w:pPr>
              <w:jc w:val="center"/>
              <w:rPr>
                <w:sz w:val="22"/>
                <w:szCs w:val="22"/>
                <w:lang w:val="da-DK"/>
              </w:rPr>
            </w:pPr>
          </w:p>
        </w:tc>
        <w:tc>
          <w:tcPr>
            <w:tcW w:w="1024" w:type="pct"/>
            <w:tcBorders>
              <w:top w:val="single" w:sz="4" w:space="0" w:color="auto"/>
              <w:left w:val="single" w:sz="4" w:space="0" w:color="auto"/>
              <w:bottom w:val="single" w:sz="4" w:space="0" w:color="auto"/>
              <w:right w:val="single" w:sz="4" w:space="0" w:color="auto"/>
            </w:tcBorders>
            <w:hideMark/>
          </w:tcPr>
          <w:p w14:paraId="41F7E271" w14:textId="77777777" w:rsidR="00355DFD" w:rsidRPr="00AC347D" w:rsidRDefault="00355DFD">
            <w:pPr>
              <w:suppressAutoHyphens/>
              <w:jc w:val="center"/>
              <w:rPr>
                <w:sz w:val="22"/>
                <w:szCs w:val="22"/>
                <w:lang w:val="da-DK"/>
              </w:rPr>
            </w:pPr>
            <w:proofErr w:type="spellStart"/>
            <w:r w:rsidRPr="00AC347D">
              <w:rPr>
                <w:rFonts w:eastAsia="TimesNewRoman,Bold"/>
                <w:b/>
                <w:bCs/>
                <w:sz w:val="22"/>
                <w:szCs w:val="22"/>
                <w:lang w:val="da-DK" w:eastAsia="en-GB"/>
              </w:rPr>
              <w:t>sorafenib</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5DB6D241" w14:textId="77777777" w:rsidR="00355DFD" w:rsidRPr="00AC347D" w:rsidRDefault="00355DFD">
            <w:pPr>
              <w:autoSpaceDE w:val="0"/>
              <w:autoSpaceDN w:val="0"/>
              <w:adjustRightInd w:val="0"/>
              <w:jc w:val="center"/>
              <w:rPr>
                <w:rFonts w:eastAsia="TimesNewRoman,Bold"/>
                <w:b/>
                <w:bCs/>
                <w:sz w:val="22"/>
                <w:szCs w:val="22"/>
                <w:lang w:val="da-DK" w:eastAsia="en-GB"/>
              </w:rPr>
            </w:pPr>
            <w:r w:rsidRPr="00AC347D">
              <w:rPr>
                <w:rFonts w:eastAsia="TimesNewRoman,Bold"/>
                <w:b/>
                <w:bCs/>
                <w:sz w:val="22"/>
                <w:szCs w:val="22"/>
                <w:lang w:val="da-DK" w:eastAsia="en-GB"/>
              </w:rPr>
              <w:t>HR</w:t>
            </w:r>
          </w:p>
          <w:p w14:paraId="49ACF336" w14:textId="10F0CC94" w:rsidR="00355DFD" w:rsidRPr="00AC347D" w:rsidRDefault="00355DFD">
            <w:pPr>
              <w:suppressAutoHyphens/>
              <w:jc w:val="center"/>
              <w:rPr>
                <w:sz w:val="22"/>
                <w:szCs w:val="22"/>
                <w:lang w:val="da-DK" w:eastAsia="fr-LU"/>
              </w:rPr>
            </w:pPr>
            <w:r w:rsidRPr="00AC347D">
              <w:rPr>
                <w:rFonts w:eastAsia="TimesNewRoman,Bold"/>
                <w:b/>
                <w:bCs/>
                <w:sz w:val="22"/>
                <w:szCs w:val="22"/>
                <w:lang w:val="da-DK" w:eastAsia="en-GB"/>
              </w:rPr>
              <w:t>(95</w:t>
            </w:r>
            <w:r w:rsidR="00E84059">
              <w:rPr>
                <w:rFonts w:eastAsia="TimesNewRoman,Bold"/>
                <w:b/>
                <w:bCs/>
                <w:sz w:val="22"/>
                <w:szCs w:val="22"/>
                <w:lang w:val="da-DK" w:eastAsia="en-GB"/>
              </w:rPr>
              <w:t xml:space="preserve"> %</w:t>
            </w:r>
            <w:r w:rsidRPr="00AC347D">
              <w:rPr>
                <w:rFonts w:eastAsia="TimesNewRoman,Bold"/>
                <w:b/>
                <w:bCs/>
                <w:sz w:val="22"/>
                <w:szCs w:val="22"/>
                <w:lang w:val="da-DK" w:eastAsia="en-GB"/>
              </w:rPr>
              <w:t xml:space="preserve"> CI)</w:t>
            </w:r>
          </w:p>
        </w:tc>
        <w:tc>
          <w:tcPr>
            <w:tcW w:w="561" w:type="pct"/>
            <w:tcBorders>
              <w:top w:val="single" w:sz="4" w:space="0" w:color="auto"/>
              <w:left w:val="single" w:sz="4" w:space="0" w:color="auto"/>
              <w:bottom w:val="single" w:sz="4" w:space="0" w:color="auto"/>
              <w:right w:val="single" w:sz="4" w:space="0" w:color="auto"/>
            </w:tcBorders>
          </w:tcPr>
          <w:p w14:paraId="0AFB322A" w14:textId="77777777" w:rsidR="00355DFD" w:rsidRPr="00AC347D" w:rsidRDefault="00355DFD">
            <w:pPr>
              <w:suppressAutoHyphens/>
              <w:jc w:val="center"/>
              <w:rPr>
                <w:sz w:val="22"/>
                <w:szCs w:val="22"/>
                <w:lang w:val="da-DK"/>
              </w:rPr>
            </w:pPr>
            <w:proofErr w:type="spellStart"/>
            <w:r w:rsidRPr="00AC347D">
              <w:rPr>
                <w:rFonts w:eastAsia="TimesNewRoman,Bold"/>
                <w:b/>
                <w:bCs/>
                <w:sz w:val="22"/>
                <w:szCs w:val="22"/>
                <w:lang w:val="da-DK" w:eastAsia="en-GB"/>
              </w:rPr>
              <w:t>p-værdi</w:t>
            </w:r>
            <w:proofErr w:type="spellEnd"/>
          </w:p>
          <w:p w14:paraId="61C03D0A" w14:textId="77777777" w:rsidR="00355DFD" w:rsidRPr="00AC347D" w:rsidRDefault="00355DFD">
            <w:pPr>
              <w:jc w:val="center"/>
              <w:rPr>
                <w:sz w:val="22"/>
                <w:szCs w:val="22"/>
                <w:lang w:val="da-DK"/>
              </w:rPr>
            </w:pPr>
          </w:p>
        </w:tc>
      </w:tr>
      <w:tr w:rsidR="00355DFD" w:rsidRPr="00AC347D" w14:paraId="1ADD96FE" w14:textId="77777777" w:rsidTr="00AC347D">
        <w:tc>
          <w:tcPr>
            <w:tcW w:w="1480" w:type="pct"/>
            <w:tcBorders>
              <w:top w:val="single" w:sz="4" w:space="0" w:color="auto"/>
              <w:left w:val="single" w:sz="4" w:space="0" w:color="auto"/>
              <w:bottom w:val="single" w:sz="4" w:space="0" w:color="auto"/>
              <w:right w:val="single" w:sz="4" w:space="0" w:color="auto"/>
            </w:tcBorders>
            <w:hideMark/>
          </w:tcPr>
          <w:p w14:paraId="40956CDA" w14:textId="77777777" w:rsidR="00355DFD" w:rsidRPr="00AC347D" w:rsidRDefault="00355DFD">
            <w:pPr>
              <w:suppressAutoHyphens/>
              <w:rPr>
                <w:sz w:val="22"/>
                <w:szCs w:val="22"/>
                <w:lang w:val="da-DK"/>
              </w:rPr>
            </w:pPr>
            <w:r w:rsidRPr="00AC347D">
              <w:rPr>
                <w:rFonts w:eastAsia="TimesNewRoman,Bold"/>
                <w:b/>
                <w:bCs/>
                <w:sz w:val="22"/>
                <w:szCs w:val="22"/>
                <w:lang w:val="da-DK" w:eastAsia="en-GB"/>
              </w:rPr>
              <w:t>Overall ITT</w:t>
            </w:r>
          </w:p>
        </w:tc>
        <w:tc>
          <w:tcPr>
            <w:tcW w:w="935" w:type="pct"/>
            <w:tcBorders>
              <w:top w:val="single" w:sz="4" w:space="0" w:color="auto"/>
              <w:left w:val="single" w:sz="4" w:space="0" w:color="auto"/>
              <w:bottom w:val="single" w:sz="4" w:space="0" w:color="auto"/>
              <w:right w:val="single" w:sz="4" w:space="0" w:color="auto"/>
            </w:tcBorders>
            <w:hideMark/>
          </w:tcPr>
          <w:p w14:paraId="3F7DCE39" w14:textId="77777777" w:rsidR="00355DFD" w:rsidRPr="00AC347D" w:rsidRDefault="00355DFD">
            <w:pPr>
              <w:suppressAutoHyphens/>
              <w:jc w:val="center"/>
              <w:rPr>
                <w:sz w:val="22"/>
                <w:szCs w:val="22"/>
                <w:lang w:val="da-DK"/>
              </w:rPr>
            </w:pPr>
            <w:r w:rsidRPr="00AC347D">
              <w:rPr>
                <w:rFonts w:eastAsia="TimesNewRoman,Bold"/>
                <w:b/>
                <w:bCs/>
                <w:sz w:val="22"/>
                <w:szCs w:val="22"/>
                <w:lang w:val="da-DK" w:eastAsia="en-GB"/>
              </w:rPr>
              <w:t>N = 361</w:t>
            </w:r>
          </w:p>
        </w:tc>
        <w:tc>
          <w:tcPr>
            <w:tcW w:w="1024" w:type="pct"/>
            <w:tcBorders>
              <w:top w:val="single" w:sz="4" w:space="0" w:color="auto"/>
              <w:left w:val="single" w:sz="4" w:space="0" w:color="auto"/>
              <w:bottom w:val="single" w:sz="4" w:space="0" w:color="auto"/>
              <w:right w:val="single" w:sz="4" w:space="0" w:color="auto"/>
            </w:tcBorders>
            <w:hideMark/>
          </w:tcPr>
          <w:p w14:paraId="585D312E" w14:textId="77777777" w:rsidR="00355DFD" w:rsidRPr="00AC347D" w:rsidRDefault="00355DFD">
            <w:pPr>
              <w:suppressAutoHyphens/>
              <w:jc w:val="center"/>
              <w:rPr>
                <w:sz w:val="22"/>
                <w:szCs w:val="22"/>
                <w:lang w:val="da-DK"/>
              </w:rPr>
            </w:pPr>
            <w:r w:rsidRPr="00AC347D">
              <w:rPr>
                <w:rFonts w:eastAsia="TimesNewRoman,Bold"/>
                <w:b/>
                <w:bCs/>
                <w:sz w:val="22"/>
                <w:szCs w:val="22"/>
                <w:lang w:val="da-DK" w:eastAsia="en-GB"/>
              </w:rPr>
              <w:t>N = 362</w:t>
            </w:r>
          </w:p>
        </w:tc>
        <w:tc>
          <w:tcPr>
            <w:tcW w:w="1000" w:type="pct"/>
            <w:tcBorders>
              <w:top w:val="single" w:sz="4" w:space="0" w:color="auto"/>
              <w:left w:val="single" w:sz="4" w:space="0" w:color="auto"/>
              <w:bottom w:val="single" w:sz="4" w:space="0" w:color="auto"/>
              <w:right w:val="single" w:sz="4" w:space="0" w:color="auto"/>
            </w:tcBorders>
          </w:tcPr>
          <w:p w14:paraId="0A348EB3" w14:textId="77777777" w:rsidR="00355DFD" w:rsidRPr="00AC347D" w:rsidRDefault="00355DFD">
            <w:pPr>
              <w:suppressAutoHyphens/>
              <w:jc w:val="center"/>
              <w:rPr>
                <w:sz w:val="22"/>
                <w:szCs w:val="22"/>
                <w:lang w:val="da-DK"/>
              </w:rPr>
            </w:pPr>
          </w:p>
        </w:tc>
        <w:tc>
          <w:tcPr>
            <w:tcW w:w="561" w:type="pct"/>
            <w:tcBorders>
              <w:top w:val="single" w:sz="4" w:space="0" w:color="auto"/>
              <w:left w:val="single" w:sz="4" w:space="0" w:color="auto"/>
              <w:bottom w:val="single" w:sz="4" w:space="0" w:color="auto"/>
              <w:right w:val="single" w:sz="4" w:space="0" w:color="auto"/>
            </w:tcBorders>
          </w:tcPr>
          <w:p w14:paraId="1D532C77" w14:textId="77777777" w:rsidR="00355DFD" w:rsidRPr="00AC347D" w:rsidRDefault="00355DFD">
            <w:pPr>
              <w:suppressAutoHyphens/>
              <w:jc w:val="center"/>
              <w:rPr>
                <w:sz w:val="22"/>
                <w:szCs w:val="22"/>
                <w:lang w:val="da-DK"/>
              </w:rPr>
            </w:pPr>
          </w:p>
        </w:tc>
      </w:tr>
      <w:tr w:rsidR="00355DFD" w:rsidRPr="00AC347D" w14:paraId="05184922" w14:textId="77777777" w:rsidTr="00AC347D">
        <w:tc>
          <w:tcPr>
            <w:tcW w:w="1480" w:type="pct"/>
            <w:tcBorders>
              <w:top w:val="single" w:sz="4" w:space="0" w:color="auto"/>
              <w:left w:val="single" w:sz="4" w:space="0" w:color="auto"/>
              <w:bottom w:val="nil"/>
              <w:right w:val="single" w:sz="4" w:space="0" w:color="auto"/>
            </w:tcBorders>
            <w:hideMark/>
          </w:tcPr>
          <w:p w14:paraId="41F645DF" w14:textId="77777777" w:rsidR="00355DFD" w:rsidRPr="00AC347D" w:rsidRDefault="00355DFD">
            <w:pPr>
              <w:suppressAutoHyphens/>
              <w:rPr>
                <w:sz w:val="22"/>
                <w:szCs w:val="22"/>
                <w:lang w:val="da-DK"/>
              </w:rPr>
            </w:pPr>
            <w:r w:rsidRPr="00AC347D">
              <w:rPr>
                <w:sz w:val="22"/>
                <w:szCs w:val="22"/>
                <w:lang w:val="da-DK"/>
              </w:rPr>
              <w:t xml:space="preserve">Median </w:t>
            </w:r>
            <w:proofErr w:type="spellStart"/>
            <w:proofErr w:type="gramStart"/>
            <w:r w:rsidRPr="00AC347D">
              <w:rPr>
                <w:sz w:val="22"/>
                <w:szCs w:val="22"/>
                <w:lang w:val="da-DK"/>
              </w:rPr>
              <w:t>PFS</w:t>
            </w:r>
            <w:r w:rsidRPr="00AC347D">
              <w:rPr>
                <w:sz w:val="22"/>
                <w:szCs w:val="22"/>
                <w:vertAlign w:val="superscript"/>
                <w:lang w:val="da-DK"/>
              </w:rPr>
              <w:t>a,b</w:t>
            </w:r>
            <w:proofErr w:type="spellEnd"/>
            <w:proofErr w:type="gramEnd"/>
            <w:r w:rsidRPr="00AC347D">
              <w:rPr>
                <w:sz w:val="22"/>
                <w:szCs w:val="22"/>
                <w:lang w:val="da-DK"/>
              </w:rPr>
              <w:t xml:space="preserve"> i måneder</w:t>
            </w:r>
          </w:p>
          <w:p w14:paraId="1FE34D50" w14:textId="6E3849A5" w:rsidR="00355DFD" w:rsidRPr="00AC347D" w:rsidRDefault="00355DFD">
            <w:pPr>
              <w:suppressAutoHyphens/>
              <w:rPr>
                <w:sz w:val="22"/>
                <w:szCs w:val="22"/>
                <w:lang w:val="da-DK"/>
              </w:rPr>
            </w:pPr>
            <w:r w:rsidRPr="00AC347D">
              <w:rPr>
                <w:sz w:val="22"/>
                <w:szCs w:val="22"/>
                <w:lang w:val="da-DK"/>
              </w:rPr>
              <w:t>(95</w:t>
            </w:r>
            <w:r w:rsidR="00E84059">
              <w:rPr>
                <w:sz w:val="22"/>
                <w:szCs w:val="22"/>
                <w:lang w:val="da-DK"/>
              </w:rPr>
              <w:t xml:space="preserve"> %</w:t>
            </w:r>
            <w:r w:rsidRPr="00AC347D">
              <w:rPr>
                <w:sz w:val="22"/>
                <w:szCs w:val="22"/>
                <w:lang w:val="da-DK"/>
              </w:rPr>
              <w:t xml:space="preserve"> CI)</w:t>
            </w:r>
          </w:p>
        </w:tc>
        <w:tc>
          <w:tcPr>
            <w:tcW w:w="935" w:type="pct"/>
            <w:tcBorders>
              <w:top w:val="single" w:sz="4" w:space="0" w:color="auto"/>
              <w:left w:val="single" w:sz="4" w:space="0" w:color="auto"/>
              <w:bottom w:val="nil"/>
              <w:right w:val="single" w:sz="4" w:space="0" w:color="auto"/>
            </w:tcBorders>
          </w:tcPr>
          <w:p w14:paraId="6E19AC9C" w14:textId="77777777" w:rsidR="00355DFD" w:rsidRPr="00AC347D" w:rsidRDefault="00355DFD">
            <w:pPr>
              <w:suppressAutoHyphens/>
              <w:jc w:val="center"/>
              <w:rPr>
                <w:sz w:val="22"/>
                <w:szCs w:val="22"/>
                <w:lang w:val="da-DK"/>
              </w:rPr>
            </w:pPr>
            <w:r w:rsidRPr="00AC347D">
              <w:rPr>
                <w:sz w:val="22"/>
                <w:szCs w:val="22"/>
                <w:lang w:val="da-DK"/>
              </w:rPr>
              <w:t>6,8 (6,4-8,3)</w:t>
            </w:r>
          </w:p>
          <w:p w14:paraId="69FFBF80" w14:textId="77777777" w:rsidR="00355DFD" w:rsidRPr="00AC347D" w:rsidRDefault="00355DFD">
            <w:pPr>
              <w:suppressAutoHyphens/>
              <w:jc w:val="center"/>
              <w:rPr>
                <w:sz w:val="22"/>
                <w:szCs w:val="22"/>
                <w:lang w:val="da-DK"/>
              </w:rPr>
            </w:pPr>
          </w:p>
        </w:tc>
        <w:tc>
          <w:tcPr>
            <w:tcW w:w="1024" w:type="pct"/>
            <w:tcBorders>
              <w:top w:val="single" w:sz="4" w:space="0" w:color="auto"/>
              <w:left w:val="single" w:sz="4" w:space="0" w:color="auto"/>
              <w:bottom w:val="nil"/>
              <w:right w:val="single" w:sz="4" w:space="0" w:color="auto"/>
            </w:tcBorders>
            <w:hideMark/>
          </w:tcPr>
          <w:p w14:paraId="136281D2" w14:textId="77777777" w:rsidR="00355DFD" w:rsidRPr="00AC347D" w:rsidRDefault="00355DFD">
            <w:pPr>
              <w:suppressAutoHyphens/>
              <w:jc w:val="center"/>
              <w:rPr>
                <w:sz w:val="22"/>
                <w:szCs w:val="22"/>
                <w:lang w:val="da-DK"/>
              </w:rPr>
            </w:pPr>
            <w:r w:rsidRPr="00AC347D">
              <w:rPr>
                <w:sz w:val="22"/>
                <w:szCs w:val="22"/>
                <w:lang w:val="da-DK"/>
              </w:rPr>
              <w:t>4,7 (4,6-6,3)</w:t>
            </w:r>
          </w:p>
        </w:tc>
        <w:tc>
          <w:tcPr>
            <w:tcW w:w="1000" w:type="pct"/>
            <w:tcBorders>
              <w:top w:val="single" w:sz="4" w:space="0" w:color="auto"/>
              <w:left w:val="single" w:sz="4" w:space="0" w:color="auto"/>
              <w:bottom w:val="nil"/>
              <w:right w:val="single" w:sz="4" w:space="0" w:color="auto"/>
            </w:tcBorders>
            <w:hideMark/>
          </w:tcPr>
          <w:p w14:paraId="451B137B" w14:textId="77777777" w:rsidR="00355DFD" w:rsidRPr="00AC347D" w:rsidRDefault="00355DFD">
            <w:pPr>
              <w:suppressAutoHyphens/>
              <w:jc w:val="center"/>
              <w:rPr>
                <w:sz w:val="22"/>
                <w:szCs w:val="22"/>
                <w:lang w:val="da-DK"/>
              </w:rPr>
            </w:pPr>
            <w:r w:rsidRPr="00AC347D">
              <w:rPr>
                <w:sz w:val="22"/>
                <w:szCs w:val="22"/>
                <w:lang w:val="da-DK"/>
              </w:rPr>
              <w:t>0,67 (0,56-0,81)</w:t>
            </w:r>
          </w:p>
        </w:tc>
        <w:tc>
          <w:tcPr>
            <w:tcW w:w="561" w:type="pct"/>
            <w:tcBorders>
              <w:top w:val="single" w:sz="4" w:space="0" w:color="auto"/>
              <w:left w:val="single" w:sz="4" w:space="0" w:color="auto"/>
              <w:bottom w:val="nil"/>
              <w:right w:val="single" w:sz="4" w:space="0" w:color="auto"/>
            </w:tcBorders>
            <w:hideMark/>
          </w:tcPr>
          <w:p w14:paraId="3AC72662" w14:textId="77777777" w:rsidR="00355DFD" w:rsidRPr="00AC347D" w:rsidRDefault="00355DFD">
            <w:pPr>
              <w:suppressAutoHyphens/>
              <w:jc w:val="center"/>
              <w:rPr>
                <w:sz w:val="22"/>
                <w:szCs w:val="22"/>
                <w:lang w:val="da-DK"/>
              </w:rPr>
            </w:pPr>
            <w:r w:rsidRPr="00AC347D">
              <w:rPr>
                <w:sz w:val="22"/>
                <w:szCs w:val="22"/>
                <w:lang w:val="da-DK"/>
              </w:rPr>
              <w:t>&lt;0,0001</w:t>
            </w:r>
            <w:r w:rsidRPr="00AC347D">
              <w:rPr>
                <w:sz w:val="22"/>
                <w:szCs w:val="22"/>
                <w:vertAlign w:val="superscript"/>
                <w:lang w:val="da-DK"/>
              </w:rPr>
              <w:t>c</w:t>
            </w:r>
          </w:p>
        </w:tc>
      </w:tr>
      <w:tr w:rsidR="00355DFD" w:rsidRPr="00AC347D" w14:paraId="1C058491" w14:textId="77777777" w:rsidTr="00AC347D">
        <w:tc>
          <w:tcPr>
            <w:tcW w:w="1480" w:type="pct"/>
            <w:tcBorders>
              <w:top w:val="nil"/>
              <w:left w:val="single" w:sz="4" w:space="0" w:color="auto"/>
              <w:bottom w:val="nil"/>
              <w:right w:val="single" w:sz="4" w:space="0" w:color="auto"/>
            </w:tcBorders>
            <w:hideMark/>
          </w:tcPr>
          <w:p w14:paraId="0FBA546D" w14:textId="77777777" w:rsidR="00355DFD" w:rsidRPr="00AC347D" w:rsidRDefault="00355DFD">
            <w:pPr>
              <w:suppressAutoHyphens/>
              <w:rPr>
                <w:sz w:val="22"/>
                <w:szCs w:val="22"/>
                <w:lang w:val="da-DK"/>
              </w:rPr>
            </w:pPr>
            <w:r w:rsidRPr="00AC347D">
              <w:rPr>
                <w:sz w:val="22"/>
                <w:szCs w:val="22"/>
                <w:lang w:val="da-DK"/>
              </w:rPr>
              <w:t xml:space="preserve">Median </w:t>
            </w:r>
            <w:proofErr w:type="spellStart"/>
            <w:r w:rsidRPr="00AC347D">
              <w:rPr>
                <w:sz w:val="22"/>
                <w:szCs w:val="22"/>
                <w:lang w:val="da-DK"/>
              </w:rPr>
              <w:t>OS</w:t>
            </w:r>
            <w:r w:rsidRPr="00AC347D">
              <w:rPr>
                <w:sz w:val="22"/>
                <w:szCs w:val="22"/>
                <w:vertAlign w:val="superscript"/>
                <w:lang w:val="da-DK"/>
              </w:rPr>
              <w:t>d</w:t>
            </w:r>
            <w:proofErr w:type="spellEnd"/>
            <w:r w:rsidRPr="00AC347D">
              <w:rPr>
                <w:sz w:val="22"/>
                <w:szCs w:val="22"/>
                <w:lang w:val="da-DK"/>
              </w:rPr>
              <w:t xml:space="preserve"> i måneder</w:t>
            </w:r>
          </w:p>
          <w:p w14:paraId="7A45A07A" w14:textId="2117648B" w:rsidR="00355DFD" w:rsidRPr="00AC347D" w:rsidRDefault="00355DFD">
            <w:pPr>
              <w:suppressAutoHyphens/>
              <w:rPr>
                <w:sz w:val="22"/>
                <w:szCs w:val="22"/>
                <w:lang w:val="da-DK"/>
              </w:rPr>
            </w:pPr>
            <w:r w:rsidRPr="00AC347D">
              <w:rPr>
                <w:sz w:val="22"/>
                <w:szCs w:val="22"/>
                <w:lang w:val="da-DK"/>
              </w:rPr>
              <w:t>(95</w:t>
            </w:r>
            <w:r w:rsidR="00E84059">
              <w:rPr>
                <w:sz w:val="22"/>
                <w:szCs w:val="22"/>
                <w:lang w:val="da-DK"/>
              </w:rPr>
              <w:t xml:space="preserve"> %</w:t>
            </w:r>
            <w:r w:rsidRPr="00AC347D">
              <w:rPr>
                <w:sz w:val="22"/>
                <w:szCs w:val="22"/>
                <w:lang w:val="da-DK"/>
              </w:rPr>
              <w:t xml:space="preserve"> CI)</w:t>
            </w:r>
          </w:p>
        </w:tc>
        <w:tc>
          <w:tcPr>
            <w:tcW w:w="935" w:type="pct"/>
            <w:tcBorders>
              <w:top w:val="nil"/>
              <w:left w:val="single" w:sz="4" w:space="0" w:color="auto"/>
              <w:bottom w:val="nil"/>
              <w:right w:val="single" w:sz="4" w:space="0" w:color="auto"/>
            </w:tcBorders>
            <w:hideMark/>
          </w:tcPr>
          <w:p w14:paraId="5C2A6214" w14:textId="77777777" w:rsidR="00355DFD" w:rsidRPr="00AC347D" w:rsidRDefault="00355DFD">
            <w:pPr>
              <w:suppressAutoHyphens/>
              <w:jc w:val="center"/>
              <w:rPr>
                <w:sz w:val="22"/>
                <w:szCs w:val="22"/>
                <w:lang w:val="da-DK"/>
              </w:rPr>
            </w:pPr>
            <w:r w:rsidRPr="00AC347D">
              <w:rPr>
                <w:sz w:val="22"/>
                <w:szCs w:val="22"/>
                <w:lang w:val="da-DK"/>
              </w:rPr>
              <w:t>20,1 (16,7-23,4)</w:t>
            </w:r>
          </w:p>
        </w:tc>
        <w:tc>
          <w:tcPr>
            <w:tcW w:w="1024" w:type="pct"/>
            <w:tcBorders>
              <w:top w:val="nil"/>
              <w:left w:val="single" w:sz="4" w:space="0" w:color="auto"/>
              <w:bottom w:val="nil"/>
              <w:right w:val="single" w:sz="4" w:space="0" w:color="auto"/>
            </w:tcBorders>
            <w:hideMark/>
          </w:tcPr>
          <w:p w14:paraId="6101798C" w14:textId="77777777" w:rsidR="00355DFD" w:rsidRPr="00AC347D" w:rsidRDefault="00355DFD">
            <w:pPr>
              <w:suppressAutoHyphens/>
              <w:jc w:val="center"/>
              <w:rPr>
                <w:sz w:val="22"/>
                <w:szCs w:val="22"/>
                <w:lang w:val="da-DK"/>
              </w:rPr>
            </w:pPr>
            <w:r w:rsidRPr="00AC347D">
              <w:rPr>
                <w:sz w:val="22"/>
                <w:szCs w:val="22"/>
                <w:lang w:val="da-DK"/>
              </w:rPr>
              <w:t>19,2 (17,5-22,3)</w:t>
            </w:r>
          </w:p>
        </w:tc>
        <w:tc>
          <w:tcPr>
            <w:tcW w:w="1000" w:type="pct"/>
            <w:tcBorders>
              <w:top w:val="nil"/>
              <w:left w:val="single" w:sz="4" w:space="0" w:color="auto"/>
              <w:bottom w:val="nil"/>
              <w:right w:val="single" w:sz="4" w:space="0" w:color="auto"/>
            </w:tcBorders>
            <w:hideMark/>
          </w:tcPr>
          <w:p w14:paraId="10A0D95D" w14:textId="77777777" w:rsidR="00355DFD" w:rsidRPr="00AC347D" w:rsidRDefault="00355DFD">
            <w:pPr>
              <w:suppressAutoHyphens/>
              <w:jc w:val="center"/>
              <w:rPr>
                <w:sz w:val="22"/>
                <w:szCs w:val="22"/>
                <w:lang w:val="da-DK"/>
              </w:rPr>
            </w:pPr>
            <w:r w:rsidRPr="00AC347D">
              <w:rPr>
                <w:sz w:val="22"/>
                <w:szCs w:val="22"/>
                <w:lang w:val="da-DK"/>
              </w:rPr>
              <w:t>0,97 (0,80-1,17)</w:t>
            </w:r>
          </w:p>
        </w:tc>
        <w:tc>
          <w:tcPr>
            <w:tcW w:w="561" w:type="pct"/>
            <w:tcBorders>
              <w:top w:val="nil"/>
              <w:left w:val="single" w:sz="4" w:space="0" w:color="auto"/>
              <w:bottom w:val="nil"/>
              <w:right w:val="single" w:sz="4" w:space="0" w:color="auto"/>
            </w:tcBorders>
            <w:hideMark/>
          </w:tcPr>
          <w:p w14:paraId="05BF6EAD" w14:textId="77777777" w:rsidR="00355DFD" w:rsidRPr="00AC347D" w:rsidRDefault="00355DFD">
            <w:pPr>
              <w:suppressAutoHyphens/>
              <w:jc w:val="center"/>
              <w:rPr>
                <w:sz w:val="22"/>
                <w:szCs w:val="22"/>
                <w:lang w:val="da-DK"/>
              </w:rPr>
            </w:pPr>
            <w:r w:rsidRPr="00AC347D">
              <w:rPr>
                <w:sz w:val="22"/>
                <w:szCs w:val="22"/>
                <w:lang w:val="da-DK"/>
              </w:rPr>
              <w:t>IS</w:t>
            </w:r>
          </w:p>
        </w:tc>
      </w:tr>
      <w:tr w:rsidR="00355DFD" w:rsidRPr="00AC347D" w14:paraId="3D71017D" w14:textId="77777777" w:rsidTr="00AC347D">
        <w:tc>
          <w:tcPr>
            <w:tcW w:w="1480" w:type="pct"/>
            <w:tcBorders>
              <w:top w:val="nil"/>
              <w:left w:val="single" w:sz="4" w:space="0" w:color="auto"/>
              <w:bottom w:val="single" w:sz="4" w:space="0" w:color="auto"/>
              <w:right w:val="single" w:sz="4" w:space="0" w:color="auto"/>
            </w:tcBorders>
            <w:hideMark/>
          </w:tcPr>
          <w:p w14:paraId="1ABB7E7A" w14:textId="19B603CE" w:rsidR="00355DFD" w:rsidRPr="00AC347D" w:rsidRDefault="00355DFD">
            <w:pPr>
              <w:suppressAutoHyphens/>
              <w:rPr>
                <w:sz w:val="22"/>
                <w:szCs w:val="22"/>
                <w:lang w:val="da-DK"/>
              </w:rPr>
            </w:pPr>
            <w:proofErr w:type="spellStart"/>
            <w:proofErr w:type="gramStart"/>
            <w:r w:rsidRPr="00AC347D">
              <w:rPr>
                <w:sz w:val="22"/>
                <w:szCs w:val="22"/>
                <w:lang w:val="da-DK"/>
              </w:rPr>
              <w:t>ORR</w:t>
            </w:r>
            <w:r w:rsidRPr="00AC347D">
              <w:rPr>
                <w:sz w:val="22"/>
                <w:szCs w:val="22"/>
                <w:vertAlign w:val="superscript"/>
                <w:lang w:val="da-DK"/>
              </w:rPr>
              <w:t>b,e</w:t>
            </w:r>
            <w:proofErr w:type="spellEnd"/>
            <w:proofErr w:type="gramEnd"/>
            <w:r w:rsidR="00E84059">
              <w:rPr>
                <w:sz w:val="22"/>
                <w:szCs w:val="22"/>
                <w:lang w:val="da-DK"/>
              </w:rPr>
              <w:t xml:space="preserve"> %</w:t>
            </w:r>
            <w:r w:rsidRPr="00AC347D">
              <w:rPr>
                <w:sz w:val="22"/>
                <w:szCs w:val="22"/>
                <w:lang w:val="da-DK"/>
              </w:rPr>
              <w:t xml:space="preserve"> (95</w:t>
            </w:r>
            <w:r w:rsidR="00E84059">
              <w:rPr>
                <w:sz w:val="22"/>
                <w:szCs w:val="22"/>
                <w:lang w:val="da-DK"/>
              </w:rPr>
              <w:t xml:space="preserve"> %</w:t>
            </w:r>
            <w:r w:rsidRPr="00AC347D">
              <w:rPr>
                <w:sz w:val="22"/>
                <w:szCs w:val="22"/>
                <w:lang w:val="da-DK"/>
              </w:rPr>
              <w:t xml:space="preserve"> CI)</w:t>
            </w:r>
          </w:p>
        </w:tc>
        <w:tc>
          <w:tcPr>
            <w:tcW w:w="935" w:type="pct"/>
            <w:tcBorders>
              <w:top w:val="nil"/>
              <w:left w:val="single" w:sz="4" w:space="0" w:color="auto"/>
              <w:bottom w:val="single" w:sz="4" w:space="0" w:color="auto"/>
              <w:right w:val="single" w:sz="4" w:space="0" w:color="auto"/>
            </w:tcBorders>
            <w:hideMark/>
          </w:tcPr>
          <w:p w14:paraId="25EFD2F5" w14:textId="77777777" w:rsidR="00355DFD" w:rsidRPr="00AC347D" w:rsidRDefault="00355DFD">
            <w:pPr>
              <w:suppressAutoHyphens/>
              <w:jc w:val="center"/>
              <w:rPr>
                <w:sz w:val="22"/>
                <w:szCs w:val="22"/>
                <w:lang w:val="da-DK"/>
              </w:rPr>
            </w:pPr>
            <w:r w:rsidRPr="00AC347D">
              <w:rPr>
                <w:sz w:val="22"/>
                <w:szCs w:val="22"/>
                <w:lang w:val="da-DK"/>
              </w:rPr>
              <w:t>19,4 (15,4-23,9)</w:t>
            </w:r>
          </w:p>
        </w:tc>
        <w:tc>
          <w:tcPr>
            <w:tcW w:w="1024" w:type="pct"/>
            <w:tcBorders>
              <w:top w:val="nil"/>
              <w:left w:val="single" w:sz="4" w:space="0" w:color="auto"/>
              <w:bottom w:val="single" w:sz="4" w:space="0" w:color="auto"/>
              <w:right w:val="single" w:sz="4" w:space="0" w:color="auto"/>
            </w:tcBorders>
            <w:hideMark/>
          </w:tcPr>
          <w:p w14:paraId="7C7CC32A" w14:textId="77777777" w:rsidR="00355DFD" w:rsidRPr="00AC347D" w:rsidRDefault="00355DFD">
            <w:pPr>
              <w:suppressAutoHyphens/>
              <w:jc w:val="center"/>
              <w:rPr>
                <w:sz w:val="22"/>
                <w:szCs w:val="22"/>
                <w:lang w:val="da-DK"/>
              </w:rPr>
            </w:pPr>
            <w:r w:rsidRPr="00AC347D">
              <w:rPr>
                <w:sz w:val="22"/>
                <w:szCs w:val="22"/>
                <w:lang w:val="da-DK"/>
              </w:rPr>
              <w:t>9,4 (6,6-12,9)</w:t>
            </w:r>
          </w:p>
        </w:tc>
        <w:tc>
          <w:tcPr>
            <w:tcW w:w="1000" w:type="pct"/>
            <w:tcBorders>
              <w:top w:val="nil"/>
              <w:left w:val="single" w:sz="4" w:space="0" w:color="auto"/>
              <w:bottom w:val="single" w:sz="4" w:space="0" w:color="auto"/>
              <w:right w:val="single" w:sz="4" w:space="0" w:color="auto"/>
            </w:tcBorders>
            <w:hideMark/>
          </w:tcPr>
          <w:p w14:paraId="59580B02" w14:textId="77777777" w:rsidR="00355DFD" w:rsidRPr="00AC347D" w:rsidRDefault="00355DFD">
            <w:pPr>
              <w:suppressAutoHyphens/>
              <w:jc w:val="center"/>
              <w:rPr>
                <w:sz w:val="22"/>
                <w:szCs w:val="22"/>
                <w:lang w:val="da-DK"/>
              </w:rPr>
            </w:pPr>
            <w:r w:rsidRPr="00AC347D">
              <w:rPr>
                <w:sz w:val="22"/>
                <w:szCs w:val="22"/>
                <w:lang w:val="da-DK"/>
              </w:rPr>
              <w:t>2,06</w:t>
            </w:r>
            <w:r w:rsidRPr="00AC347D">
              <w:rPr>
                <w:sz w:val="22"/>
                <w:szCs w:val="22"/>
                <w:vertAlign w:val="superscript"/>
                <w:lang w:val="da-DK"/>
              </w:rPr>
              <w:t xml:space="preserve">f </w:t>
            </w:r>
            <w:r w:rsidRPr="00AC347D">
              <w:rPr>
                <w:sz w:val="22"/>
                <w:szCs w:val="22"/>
                <w:lang w:val="da-DK"/>
              </w:rPr>
              <w:t>(1,41-3,00)</w:t>
            </w:r>
          </w:p>
        </w:tc>
        <w:tc>
          <w:tcPr>
            <w:tcW w:w="561" w:type="pct"/>
            <w:tcBorders>
              <w:top w:val="nil"/>
              <w:left w:val="single" w:sz="4" w:space="0" w:color="auto"/>
              <w:bottom w:val="single" w:sz="4" w:space="0" w:color="auto"/>
              <w:right w:val="single" w:sz="4" w:space="0" w:color="auto"/>
            </w:tcBorders>
            <w:hideMark/>
          </w:tcPr>
          <w:p w14:paraId="21AB232C" w14:textId="77777777" w:rsidR="00355DFD" w:rsidRPr="00AC347D" w:rsidRDefault="00355DFD">
            <w:pPr>
              <w:suppressAutoHyphens/>
              <w:jc w:val="center"/>
              <w:rPr>
                <w:sz w:val="22"/>
                <w:szCs w:val="22"/>
                <w:lang w:val="da-DK"/>
              </w:rPr>
            </w:pPr>
            <w:r w:rsidRPr="00AC347D">
              <w:rPr>
                <w:sz w:val="22"/>
                <w:szCs w:val="22"/>
                <w:lang w:val="da-DK"/>
              </w:rPr>
              <w:t>0,0001</w:t>
            </w:r>
            <w:r w:rsidRPr="00AC347D">
              <w:rPr>
                <w:sz w:val="22"/>
                <w:szCs w:val="22"/>
                <w:vertAlign w:val="superscript"/>
                <w:lang w:val="da-DK"/>
              </w:rPr>
              <w:t>g</w:t>
            </w:r>
          </w:p>
        </w:tc>
      </w:tr>
      <w:tr w:rsidR="00355DFD" w:rsidRPr="00AC347D" w14:paraId="0D1C63C4" w14:textId="77777777" w:rsidTr="00AC347D">
        <w:tc>
          <w:tcPr>
            <w:tcW w:w="1480" w:type="pct"/>
            <w:tcBorders>
              <w:top w:val="single" w:sz="4" w:space="0" w:color="auto"/>
              <w:left w:val="single" w:sz="4" w:space="0" w:color="auto"/>
              <w:bottom w:val="single" w:sz="4" w:space="0" w:color="auto"/>
              <w:right w:val="single" w:sz="4" w:space="0" w:color="auto"/>
            </w:tcBorders>
            <w:hideMark/>
          </w:tcPr>
          <w:p w14:paraId="3352DC39" w14:textId="77777777" w:rsidR="00355DFD" w:rsidRPr="00AC347D" w:rsidRDefault="00355DFD">
            <w:pPr>
              <w:suppressAutoHyphens/>
              <w:rPr>
                <w:b/>
                <w:bCs/>
                <w:sz w:val="22"/>
                <w:szCs w:val="22"/>
                <w:lang w:val="da-DK"/>
              </w:rPr>
            </w:pPr>
            <w:r w:rsidRPr="00AC347D">
              <w:rPr>
                <w:b/>
                <w:bCs/>
                <w:sz w:val="22"/>
                <w:szCs w:val="22"/>
                <w:lang w:val="da-DK"/>
              </w:rPr>
              <w:t xml:space="preserve">Tidligere </w:t>
            </w:r>
            <w:proofErr w:type="spellStart"/>
            <w:r w:rsidRPr="00AC347D">
              <w:rPr>
                <w:b/>
                <w:bCs/>
                <w:sz w:val="22"/>
                <w:szCs w:val="22"/>
                <w:lang w:val="da-DK"/>
              </w:rPr>
              <w:t>sunitinib</w:t>
            </w:r>
            <w:proofErr w:type="spellEnd"/>
            <w:r w:rsidRPr="00AC347D">
              <w:rPr>
                <w:b/>
                <w:bCs/>
                <w:sz w:val="22"/>
                <w:szCs w:val="22"/>
                <w:lang w:val="da-DK"/>
              </w:rPr>
              <w:t xml:space="preserve"> behandling</w:t>
            </w:r>
          </w:p>
        </w:tc>
        <w:tc>
          <w:tcPr>
            <w:tcW w:w="935" w:type="pct"/>
            <w:tcBorders>
              <w:top w:val="single" w:sz="4" w:space="0" w:color="auto"/>
              <w:left w:val="single" w:sz="4" w:space="0" w:color="auto"/>
              <w:bottom w:val="single" w:sz="4" w:space="0" w:color="auto"/>
              <w:right w:val="single" w:sz="4" w:space="0" w:color="auto"/>
            </w:tcBorders>
            <w:hideMark/>
          </w:tcPr>
          <w:p w14:paraId="0CD738F2" w14:textId="77777777" w:rsidR="00355DFD" w:rsidRPr="00AC347D" w:rsidRDefault="00355DFD">
            <w:pPr>
              <w:suppressAutoHyphens/>
              <w:jc w:val="center"/>
              <w:rPr>
                <w:b/>
                <w:bCs/>
                <w:sz w:val="22"/>
                <w:szCs w:val="22"/>
                <w:lang w:val="da-DK"/>
              </w:rPr>
            </w:pPr>
            <w:r w:rsidRPr="00AC347D">
              <w:rPr>
                <w:b/>
                <w:bCs/>
                <w:sz w:val="22"/>
                <w:szCs w:val="22"/>
                <w:lang w:val="da-DK"/>
              </w:rPr>
              <w:t>N = 194</w:t>
            </w:r>
          </w:p>
        </w:tc>
        <w:tc>
          <w:tcPr>
            <w:tcW w:w="1024" w:type="pct"/>
            <w:tcBorders>
              <w:top w:val="single" w:sz="4" w:space="0" w:color="auto"/>
              <w:left w:val="single" w:sz="4" w:space="0" w:color="auto"/>
              <w:bottom w:val="single" w:sz="4" w:space="0" w:color="auto"/>
              <w:right w:val="single" w:sz="4" w:space="0" w:color="auto"/>
            </w:tcBorders>
            <w:hideMark/>
          </w:tcPr>
          <w:p w14:paraId="37B06545" w14:textId="77777777" w:rsidR="00355DFD" w:rsidRPr="00AC347D" w:rsidRDefault="00355DFD">
            <w:pPr>
              <w:suppressAutoHyphens/>
              <w:jc w:val="center"/>
              <w:rPr>
                <w:b/>
                <w:bCs/>
                <w:sz w:val="22"/>
                <w:szCs w:val="22"/>
                <w:lang w:val="da-DK"/>
              </w:rPr>
            </w:pPr>
            <w:r w:rsidRPr="00AC347D">
              <w:rPr>
                <w:b/>
                <w:bCs/>
                <w:sz w:val="22"/>
                <w:szCs w:val="22"/>
                <w:lang w:val="da-DK"/>
              </w:rPr>
              <w:t>N = 195</w:t>
            </w:r>
          </w:p>
        </w:tc>
        <w:tc>
          <w:tcPr>
            <w:tcW w:w="1000" w:type="pct"/>
            <w:tcBorders>
              <w:top w:val="single" w:sz="4" w:space="0" w:color="auto"/>
              <w:left w:val="single" w:sz="4" w:space="0" w:color="auto"/>
              <w:bottom w:val="single" w:sz="4" w:space="0" w:color="auto"/>
              <w:right w:val="single" w:sz="4" w:space="0" w:color="auto"/>
            </w:tcBorders>
          </w:tcPr>
          <w:p w14:paraId="0529DB3E" w14:textId="77777777" w:rsidR="00355DFD" w:rsidRPr="00AC347D" w:rsidRDefault="00355DFD">
            <w:pPr>
              <w:suppressAutoHyphens/>
              <w:jc w:val="center"/>
              <w:rPr>
                <w:b/>
                <w:bCs/>
                <w:sz w:val="22"/>
                <w:szCs w:val="22"/>
                <w:lang w:val="da-DK"/>
              </w:rPr>
            </w:pPr>
          </w:p>
        </w:tc>
        <w:tc>
          <w:tcPr>
            <w:tcW w:w="561" w:type="pct"/>
            <w:tcBorders>
              <w:top w:val="single" w:sz="4" w:space="0" w:color="auto"/>
              <w:left w:val="single" w:sz="4" w:space="0" w:color="auto"/>
              <w:bottom w:val="single" w:sz="4" w:space="0" w:color="auto"/>
              <w:right w:val="single" w:sz="4" w:space="0" w:color="auto"/>
            </w:tcBorders>
          </w:tcPr>
          <w:p w14:paraId="31CC7E77" w14:textId="77777777" w:rsidR="00355DFD" w:rsidRPr="00AC347D" w:rsidRDefault="00355DFD">
            <w:pPr>
              <w:suppressAutoHyphens/>
              <w:jc w:val="center"/>
              <w:rPr>
                <w:b/>
                <w:bCs/>
                <w:sz w:val="22"/>
                <w:szCs w:val="22"/>
                <w:lang w:val="da-DK"/>
              </w:rPr>
            </w:pPr>
          </w:p>
        </w:tc>
      </w:tr>
      <w:tr w:rsidR="00355DFD" w:rsidRPr="00AC347D" w14:paraId="65414CA5" w14:textId="77777777" w:rsidTr="00AC347D">
        <w:tc>
          <w:tcPr>
            <w:tcW w:w="1480" w:type="pct"/>
            <w:tcBorders>
              <w:top w:val="single" w:sz="4" w:space="0" w:color="auto"/>
              <w:left w:val="single" w:sz="4" w:space="0" w:color="auto"/>
              <w:bottom w:val="nil"/>
              <w:right w:val="single" w:sz="4" w:space="0" w:color="auto"/>
            </w:tcBorders>
            <w:hideMark/>
          </w:tcPr>
          <w:p w14:paraId="152C0317" w14:textId="77777777" w:rsidR="00355DFD" w:rsidRPr="00AC347D" w:rsidRDefault="00355DFD">
            <w:pPr>
              <w:suppressAutoHyphens/>
              <w:rPr>
                <w:sz w:val="22"/>
                <w:szCs w:val="22"/>
                <w:lang w:val="da-DK"/>
              </w:rPr>
            </w:pPr>
            <w:r w:rsidRPr="00AC347D">
              <w:rPr>
                <w:sz w:val="22"/>
                <w:szCs w:val="22"/>
                <w:lang w:val="da-DK"/>
              </w:rPr>
              <w:t xml:space="preserve">Median </w:t>
            </w:r>
            <w:proofErr w:type="spellStart"/>
            <w:proofErr w:type="gramStart"/>
            <w:r w:rsidRPr="00AC347D">
              <w:rPr>
                <w:sz w:val="22"/>
                <w:szCs w:val="22"/>
                <w:lang w:val="da-DK"/>
              </w:rPr>
              <w:t>PFS</w:t>
            </w:r>
            <w:r w:rsidRPr="00AC347D">
              <w:rPr>
                <w:sz w:val="22"/>
                <w:szCs w:val="22"/>
                <w:vertAlign w:val="superscript"/>
                <w:lang w:val="da-DK"/>
              </w:rPr>
              <w:t>a,b</w:t>
            </w:r>
            <w:proofErr w:type="spellEnd"/>
            <w:proofErr w:type="gramEnd"/>
            <w:r w:rsidRPr="00AC347D">
              <w:rPr>
                <w:sz w:val="22"/>
                <w:szCs w:val="22"/>
                <w:vertAlign w:val="superscript"/>
                <w:lang w:val="da-DK"/>
              </w:rPr>
              <w:t xml:space="preserve"> </w:t>
            </w:r>
            <w:r w:rsidRPr="00AC347D">
              <w:rPr>
                <w:sz w:val="22"/>
                <w:szCs w:val="22"/>
                <w:lang w:val="da-DK"/>
              </w:rPr>
              <w:t>i måneder</w:t>
            </w:r>
          </w:p>
          <w:p w14:paraId="547F3543" w14:textId="551F7331" w:rsidR="00355DFD" w:rsidRPr="00AC347D" w:rsidRDefault="00355DFD">
            <w:pPr>
              <w:suppressAutoHyphens/>
              <w:rPr>
                <w:sz w:val="22"/>
                <w:szCs w:val="22"/>
                <w:lang w:val="da-DK"/>
              </w:rPr>
            </w:pPr>
            <w:r w:rsidRPr="00AC347D">
              <w:rPr>
                <w:sz w:val="22"/>
                <w:szCs w:val="22"/>
                <w:lang w:val="da-DK"/>
              </w:rPr>
              <w:lastRenderedPageBreak/>
              <w:t>(95</w:t>
            </w:r>
            <w:r w:rsidR="00E84059">
              <w:rPr>
                <w:sz w:val="22"/>
                <w:szCs w:val="22"/>
                <w:lang w:val="da-DK"/>
              </w:rPr>
              <w:t xml:space="preserve"> %</w:t>
            </w:r>
            <w:r w:rsidRPr="00AC347D">
              <w:rPr>
                <w:sz w:val="22"/>
                <w:szCs w:val="22"/>
                <w:lang w:val="da-DK"/>
              </w:rPr>
              <w:t xml:space="preserve"> CI)</w:t>
            </w:r>
          </w:p>
        </w:tc>
        <w:tc>
          <w:tcPr>
            <w:tcW w:w="935" w:type="pct"/>
            <w:tcBorders>
              <w:top w:val="single" w:sz="4" w:space="0" w:color="auto"/>
              <w:left w:val="single" w:sz="4" w:space="0" w:color="auto"/>
              <w:bottom w:val="nil"/>
              <w:right w:val="single" w:sz="4" w:space="0" w:color="auto"/>
            </w:tcBorders>
            <w:hideMark/>
          </w:tcPr>
          <w:p w14:paraId="2F2B361D" w14:textId="77777777" w:rsidR="00355DFD" w:rsidRPr="00AC347D" w:rsidRDefault="00355DFD">
            <w:pPr>
              <w:suppressAutoHyphens/>
              <w:jc w:val="center"/>
              <w:rPr>
                <w:sz w:val="22"/>
                <w:szCs w:val="22"/>
                <w:lang w:val="da-DK"/>
              </w:rPr>
            </w:pPr>
            <w:r w:rsidRPr="00AC347D">
              <w:rPr>
                <w:sz w:val="22"/>
                <w:szCs w:val="22"/>
                <w:lang w:val="da-DK"/>
              </w:rPr>
              <w:lastRenderedPageBreak/>
              <w:t>4,8 (4,5-6,5)</w:t>
            </w:r>
          </w:p>
        </w:tc>
        <w:tc>
          <w:tcPr>
            <w:tcW w:w="1024" w:type="pct"/>
            <w:tcBorders>
              <w:top w:val="single" w:sz="4" w:space="0" w:color="auto"/>
              <w:left w:val="single" w:sz="4" w:space="0" w:color="auto"/>
              <w:bottom w:val="nil"/>
              <w:right w:val="single" w:sz="4" w:space="0" w:color="auto"/>
            </w:tcBorders>
            <w:hideMark/>
          </w:tcPr>
          <w:p w14:paraId="27C7CA28" w14:textId="77777777" w:rsidR="00355DFD" w:rsidRPr="00AC347D" w:rsidRDefault="00355DFD">
            <w:pPr>
              <w:suppressAutoHyphens/>
              <w:jc w:val="center"/>
              <w:rPr>
                <w:sz w:val="22"/>
                <w:szCs w:val="22"/>
                <w:lang w:val="da-DK"/>
              </w:rPr>
            </w:pPr>
            <w:r w:rsidRPr="00AC347D">
              <w:rPr>
                <w:sz w:val="22"/>
                <w:szCs w:val="22"/>
                <w:lang w:val="da-DK"/>
              </w:rPr>
              <w:t>3,4 (2,8-4,7)</w:t>
            </w:r>
          </w:p>
        </w:tc>
        <w:tc>
          <w:tcPr>
            <w:tcW w:w="1000" w:type="pct"/>
            <w:tcBorders>
              <w:top w:val="single" w:sz="4" w:space="0" w:color="auto"/>
              <w:left w:val="single" w:sz="4" w:space="0" w:color="auto"/>
              <w:bottom w:val="nil"/>
              <w:right w:val="single" w:sz="4" w:space="0" w:color="auto"/>
            </w:tcBorders>
            <w:hideMark/>
          </w:tcPr>
          <w:p w14:paraId="36A32F48" w14:textId="77777777" w:rsidR="00355DFD" w:rsidRPr="00AC347D" w:rsidRDefault="00355DFD">
            <w:pPr>
              <w:suppressAutoHyphens/>
              <w:jc w:val="center"/>
              <w:rPr>
                <w:sz w:val="22"/>
                <w:szCs w:val="22"/>
                <w:lang w:val="da-DK"/>
              </w:rPr>
            </w:pPr>
            <w:r w:rsidRPr="00AC347D">
              <w:rPr>
                <w:sz w:val="22"/>
                <w:szCs w:val="22"/>
                <w:lang w:val="da-DK"/>
              </w:rPr>
              <w:t>0,74 (0,58-0,94)</w:t>
            </w:r>
          </w:p>
        </w:tc>
        <w:tc>
          <w:tcPr>
            <w:tcW w:w="561" w:type="pct"/>
            <w:tcBorders>
              <w:top w:val="single" w:sz="4" w:space="0" w:color="auto"/>
              <w:left w:val="single" w:sz="4" w:space="0" w:color="auto"/>
              <w:bottom w:val="nil"/>
              <w:right w:val="single" w:sz="4" w:space="0" w:color="auto"/>
            </w:tcBorders>
            <w:hideMark/>
          </w:tcPr>
          <w:p w14:paraId="2D59B353" w14:textId="77777777" w:rsidR="00355DFD" w:rsidRPr="00AC347D" w:rsidRDefault="00355DFD">
            <w:pPr>
              <w:suppressAutoHyphens/>
              <w:jc w:val="center"/>
              <w:rPr>
                <w:sz w:val="22"/>
                <w:szCs w:val="22"/>
                <w:lang w:val="da-DK"/>
              </w:rPr>
            </w:pPr>
            <w:r w:rsidRPr="00AC347D">
              <w:rPr>
                <w:sz w:val="22"/>
                <w:szCs w:val="22"/>
                <w:lang w:val="da-DK"/>
              </w:rPr>
              <w:t>0,0063</w:t>
            </w:r>
            <w:r w:rsidRPr="00AC347D">
              <w:rPr>
                <w:sz w:val="22"/>
                <w:szCs w:val="22"/>
                <w:vertAlign w:val="superscript"/>
                <w:lang w:val="da-DK"/>
              </w:rPr>
              <w:t>h</w:t>
            </w:r>
          </w:p>
        </w:tc>
      </w:tr>
      <w:tr w:rsidR="00355DFD" w:rsidRPr="00AC347D" w14:paraId="0255B293" w14:textId="77777777" w:rsidTr="00AC347D">
        <w:tc>
          <w:tcPr>
            <w:tcW w:w="1480" w:type="pct"/>
            <w:tcBorders>
              <w:top w:val="nil"/>
              <w:left w:val="single" w:sz="4" w:space="0" w:color="auto"/>
              <w:bottom w:val="nil"/>
              <w:right w:val="single" w:sz="4" w:space="0" w:color="auto"/>
            </w:tcBorders>
            <w:hideMark/>
          </w:tcPr>
          <w:p w14:paraId="15263973" w14:textId="77777777" w:rsidR="00355DFD" w:rsidRPr="00AC347D" w:rsidRDefault="00355DFD">
            <w:pPr>
              <w:suppressAutoHyphens/>
              <w:rPr>
                <w:sz w:val="22"/>
                <w:szCs w:val="22"/>
                <w:lang w:val="da-DK"/>
              </w:rPr>
            </w:pPr>
            <w:r w:rsidRPr="00AC347D">
              <w:rPr>
                <w:sz w:val="22"/>
                <w:szCs w:val="22"/>
                <w:lang w:val="da-DK"/>
              </w:rPr>
              <w:t xml:space="preserve">Median </w:t>
            </w:r>
            <w:proofErr w:type="spellStart"/>
            <w:r w:rsidRPr="00AC347D">
              <w:rPr>
                <w:sz w:val="22"/>
                <w:szCs w:val="22"/>
                <w:lang w:val="da-DK"/>
              </w:rPr>
              <w:t>OS</w:t>
            </w:r>
            <w:r w:rsidRPr="00AC347D">
              <w:rPr>
                <w:sz w:val="22"/>
                <w:szCs w:val="22"/>
                <w:vertAlign w:val="superscript"/>
                <w:lang w:val="da-DK"/>
              </w:rPr>
              <w:t>d</w:t>
            </w:r>
            <w:proofErr w:type="spellEnd"/>
            <w:r w:rsidRPr="00AC347D">
              <w:rPr>
                <w:sz w:val="22"/>
                <w:szCs w:val="22"/>
                <w:lang w:val="da-DK"/>
              </w:rPr>
              <w:t xml:space="preserve"> i måneder</w:t>
            </w:r>
          </w:p>
          <w:p w14:paraId="7676ACA4" w14:textId="4E8418C8" w:rsidR="00355DFD" w:rsidRPr="00AC347D" w:rsidRDefault="00355DFD">
            <w:pPr>
              <w:suppressAutoHyphens/>
              <w:rPr>
                <w:sz w:val="22"/>
                <w:szCs w:val="22"/>
                <w:lang w:val="da-DK"/>
              </w:rPr>
            </w:pPr>
            <w:r w:rsidRPr="00AC347D">
              <w:rPr>
                <w:sz w:val="22"/>
                <w:szCs w:val="22"/>
                <w:lang w:val="da-DK"/>
              </w:rPr>
              <w:t>(95</w:t>
            </w:r>
            <w:r w:rsidR="00E84059">
              <w:rPr>
                <w:sz w:val="22"/>
                <w:szCs w:val="22"/>
                <w:lang w:val="da-DK"/>
              </w:rPr>
              <w:t xml:space="preserve"> %</w:t>
            </w:r>
            <w:r w:rsidRPr="00AC347D">
              <w:rPr>
                <w:sz w:val="22"/>
                <w:szCs w:val="22"/>
                <w:lang w:val="da-DK"/>
              </w:rPr>
              <w:t xml:space="preserve"> CI)</w:t>
            </w:r>
          </w:p>
        </w:tc>
        <w:tc>
          <w:tcPr>
            <w:tcW w:w="935" w:type="pct"/>
            <w:tcBorders>
              <w:top w:val="nil"/>
              <w:left w:val="single" w:sz="4" w:space="0" w:color="auto"/>
              <w:bottom w:val="nil"/>
              <w:right w:val="single" w:sz="4" w:space="0" w:color="auto"/>
            </w:tcBorders>
            <w:hideMark/>
          </w:tcPr>
          <w:p w14:paraId="41CA14CD" w14:textId="77777777" w:rsidR="00355DFD" w:rsidRPr="00AC347D" w:rsidRDefault="00355DFD">
            <w:pPr>
              <w:suppressAutoHyphens/>
              <w:jc w:val="center"/>
              <w:rPr>
                <w:sz w:val="22"/>
                <w:szCs w:val="22"/>
                <w:lang w:val="da-DK"/>
              </w:rPr>
            </w:pPr>
            <w:r w:rsidRPr="00AC347D">
              <w:rPr>
                <w:sz w:val="22"/>
                <w:szCs w:val="22"/>
                <w:lang w:val="da-DK"/>
              </w:rPr>
              <w:t>15,5 (12,8-18,3)</w:t>
            </w:r>
          </w:p>
        </w:tc>
        <w:tc>
          <w:tcPr>
            <w:tcW w:w="1024" w:type="pct"/>
            <w:tcBorders>
              <w:top w:val="nil"/>
              <w:left w:val="single" w:sz="4" w:space="0" w:color="auto"/>
              <w:bottom w:val="nil"/>
              <w:right w:val="single" w:sz="4" w:space="0" w:color="auto"/>
            </w:tcBorders>
            <w:hideMark/>
          </w:tcPr>
          <w:p w14:paraId="008CD4D1" w14:textId="77777777" w:rsidR="00355DFD" w:rsidRPr="00AC347D" w:rsidRDefault="00355DFD">
            <w:pPr>
              <w:suppressAutoHyphens/>
              <w:jc w:val="center"/>
              <w:rPr>
                <w:sz w:val="22"/>
                <w:szCs w:val="22"/>
                <w:lang w:val="da-DK"/>
              </w:rPr>
            </w:pPr>
            <w:r w:rsidRPr="00AC347D">
              <w:rPr>
                <w:sz w:val="22"/>
                <w:szCs w:val="22"/>
                <w:lang w:val="da-DK"/>
              </w:rPr>
              <w:t>16,5 (13,7-19,2)</w:t>
            </w:r>
          </w:p>
        </w:tc>
        <w:tc>
          <w:tcPr>
            <w:tcW w:w="1000" w:type="pct"/>
            <w:tcBorders>
              <w:top w:val="nil"/>
              <w:left w:val="single" w:sz="4" w:space="0" w:color="auto"/>
              <w:bottom w:val="nil"/>
              <w:right w:val="single" w:sz="4" w:space="0" w:color="auto"/>
            </w:tcBorders>
            <w:hideMark/>
          </w:tcPr>
          <w:p w14:paraId="35CD0F52" w14:textId="77777777" w:rsidR="00355DFD" w:rsidRPr="00AC347D" w:rsidRDefault="00355DFD">
            <w:pPr>
              <w:suppressAutoHyphens/>
              <w:jc w:val="center"/>
              <w:rPr>
                <w:sz w:val="22"/>
                <w:szCs w:val="22"/>
                <w:lang w:val="da-DK"/>
              </w:rPr>
            </w:pPr>
            <w:r w:rsidRPr="00AC347D">
              <w:rPr>
                <w:sz w:val="22"/>
                <w:szCs w:val="22"/>
                <w:lang w:val="da-DK"/>
              </w:rPr>
              <w:t>1,00 (0,78-1,27)</w:t>
            </w:r>
          </w:p>
        </w:tc>
        <w:tc>
          <w:tcPr>
            <w:tcW w:w="561" w:type="pct"/>
            <w:tcBorders>
              <w:top w:val="nil"/>
              <w:left w:val="single" w:sz="4" w:space="0" w:color="auto"/>
              <w:bottom w:val="nil"/>
              <w:right w:val="single" w:sz="4" w:space="0" w:color="auto"/>
            </w:tcBorders>
            <w:hideMark/>
          </w:tcPr>
          <w:p w14:paraId="16D19BE1" w14:textId="77777777" w:rsidR="00355DFD" w:rsidRPr="00AC347D" w:rsidRDefault="00355DFD">
            <w:pPr>
              <w:suppressAutoHyphens/>
              <w:jc w:val="center"/>
              <w:rPr>
                <w:sz w:val="22"/>
                <w:szCs w:val="22"/>
                <w:lang w:val="da-DK"/>
              </w:rPr>
            </w:pPr>
            <w:r w:rsidRPr="00AC347D">
              <w:rPr>
                <w:sz w:val="22"/>
                <w:szCs w:val="22"/>
                <w:lang w:val="da-DK"/>
              </w:rPr>
              <w:t>IS</w:t>
            </w:r>
          </w:p>
        </w:tc>
      </w:tr>
      <w:tr w:rsidR="00355DFD" w:rsidRPr="00AC347D" w14:paraId="0A518631" w14:textId="77777777" w:rsidTr="00AC347D">
        <w:tc>
          <w:tcPr>
            <w:tcW w:w="1480" w:type="pct"/>
            <w:tcBorders>
              <w:top w:val="nil"/>
              <w:left w:val="single" w:sz="4" w:space="0" w:color="auto"/>
              <w:bottom w:val="single" w:sz="4" w:space="0" w:color="auto"/>
              <w:right w:val="single" w:sz="4" w:space="0" w:color="auto"/>
            </w:tcBorders>
            <w:hideMark/>
          </w:tcPr>
          <w:p w14:paraId="2CB06ED8" w14:textId="41479640" w:rsidR="00355DFD" w:rsidRPr="00AC347D" w:rsidRDefault="00355DFD">
            <w:pPr>
              <w:suppressAutoHyphens/>
              <w:rPr>
                <w:sz w:val="22"/>
                <w:szCs w:val="22"/>
                <w:lang w:val="da-DK"/>
              </w:rPr>
            </w:pPr>
            <w:proofErr w:type="spellStart"/>
            <w:proofErr w:type="gramStart"/>
            <w:r w:rsidRPr="00AC347D">
              <w:rPr>
                <w:sz w:val="22"/>
                <w:szCs w:val="22"/>
                <w:lang w:val="da-DK"/>
              </w:rPr>
              <w:t>ORR</w:t>
            </w:r>
            <w:r w:rsidRPr="00AC347D">
              <w:rPr>
                <w:sz w:val="22"/>
                <w:szCs w:val="22"/>
                <w:vertAlign w:val="superscript"/>
                <w:lang w:val="da-DK"/>
              </w:rPr>
              <w:t>b,e</w:t>
            </w:r>
            <w:proofErr w:type="spellEnd"/>
            <w:proofErr w:type="gramEnd"/>
            <w:r w:rsidR="00E84059">
              <w:rPr>
                <w:sz w:val="22"/>
                <w:szCs w:val="22"/>
                <w:vertAlign w:val="superscript"/>
                <w:lang w:val="da-DK"/>
              </w:rPr>
              <w:t xml:space="preserve"> %</w:t>
            </w:r>
            <w:r w:rsidRPr="00AC347D">
              <w:rPr>
                <w:sz w:val="22"/>
                <w:szCs w:val="22"/>
                <w:lang w:val="da-DK"/>
              </w:rPr>
              <w:t xml:space="preserve"> (95</w:t>
            </w:r>
            <w:r w:rsidR="00E84059">
              <w:rPr>
                <w:sz w:val="22"/>
                <w:szCs w:val="22"/>
                <w:lang w:val="da-DK"/>
              </w:rPr>
              <w:t xml:space="preserve"> %</w:t>
            </w:r>
            <w:r w:rsidRPr="00AC347D">
              <w:rPr>
                <w:sz w:val="22"/>
                <w:szCs w:val="22"/>
                <w:lang w:val="da-DK"/>
              </w:rPr>
              <w:t xml:space="preserve"> CI)</w:t>
            </w:r>
          </w:p>
        </w:tc>
        <w:tc>
          <w:tcPr>
            <w:tcW w:w="935" w:type="pct"/>
            <w:tcBorders>
              <w:top w:val="nil"/>
              <w:left w:val="single" w:sz="4" w:space="0" w:color="auto"/>
              <w:bottom w:val="single" w:sz="4" w:space="0" w:color="auto"/>
              <w:right w:val="single" w:sz="4" w:space="0" w:color="auto"/>
            </w:tcBorders>
            <w:hideMark/>
          </w:tcPr>
          <w:p w14:paraId="07992C37" w14:textId="77777777" w:rsidR="00355DFD" w:rsidRPr="00AC347D" w:rsidRDefault="00355DFD">
            <w:pPr>
              <w:suppressAutoHyphens/>
              <w:jc w:val="center"/>
              <w:rPr>
                <w:sz w:val="22"/>
                <w:szCs w:val="22"/>
                <w:lang w:val="da-DK"/>
              </w:rPr>
            </w:pPr>
            <w:r w:rsidRPr="00AC347D">
              <w:rPr>
                <w:sz w:val="22"/>
                <w:szCs w:val="22"/>
                <w:lang w:val="da-DK"/>
              </w:rPr>
              <w:t>11,3 (7,2-16,7)</w:t>
            </w:r>
          </w:p>
        </w:tc>
        <w:tc>
          <w:tcPr>
            <w:tcW w:w="1024" w:type="pct"/>
            <w:tcBorders>
              <w:top w:val="nil"/>
              <w:left w:val="single" w:sz="4" w:space="0" w:color="auto"/>
              <w:bottom w:val="single" w:sz="4" w:space="0" w:color="auto"/>
              <w:right w:val="single" w:sz="4" w:space="0" w:color="auto"/>
            </w:tcBorders>
            <w:hideMark/>
          </w:tcPr>
          <w:p w14:paraId="1A41F8FF" w14:textId="77777777" w:rsidR="00355DFD" w:rsidRPr="00AC347D" w:rsidRDefault="00355DFD">
            <w:pPr>
              <w:suppressAutoHyphens/>
              <w:jc w:val="center"/>
              <w:rPr>
                <w:sz w:val="22"/>
                <w:szCs w:val="22"/>
                <w:lang w:val="da-DK"/>
              </w:rPr>
            </w:pPr>
            <w:r w:rsidRPr="00AC347D">
              <w:rPr>
                <w:sz w:val="22"/>
                <w:szCs w:val="22"/>
                <w:lang w:val="da-DK"/>
              </w:rPr>
              <w:t>7,7 (4,4-12,4)</w:t>
            </w:r>
          </w:p>
        </w:tc>
        <w:tc>
          <w:tcPr>
            <w:tcW w:w="1000" w:type="pct"/>
            <w:tcBorders>
              <w:top w:val="nil"/>
              <w:left w:val="single" w:sz="4" w:space="0" w:color="auto"/>
              <w:bottom w:val="single" w:sz="4" w:space="0" w:color="auto"/>
              <w:right w:val="single" w:sz="4" w:space="0" w:color="auto"/>
            </w:tcBorders>
            <w:hideMark/>
          </w:tcPr>
          <w:p w14:paraId="6FFA1F42" w14:textId="77777777" w:rsidR="00355DFD" w:rsidRPr="00AC347D" w:rsidRDefault="00355DFD">
            <w:pPr>
              <w:suppressAutoHyphens/>
              <w:jc w:val="center"/>
              <w:rPr>
                <w:sz w:val="22"/>
                <w:szCs w:val="22"/>
                <w:lang w:val="da-DK"/>
              </w:rPr>
            </w:pPr>
            <w:r w:rsidRPr="00AC347D">
              <w:rPr>
                <w:sz w:val="22"/>
                <w:szCs w:val="22"/>
                <w:lang w:val="da-DK"/>
              </w:rPr>
              <w:t>1,48</w:t>
            </w:r>
            <w:r w:rsidRPr="00AC347D">
              <w:rPr>
                <w:sz w:val="22"/>
                <w:szCs w:val="22"/>
                <w:vertAlign w:val="superscript"/>
                <w:lang w:val="da-DK"/>
              </w:rPr>
              <w:t xml:space="preserve">f </w:t>
            </w:r>
            <w:r w:rsidRPr="00AC347D">
              <w:rPr>
                <w:sz w:val="22"/>
                <w:szCs w:val="22"/>
                <w:lang w:val="da-DK"/>
              </w:rPr>
              <w:t>(0,75-2,75)</w:t>
            </w:r>
          </w:p>
        </w:tc>
        <w:tc>
          <w:tcPr>
            <w:tcW w:w="561" w:type="pct"/>
            <w:tcBorders>
              <w:top w:val="nil"/>
              <w:left w:val="single" w:sz="4" w:space="0" w:color="auto"/>
              <w:bottom w:val="single" w:sz="4" w:space="0" w:color="auto"/>
              <w:right w:val="single" w:sz="4" w:space="0" w:color="auto"/>
            </w:tcBorders>
            <w:hideMark/>
          </w:tcPr>
          <w:p w14:paraId="698E11E6" w14:textId="77777777" w:rsidR="00355DFD" w:rsidRPr="00AC347D" w:rsidRDefault="00355DFD">
            <w:pPr>
              <w:suppressAutoHyphens/>
              <w:jc w:val="center"/>
              <w:rPr>
                <w:sz w:val="22"/>
                <w:szCs w:val="22"/>
                <w:lang w:val="da-DK"/>
              </w:rPr>
            </w:pPr>
            <w:r w:rsidRPr="00AC347D">
              <w:rPr>
                <w:sz w:val="22"/>
                <w:szCs w:val="22"/>
                <w:lang w:val="da-DK"/>
              </w:rPr>
              <w:t>IS</w:t>
            </w:r>
          </w:p>
        </w:tc>
      </w:tr>
      <w:tr w:rsidR="00355DFD" w:rsidRPr="00AC347D" w14:paraId="0EADD074" w14:textId="77777777" w:rsidTr="00AC347D">
        <w:tc>
          <w:tcPr>
            <w:tcW w:w="1480" w:type="pct"/>
            <w:tcBorders>
              <w:top w:val="single" w:sz="4" w:space="0" w:color="auto"/>
              <w:left w:val="single" w:sz="4" w:space="0" w:color="auto"/>
              <w:bottom w:val="single" w:sz="4" w:space="0" w:color="auto"/>
              <w:right w:val="single" w:sz="4" w:space="0" w:color="auto"/>
            </w:tcBorders>
            <w:hideMark/>
          </w:tcPr>
          <w:p w14:paraId="7495ACE9" w14:textId="77777777" w:rsidR="00355DFD" w:rsidRPr="00AC347D" w:rsidRDefault="00355DFD">
            <w:pPr>
              <w:suppressAutoHyphens/>
              <w:rPr>
                <w:b/>
                <w:bCs/>
                <w:sz w:val="22"/>
                <w:szCs w:val="22"/>
                <w:lang w:val="da-DK"/>
              </w:rPr>
            </w:pPr>
            <w:r w:rsidRPr="00AC347D">
              <w:rPr>
                <w:b/>
                <w:bCs/>
                <w:sz w:val="22"/>
                <w:szCs w:val="22"/>
                <w:lang w:val="da-DK"/>
              </w:rPr>
              <w:t>Tidligere cytokinbehandling</w:t>
            </w:r>
          </w:p>
        </w:tc>
        <w:tc>
          <w:tcPr>
            <w:tcW w:w="935" w:type="pct"/>
            <w:tcBorders>
              <w:top w:val="single" w:sz="4" w:space="0" w:color="auto"/>
              <w:left w:val="single" w:sz="4" w:space="0" w:color="auto"/>
              <w:bottom w:val="single" w:sz="4" w:space="0" w:color="auto"/>
              <w:right w:val="single" w:sz="4" w:space="0" w:color="auto"/>
            </w:tcBorders>
            <w:hideMark/>
          </w:tcPr>
          <w:p w14:paraId="2D175FCE" w14:textId="77777777" w:rsidR="00355DFD" w:rsidRPr="00AC347D" w:rsidRDefault="00355DFD">
            <w:pPr>
              <w:suppressAutoHyphens/>
              <w:jc w:val="center"/>
              <w:rPr>
                <w:b/>
                <w:bCs/>
                <w:sz w:val="22"/>
                <w:szCs w:val="22"/>
                <w:lang w:val="da-DK"/>
              </w:rPr>
            </w:pPr>
            <w:r w:rsidRPr="00AC347D">
              <w:rPr>
                <w:b/>
                <w:bCs/>
                <w:sz w:val="22"/>
                <w:szCs w:val="22"/>
                <w:lang w:val="da-DK"/>
              </w:rPr>
              <w:t>N = 126</w:t>
            </w:r>
          </w:p>
        </w:tc>
        <w:tc>
          <w:tcPr>
            <w:tcW w:w="1024" w:type="pct"/>
            <w:tcBorders>
              <w:top w:val="single" w:sz="4" w:space="0" w:color="auto"/>
              <w:left w:val="single" w:sz="4" w:space="0" w:color="auto"/>
              <w:bottom w:val="single" w:sz="4" w:space="0" w:color="auto"/>
              <w:right w:val="single" w:sz="4" w:space="0" w:color="auto"/>
            </w:tcBorders>
            <w:hideMark/>
          </w:tcPr>
          <w:p w14:paraId="74C330BC" w14:textId="77777777" w:rsidR="00355DFD" w:rsidRPr="00AC347D" w:rsidRDefault="00355DFD">
            <w:pPr>
              <w:suppressAutoHyphens/>
              <w:jc w:val="center"/>
              <w:rPr>
                <w:b/>
                <w:bCs/>
                <w:sz w:val="22"/>
                <w:szCs w:val="22"/>
                <w:lang w:val="da-DK"/>
              </w:rPr>
            </w:pPr>
            <w:r w:rsidRPr="00AC347D">
              <w:rPr>
                <w:b/>
                <w:bCs/>
                <w:sz w:val="22"/>
                <w:szCs w:val="22"/>
                <w:lang w:val="da-DK"/>
              </w:rPr>
              <w:t>N = 125</w:t>
            </w:r>
          </w:p>
        </w:tc>
        <w:tc>
          <w:tcPr>
            <w:tcW w:w="1000" w:type="pct"/>
            <w:tcBorders>
              <w:top w:val="single" w:sz="4" w:space="0" w:color="auto"/>
              <w:left w:val="single" w:sz="4" w:space="0" w:color="auto"/>
              <w:bottom w:val="single" w:sz="4" w:space="0" w:color="auto"/>
              <w:right w:val="single" w:sz="4" w:space="0" w:color="auto"/>
            </w:tcBorders>
          </w:tcPr>
          <w:p w14:paraId="7F318066" w14:textId="77777777" w:rsidR="00355DFD" w:rsidRPr="00AC347D" w:rsidRDefault="00355DFD">
            <w:pPr>
              <w:suppressAutoHyphens/>
              <w:jc w:val="center"/>
              <w:rPr>
                <w:b/>
                <w:bCs/>
                <w:sz w:val="22"/>
                <w:szCs w:val="22"/>
                <w:lang w:val="da-DK"/>
              </w:rPr>
            </w:pPr>
          </w:p>
        </w:tc>
        <w:tc>
          <w:tcPr>
            <w:tcW w:w="561" w:type="pct"/>
            <w:tcBorders>
              <w:top w:val="single" w:sz="4" w:space="0" w:color="auto"/>
              <w:left w:val="single" w:sz="4" w:space="0" w:color="auto"/>
              <w:bottom w:val="single" w:sz="4" w:space="0" w:color="auto"/>
              <w:right w:val="single" w:sz="4" w:space="0" w:color="auto"/>
            </w:tcBorders>
          </w:tcPr>
          <w:p w14:paraId="2917BCAC" w14:textId="77777777" w:rsidR="00355DFD" w:rsidRPr="00AC347D" w:rsidRDefault="00355DFD">
            <w:pPr>
              <w:suppressAutoHyphens/>
              <w:jc w:val="center"/>
              <w:rPr>
                <w:b/>
                <w:bCs/>
                <w:sz w:val="22"/>
                <w:szCs w:val="22"/>
                <w:lang w:val="da-DK"/>
              </w:rPr>
            </w:pPr>
          </w:p>
        </w:tc>
      </w:tr>
      <w:tr w:rsidR="00355DFD" w:rsidRPr="00AC347D" w14:paraId="1BE0A590" w14:textId="77777777" w:rsidTr="00AC347D">
        <w:tc>
          <w:tcPr>
            <w:tcW w:w="1480" w:type="pct"/>
            <w:tcBorders>
              <w:top w:val="single" w:sz="4" w:space="0" w:color="auto"/>
              <w:left w:val="single" w:sz="4" w:space="0" w:color="auto"/>
              <w:bottom w:val="nil"/>
              <w:right w:val="single" w:sz="4" w:space="0" w:color="auto"/>
            </w:tcBorders>
            <w:hideMark/>
          </w:tcPr>
          <w:p w14:paraId="3D22ADEF" w14:textId="77777777" w:rsidR="00355DFD" w:rsidRPr="00AC347D" w:rsidRDefault="00355DFD">
            <w:pPr>
              <w:suppressAutoHyphens/>
              <w:rPr>
                <w:sz w:val="22"/>
                <w:szCs w:val="22"/>
                <w:lang w:val="da-DK"/>
              </w:rPr>
            </w:pPr>
            <w:r w:rsidRPr="00AC347D">
              <w:rPr>
                <w:sz w:val="22"/>
                <w:szCs w:val="22"/>
                <w:lang w:val="da-DK"/>
              </w:rPr>
              <w:t xml:space="preserve">Median </w:t>
            </w:r>
            <w:proofErr w:type="spellStart"/>
            <w:proofErr w:type="gramStart"/>
            <w:r w:rsidRPr="00AC347D">
              <w:rPr>
                <w:sz w:val="22"/>
                <w:szCs w:val="22"/>
                <w:lang w:val="da-DK"/>
              </w:rPr>
              <w:t>PFS</w:t>
            </w:r>
            <w:r w:rsidRPr="00AC347D">
              <w:rPr>
                <w:sz w:val="22"/>
                <w:szCs w:val="22"/>
                <w:vertAlign w:val="superscript"/>
                <w:lang w:val="da-DK"/>
              </w:rPr>
              <w:t>a,b</w:t>
            </w:r>
            <w:proofErr w:type="spellEnd"/>
            <w:proofErr w:type="gramEnd"/>
            <w:r w:rsidRPr="00AC347D">
              <w:rPr>
                <w:sz w:val="22"/>
                <w:szCs w:val="22"/>
                <w:vertAlign w:val="superscript"/>
                <w:lang w:val="da-DK"/>
              </w:rPr>
              <w:t xml:space="preserve"> </w:t>
            </w:r>
            <w:r w:rsidRPr="00AC347D">
              <w:rPr>
                <w:sz w:val="22"/>
                <w:szCs w:val="22"/>
                <w:lang w:val="da-DK"/>
              </w:rPr>
              <w:t>i måneder</w:t>
            </w:r>
          </w:p>
          <w:p w14:paraId="767781B6" w14:textId="1FFDAB2E" w:rsidR="00355DFD" w:rsidRPr="00AC347D" w:rsidRDefault="00355DFD">
            <w:pPr>
              <w:suppressAutoHyphens/>
              <w:rPr>
                <w:sz w:val="22"/>
                <w:szCs w:val="22"/>
                <w:lang w:val="da-DK"/>
              </w:rPr>
            </w:pPr>
            <w:r w:rsidRPr="00AC347D">
              <w:rPr>
                <w:sz w:val="22"/>
                <w:szCs w:val="22"/>
                <w:lang w:val="da-DK"/>
              </w:rPr>
              <w:t>(95</w:t>
            </w:r>
            <w:r w:rsidR="00E84059">
              <w:rPr>
                <w:sz w:val="22"/>
                <w:szCs w:val="22"/>
                <w:lang w:val="da-DK"/>
              </w:rPr>
              <w:t xml:space="preserve"> %</w:t>
            </w:r>
            <w:r w:rsidRPr="00AC347D">
              <w:rPr>
                <w:sz w:val="22"/>
                <w:szCs w:val="22"/>
                <w:lang w:val="da-DK"/>
              </w:rPr>
              <w:t xml:space="preserve"> CI)</w:t>
            </w:r>
          </w:p>
        </w:tc>
        <w:tc>
          <w:tcPr>
            <w:tcW w:w="935" w:type="pct"/>
            <w:tcBorders>
              <w:top w:val="single" w:sz="4" w:space="0" w:color="auto"/>
              <w:left w:val="single" w:sz="4" w:space="0" w:color="auto"/>
              <w:bottom w:val="nil"/>
              <w:right w:val="single" w:sz="4" w:space="0" w:color="auto"/>
            </w:tcBorders>
            <w:hideMark/>
          </w:tcPr>
          <w:p w14:paraId="61B825CA" w14:textId="77777777" w:rsidR="00355DFD" w:rsidRPr="00AC347D" w:rsidRDefault="00355DFD">
            <w:pPr>
              <w:suppressAutoHyphens/>
              <w:jc w:val="center"/>
              <w:rPr>
                <w:sz w:val="22"/>
                <w:szCs w:val="22"/>
                <w:lang w:val="da-DK"/>
              </w:rPr>
            </w:pPr>
            <w:r w:rsidRPr="00AC347D">
              <w:rPr>
                <w:sz w:val="22"/>
                <w:szCs w:val="22"/>
                <w:lang w:val="da-DK"/>
              </w:rPr>
              <w:t>12,0 (10,1-13,9)</w:t>
            </w:r>
          </w:p>
        </w:tc>
        <w:tc>
          <w:tcPr>
            <w:tcW w:w="1024" w:type="pct"/>
            <w:tcBorders>
              <w:top w:val="single" w:sz="4" w:space="0" w:color="auto"/>
              <w:left w:val="single" w:sz="4" w:space="0" w:color="auto"/>
              <w:bottom w:val="nil"/>
              <w:right w:val="single" w:sz="4" w:space="0" w:color="auto"/>
            </w:tcBorders>
            <w:hideMark/>
          </w:tcPr>
          <w:p w14:paraId="708EAE31" w14:textId="77777777" w:rsidR="00355DFD" w:rsidRPr="00AC347D" w:rsidRDefault="00355DFD">
            <w:pPr>
              <w:suppressAutoHyphens/>
              <w:jc w:val="center"/>
              <w:rPr>
                <w:sz w:val="22"/>
                <w:szCs w:val="22"/>
                <w:lang w:val="da-DK"/>
              </w:rPr>
            </w:pPr>
            <w:r w:rsidRPr="00AC347D">
              <w:rPr>
                <w:sz w:val="22"/>
                <w:szCs w:val="22"/>
                <w:lang w:val="da-DK"/>
              </w:rPr>
              <w:t>6,6 (6,4-8,3)</w:t>
            </w:r>
          </w:p>
        </w:tc>
        <w:tc>
          <w:tcPr>
            <w:tcW w:w="1000" w:type="pct"/>
            <w:tcBorders>
              <w:top w:val="single" w:sz="4" w:space="0" w:color="auto"/>
              <w:left w:val="single" w:sz="4" w:space="0" w:color="auto"/>
              <w:bottom w:val="nil"/>
              <w:right w:val="single" w:sz="4" w:space="0" w:color="auto"/>
            </w:tcBorders>
            <w:hideMark/>
          </w:tcPr>
          <w:p w14:paraId="2CBD78A6" w14:textId="77777777" w:rsidR="00355DFD" w:rsidRPr="00AC347D" w:rsidRDefault="00355DFD">
            <w:pPr>
              <w:suppressAutoHyphens/>
              <w:jc w:val="center"/>
              <w:rPr>
                <w:sz w:val="22"/>
                <w:szCs w:val="22"/>
                <w:lang w:val="da-DK"/>
              </w:rPr>
            </w:pPr>
            <w:r w:rsidRPr="00AC347D">
              <w:rPr>
                <w:sz w:val="22"/>
                <w:szCs w:val="22"/>
                <w:lang w:val="da-DK"/>
              </w:rPr>
              <w:t>0,52 (0,35-0,72)</w:t>
            </w:r>
          </w:p>
        </w:tc>
        <w:tc>
          <w:tcPr>
            <w:tcW w:w="561" w:type="pct"/>
            <w:tcBorders>
              <w:top w:val="single" w:sz="4" w:space="0" w:color="auto"/>
              <w:left w:val="single" w:sz="4" w:space="0" w:color="auto"/>
              <w:bottom w:val="nil"/>
              <w:right w:val="single" w:sz="4" w:space="0" w:color="auto"/>
            </w:tcBorders>
            <w:hideMark/>
          </w:tcPr>
          <w:p w14:paraId="7BCA530A" w14:textId="77777777" w:rsidR="00355DFD" w:rsidRPr="00AC347D" w:rsidRDefault="00355DFD">
            <w:pPr>
              <w:suppressAutoHyphens/>
              <w:jc w:val="center"/>
              <w:rPr>
                <w:sz w:val="22"/>
                <w:szCs w:val="22"/>
                <w:lang w:val="da-DK"/>
              </w:rPr>
            </w:pPr>
            <w:r w:rsidRPr="00AC347D">
              <w:rPr>
                <w:sz w:val="22"/>
                <w:szCs w:val="22"/>
                <w:lang w:val="da-DK"/>
              </w:rPr>
              <w:t>&lt;0,0001</w:t>
            </w:r>
            <w:r w:rsidRPr="00AC347D">
              <w:rPr>
                <w:sz w:val="22"/>
                <w:szCs w:val="22"/>
                <w:vertAlign w:val="superscript"/>
                <w:lang w:val="da-DK"/>
              </w:rPr>
              <w:t>h</w:t>
            </w:r>
          </w:p>
        </w:tc>
      </w:tr>
      <w:tr w:rsidR="00355DFD" w:rsidRPr="00AC347D" w14:paraId="21F8EB94" w14:textId="77777777" w:rsidTr="00AC347D">
        <w:tc>
          <w:tcPr>
            <w:tcW w:w="1480" w:type="pct"/>
            <w:tcBorders>
              <w:top w:val="nil"/>
              <w:left w:val="single" w:sz="4" w:space="0" w:color="auto"/>
              <w:bottom w:val="nil"/>
              <w:right w:val="single" w:sz="4" w:space="0" w:color="auto"/>
            </w:tcBorders>
            <w:hideMark/>
          </w:tcPr>
          <w:p w14:paraId="143C53C4" w14:textId="77777777" w:rsidR="00355DFD" w:rsidRPr="00AC347D" w:rsidRDefault="00355DFD">
            <w:pPr>
              <w:suppressAutoHyphens/>
              <w:rPr>
                <w:sz w:val="22"/>
                <w:szCs w:val="22"/>
                <w:lang w:val="da-DK"/>
              </w:rPr>
            </w:pPr>
            <w:r w:rsidRPr="00AC347D">
              <w:rPr>
                <w:sz w:val="22"/>
                <w:szCs w:val="22"/>
                <w:lang w:val="da-DK"/>
              </w:rPr>
              <w:t xml:space="preserve">Median </w:t>
            </w:r>
            <w:proofErr w:type="spellStart"/>
            <w:r w:rsidRPr="00AC347D">
              <w:rPr>
                <w:sz w:val="22"/>
                <w:szCs w:val="22"/>
                <w:lang w:val="da-DK"/>
              </w:rPr>
              <w:t>OS</w:t>
            </w:r>
            <w:r w:rsidRPr="00AC347D">
              <w:rPr>
                <w:sz w:val="22"/>
                <w:szCs w:val="22"/>
                <w:vertAlign w:val="superscript"/>
                <w:lang w:val="da-DK"/>
              </w:rPr>
              <w:t>d</w:t>
            </w:r>
            <w:proofErr w:type="spellEnd"/>
            <w:r w:rsidRPr="00AC347D">
              <w:rPr>
                <w:sz w:val="22"/>
                <w:szCs w:val="22"/>
                <w:lang w:val="da-DK"/>
              </w:rPr>
              <w:t xml:space="preserve"> i måneder</w:t>
            </w:r>
          </w:p>
          <w:p w14:paraId="6966407F" w14:textId="5523B2FD" w:rsidR="00355DFD" w:rsidRPr="00AC347D" w:rsidRDefault="00355DFD">
            <w:pPr>
              <w:suppressAutoHyphens/>
              <w:rPr>
                <w:sz w:val="22"/>
                <w:szCs w:val="22"/>
                <w:lang w:val="da-DK"/>
              </w:rPr>
            </w:pPr>
            <w:r w:rsidRPr="00AC347D">
              <w:rPr>
                <w:sz w:val="22"/>
                <w:szCs w:val="22"/>
                <w:lang w:val="da-DK"/>
              </w:rPr>
              <w:t>(95</w:t>
            </w:r>
            <w:r w:rsidR="00E84059">
              <w:rPr>
                <w:sz w:val="22"/>
                <w:szCs w:val="22"/>
                <w:lang w:val="da-DK"/>
              </w:rPr>
              <w:t xml:space="preserve"> %</w:t>
            </w:r>
            <w:r w:rsidRPr="00AC347D">
              <w:rPr>
                <w:sz w:val="22"/>
                <w:szCs w:val="22"/>
                <w:lang w:val="da-DK"/>
              </w:rPr>
              <w:t xml:space="preserve"> CI)</w:t>
            </w:r>
          </w:p>
        </w:tc>
        <w:tc>
          <w:tcPr>
            <w:tcW w:w="935" w:type="pct"/>
            <w:tcBorders>
              <w:top w:val="nil"/>
              <w:left w:val="single" w:sz="4" w:space="0" w:color="auto"/>
              <w:bottom w:val="nil"/>
              <w:right w:val="single" w:sz="4" w:space="0" w:color="auto"/>
            </w:tcBorders>
            <w:hideMark/>
          </w:tcPr>
          <w:p w14:paraId="12C52E1E" w14:textId="77777777" w:rsidR="00355DFD" w:rsidRPr="00AC347D" w:rsidRDefault="00355DFD">
            <w:pPr>
              <w:suppressAutoHyphens/>
              <w:jc w:val="center"/>
              <w:rPr>
                <w:sz w:val="22"/>
                <w:szCs w:val="22"/>
                <w:lang w:val="da-DK"/>
              </w:rPr>
            </w:pPr>
            <w:r w:rsidRPr="00AC347D">
              <w:rPr>
                <w:sz w:val="22"/>
                <w:szCs w:val="22"/>
                <w:lang w:val="da-DK"/>
              </w:rPr>
              <w:t>29,4 (24,5-IE)</w:t>
            </w:r>
          </w:p>
        </w:tc>
        <w:tc>
          <w:tcPr>
            <w:tcW w:w="1024" w:type="pct"/>
            <w:tcBorders>
              <w:top w:val="nil"/>
              <w:left w:val="single" w:sz="4" w:space="0" w:color="auto"/>
              <w:bottom w:val="nil"/>
              <w:right w:val="single" w:sz="4" w:space="0" w:color="auto"/>
            </w:tcBorders>
            <w:hideMark/>
          </w:tcPr>
          <w:p w14:paraId="3186F08B" w14:textId="77777777" w:rsidR="00355DFD" w:rsidRPr="00AC347D" w:rsidRDefault="00355DFD">
            <w:pPr>
              <w:suppressAutoHyphens/>
              <w:jc w:val="center"/>
              <w:rPr>
                <w:sz w:val="22"/>
                <w:szCs w:val="22"/>
                <w:lang w:val="da-DK"/>
              </w:rPr>
            </w:pPr>
            <w:r w:rsidRPr="00AC347D">
              <w:rPr>
                <w:sz w:val="22"/>
                <w:szCs w:val="22"/>
                <w:lang w:val="da-DK"/>
              </w:rPr>
              <w:t>27,8 (23,1-34,5)</w:t>
            </w:r>
          </w:p>
        </w:tc>
        <w:tc>
          <w:tcPr>
            <w:tcW w:w="1000" w:type="pct"/>
            <w:tcBorders>
              <w:top w:val="nil"/>
              <w:left w:val="single" w:sz="4" w:space="0" w:color="auto"/>
              <w:bottom w:val="nil"/>
              <w:right w:val="single" w:sz="4" w:space="0" w:color="auto"/>
            </w:tcBorders>
            <w:hideMark/>
          </w:tcPr>
          <w:p w14:paraId="20C6CE74" w14:textId="77777777" w:rsidR="00355DFD" w:rsidRPr="00AC347D" w:rsidRDefault="00355DFD">
            <w:pPr>
              <w:suppressAutoHyphens/>
              <w:jc w:val="center"/>
              <w:rPr>
                <w:sz w:val="22"/>
                <w:szCs w:val="22"/>
                <w:lang w:val="da-DK"/>
              </w:rPr>
            </w:pPr>
            <w:r w:rsidRPr="00AC347D">
              <w:rPr>
                <w:sz w:val="22"/>
                <w:szCs w:val="22"/>
                <w:lang w:val="da-DK"/>
              </w:rPr>
              <w:t>0,81 (0,56-1,19)</w:t>
            </w:r>
          </w:p>
        </w:tc>
        <w:tc>
          <w:tcPr>
            <w:tcW w:w="561" w:type="pct"/>
            <w:tcBorders>
              <w:top w:val="nil"/>
              <w:left w:val="single" w:sz="4" w:space="0" w:color="auto"/>
              <w:bottom w:val="nil"/>
              <w:right w:val="single" w:sz="4" w:space="0" w:color="auto"/>
            </w:tcBorders>
            <w:hideMark/>
          </w:tcPr>
          <w:p w14:paraId="05EAF656" w14:textId="77777777" w:rsidR="00355DFD" w:rsidRPr="00AC347D" w:rsidRDefault="00355DFD">
            <w:pPr>
              <w:suppressAutoHyphens/>
              <w:jc w:val="center"/>
              <w:rPr>
                <w:sz w:val="22"/>
                <w:szCs w:val="22"/>
                <w:lang w:val="da-DK"/>
              </w:rPr>
            </w:pPr>
            <w:r w:rsidRPr="00AC347D">
              <w:rPr>
                <w:sz w:val="22"/>
                <w:szCs w:val="22"/>
                <w:lang w:val="da-DK"/>
              </w:rPr>
              <w:t>IS</w:t>
            </w:r>
          </w:p>
        </w:tc>
      </w:tr>
      <w:tr w:rsidR="00355DFD" w:rsidRPr="00AC347D" w14:paraId="3C39AF27" w14:textId="77777777" w:rsidTr="00AC347D">
        <w:tc>
          <w:tcPr>
            <w:tcW w:w="1480" w:type="pct"/>
            <w:tcBorders>
              <w:top w:val="nil"/>
              <w:left w:val="single" w:sz="4" w:space="0" w:color="auto"/>
              <w:bottom w:val="single" w:sz="4" w:space="0" w:color="auto"/>
              <w:right w:val="single" w:sz="4" w:space="0" w:color="auto"/>
            </w:tcBorders>
            <w:hideMark/>
          </w:tcPr>
          <w:p w14:paraId="6572584B" w14:textId="49103822" w:rsidR="00355DFD" w:rsidRPr="00AC347D" w:rsidRDefault="00355DFD">
            <w:pPr>
              <w:suppressAutoHyphens/>
              <w:rPr>
                <w:sz w:val="22"/>
                <w:szCs w:val="22"/>
                <w:lang w:val="da-DK"/>
              </w:rPr>
            </w:pPr>
            <w:proofErr w:type="spellStart"/>
            <w:proofErr w:type="gramStart"/>
            <w:r w:rsidRPr="00AC347D">
              <w:rPr>
                <w:sz w:val="22"/>
                <w:szCs w:val="22"/>
                <w:lang w:val="da-DK"/>
              </w:rPr>
              <w:t>ORR</w:t>
            </w:r>
            <w:r w:rsidRPr="00AC347D">
              <w:rPr>
                <w:sz w:val="22"/>
                <w:szCs w:val="22"/>
                <w:vertAlign w:val="superscript"/>
                <w:lang w:val="da-DK"/>
              </w:rPr>
              <w:t>b,e</w:t>
            </w:r>
            <w:proofErr w:type="spellEnd"/>
            <w:proofErr w:type="gramEnd"/>
            <w:r w:rsidR="00E84059">
              <w:rPr>
                <w:sz w:val="22"/>
                <w:szCs w:val="22"/>
                <w:lang w:val="da-DK"/>
              </w:rPr>
              <w:t xml:space="preserve"> %</w:t>
            </w:r>
            <w:r w:rsidRPr="00AC347D">
              <w:rPr>
                <w:sz w:val="22"/>
                <w:szCs w:val="22"/>
                <w:lang w:val="da-DK"/>
              </w:rPr>
              <w:t xml:space="preserve"> (95</w:t>
            </w:r>
            <w:r w:rsidR="00E84059">
              <w:rPr>
                <w:sz w:val="22"/>
                <w:szCs w:val="22"/>
                <w:lang w:val="da-DK"/>
              </w:rPr>
              <w:t xml:space="preserve"> %</w:t>
            </w:r>
            <w:r w:rsidRPr="00AC347D">
              <w:rPr>
                <w:sz w:val="22"/>
                <w:szCs w:val="22"/>
                <w:lang w:val="da-DK"/>
              </w:rPr>
              <w:t xml:space="preserve"> CI)</w:t>
            </w:r>
          </w:p>
        </w:tc>
        <w:tc>
          <w:tcPr>
            <w:tcW w:w="935" w:type="pct"/>
            <w:tcBorders>
              <w:top w:val="nil"/>
              <w:left w:val="single" w:sz="4" w:space="0" w:color="auto"/>
              <w:bottom w:val="single" w:sz="4" w:space="0" w:color="auto"/>
              <w:right w:val="single" w:sz="4" w:space="0" w:color="auto"/>
            </w:tcBorders>
            <w:hideMark/>
          </w:tcPr>
          <w:p w14:paraId="6EB212AE" w14:textId="77777777" w:rsidR="00355DFD" w:rsidRPr="00AC347D" w:rsidRDefault="00355DFD">
            <w:pPr>
              <w:suppressAutoHyphens/>
              <w:jc w:val="center"/>
              <w:rPr>
                <w:sz w:val="22"/>
                <w:szCs w:val="22"/>
                <w:lang w:val="da-DK"/>
              </w:rPr>
            </w:pPr>
            <w:r w:rsidRPr="00AC347D">
              <w:rPr>
                <w:sz w:val="22"/>
                <w:szCs w:val="22"/>
                <w:lang w:val="da-DK"/>
              </w:rPr>
              <w:t>32,5 (24,5-41,5)</w:t>
            </w:r>
          </w:p>
        </w:tc>
        <w:tc>
          <w:tcPr>
            <w:tcW w:w="1024" w:type="pct"/>
            <w:tcBorders>
              <w:top w:val="nil"/>
              <w:left w:val="single" w:sz="4" w:space="0" w:color="auto"/>
              <w:bottom w:val="single" w:sz="4" w:space="0" w:color="auto"/>
              <w:right w:val="single" w:sz="4" w:space="0" w:color="auto"/>
            </w:tcBorders>
            <w:hideMark/>
          </w:tcPr>
          <w:p w14:paraId="40838A75" w14:textId="77777777" w:rsidR="00355DFD" w:rsidRPr="00AC347D" w:rsidRDefault="00355DFD">
            <w:pPr>
              <w:suppressAutoHyphens/>
              <w:jc w:val="center"/>
              <w:rPr>
                <w:sz w:val="22"/>
                <w:szCs w:val="22"/>
                <w:lang w:val="da-DK"/>
              </w:rPr>
            </w:pPr>
            <w:r w:rsidRPr="00AC347D">
              <w:rPr>
                <w:sz w:val="22"/>
                <w:szCs w:val="22"/>
                <w:lang w:val="da-DK"/>
              </w:rPr>
              <w:t>13,6 (8,1-20,9)</w:t>
            </w:r>
          </w:p>
        </w:tc>
        <w:tc>
          <w:tcPr>
            <w:tcW w:w="1000" w:type="pct"/>
            <w:tcBorders>
              <w:top w:val="nil"/>
              <w:left w:val="single" w:sz="4" w:space="0" w:color="auto"/>
              <w:bottom w:val="single" w:sz="4" w:space="0" w:color="auto"/>
              <w:right w:val="single" w:sz="4" w:space="0" w:color="auto"/>
            </w:tcBorders>
            <w:hideMark/>
          </w:tcPr>
          <w:p w14:paraId="11637E0D" w14:textId="77777777" w:rsidR="00355DFD" w:rsidRPr="00AC347D" w:rsidRDefault="00355DFD">
            <w:pPr>
              <w:suppressAutoHyphens/>
              <w:jc w:val="center"/>
              <w:rPr>
                <w:sz w:val="22"/>
                <w:szCs w:val="22"/>
                <w:lang w:val="da-DK"/>
              </w:rPr>
            </w:pPr>
            <w:r w:rsidRPr="00AC347D">
              <w:rPr>
                <w:sz w:val="22"/>
                <w:szCs w:val="22"/>
                <w:lang w:val="da-DK"/>
              </w:rPr>
              <w:t>2,39</w:t>
            </w:r>
            <w:r w:rsidRPr="00AC347D">
              <w:rPr>
                <w:sz w:val="22"/>
                <w:szCs w:val="22"/>
                <w:vertAlign w:val="superscript"/>
                <w:lang w:val="da-DK"/>
              </w:rPr>
              <w:t>f</w:t>
            </w:r>
            <w:r w:rsidRPr="00AC347D">
              <w:rPr>
                <w:sz w:val="22"/>
                <w:szCs w:val="22"/>
                <w:lang w:val="da-DK"/>
              </w:rPr>
              <w:t xml:space="preserve"> (1,43-3,99)</w:t>
            </w:r>
          </w:p>
        </w:tc>
        <w:tc>
          <w:tcPr>
            <w:tcW w:w="561" w:type="pct"/>
            <w:tcBorders>
              <w:top w:val="nil"/>
              <w:left w:val="single" w:sz="4" w:space="0" w:color="auto"/>
              <w:bottom w:val="single" w:sz="4" w:space="0" w:color="auto"/>
              <w:right w:val="single" w:sz="4" w:space="0" w:color="auto"/>
            </w:tcBorders>
            <w:hideMark/>
          </w:tcPr>
          <w:p w14:paraId="30E78081" w14:textId="77777777" w:rsidR="00355DFD" w:rsidRPr="00AC347D" w:rsidRDefault="00355DFD">
            <w:pPr>
              <w:suppressAutoHyphens/>
              <w:jc w:val="center"/>
              <w:rPr>
                <w:sz w:val="22"/>
                <w:szCs w:val="22"/>
                <w:lang w:val="da-DK"/>
              </w:rPr>
            </w:pPr>
            <w:r w:rsidRPr="00AC347D">
              <w:rPr>
                <w:sz w:val="22"/>
                <w:szCs w:val="22"/>
                <w:lang w:val="da-DK"/>
              </w:rPr>
              <w:t>0,0002</w:t>
            </w:r>
            <w:r w:rsidRPr="00AC347D">
              <w:rPr>
                <w:sz w:val="22"/>
                <w:szCs w:val="22"/>
                <w:vertAlign w:val="superscript"/>
                <w:lang w:val="da-DK"/>
              </w:rPr>
              <w:t>i</w:t>
            </w:r>
          </w:p>
        </w:tc>
      </w:tr>
    </w:tbl>
    <w:p w14:paraId="0C01404A" w14:textId="77777777" w:rsidR="00355DFD" w:rsidRPr="00811F65" w:rsidRDefault="00355DFD" w:rsidP="00355DFD">
      <w:pPr>
        <w:suppressAutoHyphens/>
        <w:rPr>
          <w:sz w:val="24"/>
          <w:szCs w:val="24"/>
          <w:lang w:val="en-US" w:eastAsia="fr-LU"/>
        </w:rPr>
      </w:pPr>
      <w:r w:rsidRPr="00811F65">
        <w:rPr>
          <w:sz w:val="24"/>
          <w:szCs w:val="24"/>
          <w:lang w:val="en-US"/>
        </w:rPr>
        <w:t>CI = Confidence interval; HR=Hazard ratio (</w:t>
      </w:r>
      <w:proofErr w:type="spellStart"/>
      <w:r w:rsidRPr="00811F65">
        <w:rPr>
          <w:sz w:val="24"/>
          <w:szCs w:val="24"/>
          <w:lang w:val="en-US"/>
        </w:rPr>
        <w:t>axitinib</w:t>
      </w:r>
      <w:proofErr w:type="spellEnd"/>
      <w:r w:rsidRPr="00811F65">
        <w:rPr>
          <w:sz w:val="24"/>
          <w:szCs w:val="24"/>
          <w:lang w:val="en-US"/>
        </w:rPr>
        <w:t xml:space="preserve">/sorafenib); IE: </w:t>
      </w:r>
      <w:proofErr w:type="spellStart"/>
      <w:r w:rsidRPr="00811F65">
        <w:rPr>
          <w:sz w:val="24"/>
          <w:szCs w:val="24"/>
          <w:lang w:val="en-US"/>
        </w:rPr>
        <w:t>Ikke</w:t>
      </w:r>
      <w:proofErr w:type="spellEnd"/>
      <w:r w:rsidRPr="00811F65">
        <w:rPr>
          <w:sz w:val="24"/>
          <w:szCs w:val="24"/>
          <w:lang w:val="en-US"/>
        </w:rPr>
        <w:t xml:space="preserve"> </w:t>
      </w:r>
      <w:proofErr w:type="spellStart"/>
      <w:r w:rsidRPr="00811F65">
        <w:rPr>
          <w:sz w:val="24"/>
          <w:szCs w:val="24"/>
          <w:lang w:val="en-US"/>
        </w:rPr>
        <w:t>estimerbart</w:t>
      </w:r>
      <w:proofErr w:type="spellEnd"/>
      <w:r w:rsidRPr="00811F65">
        <w:rPr>
          <w:sz w:val="24"/>
          <w:szCs w:val="24"/>
          <w:lang w:val="en-US"/>
        </w:rPr>
        <w:t xml:space="preserve">; IS: </w:t>
      </w:r>
      <w:proofErr w:type="spellStart"/>
      <w:r w:rsidRPr="00811F65">
        <w:rPr>
          <w:sz w:val="24"/>
          <w:szCs w:val="24"/>
          <w:lang w:val="en-US"/>
        </w:rPr>
        <w:t>Ikke</w:t>
      </w:r>
      <w:proofErr w:type="spellEnd"/>
      <w:r w:rsidRPr="00811F65">
        <w:rPr>
          <w:sz w:val="24"/>
          <w:szCs w:val="24"/>
          <w:lang w:val="en-US"/>
        </w:rPr>
        <w:t xml:space="preserve"> significant; ITT: Intent-to-treat; ORR: Objective response rate; OS: Overall survival; PFS: Progression-free survival</w:t>
      </w:r>
    </w:p>
    <w:p w14:paraId="270C178C" w14:textId="77777777" w:rsidR="00355DFD" w:rsidRPr="00811F65" w:rsidRDefault="00355DFD" w:rsidP="005235F2">
      <w:pPr>
        <w:suppressAutoHyphens/>
        <w:ind w:left="284" w:hanging="284"/>
        <w:rPr>
          <w:sz w:val="24"/>
          <w:szCs w:val="24"/>
        </w:rPr>
      </w:pPr>
      <w:r w:rsidRPr="00811F65">
        <w:rPr>
          <w:sz w:val="24"/>
          <w:szCs w:val="24"/>
          <w:vertAlign w:val="superscript"/>
        </w:rPr>
        <w:t>a.</w:t>
      </w:r>
      <w:r w:rsidRPr="00811F65">
        <w:rPr>
          <w:sz w:val="24"/>
          <w:szCs w:val="24"/>
        </w:rPr>
        <w:t xml:space="preserve"> </w:t>
      </w:r>
      <w:r w:rsidRPr="00811F65">
        <w:rPr>
          <w:sz w:val="24"/>
          <w:szCs w:val="24"/>
        </w:rPr>
        <w:tab/>
        <w:t xml:space="preserve">Tid fra </w:t>
      </w:r>
      <w:proofErr w:type="spellStart"/>
      <w:r w:rsidRPr="00811F65">
        <w:rPr>
          <w:sz w:val="24"/>
          <w:szCs w:val="24"/>
        </w:rPr>
        <w:t>randomisering</w:t>
      </w:r>
      <w:proofErr w:type="spellEnd"/>
      <w:r w:rsidRPr="00811F65">
        <w:rPr>
          <w:sz w:val="24"/>
          <w:szCs w:val="24"/>
        </w:rPr>
        <w:t xml:space="preserve"> til progression eller død af alle årsager, afhængigt af hvilken hændelse, der indtræder først. </w:t>
      </w:r>
      <w:proofErr w:type="spellStart"/>
      <w:r w:rsidRPr="00811F65">
        <w:rPr>
          <w:sz w:val="24"/>
          <w:szCs w:val="24"/>
        </w:rPr>
        <w:t>Cutoff</w:t>
      </w:r>
      <w:proofErr w:type="spellEnd"/>
      <w:r w:rsidRPr="00811F65">
        <w:rPr>
          <w:sz w:val="24"/>
          <w:szCs w:val="24"/>
        </w:rPr>
        <w:t xml:space="preserve"> date: 3. juni 2011.</w:t>
      </w:r>
    </w:p>
    <w:p w14:paraId="15F02656" w14:textId="77777777" w:rsidR="00355DFD" w:rsidRPr="00811F65" w:rsidRDefault="00355DFD" w:rsidP="005235F2">
      <w:pPr>
        <w:suppressAutoHyphens/>
        <w:ind w:left="284" w:hanging="284"/>
        <w:rPr>
          <w:sz w:val="24"/>
          <w:szCs w:val="24"/>
        </w:rPr>
      </w:pPr>
      <w:r w:rsidRPr="00811F65">
        <w:rPr>
          <w:sz w:val="24"/>
          <w:szCs w:val="24"/>
          <w:vertAlign w:val="superscript"/>
        </w:rPr>
        <w:t>b.</w:t>
      </w:r>
      <w:r w:rsidRPr="00811F65">
        <w:rPr>
          <w:sz w:val="24"/>
          <w:szCs w:val="24"/>
        </w:rPr>
        <w:t xml:space="preserve"> </w:t>
      </w:r>
      <w:r w:rsidRPr="00811F65">
        <w:rPr>
          <w:sz w:val="24"/>
          <w:szCs w:val="24"/>
        </w:rPr>
        <w:tab/>
        <w:t xml:space="preserve">Vurderet ved uafhængig radiologisk gennemgang i henhold til </w:t>
      </w:r>
      <w:proofErr w:type="spellStart"/>
      <w:r w:rsidRPr="00811F65">
        <w:rPr>
          <w:sz w:val="24"/>
          <w:szCs w:val="24"/>
        </w:rPr>
        <w:t>Response</w:t>
      </w:r>
      <w:proofErr w:type="spellEnd"/>
      <w:r w:rsidRPr="00811F65">
        <w:rPr>
          <w:sz w:val="24"/>
          <w:szCs w:val="24"/>
        </w:rPr>
        <w:t xml:space="preserve"> Evaluation </w:t>
      </w:r>
      <w:proofErr w:type="spellStart"/>
      <w:r w:rsidRPr="00811F65">
        <w:rPr>
          <w:sz w:val="24"/>
          <w:szCs w:val="24"/>
        </w:rPr>
        <w:t>Criteria</w:t>
      </w:r>
      <w:proofErr w:type="spellEnd"/>
      <w:r w:rsidRPr="00811F65">
        <w:rPr>
          <w:sz w:val="24"/>
          <w:szCs w:val="24"/>
        </w:rPr>
        <w:t xml:space="preserve"> in Solid Tumours (RECIST).</w:t>
      </w:r>
    </w:p>
    <w:p w14:paraId="38FB67DE" w14:textId="77777777" w:rsidR="00355DFD" w:rsidRPr="00811F65" w:rsidRDefault="00355DFD" w:rsidP="005235F2">
      <w:pPr>
        <w:suppressAutoHyphens/>
        <w:ind w:left="284" w:hanging="284"/>
        <w:rPr>
          <w:sz w:val="24"/>
          <w:szCs w:val="24"/>
        </w:rPr>
      </w:pPr>
      <w:r w:rsidRPr="00811F65">
        <w:rPr>
          <w:sz w:val="24"/>
          <w:szCs w:val="24"/>
          <w:vertAlign w:val="superscript"/>
        </w:rPr>
        <w:t>c.</w:t>
      </w:r>
      <w:r w:rsidRPr="00811F65">
        <w:rPr>
          <w:sz w:val="24"/>
          <w:szCs w:val="24"/>
        </w:rPr>
        <w:t xml:space="preserve"> </w:t>
      </w:r>
      <w:r w:rsidRPr="00811F65">
        <w:rPr>
          <w:sz w:val="24"/>
          <w:szCs w:val="24"/>
        </w:rPr>
        <w:tab/>
        <w:t>Én-</w:t>
      </w:r>
      <w:proofErr w:type="spellStart"/>
      <w:r w:rsidRPr="00811F65">
        <w:rPr>
          <w:sz w:val="24"/>
          <w:szCs w:val="24"/>
        </w:rPr>
        <w:t>sidet</w:t>
      </w:r>
      <w:proofErr w:type="spellEnd"/>
      <w:r w:rsidRPr="00811F65">
        <w:rPr>
          <w:sz w:val="24"/>
          <w:szCs w:val="24"/>
        </w:rPr>
        <w:t xml:space="preserve"> </w:t>
      </w:r>
      <w:proofErr w:type="spellStart"/>
      <w:r w:rsidRPr="00811F65">
        <w:rPr>
          <w:sz w:val="24"/>
          <w:szCs w:val="24"/>
        </w:rPr>
        <w:t>p-værdi</w:t>
      </w:r>
      <w:proofErr w:type="spellEnd"/>
      <w:r w:rsidRPr="00811F65">
        <w:rPr>
          <w:sz w:val="24"/>
          <w:szCs w:val="24"/>
        </w:rPr>
        <w:t xml:space="preserve"> fra en log-rank test af behandling stratificeret efter ECOG performance status og tidligere behandling.</w:t>
      </w:r>
    </w:p>
    <w:p w14:paraId="1FCC7316" w14:textId="77777777" w:rsidR="00355DFD" w:rsidRPr="00811F65" w:rsidRDefault="00355DFD" w:rsidP="005235F2">
      <w:pPr>
        <w:suppressAutoHyphens/>
        <w:ind w:left="284" w:hanging="284"/>
        <w:rPr>
          <w:sz w:val="24"/>
          <w:szCs w:val="24"/>
          <w:lang w:val="en-US"/>
        </w:rPr>
      </w:pPr>
      <w:r w:rsidRPr="00811F65">
        <w:rPr>
          <w:sz w:val="24"/>
          <w:szCs w:val="24"/>
          <w:vertAlign w:val="superscript"/>
          <w:lang w:val="en-US"/>
        </w:rPr>
        <w:t>d.</w:t>
      </w:r>
      <w:r w:rsidRPr="00811F65">
        <w:rPr>
          <w:sz w:val="24"/>
          <w:szCs w:val="24"/>
          <w:lang w:val="en-US"/>
        </w:rPr>
        <w:t xml:space="preserve"> </w:t>
      </w:r>
      <w:r w:rsidRPr="00811F65">
        <w:rPr>
          <w:sz w:val="24"/>
          <w:szCs w:val="24"/>
          <w:lang w:val="en-US"/>
        </w:rPr>
        <w:tab/>
        <w:t xml:space="preserve">Cutoff date: 1. </w:t>
      </w:r>
      <w:proofErr w:type="spellStart"/>
      <w:r w:rsidRPr="00811F65">
        <w:rPr>
          <w:sz w:val="24"/>
          <w:szCs w:val="24"/>
          <w:lang w:val="en-US"/>
        </w:rPr>
        <w:t>november</w:t>
      </w:r>
      <w:proofErr w:type="spellEnd"/>
      <w:r w:rsidRPr="00811F65">
        <w:rPr>
          <w:sz w:val="24"/>
          <w:szCs w:val="24"/>
          <w:lang w:val="en-US"/>
        </w:rPr>
        <w:t xml:space="preserve"> 2011.</w:t>
      </w:r>
    </w:p>
    <w:p w14:paraId="0167D8C1" w14:textId="77777777" w:rsidR="00355DFD" w:rsidRPr="00811F65" w:rsidRDefault="00355DFD" w:rsidP="005235F2">
      <w:pPr>
        <w:suppressAutoHyphens/>
        <w:ind w:left="284" w:hanging="284"/>
        <w:rPr>
          <w:sz w:val="24"/>
          <w:szCs w:val="24"/>
          <w:lang w:val="en-US"/>
        </w:rPr>
      </w:pPr>
      <w:r w:rsidRPr="00811F65">
        <w:rPr>
          <w:sz w:val="24"/>
          <w:szCs w:val="24"/>
          <w:vertAlign w:val="superscript"/>
          <w:lang w:val="en-US"/>
        </w:rPr>
        <w:t>e.</w:t>
      </w:r>
      <w:r w:rsidRPr="00811F65">
        <w:rPr>
          <w:sz w:val="24"/>
          <w:szCs w:val="24"/>
          <w:lang w:val="en-US"/>
        </w:rPr>
        <w:t xml:space="preserve"> </w:t>
      </w:r>
      <w:r w:rsidRPr="00811F65">
        <w:rPr>
          <w:sz w:val="24"/>
          <w:szCs w:val="24"/>
          <w:lang w:val="en-US"/>
        </w:rPr>
        <w:tab/>
        <w:t>Cutoff date: 31. august 2010.</w:t>
      </w:r>
    </w:p>
    <w:p w14:paraId="07F31BB7" w14:textId="77777777" w:rsidR="00355DFD" w:rsidRPr="00811F65" w:rsidRDefault="00355DFD" w:rsidP="005235F2">
      <w:pPr>
        <w:suppressAutoHyphens/>
        <w:ind w:left="284" w:hanging="284"/>
        <w:rPr>
          <w:sz w:val="24"/>
          <w:szCs w:val="24"/>
        </w:rPr>
      </w:pPr>
      <w:r w:rsidRPr="00811F65">
        <w:rPr>
          <w:sz w:val="24"/>
          <w:szCs w:val="24"/>
          <w:vertAlign w:val="superscript"/>
        </w:rPr>
        <w:t>f.</w:t>
      </w:r>
      <w:r w:rsidRPr="00811F65">
        <w:rPr>
          <w:sz w:val="24"/>
          <w:szCs w:val="24"/>
        </w:rPr>
        <w:t xml:space="preserve"> </w:t>
      </w:r>
      <w:r w:rsidRPr="00811F65">
        <w:rPr>
          <w:sz w:val="24"/>
          <w:szCs w:val="24"/>
        </w:rPr>
        <w:tab/>
        <w:t xml:space="preserve">Risiko-ratio bruges for ORR. En risiko-ratio &gt;1 indikerer større sandsynlighed for </w:t>
      </w:r>
      <w:proofErr w:type="spellStart"/>
      <w:r w:rsidRPr="00811F65">
        <w:rPr>
          <w:sz w:val="24"/>
          <w:szCs w:val="24"/>
        </w:rPr>
        <w:t>response</w:t>
      </w:r>
      <w:proofErr w:type="spellEnd"/>
      <w:r w:rsidRPr="00811F65">
        <w:rPr>
          <w:sz w:val="24"/>
          <w:szCs w:val="24"/>
        </w:rPr>
        <w:t xml:space="preserve"> i </w:t>
      </w:r>
      <w:proofErr w:type="spellStart"/>
      <w:r w:rsidRPr="00811F65">
        <w:rPr>
          <w:sz w:val="24"/>
          <w:szCs w:val="24"/>
        </w:rPr>
        <w:t>axitinib</w:t>
      </w:r>
      <w:proofErr w:type="spellEnd"/>
      <w:r w:rsidRPr="00811F65">
        <w:rPr>
          <w:sz w:val="24"/>
          <w:szCs w:val="24"/>
        </w:rPr>
        <w:t xml:space="preserve">-armen; En risiko-ratio &lt;1 indikerer større sandsynlighed for </w:t>
      </w:r>
      <w:proofErr w:type="spellStart"/>
      <w:r w:rsidRPr="00811F65">
        <w:rPr>
          <w:sz w:val="24"/>
          <w:szCs w:val="24"/>
        </w:rPr>
        <w:t>response</w:t>
      </w:r>
      <w:proofErr w:type="spellEnd"/>
      <w:r w:rsidRPr="00811F65">
        <w:rPr>
          <w:sz w:val="24"/>
          <w:szCs w:val="24"/>
        </w:rPr>
        <w:t xml:space="preserve"> i </w:t>
      </w:r>
      <w:proofErr w:type="spellStart"/>
      <w:r w:rsidRPr="00811F65">
        <w:rPr>
          <w:sz w:val="24"/>
          <w:szCs w:val="24"/>
        </w:rPr>
        <w:t>sorafenib</w:t>
      </w:r>
      <w:proofErr w:type="spellEnd"/>
      <w:r w:rsidRPr="00811F65">
        <w:rPr>
          <w:sz w:val="24"/>
          <w:szCs w:val="24"/>
        </w:rPr>
        <w:t>-armen.</w:t>
      </w:r>
    </w:p>
    <w:p w14:paraId="147AE66B" w14:textId="77777777" w:rsidR="00355DFD" w:rsidRPr="00811F65" w:rsidRDefault="00355DFD" w:rsidP="005235F2">
      <w:pPr>
        <w:suppressAutoHyphens/>
        <w:ind w:left="284" w:hanging="284"/>
        <w:rPr>
          <w:sz w:val="24"/>
          <w:szCs w:val="24"/>
        </w:rPr>
      </w:pPr>
      <w:r w:rsidRPr="00811F65">
        <w:rPr>
          <w:sz w:val="24"/>
          <w:szCs w:val="24"/>
          <w:vertAlign w:val="superscript"/>
        </w:rPr>
        <w:t>g.</w:t>
      </w:r>
      <w:r w:rsidRPr="00811F65">
        <w:rPr>
          <w:sz w:val="24"/>
          <w:szCs w:val="24"/>
        </w:rPr>
        <w:t xml:space="preserve"> </w:t>
      </w:r>
      <w:r w:rsidRPr="00811F65">
        <w:rPr>
          <w:sz w:val="24"/>
          <w:szCs w:val="24"/>
        </w:rPr>
        <w:tab/>
        <w:t>Én-</w:t>
      </w:r>
      <w:proofErr w:type="spellStart"/>
      <w:r w:rsidRPr="00811F65">
        <w:rPr>
          <w:sz w:val="24"/>
          <w:szCs w:val="24"/>
        </w:rPr>
        <w:t>sidet</w:t>
      </w:r>
      <w:proofErr w:type="spellEnd"/>
      <w:r w:rsidRPr="00811F65">
        <w:rPr>
          <w:sz w:val="24"/>
          <w:szCs w:val="24"/>
        </w:rPr>
        <w:t xml:space="preserve"> </w:t>
      </w:r>
      <w:proofErr w:type="spellStart"/>
      <w:r w:rsidRPr="00811F65">
        <w:rPr>
          <w:sz w:val="24"/>
          <w:szCs w:val="24"/>
        </w:rPr>
        <w:t>p-værdi</w:t>
      </w:r>
      <w:proofErr w:type="spellEnd"/>
      <w:r w:rsidRPr="00811F65">
        <w:rPr>
          <w:sz w:val="24"/>
          <w:szCs w:val="24"/>
        </w:rPr>
        <w:t xml:space="preserve"> fra </w:t>
      </w:r>
      <w:proofErr w:type="spellStart"/>
      <w:r w:rsidRPr="00811F65">
        <w:rPr>
          <w:sz w:val="24"/>
          <w:szCs w:val="24"/>
        </w:rPr>
        <w:t>Cochran-Mantel-Haenszel</w:t>
      </w:r>
      <w:proofErr w:type="spellEnd"/>
      <w:r w:rsidRPr="00811F65">
        <w:rPr>
          <w:sz w:val="24"/>
          <w:szCs w:val="24"/>
        </w:rPr>
        <w:t xml:space="preserve"> test af behandling stratificeret efter ECOG performance status og tidligere behandling.</w:t>
      </w:r>
    </w:p>
    <w:p w14:paraId="49E658EC" w14:textId="77777777" w:rsidR="00355DFD" w:rsidRPr="00811F65" w:rsidRDefault="00355DFD" w:rsidP="005235F2">
      <w:pPr>
        <w:suppressAutoHyphens/>
        <w:ind w:left="284" w:hanging="284"/>
        <w:rPr>
          <w:sz w:val="24"/>
          <w:szCs w:val="24"/>
        </w:rPr>
      </w:pPr>
      <w:r w:rsidRPr="00811F65">
        <w:rPr>
          <w:sz w:val="24"/>
          <w:szCs w:val="24"/>
          <w:vertAlign w:val="superscript"/>
        </w:rPr>
        <w:t>h.</w:t>
      </w:r>
      <w:r w:rsidRPr="00811F65">
        <w:rPr>
          <w:sz w:val="24"/>
          <w:szCs w:val="24"/>
        </w:rPr>
        <w:t xml:space="preserve"> </w:t>
      </w:r>
      <w:r w:rsidRPr="00811F65">
        <w:rPr>
          <w:sz w:val="24"/>
          <w:szCs w:val="24"/>
        </w:rPr>
        <w:tab/>
        <w:t>Én-</w:t>
      </w:r>
      <w:proofErr w:type="spellStart"/>
      <w:r w:rsidRPr="00811F65">
        <w:rPr>
          <w:sz w:val="24"/>
          <w:szCs w:val="24"/>
        </w:rPr>
        <w:t>sidet</w:t>
      </w:r>
      <w:proofErr w:type="spellEnd"/>
      <w:r w:rsidRPr="00811F65">
        <w:rPr>
          <w:sz w:val="24"/>
          <w:szCs w:val="24"/>
        </w:rPr>
        <w:t xml:space="preserve"> </w:t>
      </w:r>
      <w:proofErr w:type="spellStart"/>
      <w:r w:rsidRPr="00811F65">
        <w:rPr>
          <w:sz w:val="24"/>
          <w:szCs w:val="24"/>
        </w:rPr>
        <w:t>p-værdi</w:t>
      </w:r>
      <w:proofErr w:type="spellEnd"/>
      <w:r w:rsidRPr="00811F65">
        <w:rPr>
          <w:sz w:val="24"/>
          <w:szCs w:val="24"/>
        </w:rPr>
        <w:t xml:space="preserve"> fra en log-rank test af behandling stratificeret efter ECOG performance status</w:t>
      </w:r>
    </w:p>
    <w:p w14:paraId="24EE20DA" w14:textId="77777777" w:rsidR="00355DFD" w:rsidRPr="00811F65" w:rsidRDefault="00355DFD" w:rsidP="005235F2">
      <w:pPr>
        <w:suppressAutoHyphens/>
        <w:ind w:left="284" w:hanging="284"/>
        <w:rPr>
          <w:sz w:val="24"/>
          <w:szCs w:val="24"/>
        </w:rPr>
      </w:pPr>
      <w:r w:rsidRPr="00811F65">
        <w:rPr>
          <w:sz w:val="24"/>
          <w:szCs w:val="24"/>
          <w:vertAlign w:val="superscript"/>
        </w:rPr>
        <w:t>i.</w:t>
      </w:r>
      <w:r w:rsidRPr="00811F65">
        <w:rPr>
          <w:sz w:val="24"/>
          <w:szCs w:val="24"/>
        </w:rPr>
        <w:t xml:space="preserve"> </w:t>
      </w:r>
      <w:r w:rsidRPr="00811F65">
        <w:rPr>
          <w:sz w:val="24"/>
          <w:szCs w:val="24"/>
        </w:rPr>
        <w:tab/>
        <w:t>Én-</w:t>
      </w:r>
      <w:proofErr w:type="spellStart"/>
      <w:r w:rsidRPr="00811F65">
        <w:rPr>
          <w:sz w:val="24"/>
          <w:szCs w:val="24"/>
        </w:rPr>
        <w:t>sidet</w:t>
      </w:r>
      <w:proofErr w:type="spellEnd"/>
      <w:r w:rsidRPr="00811F65">
        <w:rPr>
          <w:sz w:val="24"/>
          <w:szCs w:val="24"/>
        </w:rPr>
        <w:t xml:space="preserve"> </w:t>
      </w:r>
      <w:proofErr w:type="spellStart"/>
      <w:r w:rsidRPr="00811F65">
        <w:rPr>
          <w:sz w:val="24"/>
          <w:szCs w:val="24"/>
        </w:rPr>
        <w:t>p-værdi</w:t>
      </w:r>
      <w:proofErr w:type="spellEnd"/>
      <w:r w:rsidRPr="00811F65">
        <w:rPr>
          <w:sz w:val="24"/>
          <w:szCs w:val="24"/>
        </w:rPr>
        <w:t xml:space="preserve"> fra </w:t>
      </w:r>
      <w:proofErr w:type="spellStart"/>
      <w:r w:rsidRPr="00811F65">
        <w:rPr>
          <w:sz w:val="24"/>
          <w:szCs w:val="24"/>
        </w:rPr>
        <w:t>Cochran-Mantel-Haenszel</w:t>
      </w:r>
      <w:proofErr w:type="spellEnd"/>
      <w:r w:rsidRPr="00811F65">
        <w:rPr>
          <w:sz w:val="24"/>
          <w:szCs w:val="24"/>
        </w:rPr>
        <w:t xml:space="preserve"> test af behandling stratificeret efter ECOG performance status og tidligere behandling.</w:t>
      </w:r>
    </w:p>
    <w:p w14:paraId="669996B6" w14:textId="77777777" w:rsidR="00355DFD" w:rsidRPr="00811F65" w:rsidRDefault="00355DFD" w:rsidP="00355DFD">
      <w:pPr>
        <w:suppressAutoHyphens/>
        <w:rPr>
          <w:b/>
          <w:bCs/>
          <w:sz w:val="24"/>
          <w:szCs w:val="24"/>
        </w:rPr>
      </w:pPr>
    </w:p>
    <w:p w14:paraId="4AFE22CE" w14:textId="4AA7389D" w:rsidR="00355DFD" w:rsidRPr="00811F65" w:rsidRDefault="00355DFD" w:rsidP="00AC347D">
      <w:pPr>
        <w:keepNext/>
        <w:suppressAutoHyphens/>
        <w:rPr>
          <w:b/>
          <w:bCs/>
          <w:sz w:val="24"/>
          <w:szCs w:val="24"/>
        </w:rPr>
      </w:pPr>
      <w:r w:rsidRPr="00811F65">
        <w:rPr>
          <w:b/>
          <w:bCs/>
          <w:sz w:val="24"/>
          <w:szCs w:val="24"/>
        </w:rPr>
        <w:lastRenderedPageBreak/>
        <w:t xml:space="preserve">Figur 1 Kaplan-Meier kurve over progressionsfri overlevelse </w:t>
      </w:r>
      <w:proofErr w:type="spellStart"/>
      <w:r w:rsidRPr="00811F65">
        <w:rPr>
          <w:b/>
          <w:bCs/>
          <w:sz w:val="24"/>
          <w:szCs w:val="24"/>
        </w:rPr>
        <w:t>udfra</w:t>
      </w:r>
      <w:proofErr w:type="spellEnd"/>
      <w:r w:rsidRPr="00811F65">
        <w:rPr>
          <w:b/>
          <w:bCs/>
          <w:sz w:val="24"/>
          <w:szCs w:val="24"/>
        </w:rPr>
        <w:t xml:space="preserve"> uafhængig vurdering i den</w:t>
      </w:r>
      <w:r w:rsidR="00AC347D">
        <w:rPr>
          <w:b/>
          <w:bCs/>
          <w:sz w:val="24"/>
          <w:szCs w:val="24"/>
        </w:rPr>
        <w:t xml:space="preserve"> </w:t>
      </w:r>
      <w:r w:rsidRPr="00811F65">
        <w:rPr>
          <w:b/>
          <w:bCs/>
          <w:sz w:val="24"/>
          <w:szCs w:val="24"/>
        </w:rPr>
        <w:t>samlede population.</w:t>
      </w:r>
    </w:p>
    <w:p w14:paraId="128A04AB" w14:textId="77777777" w:rsidR="00355DFD" w:rsidRPr="00811F65" w:rsidRDefault="00355DFD" w:rsidP="00AC347D">
      <w:pPr>
        <w:keepNext/>
        <w:suppressAutoHyphens/>
        <w:rPr>
          <w:b/>
          <w:bCs/>
          <w:sz w:val="24"/>
          <w:szCs w:val="24"/>
        </w:rPr>
      </w:pPr>
    </w:p>
    <w:p w14:paraId="53E1C0B4" w14:textId="470C357C" w:rsidR="00355DFD" w:rsidRPr="00811F65" w:rsidRDefault="00355DFD" w:rsidP="00AC347D">
      <w:pPr>
        <w:keepNext/>
        <w:suppressAutoHyphens/>
        <w:rPr>
          <w:b/>
          <w:bCs/>
          <w:sz w:val="24"/>
          <w:szCs w:val="24"/>
        </w:rPr>
      </w:pPr>
      <w:r w:rsidRPr="00811F65">
        <w:rPr>
          <w:b/>
          <w:noProof/>
          <w:sz w:val="24"/>
          <w:szCs w:val="24"/>
        </w:rPr>
        <w:drawing>
          <wp:inline distT="0" distB="0" distL="0" distR="0" wp14:anchorId="1AFD9105" wp14:editId="6E36CABA">
            <wp:extent cx="5760720" cy="3086100"/>
            <wp:effectExtent l="0" t="0" r="0" b="0"/>
            <wp:docPr id="4" name="Billede 4" descr="Et billede, der indeholder tekst, linje/række, diagram, Kurv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Et billede, der indeholder tekst, linje/række, diagram, Kurve&#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086100"/>
                    </a:xfrm>
                    <a:prstGeom prst="rect">
                      <a:avLst/>
                    </a:prstGeom>
                    <a:noFill/>
                    <a:ln>
                      <a:noFill/>
                    </a:ln>
                  </pic:spPr>
                </pic:pic>
              </a:graphicData>
            </a:graphic>
          </wp:inline>
        </w:drawing>
      </w:r>
    </w:p>
    <w:p w14:paraId="16AA9628" w14:textId="77777777" w:rsidR="00355DFD" w:rsidRPr="00811F65" w:rsidRDefault="00355DFD" w:rsidP="00AC347D">
      <w:pPr>
        <w:keepNext/>
        <w:suppressAutoHyphens/>
        <w:rPr>
          <w:sz w:val="24"/>
          <w:szCs w:val="24"/>
          <w:u w:val="single"/>
        </w:rPr>
      </w:pPr>
    </w:p>
    <w:p w14:paraId="294F2B10" w14:textId="77777777" w:rsidR="00355DFD" w:rsidRPr="00811F65" w:rsidRDefault="00355DFD" w:rsidP="00355DFD">
      <w:pPr>
        <w:suppressAutoHyphens/>
        <w:rPr>
          <w:b/>
          <w:bCs/>
          <w:sz w:val="24"/>
          <w:szCs w:val="24"/>
        </w:rPr>
      </w:pPr>
    </w:p>
    <w:p w14:paraId="28C96BAA" w14:textId="72609910" w:rsidR="00355DFD" w:rsidRPr="00811F65" w:rsidRDefault="00355DFD" w:rsidP="00AC347D">
      <w:pPr>
        <w:keepNext/>
        <w:suppressAutoHyphens/>
        <w:rPr>
          <w:b/>
          <w:bCs/>
          <w:sz w:val="24"/>
          <w:szCs w:val="24"/>
        </w:rPr>
      </w:pPr>
      <w:r w:rsidRPr="00811F65">
        <w:rPr>
          <w:b/>
          <w:bCs/>
          <w:sz w:val="24"/>
          <w:szCs w:val="24"/>
        </w:rPr>
        <w:t xml:space="preserve">Figur 2 Kaplan-Meier kurve over progressionsfri overlevelse </w:t>
      </w:r>
      <w:proofErr w:type="spellStart"/>
      <w:r w:rsidRPr="00811F65">
        <w:rPr>
          <w:b/>
          <w:bCs/>
          <w:sz w:val="24"/>
          <w:szCs w:val="24"/>
        </w:rPr>
        <w:t>udfra</w:t>
      </w:r>
      <w:proofErr w:type="spellEnd"/>
      <w:r w:rsidRPr="00811F65">
        <w:rPr>
          <w:b/>
          <w:bCs/>
          <w:sz w:val="24"/>
          <w:szCs w:val="24"/>
        </w:rPr>
        <w:t xml:space="preserve"> uafhængig vurdering i</w:t>
      </w:r>
      <w:r w:rsidR="00AC347D">
        <w:rPr>
          <w:b/>
          <w:bCs/>
          <w:sz w:val="24"/>
          <w:szCs w:val="24"/>
        </w:rPr>
        <w:t xml:space="preserve"> </w:t>
      </w:r>
      <w:r w:rsidRPr="00811F65">
        <w:rPr>
          <w:b/>
          <w:bCs/>
          <w:sz w:val="24"/>
          <w:szCs w:val="24"/>
        </w:rPr>
        <w:t xml:space="preserve">undergruppen med tidligere </w:t>
      </w:r>
      <w:proofErr w:type="spellStart"/>
      <w:r w:rsidRPr="00811F65">
        <w:rPr>
          <w:b/>
          <w:bCs/>
          <w:sz w:val="24"/>
          <w:szCs w:val="24"/>
        </w:rPr>
        <w:t>sunitinib</w:t>
      </w:r>
      <w:proofErr w:type="spellEnd"/>
      <w:r w:rsidRPr="00811F65">
        <w:rPr>
          <w:b/>
          <w:bCs/>
          <w:sz w:val="24"/>
          <w:szCs w:val="24"/>
        </w:rPr>
        <w:t>-behandling.</w:t>
      </w:r>
    </w:p>
    <w:p w14:paraId="52340E41" w14:textId="77777777" w:rsidR="00355DFD" w:rsidRPr="00811F65" w:rsidRDefault="00355DFD" w:rsidP="00AC347D">
      <w:pPr>
        <w:keepNext/>
        <w:suppressAutoHyphens/>
        <w:rPr>
          <w:b/>
          <w:bCs/>
          <w:sz w:val="24"/>
          <w:szCs w:val="24"/>
        </w:rPr>
      </w:pPr>
    </w:p>
    <w:p w14:paraId="3213C7FA" w14:textId="5BD75AE6" w:rsidR="00355DFD" w:rsidRPr="00811F65" w:rsidRDefault="00355DFD" w:rsidP="00AC347D">
      <w:pPr>
        <w:keepNext/>
        <w:suppressAutoHyphens/>
        <w:rPr>
          <w:b/>
          <w:bCs/>
          <w:sz w:val="24"/>
          <w:szCs w:val="24"/>
        </w:rPr>
      </w:pPr>
      <w:r w:rsidRPr="00811F65">
        <w:rPr>
          <w:b/>
          <w:noProof/>
          <w:sz w:val="24"/>
          <w:szCs w:val="24"/>
        </w:rPr>
        <w:drawing>
          <wp:inline distT="0" distB="0" distL="0" distR="0" wp14:anchorId="0CB12970" wp14:editId="5956390C">
            <wp:extent cx="5760720" cy="3291840"/>
            <wp:effectExtent l="0" t="0" r="0" b="3810"/>
            <wp:docPr id="3" name="Billede 3" descr="Et billede, der indeholder tekst, diagram, linje/rækk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Et billede, der indeholder tekst, diagram, linje/række, Font/skrifttype&#10;&#10;Automatisk generere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91840"/>
                    </a:xfrm>
                    <a:prstGeom prst="rect">
                      <a:avLst/>
                    </a:prstGeom>
                    <a:noFill/>
                    <a:ln>
                      <a:noFill/>
                    </a:ln>
                  </pic:spPr>
                </pic:pic>
              </a:graphicData>
            </a:graphic>
          </wp:inline>
        </w:drawing>
      </w:r>
    </w:p>
    <w:p w14:paraId="3BEB9F08" w14:textId="77777777" w:rsidR="00355DFD" w:rsidRPr="00811F65" w:rsidRDefault="00355DFD" w:rsidP="00AC347D">
      <w:pPr>
        <w:keepNext/>
        <w:suppressAutoHyphens/>
        <w:rPr>
          <w:b/>
          <w:bCs/>
          <w:sz w:val="24"/>
          <w:szCs w:val="24"/>
        </w:rPr>
      </w:pPr>
    </w:p>
    <w:p w14:paraId="45A3A69D" w14:textId="77777777" w:rsidR="00355DFD" w:rsidRPr="00811F65" w:rsidRDefault="00355DFD" w:rsidP="00355DFD">
      <w:pPr>
        <w:suppressAutoHyphens/>
        <w:rPr>
          <w:b/>
          <w:bCs/>
          <w:sz w:val="24"/>
          <w:szCs w:val="24"/>
        </w:rPr>
      </w:pPr>
    </w:p>
    <w:p w14:paraId="3466336E" w14:textId="291F6E1A" w:rsidR="00355DFD" w:rsidRPr="00811F65" w:rsidRDefault="00355DFD" w:rsidP="00AC347D">
      <w:pPr>
        <w:keepNext/>
        <w:suppressAutoHyphens/>
        <w:rPr>
          <w:b/>
          <w:bCs/>
          <w:sz w:val="24"/>
          <w:szCs w:val="24"/>
        </w:rPr>
      </w:pPr>
      <w:r w:rsidRPr="00811F65">
        <w:rPr>
          <w:b/>
          <w:bCs/>
          <w:sz w:val="24"/>
          <w:szCs w:val="24"/>
        </w:rPr>
        <w:lastRenderedPageBreak/>
        <w:t xml:space="preserve">Figur 3 Kaplan-Meier kurve over progressionsfri overlevelse </w:t>
      </w:r>
      <w:proofErr w:type="spellStart"/>
      <w:r w:rsidRPr="00811F65">
        <w:rPr>
          <w:b/>
          <w:bCs/>
          <w:sz w:val="24"/>
          <w:szCs w:val="24"/>
        </w:rPr>
        <w:t>udfra</w:t>
      </w:r>
      <w:proofErr w:type="spellEnd"/>
      <w:r w:rsidRPr="00811F65">
        <w:rPr>
          <w:b/>
          <w:bCs/>
          <w:sz w:val="24"/>
          <w:szCs w:val="24"/>
        </w:rPr>
        <w:t xml:space="preserve"> uafhængig vurdering i</w:t>
      </w:r>
      <w:r w:rsidR="00AC347D">
        <w:rPr>
          <w:b/>
          <w:bCs/>
          <w:sz w:val="24"/>
          <w:szCs w:val="24"/>
        </w:rPr>
        <w:t xml:space="preserve"> </w:t>
      </w:r>
      <w:r w:rsidRPr="00811F65">
        <w:rPr>
          <w:b/>
          <w:bCs/>
          <w:sz w:val="24"/>
          <w:szCs w:val="24"/>
        </w:rPr>
        <w:t>undergruppen med tidligere cytokin-behandling.</w:t>
      </w:r>
    </w:p>
    <w:p w14:paraId="4FCFD90E" w14:textId="77777777" w:rsidR="00355DFD" w:rsidRPr="00811F65" w:rsidRDefault="00355DFD" w:rsidP="00AC347D">
      <w:pPr>
        <w:keepNext/>
        <w:suppressAutoHyphens/>
        <w:rPr>
          <w:b/>
          <w:bCs/>
          <w:sz w:val="24"/>
          <w:szCs w:val="24"/>
        </w:rPr>
      </w:pPr>
    </w:p>
    <w:p w14:paraId="73C6BC9C" w14:textId="536AB03C" w:rsidR="00355DFD" w:rsidRPr="00811F65" w:rsidRDefault="00355DFD" w:rsidP="00AC347D">
      <w:pPr>
        <w:keepNext/>
        <w:suppressAutoHyphens/>
        <w:rPr>
          <w:b/>
          <w:bCs/>
          <w:sz w:val="24"/>
          <w:szCs w:val="24"/>
        </w:rPr>
      </w:pPr>
      <w:r w:rsidRPr="00811F65">
        <w:rPr>
          <w:b/>
          <w:noProof/>
          <w:sz w:val="24"/>
          <w:szCs w:val="24"/>
        </w:rPr>
        <w:drawing>
          <wp:inline distT="0" distB="0" distL="0" distR="0" wp14:anchorId="038F5F25" wp14:editId="75A198AA">
            <wp:extent cx="5760720" cy="3139440"/>
            <wp:effectExtent l="0" t="0" r="0" b="3810"/>
            <wp:docPr id="2" name="Billede 2" descr="Et billede, der indeholder tekst, linje/række, diagram,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descr="Et billede, der indeholder tekst, linje/række, diagram, Font/skrifttype&#10;&#10;Automatisk generere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139440"/>
                    </a:xfrm>
                    <a:prstGeom prst="rect">
                      <a:avLst/>
                    </a:prstGeom>
                    <a:noFill/>
                    <a:ln>
                      <a:noFill/>
                    </a:ln>
                  </pic:spPr>
                </pic:pic>
              </a:graphicData>
            </a:graphic>
          </wp:inline>
        </w:drawing>
      </w:r>
    </w:p>
    <w:p w14:paraId="2A3E944D" w14:textId="77777777" w:rsidR="00355DFD" w:rsidRPr="00811F65" w:rsidRDefault="00355DFD" w:rsidP="00AC347D">
      <w:pPr>
        <w:keepNext/>
        <w:suppressAutoHyphens/>
        <w:rPr>
          <w:b/>
          <w:bCs/>
          <w:sz w:val="24"/>
          <w:szCs w:val="24"/>
        </w:rPr>
      </w:pPr>
    </w:p>
    <w:p w14:paraId="3DCC098B" w14:textId="77777777" w:rsidR="00355DFD" w:rsidRPr="00811F65" w:rsidRDefault="00355DFD" w:rsidP="005235F2">
      <w:pPr>
        <w:suppressAutoHyphens/>
        <w:ind w:left="851"/>
        <w:rPr>
          <w:sz w:val="24"/>
          <w:szCs w:val="24"/>
          <w:u w:val="single"/>
        </w:rPr>
      </w:pPr>
      <w:r w:rsidRPr="00811F65">
        <w:rPr>
          <w:sz w:val="24"/>
          <w:szCs w:val="24"/>
          <w:u w:val="single"/>
        </w:rPr>
        <w:t>Pædiatrisk population</w:t>
      </w:r>
    </w:p>
    <w:p w14:paraId="1E97FA5E" w14:textId="26F9E873" w:rsidR="00355DFD" w:rsidRPr="00811F65" w:rsidRDefault="00355DFD" w:rsidP="005235F2">
      <w:pPr>
        <w:suppressAutoHyphens/>
        <w:ind w:left="851"/>
        <w:rPr>
          <w:sz w:val="24"/>
          <w:szCs w:val="24"/>
        </w:rPr>
      </w:pPr>
      <w:r w:rsidRPr="00811F65">
        <w:rPr>
          <w:sz w:val="24"/>
          <w:szCs w:val="24"/>
        </w:rPr>
        <w:t>Det Europæiske Lægemiddelagentur har dispenseret fra kravet om at fremlægge resultaterne af studier</w:t>
      </w:r>
      <w:r w:rsidR="00E84059">
        <w:rPr>
          <w:sz w:val="24"/>
          <w:szCs w:val="24"/>
        </w:rPr>
        <w:t xml:space="preserve"> </w:t>
      </w:r>
      <w:r w:rsidRPr="00811F65">
        <w:rPr>
          <w:sz w:val="24"/>
          <w:szCs w:val="24"/>
        </w:rPr>
        <w:t xml:space="preserve">med </w:t>
      </w:r>
      <w:proofErr w:type="spellStart"/>
      <w:r w:rsidRPr="00811F65">
        <w:rPr>
          <w:sz w:val="24"/>
          <w:szCs w:val="24"/>
        </w:rPr>
        <w:t>axitinib</w:t>
      </w:r>
      <w:proofErr w:type="spellEnd"/>
      <w:r w:rsidRPr="00811F65">
        <w:rPr>
          <w:sz w:val="24"/>
          <w:szCs w:val="24"/>
        </w:rPr>
        <w:t xml:space="preserve"> i alle undergrupper af den pædiatriske population til behandling af nyre- og</w:t>
      </w:r>
      <w:r w:rsidR="00AC347D">
        <w:rPr>
          <w:sz w:val="24"/>
          <w:szCs w:val="24"/>
        </w:rPr>
        <w:t xml:space="preserve"> </w:t>
      </w:r>
      <w:r w:rsidRPr="00811F65">
        <w:rPr>
          <w:sz w:val="24"/>
          <w:szCs w:val="24"/>
        </w:rPr>
        <w:t xml:space="preserve">nyrebækkenkarcinom (eksklusive </w:t>
      </w:r>
      <w:proofErr w:type="spellStart"/>
      <w:r w:rsidRPr="00811F65">
        <w:rPr>
          <w:sz w:val="24"/>
          <w:szCs w:val="24"/>
        </w:rPr>
        <w:t>nefroblastom</w:t>
      </w:r>
      <w:proofErr w:type="spellEnd"/>
      <w:r w:rsidRPr="00811F65">
        <w:rPr>
          <w:sz w:val="24"/>
          <w:szCs w:val="24"/>
        </w:rPr>
        <w:t xml:space="preserve">, </w:t>
      </w:r>
      <w:proofErr w:type="spellStart"/>
      <w:r w:rsidRPr="00811F65">
        <w:rPr>
          <w:sz w:val="24"/>
          <w:szCs w:val="24"/>
        </w:rPr>
        <w:t>nefroblastomatose</w:t>
      </w:r>
      <w:proofErr w:type="spellEnd"/>
      <w:r w:rsidRPr="00811F65">
        <w:rPr>
          <w:sz w:val="24"/>
          <w:szCs w:val="24"/>
        </w:rPr>
        <w:t xml:space="preserve">, clear-cell-sarkom, </w:t>
      </w:r>
      <w:proofErr w:type="spellStart"/>
      <w:r w:rsidRPr="00811F65">
        <w:rPr>
          <w:sz w:val="24"/>
          <w:szCs w:val="24"/>
        </w:rPr>
        <w:t>mesoblastisk</w:t>
      </w:r>
      <w:proofErr w:type="spellEnd"/>
      <w:r w:rsidR="00AC347D">
        <w:rPr>
          <w:sz w:val="24"/>
          <w:szCs w:val="24"/>
        </w:rPr>
        <w:t xml:space="preserve"> </w:t>
      </w:r>
      <w:proofErr w:type="spellStart"/>
      <w:r w:rsidRPr="00811F65">
        <w:rPr>
          <w:sz w:val="24"/>
          <w:szCs w:val="24"/>
        </w:rPr>
        <w:t>nefrom</w:t>
      </w:r>
      <w:proofErr w:type="spellEnd"/>
      <w:r w:rsidRPr="00811F65">
        <w:rPr>
          <w:sz w:val="24"/>
          <w:szCs w:val="24"/>
        </w:rPr>
        <w:t xml:space="preserve">, nyremarvskarcinom og </w:t>
      </w:r>
      <w:proofErr w:type="spellStart"/>
      <w:r w:rsidRPr="00811F65">
        <w:rPr>
          <w:sz w:val="24"/>
          <w:szCs w:val="24"/>
        </w:rPr>
        <w:t>rabdoid</w:t>
      </w:r>
      <w:proofErr w:type="spellEnd"/>
      <w:r w:rsidRPr="00811F65">
        <w:rPr>
          <w:sz w:val="24"/>
          <w:szCs w:val="24"/>
        </w:rPr>
        <w:t xml:space="preserve"> tumor i nyren) (se pkt. 4.2 for oplysninger om pædiatrisk</w:t>
      </w:r>
      <w:r w:rsidR="00AC347D">
        <w:rPr>
          <w:sz w:val="24"/>
          <w:szCs w:val="24"/>
        </w:rPr>
        <w:t xml:space="preserve"> </w:t>
      </w:r>
      <w:r w:rsidRPr="00811F65">
        <w:rPr>
          <w:sz w:val="24"/>
          <w:szCs w:val="24"/>
        </w:rPr>
        <w:t>anvendelse).</w:t>
      </w:r>
    </w:p>
    <w:p w14:paraId="096BB94A" w14:textId="77777777" w:rsidR="009260DE" w:rsidRPr="00811F65" w:rsidRDefault="009260DE" w:rsidP="009260DE">
      <w:pPr>
        <w:tabs>
          <w:tab w:val="left" w:pos="851"/>
        </w:tabs>
        <w:ind w:left="851"/>
        <w:rPr>
          <w:sz w:val="24"/>
          <w:szCs w:val="24"/>
        </w:rPr>
      </w:pPr>
    </w:p>
    <w:p w14:paraId="04B00043" w14:textId="77777777" w:rsidR="009260DE" w:rsidRPr="00811F65" w:rsidRDefault="009260DE" w:rsidP="009260DE">
      <w:pPr>
        <w:tabs>
          <w:tab w:val="left" w:pos="851"/>
        </w:tabs>
        <w:ind w:left="851" w:hanging="851"/>
        <w:rPr>
          <w:b/>
          <w:sz w:val="24"/>
          <w:szCs w:val="24"/>
        </w:rPr>
      </w:pPr>
      <w:r w:rsidRPr="00811F65">
        <w:rPr>
          <w:b/>
          <w:sz w:val="24"/>
          <w:szCs w:val="24"/>
        </w:rPr>
        <w:t>5.2</w:t>
      </w:r>
      <w:r w:rsidRPr="00811F65">
        <w:rPr>
          <w:b/>
          <w:sz w:val="24"/>
          <w:szCs w:val="24"/>
        </w:rPr>
        <w:tab/>
      </w:r>
      <w:proofErr w:type="spellStart"/>
      <w:r w:rsidRPr="00811F65">
        <w:rPr>
          <w:b/>
          <w:sz w:val="24"/>
          <w:szCs w:val="24"/>
        </w:rPr>
        <w:t>Farmakokinetiske</w:t>
      </w:r>
      <w:proofErr w:type="spellEnd"/>
      <w:r w:rsidRPr="00811F65">
        <w:rPr>
          <w:b/>
          <w:sz w:val="24"/>
          <w:szCs w:val="24"/>
        </w:rPr>
        <w:t xml:space="preserve"> egenskaber</w:t>
      </w:r>
    </w:p>
    <w:p w14:paraId="6D51A69B" w14:textId="37971BBB" w:rsidR="00355DFD" w:rsidRPr="00811F65" w:rsidRDefault="00355DFD" w:rsidP="005235F2">
      <w:pPr>
        <w:suppressAutoHyphens/>
        <w:ind w:left="851"/>
        <w:rPr>
          <w:sz w:val="24"/>
          <w:szCs w:val="24"/>
        </w:rPr>
      </w:pPr>
      <w:r w:rsidRPr="00811F65">
        <w:rPr>
          <w:sz w:val="24"/>
          <w:szCs w:val="24"/>
        </w:rPr>
        <w:t>Sammenlignet med intravenøs administration er den gennemsnitlige absolutte biotilgængelighed 58</w:t>
      </w:r>
      <w:r w:rsidR="00E84059">
        <w:rPr>
          <w:sz w:val="24"/>
          <w:szCs w:val="24"/>
        </w:rPr>
        <w:t xml:space="preserve"> %</w:t>
      </w:r>
      <w:r w:rsidR="00AC347D">
        <w:rPr>
          <w:sz w:val="24"/>
          <w:szCs w:val="24"/>
        </w:rPr>
        <w:t xml:space="preserve"> </w:t>
      </w:r>
      <w:r w:rsidRPr="00811F65">
        <w:rPr>
          <w:sz w:val="24"/>
          <w:szCs w:val="24"/>
        </w:rPr>
        <w:t xml:space="preserve">efter oral administration af </w:t>
      </w:r>
      <w:proofErr w:type="spellStart"/>
      <w:r w:rsidRPr="00811F65">
        <w:rPr>
          <w:sz w:val="24"/>
          <w:szCs w:val="24"/>
        </w:rPr>
        <w:t>axitinib</w:t>
      </w:r>
      <w:proofErr w:type="spellEnd"/>
      <w:r w:rsidRPr="00811F65">
        <w:rPr>
          <w:sz w:val="24"/>
          <w:szCs w:val="24"/>
        </w:rPr>
        <w:t xml:space="preserve"> tabletter. Plasmahalveringstiden varierer fra 2,5 til 6,1 timer.</w:t>
      </w:r>
    </w:p>
    <w:p w14:paraId="7071898F" w14:textId="77777777" w:rsidR="00355DFD" w:rsidRPr="00811F65" w:rsidRDefault="00355DFD" w:rsidP="005235F2">
      <w:pPr>
        <w:suppressAutoHyphens/>
        <w:ind w:left="851"/>
        <w:rPr>
          <w:sz w:val="24"/>
          <w:szCs w:val="24"/>
        </w:rPr>
      </w:pPr>
      <w:r w:rsidRPr="00811F65">
        <w:rPr>
          <w:sz w:val="24"/>
          <w:szCs w:val="24"/>
        </w:rPr>
        <w:t xml:space="preserve">Akkumuleringen var mindre end det dobbelte ved indgift af 5 mg </w:t>
      </w:r>
      <w:proofErr w:type="spellStart"/>
      <w:r w:rsidRPr="00811F65">
        <w:rPr>
          <w:sz w:val="24"/>
          <w:szCs w:val="24"/>
        </w:rPr>
        <w:t>axitinib</w:t>
      </w:r>
      <w:proofErr w:type="spellEnd"/>
      <w:r w:rsidRPr="00811F65">
        <w:rPr>
          <w:sz w:val="24"/>
          <w:szCs w:val="24"/>
        </w:rPr>
        <w:t xml:space="preserve"> 2 gange dagligt</w:t>
      </w:r>
    </w:p>
    <w:p w14:paraId="615B1D24" w14:textId="03056750" w:rsidR="00355DFD" w:rsidRPr="00811F65" w:rsidRDefault="00355DFD" w:rsidP="005235F2">
      <w:pPr>
        <w:suppressAutoHyphens/>
        <w:ind w:left="851"/>
        <w:rPr>
          <w:sz w:val="24"/>
          <w:szCs w:val="24"/>
        </w:rPr>
      </w:pPr>
      <w:r w:rsidRPr="00811F65">
        <w:rPr>
          <w:sz w:val="24"/>
          <w:szCs w:val="24"/>
        </w:rPr>
        <w:t xml:space="preserve">sammenlignet med administration af 1 enkelt dosis. På baggrund af den korte halveringstid af </w:t>
      </w:r>
      <w:proofErr w:type="spellStart"/>
      <w:r w:rsidRPr="00811F65">
        <w:rPr>
          <w:sz w:val="24"/>
          <w:szCs w:val="24"/>
        </w:rPr>
        <w:t>axitinib</w:t>
      </w:r>
      <w:proofErr w:type="spellEnd"/>
      <w:r w:rsidRPr="00811F65">
        <w:rPr>
          <w:sz w:val="24"/>
          <w:szCs w:val="24"/>
        </w:rPr>
        <w:t>,</w:t>
      </w:r>
      <w:r w:rsidR="00AC347D">
        <w:rPr>
          <w:sz w:val="24"/>
          <w:szCs w:val="24"/>
        </w:rPr>
        <w:t xml:space="preserve"> </w:t>
      </w:r>
      <w:r w:rsidRPr="00811F65">
        <w:rPr>
          <w:sz w:val="24"/>
          <w:szCs w:val="24"/>
        </w:rPr>
        <w:t xml:space="preserve">forventes </w:t>
      </w:r>
      <w:proofErr w:type="spellStart"/>
      <w:r w:rsidRPr="00811F65">
        <w:rPr>
          <w:sz w:val="24"/>
          <w:szCs w:val="24"/>
        </w:rPr>
        <w:t>steady</w:t>
      </w:r>
      <w:proofErr w:type="spellEnd"/>
      <w:r w:rsidRPr="00811F65">
        <w:rPr>
          <w:sz w:val="24"/>
          <w:szCs w:val="24"/>
        </w:rPr>
        <w:t xml:space="preserve"> </w:t>
      </w:r>
      <w:proofErr w:type="spellStart"/>
      <w:r w:rsidRPr="00811F65">
        <w:rPr>
          <w:sz w:val="24"/>
          <w:szCs w:val="24"/>
        </w:rPr>
        <w:t>state</w:t>
      </w:r>
      <w:proofErr w:type="spellEnd"/>
      <w:r w:rsidRPr="00811F65">
        <w:rPr>
          <w:sz w:val="24"/>
          <w:szCs w:val="24"/>
        </w:rPr>
        <w:t xml:space="preserve"> at indtræde indenfor 2-3 dage efter den første dosis.</w:t>
      </w:r>
    </w:p>
    <w:p w14:paraId="7F79EAC1" w14:textId="77777777" w:rsidR="00355DFD" w:rsidRPr="00811F65" w:rsidRDefault="00355DFD" w:rsidP="005235F2">
      <w:pPr>
        <w:suppressAutoHyphens/>
        <w:ind w:left="851"/>
        <w:rPr>
          <w:sz w:val="24"/>
          <w:szCs w:val="24"/>
        </w:rPr>
      </w:pPr>
    </w:p>
    <w:p w14:paraId="032FF7E9" w14:textId="77777777" w:rsidR="00355DFD" w:rsidRPr="00811F65" w:rsidRDefault="00355DFD" w:rsidP="005235F2">
      <w:pPr>
        <w:suppressAutoHyphens/>
        <w:ind w:left="851"/>
        <w:rPr>
          <w:sz w:val="24"/>
          <w:szCs w:val="24"/>
          <w:u w:val="single"/>
        </w:rPr>
      </w:pPr>
      <w:r w:rsidRPr="00811F65">
        <w:rPr>
          <w:sz w:val="24"/>
          <w:szCs w:val="24"/>
          <w:u w:val="single"/>
        </w:rPr>
        <w:t>Absorption og fordeling</w:t>
      </w:r>
    </w:p>
    <w:p w14:paraId="6522ED8E" w14:textId="2315AE93" w:rsidR="00355DFD" w:rsidRPr="00811F65" w:rsidRDefault="00355DFD" w:rsidP="005235F2">
      <w:pPr>
        <w:suppressAutoHyphens/>
        <w:ind w:left="851"/>
        <w:rPr>
          <w:sz w:val="24"/>
          <w:szCs w:val="24"/>
        </w:rPr>
      </w:pPr>
      <w:r w:rsidRPr="00811F65">
        <w:rPr>
          <w:sz w:val="24"/>
          <w:szCs w:val="24"/>
        </w:rPr>
        <w:t xml:space="preserve">Maksimal </w:t>
      </w:r>
      <w:proofErr w:type="spellStart"/>
      <w:r w:rsidRPr="00811F65">
        <w:rPr>
          <w:sz w:val="24"/>
          <w:szCs w:val="24"/>
        </w:rPr>
        <w:t>axitinib</w:t>
      </w:r>
      <w:proofErr w:type="spellEnd"/>
      <w:r w:rsidRPr="00811F65">
        <w:rPr>
          <w:sz w:val="24"/>
          <w:szCs w:val="24"/>
        </w:rPr>
        <w:t>-plasmakoncentration nås almindeligvis indenfor 4 timer efter oral administration af</w:t>
      </w:r>
      <w:r w:rsidR="00AC347D">
        <w:rPr>
          <w:sz w:val="24"/>
          <w:szCs w:val="24"/>
        </w:rPr>
        <w:t xml:space="preserve"> </w:t>
      </w:r>
      <w:proofErr w:type="spellStart"/>
      <w:r w:rsidRPr="00811F65">
        <w:rPr>
          <w:sz w:val="24"/>
          <w:szCs w:val="24"/>
        </w:rPr>
        <w:t>axitinib</w:t>
      </w:r>
      <w:proofErr w:type="spellEnd"/>
      <w:r w:rsidRPr="00811F65">
        <w:rPr>
          <w:sz w:val="24"/>
          <w:szCs w:val="24"/>
        </w:rPr>
        <w:t xml:space="preserve"> med median </w:t>
      </w:r>
      <w:proofErr w:type="spellStart"/>
      <w:r w:rsidRPr="00811F65">
        <w:rPr>
          <w:sz w:val="24"/>
          <w:szCs w:val="24"/>
        </w:rPr>
        <w:t>T</w:t>
      </w:r>
      <w:r w:rsidRPr="00E84059">
        <w:rPr>
          <w:sz w:val="24"/>
          <w:szCs w:val="24"/>
          <w:vertAlign w:val="subscript"/>
        </w:rPr>
        <w:t>max</w:t>
      </w:r>
      <w:proofErr w:type="spellEnd"/>
      <w:r w:rsidRPr="00811F65">
        <w:rPr>
          <w:sz w:val="24"/>
          <w:szCs w:val="24"/>
        </w:rPr>
        <w:t xml:space="preserve"> varierende fra 2,5 til 4,1 timer. Administration af </w:t>
      </w:r>
      <w:proofErr w:type="spellStart"/>
      <w:r w:rsidRPr="00811F65">
        <w:rPr>
          <w:sz w:val="24"/>
          <w:szCs w:val="24"/>
        </w:rPr>
        <w:t>axitinib</w:t>
      </w:r>
      <w:proofErr w:type="spellEnd"/>
      <w:r w:rsidRPr="00811F65">
        <w:rPr>
          <w:sz w:val="24"/>
          <w:szCs w:val="24"/>
        </w:rPr>
        <w:t xml:space="preserve"> sammen med et</w:t>
      </w:r>
      <w:r w:rsidR="00AC347D">
        <w:rPr>
          <w:sz w:val="24"/>
          <w:szCs w:val="24"/>
        </w:rPr>
        <w:t xml:space="preserve"> </w:t>
      </w:r>
      <w:r w:rsidRPr="00811F65">
        <w:rPr>
          <w:sz w:val="24"/>
          <w:szCs w:val="24"/>
        </w:rPr>
        <w:t>moderat fedtrigt måltid medfører 10</w:t>
      </w:r>
      <w:r w:rsidR="00E84059">
        <w:rPr>
          <w:sz w:val="24"/>
          <w:szCs w:val="24"/>
        </w:rPr>
        <w:t xml:space="preserve"> %</w:t>
      </w:r>
      <w:r w:rsidRPr="00811F65">
        <w:rPr>
          <w:sz w:val="24"/>
          <w:szCs w:val="24"/>
        </w:rPr>
        <w:t xml:space="preserve"> mindre </w:t>
      </w:r>
      <w:proofErr w:type="spellStart"/>
      <w:r w:rsidRPr="00811F65">
        <w:rPr>
          <w:sz w:val="24"/>
          <w:szCs w:val="24"/>
        </w:rPr>
        <w:t>eksposure</w:t>
      </w:r>
      <w:proofErr w:type="spellEnd"/>
      <w:r w:rsidRPr="00811F65">
        <w:rPr>
          <w:sz w:val="24"/>
          <w:szCs w:val="24"/>
        </w:rPr>
        <w:t xml:space="preserve"> sammenlignet med faste natten over. Et</w:t>
      </w:r>
      <w:r w:rsidR="00AC347D">
        <w:rPr>
          <w:sz w:val="24"/>
          <w:szCs w:val="24"/>
        </w:rPr>
        <w:t xml:space="preserve"> </w:t>
      </w:r>
      <w:r w:rsidRPr="00811F65">
        <w:rPr>
          <w:sz w:val="24"/>
          <w:szCs w:val="24"/>
        </w:rPr>
        <w:t>meget fedtrigt, kalorierigt måltid medfører 19</w:t>
      </w:r>
      <w:r w:rsidR="00E84059">
        <w:rPr>
          <w:sz w:val="24"/>
          <w:szCs w:val="24"/>
        </w:rPr>
        <w:t xml:space="preserve"> %</w:t>
      </w:r>
      <w:r w:rsidRPr="00811F65">
        <w:rPr>
          <w:sz w:val="24"/>
          <w:szCs w:val="24"/>
        </w:rPr>
        <w:t xml:space="preserve"> højere </w:t>
      </w:r>
      <w:proofErr w:type="spellStart"/>
      <w:r w:rsidRPr="00811F65">
        <w:rPr>
          <w:sz w:val="24"/>
          <w:szCs w:val="24"/>
        </w:rPr>
        <w:t>eksposure</w:t>
      </w:r>
      <w:proofErr w:type="spellEnd"/>
      <w:r w:rsidRPr="00811F65">
        <w:rPr>
          <w:sz w:val="24"/>
          <w:szCs w:val="24"/>
        </w:rPr>
        <w:t xml:space="preserve"> sammenlignet med faste natten over.</w:t>
      </w:r>
    </w:p>
    <w:p w14:paraId="080059D3" w14:textId="77777777" w:rsidR="00355DFD" w:rsidRPr="00811F65" w:rsidRDefault="00355DFD" w:rsidP="005235F2">
      <w:pPr>
        <w:suppressAutoHyphens/>
        <w:ind w:left="851"/>
        <w:rPr>
          <w:sz w:val="24"/>
          <w:szCs w:val="24"/>
        </w:rPr>
      </w:pPr>
      <w:proofErr w:type="spellStart"/>
      <w:r w:rsidRPr="00811F65">
        <w:rPr>
          <w:sz w:val="24"/>
          <w:szCs w:val="24"/>
        </w:rPr>
        <w:t>Axitinib</w:t>
      </w:r>
      <w:proofErr w:type="spellEnd"/>
      <w:r w:rsidRPr="00811F65">
        <w:rPr>
          <w:sz w:val="24"/>
          <w:szCs w:val="24"/>
        </w:rPr>
        <w:t xml:space="preserve"> kan tages med eller uden mad (se pkt. 4.2).</w:t>
      </w:r>
    </w:p>
    <w:p w14:paraId="1082A316" w14:textId="77777777" w:rsidR="00355DFD" w:rsidRPr="00811F65" w:rsidRDefault="00355DFD" w:rsidP="005235F2">
      <w:pPr>
        <w:suppressAutoHyphens/>
        <w:ind w:left="851"/>
        <w:rPr>
          <w:sz w:val="24"/>
          <w:szCs w:val="24"/>
        </w:rPr>
      </w:pPr>
    </w:p>
    <w:p w14:paraId="1D70F255" w14:textId="0239477F" w:rsidR="00355DFD" w:rsidRPr="00811F65" w:rsidRDefault="00355DFD" w:rsidP="005235F2">
      <w:pPr>
        <w:suppressAutoHyphens/>
        <w:ind w:left="851"/>
        <w:rPr>
          <w:sz w:val="24"/>
          <w:szCs w:val="24"/>
        </w:rPr>
      </w:pPr>
      <w:r w:rsidRPr="00811F65">
        <w:rPr>
          <w:sz w:val="24"/>
          <w:szCs w:val="24"/>
        </w:rPr>
        <w:t xml:space="preserve">Det gennemsnitlige </w:t>
      </w:r>
      <w:proofErr w:type="spellStart"/>
      <w:r w:rsidRPr="00811F65">
        <w:rPr>
          <w:sz w:val="24"/>
          <w:szCs w:val="24"/>
        </w:rPr>
        <w:t>C</w:t>
      </w:r>
      <w:r w:rsidRPr="00811F65">
        <w:rPr>
          <w:sz w:val="24"/>
          <w:szCs w:val="24"/>
          <w:vertAlign w:val="subscript"/>
        </w:rPr>
        <w:t>max</w:t>
      </w:r>
      <w:proofErr w:type="spellEnd"/>
      <w:r w:rsidRPr="00811F65">
        <w:rPr>
          <w:sz w:val="24"/>
          <w:szCs w:val="24"/>
          <w:vertAlign w:val="subscript"/>
        </w:rPr>
        <w:t xml:space="preserve"> </w:t>
      </w:r>
      <w:r w:rsidRPr="00811F65">
        <w:rPr>
          <w:sz w:val="24"/>
          <w:szCs w:val="24"/>
        </w:rPr>
        <w:t xml:space="preserve">og AUC stiger proportionalt i doseringsområdet 5 til 10 mg </w:t>
      </w:r>
      <w:proofErr w:type="spellStart"/>
      <w:r w:rsidRPr="00811F65">
        <w:rPr>
          <w:sz w:val="24"/>
          <w:szCs w:val="24"/>
        </w:rPr>
        <w:t>axitinib</w:t>
      </w:r>
      <w:proofErr w:type="spellEnd"/>
      <w:r w:rsidRPr="00811F65">
        <w:rPr>
          <w:sz w:val="24"/>
          <w:szCs w:val="24"/>
        </w:rPr>
        <w:t xml:space="preserve">. </w:t>
      </w:r>
      <w:r w:rsidRPr="00811F65">
        <w:rPr>
          <w:i/>
          <w:iCs/>
          <w:sz w:val="24"/>
          <w:szCs w:val="24"/>
        </w:rPr>
        <w:t xml:space="preserve">In </w:t>
      </w:r>
      <w:proofErr w:type="spellStart"/>
      <w:r w:rsidRPr="00811F65">
        <w:rPr>
          <w:i/>
          <w:iCs/>
          <w:sz w:val="24"/>
          <w:szCs w:val="24"/>
        </w:rPr>
        <w:t>vitro</w:t>
      </w:r>
      <w:proofErr w:type="spellEnd"/>
      <w:r w:rsidR="00AC347D">
        <w:rPr>
          <w:i/>
          <w:iCs/>
          <w:sz w:val="24"/>
          <w:szCs w:val="24"/>
        </w:rPr>
        <w:t xml:space="preserve"> </w:t>
      </w:r>
      <w:r w:rsidRPr="00811F65">
        <w:rPr>
          <w:sz w:val="24"/>
          <w:szCs w:val="24"/>
        </w:rPr>
        <w:t xml:space="preserve">er den humane proteinbindingsgrad af </w:t>
      </w:r>
      <w:proofErr w:type="spellStart"/>
      <w:r w:rsidRPr="00811F65">
        <w:rPr>
          <w:sz w:val="24"/>
          <w:szCs w:val="24"/>
        </w:rPr>
        <w:t>axitinib</w:t>
      </w:r>
      <w:proofErr w:type="spellEnd"/>
      <w:r w:rsidRPr="00811F65">
        <w:rPr>
          <w:sz w:val="24"/>
          <w:szCs w:val="24"/>
        </w:rPr>
        <w:t xml:space="preserve"> &gt;99</w:t>
      </w:r>
      <w:r w:rsidR="00E84059">
        <w:rPr>
          <w:sz w:val="24"/>
          <w:szCs w:val="24"/>
        </w:rPr>
        <w:t xml:space="preserve"> %</w:t>
      </w:r>
      <w:r w:rsidRPr="00811F65">
        <w:rPr>
          <w:sz w:val="24"/>
          <w:szCs w:val="24"/>
        </w:rPr>
        <w:t xml:space="preserve"> med overvejende binding til albumin og moderat</w:t>
      </w:r>
      <w:r w:rsidR="00AC347D">
        <w:rPr>
          <w:sz w:val="24"/>
          <w:szCs w:val="24"/>
        </w:rPr>
        <w:t xml:space="preserve"> </w:t>
      </w:r>
      <w:r w:rsidRPr="00811F65">
        <w:rPr>
          <w:sz w:val="24"/>
          <w:szCs w:val="24"/>
        </w:rPr>
        <w:t>binding til α1-syre-glykoprotein. Ved doseringen 5 mg 2 dagligt til ikke-fastende patienter med RCC</w:t>
      </w:r>
      <w:r w:rsidR="00AC347D">
        <w:rPr>
          <w:sz w:val="24"/>
          <w:szCs w:val="24"/>
        </w:rPr>
        <w:t xml:space="preserve"> </w:t>
      </w:r>
      <w:r w:rsidRPr="00811F65">
        <w:rPr>
          <w:sz w:val="24"/>
          <w:szCs w:val="24"/>
        </w:rPr>
        <w:t xml:space="preserve">er den gennemsnitlige peak-plasmakoncentration og 24-timers AUC henholdsvis 27,8 </w:t>
      </w:r>
      <w:proofErr w:type="spellStart"/>
      <w:r w:rsidRPr="00811F65">
        <w:rPr>
          <w:sz w:val="24"/>
          <w:szCs w:val="24"/>
        </w:rPr>
        <w:t>ng</w:t>
      </w:r>
      <w:proofErr w:type="spellEnd"/>
      <w:r w:rsidRPr="00811F65">
        <w:rPr>
          <w:sz w:val="24"/>
          <w:szCs w:val="24"/>
        </w:rPr>
        <w:t>/ml og 265</w:t>
      </w:r>
      <w:r w:rsidR="00AC347D">
        <w:rPr>
          <w:sz w:val="24"/>
          <w:szCs w:val="24"/>
        </w:rPr>
        <w:t xml:space="preserve"> </w:t>
      </w:r>
      <w:proofErr w:type="spellStart"/>
      <w:proofErr w:type="gramStart"/>
      <w:r w:rsidRPr="00811F65">
        <w:rPr>
          <w:sz w:val="24"/>
          <w:szCs w:val="24"/>
        </w:rPr>
        <w:t>ng.time</w:t>
      </w:r>
      <w:proofErr w:type="spellEnd"/>
      <w:proofErr w:type="gramEnd"/>
      <w:r w:rsidRPr="00811F65">
        <w:rPr>
          <w:sz w:val="24"/>
          <w:szCs w:val="24"/>
        </w:rPr>
        <w:t xml:space="preserve">/ml. </w:t>
      </w:r>
      <w:r w:rsidRPr="00811F65">
        <w:rPr>
          <w:sz w:val="24"/>
          <w:szCs w:val="24"/>
        </w:rPr>
        <w:lastRenderedPageBreak/>
        <w:t xml:space="preserve">Gennemsnitlig oral </w:t>
      </w:r>
      <w:proofErr w:type="spellStart"/>
      <w:r w:rsidRPr="00811F65">
        <w:rPr>
          <w:sz w:val="24"/>
          <w:szCs w:val="24"/>
        </w:rPr>
        <w:t>clearance</w:t>
      </w:r>
      <w:proofErr w:type="spellEnd"/>
      <w:r w:rsidRPr="00811F65">
        <w:rPr>
          <w:sz w:val="24"/>
          <w:szCs w:val="24"/>
        </w:rPr>
        <w:t xml:space="preserve"> og tilsyneladende fordelingsvolumen er henholdsvis</w:t>
      </w:r>
      <w:r w:rsidR="00AC347D">
        <w:rPr>
          <w:sz w:val="24"/>
          <w:szCs w:val="24"/>
        </w:rPr>
        <w:t xml:space="preserve"> </w:t>
      </w:r>
      <w:r w:rsidRPr="00811F65">
        <w:rPr>
          <w:sz w:val="24"/>
          <w:szCs w:val="24"/>
        </w:rPr>
        <w:t>38</w:t>
      </w:r>
      <w:r w:rsidR="00E84059">
        <w:rPr>
          <w:sz w:val="24"/>
          <w:szCs w:val="24"/>
        </w:rPr>
        <w:t> </w:t>
      </w:r>
      <w:r w:rsidRPr="00811F65">
        <w:rPr>
          <w:sz w:val="24"/>
          <w:szCs w:val="24"/>
        </w:rPr>
        <w:t>l/time og 160 l.</w:t>
      </w:r>
    </w:p>
    <w:p w14:paraId="110D6FA3" w14:textId="77777777" w:rsidR="00355DFD" w:rsidRPr="00811F65" w:rsidRDefault="00355DFD" w:rsidP="005235F2">
      <w:pPr>
        <w:suppressAutoHyphens/>
        <w:ind w:left="851"/>
        <w:rPr>
          <w:sz w:val="24"/>
          <w:szCs w:val="24"/>
        </w:rPr>
      </w:pPr>
    </w:p>
    <w:p w14:paraId="4B808200" w14:textId="77777777" w:rsidR="00355DFD" w:rsidRPr="00811F65" w:rsidRDefault="00355DFD" w:rsidP="005235F2">
      <w:pPr>
        <w:suppressAutoHyphens/>
        <w:ind w:left="851"/>
        <w:rPr>
          <w:sz w:val="24"/>
          <w:szCs w:val="24"/>
          <w:u w:val="single"/>
        </w:rPr>
      </w:pPr>
      <w:r w:rsidRPr="00811F65">
        <w:rPr>
          <w:sz w:val="24"/>
          <w:szCs w:val="24"/>
          <w:u w:val="single"/>
        </w:rPr>
        <w:t>Biotransformation og elimination</w:t>
      </w:r>
    </w:p>
    <w:p w14:paraId="7FB110F6" w14:textId="197DFB72" w:rsidR="00355DFD" w:rsidRPr="00811F65" w:rsidRDefault="00355DFD" w:rsidP="005235F2">
      <w:pPr>
        <w:suppressAutoHyphens/>
        <w:ind w:left="851"/>
        <w:rPr>
          <w:sz w:val="24"/>
          <w:szCs w:val="24"/>
        </w:rPr>
      </w:pPr>
      <w:proofErr w:type="spellStart"/>
      <w:r w:rsidRPr="00811F65">
        <w:rPr>
          <w:sz w:val="24"/>
          <w:szCs w:val="24"/>
        </w:rPr>
        <w:t>Axitinib</w:t>
      </w:r>
      <w:proofErr w:type="spellEnd"/>
      <w:r w:rsidRPr="00811F65">
        <w:rPr>
          <w:sz w:val="24"/>
          <w:szCs w:val="24"/>
        </w:rPr>
        <w:t xml:space="preserve"> </w:t>
      </w:r>
      <w:proofErr w:type="spellStart"/>
      <w:r w:rsidRPr="00811F65">
        <w:rPr>
          <w:sz w:val="24"/>
          <w:szCs w:val="24"/>
        </w:rPr>
        <w:t>metaboliseres</w:t>
      </w:r>
      <w:proofErr w:type="spellEnd"/>
      <w:r w:rsidRPr="00811F65">
        <w:rPr>
          <w:sz w:val="24"/>
          <w:szCs w:val="24"/>
        </w:rPr>
        <w:t xml:space="preserve"> primært i leveren af CYP3A4/5 og i mindre grad af CYP1A2, CYP2C19 og</w:t>
      </w:r>
      <w:r w:rsidR="00AC347D">
        <w:rPr>
          <w:sz w:val="24"/>
          <w:szCs w:val="24"/>
        </w:rPr>
        <w:t xml:space="preserve"> </w:t>
      </w:r>
      <w:r w:rsidRPr="00811F65">
        <w:rPr>
          <w:sz w:val="24"/>
          <w:szCs w:val="24"/>
        </w:rPr>
        <w:t>UGT1A1.</w:t>
      </w:r>
    </w:p>
    <w:p w14:paraId="46E49CC9" w14:textId="77777777" w:rsidR="00355DFD" w:rsidRPr="00811F65" w:rsidRDefault="00355DFD" w:rsidP="005235F2">
      <w:pPr>
        <w:suppressAutoHyphens/>
        <w:ind w:left="851"/>
        <w:rPr>
          <w:sz w:val="24"/>
          <w:szCs w:val="24"/>
        </w:rPr>
      </w:pPr>
    </w:p>
    <w:p w14:paraId="26EA297F" w14:textId="40CF73BF" w:rsidR="00355DFD" w:rsidRPr="00811F65" w:rsidRDefault="00355DFD" w:rsidP="005235F2">
      <w:pPr>
        <w:suppressAutoHyphens/>
        <w:ind w:left="851"/>
        <w:rPr>
          <w:sz w:val="24"/>
          <w:szCs w:val="24"/>
        </w:rPr>
      </w:pPr>
      <w:r w:rsidRPr="00811F65">
        <w:rPr>
          <w:sz w:val="24"/>
          <w:szCs w:val="24"/>
        </w:rPr>
        <w:t xml:space="preserve">Efter oral administration af en dosis på 5 mg radioaktivt </w:t>
      </w:r>
      <w:proofErr w:type="spellStart"/>
      <w:r w:rsidRPr="00811F65">
        <w:rPr>
          <w:sz w:val="24"/>
          <w:szCs w:val="24"/>
        </w:rPr>
        <w:t>axitinib</w:t>
      </w:r>
      <w:proofErr w:type="spellEnd"/>
      <w:r w:rsidRPr="00811F65">
        <w:rPr>
          <w:sz w:val="24"/>
          <w:szCs w:val="24"/>
        </w:rPr>
        <w:t xml:space="preserve"> genfindes 30-60</w:t>
      </w:r>
      <w:r w:rsidR="00E84059">
        <w:rPr>
          <w:sz w:val="24"/>
          <w:szCs w:val="24"/>
        </w:rPr>
        <w:t xml:space="preserve"> %</w:t>
      </w:r>
      <w:r w:rsidRPr="00811F65">
        <w:rPr>
          <w:sz w:val="24"/>
          <w:szCs w:val="24"/>
        </w:rPr>
        <w:t xml:space="preserve"> af radioaktiviteten</w:t>
      </w:r>
      <w:r w:rsidR="00AC347D">
        <w:rPr>
          <w:sz w:val="24"/>
          <w:szCs w:val="24"/>
        </w:rPr>
        <w:t xml:space="preserve"> </w:t>
      </w:r>
      <w:r w:rsidRPr="00811F65">
        <w:rPr>
          <w:sz w:val="24"/>
          <w:szCs w:val="24"/>
        </w:rPr>
        <w:t>i fæces og 23</w:t>
      </w:r>
      <w:r w:rsidR="00E84059">
        <w:rPr>
          <w:sz w:val="24"/>
          <w:szCs w:val="24"/>
        </w:rPr>
        <w:t xml:space="preserve"> %</w:t>
      </w:r>
      <w:r w:rsidRPr="00811F65">
        <w:rPr>
          <w:sz w:val="24"/>
          <w:szCs w:val="24"/>
        </w:rPr>
        <w:t xml:space="preserve"> i urinen. </w:t>
      </w:r>
      <w:proofErr w:type="spellStart"/>
      <w:r w:rsidRPr="00811F65">
        <w:rPr>
          <w:sz w:val="24"/>
          <w:szCs w:val="24"/>
        </w:rPr>
        <w:t>Uomdannet</w:t>
      </w:r>
      <w:proofErr w:type="spellEnd"/>
      <w:r w:rsidRPr="00811F65">
        <w:rPr>
          <w:sz w:val="24"/>
          <w:szCs w:val="24"/>
        </w:rPr>
        <w:t xml:space="preserve"> </w:t>
      </w:r>
      <w:proofErr w:type="spellStart"/>
      <w:r w:rsidRPr="00811F65">
        <w:rPr>
          <w:sz w:val="24"/>
          <w:szCs w:val="24"/>
        </w:rPr>
        <w:t>axitinib</w:t>
      </w:r>
      <w:proofErr w:type="spellEnd"/>
      <w:r w:rsidRPr="00811F65">
        <w:rPr>
          <w:sz w:val="24"/>
          <w:szCs w:val="24"/>
        </w:rPr>
        <w:t xml:space="preserve"> (svarende til 12</w:t>
      </w:r>
      <w:r w:rsidR="00E84059">
        <w:rPr>
          <w:sz w:val="24"/>
          <w:szCs w:val="24"/>
        </w:rPr>
        <w:t xml:space="preserve"> %</w:t>
      </w:r>
      <w:r w:rsidRPr="00811F65">
        <w:rPr>
          <w:sz w:val="24"/>
          <w:szCs w:val="24"/>
        </w:rPr>
        <w:t xml:space="preserve"> af dosis) var hovedkomponenten identificeret i fæces. Der genfindes ikke </w:t>
      </w:r>
      <w:proofErr w:type="spellStart"/>
      <w:r w:rsidRPr="00811F65">
        <w:rPr>
          <w:sz w:val="24"/>
          <w:szCs w:val="24"/>
        </w:rPr>
        <w:t>uomdannet</w:t>
      </w:r>
      <w:proofErr w:type="spellEnd"/>
      <w:r w:rsidRPr="00811F65">
        <w:rPr>
          <w:sz w:val="24"/>
          <w:szCs w:val="24"/>
        </w:rPr>
        <w:t xml:space="preserve"> </w:t>
      </w:r>
      <w:proofErr w:type="spellStart"/>
      <w:r w:rsidRPr="00811F65">
        <w:rPr>
          <w:sz w:val="24"/>
          <w:szCs w:val="24"/>
        </w:rPr>
        <w:t>axitinib</w:t>
      </w:r>
      <w:proofErr w:type="spellEnd"/>
      <w:r w:rsidRPr="00811F65">
        <w:rPr>
          <w:sz w:val="24"/>
          <w:szCs w:val="24"/>
        </w:rPr>
        <w:t xml:space="preserve"> i urinen; carboxylsyre og</w:t>
      </w:r>
      <w:r w:rsidR="00AC347D">
        <w:rPr>
          <w:sz w:val="24"/>
          <w:szCs w:val="24"/>
        </w:rPr>
        <w:t xml:space="preserve"> </w:t>
      </w:r>
      <w:proofErr w:type="spellStart"/>
      <w:r w:rsidRPr="00811F65">
        <w:rPr>
          <w:sz w:val="24"/>
          <w:szCs w:val="24"/>
        </w:rPr>
        <w:t>sulfoxidmetabolitter</w:t>
      </w:r>
      <w:proofErr w:type="spellEnd"/>
      <w:r w:rsidRPr="00811F65">
        <w:rPr>
          <w:sz w:val="24"/>
          <w:szCs w:val="24"/>
        </w:rPr>
        <w:t xml:space="preserve"> er ansvarlige for størstedelen af radioaktiviteten i urin. N-</w:t>
      </w:r>
      <w:proofErr w:type="spellStart"/>
      <w:r w:rsidRPr="00811F65">
        <w:rPr>
          <w:sz w:val="24"/>
          <w:szCs w:val="24"/>
        </w:rPr>
        <w:t>glucoronid</w:t>
      </w:r>
      <w:proofErr w:type="spellEnd"/>
      <w:r w:rsidRPr="00811F65">
        <w:rPr>
          <w:sz w:val="24"/>
          <w:szCs w:val="24"/>
        </w:rPr>
        <w:t>-metabolitter</w:t>
      </w:r>
      <w:r w:rsidR="00AC347D">
        <w:rPr>
          <w:sz w:val="24"/>
          <w:szCs w:val="24"/>
        </w:rPr>
        <w:t xml:space="preserve"> </w:t>
      </w:r>
      <w:r w:rsidRPr="00811F65">
        <w:rPr>
          <w:sz w:val="24"/>
          <w:szCs w:val="24"/>
        </w:rPr>
        <w:t>udgør størstedelen af radioaktiviteten (50</w:t>
      </w:r>
      <w:r w:rsidR="00E84059">
        <w:rPr>
          <w:sz w:val="24"/>
          <w:szCs w:val="24"/>
        </w:rPr>
        <w:t> %</w:t>
      </w:r>
      <w:r w:rsidRPr="00811F65">
        <w:rPr>
          <w:sz w:val="24"/>
          <w:szCs w:val="24"/>
        </w:rPr>
        <w:t xml:space="preserve"> af cirkulerende radioaktivitet) i plasma og </w:t>
      </w:r>
      <w:proofErr w:type="spellStart"/>
      <w:r w:rsidRPr="00811F65">
        <w:rPr>
          <w:sz w:val="24"/>
          <w:szCs w:val="24"/>
        </w:rPr>
        <w:t>uomdannet</w:t>
      </w:r>
      <w:proofErr w:type="spellEnd"/>
      <w:r w:rsidR="00AC347D">
        <w:rPr>
          <w:sz w:val="24"/>
          <w:szCs w:val="24"/>
        </w:rPr>
        <w:t xml:space="preserve"> </w:t>
      </w:r>
      <w:proofErr w:type="spellStart"/>
      <w:r w:rsidRPr="00811F65">
        <w:rPr>
          <w:sz w:val="24"/>
          <w:szCs w:val="24"/>
        </w:rPr>
        <w:t>axitinib</w:t>
      </w:r>
      <w:proofErr w:type="spellEnd"/>
      <w:r w:rsidRPr="00811F65">
        <w:rPr>
          <w:sz w:val="24"/>
          <w:szCs w:val="24"/>
        </w:rPr>
        <w:t xml:space="preserve"> og </w:t>
      </w:r>
      <w:proofErr w:type="spellStart"/>
      <w:r w:rsidRPr="00811F65">
        <w:rPr>
          <w:sz w:val="24"/>
          <w:szCs w:val="24"/>
        </w:rPr>
        <w:t>sulfoxid</w:t>
      </w:r>
      <w:proofErr w:type="spellEnd"/>
      <w:r w:rsidRPr="00811F65">
        <w:rPr>
          <w:sz w:val="24"/>
          <w:szCs w:val="24"/>
        </w:rPr>
        <w:t>-metabolitter udgør hver ca. 20</w:t>
      </w:r>
      <w:r w:rsidR="00E84059">
        <w:rPr>
          <w:sz w:val="24"/>
          <w:szCs w:val="24"/>
        </w:rPr>
        <w:t xml:space="preserve"> %</w:t>
      </w:r>
      <w:r w:rsidRPr="00811F65">
        <w:rPr>
          <w:sz w:val="24"/>
          <w:szCs w:val="24"/>
        </w:rPr>
        <w:t xml:space="preserve"> af den cirkulerende radioaktivitet.</w:t>
      </w:r>
    </w:p>
    <w:p w14:paraId="0046BBD1" w14:textId="77777777" w:rsidR="00355DFD" w:rsidRPr="00811F65" w:rsidRDefault="00355DFD" w:rsidP="005235F2">
      <w:pPr>
        <w:suppressAutoHyphens/>
        <w:ind w:left="851"/>
        <w:rPr>
          <w:sz w:val="24"/>
          <w:szCs w:val="24"/>
        </w:rPr>
      </w:pPr>
    </w:p>
    <w:p w14:paraId="75D7B774" w14:textId="0AD5B884" w:rsidR="00355DFD" w:rsidRPr="00811F65" w:rsidRDefault="00355DFD" w:rsidP="005235F2">
      <w:pPr>
        <w:suppressAutoHyphens/>
        <w:ind w:left="851"/>
        <w:rPr>
          <w:sz w:val="24"/>
          <w:szCs w:val="24"/>
        </w:rPr>
      </w:pPr>
      <w:proofErr w:type="spellStart"/>
      <w:r w:rsidRPr="00811F65">
        <w:rPr>
          <w:sz w:val="24"/>
          <w:szCs w:val="24"/>
        </w:rPr>
        <w:t>Sulfoxid</w:t>
      </w:r>
      <w:proofErr w:type="spellEnd"/>
      <w:r w:rsidRPr="00811F65">
        <w:rPr>
          <w:sz w:val="24"/>
          <w:szCs w:val="24"/>
        </w:rPr>
        <w:t>- og N-</w:t>
      </w:r>
      <w:proofErr w:type="spellStart"/>
      <w:r w:rsidRPr="00811F65">
        <w:rPr>
          <w:sz w:val="24"/>
          <w:szCs w:val="24"/>
        </w:rPr>
        <w:t>glucoronidmetabolitter</w:t>
      </w:r>
      <w:proofErr w:type="spellEnd"/>
      <w:r w:rsidRPr="00811F65">
        <w:rPr>
          <w:sz w:val="24"/>
          <w:szCs w:val="24"/>
        </w:rPr>
        <w:t xml:space="preserve"> er henholdsvis ca. 400 gange og 8000 gange mindre potente </w:t>
      </w:r>
      <w:r w:rsidRPr="00811F65">
        <w:rPr>
          <w:i/>
          <w:iCs/>
          <w:sz w:val="24"/>
          <w:szCs w:val="24"/>
        </w:rPr>
        <w:t>in</w:t>
      </w:r>
      <w:r w:rsidR="00AC347D">
        <w:rPr>
          <w:i/>
          <w:iCs/>
          <w:sz w:val="24"/>
          <w:szCs w:val="24"/>
        </w:rPr>
        <w:t xml:space="preserve"> </w:t>
      </w:r>
      <w:proofErr w:type="spellStart"/>
      <w:r w:rsidRPr="00811F65">
        <w:rPr>
          <w:i/>
          <w:iCs/>
          <w:sz w:val="24"/>
          <w:szCs w:val="24"/>
        </w:rPr>
        <w:t>vitro</w:t>
      </w:r>
      <w:proofErr w:type="spellEnd"/>
      <w:r w:rsidRPr="00811F65">
        <w:rPr>
          <w:sz w:val="24"/>
          <w:szCs w:val="24"/>
        </w:rPr>
        <w:t xml:space="preserve"> i forhold til VEGFR-2 sammenlignet med </w:t>
      </w:r>
      <w:proofErr w:type="spellStart"/>
      <w:r w:rsidRPr="00811F65">
        <w:rPr>
          <w:sz w:val="24"/>
          <w:szCs w:val="24"/>
        </w:rPr>
        <w:t>axitinib</w:t>
      </w:r>
      <w:proofErr w:type="spellEnd"/>
      <w:r w:rsidRPr="00811F65">
        <w:rPr>
          <w:sz w:val="24"/>
          <w:szCs w:val="24"/>
        </w:rPr>
        <w:t>.</w:t>
      </w:r>
    </w:p>
    <w:p w14:paraId="6FA5CEA8" w14:textId="77777777" w:rsidR="00355DFD" w:rsidRPr="00811F65" w:rsidRDefault="00355DFD" w:rsidP="005235F2">
      <w:pPr>
        <w:suppressAutoHyphens/>
        <w:ind w:left="851"/>
        <w:rPr>
          <w:sz w:val="24"/>
          <w:szCs w:val="24"/>
        </w:rPr>
      </w:pPr>
    </w:p>
    <w:p w14:paraId="46F5E410" w14:textId="77777777" w:rsidR="00355DFD" w:rsidRPr="00811F65" w:rsidRDefault="00355DFD" w:rsidP="005235F2">
      <w:pPr>
        <w:suppressAutoHyphens/>
        <w:ind w:left="851"/>
        <w:rPr>
          <w:sz w:val="24"/>
          <w:szCs w:val="24"/>
          <w:u w:val="single"/>
        </w:rPr>
      </w:pPr>
      <w:r w:rsidRPr="00811F65">
        <w:rPr>
          <w:sz w:val="24"/>
          <w:szCs w:val="24"/>
          <w:u w:val="single"/>
        </w:rPr>
        <w:t>Særlige populationer</w:t>
      </w:r>
    </w:p>
    <w:p w14:paraId="623B1C57" w14:textId="77777777" w:rsidR="00355DFD" w:rsidRPr="00811F65" w:rsidRDefault="00355DFD" w:rsidP="005235F2">
      <w:pPr>
        <w:suppressAutoHyphens/>
        <w:ind w:left="851"/>
        <w:rPr>
          <w:sz w:val="24"/>
          <w:szCs w:val="24"/>
        </w:rPr>
      </w:pPr>
    </w:p>
    <w:p w14:paraId="10BB3057" w14:textId="77777777" w:rsidR="00355DFD" w:rsidRPr="00811F65" w:rsidRDefault="00355DFD" w:rsidP="005235F2">
      <w:pPr>
        <w:suppressAutoHyphens/>
        <w:ind w:left="851"/>
        <w:rPr>
          <w:i/>
          <w:iCs/>
          <w:sz w:val="24"/>
          <w:szCs w:val="24"/>
          <w:u w:val="single"/>
        </w:rPr>
      </w:pPr>
      <w:r w:rsidRPr="00811F65">
        <w:rPr>
          <w:i/>
          <w:iCs/>
          <w:sz w:val="24"/>
          <w:szCs w:val="24"/>
          <w:u w:val="single"/>
        </w:rPr>
        <w:t>Ældre, køn og race</w:t>
      </w:r>
    </w:p>
    <w:p w14:paraId="08B921D8" w14:textId="2983B7B3" w:rsidR="00355DFD" w:rsidRPr="00811F65" w:rsidRDefault="00355DFD" w:rsidP="005235F2">
      <w:pPr>
        <w:suppressAutoHyphens/>
        <w:ind w:left="851"/>
        <w:rPr>
          <w:sz w:val="24"/>
          <w:szCs w:val="24"/>
        </w:rPr>
      </w:pPr>
      <w:proofErr w:type="spellStart"/>
      <w:r w:rsidRPr="00811F65">
        <w:rPr>
          <w:sz w:val="24"/>
          <w:szCs w:val="24"/>
        </w:rPr>
        <w:t>Farmakokinetiske</w:t>
      </w:r>
      <w:proofErr w:type="spellEnd"/>
      <w:r w:rsidRPr="00811F65">
        <w:rPr>
          <w:sz w:val="24"/>
          <w:szCs w:val="24"/>
        </w:rPr>
        <w:t xml:space="preserve"> populationsundersøgelser hos patienter med fremskreden cancer (herunder</w:t>
      </w:r>
      <w:r w:rsidR="00AC347D">
        <w:rPr>
          <w:sz w:val="24"/>
          <w:szCs w:val="24"/>
        </w:rPr>
        <w:t xml:space="preserve"> </w:t>
      </w:r>
      <w:r w:rsidRPr="00811F65">
        <w:rPr>
          <w:sz w:val="24"/>
          <w:szCs w:val="24"/>
        </w:rPr>
        <w:t>fremskreden RCC) og raske frivillige antyder, at der ikke er klinisk relevante forskelle pga. af alder,</w:t>
      </w:r>
      <w:r w:rsidR="00AC347D">
        <w:rPr>
          <w:sz w:val="24"/>
          <w:szCs w:val="24"/>
        </w:rPr>
        <w:t xml:space="preserve"> </w:t>
      </w:r>
      <w:r w:rsidRPr="00811F65">
        <w:rPr>
          <w:sz w:val="24"/>
          <w:szCs w:val="24"/>
        </w:rPr>
        <w:t>køn, legemsvægt, race, nyrefunktion, UGT1A1-genotype eller CYP2C19-genotype.</w:t>
      </w:r>
    </w:p>
    <w:p w14:paraId="41541BD5" w14:textId="77777777" w:rsidR="00355DFD" w:rsidRPr="00811F65" w:rsidRDefault="00355DFD" w:rsidP="005235F2">
      <w:pPr>
        <w:suppressAutoHyphens/>
        <w:ind w:left="851"/>
        <w:rPr>
          <w:sz w:val="24"/>
          <w:szCs w:val="24"/>
        </w:rPr>
      </w:pPr>
    </w:p>
    <w:p w14:paraId="52BC9557" w14:textId="77777777" w:rsidR="00355DFD" w:rsidRPr="00811F65" w:rsidRDefault="00355DFD" w:rsidP="005235F2">
      <w:pPr>
        <w:suppressAutoHyphens/>
        <w:ind w:left="851"/>
        <w:rPr>
          <w:i/>
          <w:iCs/>
          <w:sz w:val="24"/>
          <w:szCs w:val="24"/>
          <w:u w:val="single"/>
        </w:rPr>
      </w:pPr>
      <w:r w:rsidRPr="00811F65">
        <w:rPr>
          <w:i/>
          <w:iCs/>
          <w:sz w:val="24"/>
          <w:szCs w:val="24"/>
          <w:u w:val="single"/>
        </w:rPr>
        <w:t>Pædiatrisk population</w:t>
      </w:r>
    </w:p>
    <w:p w14:paraId="27BA1814" w14:textId="77777777" w:rsidR="00355DFD" w:rsidRPr="00811F65" w:rsidRDefault="00355DFD" w:rsidP="005235F2">
      <w:pPr>
        <w:suppressAutoHyphens/>
        <w:ind w:left="851"/>
        <w:rPr>
          <w:sz w:val="24"/>
          <w:szCs w:val="24"/>
        </w:rPr>
      </w:pPr>
      <w:proofErr w:type="spellStart"/>
      <w:r w:rsidRPr="00811F65">
        <w:rPr>
          <w:sz w:val="24"/>
          <w:szCs w:val="24"/>
        </w:rPr>
        <w:t>Axitinib</w:t>
      </w:r>
      <w:proofErr w:type="spellEnd"/>
      <w:r w:rsidRPr="00811F65">
        <w:rPr>
          <w:sz w:val="24"/>
          <w:szCs w:val="24"/>
        </w:rPr>
        <w:t xml:space="preserve"> er ikke undersøgt hos patienter ˂ 18 år.</w:t>
      </w:r>
    </w:p>
    <w:p w14:paraId="293A7934" w14:textId="77777777" w:rsidR="00355DFD" w:rsidRPr="00811F65" w:rsidRDefault="00355DFD" w:rsidP="005235F2">
      <w:pPr>
        <w:suppressAutoHyphens/>
        <w:ind w:left="851"/>
        <w:rPr>
          <w:sz w:val="24"/>
          <w:szCs w:val="24"/>
        </w:rPr>
      </w:pPr>
    </w:p>
    <w:p w14:paraId="434893BC" w14:textId="77777777" w:rsidR="00355DFD" w:rsidRPr="00811F65" w:rsidRDefault="00355DFD" w:rsidP="005235F2">
      <w:pPr>
        <w:suppressAutoHyphens/>
        <w:ind w:left="851"/>
        <w:rPr>
          <w:i/>
          <w:iCs/>
          <w:sz w:val="24"/>
          <w:szCs w:val="24"/>
          <w:u w:val="single"/>
        </w:rPr>
      </w:pPr>
      <w:r w:rsidRPr="00811F65">
        <w:rPr>
          <w:i/>
          <w:iCs/>
          <w:sz w:val="24"/>
          <w:szCs w:val="24"/>
          <w:u w:val="single"/>
        </w:rPr>
        <w:t>Nedsat leverfunktion</w:t>
      </w:r>
    </w:p>
    <w:p w14:paraId="525876F3" w14:textId="77777777" w:rsidR="00355DFD" w:rsidRPr="00811F65" w:rsidRDefault="00355DFD" w:rsidP="005235F2">
      <w:pPr>
        <w:suppressAutoHyphens/>
        <w:ind w:left="851"/>
        <w:rPr>
          <w:sz w:val="24"/>
          <w:szCs w:val="24"/>
        </w:rPr>
      </w:pPr>
      <w:r w:rsidRPr="00811F65">
        <w:rPr>
          <w:i/>
          <w:iCs/>
          <w:sz w:val="24"/>
          <w:szCs w:val="24"/>
        </w:rPr>
        <w:t xml:space="preserve">In </w:t>
      </w:r>
      <w:proofErr w:type="spellStart"/>
      <w:r w:rsidRPr="00811F65">
        <w:rPr>
          <w:i/>
          <w:iCs/>
          <w:sz w:val="24"/>
          <w:szCs w:val="24"/>
        </w:rPr>
        <w:t>vitro</w:t>
      </w:r>
      <w:proofErr w:type="spellEnd"/>
      <w:r w:rsidRPr="00811F65">
        <w:rPr>
          <w:sz w:val="24"/>
          <w:szCs w:val="24"/>
        </w:rPr>
        <w:t xml:space="preserve"> og </w:t>
      </w:r>
      <w:r w:rsidRPr="00811F65">
        <w:rPr>
          <w:i/>
          <w:iCs/>
          <w:sz w:val="24"/>
          <w:szCs w:val="24"/>
        </w:rPr>
        <w:t xml:space="preserve">in </w:t>
      </w:r>
      <w:proofErr w:type="spellStart"/>
      <w:r w:rsidRPr="00811F65">
        <w:rPr>
          <w:i/>
          <w:iCs/>
          <w:sz w:val="24"/>
          <w:szCs w:val="24"/>
        </w:rPr>
        <w:t>vivo</w:t>
      </w:r>
      <w:proofErr w:type="spellEnd"/>
      <w:r w:rsidRPr="00811F65">
        <w:rPr>
          <w:sz w:val="24"/>
          <w:szCs w:val="24"/>
        </w:rPr>
        <w:t xml:space="preserve"> data tyder på, at </w:t>
      </w:r>
      <w:proofErr w:type="spellStart"/>
      <w:r w:rsidRPr="00811F65">
        <w:rPr>
          <w:sz w:val="24"/>
          <w:szCs w:val="24"/>
        </w:rPr>
        <w:t>axitinib</w:t>
      </w:r>
      <w:proofErr w:type="spellEnd"/>
      <w:r w:rsidRPr="00811F65">
        <w:rPr>
          <w:sz w:val="24"/>
          <w:szCs w:val="24"/>
        </w:rPr>
        <w:t xml:space="preserve"> hovedsageligt </w:t>
      </w:r>
      <w:proofErr w:type="spellStart"/>
      <w:r w:rsidRPr="00811F65">
        <w:rPr>
          <w:sz w:val="24"/>
          <w:szCs w:val="24"/>
        </w:rPr>
        <w:t>metaboliseres</w:t>
      </w:r>
      <w:proofErr w:type="spellEnd"/>
      <w:r w:rsidRPr="00811F65">
        <w:rPr>
          <w:sz w:val="24"/>
          <w:szCs w:val="24"/>
        </w:rPr>
        <w:t xml:space="preserve"> i leveren.</w:t>
      </w:r>
    </w:p>
    <w:p w14:paraId="26D83872" w14:textId="77777777" w:rsidR="00355DFD" w:rsidRPr="00811F65" w:rsidRDefault="00355DFD" w:rsidP="005235F2">
      <w:pPr>
        <w:suppressAutoHyphens/>
        <w:ind w:left="851"/>
        <w:rPr>
          <w:sz w:val="24"/>
          <w:szCs w:val="24"/>
        </w:rPr>
      </w:pPr>
    </w:p>
    <w:p w14:paraId="21EF74E6" w14:textId="069FD826" w:rsidR="00355DFD" w:rsidRPr="00811F65" w:rsidRDefault="00355DFD" w:rsidP="005235F2">
      <w:pPr>
        <w:suppressAutoHyphens/>
        <w:ind w:left="851"/>
        <w:rPr>
          <w:sz w:val="24"/>
          <w:szCs w:val="24"/>
        </w:rPr>
      </w:pPr>
      <w:r w:rsidRPr="00811F65">
        <w:rPr>
          <w:sz w:val="24"/>
          <w:szCs w:val="24"/>
        </w:rPr>
        <w:t xml:space="preserve">Systemisk </w:t>
      </w:r>
      <w:proofErr w:type="spellStart"/>
      <w:r w:rsidRPr="00811F65">
        <w:rPr>
          <w:sz w:val="24"/>
          <w:szCs w:val="24"/>
        </w:rPr>
        <w:t>eksposure</w:t>
      </w:r>
      <w:proofErr w:type="spellEnd"/>
      <w:r w:rsidRPr="00811F65">
        <w:rPr>
          <w:sz w:val="24"/>
          <w:szCs w:val="24"/>
        </w:rPr>
        <w:t xml:space="preserve"> efter enkeltdosis </w:t>
      </w:r>
      <w:proofErr w:type="spellStart"/>
      <w:r w:rsidRPr="00811F65">
        <w:rPr>
          <w:sz w:val="24"/>
          <w:szCs w:val="24"/>
        </w:rPr>
        <w:t>axitinib</w:t>
      </w:r>
      <w:proofErr w:type="spellEnd"/>
      <w:r w:rsidRPr="00811F65">
        <w:rPr>
          <w:sz w:val="24"/>
          <w:szCs w:val="24"/>
        </w:rPr>
        <w:t xml:space="preserve"> var sammenlignelig hos patienter med normal</w:t>
      </w:r>
      <w:r w:rsidR="00AB6640">
        <w:rPr>
          <w:sz w:val="24"/>
          <w:szCs w:val="24"/>
        </w:rPr>
        <w:t xml:space="preserve"> </w:t>
      </w:r>
      <w:r w:rsidRPr="00811F65">
        <w:rPr>
          <w:sz w:val="24"/>
          <w:szCs w:val="24"/>
        </w:rPr>
        <w:t>leverfunktion og patienter med let nedsat leverfunktion (Child-</w:t>
      </w:r>
      <w:proofErr w:type="spellStart"/>
      <w:r w:rsidRPr="00811F65">
        <w:rPr>
          <w:sz w:val="24"/>
          <w:szCs w:val="24"/>
        </w:rPr>
        <w:t>Pugh</w:t>
      </w:r>
      <w:proofErr w:type="spellEnd"/>
      <w:r w:rsidRPr="00811F65">
        <w:rPr>
          <w:sz w:val="24"/>
          <w:szCs w:val="24"/>
        </w:rPr>
        <w:t xml:space="preserve"> class A) og højere (ca. to gange)</w:t>
      </w:r>
      <w:r w:rsidR="00AB6640">
        <w:rPr>
          <w:sz w:val="24"/>
          <w:szCs w:val="24"/>
        </w:rPr>
        <w:t xml:space="preserve"> </w:t>
      </w:r>
      <w:r w:rsidRPr="00811F65">
        <w:rPr>
          <w:sz w:val="24"/>
          <w:szCs w:val="24"/>
        </w:rPr>
        <w:t>hos patienter med moderat nedsat leverfunktion (Child-</w:t>
      </w:r>
      <w:proofErr w:type="spellStart"/>
      <w:r w:rsidRPr="00811F65">
        <w:rPr>
          <w:sz w:val="24"/>
          <w:szCs w:val="24"/>
        </w:rPr>
        <w:t>Pugh</w:t>
      </w:r>
      <w:proofErr w:type="spellEnd"/>
      <w:r w:rsidRPr="00811F65">
        <w:rPr>
          <w:sz w:val="24"/>
          <w:szCs w:val="24"/>
        </w:rPr>
        <w:t xml:space="preserve"> class B). </w:t>
      </w:r>
      <w:proofErr w:type="spellStart"/>
      <w:r w:rsidRPr="00811F65">
        <w:rPr>
          <w:sz w:val="24"/>
          <w:szCs w:val="24"/>
        </w:rPr>
        <w:t>Axitinib</w:t>
      </w:r>
      <w:proofErr w:type="spellEnd"/>
      <w:r w:rsidRPr="00811F65">
        <w:rPr>
          <w:sz w:val="24"/>
          <w:szCs w:val="24"/>
        </w:rPr>
        <w:t xml:space="preserve"> er ikke undersøgt hos</w:t>
      </w:r>
      <w:r w:rsidR="00AB6640">
        <w:rPr>
          <w:sz w:val="24"/>
          <w:szCs w:val="24"/>
        </w:rPr>
        <w:t xml:space="preserve"> </w:t>
      </w:r>
      <w:r w:rsidRPr="00811F65">
        <w:rPr>
          <w:sz w:val="24"/>
          <w:szCs w:val="24"/>
        </w:rPr>
        <w:t>patienter med alvorligt nedsat leverfunktion (Child-</w:t>
      </w:r>
      <w:proofErr w:type="spellStart"/>
      <w:r w:rsidRPr="00811F65">
        <w:rPr>
          <w:sz w:val="24"/>
          <w:szCs w:val="24"/>
        </w:rPr>
        <w:t>Pugh</w:t>
      </w:r>
      <w:proofErr w:type="spellEnd"/>
      <w:r w:rsidRPr="00811F65">
        <w:rPr>
          <w:sz w:val="24"/>
          <w:szCs w:val="24"/>
        </w:rPr>
        <w:t xml:space="preserve"> class C) og bør ikke anvendes til denne</w:t>
      </w:r>
      <w:r w:rsidR="00AB6640">
        <w:rPr>
          <w:sz w:val="24"/>
          <w:szCs w:val="24"/>
        </w:rPr>
        <w:t xml:space="preserve"> </w:t>
      </w:r>
      <w:r w:rsidRPr="00811F65">
        <w:rPr>
          <w:sz w:val="24"/>
          <w:szCs w:val="24"/>
        </w:rPr>
        <w:t>gruppe patienter (se pkt. 4.2 om dosisjustering).</w:t>
      </w:r>
    </w:p>
    <w:p w14:paraId="7A646B33" w14:textId="77777777" w:rsidR="00355DFD" w:rsidRPr="00811F65" w:rsidRDefault="00355DFD" w:rsidP="005235F2">
      <w:pPr>
        <w:suppressAutoHyphens/>
        <w:ind w:left="851"/>
        <w:rPr>
          <w:sz w:val="24"/>
          <w:szCs w:val="24"/>
        </w:rPr>
      </w:pPr>
    </w:p>
    <w:p w14:paraId="797186F3" w14:textId="77777777" w:rsidR="00355DFD" w:rsidRPr="00811F65" w:rsidRDefault="00355DFD" w:rsidP="005235F2">
      <w:pPr>
        <w:suppressAutoHyphens/>
        <w:ind w:left="851"/>
        <w:rPr>
          <w:i/>
          <w:iCs/>
          <w:sz w:val="24"/>
          <w:szCs w:val="24"/>
          <w:u w:val="single"/>
        </w:rPr>
      </w:pPr>
      <w:r w:rsidRPr="00811F65">
        <w:rPr>
          <w:i/>
          <w:iCs/>
          <w:sz w:val="24"/>
          <w:szCs w:val="24"/>
          <w:u w:val="single"/>
        </w:rPr>
        <w:t>Nedsat nyrefunktion</w:t>
      </w:r>
    </w:p>
    <w:p w14:paraId="13530933" w14:textId="77777777" w:rsidR="00355DFD" w:rsidRPr="00811F65" w:rsidRDefault="00355DFD" w:rsidP="005235F2">
      <w:pPr>
        <w:suppressAutoHyphens/>
        <w:ind w:left="851"/>
        <w:rPr>
          <w:sz w:val="24"/>
          <w:szCs w:val="24"/>
        </w:rPr>
      </w:pPr>
      <w:proofErr w:type="spellStart"/>
      <w:r w:rsidRPr="00811F65">
        <w:rPr>
          <w:sz w:val="24"/>
          <w:szCs w:val="24"/>
        </w:rPr>
        <w:t>Uomdannet</w:t>
      </w:r>
      <w:proofErr w:type="spellEnd"/>
      <w:r w:rsidRPr="00811F65">
        <w:rPr>
          <w:sz w:val="24"/>
          <w:szCs w:val="24"/>
        </w:rPr>
        <w:t xml:space="preserve"> </w:t>
      </w:r>
      <w:proofErr w:type="spellStart"/>
      <w:r w:rsidRPr="00811F65">
        <w:rPr>
          <w:sz w:val="24"/>
          <w:szCs w:val="24"/>
        </w:rPr>
        <w:t>axitinib</w:t>
      </w:r>
      <w:proofErr w:type="spellEnd"/>
      <w:r w:rsidRPr="00811F65">
        <w:rPr>
          <w:sz w:val="24"/>
          <w:szCs w:val="24"/>
        </w:rPr>
        <w:t xml:space="preserve"> genfindes ikke i urin.</w:t>
      </w:r>
    </w:p>
    <w:p w14:paraId="739492CF" w14:textId="77777777" w:rsidR="00355DFD" w:rsidRPr="00811F65" w:rsidRDefault="00355DFD" w:rsidP="005235F2">
      <w:pPr>
        <w:suppressAutoHyphens/>
        <w:ind w:left="851"/>
        <w:rPr>
          <w:sz w:val="24"/>
          <w:szCs w:val="24"/>
        </w:rPr>
      </w:pPr>
    </w:p>
    <w:p w14:paraId="578E4D1C" w14:textId="20468787" w:rsidR="00355DFD" w:rsidRPr="00811F65" w:rsidRDefault="00355DFD" w:rsidP="005235F2">
      <w:pPr>
        <w:suppressAutoHyphens/>
        <w:ind w:left="851"/>
        <w:rPr>
          <w:sz w:val="24"/>
          <w:szCs w:val="24"/>
        </w:rPr>
      </w:pPr>
      <w:proofErr w:type="spellStart"/>
      <w:r w:rsidRPr="00811F65">
        <w:rPr>
          <w:sz w:val="24"/>
          <w:szCs w:val="24"/>
        </w:rPr>
        <w:t>Axitinib</w:t>
      </w:r>
      <w:proofErr w:type="spellEnd"/>
      <w:r w:rsidRPr="00811F65">
        <w:rPr>
          <w:sz w:val="24"/>
          <w:szCs w:val="24"/>
        </w:rPr>
        <w:t xml:space="preserve"> er ikke undersøgt hos patienter med nedsat nyrefunktion. Patienter med </w:t>
      </w:r>
      <w:proofErr w:type="spellStart"/>
      <w:r w:rsidRPr="00811F65">
        <w:rPr>
          <w:sz w:val="24"/>
          <w:szCs w:val="24"/>
        </w:rPr>
        <w:t>serumkreatinin</w:t>
      </w:r>
      <w:proofErr w:type="spellEnd"/>
      <w:r w:rsidR="00AB6640">
        <w:rPr>
          <w:sz w:val="24"/>
          <w:szCs w:val="24"/>
        </w:rPr>
        <w:t xml:space="preserve"> </w:t>
      </w:r>
      <w:r w:rsidRPr="00811F65">
        <w:rPr>
          <w:sz w:val="24"/>
          <w:szCs w:val="24"/>
        </w:rPr>
        <w:t xml:space="preserve">&gt;1,5 gange den øvre normalgrænse eller beregnet </w:t>
      </w:r>
      <w:proofErr w:type="spellStart"/>
      <w:r w:rsidRPr="00811F65">
        <w:rPr>
          <w:sz w:val="24"/>
          <w:szCs w:val="24"/>
        </w:rPr>
        <w:t>kreatininclearance</w:t>
      </w:r>
      <w:proofErr w:type="spellEnd"/>
      <w:r w:rsidRPr="00811F65">
        <w:rPr>
          <w:sz w:val="24"/>
          <w:szCs w:val="24"/>
        </w:rPr>
        <w:t xml:space="preserve"> &lt;60</w:t>
      </w:r>
      <w:r w:rsidR="00E84059">
        <w:rPr>
          <w:sz w:val="24"/>
          <w:szCs w:val="24"/>
        </w:rPr>
        <w:t> </w:t>
      </w:r>
      <w:r w:rsidRPr="00811F65">
        <w:rPr>
          <w:sz w:val="24"/>
          <w:szCs w:val="24"/>
        </w:rPr>
        <w:t>ml/min blev ekskluderet fra</w:t>
      </w:r>
      <w:r w:rsidR="00AB6640">
        <w:rPr>
          <w:sz w:val="24"/>
          <w:szCs w:val="24"/>
        </w:rPr>
        <w:t xml:space="preserve"> </w:t>
      </w:r>
      <w:r w:rsidRPr="00811F65">
        <w:rPr>
          <w:sz w:val="24"/>
          <w:szCs w:val="24"/>
        </w:rPr>
        <w:t xml:space="preserve">de kliniske studier. </w:t>
      </w:r>
      <w:proofErr w:type="spellStart"/>
      <w:r w:rsidRPr="00811F65">
        <w:rPr>
          <w:sz w:val="24"/>
          <w:szCs w:val="24"/>
        </w:rPr>
        <w:t>Farmakokinetiske</w:t>
      </w:r>
      <w:proofErr w:type="spellEnd"/>
      <w:r w:rsidRPr="00811F65">
        <w:rPr>
          <w:sz w:val="24"/>
          <w:szCs w:val="24"/>
        </w:rPr>
        <w:t xml:space="preserve"> populations</w:t>
      </w:r>
      <w:r w:rsidR="00E84059">
        <w:rPr>
          <w:sz w:val="24"/>
          <w:szCs w:val="24"/>
        </w:rPr>
        <w:softHyphen/>
      </w:r>
      <w:r w:rsidRPr="00811F65">
        <w:rPr>
          <w:sz w:val="24"/>
          <w:szCs w:val="24"/>
        </w:rPr>
        <w:t xml:space="preserve">undersøgelser har vist, at </w:t>
      </w:r>
      <w:proofErr w:type="spellStart"/>
      <w:r w:rsidRPr="00811F65">
        <w:rPr>
          <w:sz w:val="24"/>
          <w:szCs w:val="24"/>
        </w:rPr>
        <w:t>axitinib-clearance</w:t>
      </w:r>
      <w:proofErr w:type="spellEnd"/>
      <w:r w:rsidRPr="00811F65">
        <w:rPr>
          <w:sz w:val="24"/>
          <w:szCs w:val="24"/>
        </w:rPr>
        <w:t xml:space="preserve"> ikke er</w:t>
      </w:r>
      <w:r w:rsidR="00AB6640">
        <w:rPr>
          <w:sz w:val="24"/>
          <w:szCs w:val="24"/>
        </w:rPr>
        <w:t xml:space="preserve"> </w:t>
      </w:r>
      <w:r w:rsidRPr="00811F65">
        <w:rPr>
          <w:sz w:val="24"/>
          <w:szCs w:val="24"/>
        </w:rPr>
        <w:t xml:space="preserve">påvirket hos patienter med nedsat nyrefunktion. Dosisjustering af </w:t>
      </w:r>
      <w:proofErr w:type="spellStart"/>
      <w:r w:rsidRPr="00811F65">
        <w:rPr>
          <w:sz w:val="24"/>
          <w:szCs w:val="24"/>
        </w:rPr>
        <w:t>axitinib</w:t>
      </w:r>
      <w:proofErr w:type="spellEnd"/>
      <w:r w:rsidRPr="00811F65">
        <w:rPr>
          <w:sz w:val="24"/>
          <w:szCs w:val="24"/>
        </w:rPr>
        <w:t xml:space="preserve"> er ikke nødvendig.</w:t>
      </w:r>
    </w:p>
    <w:p w14:paraId="707BEECB" w14:textId="4CC9FF96" w:rsidR="00E84059" w:rsidRDefault="00E84059">
      <w:pPr>
        <w:rPr>
          <w:sz w:val="24"/>
          <w:szCs w:val="24"/>
        </w:rPr>
      </w:pPr>
      <w:r>
        <w:rPr>
          <w:sz w:val="24"/>
          <w:szCs w:val="24"/>
        </w:rPr>
        <w:br w:type="page"/>
      </w:r>
    </w:p>
    <w:p w14:paraId="7C5F0A82" w14:textId="77777777" w:rsidR="009260DE" w:rsidRPr="00811F65" w:rsidRDefault="009260DE" w:rsidP="009260DE">
      <w:pPr>
        <w:tabs>
          <w:tab w:val="left" w:pos="851"/>
        </w:tabs>
        <w:ind w:left="851"/>
        <w:rPr>
          <w:sz w:val="24"/>
          <w:szCs w:val="24"/>
        </w:rPr>
      </w:pPr>
    </w:p>
    <w:p w14:paraId="5D84DAE7" w14:textId="77777777" w:rsidR="009260DE" w:rsidRPr="00811F65" w:rsidRDefault="009260DE" w:rsidP="009260DE">
      <w:pPr>
        <w:tabs>
          <w:tab w:val="left" w:pos="851"/>
        </w:tabs>
        <w:ind w:left="851" w:hanging="851"/>
        <w:rPr>
          <w:b/>
          <w:sz w:val="24"/>
          <w:szCs w:val="24"/>
        </w:rPr>
      </w:pPr>
      <w:r w:rsidRPr="00811F65">
        <w:rPr>
          <w:b/>
          <w:sz w:val="24"/>
          <w:szCs w:val="24"/>
        </w:rPr>
        <w:t>5.3</w:t>
      </w:r>
      <w:r w:rsidRPr="00811F65">
        <w:rPr>
          <w:b/>
          <w:sz w:val="24"/>
          <w:szCs w:val="24"/>
        </w:rPr>
        <w:tab/>
      </w:r>
      <w:r w:rsidR="00BD7931" w:rsidRPr="00811F65">
        <w:rPr>
          <w:b/>
          <w:sz w:val="24"/>
          <w:szCs w:val="24"/>
        </w:rPr>
        <w:t>Non-</w:t>
      </w:r>
      <w:r w:rsidRPr="00811F65">
        <w:rPr>
          <w:b/>
          <w:sz w:val="24"/>
          <w:szCs w:val="24"/>
        </w:rPr>
        <w:t>kliniske sikkerhedsdata</w:t>
      </w:r>
    </w:p>
    <w:p w14:paraId="15DE3003" w14:textId="77777777" w:rsidR="00AB6640" w:rsidRDefault="00AB6640" w:rsidP="005235F2">
      <w:pPr>
        <w:suppressAutoHyphens/>
        <w:ind w:left="851"/>
        <w:rPr>
          <w:sz w:val="24"/>
          <w:szCs w:val="24"/>
          <w:u w:val="single"/>
        </w:rPr>
      </w:pPr>
    </w:p>
    <w:p w14:paraId="755B351B" w14:textId="0D29C102" w:rsidR="00355DFD" w:rsidRPr="00811F65" w:rsidRDefault="00355DFD" w:rsidP="005235F2">
      <w:pPr>
        <w:suppressAutoHyphens/>
        <w:ind w:left="851"/>
        <w:rPr>
          <w:sz w:val="24"/>
          <w:szCs w:val="24"/>
          <w:u w:val="single"/>
          <w:lang w:eastAsia="fr-LU"/>
        </w:rPr>
      </w:pPr>
      <w:r w:rsidRPr="00811F65">
        <w:rPr>
          <w:sz w:val="24"/>
          <w:szCs w:val="24"/>
          <w:u w:val="single"/>
        </w:rPr>
        <w:t>Gentagne dosistoksicitetsforsøg</w:t>
      </w:r>
    </w:p>
    <w:p w14:paraId="2D9F5499" w14:textId="0F9A892C" w:rsidR="00355DFD" w:rsidRPr="00811F65" w:rsidRDefault="00355DFD" w:rsidP="005235F2">
      <w:pPr>
        <w:suppressAutoHyphens/>
        <w:ind w:left="851"/>
        <w:rPr>
          <w:sz w:val="24"/>
          <w:szCs w:val="24"/>
        </w:rPr>
      </w:pPr>
      <w:r w:rsidRPr="00811F65">
        <w:rPr>
          <w:sz w:val="24"/>
          <w:szCs w:val="24"/>
        </w:rPr>
        <w:t xml:space="preserve">Alvorlige toksicitetsfund i mus og hunde efter gentagne doser i op til 9 måneder er </w:t>
      </w:r>
      <w:proofErr w:type="spellStart"/>
      <w:r w:rsidRPr="00811F65">
        <w:rPr>
          <w:sz w:val="24"/>
          <w:szCs w:val="24"/>
        </w:rPr>
        <w:t>gastrointestinale</w:t>
      </w:r>
      <w:proofErr w:type="spellEnd"/>
      <w:r w:rsidRPr="00811F65">
        <w:rPr>
          <w:sz w:val="24"/>
          <w:szCs w:val="24"/>
        </w:rPr>
        <w:t>,</w:t>
      </w:r>
      <w:r w:rsidR="00AB6640">
        <w:rPr>
          <w:sz w:val="24"/>
          <w:szCs w:val="24"/>
        </w:rPr>
        <w:t xml:space="preserve"> </w:t>
      </w:r>
      <w:proofErr w:type="spellStart"/>
      <w:r w:rsidRPr="00811F65">
        <w:rPr>
          <w:sz w:val="24"/>
          <w:szCs w:val="24"/>
        </w:rPr>
        <w:t>hæmatopoietiske</w:t>
      </w:r>
      <w:proofErr w:type="spellEnd"/>
      <w:r w:rsidRPr="00811F65">
        <w:rPr>
          <w:sz w:val="24"/>
          <w:szCs w:val="24"/>
        </w:rPr>
        <w:t xml:space="preserve">, reproduktive, knogle- og tandpåvirkninger med No </w:t>
      </w:r>
      <w:proofErr w:type="spellStart"/>
      <w:r w:rsidRPr="00811F65">
        <w:rPr>
          <w:sz w:val="24"/>
          <w:szCs w:val="24"/>
        </w:rPr>
        <w:t>Observed</w:t>
      </w:r>
      <w:proofErr w:type="spellEnd"/>
      <w:r w:rsidRPr="00811F65">
        <w:rPr>
          <w:sz w:val="24"/>
          <w:szCs w:val="24"/>
        </w:rPr>
        <w:t xml:space="preserve"> </w:t>
      </w:r>
      <w:proofErr w:type="spellStart"/>
      <w:r w:rsidRPr="00811F65">
        <w:rPr>
          <w:sz w:val="24"/>
          <w:szCs w:val="24"/>
        </w:rPr>
        <w:t>Adverse</w:t>
      </w:r>
      <w:proofErr w:type="spellEnd"/>
      <w:r w:rsidRPr="00811F65">
        <w:rPr>
          <w:sz w:val="24"/>
          <w:szCs w:val="24"/>
        </w:rPr>
        <w:t xml:space="preserve"> </w:t>
      </w:r>
      <w:proofErr w:type="spellStart"/>
      <w:r w:rsidRPr="00811F65">
        <w:rPr>
          <w:sz w:val="24"/>
          <w:szCs w:val="24"/>
        </w:rPr>
        <w:t>Effect</w:t>
      </w:r>
      <w:proofErr w:type="spellEnd"/>
      <w:r w:rsidR="00AB6640">
        <w:rPr>
          <w:sz w:val="24"/>
          <w:szCs w:val="24"/>
        </w:rPr>
        <w:t xml:space="preserve"> </w:t>
      </w:r>
      <w:r w:rsidRPr="00811F65">
        <w:rPr>
          <w:sz w:val="24"/>
          <w:szCs w:val="24"/>
        </w:rPr>
        <w:t>Levels (NOAEL) generelt ækvivalent med eller under forventet human eksponering ved anbefalet</w:t>
      </w:r>
      <w:r w:rsidR="00AB6640">
        <w:rPr>
          <w:sz w:val="24"/>
          <w:szCs w:val="24"/>
        </w:rPr>
        <w:t xml:space="preserve"> </w:t>
      </w:r>
      <w:r w:rsidRPr="00811F65">
        <w:rPr>
          <w:sz w:val="24"/>
          <w:szCs w:val="24"/>
        </w:rPr>
        <w:t>klinisk startdosis (baseret på AUC).</w:t>
      </w:r>
    </w:p>
    <w:p w14:paraId="547D4F04" w14:textId="77777777" w:rsidR="00355DFD" w:rsidRPr="00811F65" w:rsidRDefault="00355DFD" w:rsidP="005235F2">
      <w:pPr>
        <w:suppressAutoHyphens/>
        <w:ind w:left="851"/>
        <w:rPr>
          <w:sz w:val="24"/>
          <w:szCs w:val="24"/>
        </w:rPr>
      </w:pPr>
    </w:p>
    <w:p w14:paraId="664D39B2" w14:textId="77777777" w:rsidR="00355DFD" w:rsidRPr="00811F65" w:rsidRDefault="00355DFD" w:rsidP="005235F2">
      <w:pPr>
        <w:suppressAutoHyphens/>
        <w:ind w:left="851"/>
        <w:rPr>
          <w:sz w:val="24"/>
          <w:szCs w:val="24"/>
          <w:u w:val="single"/>
        </w:rPr>
      </w:pPr>
      <w:proofErr w:type="spellStart"/>
      <w:r w:rsidRPr="00811F65">
        <w:rPr>
          <w:sz w:val="24"/>
          <w:szCs w:val="24"/>
          <w:u w:val="single"/>
        </w:rPr>
        <w:t>Karcinogenicitet</w:t>
      </w:r>
      <w:proofErr w:type="spellEnd"/>
    </w:p>
    <w:p w14:paraId="3BAB5B6C" w14:textId="77777777" w:rsidR="00355DFD" w:rsidRPr="00811F65" w:rsidRDefault="00355DFD" w:rsidP="005235F2">
      <w:pPr>
        <w:suppressAutoHyphens/>
        <w:ind w:left="851"/>
        <w:rPr>
          <w:sz w:val="24"/>
          <w:szCs w:val="24"/>
        </w:rPr>
      </w:pPr>
      <w:r w:rsidRPr="00811F65">
        <w:rPr>
          <w:sz w:val="24"/>
          <w:szCs w:val="24"/>
        </w:rPr>
        <w:t xml:space="preserve">Der er ikke udført </w:t>
      </w:r>
      <w:proofErr w:type="spellStart"/>
      <w:r w:rsidRPr="00811F65">
        <w:rPr>
          <w:sz w:val="24"/>
          <w:szCs w:val="24"/>
        </w:rPr>
        <w:t>karcinogenicitets</w:t>
      </w:r>
      <w:proofErr w:type="spellEnd"/>
      <w:r w:rsidRPr="00811F65">
        <w:rPr>
          <w:sz w:val="24"/>
          <w:szCs w:val="24"/>
        </w:rPr>
        <w:t xml:space="preserve">-studier med </w:t>
      </w:r>
      <w:proofErr w:type="spellStart"/>
      <w:r w:rsidRPr="00811F65">
        <w:rPr>
          <w:sz w:val="24"/>
          <w:szCs w:val="24"/>
        </w:rPr>
        <w:t>axitinib</w:t>
      </w:r>
      <w:proofErr w:type="spellEnd"/>
      <w:r w:rsidRPr="00811F65">
        <w:rPr>
          <w:sz w:val="24"/>
          <w:szCs w:val="24"/>
        </w:rPr>
        <w:t>.</w:t>
      </w:r>
    </w:p>
    <w:p w14:paraId="37DF1E71" w14:textId="77777777" w:rsidR="00355DFD" w:rsidRPr="00811F65" w:rsidRDefault="00355DFD" w:rsidP="005235F2">
      <w:pPr>
        <w:suppressAutoHyphens/>
        <w:ind w:left="851"/>
        <w:rPr>
          <w:sz w:val="24"/>
          <w:szCs w:val="24"/>
        </w:rPr>
      </w:pPr>
    </w:p>
    <w:p w14:paraId="059FB796" w14:textId="77777777" w:rsidR="00355DFD" w:rsidRPr="00811F65" w:rsidRDefault="00355DFD" w:rsidP="005235F2">
      <w:pPr>
        <w:suppressAutoHyphens/>
        <w:ind w:left="851"/>
        <w:rPr>
          <w:sz w:val="24"/>
          <w:szCs w:val="24"/>
          <w:u w:val="single"/>
        </w:rPr>
      </w:pPr>
      <w:r w:rsidRPr="00811F65">
        <w:rPr>
          <w:sz w:val="24"/>
          <w:szCs w:val="24"/>
          <w:u w:val="single"/>
        </w:rPr>
        <w:t>Genotoksicitet</w:t>
      </w:r>
    </w:p>
    <w:p w14:paraId="67EE9F3A" w14:textId="4A8D36F3" w:rsidR="00355DFD" w:rsidRPr="00811F65" w:rsidRDefault="00355DFD" w:rsidP="005235F2">
      <w:pPr>
        <w:suppressAutoHyphens/>
        <w:ind w:left="851"/>
        <w:rPr>
          <w:sz w:val="24"/>
          <w:szCs w:val="24"/>
        </w:rPr>
      </w:pPr>
      <w:proofErr w:type="spellStart"/>
      <w:r w:rsidRPr="00811F65">
        <w:rPr>
          <w:sz w:val="24"/>
          <w:szCs w:val="24"/>
        </w:rPr>
        <w:t>Axitinib</w:t>
      </w:r>
      <w:proofErr w:type="spellEnd"/>
      <w:r w:rsidRPr="00811F65">
        <w:rPr>
          <w:sz w:val="24"/>
          <w:szCs w:val="24"/>
        </w:rPr>
        <w:t xml:space="preserve"> er ikke mutagent eller </w:t>
      </w:r>
      <w:proofErr w:type="spellStart"/>
      <w:r w:rsidRPr="00811F65">
        <w:rPr>
          <w:sz w:val="24"/>
          <w:szCs w:val="24"/>
        </w:rPr>
        <w:t>klastogent</w:t>
      </w:r>
      <w:proofErr w:type="spellEnd"/>
      <w:r w:rsidRPr="00811F65">
        <w:rPr>
          <w:sz w:val="24"/>
          <w:szCs w:val="24"/>
        </w:rPr>
        <w:t xml:space="preserve"> i konventionelle studier </w:t>
      </w:r>
      <w:r w:rsidRPr="00811F65">
        <w:rPr>
          <w:i/>
          <w:iCs/>
          <w:sz w:val="24"/>
          <w:szCs w:val="24"/>
        </w:rPr>
        <w:t xml:space="preserve">in </w:t>
      </w:r>
      <w:proofErr w:type="spellStart"/>
      <w:r w:rsidRPr="00811F65">
        <w:rPr>
          <w:i/>
          <w:iCs/>
          <w:sz w:val="24"/>
          <w:szCs w:val="24"/>
        </w:rPr>
        <w:t>vitro</w:t>
      </w:r>
      <w:proofErr w:type="spellEnd"/>
      <w:r w:rsidRPr="00811F65">
        <w:rPr>
          <w:sz w:val="24"/>
          <w:szCs w:val="24"/>
        </w:rPr>
        <w:t>. En signifikant stigning i</w:t>
      </w:r>
      <w:r w:rsidR="00AB6640">
        <w:rPr>
          <w:sz w:val="24"/>
          <w:szCs w:val="24"/>
        </w:rPr>
        <w:t xml:space="preserve"> </w:t>
      </w:r>
      <w:proofErr w:type="spellStart"/>
      <w:r w:rsidRPr="00811F65">
        <w:rPr>
          <w:sz w:val="24"/>
          <w:szCs w:val="24"/>
        </w:rPr>
        <w:t>polyploidi</w:t>
      </w:r>
      <w:proofErr w:type="spellEnd"/>
      <w:r w:rsidRPr="00811F65">
        <w:rPr>
          <w:sz w:val="24"/>
          <w:szCs w:val="24"/>
        </w:rPr>
        <w:t xml:space="preserve"> ses </w:t>
      </w:r>
      <w:r w:rsidRPr="00811F65">
        <w:rPr>
          <w:i/>
          <w:iCs/>
          <w:sz w:val="24"/>
          <w:szCs w:val="24"/>
        </w:rPr>
        <w:t xml:space="preserve">in </w:t>
      </w:r>
      <w:proofErr w:type="spellStart"/>
      <w:r w:rsidRPr="00811F65">
        <w:rPr>
          <w:i/>
          <w:iCs/>
          <w:sz w:val="24"/>
          <w:szCs w:val="24"/>
        </w:rPr>
        <w:t>vitro</w:t>
      </w:r>
      <w:proofErr w:type="spellEnd"/>
      <w:r w:rsidRPr="00811F65">
        <w:rPr>
          <w:sz w:val="24"/>
          <w:szCs w:val="24"/>
        </w:rPr>
        <w:t xml:space="preserve"> ved koncentrationer &gt; 0,22 </w:t>
      </w:r>
      <w:proofErr w:type="spellStart"/>
      <w:r w:rsidRPr="00811F65">
        <w:rPr>
          <w:sz w:val="24"/>
          <w:szCs w:val="24"/>
        </w:rPr>
        <w:t>μg</w:t>
      </w:r>
      <w:proofErr w:type="spellEnd"/>
      <w:r w:rsidRPr="00811F65">
        <w:rPr>
          <w:sz w:val="24"/>
          <w:szCs w:val="24"/>
        </w:rPr>
        <w:t xml:space="preserve">/ml, og en stigning i </w:t>
      </w:r>
      <w:proofErr w:type="spellStart"/>
      <w:r w:rsidRPr="00811F65">
        <w:rPr>
          <w:sz w:val="24"/>
          <w:szCs w:val="24"/>
        </w:rPr>
        <w:t>mikronuclære</w:t>
      </w:r>
      <w:proofErr w:type="spellEnd"/>
      <w:r w:rsidR="00AB6640">
        <w:rPr>
          <w:sz w:val="24"/>
          <w:szCs w:val="24"/>
        </w:rPr>
        <w:t xml:space="preserve"> </w:t>
      </w:r>
      <w:r w:rsidRPr="00811F65">
        <w:rPr>
          <w:sz w:val="24"/>
          <w:szCs w:val="24"/>
        </w:rPr>
        <w:t xml:space="preserve">polykromatiske erytrocytter ses in </w:t>
      </w:r>
      <w:proofErr w:type="spellStart"/>
      <w:r w:rsidRPr="00811F65">
        <w:rPr>
          <w:sz w:val="24"/>
          <w:szCs w:val="24"/>
        </w:rPr>
        <w:t>vivo</w:t>
      </w:r>
      <w:proofErr w:type="spellEnd"/>
      <w:r w:rsidRPr="00811F65">
        <w:rPr>
          <w:sz w:val="24"/>
          <w:szCs w:val="24"/>
        </w:rPr>
        <w:t xml:space="preserve"> med No </w:t>
      </w:r>
      <w:proofErr w:type="spellStart"/>
      <w:r w:rsidRPr="00811F65">
        <w:rPr>
          <w:sz w:val="24"/>
          <w:szCs w:val="24"/>
        </w:rPr>
        <w:t>Observed</w:t>
      </w:r>
      <w:proofErr w:type="spellEnd"/>
      <w:r w:rsidRPr="00811F65">
        <w:rPr>
          <w:sz w:val="24"/>
          <w:szCs w:val="24"/>
        </w:rPr>
        <w:t xml:space="preserve"> </w:t>
      </w:r>
      <w:proofErr w:type="spellStart"/>
      <w:r w:rsidRPr="00811F65">
        <w:rPr>
          <w:sz w:val="24"/>
          <w:szCs w:val="24"/>
        </w:rPr>
        <w:t>Effect</w:t>
      </w:r>
      <w:proofErr w:type="spellEnd"/>
      <w:r w:rsidRPr="00811F65">
        <w:rPr>
          <w:sz w:val="24"/>
          <w:szCs w:val="24"/>
        </w:rPr>
        <w:t xml:space="preserve"> Level (NOEL) 69 gange forventet</w:t>
      </w:r>
      <w:r w:rsidR="00AB6640">
        <w:rPr>
          <w:sz w:val="24"/>
          <w:szCs w:val="24"/>
        </w:rPr>
        <w:t xml:space="preserve"> </w:t>
      </w:r>
      <w:r w:rsidRPr="00811F65">
        <w:rPr>
          <w:sz w:val="24"/>
          <w:szCs w:val="24"/>
        </w:rPr>
        <w:t xml:space="preserve">human eksponering. </w:t>
      </w:r>
      <w:proofErr w:type="spellStart"/>
      <w:r w:rsidRPr="00811F65">
        <w:rPr>
          <w:sz w:val="24"/>
          <w:szCs w:val="24"/>
        </w:rPr>
        <w:t>Genotoksicitetsfund</w:t>
      </w:r>
      <w:proofErr w:type="spellEnd"/>
      <w:r w:rsidRPr="00811F65">
        <w:rPr>
          <w:sz w:val="24"/>
          <w:szCs w:val="24"/>
        </w:rPr>
        <w:t xml:space="preserve"> anses ikke for klinisk relevante ved de humane eksponeringsniveauer.</w:t>
      </w:r>
    </w:p>
    <w:p w14:paraId="485F6E6E" w14:textId="77777777" w:rsidR="00355DFD" w:rsidRPr="00811F65" w:rsidRDefault="00355DFD" w:rsidP="005235F2">
      <w:pPr>
        <w:suppressAutoHyphens/>
        <w:ind w:left="851"/>
        <w:rPr>
          <w:sz w:val="24"/>
          <w:szCs w:val="24"/>
        </w:rPr>
      </w:pPr>
    </w:p>
    <w:p w14:paraId="101C3D31" w14:textId="77777777" w:rsidR="00355DFD" w:rsidRPr="00811F65" w:rsidRDefault="00355DFD" w:rsidP="005235F2">
      <w:pPr>
        <w:suppressAutoHyphens/>
        <w:ind w:left="851"/>
        <w:rPr>
          <w:sz w:val="24"/>
          <w:szCs w:val="24"/>
          <w:u w:val="single"/>
        </w:rPr>
      </w:pPr>
      <w:r w:rsidRPr="00811F65">
        <w:rPr>
          <w:sz w:val="24"/>
          <w:szCs w:val="24"/>
          <w:u w:val="single"/>
        </w:rPr>
        <w:t>Reproduktionstoksicitet</w:t>
      </w:r>
    </w:p>
    <w:p w14:paraId="14F11504" w14:textId="46292AE8" w:rsidR="00355DFD" w:rsidRPr="00811F65" w:rsidRDefault="00355DFD" w:rsidP="005235F2">
      <w:pPr>
        <w:suppressAutoHyphens/>
        <w:ind w:left="851"/>
        <w:rPr>
          <w:sz w:val="24"/>
          <w:szCs w:val="24"/>
        </w:rPr>
      </w:pPr>
      <w:proofErr w:type="spellStart"/>
      <w:r w:rsidRPr="00811F65">
        <w:rPr>
          <w:sz w:val="24"/>
          <w:szCs w:val="24"/>
        </w:rPr>
        <w:t>Axitinib</w:t>
      </w:r>
      <w:proofErr w:type="spellEnd"/>
      <w:r w:rsidRPr="00811F65">
        <w:rPr>
          <w:sz w:val="24"/>
          <w:szCs w:val="24"/>
        </w:rPr>
        <w:t xml:space="preserve">-relaterede fund i testikler og </w:t>
      </w:r>
      <w:proofErr w:type="spellStart"/>
      <w:r w:rsidRPr="00811F65">
        <w:rPr>
          <w:sz w:val="24"/>
          <w:szCs w:val="24"/>
        </w:rPr>
        <w:t>epididymis</w:t>
      </w:r>
      <w:proofErr w:type="spellEnd"/>
      <w:r w:rsidRPr="00811F65">
        <w:rPr>
          <w:sz w:val="24"/>
          <w:szCs w:val="24"/>
        </w:rPr>
        <w:t xml:space="preserve"> omfatter nedsat organvægt, atrofi eller degeneration,</w:t>
      </w:r>
      <w:r w:rsidR="00AB6640">
        <w:rPr>
          <w:sz w:val="24"/>
          <w:szCs w:val="24"/>
        </w:rPr>
        <w:t xml:space="preserve"> </w:t>
      </w:r>
      <w:r w:rsidRPr="00811F65">
        <w:rPr>
          <w:sz w:val="24"/>
          <w:szCs w:val="24"/>
        </w:rPr>
        <w:t xml:space="preserve">nedsat antal </w:t>
      </w:r>
      <w:proofErr w:type="spellStart"/>
      <w:r w:rsidRPr="00811F65">
        <w:rPr>
          <w:sz w:val="24"/>
          <w:szCs w:val="24"/>
        </w:rPr>
        <w:t>germinalceller</w:t>
      </w:r>
      <w:proofErr w:type="spellEnd"/>
      <w:r w:rsidRPr="00811F65">
        <w:rPr>
          <w:sz w:val="24"/>
          <w:szCs w:val="24"/>
        </w:rPr>
        <w:t xml:space="preserve">, </w:t>
      </w:r>
      <w:proofErr w:type="spellStart"/>
      <w:r w:rsidRPr="00811F65">
        <w:rPr>
          <w:sz w:val="24"/>
          <w:szCs w:val="24"/>
        </w:rPr>
        <w:t>hypospermi</w:t>
      </w:r>
      <w:proofErr w:type="spellEnd"/>
      <w:r w:rsidRPr="00811F65">
        <w:rPr>
          <w:sz w:val="24"/>
          <w:szCs w:val="24"/>
        </w:rPr>
        <w:t xml:space="preserve"> eller abnorme spermstadier og nedsat sædkvalitet og densitet.</w:t>
      </w:r>
      <w:r w:rsidR="00AB6640">
        <w:rPr>
          <w:sz w:val="24"/>
          <w:szCs w:val="24"/>
        </w:rPr>
        <w:t xml:space="preserve"> </w:t>
      </w:r>
      <w:r w:rsidRPr="00811F65">
        <w:rPr>
          <w:sz w:val="24"/>
          <w:szCs w:val="24"/>
        </w:rPr>
        <w:t>Disse fund blev set hos mus ved doser ca. 12 gange human-terapeutiske doser og hos hunde ved doser</w:t>
      </w:r>
      <w:r w:rsidR="00AB6640">
        <w:rPr>
          <w:sz w:val="24"/>
          <w:szCs w:val="24"/>
        </w:rPr>
        <w:t xml:space="preserve"> </w:t>
      </w:r>
      <w:r w:rsidRPr="00811F65">
        <w:rPr>
          <w:sz w:val="24"/>
          <w:szCs w:val="24"/>
        </w:rPr>
        <w:t xml:space="preserve">lavere end human-terapeutiske doser. Der sås ingen virkning på parringsevne og fertilitet hos </w:t>
      </w:r>
      <w:proofErr w:type="spellStart"/>
      <w:r w:rsidRPr="00811F65">
        <w:rPr>
          <w:sz w:val="24"/>
          <w:szCs w:val="24"/>
        </w:rPr>
        <w:t>hanmus</w:t>
      </w:r>
      <w:proofErr w:type="spellEnd"/>
      <w:r w:rsidR="00AB6640">
        <w:rPr>
          <w:sz w:val="24"/>
          <w:szCs w:val="24"/>
        </w:rPr>
        <w:t xml:space="preserve"> </w:t>
      </w:r>
      <w:r w:rsidRPr="00811F65">
        <w:rPr>
          <w:sz w:val="24"/>
          <w:szCs w:val="24"/>
        </w:rPr>
        <w:t>ved doser ca. 57 gange human-terapeutiske doser. Fund hos hunner omfatter tegn på forsinket seksuel</w:t>
      </w:r>
      <w:r w:rsidR="00AB6640">
        <w:rPr>
          <w:sz w:val="24"/>
          <w:szCs w:val="24"/>
        </w:rPr>
        <w:t xml:space="preserve"> </w:t>
      </w:r>
      <w:r w:rsidRPr="00811F65">
        <w:rPr>
          <w:sz w:val="24"/>
          <w:szCs w:val="24"/>
        </w:rPr>
        <w:t xml:space="preserve">modning, reduceret eller manglende </w:t>
      </w:r>
      <w:proofErr w:type="spellStart"/>
      <w:r w:rsidRPr="00811F65">
        <w:rPr>
          <w:sz w:val="24"/>
          <w:szCs w:val="24"/>
        </w:rPr>
        <w:t>corpora</w:t>
      </w:r>
      <w:proofErr w:type="spellEnd"/>
      <w:r w:rsidRPr="00811F65">
        <w:rPr>
          <w:sz w:val="24"/>
          <w:szCs w:val="24"/>
        </w:rPr>
        <w:t xml:space="preserve"> </w:t>
      </w:r>
      <w:proofErr w:type="spellStart"/>
      <w:r w:rsidRPr="00811F65">
        <w:rPr>
          <w:sz w:val="24"/>
          <w:szCs w:val="24"/>
        </w:rPr>
        <w:t>lutea</w:t>
      </w:r>
      <w:proofErr w:type="spellEnd"/>
      <w:r w:rsidRPr="00811F65">
        <w:rPr>
          <w:sz w:val="24"/>
          <w:szCs w:val="24"/>
        </w:rPr>
        <w:t xml:space="preserve">, nedsat uterusvægt og </w:t>
      </w:r>
      <w:proofErr w:type="spellStart"/>
      <w:r w:rsidRPr="00811F65">
        <w:rPr>
          <w:sz w:val="24"/>
          <w:szCs w:val="24"/>
        </w:rPr>
        <w:t>uterinatrofi</w:t>
      </w:r>
      <w:proofErr w:type="spellEnd"/>
      <w:r w:rsidRPr="00811F65">
        <w:rPr>
          <w:sz w:val="24"/>
          <w:szCs w:val="24"/>
        </w:rPr>
        <w:t xml:space="preserve"> ved doser</w:t>
      </w:r>
      <w:r w:rsidR="00AB6640">
        <w:rPr>
          <w:sz w:val="24"/>
          <w:szCs w:val="24"/>
        </w:rPr>
        <w:t xml:space="preserve"> </w:t>
      </w:r>
      <w:r w:rsidRPr="00811F65">
        <w:rPr>
          <w:sz w:val="24"/>
          <w:szCs w:val="24"/>
        </w:rPr>
        <w:t xml:space="preserve">svarende til human-terapeutiske doser. Nedsat fertilitet og embryo-levedygtighed ses hos </w:t>
      </w:r>
      <w:proofErr w:type="spellStart"/>
      <w:r w:rsidRPr="00811F65">
        <w:rPr>
          <w:sz w:val="24"/>
          <w:szCs w:val="24"/>
        </w:rPr>
        <w:t>hunmus</w:t>
      </w:r>
      <w:proofErr w:type="spellEnd"/>
      <w:r w:rsidRPr="00811F65">
        <w:rPr>
          <w:sz w:val="24"/>
          <w:szCs w:val="24"/>
        </w:rPr>
        <w:t xml:space="preserve"> ved</w:t>
      </w:r>
      <w:r w:rsidR="00AB6640">
        <w:rPr>
          <w:sz w:val="24"/>
          <w:szCs w:val="24"/>
        </w:rPr>
        <w:t xml:space="preserve"> </w:t>
      </w:r>
      <w:r w:rsidRPr="00811F65">
        <w:rPr>
          <w:sz w:val="24"/>
          <w:szCs w:val="24"/>
        </w:rPr>
        <w:t>alle testede doser med laveste dosis ca. 10 gange højere end human-terapeutiske doser.</w:t>
      </w:r>
    </w:p>
    <w:p w14:paraId="7FBFFC03" w14:textId="77777777" w:rsidR="00355DFD" w:rsidRPr="00811F65" w:rsidRDefault="00355DFD" w:rsidP="005235F2">
      <w:pPr>
        <w:suppressAutoHyphens/>
        <w:ind w:left="851"/>
        <w:rPr>
          <w:sz w:val="24"/>
          <w:szCs w:val="24"/>
        </w:rPr>
      </w:pPr>
    </w:p>
    <w:p w14:paraId="7609771C" w14:textId="400491BC" w:rsidR="00355DFD" w:rsidRPr="00811F65" w:rsidRDefault="00355DFD" w:rsidP="005235F2">
      <w:pPr>
        <w:suppressAutoHyphens/>
        <w:ind w:left="851"/>
        <w:rPr>
          <w:sz w:val="24"/>
          <w:szCs w:val="24"/>
        </w:rPr>
      </w:pPr>
      <w:r w:rsidRPr="00811F65">
        <w:rPr>
          <w:sz w:val="24"/>
          <w:szCs w:val="24"/>
        </w:rPr>
        <w:t xml:space="preserve">Drægtige mus eksponeret for </w:t>
      </w:r>
      <w:proofErr w:type="spellStart"/>
      <w:r w:rsidRPr="00811F65">
        <w:rPr>
          <w:sz w:val="24"/>
          <w:szCs w:val="24"/>
        </w:rPr>
        <w:t>axitinib</w:t>
      </w:r>
      <w:proofErr w:type="spellEnd"/>
      <w:r w:rsidRPr="00811F65">
        <w:rPr>
          <w:sz w:val="24"/>
          <w:szCs w:val="24"/>
        </w:rPr>
        <w:t xml:space="preserve"> udviste stigning i ganespalte og skeletforandringer, herunder</w:t>
      </w:r>
      <w:r w:rsidR="00AB6640">
        <w:rPr>
          <w:sz w:val="24"/>
          <w:szCs w:val="24"/>
        </w:rPr>
        <w:t xml:space="preserve"> </w:t>
      </w:r>
      <w:r w:rsidRPr="00811F65">
        <w:rPr>
          <w:sz w:val="24"/>
          <w:szCs w:val="24"/>
        </w:rPr>
        <w:t xml:space="preserve">forsinket </w:t>
      </w:r>
      <w:proofErr w:type="spellStart"/>
      <w:r w:rsidRPr="00811F65">
        <w:rPr>
          <w:sz w:val="24"/>
          <w:szCs w:val="24"/>
        </w:rPr>
        <w:t>ossifikation</w:t>
      </w:r>
      <w:proofErr w:type="spellEnd"/>
      <w:r w:rsidRPr="00811F65">
        <w:rPr>
          <w:sz w:val="24"/>
          <w:szCs w:val="24"/>
        </w:rPr>
        <w:t xml:space="preserve"> ved doser under human-terapeutiske doser. Der er ikke udført </w:t>
      </w:r>
      <w:proofErr w:type="spellStart"/>
      <w:r w:rsidRPr="00811F65">
        <w:rPr>
          <w:sz w:val="24"/>
          <w:szCs w:val="24"/>
        </w:rPr>
        <w:t>perinatale</w:t>
      </w:r>
      <w:proofErr w:type="spellEnd"/>
      <w:r w:rsidRPr="00811F65">
        <w:rPr>
          <w:sz w:val="24"/>
          <w:szCs w:val="24"/>
        </w:rPr>
        <w:t xml:space="preserve"> og</w:t>
      </w:r>
      <w:r w:rsidR="00AB6640">
        <w:rPr>
          <w:sz w:val="24"/>
          <w:szCs w:val="24"/>
        </w:rPr>
        <w:t xml:space="preserve"> </w:t>
      </w:r>
      <w:proofErr w:type="spellStart"/>
      <w:r w:rsidRPr="00811F65">
        <w:rPr>
          <w:sz w:val="24"/>
          <w:szCs w:val="24"/>
        </w:rPr>
        <w:t>postnatale</w:t>
      </w:r>
      <w:proofErr w:type="spellEnd"/>
      <w:r w:rsidRPr="00811F65">
        <w:rPr>
          <w:sz w:val="24"/>
          <w:szCs w:val="24"/>
        </w:rPr>
        <w:t xml:space="preserve"> udviklingstoksicitet-studier.</w:t>
      </w:r>
    </w:p>
    <w:p w14:paraId="642B643B" w14:textId="77777777" w:rsidR="00355DFD" w:rsidRPr="00811F65" w:rsidRDefault="00355DFD" w:rsidP="005235F2">
      <w:pPr>
        <w:suppressAutoHyphens/>
        <w:ind w:left="851"/>
        <w:rPr>
          <w:sz w:val="24"/>
          <w:szCs w:val="24"/>
          <w:u w:val="single"/>
        </w:rPr>
      </w:pPr>
    </w:p>
    <w:p w14:paraId="6FB11D66" w14:textId="77777777" w:rsidR="00355DFD" w:rsidRPr="00811F65" w:rsidRDefault="00355DFD" w:rsidP="005235F2">
      <w:pPr>
        <w:suppressAutoHyphens/>
        <w:ind w:left="851"/>
        <w:rPr>
          <w:sz w:val="24"/>
          <w:szCs w:val="24"/>
          <w:u w:val="single"/>
        </w:rPr>
      </w:pPr>
      <w:r w:rsidRPr="00811F65">
        <w:rPr>
          <w:sz w:val="24"/>
          <w:szCs w:val="24"/>
          <w:u w:val="single"/>
        </w:rPr>
        <w:t>Toksicitetsfund i unge dyr</w:t>
      </w:r>
    </w:p>
    <w:p w14:paraId="176FE756" w14:textId="6A0E4C05" w:rsidR="00355DFD" w:rsidRPr="00811F65" w:rsidRDefault="00355DFD" w:rsidP="005235F2">
      <w:pPr>
        <w:suppressAutoHyphens/>
        <w:ind w:left="851"/>
        <w:rPr>
          <w:sz w:val="24"/>
          <w:szCs w:val="24"/>
        </w:rPr>
      </w:pPr>
      <w:r w:rsidRPr="00811F65">
        <w:rPr>
          <w:sz w:val="24"/>
          <w:szCs w:val="24"/>
        </w:rPr>
        <w:t xml:space="preserve">Reversibel </w:t>
      </w:r>
      <w:proofErr w:type="spellStart"/>
      <w:r w:rsidRPr="00811F65">
        <w:rPr>
          <w:sz w:val="24"/>
          <w:szCs w:val="24"/>
        </w:rPr>
        <w:t>epifysedysplasi</w:t>
      </w:r>
      <w:proofErr w:type="spellEnd"/>
      <w:r w:rsidRPr="00811F65">
        <w:rPr>
          <w:sz w:val="24"/>
          <w:szCs w:val="24"/>
        </w:rPr>
        <w:t xml:space="preserve"> ses hos mus og hunde efter indgift af </w:t>
      </w:r>
      <w:proofErr w:type="spellStart"/>
      <w:r w:rsidRPr="00811F65">
        <w:rPr>
          <w:sz w:val="24"/>
          <w:szCs w:val="24"/>
        </w:rPr>
        <w:t>axitinib</w:t>
      </w:r>
      <w:proofErr w:type="spellEnd"/>
      <w:r w:rsidRPr="00811F65">
        <w:rPr>
          <w:sz w:val="24"/>
          <w:szCs w:val="24"/>
        </w:rPr>
        <w:t xml:space="preserve"> i mindst 1 måned med doser</w:t>
      </w:r>
      <w:r w:rsidR="00AB6640">
        <w:rPr>
          <w:sz w:val="24"/>
          <w:szCs w:val="24"/>
        </w:rPr>
        <w:t xml:space="preserve"> </w:t>
      </w:r>
      <w:r w:rsidRPr="00811F65">
        <w:rPr>
          <w:sz w:val="24"/>
          <w:szCs w:val="24"/>
        </w:rPr>
        <w:t>ca. seks gange human-terapeutiske doser. Delvis reversibel dentalcaries ses hos mus behandlet i mere</w:t>
      </w:r>
      <w:r w:rsidR="00AB6640">
        <w:rPr>
          <w:sz w:val="24"/>
          <w:szCs w:val="24"/>
        </w:rPr>
        <w:t xml:space="preserve"> </w:t>
      </w:r>
      <w:r w:rsidRPr="00811F65">
        <w:rPr>
          <w:sz w:val="24"/>
          <w:szCs w:val="24"/>
        </w:rPr>
        <w:t>end 1 måned med doser svarende til human-terapeutiske doser. Der er ikke foretaget andre toksicitetsundersøgelser i unge dyr med henblik på pædiatriske patienter.</w:t>
      </w:r>
    </w:p>
    <w:p w14:paraId="336F59D1" w14:textId="77777777" w:rsidR="009260DE" w:rsidRPr="00811F65" w:rsidRDefault="009260DE" w:rsidP="009260DE">
      <w:pPr>
        <w:tabs>
          <w:tab w:val="left" w:pos="851"/>
        </w:tabs>
        <w:ind w:left="851"/>
        <w:rPr>
          <w:sz w:val="24"/>
          <w:szCs w:val="24"/>
        </w:rPr>
      </w:pPr>
    </w:p>
    <w:p w14:paraId="51D5742D" w14:textId="77777777" w:rsidR="009260DE" w:rsidRPr="00811F65" w:rsidRDefault="009260DE" w:rsidP="009260DE">
      <w:pPr>
        <w:tabs>
          <w:tab w:val="left" w:pos="851"/>
        </w:tabs>
        <w:ind w:left="851"/>
        <w:rPr>
          <w:sz w:val="24"/>
          <w:szCs w:val="24"/>
        </w:rPr>
      </w:pPr>
    </w:p>
    <w:p w14:paraId="04D6C69B" w14:textId="77777777" w:rsidR="009260DE" w:rsidRPr="00811F65" w:rsidRDefault="009260DE" w:rsidP="009260DE">
      <w:pPr>
        <w:tabs>
          <w:tab w:val="left" w:pos="851"/>
        </w:tabs>
        <w:ind w:left="851" w:hanging="851"/>
        <w:rPr>
          <w:b/>
          <w:sz w:val="24"/>
          <w:szCs w:val="24"/>
        </w:rPr>
      </w:pPr>
      <w:r w:rsidRPr="00811F65">
        <w:rPr>
          <w:b/>
          <w:sz w:val="24"/>
          <w:szCs w:val="24"/>
        </w:rPr>
        <w:t>6.</w:t>
      </w:r>
      <w:r w:rsidRPr="00811F65">
        <w:rPr>
          <w:b/>
          <w:sz w:val="24"/>
          <w:szCs w:val="24"/>
        </w:rPr>
        <w:tab/>
        <w:t>FARMACEUTISKE OPLYSNINGER</w:t>
      </w:r>
    </w:p>
    <w:p w14:paraId="3E8DDD22" w14:textId="77777777" w:rsidR="009260DE" w:rsidRPr="00811F65" w:rsidRDefault="009260DE" w:rsidP="009260DE">
      <w:pPr>
        <w:tabs>
          <w:tab w:val="left" w:pos="851"/>
        </w:tabs>
        <w:ind w:left="851"/>
        <w:rPr>
          <w:sz w:val="24"/>
          <w:szCs w:val="24"/>
        </w:rPr>
      </w:pPr>
    </w:p>
    <w:p w14:paraId="63693D5D" w14:textId="77777777" w:rsidR="009260DE" w:rsidRPr="00811F65" w:rsidRDefault="009260DE" w:rsidP="009260DE">
      <w:pPr>
        <w:tabs>
          <w:tab w:val="left" w:pos="851"/>
        </w:tabs>
        <w:ind w:left="851" w:hanging="851"/>
        <w:rPr>
          <w:b/>
          <w:sz w:val="24"/>
          <w:szCs w:val="24"/>
        </w:rPr>
      </w:pPr>
      <w:r w:rsidRPr="00811F65">
        <w:rPr>
          <w:b/>
          <w:sz w:val="24"/>
          <w:szCs w:val="24"/>
        </w:rPr>
        <w:t>6.1</w:t>
      </w:r>
      <w:r w:rsidRPr="00811F65">
        <w:rPr>
          <w:b/>
          <w:sz w:val="24"/>
          <w:szCs w:val="24"/>
        </w:rPr>
        <w:tab/>
        <w:t>Hjælpestoffer</w:t>
      </w:r>
    </w:p>
    <w:p w14:paraId="7DA062FD" w14:textId="77777777" w:rsidR="00AB6640" w:rsidRDefault="00AB6640" w:rsidP="005235F2">
      <w:pPr>
        <w:ind w:left="851"/>
        <w:rPr>
          <w:sz w:val="24"/>
          <w:szCs w:val="24"/>
          <w:u w:val="single"/>
        </w:rPr>
      </w:pPr>
    </w:p>
    <w:p w14:paraId="3C38D32F" w14:textId="4187464A" w:rsidR="00355DFD" w:rsidRPr="00811F65" w:rsidRDefault="00355DFD" w:rsidP="005235F2">
      <w:pPr>
        <w:ind w:left="851"/>
        <w:rPr>
          <w:sz w:val="24"/>
          <w:szCs w:val="24"/>
          <w:u w:val="single"/>
          <w:lang w:eastAsia="fr-LU"/>
        </w:rPr>
      </w:pPr>
      <w:r w:rsidRPr="00811F65">
        <w:rPr>
          <w:sz w:val="24"/>
          <w:szCs w:val="24"/>
          <w:u w:val="single"/>
        </w:rPr>
        <w:t>Tabletkerne</w:t>
      </w:r>
    </w:p>
    <w:p w14:paraId="6B0A9307" w14:textId="77777777" w:rsidR="00355DFD" w:rsidRPr="00811F65" w:rsidRDefault="00355DFD" w:rsidP="005235F2">
      <w:pPr>
        <w:ind w:left="851"/>
        <w:rPr>
          <w:sz w:val="24"/>
          <w:szCs w:val="24"/>
        </w:rPr>
      </w:pPr>
      <w:proofErr w:type="spellStart"/>
      <w:r w:rsidRPr="00811F65">
        <w:rPr>
          <w:sz w:val="24"/>
          <w:szCs w:val="24"/>
        </w:rPr>
        <w:t>Lactosemonohydrat</w:t>
      </w:r>
      <w:proofErr w:type="spellEnd"/>
    </w:p>
    <w:p w14:paraId="0FB77566" w14:textId="77777777" w:rsidR="00355DFD" w:rsidRPr="00811F65" w:rsidRDefault="00355DFD" w:rsidP="005235F2">
      <w:pPr>
        <w:ind w:left="851"/>
        <w:rPr>
          <w:sz w:val="24"/>
          <w:szCs w:val="24"/>
        </w:rPr>
      </w:pPr>
      <w:r w:rsidRPr="00811F65">
        <w:rPr>
          <w:sz w:val="24"/>
          <w:szCs w:val="24"/>
        </w:rPr>
        <w:t>Mikrokrystallinsk cellulose</w:t>
      </w:r>
    </w:p>
    <w:p w14:paraId="0C1F754B" w14:textId="77777777" w:rsidR="00355DFD" w:rsidRPr="00811F65" w:rsidRDefault="00355DFD" w:rsidP="005235F2">
      <w:pPr>
        <w:ind w:left="851"/>
        <w:rPr>
          <w:sz w:val="24"/>
          <w:szCs w:val="24"/>
          <w:lang w:val="en-US"/>
        </w:rPr>
      </w:pPr>
      <w:proofErr w:type="spellStart"/>
      <w:r w:rsidRPr="00811F65">
        <w:rPr>
          <w:sz w:val="24"/>
          <w:szCs w:val="24"/>
          <w:lang w:val="en-US"/>
        </w:rPr>
        <w:t>Croscarmellosenatrium</w:t>
      </w:r>
      <w:proofErr w:type="spellEnd"/>
    </w:p>
    <w:p w14:paraId="2DE36A4E" w14:textId="77777777" w:rsidR="00355DFD" w:rsidRPr="00811F65" w:rsidRDefault="00355DFD" w:rsidP="005235F2">
      <w:pPr>
        <w:ind w:left="851"/>
        <w:rPr>
          <w:sz w:val="24"/>
          <w:szCs w:val="24"/>
          <w:lang w:val="en-US"/>
        </w:rPr>
      </w:pPr>
      <w:proofErr w:type="spellStart"/>
      <w:r w:rsidRPr="00811F65">
        <w:rPr>
          <w:sz w:val="24"/>
          <w:szCs w:val="24"/>
          <w:lang w:val="en-US"/>
        </w:rPr>
        <w:t>Magnesiumstearat</w:t>
      </w:r>
      <w:proofErr w:type="spellEnd"/>
    </w:p>
    <w:p w14:paraId="087204B0" w14:textId="77777777" w:rsidR="00355DFD" w:rsidRPr="00811F65" w:rsidRDefault="00355DFD" w:rsidP="005235F2">
      <w:pPr>
        <w:ind w:left="851"/>
        <w:rPr>
          <w:sz w:val="24"/>
          <w:szCs w:val="24"/>
          <w:lang w:val="en-US"/>
        </w:rPr>
      </w:pPr>
    </w:p>
    <w:p w14:paraId="192A78F4" w14:textId="77777777" w:rsidR="00355DFD" w:rsidRPr="00811F65" w:rsidRDefault="00355DFD" w:rsidP="005235F2">
      <w:pPr>
        <w:ind w:left="851"/>
        <w:rPr>
          <w:sz w:val="24"/>
          <w:szCs w:val="24"/>
          <w:u w:val="single"/>
          <w:lang w:val="en-US"/>
        </w:rPr>
      </w:pPr>
      <w:proofErr w:type="spellStart"/>
      <w:r w:rsidRPr="00811F65">
        <w:rPr>
          <w:sz w:val="24"/>
          <w:szCs w:val="24"/>
          <w:u w:val="single"/>
          <w:lang w:val="en-US"/>
        </w:rPr>
        <w:t>Tabletfilmovertræk</w:t>
      </w:r>
      <w:proofErr w:type="spellEnd"/>
    </w:p>
    <w:p w14:paraId="0D6EF825" w14:textId="77777777" w:rsidR="00355DFD" w:rsidRPr="00811F65" w:rsidRDefault="00355DFD" w:rsidP="005235F2">
      <w:pPr>
        <w:ind w:left="851"/>
        <w:rPr>
          <w:sz w:val="24"/>
          <w:szCs w:val="24"/>
          <w:lang w:val="en-US"/>
        </w:rPr>
      </w:pPr>
      <w:r w:rsidRPr="00811F65">
        <w:rPr>
          <w:sz w:val="24"/>
          <w:szCs w:val="24"/>
          <w:lang w:val="en-US"/>
        </w:rPr>
        <w:t xml:space="preserve">Hypromellose </w:t>
      </w:r>
    </w:p>
    <w:p w14:paraId="75324C33" w14:textId="77777777" w:rsidR="00355DFD" w:rsidRPr="00811F65" w:rsidRDefault="00355DFD" w:rsidP="005235F2">
      <w:pPr>
        <w:ind w:left="851"/>
        <w:rPr>
          <w:sz w:val="24"/>
          <w:szCs w:val="24"/>
          <w:lang w:val="en-US"/>
        </w:rPr>
      </w:pPr>
      <w:proofErr w:type="spellStart"/>
      <w:r w:rsidRPr="00811F65">
        <w:rPr>
          <w:sz w:val="24"/>
          <w:szCs w:val="24"/>
          <w:lang w:val="en-US"/>
        </w:rPr>
        <w:t>Lactosemonohydrat</w:t>
      </w:r>
      <w:proofErr w:type="spellEnd"/>
    </w:p>
    <w:p w14:paraId="25A2398A" w14:textId="77777777" w:rsidR="00355DFD" w:rsidRPr="00811F65" w:rsidRDefault="00355DFD" w:rsidP="005235F2">
      <w:pPr>
        <w:ind w:left="851"/>
        <w:rPr>
          <w:sz w:val="24"/>
          <w:szCs w:val="24"/>
          <w:lang w:val="en-US"/>
        </w:rPr>
      </w:pPr>
      <w:proofErr w:type="spellStart"/>
      <w:r w:rsidRPr="00811F65">
        <w:rPr>
          <w:sz w:val="24"/>
          <w:szCs w:val="24"/>
          <w:lang w:val="en-US"/>
        </w:rPr>
        <w:t>Titandioxid</w:t>
      </w:r>
      <w:proofErr w:type="spellEnd"/>
      <w:r w:rsidRPr="00811F65">
        <w:rPr>
          <w:sz w:val="24"/>
          <w:szCs w:val="24"/>
          <w:lang w:val="en-US"/>
        </w:rPr>
        <w:t xml:space="preserve"> (E 171)</w:t>
      </w:r>
    </w:p>
    <w:p w14:paraId="5B862418" w14:textId="77777777" w:rsidR="00355DFD" w:rsidRPr="00811F65" w:rsidRDefault="00355DFD" w:rsidP="005235F2">
      <w:pPr>
        <w:ind w:left="851"/>
        <w:rPr>
          <w:sz w:val="24"/>
          <w:szCs w:val="24"/>
        </w:rPr>
      </w:pPr>
      <w:r w:rsidRPr="00811F65">
        <w:rPr>
          <w:sz w:val="24"/>
          <w:szCs w:val="24"/>
        </w:rPr>
        <w:t>Rød jernoxid (E 172)</w:t>
      </w:r>
    </w:p>
    <w:p w14:paraId="44239911" w14:textId="77777777" w:rsidR="00355DFD" w:rsidRPr="00811F65" w:rsidRDefault="00355DFD" w:rsidP="005235F2">
      <w:pPr>
        <w:ind w:left="851"/>
        <w:rPr>
          <w:sz w:val="24"/>
          <w:szCs w:val="24"/>
        </w:rPr>
      </w:pPr>
      <w:proofErr w:type="spellStart"/>
      <w:r w:rsidRPr="00811F65">
        <w:rPr>
          <w:sz w:val="24"/>
          <w:szCs w:val="24"/>
        </w:rPr>
        <w:t>Triacetin</w:t>
      </w:r>
      <w:proofErr w:type="spellEnd"/>
      <w:r w:rsidRPr="00811F65">
        <w:rPr>
          <w:sz w:val="24"/>
          <w:szCs w:val="24"/>
        </w:rPr>
        <w:t xml:space="preserve"> </w:t>
      </w:r>
    </w:p>
    <w:p w14:paraId="30B0322D" w14:textId="77777777" w:rsidR="009260DE" w:rsidRPr="00811F65" w:rsidRDefault="009260DE" w:rsidP="009260DE">
      <w:pPr>
        <w:tabs>
          <w:tab w:val="left" w:pos="851"/>
        </w:tabs>
        <w:ind w:left="851"/>
        <w:rPr>
          <w:sz w:val="24"/>
          <w:szCs w:val="24"/>
        </w:rPr>
      </w:pPr>
    </w:p>
    <w:p w14:paraId="7281C16F" w14:textId="77777777" w:rsidR="009260DE" w:rsidRPr="00811F65" w:rsidRDefault="009260DE" w:rsidP="009260DE">
      <w:pPr>
        <w:tabs>
          <w:tab w:val="left" w:pos="851"/>
        </w:tabs>
        <w:ind w:left="851" w:hanging="851"/>
        <w:rPr>
          <w:b/>
          <w:sz w:val="24"/>
          <w:szCs w:val="24"/>
        </w:rPr>
      </w:pPr>
      <w:r w:rsidRPr="00811F65">
        <w:rPr>
          <w:b/>
          <w:sz w:val="24"/>
          <w:szCs w:val="24"/>
        </w:rPr>
        <w:t>6.2</w:t>
      </w:r>
      <w:r w:rsidRPr="00811F65">
        <w:rPr>
          <w:b/>
          <w:sz w:val="24"/>
          <w:szCs w:val="24"/>
        </w:rPr>
        <w:tab/>
        <w:t>Uforligeligheder</w:t>
      </w:r>
    </w:p>
    <w:p w14:paraId="4A8A2E50" w14:textId="77777777" w:rsidR="00355DFD" w:rsidRPr="00811F65" w:rsidRDefault="00355DFD" w:rsidP="005235F2">
      <w:pPr>
        <w:ind w:left="851"/>
        <w:rPr>
          <w:sz w:val="24"/>
          <w:szCs w:val="24"/>
          <w:lang w:eastAsia="fr-LU"/>
        </w:rPr>
      </w:pPr>
      <w:r w:rsidRPr="00811F65">
        <w:rPr>
          <w:sz w:val="24"/>
          <w:szCs w:val="24"/>
        </w:rPr>
        <w:t>Ikke relevant.</w:t>
      </w:r>
    </w:p>
    <w:p w14:paraId="0D2351A8" w14:textId="77777777" w:rsidR="009260DE" w:rsidRPr="00811F65" w:rsidRDefault="009260DE" w:rsidP="009260DE">
      <w:pPr>
        <w:tabs>
          <w:tab w:val="left" w:pos="851"/>
        </w:tabs>
        <w:ind w:left="851"/>
        <w:rPr>
          <w:sz w:val="24"/>
          <w:szCs w:val="24"/>
        </w:rPr>
      </w:pPr>
    </w:p>
    <w:p w14:paraId="1F006496" w14:textId="77777777" w:rsidR="009260DE" w:rsidRPr="00811F65" w:rsidRDefault="009260DE" w:rsidP="009260DE">
      <w:pPr>
        <w:tabs>
          <w:tab w:val="left" w:pos="851"/>
        </w:tabs>
        <w:ind w:left="851" w:hanging="851"/>
        <w:rPr>
          <w:b/>
          <w:sz w:val="24"/>
          <w:szCs w:val="24"/>
        </w:rPr>
      </w:pPr>
      <w:r w:rsidRPr="00811F65">
        <w:rPr>
          <w:b/>
          <w:sz w:val="24"/>
          <w:szCs w:val="24"/>
        </w:rPr>
        <w:t>6.3</w:t>
      </w:r>
      <w:r w:rsidRPr="00811F65">
        <w:rPr>
          <w:b/>
          <w:sz w:val="24"/>
          <w:szCs w:val="24"/>
        </w:rPr>
        <w:tab/>
        <w:t>Opbevaringstid</w:t>
      </w:r>
    </w:p>
    <w:p w14:paraId="075541A6" w14:textId="77777777" w:rsidR="00355DFD" w:rsidRPr="00811F65" w:rsidRDefault="00355DFD" w:rsidP="005235F2">
      <w:pPr>
        <w:ind w:left="851"/>
        <w:rPr>
          <w:sz w:val="24"/>
          <w:szCs w:val="24"/>
          <w:lang w:eastAsia="fr-LU"/>
        </w:rPr>
      </w:pPr>
      <w:r w:rsidRPr="00811F65">
        <w:rPr>
          <w:sz w:val="24"/>
          <w:szCs w:val="24"/>
        </w:rPr>
        <w:t>3 år.</w:t>
      </w:r>
    </w:p>
    <w:p w14:paraId="70FFC844" w14:textId="77777777" w:rsidR="009260DE" w:rsidRPr="00811F65" w:rsidRDefault="009260DE" w:rsidP="009260DE">
      <w:pPr>
        <w:tabs>
          <w:tab w:val="left" w:pos="851"/>
        </w:tabs>
        <w:ind w:left="851"/>
        <w:rPr>
          <w:sz w:val="24"/>
          <w:szCs w:val="24"/>
        </w:rPr>
      </w:pPr>
    </w:p>
    <w:p w14:paraId="1FB2CDAB" w14:textId="77777777" w:rsidR="009260DE" w:rsidRPr="00811F65" w:rsidRDefault="009260DE" w:rsidP="009260DE">
      <w:pPr>
        <w:tabs>
          <w:tab w:val="left" w:pos="851"/>
        </w:tabs>
        <w:ind w:left="851" w:hanging="851"/>
        <w:rPr>
          <w:b/>
          <w:sz w:val="24"/>
          <w:szCs w:val="24"/>
        </w:rPr>
      </w:pPr>
      <w:r w:rsidRPr="00811F65">
        <w:rPr>
          <w:b/>
          <w:sz w:val="24"/>
          <w:szCs w:val="24"/>
        </w:rPr>
        <w:t>6.4</w:t>
      </w:r>
      <w:r w:rsidRPr="00811F65">
        <w:rPr>
          <w:b/>
          <w:sz w:val="24"/>
          <w:szCs w:val="24"/>
        </w:rPr>
        <w:tab/>
        <w:t>Særlige opbevaringsforhold</w:t>
      </w:r>
    </w:p>
    <w:p w14:paraId="30FDDD20" w14:textId="77777777" w:rsidR="00355DFD" w:rsidRPr="00811F65" w:rsidRDefault="00355DFD" w:rsidP="005235F2">
      <w:pPr>
        <w:ind w:left="851"/>
        <w:rPr>
          <w:sz w:val="24"/>
          <w:szCs w:val="24"/>
          <w:lang w:eastAsia="fr-LU"/>
        </w:rPr>
      </w:pPr>
      <w:r w:rsidRPr="00811F65">
        <w:rPr>
          <w:sz w:val="24"/>
          <w:szCs w:val="24"/>
        </w:rPr>
        <w:t>Opbevares i den originale emballage for at beskytte mod fugt.</w:t>
      </w:r>
    </w:p>
    <w:p w14:paraId="033CF74E" w14:textId="77777777" w:rsidR="009260DE" w:rsidRPr="00811F65" w:rsidRDefault="009260DE" w:rsidP="009260DE">
      <w:pPr>
        <w:tabs>
          <w:tab w:val="left" w:pos="851"/>
        </w:tabs>
        <w:ind w:left="851"/>
        <w:rPr>
          <w:sz w:val="24"/>
          <w:szCs w:val="24"/>
        </w:rPr>
      </w:pPr>
    </w:p>
    <w:p w14:paraId="54E8239B" w14:textId="77777777" w:rsidR="009260DE" w:rsidRPr="00811F65" w:rsidRDefault="009260DE" w:rsidP="009260DE">
      <w:pPr>
        <w:tabs>
          <w:tab w:val="left" w:pos="851"/>
        </w:tabs>
        <w:ind w:left="851" w:hanging="851"/>
        <w:rPr>
          <w:b/>
          <w:sz w:val="24"/>
          <w:szCs w:val="24"/>
        </w:rPr>
      </w:pPr>
      <w:r w:rsidRPr="00811F65">
        <w:rPr>
          <w:b/>
          <w:sz w:val="24"/>
          <w:szCs w:val="24"/>
        </w:rPr>
        <w:t>6.5</w:t>
      </w:r>
      <w:r w:rsidRPr="00811F65">
        <w:rPr>
          <w:b/>
          <w:sz w:val="24"/>
          <w:szCs w:val="24"/>
        </w:rPr>
        <w:tab/>
        <w:t>Emballagetype og pakningsstørrelser</w:t>
      </w:r>
    </w:p>
    <w:p w14:paraId="390119D6" w14:textId="77777777" w:rsidR="00355DFD" w:rsidRPr="00811F65" w:rsidRDefault="00355DFD" w:rsidP="005235F2">
      <w:pPr>
        <w:suppressAutoHyphens/>
        <w:ind w:left="851"/>
        <w:rPr>
          <w:sz w:val="24"/>
          <w:szCs w:val="24"/>
          <w:lang w:eastAsia="fr-LU"/>
        </w:rPr>
      </w:pPr>
      <w:proofErr w:type="spellStart"/>
      <w:r w:rsidRPr="00811F65">
        <w:rPr>
          <w:sz w:val="24"/>
          <w:szCs w:val="24"/>
        </w:rPr>
        <w:t>oPA</w:t>
      </w:r>
      <w:proofErr w:type="spellEnd"/>
      <w:r w:rsidRPr="00811F65">
        <w:rPr>
          <w:sz w:val="24"/>
          <w:szCs w:val="24"/>
        </w:rPr>
        <w:t>/Aluminium/PVC/Aluminium blister indeholdende filmovertrukne tabletter.</w:t>
      </w:r>
    </w:p>
    <w:p w14:paraId="7A48F4E4" w14:textId="77777777" w:rsidR="00355DFD" w:rsidRPr="00811F65" w:rsidRDefault="00355DFD" w:rsidP="005235F2">
      <w:pPr>
        <w:suppressAutoHyphens/>
        <w:ind w:left="851"/>
        <w:rPr>
          <w:sz w:val="24"/>
          <w:szCs w:val="24"/>
        </w:rPr>
      </w:pPr>
    </w:p>
    <w:p w14:paraId="5BE7B9F9" w14:textId="77777777" w:rsidR="00355DFD" w:rsidRPr="00811F65" w:rsidRDefault="00355DFD" w:rsidP="005235F2">
      <w:pPr>
        <w:suppressAutoHyphens/>
        <w:ind w:left="851"/>
        <w:rPr>
          <w:sz w:val="24"/>
          <w:szCs w:val="24"/>
        </w:rPr>
      </w:pPr>
      <w:r w:rsidRPr="00811F65">
        <w:rPr>
          <w:sz w:val="24"/>
          <w:szCs w:val="24"/>
        </w:rPr>
        <w:t xml:space="preserve">Pakningsstørrelser: 14, 28, 56 eller 60 filmovertrukne tabletter.  </w:t>
      </w:r>
    </w:p>
    <w:p w14:paraId="63D67C11" w14:textId="77777777" w:rsidR="00355DFD" w:rsidRPr="00811F65" w:rsidRDefault="00355DFD" w:rsidP="005235F2">
      <w:pPr>
        <w:suppressAutoHyphens/>
        <w:ind w:left="851"/>
        <w:rPr>
          <w:sz w:val="24"/>
          <w:szCs w:val="24"/>
        </w:rPr>
      </w:pPr>
    </w:p>
    <w:p w14:paraId="3662869F" w14:textId="77777777" w:rsidR="00355DFD" w:rsidRPr="00811F65" w:rsidRDefault="00355DFD" w:rsidP="005235F2">
      <w:pPr>
        <w:suppressAutoHyphens/>
        <w:ind w:left="851"/>
        <w:rPr>
          <w:sz w:val="24"/>
          <w:szCs w:val="24"/>
        </w:rPr>
      </w:pPr>
      <w:proofErr w:type="spellStart"/>
      <w:r w:rsidRPr="00811F65">
        <w:rPr>
          <w:sz w:val="24"/>
          <w:szCs w:val="24"/>
        </w:rPr>
        <w:t>oPA</w:t>
      </w:r>
      <w:proofErr w:type="spellEnd"/>
      <w:r w:rsidRPr="00811F65">
        <w:rPr>
          <w:sz w:val="24"/>
          <w:szCs w:val="24"/>
        </w:rPr>
        <w:t xml:space="preserve">/Aluminium/PVC/Aluminium perforerede enkeltdosisblister med filmovertrukne tabletter. </w:t>
      </w:r>
    </w:p>
    <w:p w14:paraId="7CD3518F" w14:textId="77777777" w:rsidR="00355DFD" w:rsidRPr="00811F65" w:rsidRDefault="00355DFD" w:rsidP="005235F2">
      <w:pPr>
        <w:suppressAutoHyphens/>
        <w:ind w:left="851"/>
        <w:rPr>
          <w:sz w:val="24"/>
          <w:szCs w:val="24"/>
        </w:rPr>
      </w:pPr>
    </w:p>
    <w:p w14:paraId="51ECC5F2" w14:textId="05E738DF" w:rsidR="00355DFD" w:rsidRPr="00811F65" w:rsidRDefault="00355DFD" w:rsidP="005235F2">
      <w:pPr>
        <w:suppressAutoHyphens/>
        <w:ind w:left="851"/>
        <w:rPr>
          <w:sz w:val="24"/>
          <w:szCs w:val="24"/>
        </w:rPr>
      </w:pPr>
      <w:r w:rsidRPr="00811F65">
        <w:rPr>
          <w:sz w:val="24"/>
          <w:szCs w:val="24"/>
        </w:rPr>
        <w:t>Pakningsstørrelser: 14</w:t>
      </w:r>
      <w:r w:rsidR="00E84059">
        <w:rPr>
          <w:sz w:val="24"/>
          <w:szCs w:val="24"/>
        </w:rPr>
        <w:t>×</w:t>
      </w:r>
      <w:r w:rsidRPr="00811F65">
        <w:rPr>
          <w:sz w:val="24"/>
          <w:szCs w:val="24"/>
        </w:rPr>
        <w:t>1, 28</w:t>
      </w:r>
      <w:r w:rsidR="00E84059">
        <w:rPr>
          <w:sz w:val="24"/>
          <w:szCs w:val="24"/>
        </w:rPr>
        <w:t>×</w:t>
      </w:r>
      <w:r w:rsidRPr="00811F65">
        <w:rPr>
          <w:sz w:val="24"/>
          <w:szCs w:val="24"/>
        </w:rPr>
        <w:t>1, 56</w:t>
      </w:r>
      <w:r w:rsidR="00E84059">
        <w:rPr>
          <w:sz w:val="24"/>
          <w:szCs w:val="24"/>
        </w:rPr>
        <w:t>×</w:t>
      </w:r>
      <w:r w:rsidRPr="00811F65">
        <w:rPr>
          <w:sz w:val="24"/>
          <w:szCs w:val="24"/>
        </w:rPr>
        <w:t>1 eller 60</w:t>
      </w:r>
      <w:r w:rsidR="00E84059">
        <w:rPr>
          <w:sz w:val="24"/>
          <w:szCs w:val="24"/>
        </w:rPr>
        <w:t>×</w:t>
      </w:r>
      <w:r w:rsidRPr="00811F65">
        <w:rPr>
          <w:sz w:val="24"/>
          <w:szCs w:val="24"/>
        </w:rPr>
        <w:t>1 filmovertrukne tabletter.</w:t>
      </w:r>
    </w:p>
    <w:p w14:paraId="0372BD71" w14:textId="77777777" w:rsidR="00355DFD" w:rsidRPr="00811F65" w:rsidRDefault="00355DFD" w:rsidP="005235F2">
      <w:pPr>
        <w:suppressAutoHyphens/>
        <w:ind w:left="851"/>
        <w:rPr>
          <w:sz w:val="24"/>
          <w:szCs w:val="24"/>
        </w:rPr>
      </w:pPr>
    </w:p>
    <w:p w14:paraId="63DA5A6F" w14:textId="77777777" w:rsidR="00355DFD" w:rsidRPr="00811F65" w:rsidRDefault="00355DFD" w:rsidP="005235F2">
      <w:pPr>
        <w:suppressAutoHyphens/>
        <w:ind w:left="851"/>
        <w:rPr>
          <w:b/>
          <w:sz w:val="24"/>
          <w:szCs w:val="24"/>
        </w:rPr>
      </w:pPr>
      <w:r w:rsidRPr="00811F65">
        <w:rPr>
          <w:sz w:val="24"/>
          <w:szCs w:val="24"/>
        </w:rPr>
        <w:t>Ikke alle pakningsstørrelser er muligvis markedsført.</w:t>
      </w:r>
    </w:p>
    <w:p w14:paraId="7D9EDE30" w14:textId="77777777" w:rsidR="009260DE" w:rsidRPr="00811F65" w:rsidRDefault="009260DE" w:rsidP="009260DE">
      <w:pPr>
        <w:tabs>
          <w:tab w:val="left" w:pos="851"/>
        </w:tabs>
        <w:ind w:left="851"/>
        <w:rPr>
          <w:sz w:val="24"/>
          <w:szCs w:val="24"/>
        </w:rPr>
      </w:pPr>
    </w:p>
    <w:p w14:paraId="52BEDAF0" w14:textId="77777777" w:rsidR="009260DE" w:rsidRPr="00811F65" w:rsidRDefault="009260DE" w:rsidP="009260DE">
      <w:pPr>
        <w:tabs>
          <w:tab w:val="left" w:pos="851"/>
        </w:tabs>
        <w:ind w:left="851" w:hanging="851"/>
        <w:rPr>
          <w:b/>
          <w:sz w:val="24"/>
          <w:szCs w:val="24"/>
        </w:rPr>
      </w:pPr>
      <w:r w:rsidRPr="00811F65">
        <w:rPr>
          <w:b/>
          <w:sz w:val="24"/>
          <w:szCs w:val="24"/>
        </w:rPr>
        <w:t>6.6</w:t>
      </w:r>
      <w:r w:rsidRPr="00811F65">
        <w:rPr>
          <w:b/>
          <w:sz w:val="24"/>
          <w:szCs w:val="24"/>
        </w:rPr>
        <w:tab/>
        <w:t xml:space="preserve">Regler for </w:t>
      </w:r>
      <w:r w:rsidR="00BD7931" w:rsidRPr="00811F65">
        <w:rPr>
          <w:b/>
          <w:sz w:val="24"/>
          <w:szCs w:val="24"/>
        </w:rPr>
        <w:t>bortskaffelse</w:t>
      </w:r>
      <w:r w:rsidRPr="00811F65">
        <w:rPr>
          <w:b/>
          <w:sz w:val="24"/>
          <w:szCs w:val="24"/>
        </w:rPr>
        <w:t xml:space="preserve"> og anden håndtering</w:t>
      </w:r>
    </w:p>
    <w:p w14:paraId="6A12EF64" w14:textId="77777777" w:rsidR="00355DFD" w:rsidRPr="00811F65" w:rsidRDefault="00355DFD" w:rsidP="005235F2">
      <w:pPr>
        <w:ind w:left="851"/>
        <w:rPr>
          <w:sz w:val="24"/>
          <w:szCs w:val="24"/>
          <w:lang w:eastAsia="fr-LU"/>
        </w:rPr>
      </w:pPr>
      <w:r w:rsidRPr="00811F65">
        <w:rPr>
          <w:sz w:val="24"/>
          <w:szCs w:val="24"/>
        </w:rPr>
        <w:t>Ikke anvendt lægemiddel samt affald heraf skal bortskaffes i henhold til lokale retningslinjer.</w:t>
      </w:r>
    </w:p>
    <w:p w14:paraId="3E5903B3" w14:textId="77777777" w:rsidR="009260DE" w:rsidRPr="00811F65" w:rsidRDefault="009260DE" w:rsidP="000730CA">
      <w:pPr>
        <w:tabs>
          <w:tab w:val="left" w:pos="851"/>
        </w:tabs>
        <w:ind w:left="851"/>
        <w:rPr>
          <w:sz w:val="24"/>
          <w:szCs w:val="24"/>
        </w:rPr>
      </w:pPr>
    </w:p>
    <w:p w14:paraId="77EFC4C3" w14:textId="77777777" w:rsidR="009260DE" w:rsidRPr="00811F65" w:rsidRDefault="009260DE" w:rsidP="009260DE">
      <w:pPr>
        <w:tabs>
          <w:tab w:val="left" w:pos="851"/>
        </w:tabs>
        <w:ind w:left="851" w:hanging="851"/>
        <w:rPr>
          <w:b/>
          <w:sz w:val="24"/>
          <w:szCs w:val="24"/>
        </w:rPr>
      </w:pPr>
      <w:r w:rsidRPr="00811F65">
        <w:rPr>
          <w:b/>
          <w:sz w:val="24"/>
          <w:szCs w:val="24"/>
        </w:rPr>
        <w:t>7.</w:t>
      </w:r>
      <w:r w:rsidRPr="00811F65">
        <w:rPr>
          <w:b/>
          <w:sz w:val="24"/>
          <w:szCs w:val="24"/>
        </w:rPr>
        <w:tab/>
        <w:t>INDEHAVER AF MARKEDSFØRINGSTILLADELSEN</w:t>
      </w:r>
    </w:p>
    <w:p w14:paraId="2A5CCA4B" w14:textId="77777777" w:rsidR="00662E21" w:rsidRPr="00811F65" w:rsidRDefault="00662E21" w:rsidP="00662E21">
      <w:pPr>
        <w:tabs>
          <w:tab w:val="left" w:pos="851"/>
        </w:tabs>
        <w:ind w:left="851"/>
        <w:jc w:val="both"/>
        <w:rPr>
          <w:sz w:val="24"/>
          <w:szCs w:val="24"/>
        </w:rPr>
      </w:pPr>
      <w:r w:rsidRPr="00811F65">
        <w:rPr>
          <w:sz w:val="24"/>
          <w:szCs w:val="24"/>
        </w:rPr>
        <w:t xml:space="preserve">STADA </w:t>
      </w:r>
      <w:proofErr w:type="spellStart"/>
      <w:r w:rsidRPr="00811F65">
        <w:rPr>
          <w:sz w:val="24"/>
          <w:szCs w:val="24"/>
        </w:rPr>
        <w:t>Arzneimittel</w:t>
      </w:r>
      <w:proofErr w:type="spellEnd"/>
      <w:r w:rsidRPr="00811F65">
        <w:rPr>
          <w:sz w:val="24"/>
          <w:szCs w:val="24"/>
        </w:rPr>
        <w:t xml:space="preserve"> AG</w:t>
      </w:r>
    </w:p>
    <w:p w14:paraId="44C97377" w14:textId="77777777" w:rsidR="00662E21" w:rsidRPr="00811F65" w:rsidRDefault="00662E21" w:rsidP="00662E21">
      <w:pPr>
        <w:tabs>
          <w:tab w:val="left" w:pos="851"/>
        </w:tabs>
        <w:ind w:left="851"/>
        <w:jc w:val="both"/>
        <w:rPr>
          <w:sz w:val="24"/>
          <w:szCs w:val="24"/>
        </w:rPr>
      </w:pPr>
      <w:proofErr w:type="spellStart"/>
      <w:r w:rsidRPr="00811F65">
        <w:rPr>
          <w:sz w:val="24"/>
          <w:szCs w:val="24"/>
        </w:rPr>
        <w:t>Stadastrasse</w:t>
      </w:r>
      <w:proofErr w:type="spellEnd"/>
      <w:r w:rsidRPr="00811F65">
        <w:rPr>
          <w:sz w:val="24"/>
          <w:szCs w:val="24"/>
        </w:rPr>
        <w:t xml:space="preserve"> 2-18</w:t>
      </w:r>
    </w:p>
    <w:p w14:paraId="7F5F7C5C" w14:textId="77777777" w:rsidR="00662E21" w:rsidRPr="00811F65" w:rsidRDefault="00662E21" w:rsidP="00662E21">
      <w:pPr>
        <w:tabs>
          <w:tab w:val="left" w:pos="851"/>
        </w:tabs>
        <w:ind w:left="851"/>
        <w:jc w:val="both"/>
        <w:rPr>
          <w:sz w:val="24"/>
          <w:szCs w:val="24"/>
        </w:rPr>
      </w:pPr>
      <w:r w:rsidRPr="00811F65">
        <w:rPr>
          <w:sz w:val="24"/>
          <w:szCs w:val="24"/>
        </w:rPr>
        <w:t xml:space="preserve">61118 Bad </w:t>
      </w:r>
      <w:proofErr w:type="spellStart"/>
      <w:r w:rsidRPr="00811F65">
        <w:rPr>
          <w:sz w:val="24"/>
          <w:szCs w:val="24"/>
        </w:rPr>
        <w:t>Vilbel</w:t>
      </w:r>
      <w:proofErr w:type="spellEnd"/>
    </w:p>
    <w:p w14:paraId="0D32D75A" w14:textId="63E04855" w:rsidR="00662E21" w:rsidRPr="00811F65" w:rsidRDefault="00355DFD" w:rsidP="00662E21">
      <w:pPr>
        <w:tabs>
          <w:tab w:val="left" w:pos="851"/>
        </w:tabs>
        <w:ind w:left="851"/>
        <w:jc w:val="both"/>
        <w:rPr>
          <w:sz w:val="24"/>
          <w:szCs w:val="24"/>
        </w:rPr>
      </w:pPr>
      <w:r w:rsidRPr="00811F65">
        <w:rPr>
          <w:sz w:val="24"/>
          <w:szCs w:val="24"/>
        </w:rPr>
        <w:t>Tyskland</w:t>
      </w:r>
    </w:p>
    <w:p w14:paraId="289F3305" w14:textId="77777777" w:rsidR="009260DE" w:rsidRPr="00811F65" w:rsidRDefault="009260DE" w:rsidP="009260DE">
      <w:pPr>
        <w:tabs>
          <w:tab w:val="left" w:pos="851"/>
        </w:tabs>
        <w:ind w:left="851"/>
        <w:rPr>
          <w:sz w:val="24"/>
          <w:szCs w:val="24"/>
        </w:rPr>
      </w:pPr>
    </w:p>
    <w:p w14:paraId="7E75011B" w14:textId="77777777" w:rsidR="00641C65" w:rsidRPr="00811F65" w:rsidRDefault="00641C65" w:rsidP="009260DE">
      <w:pPr>
        <w:tabs>
          <w:tab w:val="left" w:pos="851"/>
        </w:tabs>
        <w:ind w:left="851"/>
        <w:rPr>
          <w:sz w:val="24"/>
          <w:szCs w:val="24"/>
        </w:rPr>
      </w:pPr>
      <w:r w:rsidRPr="00811F65">
        <w:rPr>
          <w:b/>
          <w:sz w:val="24"/>
          <w:szCs w:val="24"/>
        </w:rPr>
        <w:t>Repræsentant</w:t>
      </w:r>
    </w:p>
    <w:p w14:paraId="280BBF80" w14:textId="77777777" w:rsidR="00662E21" w:rsidRPr="00811F65" w:rsidRDefault="00662E21" w:rsidP="00662E21">
      <w:pPr>
        <w:tabs>
          <w:tab w:val="left" w:pos="851"/>
        </w:tabs>
        <w:ind w:left="851"/>
        <w:jc w:val="both"/>
        <w:rPr>
          <w:sz w:val="24"/>
          <w:szCs w:val="24"/>
        </w:rPr>
      </w:pPr>
      <w:proofErr w:type="spellStart"/>
      <w:r w:rsidRPr="00811F65">
        <w:rPr>
          <w:sz w:val="24"/>
          <w:szCs w:val="24"/>
        </w:rPr>
        <w:t>Stada</w:t>
      </w:r>
      <w:proofErr w:type="spellEnd"/>
      <w:r w:rsidRPr="00811F65">
        <w:rPr>
          <w:sz w:val="24"/>
          <w:szCs w:val="24"/>
        </w:rPr>
        <w:t xml:space="preserve"> Nordic ApS</w:t>
      </w:r>
    </w:p>
    <w:p w14:paraId="65BE4EB7" w14:textId="77777777" w:rsidR="00662E21" w:rsidRPr="00811F65" w:rsidRDefault="00662E21" w:rsidP="00662E21">
      <w:pPr>
        <w:tabs>
          <w:tab w:val="left" w:pos="851"/>
        </w:tabs>
        <w:ind w:left="851"/>
        <w:jc w:val="both"/>
        <w:rPr>
          <w:sz w:val="24"/>
          <w:szCs w:val="24"/>
        </w:rPr>
      </w:pPr>
      <w:r w:rsidRPr="00811F65">
        <w:rPr>
          <w:sz w:val="24"/>
          <w:szCs w:val="24"/>
        </w:rPr>
        <w:t>Marielundvej 46A</w:t>
      </w:r>
    </w:p>
    <w:p w14:paraId="50DEABAE" w14:textId="77777777" w:rsidR="00662E21" w:rsidRPr="00811F65" w:rsidRDefault="00662E21" w:rsidP="00662E21">
      <w:pPr>
        <w:tabs>
          <w:tab w:val="left" w:pos="851"/>
        </w:tabs>
        <w:ind w:left="851"/>
        <w:jc w:val="both"/>
        <w:rPr>
          <w:sz w:val="24"/>
          <w:szCs w:val="24"/>
        </w:rPr>
      </w:pPr>
      <w:r w:rsidRPr="00811F65">
        <w:rPr>
          <w:sz w:val="24"/>
          <w:szCs w:val="24"/>
        </w:rPr>
        <w:t>2730 Herlev</w:t>
      </w:r>
    </w:p>
    <w:p w14:paraId="647314E2" w14:textId="77777777" w:rsidR="00641C65" w:rsidRPr="00811F65" w:rsidRDefault="00641C65" w:rsidP="009260DE">
      <w:pPr>
        <w:tabs>
          <w:tab w:val="left" w:pos="851"/>
        </w:tabs>
        <w:ind w:left="851"/>
        <w:rPr>
          <w:sz w:val="24"/>
          <w:szCs w:val="24"/>
        </w:rPr>
      </w:pPr>
    </w:p>
    <w:p w14:paraId="2DF51964" w14:textId="77777777" w:rsidR="009260DE" w:rsidRPr="00811F65" w:rsidRDefault="009260DE" w:rsidP="009260DE">
      <w:pPr>
        <w:tabs>
          <w:tab w:val="left" w:pos="851"/>
        </w:tabs>
        <w:ind w:left="851" w:hanging="851"/>
        <w:rPr>
          <w:b/>
          <w:sz w:val="24"/>
          <w:szCs w:val="24"/>
        </w:rPr>
      </w:pPr>
      <w:r w:rsidRPr="00811F65">
        <w:rPr>
          <w:b/>
          <w:sz w:val="24"/>
          <w:szCs w:val="24"/>
        </w:rPr>
        <w:t>8.</w:t>
      </w:r>
      <w:r w:rsidRPr="00811F65">
        <w:rPr>
          <w:b/>
          <w:sz w:val="24"/>
          <w:szCs w:val="24"/>
        </w:rPr>
        <w:tab/>
        <w:t>MARKEDSFØRINGSTILLADELSESNUMMER (</w:t>
      </w:r>
      <w:r w:rsidR="00BF6243" w:rsidRPr="00811F65">
        <w:rPr>
          <w:b/>
          <w:sz w:val="24"/>
          <w:szCs w:val="24"/>
        </w:rPr>
        <w:t>-</w:t>
      </w:r>
      <w:r w:rsidRPr="00811F65">
        <w:rPr>
          <w:b/>
          <w:sz w:val="24"/>
          <w:szCs w:val="24"/>
        </w:rPr>
        <w:t>NUMRE)</w:t>
      </w:r>
    </w:p>
    <w:p w14:paraId="0ECACBEC" w14:textId="77777777" w:rsidR="00662E21" w:rsidRPr="00811F65" w:rsidRDefault="00662E21" w:rsidP="00662E21">
      <w:pPr>
        <w:tabs>
          <w:tab w:val="left" w:pos="851"/>
        </w:tabs>
        <w:ind w:left="851"/>
        <w:jc w:val="both"/>
        <w:rPr>
          <w:sz w:val="24"/>
          <w:szCs w:val="24"/>
        </w:rPr>
      </w:pPr>
      <w:r w:rsidRPr="00811F65">
        <w:rPr>
          <w:sz w:val="24"/>
          <w:szCs w:val="24"/>
        </w:rPr>
        <w:t>1 mg: 66670</w:t>
      </w:r>
    </w:p>
    <w:p w14:paraId="14FDC75F" w14:textId="77777777" w:rsidR="00662E21" w:rsidRPr="00811F65" w:rsidRDefault="00662E21" w:rsidP="00662E21">
      <w:pPr>
        <w:tabs>
          <w:tab w:val="left" w:pos="851"/>
        </w:tabs>
        <w:ind w:left="851"/>
        <w:jc w:val="both"/>
        <w:rPr>
          <w:sz w:val="24"/>
          <w:szCs w:val="24"/>
        </w:rPr>
      </w:pPr>
      <w:r w:rsidRPr="00811F65">
        <w:rPr>
          <w:sz w:val="24"/>
          <w:szCs w:val="24"/>
        </w:rPr>
        <w:t>3 mg: 66671</w:t>
      </w:r>
    </w:p>
    <w:p w14:paraId="66D6488C" w14:textId="77777777" w:rsidR="00662E21" w:rsidRPr="00811F65" w:rsidRDefault="00662E21" w:rsidP="00662E21">
      <w:pPr>
        <w:tabs>
          <w:tab w:val="left" w:pos="851"/>
        </w:tabs>
        <w:ind w:left="851"/>
        <w:jc w:val="both"/>
        <w:rPr>
          <w:sz w:val="24"/>
          <w:szCs w:val="24"/>
        </w:rPr>
      </w:pPr>
      <w:r w:rsidRPr="00811F65">
        <w:rPr>
          <w:sz w:val="24"/>
          <w:szCs w:val="24"/>
        </w:rPr>
        <w:t>5 mg: 66672</w:t>
      </w:r>
    </w:p>
    <w:p w14:paraId="45AA162D" w14:textId="77777777" w:rsidR="00662E21" w:rsidRPr="00811F65" w:rsidRDefault="00662E21" w:rsidP="00662E21">
      <w:pPr>
        <w:tabs>
          <w:tab w:val="left" w:pos="851"/>
        </w:tabs>
        <w:ind w:left="851"/>
        <w:jc w:val="both"/>
        <w:rPr>
          <w:sz w:val="24"/>
          <w:szCs w:val="24"/>
        </w:rPr>
      </w:pPr>
      <w:r w:rsidRPr="00811F65">
        <w:rPr>
          <w:sz w:val="24"/>
          <w:szCs w:val="24"/>
        </w:rPr>
        <w:t>7 mg: 66673</w:t>
      </w:r>
    </w:p>
    <w:p w14:paraId="4116D921" w14:textId="5291036C" w:rsidR="00A270CE" w:rsidRDefault="00A270CE">
      <w:pPr>
        <w:rPr>
          <w:sz w:val="24"/>
          <w:szCs w:val="24"/>
        </w:rPr>
      </w:pPr>
      <w:r>
        <w:rPr>
          <w:sz w:val="24"/>
          <w:szCs w:val="24"/>
        </w:rPr>
        <w:br w:type="page"/>
      </w:r>
    </w:p>
    <w:p w14:paraId="203D3342" w14:textId="77777777" w:rsidR="009260DE" w:rsidRPr="00811F65" w:rsidRDefault="009260DE" w:rsidP="009260DE">
      <w:pPr>
        <w:tabs>
          <w:tab w:val="left" w:pos="851"/>
        </w:tabs>
        <w:ind w:left="851"/>
        <w:jc w:val="both"/>
        <w:rPr>
          <w:sz w:val="24"/>
          <w:szCs w:val="24"/>
        </w:rPr>
      </w:pPr>
    </w:p>
    <w:p w14:paraId="24948EFF" w14:textId="77777777" w:rsidR="009260DE" w:rsidRPr="00811F65" w:rsidRDefault="009260DE" w:rsidP="009260DE">
      <w:pPr>
        <w:tabs>
          <w:tab w:val="left" w:pos="851"/>
        </w:tabs>
        <w:ind w:left="851" w:hanging="851"/>
        <w:rPr>
          <w:b/>
          <w:sz w:val="24"/>
          <w:szCs w:val="24"/>
        </w:rPr>
      </w:pPr>
      <w:r w:rsidRPr="00811F65">
        <w:rPr>
          <w:b/>
          <w:sz w:val="24"/>
          <w:szCs w:val="24"/>
        </w:rPr>
        <w:t>9.</w:t>
      </w:r>
      <w:r w:rsidRPr="00811F65">
        <w:rPr>
          <w:b/>
          <w:sz w:val="24"/>
          <w:szCs w:val="24"/>
        </w:rPr>
        <w:tab/>
        <w:t>DATO FOR FØRSTE MARKEDSFØRINGSTILLADELSE</w:t>
      </w:r>
    </w:p>
    <w:p w14:paraId="723E9577" w14:textId="7E6967EC" w:rsidR="009260DE" w:rsidRPr="00811F65" w:rsidRDefault="00662E21" w:rsidP="009260DE">
      <w:pPr>
        <w:tabs>
          <w:tab w:val="left" w:pos="851"/>
        </w:tabs>
        <w:ind w:left="851"/>
        <w:rPr>
          <w:sz w:val="24"/>
          <w:szCs w:val="24"/>
        </w:rPr>
      </w:pPr>
      <w:r w:rsidRPr="00811F65">
        <w:rPr>
          <w:sz w:val="24"/>
          <w:szCs w:val="24"/>
        </w:rPr>
        <w:t>9. maj 2023</w:t>
      </w:r>
    </w:p>
    <w:p w14:paraId="65F8E559" w14:textId="77777777" w:rsidR="009260DE" w:rsidRPr="00811F65" w:rsidRDefault="009260DE" w:rsidP="009260DE">
      <w:pPr>
        <w:tabs>
          <w:tab w:val="left" w:pos="851"/>
        </w:tabs>
        <w:ind w:left="851"/>
        <w:rPr>
          <w:sz w:val="24"/>
          <w:szCs w:val="24"/>
        </w:rPr>
      </w:pPr>
    </w:p>
    <w:p w14:paraId="18836F8F" w14:textId="77777777" w:rsidR="009260DE" w:rsidRPr="00811F65" w:rsidRDefault="009260DE" w:rsidP="009260DE">
      <w:pPr>
        <w:tabs>
          <w:tab w:val="left" w:pos="851"/>
        </w:tabs>
        <w:ind w:left="851" w:hanging="851"/>
        <w:rPr>
          <w:b/>
          <w:sz w:val="24"/>
          <w:szCs w:val="24"/>
        </w:rPr>
      </w:pPr>
      <w:r w:rsidRPr="00811F65">
        <w:rPr>
          <w:b/>
          <w:sz w:val="24"/>
          <w:szCs w:val="24"/>
        </w:rPr>
        <w:t>10.</w:t>
      </w:r>
      <w:r w:rsidRPr="00811F65">
        <w:rPr>
          <w:b/>
          <w:sz w:val="24"/>
          <w:szCs w:val="24"/>
        </w:rPr>
        <w:tab/>
        <w:t>DATO FOR ÆNDRING AF TEKSTEN</w:t>
      </w:r>
    </w:p>
    <w:p w14:paraId="055B8DD4" w14:textId="4D0ADED0" w:rsidR="009260DE" w:rsidRPr="00811F65" w:rsidRDefault="00662E21" w:rsidP="009260DE">
      <w:pPr>
        <w:tabs>
          <w:tab w:val="left" w:pos="851"/>
        </w:tabs>
        <w:ind w:left="851"/>
        <w:rPr>
          <w:sz w:val="24"/>
          <w:szCs w:val="24"/>
        </w:rPr>
      </w:pPr>
      <w:r w:rsidRPr="00811F65">
        <w:rPr>
          <w:sz w:val="24"/>
          <w:szCs w:val="24"/>
        </w:rPr>
        <w:t>6. maj 2024</w:t>
      </w:r>
    </w:p>
    <w:sectPr w:rsidR="009260DE" w:rsidRPr="00811F65"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1B5E9" w14:textId="77777777" w:rsidR="00355DFD" w:rsidRDefault="00355DFD">
      <w:r>
        <w:separator/>
      </w:r>
    </w:p>
  </w:endnote>
  <w:endnote w:type="continuationSeparator" w:id="0">
    <w:p w14:paraId="0C3B2275" w14:textId="77777777" w:rsidR="00355DFD" w:rsidRDefault="0035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w:charset w:val="80"/>
    <w:family w:val="auto"/>
    <w:pitch w:val="default"/>
    <w:sig w:usb0="00000001" w:usb1="08070000" w:usb2="00000010" w:usb3="00000000" w:csb0="00020000" w:csb1="00000000"/>
  </w:font>
  <w:font w:name="TimesNewRoman,Bold">
    <w:altName w:val="Yu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B632" w14:textId="77777777" w:rsidR="00355DFD" w:rsidRDefault="00355DFD">
    <w:pPr>
      <w:pStyle w:val="Sidefod"/>
      <w:pBdr>
        <w:bottom w:val="single" w:sz="6" w:space="1" w:color="auto"/>
      </w:pBdr>
    </w:pPr>
  </w:p>
  <w:p w14:paraId="745C594D" w14:textId="77777777" w:rsidR="00355DFD" w:rsidRDefault="00355DFD" w:rsidP="00C42586">
    <w:pPr>
      <w:pStyle w:val="Sidefod"/>
      <w:tabs>
        <w:tab w:val="clear" w:pos="4819"/>
        <w:tab w:val="left" w:pos="8505"/>
      </w:tabs>
      <w:rPr>
        <w:i/>
        <w:sz w:val="18"/>
        <w:szCs w:val="18"/>
      </w:rPr>
    </w:pPr>
  </w:p>
  <w:p w14:paraId="15DAE792" w14:textId="613B04B8" w:rsidR="00355DFD" w:rsidRPr="00B373D7" w:rsidRDefault="00355DF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E2E82">
      <w:rPr>
        <w:i/>
        <w:noProof/>
        <w:sz w:val="18"/>
        <w:szCs w:val="18"/>
      </w:rPr>
      <w:t>Axitinib Stada, filmovertrukne tabletter 1 mg, 3 mg, 5 mg og 7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05FA0" w14:textId="77777777" w:rsidR="00355DFD" w:rsidRDefault="00355DFD">
      <w:r>
        <w:separator/>
      </w:r>
    </w:p>
  </w:footnote>
  <w:footnote w:type="continuationSeparator" w:id="0">
    <w:p w14:paraId="6D8C8992" w14:textId="77777777" w:rsidR="00355DFD" w:rsidRDefault="00355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AB5"/>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55DFD"/>
    <w:rsid w:val="003A29AE"/>
    <w:rsid w:val="003A32D7"/>
    <w:rsid w:val="003B4074"/>
    <w:rsid w:val="003C769A"/>
    <w:rsid w:val="003D3A90"/>
    <w:rsid w:val="003F1838"/>
    <w:rsid w:val="004251C1"/>
    <w:rsid w:val="0045746C"/>
    <w:rsid w:val="0049104B"/>
    <w:rsid w:val="004E3B12"/>
    <w:rsid w:val="005235F2"/>
    <w:rsid w:val="00532310"/>
    <w:rsid w:val="00565F0F"/>
    <w:rsid w:val="00594A86"/>
    <w:rsid w:val="00596D86"/>
    <w:rsid w:val="00637F5A"/>
    <w:rsid w:val="00641C65"/>
    <w:rsid w:val="006560B1"/>
    <w:rsid w:val="00662E21"/>
    <w:rsid w:val="006756DD"/>
    <w:rsid w:val="0071241E"/>
    <w:rsid w:val="00737275"/>
    <w:rsid w:val="00740EEC"/>
    <w:rsid w:val="00773AB5"/>
    <w:rsid w:val="0078011A"/>
    <w:rsid w:val="00782AF4"/>
    <w:rsid w:val="00790EE7"/>
    <w:rsid w:val="007B6649"/>
    <w:rsid w:val="00811F65"/>
    <w:rsid w:val="0082576E"/>
    <w:rsid w:val="0089346F"/>
    <w:rsid w:val="00907F75"/>
    <w:rsid w:val="009260DE"/>
    <w:rsid w:val="0093258A"/>
    <w:rsid w:val="009C7BA3"/>
    <w:rsid w:val="009D1F5A"/>
    <w:rsid w:val="00A10294"/>
    <w:rsid w:val="00A270CE"/>
    <w:rsid w:val="00AB6640"/>
    <w:rsid w:val="00AC347D"/>
    <w:rsid w:val="00AE2E82"/>
    <w:rsid w:val="00B003BF"/>
    <w:rsid w:val="00B373D7"/>
    <w:rsid w:val="00B55271"/>
    <w:rsid w:val="00BD7931"/>
    <w:rsid w:val="00BF6243"/>
    <w:rsid w:val="00C36276"/>
    <w:rsid w:val="00C42586"/>
    <w:rsid w:val="00C45F6B"/>
    <w:rsid w:val="00C60CCD"/>
    <w:rsid w:val="00C84483"/>
    <w:rsid w:val="00C95551"/>
    <w:rsid w:val="00CB20D7"/>
    <w:rsid w:val="00CB2A14"/>
    <w:rsid w:val="00D020B0"/>
    <w:rsid w:val="00D11748"/>
    <w:rsid w:val="00D237F6"/>
    <w:rsid w:val="00D34D98"/>
    <w:rsid w:val="00D366CF"/>
    <w:rsid w:val="00D93992"/>
    <w:rsid w:val="00E108AA"/>
    <w:rsid w:val="00E3749A"/>
    <w:rsid w:val="00E7437F"/>
    <w:rsid w:val="00E84059"/>
    <w:rsid w:val="00E865B8"/>
    <w:rsid w:val="00EC0B9B"/>
    <w:rsid w:val="00ED5E9F"/>
    <w:rsid w:val="00F42C8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A26F8"/>
  <w15:chartTrackingRefBased/>
  <w15:docId w15:val="{D731206A-7427-464B-9707-39D531A8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355DFD"/>
    <w:rPr>
      <w:rFonts w:ascii="Times New Roman" w:hAnsi="Times New Roman" w:cs="Times New Roman" w:hint="default"/>
      <w:color w:val="0000FF"/>
      <w:u w:val="single"/>
    </w:rPr>
  </w:style>
  <w:style w:type="paragraph" w:styleId="Billedtekst">
    <w:name w:val="caption"/>
    <w:basedOn w:val="Normal"/>
    <w:next w:val="Normal"/>
    <w:semiHidden/>
    <w:unhideWhenUsed/>
    <w:qFormat/>
    <w:rsid w:val="00355DFD"/>
    <w:pPr>
      <w:spacing w:after="200"/>
    </w:pPr>
    <w:rPr>
      <w:i/>
      <w:iCs/>
      <w:color w:val="44546A" w:themeColor="text2"/>
      <w:sz w:val="18"/>
      <w:szCs w:val="18"/>
      <w:lang w:val="fr-LU" w:eastAsia="fr-LU"/>
    </w:rPr>
  </w:style>
  <w:style w:type="paragraph" w:customStyle="1" w:styleId="TableParagraph">
    <w:name w:val="Table Paragraph"/>
    <w:basedOn w:val="Normal"/>
    <w:uiPriority w:val="1"/>
    <w:qFormat/>
    <w:rsid w:val="00355DFD"/>
    <w:pPr>
      <w:widowControl w:val="0"/>
    </w:pPr>
    <w:rPr>
      <w:rFonts w:asciiTheme="minorHAnsi" w:eastAsiaTheme="minorHAnsi" w:hAnsiTheme="minorHAnsi" w:cstheme="minorBidi"/>
      <w:sz w:val="22"/>
      <w:szCs w:val="22"/>
      <w:lang w:val="en-US"/>
    </w:rPr>
  </w:style>
  <w:style w:type="paragraph" w:customStyle="1" w:styleId="Default">
    <w:name w:val="Default"/>
    <w:rsid w:val="00355DFD"/>
    <w:pPr>
      <w:autoSpaceDE w:val="0"/>
      <w:autoSpaceDN w:val="0"/>
      <w:adjustRightInd w:val="0"/>
    </w:pPr>
    <w:rPr>
      <w:color w:val="000000"/>
      <w:sz w:val="24"/>
      <w:szCs w:val="24"/>
      <w:lang w:eastAsia="en-GB"/>
    </w:rPr>
  </w:style>
  <w:style w:type="table" w:styleId="Tabel-Gitter">
    <w:name w:val="Table Grid"/>
    <w:basedOn w:val="Tabel-Normal"/>
    <w:rsid w:val="00355DFD"/>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1856345">
      <w:bodyDiv w:val="1"/>
      <w:marLeft w:val="0"/>
      <w:marRight w:val="0"/>
      <w:marTop w:val="0"/>
      <w:marBottom w:val="0"/>
      <w:divBdr>
        <w:top w:val="none" w:sz="0" w:space="0" w:color="auto"/>
        <w:left w:val="none" w:sz="0" w:space="0" w:color="auto"/>
        <w:bottom w:val="none" w:sz="0" w:space="0" w:color="auto"/>
        <w:right w:val="none" w:sz="0" w:space="0" w:color="auto"/>
      </w:divBdr>
    </w:div>
    <w:div w:id="476217295">
      <w:bodyDiv w:val="1"/>
      <w:marLeft w:val="0"/>
      <w:marRight w:val="0"/>
      <w:marTop w:val="0"/>
      <w:marBottom w:val="0"/>
      <w:divBdr>
        <w:top w:val="none" w:sz="0" w:space="0" w:color="auto"/>
        <w:left w:val="none" w:sz="0" w:space="0" w:color="auto"/>
        <w:bottom w:val="none" w:sz="0" w:space="0" w:color="auto"/>
        <w:right w:val="none" w:sz="0" w:space="0" w:color="auto"/>
      </w:divBdr>
    </w:div>
    <w:div w:id="541602471">
      <w:bodyDiv w:val="1"/>
      <w:marLeft w:val="0"/>
      <w:marRight w:val="0"/>
      <w:marTop w:val="0"/>
      <w:marBottom w:val="0"/>
      <w:divBdr>
        <w:top w:val="none" w:sz="0" w:space="0" w:color="auto"/>
        <w:left w:val="none" w:sz="0" w:space="0" w:color="auto"/>
        <w:bottom w:val="none" w:sz="0" w:space="0" w:color="auto"/>
        <w:right w:val="none" w:sz="0" w:space="0" w:color="auto"/>
      </w:divBdr>
    </w:div>
    <w:div w:id="545530910">
      <w:bodyDiv w:val="1"/>
      <w:marLeft w:val="0"/>
      <w:marRight w:val="0"/>
      <w:marTop w:val="0"/>
      <w:marBottom w:val="0"/>
      <w:divBdr>
        <w:top w:val="none" w:sz="0" w:space="0" w:color="auto"/>
        <w:left w:val="none" w:sz="0" w:space="0" w:color="auto"/>
        <w:bottom w:val="none" w:sz="0" w:space="0" w:color="auto"/>
        <w:right w:val="none" w:sz="0" w:space="0" w:color="auto"/>
      </w:divBdr>
    </w:div>
    <w:div w:id="842936750">
      <w:bodyDiv w:val="1"/>
      <w:marLeft w:val="0"/>
      <w:marRight w:val="0"/>
      <w:marTop w:val="0"/>
      <w:marBottom w:val="0"/>
      <w:divBdr>
        <w:top w:val="none" w:sz="0" w:space="0" w:color="auto"/>
        <w:left w:val="none" w:sz="0" w:space="0" w:color="auto"/>
        <w:bottom w:val="none" w:sz="0" w:space="0" w:color="auto"/>
        <w:right w:val="none" w:sz="0" w:space="0" w:color="auto"/>
      </w:divBdr>
    </w:div>
    <w:div w:id="982929950">
      <w:bodyDiv w:val="1"/>
      <w:marLeft w:val="0"/>
      <w:marRight w:val="0"/>
      <w:marTop w:val="0"/>
      <w:marBottom w:val="0"/>
      <w:divBdr>
        <w:top w:val="none" w:sz="0" w:space="0" w:color="auto"/>
        <w:left w:val="none" w:sz="0" w:space="0" w:color="auto"/>
        <w:bottom w:val="none" w:sz="0" w:space="0" w:color="auto"/>
        <w:right w:val="none" w:sz="0" w:space="0" w:color="auto"/>
      </w:divBdr>
    </w:div>
    <w:div w:id="1008868622">
      <w:bodyDiv w:val="1"/>
      <w:marLeft w:val="0"/>
      <w:marRight w:val="0"/>
      <w:marTop w:val="0"/>
      <w:marBottom w:val="0"/>
      <w:divBdr>
        <w:top w:val="none" w:sz="0" w:space="0" w:color="auto"/>
        <w:left w:val="none" w:sz="0" w:space="0" w:color="auto"/>
        <w:bottom w:val="none" w:sz="0" w:space="0" w:color="auto"/>
        <w:right w:val="none" w:sz="0" w:space="0" w:color="auto"/>
      </w:divBdr>
    </w:div>
    <w:div w:id="1079519329">
      <w:bodyDiv w:val="1"/>
      <w:marLeft w:val="0"/>
      <w:marRight w:val="0"/>
      <w:marTop w:val="0"/>
      <w:marBottom w:val="0"/>
      <w:divBdr>
        <w:top w:val="none" w:sz="0" w:space="0" w:color="auto"/>
        <w:left w:val="none" w:sz="0" w:space="0" w:color="auto"/>
        <w:bottom w:val="none" w:sz="0" w:space="0" w:color="auto"/>
        <w:right w:val="none" w:sz="0" w:space="0" w:color="auto"/>
      </w:divBdr>
    </w:div>
    <w:div w:id="1093168494">
      <w:bodyDiv w:val="1"/>
      <w:marLeft w:val="0"/>
      <w:marRight w:val="0"/>
      <w:marTop w:val="0"/>
      <w:marBottom w:val="0"/>
      <w:divBdr>
        <w:top w:val="none" w:sz="0" w:space="0" w:color="auto"/>
        <w:left w:val="none" w:sz="0" w:space="0" w:color="auto"/>
        <w:bottom w:val="none" w:sz="0" w:space="0" w:color="auto"/>
        <w:right w:val="none" w:sz="0" w:space="0" w:color="auto"/>
      </w:divBdr>
    </w:div>
    <w:div w:id="1143307781">
      <w:bodyDiv w:val="1"/>
      <w:marLeft w:val="0"/>
      <w:marRight w:val="0"/>
      <w:marTop w:val="0"/>
      <w:marBottom w:val="0"/>
      <w:divBdr>
        <w:top w:val="none" w:sz="0" w:space="0" w:color="auto"/>
        <w:left w:val="none" w:sz="0" w:space="0" w:color="auto"/>
        <w:bottom w:val="none" w:sz="0" w:space="0" w:color="auto"/>
        <w:right w:val="none" w:sz="0" w:space="0" w:color="auto"/>
      </w:divBdr>
    </w:div>
    <w:div w:id="1376469427">
      <w:bodyDiv w:val="1"/>
      <w:marLeft w:val="0"/>
      <w:marRight w:val="0"/>
      <w:marTop w:val="0"/>
      <w:marBottom w:val="0"/>
      <w:divBdr>
        <w:top w:val="none" w:sz="0" w:space="0" w:color="auto"/>
        <w:left w:val="none" w:sz="0" w:space="0" w:color="auto"/>
        <w:bottom w:val="none" w:sz="0" w:space="0" w:color="auto"/>
        <w:right w:val="none" w:sz="0" w:space="0" w:color="auto"/>
      </w:divBdr>
    </w:div>
    <w:div w:id="1377660158">
      <w:bodyDiv w:val="1"/>
      <w:marLeft w:val="0"/>
      <w:marRight w:val="0"/>
      <w:marTop w:val="0"/>
      <w:marBottom w:val="0"/>
      <w:divBdr>
        <w:top w:val="none" w:sz="0" w:space="0" w:color="auto"/>
        <w:left w:val="none" w:sz="0" w:space="0" w:color="auto"/>
        <w:bottom w:val="none" w:sz="0" w:space="0" w:color="auto"/>
        <w:right w:val="none" w:sz="0" w:space="0" w:color="auto"/>
      </w:divBdr>
    </w:div>
    <w:div w:id="1584073685">
      <w:bodyDiv w:val="1"/>
      <w:marLeft w:val="0"/>
      <w:marRight w:val="0"/>
      <w:marTop w:val="0"/>
      <w:marBottom w:val="0"/>
      <w:divBdr>
        <w:top w:val="none" w:sz="0" w:space="0" w:color="auto"/>
        <w:left w:val="none" w:sz="0" w:space="0" w:color="auto"/>
        <w:bottom w:val="none" w:sz="0" w:space="0" w:color="auto"/>
        <w:right w:val="none" w:sz="0" w:space="0" w:color="auto"/>
      </w:divBdr>
    </w:div>
    <w:div w:id="1664433656">
      <w:bodyDiv w:val="1"/>
      <w:marLeft w:val="0"/>
      <w:marRight w:val="0"/>
      <w:marTop w:val="0"/>
      <w:marBottom w:val="0"/>
      <w:divBdr>
        <w:top w:val="none" w:sz="0" w:space="0" w:color="auto"/>
        <w:left w:val="none" w:sz="0" w:space="0" w:color="auto"/>
        <w:bottom w:val="none" w:sz="0" w:space="0" w:color="auto"/>
        <w:right w:val="none" w:sz="0" w:space="0" w:color="auto"/>
      </w:divBdr>
    </w:div>
    <w:div w:id="1732145239">
      <w:bodyDiv w:val="1"/>
      <w:marLeft w:val="0"/>
      <w:marRight w:val="0"/>
      <w:marTop w:val="0"/>
      <w:marBottom w:val="0"/>
      <w:divBdr>
        <w:top w:val="none" w:sz="0" w:space="0" w:color="auto"/>
        <w:left w:val="none" w:sz="0" w:space="0" w:color="auto"/>
        <w:bottom w:val="none" w:sz="0" w:space="0" w:color="auto"/>
        <w:right w:val="none" w:sz="0" w:space="0" w:color="auto"/>
      </w:divBdr>
    </w:div>
    <w:div w:id="1929848813">
      <w:bodyDiv w:val="1"/>
      <w:marLeft w:val="0"/>
      <w:marRight w:val="0"/>
      <w:marTop w:val="0"/>
      <w:marBottom w:val="0"/>
      <w:divBdr>
        <w:top w:val="none" w:sz="0" w:space="0" w:color="auto"/>
        <w:left w:val="none" w:sz="0" w:space="0" w:color="auto"/>
        <w:bottom w:val="none" w:sz="0" w:space="0" w:color="auto"/>
        <w:right w:val="none" w:sz="0" w:space="0" w:color="auto"/>
      </w:divBdr>
    </w:div>
    <w:div w:id="1944605357">
      <w:bodyDiv w:val="1"/>
      <w:marLeft w:val="0"/>
      <w:marRight w:val="0"/>
      <w:marTop w:val="0"/>
      <w:marBottom w:val="0"/>
      <w:divBdr>
        <w:top w:val="none" w:sz="0" w:space="0" w:color="auto"/>
        <w:left w:val="none" w:sz="0" w:space="0" w:color="auto"/>
        <w:bottom w:val="none" w:sz="0" w:space="0" w:color="auto"/>
        <w:right w:val="none" w:sz="0" w:space="0" w:color="auto"/>
      </w:divBdr>
    </w:div>
    <w:div w:id="2012832547">
      <w:bodyDiv w:val="1"/>
      <w:marLeft w:val="0"/>
      <w:marRight w:val="0"/>
      <w:marTop w:val="0"/>
      <w:marBottom w:val="0"/>
      <w:divBdr>
        <w:top w:val="none" w:sz="0" w:space="0" w:color="auto"/>
        <w:left w:val="none" w:sz="0" w:space="0" w:color="auto"/>
        <w:bottom w:val="none" w:sz="0" w:space="0" w:color="auto"/>
        <w:right w:val="none" w:sz="0" w:space="0" w:color="auto"/>
      </w:divBdr>
    </w:div>
    <w:div w:id="2102723116">
      <w:bodyDiv w:val="1"/>
      <w:marLeft w:val="0"/>
      <w:marRight w:val="0"/>
      <w:marTop w:val="0"/>
      <w:marBottom w:val="0"/>
      <w:divBdr>
        <w:top w:val="none" w:sz="0" w:space="0" w:color="auto"/>
        <w:left w:val="none" w:sz="0" w:space="0" w:color="auto"/>
        <w:bottom w:val="none" w:sz="0" w:space="0" w:color="auto"/>
        <w:right w:val="none" w:sz="0" w:space="0" w:color="auto"/>
      </w:divBdr>
    </w:div>
    <w:div w:id="21298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41</TotalTime>
  <Pages>22</Pages>
  <Words>6460</Words>
  <Characters>41162</Characters>
  <Application>Microsoft Office Word</Application>
  <DocSecurity>0</DocSecurity>
  <Lines>343</Lines>
  <Paragraphs>95</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47527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2024033896, overgået fra engelske til danske tekster</dc:description>
  <cp:lastModifiedBy>Gitte Jørgensen</cp:lastModifiedBy>
  <cp:revision>8</cp:revision>
  <cp:lastPrinted>2012-08-22T08:53:00Z</cp:lastPrinted>
  <dcterms:created xsi:type="dcterms:W3CDTF">2024-05-06T10:57:00Z</dcterms:created>
  <dcterms:modified xsi:type="dcterms:W3CDTF">2024-05-06T12:22:00Z</dcterms:modified>
</cp:coreProperties>
</file>