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02988"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02A43F6" wp14:editId="407DED2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1F5F8AF" w14:textId="77777777" w:rsidR="009260DE" w:rsidRPr="00C84483" w:rsidRDefault="009260DE" w:rsidP="009260DE">
      <w:pPr>
        <w:pStyle w:val="Titel"/>
        <w:tabs>
          <w:tab w:val="right" w:pos="9356"/>
        </w:tabs>
        <w:jc w:val="left"/>
        <w:rPr>
          <w:b w:val="0"/>
          <w:szCs w:val="24"/>
          <w:lang w:eastAsia="en-US"/>
        </w:rPr>
      </w:pPr>
    </w:p>
    <w:p w14:paraId="645226D7" w14:textId="537EAFD4" w:rsidR="009260DE" w:rsidRPr="009C71FA" w:rsidRDefault="009260DE" w:rsidP="009260DE">
      <w:pPr>
        <w:pStyle w:val="Titel"/>
        <w:tabs>
          <w:tab w:val="right" w:pos="9356"/>
        </w:tabs>
        <w:jc w:val="left"/>
        <w:rPr>
          <w:b w:val="0"/>
          <w:szCs w:val="24"/>
          <w:lang w:val="en-US" w:eastAsia="en-US"/>
        </w:rPr>
      </w:pPr>
      <w:r w:rsidRPr="00C84483">
        <w:rPr>
          <w:b w:val="0"/>
          <w:szCs w:val="24"/>
          <w:lang w:eastAsia="en-US"/>
        </w:rPr>
        <w:tab/>
      </w:r>
      <w:r w:rsidR="000F2894">
        <w:rPr>
          <w:szCs w:val="24"/>
          <w:lang w:val="en-US"/>
        </w:rPr>
        <w:t>21. februar 2025</w:t>
      </w:r>
    </w:p>
    <w:p w14:paraId="3EA8FB12" w14:textId="77777777" w:rsidR="009260DE" w:rsidRPr="009C71FA" w:rsidRDefault="009260DE" w:rsidP="009260DE">
      <w:pPr>
        <w:pStyle w:val="Titel"/>
        <w:tabs>
          <w:tab w:val="left" w:pos="8222"/>
        </w:tabs>
        <w:jc w:val="left"/>
        <w:rPr>
          <w:b w:val="0"/>
          <w:szCs w:val="24"/>
          <w:lang w:val="en-US"/>
        </w:rPr>
      </w:pPr>
    </w:p>
    <w:p w14:paraId="73B4A9C4" w14:textId="77777777" w:rsidR="009260DE" w:rsidRPr="009C71FA" w:rsidRDefault="009260DE" w:rsidP="009260DE">
      <w:pPr>
        <w:pStyle w:val="Titel"/>
        <w:jc w:val="left"/>
        <w:rPr>
          <w:b w:val="0"/>
          <w:szCs w:val="24"/>
          <w:lang w:val="en-US"/>
        </w:rPr>
      </w:pPr>
    </w:p>
    <w:p w14:paraId="74E1C84C" w14:textId="77777777" w:rsidR="009260DE" w:rsidRPr="009C71FA" w:rsidRDefault="009260DE" w:rsidP="009260DE">
      <w:pPr>
        <w:pStyle w:val="Titel"/>
        <w:jc w:val="left"/>
        <w:rPr>
          <w:b w:val="0"/>
          <w:szCs w:val="24"/>
          <w:lang w:val="en-US"/>
        </w:rPr>
      </w:pPr>
    </w:p>
    <w:p w14:paraId="14CE14CE" w14:textId="77777777" w:rsidR="009260DE" w:rsidRPr="009C71FA" w:rsidRDefault="009260DE" w:rsidP="009260DE">
      <w:pPr>
        <w:jc w:val="center"/>
        <w:rPr>
          <w:b/>
          <w:sz w:val="24"/>
          <w:szCs w:val="24"/>
          <w:lang w:val="en-US"/>
        </w:rPr>
      </w:pPr>
      <w:r w:rsidRPr="009C71FA">
        <w:rPr>
          <w:b/>
          <w:sz w:val="24"/>
          <w:szCs w:val="24"/>
          <w:lang w:val="en-US"/>
        </w:rPr>
        <w:t>PRODUKTRESUMÉ</w:t>
      </w:r>
    </w:p>
    <w:p w14:paraId="4100ECCA" w14:textId="77777777" w:rsidR="009260DE" w:rsidRPr="009C71FA" w:rsidRDefault="009260DE" w:rsidP="009260DE">
      <w:pPr>
        <w:jc w:val="center"/>
        <w:rPr>
          <w:b/>
          <w:sz w:val="24"/>
          <w:szCs w:val="24"/>
          <w:lang w:val="en-US"/>
        </w:rPr>
      </w:pPr>
    </w:p>
    <w:p w14:paraId="5B88E5EF" w14:textId="77777777" w:rsidR="009260DE" w:rsidRPr="009C71FA" w:rsidRDefault="009260DE" w:rsidP="009260DE">
      <w:pPr>
        <w:jc w:val="center"/>
        <w:rPr>
          <w:b/>
          <w:sz w:val="24"/>
          <w:szCs w:val="24"/>
          <w:lang w:val="en-US"/>
        </w:rPr>
      </w:pPr>
      <w:r w:rsidRPr="009C71FA">
        <w:rPr>
          <w:b/>
          <w:sz w:val="24"/>
          <w:szCs w:val="24"/>
          <w:lang w:val="en-US"/>
        </w:rPr>
        <w:t>for</w:t>
      </w:r>
    </w:p>
    <w:p w14:paraId="2DE9F8E3" w14:textId="77777777" w:rsidR="000B058C" w:rsidRPr="009C71FA" w:rsidRDefault="000B058C" w:rsidP="009260DE">
      <w:pPr>
        <w:jc w:val="center"/>
        <w:rPr>
          <w:b/>
          <w:sz w:val="24"/>
          <w:szCs w:val="24"/>
          <w:lang w:val="en-US"/>
        </w:rPr>
      </w:pPr>
    </w:p>
    <w:p w14:paraId="03FDE7FF" w14:textId="77777777" w:rsidR="009260DE" w:rsidRPr="009C71FA" w:rsidRDefault="009C71FA" w:rsidP="009260DE">
      <w:pPr>
        <w:jc w:val="center"/>
        <w:rPr>
          <w:b/>
          <w:sz w:val="24"/>
          <w:szCs w:val="24"/>
          <w:lang w:val="en-US"/>
        </w:rPr>
      </w:pPr>
      <w:bookmarkStart w:id="1" w:name="_Hlk190956924"/>
      <w:r w:rsidRPr="009C71FA">
        <w:rPr>
          <w:b/>
          <w:sz w:val="24"/>
          <w:szCs w:val="24"/>
          <w:lang w:val="en-US"/>
        </w:rPr>
        <w:t>Azelastine hydrochloride/Fluticasone "Newbury"</w:t>
      </w:r>
      <w:bookmarkEnd w:id="1"/>
      <w:r w:rsidRPr="009C71FA">
        <w:rPr>
          <w:b/>
          <w:sz w:val="24"/>
          <w:szCs w:val="24"/>
          <w:lang w:val="en-US"/>
        </w:rPr>
        <w:t>, næsespray, suspension</w:t>
      </w:r>
    </w:p>
    <w:p w14:paraId="3EB9D8B6" w14:textId="77777777" w:rsidR="009260DE" w:rsidRPr="009C71FA" w:rsidRDefault="009260DE" w:rsidP="009260DE">
      <w:pPr>
        <w:jc w:val="both"/>
        <w:rPr>
          <w:sz w:val="24"/>
          <w:szCs w:val="24"/>
          <w:lang w:val="en-US"/>
        </w:rPr>
      </w:pPr>
    </w:p>
    <w:p w14:paraId="7ABB84FF" w14:textId="77777777" w:rsidR="009260DE" w:rsidRPr="009C71FA" w:rsidRDefault="009260DE" w:rsidP="009260DE">
      <w:pPr>
        <w:jc w:val="both"/>
        <w:rPr>
          <w:sz w:val="24"/>
          <w:szCs w:val="24"/>
          <w:lang w:val="en-US"/>
        </w:rPr>
      </w:pPr>
    </w:p>
    <w:p w14:paraId="06EA2466"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5F8316F9" w14:textId="10831E14" w:rsidR="009260DE" w:rsidRPr="00C84483" w:rsidRDefault="00021E22" w:rsidP="009260DE">
      <w:pPr>
        <w:tabs>
          <w:tab w:val="left" w:pos="851"/>
        </w:tabs>
        <w:ind w:left="851"/>
        <w:rPr>
          <w:sz w:val="24"/>
          <w:szCs w:val="24"/>
        </w:rPr>
      </w:pPr>
      <w:r>
        <w:rPr>
          <w:sz w:val="24"/>
          <w:szCs w:val="24"/>
        </w:rPr>
        <w:t>33574</w:t>
      </w:r>
    </w:p>
    <w:p w14:paraId="431537F5" w14:textId="77777777" w:rsidR="009260DE" w:rsidRPr="00C84483" w:rsidRDefault="009260DE" w:rsidP="009260DE">
      <w:pPr>
        <w:tabs>
          <w:tab w:val="left" w:pos="851"/>
        </w:tabs>
        <w:ind w:left="851"/>
        <w:rPr>
          <w:sz w:val="24"/>
          <w:szCs w:val="24"/>
        </w:rPr>
      </w:pPr>
    </w:p>
    <w:p w14:paraId="20108241"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3461BFB2" w14:textId="061EAE6D" w:rsidR="009260DE" w:rsidRPr="00021E22" w:rsidRDefault="00021E22" w:rsidP="009260DE">
      <w:pPr>
        <w:tabs>
          <w:tab w:val="left" w:pos="851"/>
        </w:tabs>
        <w:ind w:left="851"/>
        <w:rPr>
          <w:sz w:val="24"/>
          <w:szCs w:val="24"/>
        </w:rPr>
      </w:pPr>
      <w:r w:rsidRPr="000F2894">
        <w:rPr>
          <w:sz w:val="24"/>
          <w:szCs w:val="24"/>
        </w:rPr>
        <w:t>Azelastine hydrochloride/Fluticasone "Newbury"</w:t>
      </w:r>
    </w:p>
    <w:p w14:paraId="2503DF77" w14:textId="77777777" w:rsidR="009260DE" w:rsidRPr="00021E22" w:rsidRDefault="009260DE" w:rsidP="009260DE">
      <w:pPr>
        <w:tabs>
          <w:tab w:val="left" w:pos="851"/>
        </w:tabs>
        <w:ind w:left="851"/>
        <w:rPr>
          <w:sz w:val="24"/>
          <w:szCs w:val="24"/>
        </w:rPr>
      </w:pPr>
    </w:p>
    <w:p w14:paraId="20A09CDE"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FE99651" w14:textId="77777777" w:rsidR="00021E22" w:rsidRPr="00021E22" w:rsidRDefault="00021E22" w:rsidP="00021E22">
      <w:pPr>
        <w:tabs>
          <w:tab w:val="left" w:pos="851"/>
        </w:tabs>
        <w:ind w:left="851"/>
        <w:rPr>
          <w:sz w:val="24"/>
          <w:szCs w:val="24"/>
        </w:rPr>
      </w:pPr>
      <w:r w:rsidRPr="00021E22">
        <w:rPr>
          <w:sz w:val="24"/>
          <w:szCs w:val="24"/>
        </w:rPr>
        <w:t>Hvert gram suspension indeholder 1.000 mikrogram azelastinhydrochlorid (svarende til 913 mikrogram azelastin) og 365 mikrogram fluticasonpropionat (svarende til 262,8 mikrogram fluticason).</w:t>
      </w:r>
    </w:p>
    <w:p w14:paraId="7F3883BA" w14:textId="77777777" w:rsidR="00021E22" w:rsidRPr="00021E22" w:rsidRDefault="00021E22" w:rsidP="00021E22">
      <w:pPr>
        <w:tabs>
          <w:tab w:val="left" w:pos="851"/>
        </w:tabs>
        <w:ind w:left="851"/>
        <w:rPr>
          <w:sz w:val="24"/>
          <w:szCs w:val="24"/>
        </w:rPr>
      </w:pPr>
    </w:p>
    <w:p w14:paraId="362282C3" w14:textId="77777777" w:rsidR="00021E22" w:rsidRPr="00021E22" w:rsidRDefault="00021E22" w:rsidP="00021E22">
      <w:pPr>
        <w:tabs>
          <w:tab w:val="left" w:pos="851"/>
        </w:tabs>
        <w:ind w:left="851"/>
        <w:rPr>
          <w:sz w:val="24"/>
          <w:szCs w:val="24"/>
        </w:rPr>
      </w:pPr>
      <w:r w:rsidRPr="00021E22">
        <w:rPr>
          <w:sz w:val="24"/>
          <w:szCs w:val="24"/>
        </w:rPr>
        <w:t>Et pust (0,14 g) indeholder 137 mikrogram azelastinhydrochlorid (svarende til 125 mikrogram azelastin) og 50 mikrogram fluticasonpropionat (svarende til 36 mikrogram fluticason).</w:t>
      </w:r>
    </w:p>
    <w:p w14:paraId="64FF46FB" w14:textId="77777777" w:rsidR="00021E22" w:rsidRPr="00021E22" w:rsidRDefault="00021E22" w:rsidP="00021E22">
      <w:pPr>
        <w:tabs>
          <w:tab w:val="left" w:pos="851"/>
        </w:tabs>
        <w:ind w:left="851"/>
        <w:rPr>
          <w:sz w:val="24"/>
          <w:szCs w:val="24"/>
        </w:rPr>
      </w:pPr>
    </w:p>
    <w:p w14:paraId="30530AB6" w14:textId="35B6B0C9" w:rsidR="00021E22" w:rsidRPr="00021E22" w:rsidRDefault="00021E22" w:rsidP="00021E22">
      <w:pPr>
        <w:tabs>
          <w:tab w:val="left" w:pos="851"/>
        </w:tabs>
        <w:ind w:left="851"/>
        <w:rPr>
          <w:iCs/>
          <w:sz w:val="24"/>
          <w:szCs w:val="24"/>
          <w:u w:val="single"/>
        </w:rPr>
      </w:pPr>
      <w:r w:rsidRPr="00021E22">
        <w:rPr>
          <w:sz w:val="24"/>
          <w:szCs w:val="24"/>
          <w:u w:val="single"/>
        </w:rPr>
        <w:t>Hjælpestof, som behandleren skal være opmærksom på</w:t>
      </w:r>
    </w:p>
    <w:p w14:paraId="7CCEC7CC" w14:textId="77777777" w:rsidR="00021E22" w:rsidRPr="00021E22" w:rsidRDefault="00021E22" w:rsidP="00021E22">
      <w:pPr>
        <w:tabs>
          <w:tab w:val="left" w:pos="851"/>
        </w:tabs>
        <w:ind w:left="851"/>
        <w:rPr>
          <w:sz w:val="24"/>
          <w:szCs w:val="24"/>
        </w:rPr>
      </w:pPr>
      <w:r w:rsidRPr="00021E22">
        <w:rPr>
          <w:sz w:val="24"/>
          <w:szCs w:val="24"/>
        </w:rPr>
        <w:t>Et pust (0,14 g) indeholder 0,014 mg benzalkoniumchlorid.</w:t>
      </w:r>
    </w:p>
    <w:p w14:paraId="23D3DB97" w14:textId="77777777" w:rsidR="00021E22" w:rsidRPr="00021E22" w:rsidRDefault="00021E22" w:rsidP="00021E22">
      <w:pPr>
        <w:tabs>
          <w:tab w:val="left" w:pos="851"/>
        </w:tabs>
        <w:ind w:left="851"/>
        <w:rPr>
          <w:sz w:val="24"/>
          <w:szCs w:val="24"/>
        </w:rPr>
      </w:pPr>
    </w:p>
    <w:p w14:paraId="119BFAB6" w14:textId="77777777" w:rsidR="00021E22" w:rsidRPr="00021E22" w:rsidRDefault="00021E22" w:rsidP="00021E22">
      <w:pPr>
        <w:tabs>
          <w:tab w:val="left" w:pos="851"/>
        </w:tabs>
        <w:ind w:left="851"/>
        <w:rPr>
          <w:sz w:val="24"/>
          <w:szCs w:val="24"/>
        </w:rPr>
      </w:pPr>
      <w:r w:rsidRPr="00021E22">
        <w:rPr>
          <w:sz w:val="24"/>
          <w:szCs w:val="24"/>
        </w:rPr>
        <w:t>Alle hjælpestoffer er anført under pkt. 6.1.</w:t>
      </w:r>
    </w:p>
    <w:p w14:paraId="650E97F2" w14:textId="77777777" w:rsidR="009260DE" w:rsidRPr="00C84483" w:rsidRDefault="009260DE" w:rsidP="009260DE">
      <w:pPr>
        <w:tabs>
          <w:tab w:val="left" w:pos="851"/>
        </w:tabs>
        <w:ind w:left="851"/>
        <w:rPr>
          <w:sz w:val="24"/>
          <w:szCs w:val="24"/>
        </w:rPr>
      </w:pPr>
    </w:p>
    <w:p w14:paraId="7BE81C91"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5F2ECA0A" w14:textId="115FBCA4" w:rsidR="00F16777" w:rsidRPr="00F16777" w:rsidRDefault="00F16777" w:rsidP="00F16777">
      <w:pPr>
        <w:tabs>
          <w:tab w:val="left" w:pos="851"/>
        </w:tabs>
        <w:ind w:left="851"/>
        <w:rPr>
          <w:sz w:val="24"/>
          <w:szCs w:val="24"/>
        </w:rPr>
      </w:pPr>
      <w:r w:rsidRPr="00F16777">
        <w:rPr>
          <w:sz w:val="24"/>
          <w:szCs w:val="24"/>
        </w:rPr>
        <w:t>Næsespray, suspension</w:t>
      </w:r>
    </w:p>
    <w:p w14:paraId="2109CB0F" w14:textId="77777777" w:rsidR="00F16777" w:rsidRPr="00F16777" w:rsidRDefault="00F16777" w:rsidP="00F16777">
      <w:pPr>
        <w:tabs>
          <w:tab w:val="left" w:pos="851"/>
        </w:tabs>
        <w:ind w:left="851"/>
        <w:rPr>
          <w:sz w:val="24"/>
          <w:szCs w:val="24"/>
        </w:rPr>
      </w:pPr>
    </w:p>
    <w:p w14:paraId="0FBFC7BB" w14:textId="77777777" w:rsidR="00F16777" w:rsidRPr="00F16777" w:rsidRDefault="00F16777" w:rsidP="00F16777">
      <w:pPr>
        <w:tabs>
          <w:tab w:val="left" w:pos="851"/>
        </w:tabs>
        <w:ind w:left="851"/>
        <w:rPr>
          <w:sz w:val="24"/>
          <w:szCs w:val="24"/>
        </w:rPr>
      </w:pPr>
      <w:r w:rsidRPr="00F16777">
        <w:rPr>
          <w:sz w:val="24"/>
          <w:szCs w:val="24"/>
        </w:rPr>
        <w:t>Hvid, homogen suspension.</w:t>
      </w:r>
    </w:p>
    <w:p w14:paraId="26161126" w14:textId="77777777" w:rsidR="009260DE" w:rsidRPr="00C84483" w:rsidRDefault="009260DE" w:rsidP="009260DE">
      <w:pPr>
        <w:tabs>
          <w:tab w:val="left" w:pos="851"/>
        </w:tabs>
        <w:ind w:left="851"/>
        <w:rPr>
          <w:sz w:val="24"/>
          <w:szCs w:val="24"/>
        </w:rPr>
      </w:pPr>
    </w:p>
    <w:p w14:paraId="379CA04B" w14:textId="77777777" w:rsidR="009260DE" w:rsidRPr="00C84483" w:rsidRDefault="009260DE" w:rsidP="009260DE">
      <w:pPr>
        <w:tabs>
          <w:tab w:val="left" w:pos="851"/>
        </w:tabs>
        <w:ind w:left="851"/>
        <w:rPr>
          <w:sz w:val="24"/>
          <w:szCs w:val="24"/>
        </w:rPr>
      </w:pPr>
    </w:p>
    <w:p w14:paraId="0EBE2DA6"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0E9E8F6" w14:textId="77777777" w:rsidR="009260DE" w:rsidRPr="00C84483" w:rsidRDefault="009260DE" w:rsidP="009260DE">
      <w:pPr>
        <w:tabs>
          <w:tab w:val="left" w:pos="851"/>
        </w:tabs>
        <w:ind w:left="851"/>
        <w:rPr>
          <w:b/>
          <w:sz w:val="24"/>
          <w:szCs w:val="24"/>
        </w:rPr>
      </w:pPr>
    </w:p>
    <w:p w14:paraId="189AECED"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3368EF2" w14:textId="77777777" w:rsidR="00F16777" w:rsidRPr="00F16777" w:rsidRDefault="00F16777" w:rsidP="00F16777">
      <w:pPr>
        <w:tabs>
          <w:tab w:val="left" w:pos="851"/>
        </w:tabs>
        <w:ind w:left="851"/>
        <w:rPr>
          <w:sz w:val="24"/>
          <w:szCs w:val="24"/>
        </w:rPr>
      </w:pPr>
      <w:r w:rsidRPr="00F16777">
        <w:rPr>
          <w:sz w:val="24"/>
          <w:szCs w:val="24"/>
        </w:rPr>
        <w:t>Lindring af symptomer på moderat til svær sæsonbetinget eller kronisk allergisk rhinitis hos voksne og pædiatriske patienter i alderen 12 år og derover, hvor monoterapi med enten intranasalt antihistamin eller glukokortikoid ikke vurderes tilstrækkelig.</w:t>
      </w:r>
    </w:p>
    <w:p w14:paraId="6C5F212A" w14:textId="7FE35B9A" w:rsidR="00F16777" w:rsidRDefault="00F16777">
      <w:pPr>
        <w:rPr>
          <w:sz w:val="24"/>
          <w:szCs w:val="24"/>
        </w:rPr>
      </w:pPr>
      <w:r>
        <w:rPr>
          <w:sz w:val="24"/>
          <w:szCs w:val="24"/>
        </w:rPr>
        <w:br w:type="page"/>
      </w:r>
    </w:p>
    <w:p w14:paraId="503E1237" w14:textId="77777777" w:rsidR="009260DE" w:rsidRPr="00C84483" w:rsidRDefault="009260DE" w:rsidP="009260DE">
      <w:pPr>
        <w:tabs>
          <w:tab w:val="left" w:pos="851"/>
        </w:tabs>
        <w:ind w:left="851"/>
        <w:rPr>
          <w:sz w:val="24"/>
          <w:szCs w:val="24"/>
        </w:rPr>
      </w:pPr>
    </w:p>
    <w:p w14:paraId="18882E2A"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6EB6AFA" w14:textId="77777777" w:rsidR="00F16777" w:rsidRDefault="00F16777" w:rsidP="00F16777">
      <w:pPr>
        <w:tabs>
          <w:tab w:val="left" w:pos="851"/>
        </w:tabs>
        <w:ind w:left="851"/>
        <w:rPr>
          <w:sz w:val="24"/>
          <w:szCs w:val="24"/>
          <w:u w:val="single"/>
        </w:rPr>
      </w:pPr>
    </w:p>
    <w:p w14:paraId="1D8B3432" w14:textId="05E2BFF9" w:rsidR="00F16777" w:rsidRPr="00F16777" w:rsidRDefault="00F16777" w:rsidP="00F16777">
      <w:pPr>
        <w:tabs>
          <w:tab w:val="left" w:pos="851"/>
        </w:tabs>
        <w:ind w:left="851"/>
        <w:rPr>
          <w:sz w:val="24"/>
          <w:szCs w:val="24"/>
          <w:u w:val="single"/>
        </w:rPr>
      </w:pPr>
      <w:r w:rsidRPr="00F16777">
        <w:rPr>
          <w:sz w:val="24"/>
          <w:szCs w:val="24"/>
          <w:u w:val="single"/>
        </w:rPr>
        <w:t>Dosering</w:t>
      </w:r>
    </w:p>
    <w:p w14:paraId="005E12B9" w14:textId="77777777" w:rsidR="00F16777" w:rsidRPr="00F16777" w:rsidRDefault="00F16777" w:rsidP="00F16777">
      <w:pPr>
        <w:tabs>
          <w:tab w:val="left" w:pos="851"/>
        </w:tabs>
        <w:ind w:left="851"/>
        <w:rPr>
          <w:sz w:val="24"/>
          <w:szCs w:val="24"/>
        </w:rPr>
      </w:pPr>
      <w:r w:rsidRPr="00F16777">
        <w:rPr>
          <w:sz w:val="24"/>
          <w:szCs w:val="24"/>
        </w:rPr>
        <w:t>Regelmæssig brug er essentiel for fuld terapeutisk effekt.</w:t>
      </w:r>
    </w:p>
    <w:p w14:paraId="3400EB4B" w14:textId="77777777" w:rsidR="00F16777" w:rsidRPr="00F16777" w:rsidRDefault="00F16777" w:rsidP="00F16777">
      <w:pPr>
        <w:tabs>
          <w:tab w:val="left" w:pos="851"/>
        </w:tabs>
        <w:ind w:left="851"/>
        <w:rPr>
          <w:sz w:val="24"/>
          <w:szCs w:val="24"/>
        </w:rPr>
      </w:pPr>
    </w:p>
    <w:p w14:paraId="224F7CE8" w14:textId="77777777" w:rsidR="00F16777" w:rsidRPr="00F16777" w:rsidRDefault="00F16777" w:rsidP="00F16777">
      <w:pPr>
        <w:tabs>
          <w:tab w:val="left" w:pos="851"/>
        </w:tabs>
        <w:ind w:left="851"/>
        <w:rPr>
          <w:sz w:val="24"/>
          <w:szCs w:val="24"/>
        </w:rPr>
      </w:pPr>
      <w:r w:rsidRPr="00F16777">
        <w:rPr>
          <w:sz w:val="24"/>
          <w:szCs w:val="24"/>
        </w:rPr>
        <w:t>Kontakt med øjnene skal undgås.</w:t>
      </w:r>
    </w:p>
    <w:p w14:paraId="5E779E48" w14:textId="77777777" w:rsidR="00F16777" w:rsidRPr="00F16777" w:rsidRDefault="00F16777" w:rsidP="00F16777">
      <w:pPr>
        <w:tabs>
          <w:tab w:val="left" w:pos="851"/>
        </w:tabs>
        <w:ind w:left="851"/>
        <w:rPr>
          <w:sz w:val="24"/>
          <w:szCs w:val="24"/>
        </w:rPr>
      </w:pPr>
    </w:p>
    <w:p w14:paraId="2E000D5E" w14:textId="77777777" w:rsidR="00F16777" w:rsidRPr="00F16777" w:rsidRDefault="00F16777" w:rsidP="00F16777">
      <w:pPr>
        <w:tabs>
          <w:tab w:val="left" w:pos="851"/>
        </w:tabs>
        <w:ind w:left="851"/>
        <w:rPr>
          <w:i/>
          <w:iCs/>
          <w:sz w:val="24"/>
          <w:szCs w:val="24"/>
        </w:rPr>
      </w:pPr>
      <w:r w:rsidRPr="00F16777">
        <w:rPr>
          <w:i/>
          <w:iCs/>
          <w:sz w:val="24"/>
          <w:szCs w:val="24"/>
        </w:rPr>
        <w:t>Voksne og unge (12 år og derover)</w:t>
      </w:r>
    </w:p>
    <w:p w14:paraId="530DA77D" w14:textId="77777777" w:rsidR="00F16777" w:rsidRPr="00F16777" w:rsidRDefault="00F16777" w:rsidP="00F16777">
      <w:pPr>
        <w:tabs>
          <w:tab w:val="left" w:pos="851"/>
        </w:tabs>
        <w:ind w:left="851"/>
        <w:rPr>
          <w:sz w:val="24"/>
          <w:szCs w:val="24"/>
        </w:rPr>
      </w:pPr>
      <w:r w:rsidRPr="00F16777">
        <w:rPr>
          <w:sz w:val="24"/>
          <w:szCs w:val="24"/>
        </w:rPr>
        <w:t>Ét pust i hvert næsebor to gange dagligt (morgen og aften).</w:t>
      </w:r>
    </w:p>
    <w:p w14:paraId="4DDF462B" w14:textId="77777777" w:rsidR="00F16777" w:rsidRPr="00F16777" w:rsidRDefault="00F16777" w:rsidP="00F16777">
      <w:pPr>
        <w:tabs>
          <w:tab w:val="left" w:pos="851"/>
        </w:tabs>
        <w:ind w:left="851"/>
        <w:rPr>
          <w:sz w:val="24"/>
          <w:szCs w:val="24"/>
        </w:rPr>
      </w:pPr>
    </w:p>
    <w:p w14:paraId="0993BEB5" w14:textId="77777777" w:rsidR="00F16777" w:rsidRPr="00F16777" w:rsidRDefault="00F16777" w:rsidP="00F16777">
      <w:pPr>
        <w:tabs>
          <w:tab w:val="left" w:pos="851"/>
        </w:tabs>
        <w:ind w:left="851"/>
        <w:rPr>
          <w:i/>
          <w:iCs/>
          <w:sz w:val="24"/>
          <w:szCs w:val="24"/>
        </w:rPr>
      </w:pPr>
      <w:r w:rsidRPr="00F16777">
        <w:rPr>
          <w:i/>
          <w:iCs/>
          <w:sz w:val="24"/>
          <w:szCs w:val="24"/>
        </w:rPr>
        <w:t>Børn under 12 år</w:t>
      </w:r>
    </w:p>
    <w:p w14:paraId="0407EC7D" w14:textId="77777777" w:rsidR="00F16777" w:rsidRPr="00F16777" w:rsidRDefault="00F16777" w:rsidP="00F16777">
      <w:pPr>
        <w:tabs>
          <w:tab w:val="left" w:pos="851"/>
        </w:tabs>
        <w:ind w:left="851"/>
        <w:rPr>
          <w:sz w:val="24"/>
          <w:szCs w:val="24"/>
        </w:rPr>
      </w:pPr>
      <w:r w:rsidRPr="00F16777">
        <w:rPr>
          <w:sz w:val="24"/>
          <w:szCs w:val="24"/>
        </w:rPr>
        <w:t>Azelastine hydrochloride/Fluticasone "Newbury" næsespray er ikke anbefalet til børn under 12 år, da sikkerhed og virkning i denne aldersgruppe ikke er klarlagt.</w:t>
      </w:r>
    </w:p>
    <w:p w14:paraId="3F083CDE" w14:textId="77777777" w:rsidR="00F16777" w:rsidRPr="00F16777" w:rsidRDefault="00F16777" w:rsidP="00F16777">
      <w:pPr>
        <w:tabs>
          <w:tab w:val="left" w:pos="851"/>
        </w:tabs>
        <w:ind w:left="851"/>
        <w:rPr>
          <w:sz w:val="24"/>
          <w:szCs w:val="24"/>
        </w:rPr>
      </w:pPr>
    </w:p>
    <w:p w14:paraId="3A13F919" w14:textId="77777777" w:rsidR="00F16777" w:rsidRPr="00F16777" w:rsidRDefault="00F16777" w:rsidP="00F16777">
      <w:pPr>
        <w:tabs>
          <w:tab w:val="left" w:pos="851"/>
        </w:tabs>
        <w:ind w:left="851"/>
        <w:rPr>
          <w:i/>
          <w:iCs/>
          <w:sz w:val="24"/>
          <w:szCs w:val="24"/>
        </w:rPr>
      </w:pPr>
      <w:r w:rsidRPr="00F16777">
        <w:rPr>
          <w:i/>
          <w:iCs/>
          <w:sz w:val="24"/>
          <w:szCs w:val="24"/>
        </w:rPr>
        <w:t>Ældre</w:t>
      </w:r>
    </w:p>
    <w:p w14:paraId="2B4815DD" w14:textId="77777777" w:rsidR="00F16777" w:rsidRPr="00F16777" w:rsidRDefault="00F16777" w:rsidP="00F16777">
      <w:pPr>
        <w:tabs>
          <w:tab w:val="left" w:pos="851"/>
        </w:tabs>
        <w:ind w:left="851"/>
        <w:rPr>
          <w:sz w:val="24"/>
          <w:szCs w:val="24"/>
        </w:rPr>
      </w:pPr>
      <w:r w:rsidRPr="00F16777">
        <w:rPr>
          <w:sz w:val="24"/>
          <w:szCs w:val="24"/>
        </w:rPr>
        <w:t>Dosisjustering er ikke nødvendig i denne population.</w:t>
      </w:r>
    </w:p>
    <w:p w14:paraId="077B9AB4" w14:textId="77777777" w:rsidR="00F16777" w:rsidRPr="00F16777" w:rsidRDefault="00F16777" w:rsidP="00F16777">
      <w:pPr>
        <w:tabs>
          <w:tab w:val="left" w:pos="851"/>
        </w:tabs>
        <w:ind w:left="851"/>
        <w:rPr>
          <w:sz w:val="24"/>
          <w:szCs w:val="24"/>
        </w:rPr>
      </w:pPr>
    </w:p>
    <w:p w14:paraId="2BEA8F95" w14:textId="77777777" w:rsidR="00F16777" w:rsidRPr="00F16777" w:rsidRDefault="00F16777" w:rsidP="00F16777">
      <w:pPr>
        <w:tabs>
          <w:tab w:val="left" w:pos="851"/>
        </w:tabs>
        <w:ind w:left="851"/>
        <w:rPr>
          <w:i/>
          <w:iCs/>
          <w:sz w:val="24"/>
          <w:szCs w:val="24"/>
        </w:rPr>
      </w:pPr>
      <w:r w:rsidRPr="00F16777">
        <w:rPr>
          <w:i/>
          <w:iCs/>
          <w:sz w:val="24"/>
          <w:szCs w:val="24"/>
        </w:rPr>
        <w:t>Nedsat nyre- og leverfunktion</w:t>
      </w:r>
    </w:p>
    <w:p w14:paraId="609316B3" w14:textId="77777777" w:rsidR="00F16777" w:rsidRPr="00F16777" w:rsidRDefault="00F16777" w:rsidP="00F16777">
      <w:pPr>
        <w:tabs>
          <w:tab w:val="left" w:pos="851"/>
        </w:tabs>
        <w:ind w:left="851"/>
        <w:rPr>
          <w:sz w:val="24"/>
          <w:szCs w:val="24"/>
        </w:rPr>
      </w:pPr>
      <w:r w:rsidRPr="00F16777">
        <w:rPr>
          <w:sz w:val="24"/>
          <w:szCs w:val="24"/>
        </w:rPr>
        <w:t>Der foreligger ingen data for patienter med nedsat nyre- og leverfunktion.</w:t>
      </w:r>
    </w:p>
    <w:p w14:paraId="05DACD7D" w14:textId="77777777" w:rsidR="00F16777" w:rsidRPr="00F16777" w:rsidRDefault="00F16777" w:rsidP="00F16777">
      <w:pPr>
        <w:tabs>
          <w:tab w:val="left" w:pos="851"/>
        </w:tabs>
        <w:ind w:left="851"/>
        <w:rPr>
          <w:sz w:val="24"/>
          <w:szCs w:val="24"/>
        </w:rPr>
      </w:pPr>
    </w:p>
    <w:p w14:paraId="3609DC93" w14:textId="77777777" w:rsidR="00F16777" w:rsidRPr="00F16777" w:rsidRDefault="00F16777" w:rsidP="00F16777">
      <w:pPr>
        <w:tabs>
          <w:tab w:val="left" w:pos="851"/>
        </w:tabs>
        <w:ind w:left="851"/>
        <w:rPr>
          <w:bCs/>
          <w:i/>
          <w:sz w:val="24"/>
          <w:szCs w:val="24"/>
          <w:u w:val="single"/>
        </w:rPr>
      </w:pPr>
      <w:r w:rsidRPr="00F16777">
        <w:rPr>
          <w:bCs/>
          <w:i/>
          <w:sz w:val="24"/>
          <w:szCs w:val="24"/>
          <w:u w:val="single"/>
        </w:rPr>
        <w:t>Behandlingsvarighed</w:t>
      </w:r>
    </w:p>
    <w:p w14:paraId="335FB4AA" w14:textId="77777777" w:rsidR="00F16777" w:rsidRPr="00F16777" w:rsidRDefault="00F16777" w:rsidP="00F16777">
      <w:pPr>
        <w:tabs>
          <w:tab w:val="left" w:pos="851"/>
        </w:tabs>
        <w:ind w:left="851"/>
        <w:rPr>
          <w:sz w:val="24"/>
          <w:szCs w:val="24"/>
        </w:rPr>
      </w:pPr>
      <w:r w:rsidRPr="00F16777">
        <w:rPr>
          <w:sz w:val="24"/>
          <w:szCs w:val="24"/>
        </w:rPr>
        <w:t>Azelastine hydrochloride/Fluticasone "Newbury" næsespray er egnet til brug i lang tid.</w:t>
      </w:r>
    </w:p>
    <w:p w14:paraId="79A2BF9C" w14:textId="77777777" w:rsidR="00F16777" w:rsidRPr="00F16777" w:rsidRDefault="00F16777" w:rsidP="00F16777">
      <w:pPr>
        <w:tabs>
          <w:tab w:val="left" w:pos="851"/>
        </w:tabs>
        <w:ind w:left="851"/>
        <w:rPr>
          <w:sz w:val="24"/>
          <w:szCs w:val="24"/>
        </w:rPr>
      </w:pPr>
      <w:r w:rsidRPr="00F16777">
        <w:rPr>
          <w:sz w:val="24"/>
          <w:szCs w:val="24"/>
        </w:rPr>
        <w:t>Varigheden af behandlingen bør svare til den periode, hvor patienten er eksponeret for allergener.</w:t>
      </w:r>
    </w:p>
    <w:p w14:paraId="739DCC6A" w14:textId="77777777" w:rsidR="00F16777" w:rsidRPr="00F16777" w:rsidRDefault="00F16777" w:rsidP="00F16777">
      <w:pPr>
        <w:tabs>
          <w:tab w:val="left" w:pos="851"/>
        </w:tabs>
        <w:ind w:left="851"/>
        <w:rPr>
          <w:sz w:val="24"/>
          <w:szCs w:val="24"/>
        </w:rPr>
      </w:pPr>
    </w:p>
    <w:p w14:paraId="07B7EB62" w14:textId="77777777" w:rsidR="00F16777" w:rsidRPr="00F16777" w:rsidRDefault="00F16777" w:rsidP="00F16777">
      <w:pPr>
        <w:tabs>
          <w:tab w:val="left" w:pos="851"/>
        </w:tabs>
        <w:ind w:left="851"/>
        <w:rPr>
          <w:sz w:val="24"/>
          <w:szCs w:val="24"/>
          <w:u w:val="single"/>
        </w:rPr>
      </w:pPr>
      <w:r w:rsidRPr="00F16777">
        <w:rPr>
          <w:sz w:val="24"/>
          <w:szCs w:val="24"/>
          <w:u w:val="single"/>
        </w:rPr>
        <w:t>Administration</w:t>
      </w:r>
    </w:p>
    <w:p w14:paraId="35CDBF3B" w14:textId="77777777" w:rsidR="00F16777" w:rsidRPr="00F16777" w:rsidRDefault="00F16777" w:rsidP="00F16777">
      <w:pPr>
        <w:tabs>
          <w:tab w:val="left" w:pos="851"/>
        </w:tabs>
        <w:ind w:left="851"/>
        <w:rPr>
          <w:sz w:val="24"/>
          <w:szCs w:val="24"/>
        </w:rPr>
      </w:pPr>
      <w:r w:rsidRPr="00F16777">
        <w:rPr>
          <w:sz w:val="24"/>
          <w:szCs w:val="24"/>
        </w:rPr>
        <w:t>Azelastine hydrochloride/Fluticasone "Newbury" næsespray er kun til nasal anvendelse.</w:t>
      </w:r>
    </w:p>
    <w:p w14:paraId="312E0FDA" w14:textId="77777777" w:rsidR="00F16777" w:rsidRPr="00F16777" w:rsidRDefault="00F16777" w:rsidP="00F16777">
      <w:pPr>
        <w:tabs>
          <w:tab w:val="left" w:pos="851"/>
        </w:tabs>
        <w:ind w:left="851"/>
        <w:rPr>
          <w:sz w:val="24"/>
          <w:szCs w:val="24"/>
        </w:rPr>
      </w:pPr>
    </w:p>
    <w:p w14:paraId="4F22FABB" w14:textId="77777777" w:rsidR="00F16777" w:rsidRPr="00F16777" w:rsidRDefault="00F16777" w:rsidP="00F16777">
      <w:pPr>
        <w:tabs>
          <w:tab w:val="left" w:pos="851"/>
        </w:tabs>
        <w:ind w:left="851"/>
        <w:rPr>
          <w:bCs/>
          <w:i/>
          <w:sz w:val="24"/>
          <w:szCs w:val="24"/>
          <w:u w:val="single"/>
        </w:rPr>
      </w:pPr>
      <w:r w:rsidRPr="00F16777">
        <w:rPr>
          <w:bCs/>
          <w:i/>
          <w:sz w:val="24"/>
          <w:szCs w:val="24"/>
          <w:u w:val="single"/>
        </w:rPr>
        <w:t>Brugsanvisning</w:t>
      </w:r>
    </w:p>
    <w:p w14:paraId="29D227A0" w14:textId="77777777" w:rsidR="00F16777" w:rsidRDefault="00F16777" w:rsidP="00F16777">
      <w:pPr>
        <w:tabs>
          <w:tab w:val="left" w:pos="851"/>
        </w:tabs>
        <w:ind w:left="851"/>
        <w:rPr>
          <w:i/>
          <w:iCs/>
          <w:sz w:val="24"/>
          <w:szCs w:val="24"/>
        </w:rPr>
      </w:pPr>
    </w:p>
    <w:p w14:paraId="0BF9BE4A" w14:textId="7E46E14A" w:rsidR="00F16777" w:rsidRPr="00F16777" w:rsidRDefault="00F16777" w:rsidP="00F16777">
      <w:pPr>
        <w:tabs>
          <w:tab w:val="left" w:pos="851"/>
        </w:tabs>
        <w:ind w:left="851"/>
        <w:rPr>
          <w:i/>
          <w:iCs/>
          <w:sz w:val="24"/>
          <w:szCs w:val="24"/>
        </w:rPr>
      </w:pPr>
      <w:r w:rsidRPr="00F16777">
        <w:rPr>
          <w:i/>
          <w:iCs/>
          <w:sz w:val="24"/>
          <w:szCs w:val="24"/>
        </w:rPr>
        <w:t>Forberedelse af sprayen</w:t>
      </w:r>
    </w:p>
    <w:p w14:paraId="0705D502" w14:textId="77777777" w:rsidR="00F16777" w:rsidRPr="00F16777" w:rsidRDefault="00F16777" w:rsidP="00F16777">
      <w:pPr>
        <w:tabs>
          <w:tab w:val="left" w:pos="851"/>
        </w:tabs>
        <w:ind w:left="851"/>
        <w:rPr>
          <w:sz w:val="24"/>
          <w:szCs w:val="24"/>
        </w:rPr>
      </w:pPr>
      <w:r w:rsidRPr="00F16777">
        <w:rPr>
          <w:sz w:val="24"/>
          <w:szCs w:val="24"/>
        </w:rPr>
        <w:t>Flasken skal rystes let i ca. 5 sekunder før brug ved at vende den op og ned, og beskyttelseshætten skal derefter fjernes. Før Azelastine hydrochloride/Fluticasone "Newbury" næsespray anvendes første gang, skal den forberedes til brug ved at trykke pumpen ned og give slip på den 6 gange. Hvis Azelastine hydrochloride/Fluticasone "Newbury" næsespray ikke har været brugt i over 7 dage, skal den forberedes igen ved at trykke pumpen ned én gang og derefter give slip på den.</w:t>
      </w:r>
    </w:p>
    <w:p w14:paraId="05C96314" w14:textId="77777777" w:rsidR="00F16777" w:rsidRPr="00F16777" w:rsidRDefault="00F16777" w:rsidP="00F16777">
      <w:pPr>
        <w:tabs>
          <w:tab w:val="left" w:pos="851"/>
        </w:tabs>
        <w:ind w:left="851"/>
        <w:rPr>
          <w:sz w:val="24"/>
          <w:szCs w:val="24"/>
        </w:rPr>
      </w:pPr>
    </w:p>
    <w:p w14:paraId="19EAB655" w14:textId="003DCE9F" w:rsidR="00F16777" w:rsidRPr="00F16777" w:rsidRDefault="00F16777" w:rsidP="00F16777">
      <w:pPr>
        <w:tabs>
          <w:tab w:val="left" w:pos="851"/>
        </w:tabs>
        <w:ind w:left="851"/>
        <w:rPr>
          <w:i/>
          <w:iCs/>
          <w:sz w:val="24"/>
          <w:szCs w:val="24"/>
        </w:rPr>
      </w:pPr>
      <w:r w:rsidRPr="00F16777">
        <w:rPr>
          <w:i/>
          <w:iCs/>
          <w:sz w:val="24"/>
          <w:szCs w:val="24"/>
        </w:rPr>
        <w:t>Brug af sprayen</w:t>
      </w:r>
    </w:p>
    <w:p w14:paraId="5C6199F8" w14:textId="77777777" w:rsidR="00F16777" w:rsidRPr="00F16777" w:rsidRDefault="00F16777" w:rsidP="00F16777">
      <w:pPr>
        <w:tabs>
          <w:tab w:val="left" w:pos="851"/>
        </w:tabs>
        <w:ind w:left="851"/>
        <w:rPr>
          <w:sz w:val="24"/>
          <w:szCs w:val="24"/>
        </w:rPr>
      </w:pPr>
      <w:r w:rsidRPr="00F16777">
        <w:rPr>
          <w:sz w:val="24"/>
          <w:szCs w:val="24"/>
        </w:rPr>
        <w:t>Efter at have pudset næse, sprayes suspensionen én gang op i hvert næsebor, mens hovedet holdes nedad (se billedet). Efter hver brug tørres studsen af, og beskyttelseshætten sættes på igen.</w:t>
      </w:r>
    </w:p>
    <w:p w14:paraId="275C96B0" w14:textId="77777777" w:rsidR="00F16777" w:rsidRPr="00F16777" w:rsidRDefault="00F16777" w:rsidP="00F16777">
      <w:pPr>
        <w:tabs>
          <w:tab w:val="left" w:pos="851"/>
        </w:tabs>
        <w:ind w:left="851"/>
        <w:rPr>
          <w:sz w:val="24"/>
          <w:szCs w:val="24"/>
        </w:rPr>
      </w:pPr>
    </w:p>
    <w:p w14:paraId="260D9E61" w14:textId="20FCD6CD" w:rsidR="00F16777" w:rsidRPr="00F16777" w:rsidRDefault="00F16777" w:rsidP="00F16777">
      <w:pPr>
        <w:tabs>
          <w:tab w:val="left" w:pos="851"/>
        </w:tabs>
        <w:ind w:left="851"/>
        <w:rPr>
          <w:sz w:val="24"/>
          <w:szCs w:val="24"/>
        </w:rPr>
      </w:pPr>
      <w:r w:rsidRPr="00F16777">
        <w:rPr>
          <w:b/>
          <w:noProof/>
          <w:sz w:val="24"/>
          <w:szCs w:val="24"/>
        </w:rPr>
        <w:lastRenderedPageBreak/>
        <w:drawing>
          <wp:inline distT="0" distB="0" distL="0" distR="0" wp14:anchorId="2B7E0B7B" wp14:editId="186976BC">
            <wp:extent cx="2940050" cy="2540000"/>
            <wp:effectExtent l="0" t="0" r="0" b="0"/>
            <wp:docPr id="3" name="Billede 3" descr="En bild som visar skiss, Linjekonst, rita, linje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 bild som visar skiss, Linjekonst, rita, linjeritning&#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0050" cy="2540000"/>
                    </a:xfrm>
                    <a:prstGeom prst="rect">
                      <a:avLst/>
                    </a:prstGeom>
                    <a:noFill/>
                    <a:ln>
                      <a:noFill/>
                    </a:ln>
                  </pic:spPr>
                </pic:pic>
              </a:graphicData>
            </a:graphic>
          </wp:inline>
        </w:drawing>
      </w:r>
    </w:p>
    <w:p w14:paraId="7381AACE" w14:textId="77777777" w:rsidR="00F16777" w:rsidRPr="00F16777" w:rsidRDefault="00F16777" w:rsidP="00F16777">
      <w:pPr>
        <w:tabs>
          <w:tab w:val="left" w:pos="851"/>
        </w:tabs>
        <w:ind w:left="851"/>
        <w:rPr>
          <w:sz w:val="24"/>
          <w:szCs w:val="24"/>
        </w:rPr>
      </w:pPr>
    </w:p>
    <w:p w14:paraId="61D35FE6" w14:textId="77777777" w:rsidR="009260DE" w:rsidRPr="00C84483" w:rsidRDefault="009260DE" w:rsidP="009260DE">
      <w:pPr>
        <w:tabs>
          <w:tab w:val="left" w:pos="851"/>
        </w:tabs>
        <w:ind w:left="851"/>
        <w:rPr>
          <w:sz w:val="24"/>
          <w:szCs w:val="24"/>
        </w:rPr>
      </w:pPr>
    </w:p>
    <w:p w14:paraId="0512DEBD"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456575A" w14:textId="77777777" w:rsidR="00F16777" w:rsidRPr="00F16777" w:rsidRDefault="00F16777" w:rsidP="00F16777">
      <w:pPr>
        <w:tabs>
          <w:tab w:val="left" w:pos="851"/>
        </w:tabs>
        <w:ind w:left="851"/>
        <w:rPr>
          <w:sz w:val="24"/>
          <w:szCs w:val="24"/>
        </w:rPr>
      </w:pPr>
      <w:r w:rsidRPr="00F16777">
        <w:rPr>
          <w:sz w:val="24"/>
          <w:szCs w:val="24"/>
        </w:rPr>
        <w:t>Overfølsomhed over for de aktive stoffer eller over for et eller flere af hjælpestofferne anført i pkt. 6.1.</w:t>
      </w:r>
    </w:p>
    <w:p w14:paraId="1ABBF617" w14:textId="77777777" w:rsidR="009260DE" w:rsidRPr="00C84483" w:rsidRDefault="009260DE" w:rsidP="009260DE">
      <w:pPr>
        <w:tabs>
          <w:tab w:val="left" w:pos="851"/>
        </w:tabs>
        <w:ind w:left="851"/>
        <w:rPr>
          <w:sz w:val="24"/>
          <w:szCs w:val="24"/>
        </w:rPr>
      </w:pPr>
    </w:p>
    <w:p w14:paraId="37DC858E"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B4F764B" w14:textId="77777777" w:rsidR="00F16777" w:rsidRPr="00F16777" w:rsidRDefault="00F16777" w:rsidP="00F16777">
      <w:pPr>
        <w:tabs>
          <w:tab w:val="left" w:pos="851"/>
        </w:tabs>
        <w:ind w:left="851"/>
        <w:rPr>
          <w:sz w:val="24"/>
          <w:szCs w:val="24"/>
        </w:rPr>
      </w:pPr>
      <w:r w:rsidRPr="00F16777">
        <w:rPr>
          <w:sz w:val="24"/>
          <w:szCs w:val="24"/>
        </w:rPr>
        <w:t>Der er blevet indberettet klinisk signifikante lægemiddelinteraktioner ved brug efter markedsføring hos patienter, som fik fluticasonpropionat og ritonavir, hvilket resulterede i systemiske kortikosteroid-virkninger herunder Cushings syndrom og binyrebarksuppression. Samtidig brug af fluticasonpropionat og ritonavir bør derfor undgås, medmindre den potentielle fordel for patienten opvejer risikoen for systemiske kortikosteroid-bivirkninger (se pkt. 4.5).</w:t>
      </w:r>
    </w:p>
    <w:p w14:paraId="127A09EB" w14:textId="77777777" w:rsidR="00F16777" w:rsidRPr="00F16777" w:rsidRDefault="00F16777" w:rsidP="00F16777">
      <w:pPr>
        <w:tabs>
          <w:tab w:val="left" w:pos="851"/>
        </w:tabs>
        <w:ind w:left="851"/>
        <w:rPr>
          <w:sz w:val="24"/>
          <w:szCs w:val="24"/>
        </w:rPr>
      </w:pPr>
    </w:p>
    <w:p w14:paraId="6EDB3AB5" w14:textId="77777777" w:rsidR="00F16777" w:rsidRPr="00F16777" w:rsidRDefault="00F16777" w:rsidP="00F16777">
      <w:pPr>
        <w:tabs>
          <w:tab w:val="left" w:pos="851"/>
        </w:tabs>
        <w:ind w:left="851"/>
        <w:rPr>
          <w:sz w:val="24"/>
          <w:szCs w:val="24"/>
        </w:rPr>
      </w:pPr>
      <w:r w:rsidRPr="00F16777">
        <w:rPr>
          <w:sz w:val="24"/>
          <w:szCs w:val="24"/>
        </w:rPr>
        <w:t>Der kan forekomme systemiske bivirkninger efter brug af nasale kortikosteroider, især ved høje doser givet i længere perioder. Disse bivirkninger er langt mindre sandsynlige end ved orale kortikosteroider, og de kan individuelt variere mellem patienter og mellem forskellige kortikosteroid-præparater. Potentielle systemiske bivirkninger kan omfatte Cushings syndrom, cushingoide træk, binyrebarksuppression, væksthæmning hos børn og unge, katarakt, glaukom og i mere sjældne tilfælde en række psykologiske eller adfærdsmæssige forstyrrelser, herunder psykomotorisk hyperaktivitet, søvnforstyrrelser, angst, depression eller aggression (især hos børn).</w:t>
      </w:r>
    </w:p>
    <w:p w14:paraId="6B6836C0" w14:textId="77777777" w:rsidR="00F16777" w:rsidRPr="00F16777" w:rsidRDefault="00F16777" w:rsidP="00F16777">
      <w:pPr>
        <w:tabs>
          <w:tab w:val="left" w:pos="851"/>
        </w:tabs>
        <w:ind w:left="851"/>
        <w:rPr>
          <w:sz w:val="24"/>
          <w:szCs w:val="24"/>
        </w:rPr>
      </w:pPr>
    </w:p>
    <w:p w14:paraId="18094D7A" w14:textId="77777777" w:rsidR="00F16777" w:rsidRPr="00F16777" w:rsidRDefault="00F16777" w:rsidP="00F16777">
      <w:pPr>
        <w:tabs>
          <w:tab w:val="left" w:pos="851"/>
        </w:tabs>
        <w:ind w:left="851"/>
        <w:rPr>
          <w:sz w:val="24"/>
          <w:szCs w:val="24"/>
        </w:rPr>
      </w:pPr>
      <w:r w:rsidRPr="00F16777">
        <w:rPr>
          <w:sz w:val="24"/>
          <w:szCs w:val="24"/>
        </w:rPr>
        <w:t xml:space="preserve">Dette lægemiddel undergår i vid udstrækning </w:t>
      </w:r>
      <w:r w:rsidRPr="00F16777">
        <w:rPr>
          <w:i/>
          <w:iCs/>
          <w:sz w:val="24"/>
          <w:szCs w:val="24"/>
        </w:rPr>
        <w:t>first-pass</w:t>
      </w:r>
      <w:r w:rsidRPr="00F16777">
        <w:rPr>
          <w:sz w:val="24"/>
          <w:szCs w:val="24"/>
        </w:rPr>
        <w:t>-metabolisme, og derfor er en øget systemisk eksponering sandsynlig efter intranasalt fluticasonpropionat hos patienter med svær leversygdom. Dette kan medføre en større hyppighed af systemiske bivirkninger. Der skal udvises forsigtighed ved behandling af disse patienter.</w:t>
      </w:r>
    </w:p>
    <w:p w14:paraId="37EE0030" w14:textId="77777777" w:rsidR="00F16777" w:rsidRPr="00F16777" w:rsidRDefault="00F16777" w:rsidP="00F16777">
      <w:pPr>
        <w:tabs>
          <w:tab w:val="left" w:pos="851"/>
        </w:tabs>
        <w:ind w:left="851"/>
        <w:rPr>
          <w:sz w:val="24"/>
          <w:szCs w:val="24"/>
        </w:rPr>
      </w:pPr>
    </w:p>
    <w:p w14:paraId="4089F420" w14:textId="77777777" w:rsidR="00F16777" w:rsidRPr="00F16777" w:rsidRDefault="00F16777" w:rsidP="00F16777">
      <w:pPr>
        <w:tabs>
          <w:tab w:val="left" w:pos="851"/>
        </w:tabs>
        <w:ind w:left="851"/>
        <w:rPr>
          <w:sz w:val="24"/>
          <w:szCs w:val="24"/>
        </w:rPr>
      </w:pPr>
      <w:r w:rsidRPr="00F16777">
        <w:rPr>
          <w:sz w:val="24"/>
          <w:szCs w:val="24"/>
        </w:rPr>
        <w:t>Behandling med højere doser nasale kortikosteroider end de anbefalede kan medføre klinisk signifikant binyrebarksuppression. Hvis der er tegn på, at der anvendes højere doser end de anbefalede, bør yderligere systemisk kortikosteroid-behandling overvejes i perioder med stress eller ved planlagt kirurgi.</w:t>
      </w:r>
    </w:p>
    <w:p w14:paraId="07673C6E" w14:textId="77777777" w:rsidR="00F16777" w:rsidRPr="00F16777" w:rsidRDefault="00F16777" w:rsidP="00F16777">
      <w:pPr>
        <w:tabs>
          <w:tab w:val="left" w:pos="851"/>
        </w:tabs>
        <w:ind w:left="851"/>
        <w:rPr>
          <w:sz w:val="24"/>
          <w:szCs w:val="24"/>
        </w:rPr>
      </w:pPr>
    </w:p>
    <w:p w14:paraId="1E860268" w14:textId="77777777" w:rsidR="00F16777" w:rsidRPr="00F16777" w:rsidRDefault="00F16777" w:rsidP="00F16777">
      <w:pPr>
        <w:tabs>
          <w:tab w:val="left" w:pos="851"/>
        </w:tabs>
        <w:ind w:left="851"/>
        <w:rPr>
          <w:sz w:val="24"/>
          <w:szCs w:val="24"/>
        </w:rPr>
      </w:pPr>
      <w:r w:rsidRPr="00F16777">
        <w:rPr>
          <w:sz w:val="24"/>
          <w:szCs w:val="24"/>
        </w:rPr>
        <w:t xml:space="preserve">Generelt bør dosis af intranasale formuleringer af fluticason reduceres til den laveste dosis, der fastholder effektiv kontrol af rhinitis-symptomerne. Højere doser azelastinhydrochlorid/fluticasonpropionat næsespray end den anbefalede (se pkt. 4.2) er ikke blevet undersøgt. Som med alle intranasale kortikosteroider bør den samlede </w:t>
      </w:r>
      <w:r w:rsidRPr="00F16777">
        <w:rPr>
          <w:sz w:val="24"/>
          <w:szCs w:val="24"/>
        </w:rPr>
        <w:lastRenderedPageBreak/>
        <w:t>systemiske belastning af kortikosteroider tages i betragtning, når der samtidig ordineres andre former for kortikosteroid-behandling.</w:t>
      </w:r>
    </w:p>
    <w:p w14:paraId="16171D56" w14:textId="77777777" w:rsidR="00F16777" w:rsidRPr="00F16777" w:rsidRDefault="00F16777" w:rsidP="00F16777">
      <w:pPr>
        <w:tabs>
          <w:tab w:val="left" w:pos="851"/>
        </w:tabs>
        <w:ind w:left="851"/>
        <w:rPr>
          <w:sz w:val="24"/>
          <w:szCs w:val="24"/>
        </w:rPr>
      </w:pPr>
    </w:p>
    <w:p w14:paraId="0FCD1FA5" w14:textId="77777777" w:rsidR="00F16777" w:rsidRPr="00F16777" w:rsidRDefault="00F16777" w:rsidP="00F16777">
      <w:pPr>
        <w:tabs>
          <w:tab w:val="left" w:pos="851"/>
        </w:tabs>
        <w:ind w:left="851"/>
        <w:rPr>
          <w:sz w:val="24"/>
          <w:szCs w:val="24"/>
        </w:rPr>
      </w:pPr>
      <w:r w:rsidRPr="00F16777">
        <w:rPr>
          <w:sz w:val="24"/>
          <w:szCs w:val="24"/>
        </w:rPr>
        <w:t>Der er blevet indberettet væksthæmning hos børn, der er behandlet med nasale kortikosteroider i godkendte doser. Da væksten fortsætter hos unge, anbefales det, at væksten af unge i længerevarende behandling med nasale kortikosteroider også monitoreres regelmæssigt. Hvis deres vækst aftager, skal behandlingen revurderes med henblik på at reducere dosis af nasalt kortikosteroid til den laveste dosis, der kan fastholde effektiv kontrol med symptomerne.</w:t>
      </w:r>
    </w:p>
    <w:p w14:paraId="4B43C7A5" w14:textId="77777777" w:rsidR="00F16777" w:rsidRPr="00F16777" w:rsidRDefault="00F16777" w:rsidP="00F16777">
      <w:pPr>
        <w:tabs>
          <w:tab w:val="left" w:pos="851"/>
        </w:tabs>
        <w:ind w:left="851"/>
        <w:rPr>
          <w:sz w:val="24"/>
          <w:szCs w:val="24"/>
        </w:rPr>
      </w:pPr>
    </w:p>
    <w:p w14:paraId="024EE275" w14:textId="77777777" w:rsidR="00F16777" w:rsidRPr="00F16777" w:rsidRDefault="00F16777" w:rsidP="00F16777">
      <w:pPr>
        <w:tabs>
          <w:tab w:val="left" w:pos="851"/>
        </w:tabs>
        <w:ind w:left="851"/>
        <w:rPr>
          <w:sz w:val="24"/>
          <w:szCs w:val="24"/>
        </w:rPr>
      </w:pPr>
      <w:r w:rsidRPr="00F16777">
        <w:rPr>
          <w:sz w:val="24"/>
          <w:szCs w:val="24"/>
        </w:rPr>
        <w:t>Ved brug af systemisk og topikal kortikosteroid kan der blive indberettet synsforstyrrelser. Hvis en patient udviser symptomer, såsom sløret syn eller andre synsforstyrrelser, bør det overvejes at henvise patienten til oftalmolog med henblik på vurdering af de mulige årsager, som kan omfatte katarakt, glaukom eller sjældne sygdomme såsom central serøs korioretinopati (CSCR), som er indberettet efter brug af systemiske og topikale kortikosteroider.</w:t>
      </w:r>
    </w:p>
    <w:p w14:paraId="275249FE" w14:textId="77777777" w:rsidR="00F16777" w:rsidRPr="00F16777" w:rsidRDefault="00F16777" w:rsidP="00F16777">
      <w:pPr>
        <w:tabs>
          <w:tab w:val="left" w:pos="851"/>
        </w:tabs>
        <w:ind w:left="851"/>
        <w:rPr>
          <w:sz w:val="24"/>
          <w:szCs w:val="24"/>
        </w:rPr>
      </w:pPr>
    </w:p>
    <w:p w14:paraId="1AED648D" w14:textId="77777777" w:rsidR="00F16777" w:rsidRPr="00F16777" w:rsidRDefault="00F16777" w:rsidP="00F16777">
      <w:pPr>
        <w:tabs>
          <w:tab w:val="left" w:pos="851"/>
        </w:tabs>
        <w:ind w:left="851"/>
        <w:rPr>
          <w:sz w:val="24"/>
          <w:szCs w:val="24"/>
        </w:rPr>
      </w:pPr>
      <w:r w:rsidRPr="00F16777">
        <w:rPr>
          <w:sz w:val="24"/>
          <w:szCs w:val="24"/>
        </w:rPr>
        <w:t>Tæt overvågning er påkrævet hos patienter med synsændringer og patienter med forhøjet tryk i øjet, glaukom og/eller katarakt i anamnesen.</w:t>
      </w:r>
    </w:p>
    <w:p w14:paraId="20374672" w14:textId="77777777" w:rsidR="00F16777" w:rsidRPr="00F16777" w:rsidRDefault="00F16777" w:rsidP="00F16777">
      <w:pPr>
        <w:tabs>
          <w:tab w:val="left" w:pos="851"/>
        </w:tabs>
        <w:ind w:left="851"/>
        <w:rPr>
          <w:sz w:val="24"/>
          <w:szCs w:val="24"/>
        </w:rPr>
      </w:pPr>
    </w:p>
    <w:p w14:paraId="0396595C" w14:textId="77777777" w:rsidR="00F16777" w:rsidRPr="00F16777" w:rsidRDefault="00F16777" w:rsidP="00F16777">
      <w:pPr>
        <w:tabs>
          <w:tab w:val="left" w:pos="851"/>
        </w:tabs>
        <w:ind w:left="851"/>
        <w:rPr>
          <w:sz w:val="24"/>
          <w:szCs w:val="24"/>
        </w:rPr>
      </w:pPr>
      <w:r w:rsidRPr="00F16777">
        <w:rPr>
          <w:sz w:val="24"/>
          <w:szCs w:val="24"/>
        </w:rPr>
        <w:t>Hvis der er grund til at tro, at binyrebarkfunktionen er svækket, skal der udvises forsigtighed ved skifte af patienter fra systemisk steroidbehandling til Azelastine hydrochloride/Fluticasone "Newbury" næsespray.</w:t>
      </w:r>
    </w:p>
    <w:p w14:paraId="39EEDF03" w14:textId="77777777" w:rsidR="00F16777" w:rsidRPr="00F16777" w:rsidRDefault="00F16777" w:rsidP="00F16777">
      <w:pPr>
        <w:tabs>
          <w:tab w:val="left" w:pos="851"/>
        </w:tabs>
        <w:ind w:left="851"/>
        <w:rPr>
          <w:sz w:val="24"/>
          <w:szCs w:val="24"/>
        </w:rPr>
      </w:pPr>
    </w:p>
    <w:p w14:paraId="1BEE3F99" w14:textId="77777777" w:rsidR="00F16777" w:rsidRPr="00F16777" w:rsidRDefault="00F16777" w:rsidP="00F16777">
      <w:pPr>
        <w:tabs>
          <w:tab w:val="left" w:pos="851"/>
        </w:tabs>
        <w:ind w:left="851"/>
        <w:rPr>
          <w:sz w:val="24"/>
          <w:szCs w:val="24"/>
        </w:rPr>
      </w:pPr>
      <w:r w:rsidRPr="00F16777">
        <w:rPr>
          <w:sz w:val="24"/>
          <w:szCs w:val="24"/>
        </w:rPr>
        <w:t>Hos patienter, der har tuberkulose, enhver form for ubehandlet infektion, eller som for nylig er blevet opereret eller skadet i næsen eller munden, skal de mulige fordele ved behandling med Azelastine hydrochloride/Fluticasone "Newbury" næsespray opvejes mod de mulige risici.</w:t>
      </w:r>
    </w:p>
    <w:p w14:paraId="1E0A8B54" w14:textId="77777777" w:rsidR="00F16777" w:rsidRPr="00F16777" w:rsidRDefault="00F16777" w:rsidP="00F16777">
      <w:pPr>
        <w:tabs>
          <w:tab w:val="left" w:pos="851"/>
        </w:tabs>
        <w:ind w:left="851"/>
        <w:rPr>
          <w:sz w:val="24"/>
          <w:szCs w:val="24"/>
        </w:rPr>
      </w:pPr>
    </w:p>
    <w:p w14:paraId="158FD894" w14:textId="77777777" w:rsidR="00F16777" w:rsidRPr="00F16777" w:rsidRDefault="00F16777" w:rsidP="00F16777">
      <w:pPr>
        <w:tabs>
          <w:tab w:val="left" w:pos="851"/>
        </w:tabs>
        <w:ind w:left="851"/>
        <w:rPr>
          <w:sz w:val="24"/>
          <w:szCs w:val="24"/>
        </w:rPr>
      </w:pPr>
      <w:r w:rsidRPr="00F16777">
        <w:rPr>
          <w:sz w:val="24"/>
          <w:szCs w:val="24"/>
        </w:rPr>
        <w:t>Infektioner i de nasale luftveje skal behandles med antibakterielle eller antimykotiske midler, men er ikke en specifik kontraindikation for behandling med Azelastine hydrochloride/Fluticasone "Newbury" næsespray.</w:t>
      </w:r>
    </w:p>
    <w:p w14:paraId="4A746F0C" w14:textId="77777777" w:rsidR="00F16777" w:rsidRPr="00F16777" w:rsidRDefault="00F16777" w:rsidP="00F16777">
      <w:pPr>
        <w:tabs>
          <w:tab w:val="left" w:pos="851"/>
        </w:tabs>
        <w:ind w:left="851"/>
        <w:rPr>
          <w:sz w:val="24"/>
          <w:szCs w:val="24"/>
        </w:rPr>
      </w:pPr>
    </w:p>
    <w:p w14:paraId="6FD4EB8F" w14:textId="77777777" w:rsidR="00F16777" w:rsidRPr="00F16777" w:rsidRDefault="00F16777" w:rsidP="00F16777">
      <w:pPr>
        <w:tabs>
          <w:tab w:val="left" w:pos="851"/>
        </w:tabs>
        <w:ind w:left="851"/>
        <w:rPr>
          <w:sz w:val="24"/>
          <w:szCs w:val="24"/>
        </w:rPr>
      </w:pPr>
      <w:r w:rsidRPr="00F16777">
        <w:rPr>
          <w:sz w:val="24"/>
          <w:szCs w:val="24"/>
        </w:rPr>
        <w:t>Dette lægemiddel indeholder 0,014 mg benzalkoniumchlorid i hvert pust, hvilket svarer til 0,1 mg/g. Langvarig anvendelse kan medføre ødem af næseslimhinden.</w:t>
      </w:r>
    </w:p>
    <w:p w14:paraId="6C8AD398" w14:textId="77777777" w:rsidR="009260DE" w:rsidRPr="00C84483" w:rsidRDefault="009260DE" w:rsidP="009260DE">
      <w:pPr>
        <w:tabs>
          <w:tab w:val="left" w:pos="851"/>
        </w:tabs>
        <w:ind w:left="851"/>
        <w:rPr>
          <w:sz w:val="24"/>
          <w:szCs w:val="24"/>
        </w:rPr>
      </w:pPr>
    </w:p>
    <w:p w14:paraId="24E46B6D"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1676AF5" w14:textId="77777777" w:rsidR="00F16777" w:rsidRDefault="00F16777" w:rsidP="00F16777">
      <w:pPr>
        <w:tabs>
          <w:tab w:val="left" w:pos="851"/>
        </w:tabs>
        <w:ind w:left="851"/>
        <w:rPr>
          <w:bCs/>
          <w:iCs/>
          <w:sz w:val="24"/>
          <w:szCs w:val="24"/>
          <w:u w:val="single"/>
        </w:rPr>
      </w:pPr>
    </w:p>
    <w:p w14:paraId="5D85414B" w14:textId="607486E2" w:rsidR="00F16777" w:rsidRPr="00F16777" w:rsidRDefault="00F16777" w:rsidP="00F16777">
      <w:pPr>
        <w:tabs>
          <w:tab w:val="left" w:pos="851"/>
        </w:tabs>
        <w:ind w:left="851"/>
        <w:rPr>
          <w:bCs/>
          <w:iCs/>
          <w:sz w:val="24"/>
          <w:szCs w:val="24"/>
          <w:u w:val="single"/>
        </w:rPr>
      </w:pPr>
      <w:r w:rsidRPr="00F16777">
        <w:rPr>
          <w:bCs/>
          <w:iCs/>
          <w:sz w:val="24"/>
          <w:szCs w:val="24"/>
          <w:u w:val="single"/>
        </w:rPr>
        <w:t>Fluticasonpropionat</w:t>
      </w:r>
    </w:p>
    <w:p w14:paraId="5C26B92E" w14:textId="77777777" w:rsidR="00F16777" w:rsidRPr="00F16777" w:rsidRDefault="00F16777" w:rsidP="00F16777">
      <w:pPr>
        <w:tabs>
          <w:tab w:val="left" w:pos="851"/>
        </w:tabs>
        <w:ind w:left="851"/>
        <w:rPr>
          <w:sz w:val="24"/>
          <w:szCs w:val="24"/>
        </w:rPr>
      </w:pPr>
      <w:r w:rsidRPr="00F16777">
        <w:rPr>
          <w:sz w:val="24"/>
          <w:szCs w:val="24"/>
        </w:rPr>
        <w:t xml:space="preserve">Under normale omstændigheder er lave plasmakoncentrationer af fluticasonpropionat opnået efter intranasal dosering på grund af omfattende </w:t>
      </w:r>
      <w:r w:rsidRPr="00F16777">
        <w:rPr>
          <w:i/>
          <w:iCs/>
          <w:sz w:val="24"/>
          <w:szCs w:val="24"/>
        </w:rPr>
        <w:t>first-pass-</w:t>
      </w:r>
      <w:r w:rsidRPr="00F16777">
        <w:rPr>
          <w:sz w:val="24"/>
          <w:szCs w:val="24"/>
        </w:rPr>
        <w:t>metabolisme og høj systemisk clearance medieret af cytochrom P450 3A4 i tarmen og leveren. Derfor er klinisk signifikante lægemiddelinteraktioner medieret af fluticasonpropionat usandsynlige.</w:t>
      </w:r>
    </w:p>
    <w:p w14:paraId="549AF8DE" w14:textId="77777777" w:rsidR="00F16777" w:rsidRPr="00F16777" w:rsidRDefault="00F16777" w:rsidP="00F16777">
      <w:pPr>
        <w:tabs>
          <w:tab w:val="left" w:pos="851"/>
        </w:tabs>
        <w:ind w:left="851"/>
        <w:rPr>
          <w:sz w:val="24"/>
          <w:szCs w:val="24"/>
        </w:rPr>
      </w:pPr>
    </w:p>
    <w:p w14:paraId="584A50B6" w14:textId="77777777" w:rsidR="00F16777" w:rsidRPr="00F16777" w:rsidRDefault="00F16777" w:rsidP="00F16777">
      <w:pPr>
        <w:tabs>
          <w:tab w:val="left" w:pos="851"/>
        </w:tabs>
        <w:ind w:left="851"/>
        <w:rPr>
          <w:sz w:val="24"/>
          <w:szCs w:val="24"/>
        </w:rPr>
      </w:pPr>
      <w:r w:rsidRPr="00F16777">
        <w:rPr>
          <w:sz w:val="24"/>
          <w:szCs w:val="24"/>
        </w:rPr>
        <w:t xml:space="preserve">Et interaktionsstudie med raske frivillige har vist, at ritonavir (højpotent hæmmer af cytochrom P450 3A4) i høj grad kan øge plasmakoncentrationerne af fluticasonpropionat, hvilket resulterer i markant reducerede koncentrationer af serumcortisol. Der er indberettet klinisk signifikante lægemiddelinteraktioner ved brug efter markedsføring hos patienter, som har fået intranasalt eller inhaleret fluticasonpropionat og ritonavir, hvilket resulterede i systemiske kortikosteroid-virkninger. Det forventes, at samtidig behandling med andre CYP3A4-hæmmere, herunder cobicistat-holdige lægemidler, øger risikoen for systemiske </w:t>
      </w:r>
      <w:r w:rsidRPr="00F16777">
        <w:rPr>
          <w:sz w:val="24"/>
          <w:szCs w:val="24"/>
        </w:rPr>
        <w:lastRenderedPageBreak/>
        <w:t>bivirkninger. Kombinationen bør undgås, medmindre fordelen opvejer den øgede risiko for systemiske kortikosteroid-bivirkninger. Patienterne skal i givet fald overvåges for systemiske kortikosteroid-bivirkninger.</w:t>
      </w:r>
    </w:p>
    <w:p w14:paraId="36073DD2" w14:textId="77777777" w:rsidR="00F16777" w:rsidRPr="00F16777" w:rsidRDefault="00F16777" w:rsidP="00F16777">
      <w:pPr>
        <w:tabs>
          <w:tab w:val="left" w:pos="851"/>
        </w:tabs>
        <w:ind w:left="851"/>
        <w:rPr>
          <w:sz w:val="24"/>
          <w:szCs w:val="24"/>
        </w:rPr>
      </w:pPr>
    </w:p>
    <w:p w14:paraId="4EDB63C0" w14:textId="77777777" w:rsidR="00F16777" w:rsidRPr="00F16777" w:rsidRDefault="00F16777" w:rsidP="00F16777">
      <w:pPr>
        <w:tabs>
          <w:tab w:val="left" w:pos="851"/>
        </w:tabs>
        <w:ind w:left="851"/>
        <w:rPr>
          <w:sz w:val="24"/>
          <w:szCs w:val="24"/>
        </w:rPr>
      </w:pPr>
      <w:r w:rsidRPr="00F16777">
        <w:rPr>
          <w:sz w:val="24"/>
          <w:szCs w:val="24"/>
        </w:rPr>
        <w:t>Studier har vist, at andre inhibitorer af cytochrom P450 3A4 resulterer i ubetydelige (erythromycin) og mindre (ketoconazol) stigninger i den systemiske eksponering af fluticasonpropionat uden bemærkelsesværdige reduktioner i koncentrationerne af serumcortisol. Alligevel tilrådes forsigtighed ved samtidig administration af en potent cytochrom P450 3A4-inhibitor (f.eks. ketoconazol), da der er potentiale for øget systemisk eksponering af fluticasonpropionat.</w:t>
      </w:r>
    </w:p>
    <w:p w14:paraId="518E9B02" w14:textId="77777777" w:rsidR="00F16777" w:rsidRPr="00F16777" w:rsidRDefault="00F16777" w:rsidP="00F16777">
      <w:pPr>
        <w:tabs>
          <w:tab w:val="left" w:pos="851"/>
        </w:tabs>
        <w:ind w:left="851"/>
        <w:rPr>
          <w:sz w:val="24"/>
          <w:szCs w:val="24"/>
        </w:rPr>
      </w:pPr>
    </w:p>
    <w:p w14:paraId="66DD88E5" w14:textId="77777777" w:rsidR="00F16777" w:rsidRPr="00F16777" w:rsidRDefault="00F16777" w:rsidP="00F16777">
      <w:pPr>
        <w:tabs>
          <w:tab w:val="left" w:pos="851"/>
        </w:tabs>
        <w:ind w:left="851"/>
        <w:rPr>
          <w:bCs/>
          <w:iCs/>
          <w:sz w:val="24"/>
          <w:szCs w:val="24"/>
          <w:u w:val="single"/>
        </w:rPr>
      </w:pPr>
      <w:r w:rsidRPr="00F16777">
        <w:rPr>
          <w:bCs/>
          <w:iCs/>
          <w:sz w:val="24"/>
          <w:szCs w:val="24"/>
          <w:u w:val="single"/>
        </w:rPr>
        <w:t>Azelastinhydrochlorid</w:t>
      </w:r>
    </w:p>
    <w:p w14:paraId="5BD9ABFB" w14:textId="77777777" w:rsidR="00F16777" w:rsidRPr="00F16777" w:rsidRDefault="00F16777" w:rsidP="00F16777">
      <w:pPr>
        <w:tabs>
          <w:tab w:val="left" w:pos="851"/>
        </w:tabs>
        <w:ind w:left="851"/>
        <w:rPr>
          <w:sz w:val="24"/>
          <w:szCs w:val="24"/>
        </w:rPr>
      </w:pPr>
      <w:r w:rsidRPr="00F16777">
        <w:rPr>
          <w:sz w:val="24"/>
          <w:szCs w:val="24"/>
        </w:rPr>
        <w:t xml:space="preserve">Der er ikke udført specifikke interaktionsstudier med azelastinhydrochlorid næsespray. Interaktionsstudier med høje </w:t>
      </w:r>
      <w:r w:rsidRPr="00F16777">
        <w:rPr>
          <w:sz w:val="24"/>
          <w:szCs w:val="24"/>
          <w:u w:val="single"/>
        </w:rPr>
        <w:t>orale</w:t>
      </w:r>
      <w:r w:rsidRPr="00F16777">
        <w:rPr>
          <w:sz w:val="24"/>
          <w:szCs w:val="24"/>
        </w:rPr>
        <w:t xml:space="preserve"> doser er blevet udført. De har imidlertid ingen relevans for azelastin næsespray, da de anbefalede nasale doser medfører meget lavere systemisk eksponering. Alligevel skal der udvises forsigtighed, når azelastinhydrochlorid gives til patienter, som samtidig tager sedativa eller lægemidler med virkning på centralnervesystemet, idet den sedative virkning kan blive forøget. Alkohol kan også forøge denne virkning (se pkt. 4.7).</w:t>
      </w:r>
    </w:p>
    <w:p w14:paraId="48A7A083" w14:textId="77777777" w:rsidR="00F16777" w:rsidRPr="00F16777" w:rsidRDefault="00F16777" w:rsidP="00F16777">
      <w:pPr>
        <w:tabs>
          <w:tab w:val="left" w:pos="851"/>
        </w:tabs>
        <w:ind w:left="851"/>
        <w:rPr>
          <w:sz w:val="24"/>
          <w:szCs w:val="24"/>
        </w:rPr>
      </w:pPr>
    </w:p>
    <w:p w14:paraId="0245A57E"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01FBE5D0" w14:textId="77777777" w:rsidR="00F16777" w:rsidRDefault="00F16777" w:rsidP="00F16777">
      <w:pPr>
        <w:tabs>
          <w:tab w:val="left" w:pos="851"/>
        </w:tabs>
        <w:ind w:left="851"/>
        <w:rPr>
          <w:sz w:val="24"/>
          <w:szCs w:val="24"/>
          <w:u w:val="single"/>
        </w:rPr>
      </w:pPr>
    </w:p>
    <w:p w14:paraId="5AA88CF8" w14:textId="7B72E659" w:rsidR="00F16777" w:rsidRPr="00F16777" w:rsidRDefault="00F16777" w:rsidP="00F16777">
      <w:pPr>
        <w:tabs>
          <w:tab w:val="left" w:pos="851"/>
        </w:tabs>
        <w:ind w:left="851"/>
        <w:rPr>
          <w:sz w:val="24"/>
          <w:szCs w:val="24"/>
          <w:u w:val="single"/>
        </w:rPr>
      </w:pPr>
      <w:r w:rsidRPr="00F16777">
        <w:rPr>
          <w:sz w:val="24"/>
          <w:szCs w:val="24"/>
          <w:u w:val="single"/>
        </w:rPr>
        <w:t>Fertilitet</w:t>
      </w:r>
    </w:p>
    <w:p w14:paraId="0F34F31E" w14:textId="77777777" w:rsidR="00F16777" w:rsidRPr="00F16777" w:rsidRDefault="00F16777" w:rsidP="00F16777">
      <w:pPr>
        <w:tabs>
          <w:tab w:val="left" w:pos="851"/>
        </w:tabs>
        <w:ind w:left="851"/>
        <w:rPr>
          <w:sz w:val="24"/>
          <w:szCs w:val="24"/>
        </w:rPr>
      </w:pPr>
      <w:r w:rsidRPr="00F16777">
        <w:rPr>
          <w:sz w:val="24"/>
          <w:szCs w:val="24"/>
        </w:rPr>
        <w:t>Der er kun begrænsede data med hensyn til fertilitet (se pkt. 5.3).</w:t>
      </w:r>
    </w:p>
    <w:p w14:paraId="7D5F8463" w14:textId="77777777" w:rsidR="00F16777" w:rsidRPr="00F16777" w:rsidRDefault="00F16777" w:rsidP="00F16777">
      <w:pPr>
        <w:tabs>
          <w:tab w:val="left" w:pos="851"/>
        </w:tabs>
        <w:ind w:left="851"/>
        <w:rPr>
          <w:sz w:val="24"/>
          <w:szCs w:val="24"/>
          <w:u w:val="single"/>
        </w:rPr>
      </w:pPr>
    </w:p>
    <w:p w14:paraId="5466B689" w14:textId="77777777" w:rsidR="00F16777" w:rsidRPr="00F16777" w:rsidRDefault="00F16777" w:rsidP="00F16777">
      <w:pPr>
        <w:tabs>
          <w:tab w:val="left" w:pos="851"/>
        </w:tabs>
        <w:ind w:left="851"/>
        <w:rPr>
          <w:sz w:val="24"/>
          <w:szCs w:val="24"/>
          <w:u w:val="single"/>
        </w:rPr>
      </w:pPr>
      <w:r w:rsidRPr="00F16777">
        <w:rPr>
          <w:sz w:val="24"/>
          <w:szCs w:val="24"/>
          <w:u w:val="single"/>
        </w:rPr>
        <w:t>Graviditet</w:t>
      </w:r>
    </w:p>
    <w:p w14:paraId="03758741" w14:textId="77777777" w:rsidR="00F16777" w:rsidRPr="00F16777" w:rsidRDefault="00F16777" w:rsidP="00F16777">
      <w:pPr>
        <w:tabs>
          <w:tab w:val="left" w:pos="851"/>
        </w:tabs>
        <w:ind w:left="851"/>
        <w:rPr>
          <w:sz w:val="24"/>
          <w:szCs w:val="24"/>
        </w:rPr>
      </w:pPr>
      <w:r w:rsidRPr="00F16777">
        <w:rPr>
          <w:sz w:val="24"/>
          <w:szCs w:val="24"/>
        </w:rPr>
        <w:t>Der er ingen eller utilstrækkelige data fra anvendelse af azelastinhydrochlorid og fluticasonpropionat til gravide kvinder. Azelastine hydrochloride/Fluticasone "Newbury" næsespray bør derfor kun bruges under graviditeten, hvis den potentielle fordel opvejer den potentielle risiko for fosteret (se pkt. 5.3).</w:t>
      </w:r>
    </w:p>
    <w:p w14:paraId="4ED28827" w14:textId="77777777" w:rsidR="00F16777" w:rsidRPr="00F16777" w:rsidRDefault="00F16777" w:rsidP="00F16777">
      <w:pPr>
        <w:tabs>
          <w:tab w:val="left" w:pos="851"/>
        </w:tabs>
        <w:ind w:left="851"/>
        <w:rPr>
          <w:sz w:val="24"/>
          <w:szCs w:val="24"/>
          <w:u w:val="single"/>
        </w:rPr>
      </w:pPr>
    </w:p>
    <w:p w14:paraId="7DBE1B34" w14:textId="77777777" w:rsidR="00F16777" w:rsidRPr="00F16777" w:rsidRDefault="00F16777" w:rsidP="00F16777">
      <w:pPr>
        <w:tabs>
          <w:tab w:val="left" w:pos="851"/>
        </w:tabs>
        <w:ind w:left="851"/>
        <w:rPr>
          <w:sz w:val="24"/>
          <w:szCs w:val="24"/>
          <w:u w:val="single"/>
        </w:rPr>
      </w:pPr>
      <w:r w:rsidRPr="00F16777">
        <w:rPr>
          <w:sz w:val="24"/>
          <w:szCs w:val="24"/>
          <w:u w:val="single"/>
        </w:rPr>
        <w:t>Amning</w:t>
      </w:r>
    </w:p>
    <w:p w14:paraId="01268E55" w14:textId="77777777" w:rsidR="00F16777" w:rsidRPr="00F16777" w:rsidRDefault="00F16777" w:rsidP="00F16777">
      <w:pPr>
        <w:tabs>
          <w:tab w:val="left" w:pos="851"/>
        </w:tabs>
        <w:ind w:left="851"/>
        <w:rPr>
          <w:sz w:val="24"/>
          <w:szCs w:val="24"/>
        </w:rPr>
      </w:pPr>
      <w:r w:rsidRPr="00F16777">
        <w:rPr>
          <w:sz w:val="24"/>
          <w:szCs w:val="24"/>
        </w:rPr>
        <w:t>Det er ukendt, om nasalt administreret azelastinhydrochlorid/metabolitter eller fluticasonpropionat/metabolitter udskilles i modermælk hos mennesker. Azelastine hydrochloride/Fluticasone "Newbury" næsespray bør kun anvendes under amning, hvis den potentielle fordel opvejer den potentielle risiko for det nyfødte barn/spædbarnet (se pkt. 5.3).</w:t>
      </w:r>
    </w:p>
    <w:p w14:paraId="75FBE21A" w14:textId="77777777" w:rsidR="009260DE" w:rsidRPr="00C84483" w:rsidRDefault="009260DE" w:rsidP="009260DE">
      <w:pPr>
        <w:tabs>
          <w:tab w:val="left" w:pos="851"/>
        </w:tabs>
        <w:ind w:left="851"/>
        <w:rPr>
          <w:sz w:val="24"/>
          <w:szCs w:val="24"/>
        </w:rPr>
      </w:pPr>
    </w:p>
    <w:p w14:paraId="5B1DE486"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0039F577" w14:textId="77777777" w:rsidR="00F16777" w:rsidRPr="00F16777" w:rsidRDefault="00F16777" w:rsidP="00F16777">
      <w:pPr>
        <w:tabs>
          <w:tab w:val="left" w:pos="851"/>
        </w:tabs>
        <w:ind w:left="851"/>
        <w:rPr>
          <w:sz w:val="24"/>
          <w:szCs w:val="24"/>
        </w:rPr>
      </w:pPr>
      <w:r w:rsidRPr="00F16777">
        <w:rPr>
          <w:sz w:val="24"/>
          <w:szCs w:val="24"/>
        </w:rPr>
        <w:t>Ikke mærkning.</w:t>
      </w:r>
    </w:p>
    <w:p w14:paraId="4A8A7F71" w14:textId="77777777" w:rsidR="00F16777" w:rsidRPr="00F16777" w:rsidRDefault="00F16777" w:rsidP="00F16777">
      <w:pPr>
        <w:tabs>
          <w:tab w:val="left" w:pos="851"/>
        </w:tabs>
        <w:ind w:left="851"/>
        <w:rPr>
          <w:sz w:val="24"/>
          <w:szCs w:val="24"/>
        </w:rPr>
      </w:pPr>
      <w:r w:rsidRPr="00F16777">
        <w:rPr>
          <w:sz w:val="24"/>
          <w:szCs w:val="24"/>
        </w:rPr>
        <w:t>Azelastine hydrochloride/Fluticasone "Newbury" næsespray påvirker i mindre grad evnen til at føre motorkøretøj eller betjene maskiner.</w:t>
      </w:r>
    </w:p>
    <w:p w14:paraId="3E47E825" w14:textId="77777777" w:rsidR="00F16777" w:rsidRPr="00F16777" w:rsidRDefault="00F16777" w:rsidP="00F16777">
      <w:pPr>
        <w:tabs>
          <w:tab w:val="left" w:pos="851"/>
        </w:tabs>
        <w:ind w:left="851"/>
        <w:rPr>
          <w:sz w:val="24"/>
          <w:szCs w:val="24"/>
        </w:rPr>
      </w:pPr>
    </w:p>
    <w:p w14:paraId="67A1B05A" w14:textId="77777777" w:rsidR="00F16777" w:rsidRPr="00F16777" w:rsidRDefault="00F16777" w:rsidP="00F16777">
      <w:pPr>
        <w:tabs>
          <w:tab w:val="left" w:pos="851"/>
        </w:tabs>
        <w:ind w:left="851"/>
        <w:rPr>
          <w:sz w:val="24"/>
          <w:szCs w:val="24"/>
        </w:rPr>
      </w:pPr>
      <w:r w:rsidRPr="00F16777">
        <w:rPr>
          <w:sz w:val="24"/>
          <w:szCs w:val="24"/>
        </w:rPr>
        <w:t>Ved brug af Azelastine hydrochloride/Fluticasone "Newbury" næsespray kan der i enkeltstående tilfælde forekomme træthed, energiløshed, udmattelse, svimmelhed eller svaghed, som også kan skyldes selve sygdommen. I disse tilfælde kan evnen til at føre motorkøretøj og betjene maskiner være nedsat. Alkohol kan forstærke denne virkning.</w:t>
      </w:r>
    </w:p>
    <w:p w14:paraId="116AF7AA" w14:textId="19A1F0E4" w:rsidR="00CC41AE" w:rsidRDefault="00CC41AE">
      <w:pPr>
        <w:rPr>
          <w:sz w:val="24"/>
          <w:szCs w:val="24"/>
        </w:rPr>
      </w:pPr>
      <w:r>
        <w:rPr>
          <w:sz w:val="24"/>
          <w:szCs w:val="24"/>
        </w:rPr>
        <w:br w:type="page"/>
      </w:r>
    </w:p>
    <w:p w14:paraId="74A31EDC" w14:textId="77777777" w:rsidR="009260DE" w:rsidRPr="00C84483" w:rsidRDefault="009260DE" w:rsidP="009260DE">
      <w:pPr>
        <w:tabs>
          <w:tab w:val="left" w:pos="851"/>
        </w:tabs>
        <w:ind w:left="851"/>
        <w:rPr>
          <w:sz w:val="24"/>
          <w:szCs w:val="24"/>
        </w:rPr>
      </w:pPr>
    </w:p>
    <w:p w14:paraId="4FABEA55"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BD20A18" w14:textId="77777777" w:rsidR="00CC41AE" w:rsidRPr="00CC41AE" w:rsidRDefault="00CC41AE" w:rsidP="00CC41AE">
      <w:pPr>
        <w:ind w:left="851"/>
        <w:rPr>
          <w:sz w:val="24"/>
          <w:szCs w:val="24"/>
        </w:rPr>
      </w:pPr>
      <w:r w:rsidRPr="00CC41AE">
        <w:rPr>
          <w:sz w:val="24"/>
          <w:szCs w:val="24"/>
        </w:rPr>
        <w:t>En almindelig bivirkning efter administration er dysgeusi, en stof-specifik ubehagelig smag (som ofte skyldes forkert anvendelse, dvs. hovedet holdes for langt bagover under administrationen).</w:t>
      </w:r>
    </w:p>
    <w:p w14:paraId="33DA178E" w14:textId="77777777" w:rsidR="00CC41AE" w:rsidRPr="00CC41AE" w:rsidRDefault="00CC41AE" w:rsidP="00CC41AE">
      <w:pPr>
        <w:ind w:left="851"/>
        <w:rPr>
          <w:sz w:val="24"/>
          <w:szCs w:val="24"/>
        </w:rPr>
      </w:pPr>
    </w:p>
    <w:p w14:paraId="50C67E73" w14:textId="35E9200D" w:rsidR="00CC41AE" w:rsidRDefault="00CC41AE" w:rsidP="00CC41AE">
      <w:pPr>
        <w:keepNext/>
        <w:ind w:left="851"/>
        <w:rPr>
          <w:sz w:val="24"/>
          <w:szCs w:val="24"/>
        </w:rPr>
      </w:pPr>
      <w:r w:rsidRPr="00CC41AE">
        <w:rPr>
          <w:sz w:val="24"/>
          <w:szCs w:val="24"/>
        </w:rPr>
        <w:t>Bivirkninger er anført nedenfor efter systemorganklasse og hyppighed. Hyppighederne defineres som:</w:t>
      </w:r>
    </w:p>
    <w:p w14:paraId="02FF2DF6" w14:textId="77777777" w:rsidR="00CC41AE" w:rsidRPr="00CC41AE" w:rsidRDefault="00CC41AE" w:rsidP="00CC41AE">
      <w:pPr>
        <w:keepNext/>
        <w:ind w:left="851"/>
        <w:rPr>
          <w:sz w:val="24"/>
          <w:szCs w:val="24"/>
        </w:rPr>
      </w:pPr>
      <w:r w:rsidRPr="00CC41AE">
        <w:rPr>
          <w:sz w:val="24"/>
          <w:szCs w:val="24"/>
        </w:rPr>
        <w:t>Meget almindelig</w:t>
      </w:r>
      <w:r w:rsidRPr="00CC41AE">
        <w:rPr>
          <w:sz w:val="24"/>
          <w:szCs w:val="24"/>
        </w:rPr>
        <w:tab/>
        <w:t>(≥ 1/10)</w:t>
      </w:r>
    </w:p>
    <w:p w14:paraId="1292E008" w14:textId="77777777" w:rsidR="00CC41AE" w:rsidRPr="00CC41AE" w:rsidRDefault="00CC41AE" w:rsidP="00CC41AE">
      <w:pPr>
        <w:keepNext/>
        <w:ind w:left="851"/>
        <w:rPr>
          <w:sz w:val="24"/>
          <w:szCs w:val="24"/>
        </w:rPr>
      </w:pPr>
      <w:r w:rsidRPr="00CC41AE">
        <w:rPr>
          <w:sz w:val="24"/>
          <w:szCs w:val="24"/>
        </w:rPr>
        <w:t>Almindelig</w:t>
      </w:r>
      <w:r w:rsidRPr="00CC41AE">
        <w:rPr>
          <w:sz w:val="24"/>
          <w:szCs w:val="24"/>
        </w:rPr>
        <w:tab/>
        <w:t>(≥ 1/100 til &lt; 1/10)</w:t>
      </w:r>
    </w:p>
    <w:p w14:paraId="27A94616" w14:textId="77777777" w:rsidR="00CC41AE" w:rsidRPr="00CC41AE" w:rsidRDefault="00CC41AE" w:rsidP="00CC41AE">
      <w:pPr>
        <w:keepNext/>
        <w:ind w:left="851"/>
        <w:rPr>
          <w:sz w:val="24"/>
          <w:szCs w:val="24"/>
        </w:rPr>
      </w:pPr>
      <w:r w:rsidRPr="00CC41AE">
        <w:rPr>
          <w:sz w:val="24"/>
          <w:szCs w:val="24"/>
        </w:rPr>
        <w:t>Ikke almindelig</w:t>
      </w:r>
      <w:r w:rsidRPr="00CC41AE">
        <w:rPr>
          <w:sz w:val="24"/>
          <w:szCs w:val="24"/>
        </w:rPr>
        <w:tab/>
        <w:t>(≥ 1/1.000 til &lt; 1/100)</w:t>
      </w:r>
    </w:p>
    <w:p w14:paraId="23F286CC" w14:textId="77777777" w:rsidR="00CC41AE" w:rsidRPr="00CC41AE" w:rsidRDefault="00CC41AE" w:rsidP="00CC41AE">
      <w:pPr>
        <w:keepNext/>
        <w:ind w:left="851"/>
        <w:rPr>
          <w:sz w:val="24"/>
          <w:szCs w:val="24"/>
        </w:rPr>
      </w:pPr>
      <w:r w:rsidRPr="00CC41AE">
        <w:rPr>
          <w:sz w:val="24"/>
          <w:szCs w:val="24"/>
        </w:rPr>
        <w:t>Sjælden</w:t>
      </w:r>
      <w:r w:rsidRPr="00CC41AE">
        <w:rPr>
          <w:sz w:val="24"/>
          <w:szCs w:val="24"/>
        </w:rPr>
        <w:tab/>
        <w:t>(≥ 1/10.000 til &lt; 1/1.000)</w:t>
      </w:r>
    </w:p>
    <w:p w14:paraId="2A29FA8E" w14:textId="77777777" w:rsidR="00CC41AE" w:rsidRPr="00CC41AE" w:rsidRDefault="00CC41AE" w:rsidP="00CC41AE">
      <w:pPr>
        <w:keepNext/>
        <w:ind w:left="851"/>
        <w:rPr>
          <w:sz w:val="24"/>
          <w:szCs w:val="24"/>
        </w:rPr>
      </w:pPr>
      <w:r w:rsidRPr="00CC41AE">
        <w:rPr>
          <w:sz w:val="24"/>
          <w:szCs w:val="24"/>
        </w:rPr>
        <w:t>Meget sjælden</w:t>
      </w:r>
      <w:r w:rsidRPr="00CC41AE">
        <w:rPr>
          <w:sz w:val="24"/>
          <w:szCs w:val="24"/>
        </w:rPr>
        <w:tab/>
        <w:t>(&lt; 1/10.000)</w:t>
      </w:r>
    </w:p>
    <w:p w14:paraId="3EE0FF3A" w14:textId="277DE723" w:rsidR="00CC41AE" w:rsidRPr="00CC41AE" w:rsidRDefault="00CC41AE" w:rsidP="00CC41AE">
      <w:pPr>
        <w:keepNext/>
        <w:ind w:left="851"/>
        <w:rPr>
          <w:sz w:val="24"/>
          <w:szCs w:val="24"/>
        </w:rPr>
      </w:pPr>
      <w:r w:rsidRPr="00CC41AE">
        <w:rPr>
          <w:sz w:val="24"/>
          <w:szCs w:val="24"/>
        </w:rPr>
        <w:t>Ikke kendt</w:t>
      </w:r>
      <w:r w:rsidRPr="00CC41AE">
        <w:rPr>
          <w:sz w:val="24"/>
          <w:szCs w:val="24"/>
        </w:rPr>
        <w:tab/>
        <w:t>(kan ikke estimeres ud fra forhåndenværende data)</w:t>
      </w:r>
    </w:p>
    <w:p w14:paraId="7319407A" w14:textId="77777777" w:rsidR="00CC41AE" w:rsidRDefault="00CC41AE" w:rsidP="00CC41AE">
      <w:pPr>
        <w:rPr>
          <w:sz w:val="22"/>
          <w:szCs w:val="22"/>
        </w:rPr>
      </w:pPr>
    </w:p>
    <w:tbl>
      <w:tblPr>
        <w:tblStyle w:val="Tabel-Gitter"/>
        <w:tblW w:w="9495" w:type="dxa"/>
        <w:tblInd w:w="0" w:type="dxa"/>
        <w:tblLayout w:type="fixed"/>
        <w:tblLook w:val="04A0" w:firstRow="1" w:lastRow="0" w:firstColumn="1" w:lastColumn="0" w:noHBand="0" w:noVBand="1"/>
      </w:tblPr>
      <w:tblGrid>
        <w:gridCol w:w="1761"/>
        <w:gridCol w:w="1213"/>
        <w:gridCol w:w="1276"/>
        <w:gridCol w:w="1442"/>
        <w:gridCol w:w="1109"/>
        <w:gridCol w:w="1701"/>
        <w:gridCol w:w="993"/>
      </w:tblGrid>
      <w:tr w:rsidR="00CC41AE" w:rsidRPr="00CC41AE" w14:paraId="6BC406E6" w14:textId="77777777" w:rsidTr="00CC41AE">
        <w:tc>
          <w:tcPr>
            <w:tcW w:w="1760" w:type="dxa"/>
            <w:tcBorders>
              <w:top w:val="single" w:sz="4" w:space="0" w:color="auto"/>
              <w:left w:val="single" w:sz="4" w:space="0" w:color="auto"/>
              <w:bottom w:val="single" w:sz="4" w:space="0" w:color="auto"/>
              <w:right w:val="single" w:sz="4" w:space="0" w:color="auto"/>
            </w:tcBorders>
            <w:hideMark/>
          </w:tcPr>
          <w:p w14:paraId="2ACB8A8C" w14:textId="77777777" w:rsidR="00CC41AE" w:rsidRPr="00CC41AE" w:rsidRDefault="00CC41AE">
            <w:pPr>
              <w:rPr>
                <w:b/>
                <w:bCs/>
                <w:iCs/>
                <w:sz w:val="22"/>
                <w:szCs w:val="22"/>
              </w:rPr>
            </w:pPr>
            <w:r w:rsidRPr="00CC41AE">
              <w:rPr>
                <w:b/>
                <w:bCs/>
                <w:iCs/>
                <w:sz w:val="22"/>
                <w:szCs w:val="22"/>
              </w:rPr>
              <w:t>Hyppighed</w:t>
            </w:r>
          </w:p>
          <w:p w14:paraId="5D8EEB02" w14:textId="77777777" w:rsidR="00CC41AE" w:rsidRPr="00CC41AE" w:rsidRDefault="00CC41AE">
            <w:pPr>
              <w:rPr>
                <w:b/>
                <w:bCs/>
                <w:iCs/>
                <w:sz w:val="22"/>
                <w:szCs w:val="22"/>
              </w:rPr>
            </w:pPr>
            <w:r w:rsidRPr="00CC41AE">
              <w:rPr>
                <w:b/>
                <w:bCs/>
                <w:iCs/>
                <w:sz w:val="22"/>
                <w:szCs w:val="22"/>
              </w:rPr>
              <w:t>Systemorgan-klasse</w:t>
            </w:r>
          </w:p>
        </w:tc>
        <w:tc>
          <w:tcPr>
            <w:tcW w:w="1212" w:type="dxa"/>
            <w:tcBorders>
              <w:top w:val="single" w:sz="4" w:space="0" w:color="auto"/>
              <w:left w:val="single" w:sz="4" w:space="0" w:color="auto"/>
              <w:bottom w:val="single" w:sz="4" w:space="0" w:color="auto"/>
              <w:right w:val="single" w:sz="4" w:space="0" w:color="auto"/>
            </w:tcBorders>
            <w:hideMark/>
          </w:tcPr>
          <w:p w14:paraId="4EDA96E0" w14:textId="77777777" w:rsidR="00CC41AE" w:rsidRPr="00CC41AE" w:rsidRDefault="00CC41AE">
            <w:pPr>
              <w:rPr>
                <w:b/>
                <w:bCs/>
                <w:iCs/>
                <w:sz w:val="22"/>
                <w:szCs w:val="22"/>
              </w:rPr>
            </w:pPr>
            <w:r w:rsidRPr="00CC41AE">
              <w:rPr>
                <w:b/>
                <w:bCs/>
                <w:iCs/>
                <w:sz w:val="22"/>
                <w:szCs w:val="22"/>
              </w:rPr>
              <w:t>Meget almindelig</w:t>
            </w:r>
          </w:p>
        </w:tc>
        <w:tc>
          <w:tcPr>
            <w:tcW w:w="1276" w:type="dxa"/>
            <w:tcBorders>
              <w:top w:val="single" w:sz="4" w:space="0" w:color="auto"/>
              <w:left w:val="single" w:sz="4" w:space="0" w:color="auto"/>
              <w:bottom w:val="single" w:sz="4" w:space="0" w:color="auto"/>
              <w:right w:val="single" w:sz="4" w:space="0" w:color="auto"/>
            </w:tcBorders>
            <w:hideMark/>
          </w:tcPr>
          <w:p w14:paraId="32DADF79" w14:textId="77777777" w:rsidR="00CC41AE" w:rsidRPr="00CC41AE" w:rsidRDefault="00CC41AE">
            <w:pPr>
              <w:rPr>
                <w:b/>
                <w:bCs/>
                <w:iCs/>
                <w:sz w:val="22"/>
                <w:szCs w:val="22"/>
              </w:rPr>
            </w:pPr>
            <w:r w:rsidRPr="00CC41AE">
              <w:rPr>
                <w:b/>
                <w:bCs/>
                <w:iCs/>
                <w:sz w:val="22"/>
                <w:szCs w:val="22"/>
              </w:rPr>
              <w:t>Almindelig</w:t>
            </w:r>
          </w:p>
        </w:tc>
        <w:tc>
          <w:tcPr>
            <w:tcW w:w="1442" w:type="dxa"/>
            <w:tcBorders>
              <w:top w:val="single" w:sz="4" w:space="0" w:color="auto"/>
              <w:left w:val="single" w:sz="4" w:space="0" w:color="auto"/>
              <w:bottom w:val="single" w:sz="4" w:space="0" w:color="auto"/>
              <w:right w:val="single" w:sz="4" w:space="0" w:color="auto"/>
            </w:tcBorders>
            <w:hideMark/>
          </w:tcPr>
          <w:p w14:paraId="11BC0578" w14:textId="77777777" w:rsidR="00CC41AE" w:rsidRPr="00CC41AE" w:rsidRDefault="00CC41AE">
            <w:pPr>
              <w:rPr>
                <w:b/>
                <w:bCs/>
                <w:iCs/>
                <w:sz w:val="22"/>
                <w:szCs w:val="22"/>
              </w:rPr>
            </w:pPr>
            <w:r w:rsidRPr="00CC41AE">
              <w:rPr>
                <w:b/>
                <w:bCs/>
                <w:iCs/>
                <w:sz w:val="22"/>
                <w:szCs w:val="22"/>
              </w:rPr>
              <w:t>Ikke almindelig</w:t>
            </w:r>
          </w:p>
        </w:tc>
        <w:tc>
          <w:tcPr>
            <w:tcW w:w="1109" w:type="dxa"/>
            <w:tcBorders>
              <w:top w:val="single" w:sz="4" w:space="0" w:color="auto"/>
              <w:left w:val="single" w:sz="4" w:space="0" w:color="auto"/>
              <w:bottom w:val="single" w:sz="4" w:space="0" w:color="auto"/>
              <w:right w:val="single" w:sz="4" w:space="0" w:color="auto"/>
            </w:tcBorders>
            <w:hideMark/>
          </w:tcPr>
          <w:p w14:paraId="752A7E45" w14:textId="77777777" w:rsidR="00CC41AE" w:rsidRPr="00CC41AE" w:rsidRDefault="00CC41AE">
            <w:pPr>
              <w:rPr>
                <w:b/>
                <w:bCs/>
                <w:iCs/>
                <w:sz w:val="22"/>
                <w:szCs w:val="22"/>
              </w:rPr>
            </w:pPr>
            <w:r w:rsidRPr="00CC41AE">
              <w:rPr>
                <w:b/>
                <w:bCs/>
                <w:iCs/>
                <w:sz w:val="22"/>
                <w:szCs w:val="22"/>
              </w:rPr>
              <w:t>Sjælden</w:t>
            </w:r>
          </w:p>
        </w:tc>
        <w:tc>
          <w:tcPr>
            <w:tcW w:w="1701" w:type="dxa"/>
            <w:tcBorders>
              <w:top w:val="single" w:sz="4" w:space="0" w:color="auto"/>
              <w:left w:val="single" w:sz="4" w:space="0" w:color="auto"/>
              <w:bottom w:val="single" w:sz="4" w:space="0" w:color="auto"/>
              <w:right w:val="single" w:sz="4" w:space="0" w:color="auto"/>
            </w:tcBorders>
            <w:hideMark/>
          </w:tcPr>
          <w:p w14:paraId="7A3B0750" w14:textId="77777777" w:rsidR="00CC41AE" w:rsidRPr="00CC41AE" w:rsidRDefault="00CC41AE">
            <w:pPr>
              <w:rPr>
                <w:b/>
                <w:bCs/>
                <w:iCs/>
                <w:sz w:val="22"/>
                <w:szCs w:val="22"/>
              </w:rPr>
            </w:pPr>
            <w:r w:rsidRPr="00CC41AE">
              <w:rPr>
                <w:b/>
                <w:bCs/>
                <w:iCs/>
                <w:sz w:val="22"/>
                <w:szCs w:val="22"/>
              </w:rPr>
              <w:t>Meget sjælden</w:t>
            </w:r>
          </w:p>
        </w:tc>
        <w:tc>
          <w:tcPr>
            <w:tcW w:w="993" w:type="dxa"/>
            <w:tcBorders>
              <w:top w:val="single" w:sz="4" w:space="0" w:color="auto"/>
              <w:left w:val="single" w:sz="4" w:space="0" w:color="auto"/>
              <w:bottom w:val="single" w:sz="4" w:space="0" w:color="auto"/>
              <w:right w:val="single" w:sz="4" w:space="0" w:color="auto"/>
            </w:tcBorders>
            <w:hideMark/>
          </w:tcPr>
          <w:p w14:paraId="459477C8" w14:textId="77777777" w:rsidR="00CC41AE" w:rsidRPr="00CC41AE" w:rsidRDefault="00CC41AE">
            <w:pPr>
              <w:rPr>
                <w:b/>
                <w:bCs/>
                <w:iCs/>
                <w:sz w:val="22"/>
                <w:szCs w:val="22"/>
              </w:rPr>
            </w:pPr>
            <w:r w:rsidRPr="00CC41AE">
              <w:rPr>
                <w:b/>
                <w:bCs/>
                <w:iCs/>
                <w:sz w:val="22"/>
                <w:szCs w:val="22"/>
              </w:rPr>
              <w:t>Ikke kendt</w:t>
            </w:r>
          </w:p>
        </w:tc>
      </w:tr>
      <w:tr w:rsidR="00CC41AE" w:rsidRPr="00CC41AE" w14:paraId="481BEB8C" w14:textId="77777777" w:rsidTr="00CC41AE">
        <w:tc>
          <w:tcPr>
            <w:tcW w:w="1760" w:type="dxa"/>
            <w:tcBorders>
              <w:top w:val="single" w:sz="4" w:space="0" w:color="auto"/>
              <w:left w:val="single" w:sz="4" w:space="0" w:color="auto"/>
              <w:bottom w:val="single" w:sz="4" w:space="0" w:color="auto"/>
              <w:right w:val="single" w:sz="4" w:space="0" w:color="auto"/>
            </w:tcBorders>
            <w:hideMark/>
          </w:tcPr>
          <w:p w14:paraId="5A499E30" w14:textId="77777777" w:rsidR="00CC41AE" w:rsidRPr="00CC41AE" w:rsidRDefault="00CC41AE">
            <w:pPr>
              <w:rPr>
                <w:b/>
                <w:bCs/>
                <w:iCs/>
                <w:sz w:val="22"/>
                <w:szCs w:val="22"/>
              </w:rPr>
            </w:pPr>
            <w:r w:rsidRPr="00CC41AE">
              <w:rPr>
                <w:b/>
                <w:bCs/>
                <w:iCs/>
                <w:sz w:val="22"/>
                <w:szCs w:val="22"/>
              </w:rPr>
              <w:t>Immunsystemet</w:t>
            </w:r>
          </w:p>
        </w:tc>
        <w:tc>
          <w:tcPr>
            <w:tcW w:w="1212" w:type="dxa"/>
            <w:tcBorders>
              <w:top w:val="single" w:sz="4" w:space="0" w:color="auto"/>
              <w:left w:val="single" w:sz="4" w:space="0" w:color="auto"/>
              <w:bottom w:val="single" w:sz="4" w:space="0" w:color="auto"/>
              <w:right w:val="single" w:sz="4" w:space="0" w:color="auto"/>
            </w:tcBorders>
          </w:tcPr>
          <w:p w14:paraId="5546825C" w14:textId="77777777" w:rsidR="00CC41AE" w:rsidRPr="00CC41AE" w:rsidRDefault="00CC41AE">
            <w:pPr>
              <w:rPr>
                <w:i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D03E4FB" w14:textId="77777777" w:rsidR="00CC41AE" w:rsidRPr="00CC41AE" w:rsidRDefault="00CC41AE">
            <w:pPr>
              <w:rPr>
                <w:iCs/>
                <w:sz w:val="22"/>
                <w:szCs w:val="22"/>
              </w:rPr>
            </w:pPr>
          </w:p>
        </w:tc>
        <w:tc>
          <w:tcPr>
            <w:tcW w:w="1442" w:type="dxa"/>
            <w:tcBorders>
              <w:top w:val="single" w:sz="4" w:space="0" w:color="auto"/>
              <w:left w:val="single" w:sz="4" w:space="0" w:color="auto"/>
              <w:bottom w:val="single" w:sz="4" w:space="0" w:color="auto"/>
              <w:right w:val="single" w:sz="4" w:space="0" w:color="auto"/>
            </w:tcBorders>
          </w:tcPr>
          <w:p w14:paraId="697437B0" w14:textId="77777777" w:rsidR="00CC41AE" w:rsidRPr="00CC41AE" w:rsidRDefault="00CC41AE">
            <w:pPr>
              <w:rPr>
                <w:iCs/>
                <w:sz w:val="22"/>
                <w:szCs w:val="22"/>
              </w:rPr>
            </w:pPr>
          </w:p>
        </w:tc>
        <w:tc>
          <w:tcPr>
            <w:tcW w:w="1109" w:type="dxa"/>
            <w:tcBorders>
              <w:top w:val="single" w:sz="4" w:space="0" w:color="auto"/>
              <w:left w:val="single" w:sz="4" w:space="0" w:color="auto"/>
              <w:bottom w:val="single" w:sz="4" w:space="0" w:color="auto"/>
              <w:right w:val="single" w:sz="4" w:space="0" w:color="auto"/>
            </w:tcBorders>
          </w:tcPr>
          <w:p w14:paraId="2A895838" w14:textId="77777777" w:rsidR="00CC41AE" w:rsidRPr="00CC41AE" w:rsidRDefault="00CC41AE">
            <w:pPr>
              <w:rPr>
                <w:iCs/>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720A2ACA" w14:textId="77777777" w:rsidR="00CC41AE" w:rsidRPr="00CC41AE" w:rsidRDefault="00CC41AE">
            <w:pPr>
              <w:rPr>
                <w:iCs/>
                <w:sz w:val="22"/>
                <w:szCs w:val="22"/>
                <w:lang w:val="da-DK"/>
              </w:rPr>
            </w:pPr>
            <w:r w:rsidRPr="00CC41AE">
              <w:rPr>
                <w:sz w:val="22"/>
                <w:szCs w:val="22"/>
                <w:lang w:val="da-DK"/>
              </w:rPr>
              <w:t>Overfølsomhed, herunder anafylaktiske reaktioner, angioødem (ødem i ansigtet eller tungen og hududslæt), bronkospasmer</w:t>
            </w:r>
          </w:p>
        </w:tc>
        <w:tc>
          <w:tcPr>
            <w:tcW w:w="993" w:type="dxa"/>
            <w:tcBorders>
              <w:top w:val="single" w:sz="4" w:space="0" w:color="auto"/>
              <w:left w:val="single" w:sz="4" w:space="0" w:color="auto"/>
              <w:bottom w:val="single" w:sz="4" w:space="0" w:color="auto"/>
              <w:right w:val="single" w:sz="4" w:space="0" w:color="auto"/>
            </w:tcBorders>
          </w:tcPr>
          <w:p w14:paraId="0B188E68" w14:textId="77777777" w:rsidR="00CC41AE" w:rsidRPr="00CC41AE" w:rsidRDefault="00CC41AE">
            <w:pPr>
              <w:rPr>
                <w:iCs/>
                <w:sz w:val="22"/>
                <w:szCs w:val="22"/>
                <w:lang w:val="da-DK"/>
              </w:rPr>
            </w:pPr>
          </w:p>
        </w:tc>
      </w:tr>
      <w:tr w:rsidR="00CC41AE" w:rsidRPr="00CC41AE" w14:paraId="4BCD56AF" w14:textId="77777777" w:rsidTr="00CC41AE">
        <w:tc>
          <w:tcPr>
            <w:tcW w:w="1760" w:type="dxa"/>
            <w:tcBorders>
              <w:top w:val="single" w:sz="4" w:space="0" w:color="auto"/>
              <w:left w:val="single" w:sz="4" w:space="0" w:color="auto"/>
              <w:bottom w:val="single" w:sz="4" w:space="0" w:color="auto"/>
              <w:right w:val="single" w:sz="4" w:space="0" w:color="auto"/>
            </w:tcBorders>
            <w:hideMark/>
          </w:tcPr>
          <w:p w14:paraId="72282370" w14:textId="77777777" w:rsidR="00CC41AE" w:rsidRPr="00CC41AE" w:rsidRDefault="00CC41AE">
            <w:pPr>
              <w:rPr>
                <w:iCs/>
                <w:sz w:val="22"/>
                <w:szCs w:val="22"/>
              </w:rPr>
            </w:pPr>
            <w:r w:rsidRPr="00CC41AE">
              <w:rPr>
                <w:b/>
                <w:iCs/>
                <w:sz w:val="22"/>
                <w:szCs w:val="22"/>
              </w:rPr>
              <w:t>Nervesystemet</w:t>
            </w:r>
          </w:p>
        </w:tc>
        <w:tc>
          <w:tcPr>
            <w:tcW w:w="1212" w:type="dxa"/>
            <w:tcBorders>
              <w:top w:val="single" w:sz="4" w:space="0" w:color="auto"/>
              <w:left w:val="single" w:sz="4" w:space="0" w:color="auto"/>
              <w:bottom w:val="single" w:sz="4" w:space="0" w:color="auto"/>
              <w:right w:val="single" w:sz="4" w:space="0" w:color="auto"/>
            </w:tcBorders>
          </w:tcPr>
          <w:p w14:paraId="08E467C4" w14:textId="77777777" w:rsidR="00CC41AE" w:rsidRPr="00CC41AE" w:rsidRDefault="00CC41AE">
            <w:pPr>
              <w:rPr>
                <w:i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3D6D8938" w14:textId="77777777" w:rsidR="00CC41AE" w:rsidRPr="00CC41AE" w:rsidRDefault="00CC41AE">
            <w:pPr>
              <w:rPr>
                <w:sz w:val="22"/>
                <w:szCs w:val="22"/>
                <w:lang w:val="da-DK"/>
              </w:rPr>
            </w:pPr>
            <w:r w:rsidRPr="00CC41AE">
              <w:rPr>
                <w:sz w:val="22"/>
                <w:szCs w:val="22"/>
                <w:lang w:val="da-DK"/>
              </w:rPr>
              <w:t>Hovedpine, dysgeusi (ubehagelig smag), ubehagelig lugt</w:t>
            </w:r>
          </w:p>
        </w:tc>
        <w:tc>
          <w:tcPr>
            <w:tcW w:w="1442" w:type="dxa"/>
            <w:tcBorders>
              <w:top w:val="single" w:sz="4" w:space="0" w:color="auto"/>
              <w:left w:val="single" w:sz="4" w:space="0" w:color="auto"/>
              <w:bottom w:val="single" w:sz="4" w:space="0" w:color="auto"/>
              <w:right w:val="single" w:sz="4" w:space="0" w:color="auto"/>
            </w:tcBorders>
          </w:tcPr>
          <w:p w14:paraId="2E35F9F8" w14:textId="77777777" w:rsidR="00CC41AE" w:rsidRPr="00CC41AE" w:rsidRDefault="00CC41AE">
            <w:pPr>
              <w:rPr>
                <w:iCs/>
                <w:sz w:val="22"/>
                <w:szCs w:val="22"/>
                <w:lang w:val="da-DK"/>
              </w:rPr>
            </w:pPr>
          </w:p>
        </w:tc>
        <w:tc>
          <w:tcPr>
            <w:tcW w:w="1109" w:type="dxa"/>
            <w:tcBorders>
              <w:top w:val="single" w:sz="4" w:space="0" w:color="auto"/>
              <w:left w:val="single" w:sz="4" w:space="0" w:color="auto"/>
              <w:bottom w:val="single" w:sz="4" w:space="0" w:color="auto"/>
              <w:right w:val="single" w:sz="4" w:space="0" w:color="auto"/>
            </w:tcBorders>
          </w:tcPr>
          <w:p w14:paraId="67C363A7" w14:textId="77777777" w:rsidR="00CC41AE" w:rsidRPr="00CC41AE" w:rsidRDefault="00CC41AE">
            <w:pPr>
              <w:rPr>
                <w:iCs/>
                <w:sz w:val="22"/>
                <w:szCs w:val="22"/>
                <w:lang w:val="da-DK"/>
              </w:rPr>
            </w:pPr>
          </w:p>
        </w:tc>
        <w:tc>
          <w:tcPr>
            <w:tcW w:w="1701" w:type="dxa"/>
            <w:tcBorders>
              <w:top w:val="single" w:sz="4" w:space="0" w:color="auto"/>
              <w:left w:val="single" w:sz="4" w:space="0" w:color="auto"/>
              <w:bottom w:val="single" w:sz="4" w:space="0" w:color="auto"/>
              <w:right w:val="single" w:sz="4" w:space="0" w:color="auto"/>
            </w:tcBorders>
            <w:hideMark/>
          </w:tcPr>
          <w:p w14:paraId="4DD2DF39" w14:textId="77777777" w:rsidR="00CC41AE" w:rsidRPr="00CC41AE" w:rsidRDefault="00CC41AE">
            <w:pPr>
              <w:rPr>
                <w:iCs/>
                <w:sz w:val="22"/>
                <w:szCs w:val="22"/>
              </w:rPr>
            </w:pPr>
            <w:r w:rsidRPr="00CC41AE">
              <w:rPr>
                <w:sz w:val="22"/>
                <w:szCs w:val="22"/>
              </w:rPr>
              <w:t>Svimmelhed, somnolens (sløvhed, søvnighed)</w:t>
            </w:r>
          </w:p>
        </w:tc>
        <w:tc>
          <w:tcPr>
            <w:tcW w:w="993" w:type="dxa"/>
            <w:tcBorders>
              <w:top w:val="single" w:sz="4" w:space="0" w:color="auto"/>
              <w:left w:val="single" w:sz="4" w:space="0" w:color="auto"/>
              <w:bottom w:val="single" w:sz="4" w:space="0" w:color="auto"/>
              <w:right w:val="single" w:sz="4" w:space="0" w:color="auto"/>
            </w:tcBorders>
          </w:tcPr>
          <w:p w14:paraId="2DCA7A94" w14:textId="77777777" w:rsidR="00CC41AE" w:rsidRPr="00CC41AE" w:rsidRDefault="00CC41AE">
            <w:pPr>
              <w:rPr>
                <w:iCs/>
                <w:sz w:val="22"/>
                <w:szCs w:val="22"/>
              </w:rPr>
            </w:pPr>
          </w:p>
        </w:tc>
      </w:tr>
      <w:tr w:rsidR="00CC41AE" w:rsidRPr="00CC41AE" w14:paraId="1386E4CB" w14:textId="77777777" w:rsidTr="00CC41AE">
        <w:tc>
          <w:tcPr>
            <w:tcW w:w="1760" w:type="dxa"/>
            <w:tcBorders>
              <w:top w:val="single" w:sz="4" w:space="0" w:color="auto"/>
              <w:left w:val="single" w:sz="4" w:space="0" w:color="auto"/>
              <w:bottom w:val="single" w:sz="4" w:space="0" w:color="auto"/>
              <w:right w:val="single" w:sz="4" w:space="0" w:color="auto"/>
            </w:tcBorders>
            <w:hideMark/>
          </w:tcPr>
          <w:p w14:paraId="1F834607" w14:textId="77777777" w:rsidR="00CC41AE" w:rsidRPr="00CC41AE" w:rsidRDefault="00CC41AE">
            <w:pPr>
              <w:rPr>
                <w:iCs/>
                <w:sz w:val="22"/>
                <w:szCs w:val="22"/>
              </w:rPr>
            </w:pPr>
            <w:r w:rsidRPr="00CC41AE">
              <w:rPr>
                <w:b/>
                <w:iCs/>
                <w:sz w:val="22"/>
                <w:szCs w:val="22"/>
              </w:rPr>
              <w:t>Øjne*</w:t>
            </w:r>
          </w:p>
        </w:tc>
        <w:tc>
          <w:tcPr>
            <w:tcW w:w="1212" w:type="dxa"/>
            <w:tcBorders>
              <w:top w:val="single" w:sz="4" w:space="0" w:color="auto"/>
              <w:left w:val="single" w:sz="4" w:space="0" w:color="auto"/>
              <w:bottom w:val="single" w:sz="4" w:space="0" w:color="auto"/>
              <w:right w:val="single" w:sz="4" w:space="0" w:color="auto"/>
            </w:tcBorders>
          </w:tcPr>
          <w:p w14:paraId="0A2234D7" w14:textId="77777777" w:rsidR="00CC41AE" w:rsidRPr="00CC41AE" w:rsidRDefault="00CC41AE">
            <w:pPr>
              <w:rPr>
                <w:i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D51DBB8" w14:textId="77777777" w:rsidR="00CC41AE" w:rsidRPr="00CC41AE" w:rsidRDefault="00CC41AE">
            <w:pPr>
              <w:rPr>
                <w:iCs/>
                <w:sz w:val="22"/>
                <w:szCs w:val="22"/>
              </w:rPr>
            </w:pPr>
          </w:p>
        </w:tc>
        <w:tc>
          <w:tcPr>
            <w:tcW w:w="1442" w:type="dxa"/>
            <w:tcBorders>
              <w:top w:val="single" w:sz="4" w:space="0" w:color="auto"/>
              <w:left w:val="single" w:sz="4" w:space="0" w:color="auto"/>
              <w:bottom w:val="single" w:sz="4" w:space="0" w:color="auto"/>
              <w:right w:val="single" w:sz="4" w:space="0" w:color="auto"/>
            </w:tcBorders>
          </w:tcPr>
          <w:p w14:paraId="286703DA" w14:textId="77777777" w:rsidR="00CC41AE" w:rsidRPr="00CC41AE" w:rsidRDefault="00CC41AE">
            <w:pPr>
              <w:rPr>
                <w:iCs/>
                <w:sz w:val="22"/>
                <w:szCs w:val="22"/>
              </w:rPr>
            </w:pPr>
          </w:p>
        </w:tc>
        <w:tc>
          <w:tcPr>
            <w:tcW w:w="1109" w:type="dxa"/>
            <w:tcBorders>
              <w:top w:val="single" w:sz="4" w:space="0" w:color="auto"/>
              <w:left w:val="single" w:sz="4" w:space="0" w:color="auto"/>
              <w:bottom w:val="single" w:sz="4" w:space="0" w:color="auto"/>
              <w:right w:val="single" w:sz="4" w:space="0" w:color="auto"/>
            </w:tcBorders>
          </w:tcPr>
          <w:p w14:paraId="130B8C27" w14:textId="77777777" w:rsidR="00CC41AE" w:rsidRPr="00CC41AE" w:rsidRDefault="00CC41AE">
            <w:pPr>
              <w:rPr>
                <w:iCs/>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3D0C725C" w14:textId="77777777" w:rsidR="00CC41AE" w:rsidRPr="00CC41AE" w:rsidRDefault="00CC41AE">
            <w:pPr>
              <w:rPr>
                <w:iCs/>
                <w:sz w:val="22"/>
                <w:szCs w:val="22"/>
                <w:lang w:val="da-DK"/>
              </w:rPr>
            </w:pPr>
            <w:r w:rsidRPr="00CC41AE">
              <w:rPr>
                <w:sz w:val="22"/>
                <w:szCs w:val="22"/>
                <w:lang w:val="da-DK"/>
              </w:rPr>
              <w:t>Glaukom, øget tryk i øjnene, katarakt</w:t>
            </w:r>
          </w:p>
        </w:tc>
        <w:tc>
          <w:tcPr>
            <w:tcW w:w="993" w:type="dxa"/>
            <w:tcBorders>
              <w:top w:val="single" w:sz="4" w:space="0" w:color="auto"/>
              <w:left w:val="single" w:sz="4" w:space="0" w:color="auto"/>
              <w:bottom w:val="single" w:sz="4" w:space="0" w:color="auto"/>
              <w:right w:val="single" w:sz="4" w:space="0" w:color="auto"/>
            </w:tcBorders>
            <w:hideMark/>
          </w:tcPr>
          <w:p w14:paraId="218C041F" w14:textId="77777777" w:rsidR="00CC41AE" w:rsidRPr="00CC41AE" w:rsidRDefault="00CC41AE">
            <w:pPr>
              <w:rPr>
                <w:iCs/>
                <w:sz w:val="22"/>
                <w:szCs w:val="22"/>
                <w:lang w:val="da-DK"/>
              </w:rPr>
            </w:pPr>
            <w:r w:rsidRPr="00CC41AE">
              <w:rPr>
                <w:sz w:val="22"/>
                <w:szCs w:val="22"/>
                <w:lang w:val="da-DK"/>
              </w:rPr>
              <w:t>Sløret syn (se også pkt. 4.4)</w:t>
            </w:r>
          </w:p>
        </w:tc>
      </w:tr>
      <w:tr w:rsidR="00CC41AE" w:rsidRPr="00CC41AE" w14:paraId="0FC22465" w14:textId="77777777" w:rsidTr="00CC41AE">
        <w:tc>
          <w:tcPr>
            <w:tcW w:w="1760" w:type="dxa"/>
            <w:tcBorders>
              <w:top w:val="single" w:sz="4" w:space="0" w:color="auto"/>
              <w:left w:val="single" w:sz="4" w:space="0" w:color="auto"/>
              <w:bottom w:val="single" w:sz="4" w:space="0" w:color="auto"/>
              <w:right w:val="single" w:sz="4" w:space="0" w:color="auto"/>
            </w:tcBorders>
            <w:hideMark/>
          </w:tcPr>
          <w:p w14:paraId="3903F6D2" w14:textId="77777777" w:rsidR="00CC41AE" w:rsidRPr="00CC41AE" w:rsidRDefault="00CC41AE">
            <w:pPr>
              <w:rPr>
                <w:iCs/>
                <w:sz w:val="22"/>
                <w:szCs w:val="22"/>
              </w:rPr>
            </w:pPr>
            <w:r w:rsidRPr="00CC41AE">
              <w:rPr>
                <w:b/>
                <w:iCs/>
                <w:sz w:val="22"/>
                <w:szCs w:val="22"/>
              </w:rPr>
              <w:t>Luftveje, thorax og mediastinum</w:t>
            </w:r>
          </w:p>
        </w:tc>
        <w:tc>
          <w:tcPr>
            <w:tcW w:w="1212" w:type="dxa"/>
            <w:tcBorders>
              <w:top w:val="single" w:sz="4" w:space="0" w:color="auto"/>
              <w:left w:val="single" w:sz="4" w:space="0" w:color="auto"/>
              <w:bottom w:val="single" w:sz="4" w:space="0" w:color="auto"/>
              <w:right w:val="single" w:sz="4" w:space="0" w:color="auto"/>
            </w:tcBorders>
            <w:hideMark/>
          </w:tcPr>
          <w:p w14:paraId="68209D2B" w14:textId="77777777" w:rsidR="00CC41AE" w:rsidRPr="00CC41AE" w:rsidRDefault="00CC41AE">
            <w:pPr>
              <w:rPr>
                <w:iCs/>
                <w:sz w:val="22"/>
                <w:szCs w:val="22"/>
              </w:rPr>
            </w:pPr>
            <w:r w:rsidRPr="00CC41AE">
              <w:rPr>
                <w:sz w:val="22"/>
                <w:szCs w:val="22"/>
              </w:rPr>
              <w:t>Epistaxis</w:t>
            </w:r>
          </w:p>
        </w:tc>
        <w:tc>
          <w:tcPr>
            <w:tcW w:w="1276" w:type="dxa"/>
            <w:tcBorders>
              <w:top w:val="single" w:sz="4" w:space="0" w:color="auto"/>
              <w:left w:val="single" w:sz="4" w:space="0" w:color="auto"/>
              <w:bottom w:val="single" w:sz="4" w:space="0" w:color="auto"/>
              <w:right w:val="single" w:sz="4" w:space="0" w:color="auto"/>
            </w:tcBorders>
          </w:tcPr>
          <w:p w14:paraId="463A7461" w14:textId="77777777" w:rsidR="00CC41AE" w:rsidRPr="00CC41AE" w:rsidRDefault="00CC41AE">
            <w:pPr>
              <w:rPr>
                <w:iCs/>
                <w:sz w:val="22"/>
                <w:szCs w:val="22"/>
              </w:rPr>
            </w:pPr>
          </w:p>
        </w:tc>
        <w:tc>
          <w:tcPr>
            <w:tcW w:w="1442" w:type="dxa"/>
            <w:tcBorders>
              <w:top w:val="single" w:sz="4" w:space="0" w:color="auto"/>
              <w:left w:val="single" w:sz="4" w:space="0" w:color="auto"/>
              <w:bottom w:val="single" w:sz="4" w:space="0" w:color="auto"/>
              <w:right w:val="single" w:sz="4" w:space="0" w:color="auto"/>
            </w:tcBorders>
            <w:hideMark/>
          </w:tcPr>
          <w:p w14:paraId="4B8F8D72" w14:textId="77777777" w:rsidR="00CC41AE" w:rsidRPr="00CC41AE" w:rsidRDefault="00CC41AE">
            <w:pPr>
              <w:rPr>
                <w:sz w:val="22"/>
                <w:szCs w:val="22"/>
                <w:lang w:val="da-DK"/>
              </w:rPr>
            </w:pPr>
            <w:r w:rsidRPr="00CC41AE">
              <w:rPr>
                <w:sz w:val="22"/>
                <w:szCs w:val="22"/>
                <w:lang w:val="da-DK"/>
              </w:rPr>
              <w:t>Ubehag i næsen (herunder irritation, stikkende fornemmelse og kløe i næsen), nysen, nasal tørhed, hoste, tør hals, irritation i halsen</w:t>
            </w:r>
          </w:p>
        </w:tc>
        <w:tc>
          <w:tcPr>
            <w:tcW w:w="1109" w:type="dxa"/>
            <w:tcBorders>
              <w:top w:val="single" w:sz="4" w:space="0" w:color="auto"/>
              <w:left w:val="single" w:sz="4" w:space="0" w:color="auto"/>
              <w:bottom w:val="single" w:sz="4" w:space="0" w:color="auto"/>
              <w:right w:val="single" w:sz="4" w:space="0" w:color="auto"/>
            </w:tcBorders>
          </w:tcPr>
          <w:p w14:paraId="5D3230F1" w14:textId="77777777" w:rsidR="00CC41AE" w:rsidRPr="00CC41AE" w:rsidRDefault="00CC41AE">
            <w:pPr>
              <w:rPr>
                <w:iCs/>
                <w:sz w:val="22"/>
                <w:szCs w:val="22"/>
                <w:lang w:val="da-DK"/>
              </w:rPr>
            </w:pPr>
          </w:p>
        </w:tc>
        <w:tc>
          <w:tcPr>
            <w:tcW w:w="1701" w:type="dxa"/>
            <w:tcBorders>
              <w:top w:val="single" w:sz="4" w:space="0" w:color="auto"/>
              <w:left w:val="single" w:sz="4" w:space="0" w:color="auto"/>
              <w:bottom w:val="single" w:sz="4" w:space="0" w:color="auto"/>
              <w:right w:val="single" w:sz="4" w:space="0" w:color="auto"/>
            </w:tcBorders>
            <w:hideMark/>
          </w:tcPr>
          <w:p w14:paraId="698C8848" w14:textId="77777777" w:rsidR="00CC41AE" w:rsidRPr="00CC41AE" w:rsidRDefault="00CC41AE">
            <w:pPr>
              <w:rPr>
                <w:iCs/>
                <w:sz w:val="22"/>
                <w:szCs w:val="22"/>
                <w:lang w:val="da-DK"/>
              </w:rPr>
            </w:pPr>
            <w:r w:rsidRPr="00CC41AE">
              <w:rPr>
                <w:iCs/>
                <w:sz w:val="22"/>
                <w:szCs w:val="22"/>
                <w:lang w:val="da-DK"/>
              </w:rPr>
              <w:t>Septal perforation i næsen**, mucosal erosion</w:t>
            </w:r>
          </w:p>
        </w:tc>
        <w:tc>
          <w:tcPr>
            <w:tcW w:w="993" w:type="dxa"/>
            <w:tcBorders>
              <w:top w:val="single" w:sz="4" w:space="0" w:color="auto"/>
              <w:left w:val="single" w:sz="4" w:space="0" w:color="auto"/>
              <w:bottom w:val="single" w:sz="4" w:space="0" w:color="auto"/>
              <w:right w:val="single" w:sz="4" w:space="0" w:color="auto"/>
            </w:tcBorders>
            <w:hideMark/>
          </w:tcPr>
          <w:p w14:paraId="4F55203A" w14:textId="77777777" w:rsidR="00CC41AE" w:rsidRPr="00CC41AE" w:rsidRDefault="00CC41AE">
            <w:pPr>
              <w:rPr>
                <w:iCs/>
                <w:sz w:val="22"/>
                <w:szCs w:val="22"/>
              </w:rPr>
            </w:pPr>
            <w:r w:rsidRPr="00CC41AE">
              <w:rPr>
                <w:sz w:val="22"/>
                <w:szCs w:val="22"/>
              </w:rPr>
              <w:t>Sår i næsen</w:t>
            </w:r>
          </w:p>
        </w:tc>
      </w:tr>
      <w:tr w:rsidR="00CC41AE" w:rsidRPr="00CC41AE" w14:paraId="1E203E1C" w14:textId="77777777" w:rsidTr="00CC41AE">
        <w:tc>
          <w:tcPr>
            <w:tcW w:w="1760" w:type="dxa"/>
            <w:tcBorders>
              <w:top w:val="single" w:sz="4" w:space="0" w:color="auto"/>
              <w:left w:val="single" w:sz="4" w:space="0" w:color="auto"/>
              <w:bottom w:val="single" w:sz="4" w:space="0" w:color="auto"/>
              <w:right w:val="single" w:sz="4" w:space="0" w:color="auto"/>
            </w:tcBorders>
            <w:hideMark/>
          </w:tcPr>
          <w:p w14:paraId="25FAE992" w14:textId="77777777" w:rsidR="00CC41AE" w:rsidRPr="00CC41AE" w:rsidRDefault="00CC41AE">
            <w:pPr>
              <w:rPr>
                <w:iCs/>
                <w:sz w:val="22"/>
                <w:szCs w:val="22"/>
              </w:rPr>
            </w:pPr>
            <w:r w:rsidRPr="00CC41AE">
              <w:rPr>
                <w:b/>
                <w:iCs/>
                <w:sz w:val="22"/>
                <w:szCs w:val="22"/>
              </w:rPr>
              <w:t>Mave-tarm-kanalen</w:t>
            </w:r>
          </w:p>
        </w:tc>
        <w:tc>
          <w:tcPr>
            <w:tcW w:w="1212" w:type="dxa"/>
            <w:tcBorders>
              <w:top w:val="single" w:sz="4" w:space="0" w:color="auto"/>
              <w:left w:val="single" w:sz="4" w:space="0" w:color="auto"/>
              <w:bottom w:val="single" w:sz="4" w:space="0" w:color="auto"/>
              <w:right w:val="single" w:sz="4" w:space="0" w:color="auto"/>
            </w:tcBorders>
          </w:tcPr>
          <w:p w14:paraId="25DF4654" w14:textId="77777777" w:rsidR="00CC41AE" w:rsidRPr="00CC41AE" w:rsidRDefault="00CC41AE">
            <w:pPr>
              <w:rPr>
                <w:i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199D884" w14:textId="77777777" w:rsidR="00CC41AE" w:rsidRPr="00CC41AE" w:rsidRDefault="00CC41AE">
            <w:pPr>
              <w:rPr>
                <w:iCs/>
                <w:sz w:val="22"/>
                <w:szCs w:val="22"/>
              </w:rPr>
            </w:pPr>
          </w:p>
        </w:tc>
        <w:tc>
          <w:tcPr>
            <w:tcW w:w="1442" w:type="dxa"/>
            <w:tcBorders>
              <w:top w:val="single" w:sz="4" w:space="0" w:color="auto"/>
              <w:left w:val="single" w:sz="4" w:space="0" w:color="auto"/>
              <w:bottom w:val="single" w:sz="4" w:space="0" w:color="auto"/>
              <w:right w:val="single" w:sz="4" w:space="0" w:color="auto"/>
            </w:tcBorders>
          </w:tcPr>
          <w:p w14:paraId="0613E4D2" w14:textId="77777777" w:rsidR="00CC41AE" w:rsidRPr="00CC41AE" w:rsidRDefault="00CC41AE">
            <w:pPr>
              <w:rPr>
                <w:iCs/>
                <w:sz w:val="22"/>
                <w:szCs w:val="22"/>
              </w:rPr>
            </w:pPr>
          </w:p>
        </w:tc>
        <w:tc>
          <w:tcPr>
            <w:tcW w:w="1109" w:type="dxa"/>
            <w:tcBorders>
              <w:top w:val="single" w:sz="4" w:space="0" w:color="auto"/>
              <w:left w:val="single" w:sz="4" w:space="0" w:color="auto"/>
              <w:bottom w:val="single" w:sz="4" w:space="0" w:color="auto"/>
              <w:right w:val="single" w:sz="4" w:space="0" w:color="auto"/>
            </w:tcBorders>
            <w:hideMark/>
          </w:tcPr>
          <w:p w14:paraId="443E0DDA" w14:textId="77777777" w:rsidR="00CC41AE" w:rsidRPr="00CC41AE" w:rsidRDefault="00CC41AE">
            <w:pPr>
              <w:rPr>
                <w:iCs/>
                <w:sz w:val="22"/>
                <w:szCs w:val="22"/>
              </w:rPr>
            </w:pPr>
            <w:r w:rsidRPr="00CC41AE">
              <w:rPr>
                <w:sz w:val="22"/>
                <w:szCs w:val="22"/>
              </w:rPr>
              <w:t>Tør mund</w:t>
            </w:r>
          </w:p>
        </w:tc>
        <w:tc>
          <w:tcPr>
            <w:tcW w:w="1701" w:type="dxa"/>
            <w:tcBorders>
              <w:top w:val="single" w:sz="4" w:space="0" w:color="auto"/>
              <w:left w:val="single" w:sz="4" w:space="0" w:color="auto"/>
              <w:bottom w:val="single" w:sz="4" w:space="0" w:color="auto"/>
              <w:right w:val="single" w:sz="4" w:space="0" w:color="auto"/>
            </w:tcBorders>
            <w:hideMark/>
          </w:tcPr>
          <w:p w14:paraId="1BA64710" w14:textId="77777777" w:rsidR="00CC41AE" w:rsidRPr="00CC41AE" w:rsidRDefault="00CC41AE">
            <w:pPr>
              <w:rPr>
                <w:iCs/>
                <w:sz w:val="22"/>
                <w:szCs w:val="22"/>
              </w:rPr>
            </w:pPr>
            <w:r w:rsidRPr="00CC41AE">
              <w:rPr>
                <w:sz w:val="22"/>
                <w:szCs w:val="22"/>
              </w:rPr>
              <w:t>Kvalme</w:t>
            </w:r>
          </w:p>
        </w:tc>
        <w:tc>
          <w:tcPr>
            <w:tcW w:w="993" w:type="dxa"/>
            <w:tcBorders>
              <w:top w:val="single" w:sz="4" w:space="0" w:color="auto"/>
              <w:left w:val="single" w:sz="4" w:space="0" w:color="auto"/>
              <w:bottom w:val="single" w:sz="4" w:space="0" w:color="auto"/>
              <w:right w:val="single" w:sz="4" w:space="0" w:color="auto"/>
            </w:tcBorders>
          </w:tcPr>
          <w:p w14:paraId="5500E363" w14:textId="77777777" w:rsidR="00CC41AE" w:rsidRPr="00CC41AE" w:rsidRDefault="00CC41AE">
            <w:pPr>
              <w:rPr>
                <w:iCs/>
                <w:sz w:val="22"/>
                <w:szCs w:val="22"/>
              </w:rPr>
            </w:pPr>
          </w:p>
        </w:tc>
      </w:tr>
      <w:tr w:rsidR="00CC41AE" w:rsidRPr="00CC41AE" w14:paraId="097A271B" w14:textId="77777777" w:rsidTr="00CC41AE">
        <w:tc>
          <w:tcPr>
            <w:tcW w:w="1760" w:type="dxa"/>
            <w:tcBorders>
              <w:top w:val="single" w:sz="4" w:space="0" w:color="auto"/>
              <w:left w:val="single" w:sz="4" w:space="0" w:color="auto"/>
              <w:bottom w:val="single" w:sz="4" w:space="0" w:color="auto"/>
              <w:right w:val="single" w:sz="4" w:space="0" w:color="auto"/>
            </w:tcBorders>
            <w:hideMark/>
          </w:tcPr>
          <w:p w14:paraId="55FB7649" w14:textId="77777777" w:rsidR="00CC41AE" w:rsidRPr="00CC41AE" w:rsidRDefault="00CC41AE">
            <w:pPr>
              <w:rPr>
                <w:iCs/>
                <w:sz w:val="22"/>
                <w:szCs w:val="22"/>
              </w:rPr>
            </w:pPr>
            <w:r w:rsidRPr="00CC41AE">
              <w:rPr>
                <w:b/>
                <w:iCs/>
                <w:sz w:val="22"/>
                <w:szCs w:val="22"/>
              </w:rPr>
              <w:t>Hud og subkutane væ</w:t>
            </w:r>
            <w:r w:rsidRPr="00CC41AE">
              <w:rPr>
                <w:b/>
                <w:i/>
                <w:sz w:val="22"/>
                <w:szCs w:val="22"/>
              </w:rPr>
              <w:t>v</w:t>
            </w:r>
          </w:p>
        </w:tc>
        <w:tc>
          <w:tcPr>
            <w:tcW w:w="1212" w:type="dxa"/>
            <w:tcBorders>
              <w:top w:val="single" w:sz="4" w:space="0" w:color="auto"/>
              <w:left w:val="single" w:sz="4" w:space="0" w:color="auto"/>
              <w:bottom w:val="single" w:sz="4" w:space="0" w:color="auto"/>
              <w:right w:val="single" w:sz="4" w:space="0" w:color="auto"/>
            </w:tcBorders>
          </w:tcPr>
          <w:p w14:paraId="2AF5BE9D" w14:textId="77777777" w:rsidR="00CC41AE" w:rsidRPr="00CC41AE" w:rsidRDefault="00CC41AE">
            <w:pPr>
              <w:rPr>
                <w:i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09E5CAF" w14:textId="77777777" w:rsidR="00CC41AE" w:rsidRPr="00CC41AE" w:rsidRDefault="00CC41AE">
            <w:pPr>
              <w:rPr>
                <w:iCs/>
                <w:sz w:val="22"/>
                <w:szCs w:val="22"/>
              </w:rPr>
            </w:pPr>
          </w:p>
        </w:tc>
        <w:tc>
          <w:tcPr>
            <w:tcW w:w="1442" w:type="dxa"/>
            <w:tcBorders>
              <w:top w:val="single" w:sz="4" w:space="0" w:color="auto"/>
              <w:left w:val="single" w:sz="4" w:space="0" w:color="auto"/>
              <w:bottom w:val="single" w:sz="4" w:space="0" w:color="auto"/>
              <w:right w:val="single" w:sz="4" w:space="0" w:color="auto"/>
            </w:tcBorders>
          </w:tcPr>
          <w:p w14:paraId="465682A3" w14:textId="77777777" w:rsidR="00CC41AE" w:rsidRPr="00CC41AE" w:rsidRDefault="00CC41AE">
            <w:pPr>
              <w:rPr>
                <w:iCs/>
                <w:sz w:val="22"/>
                <w:szCs w:val="22"/>
              </w:rPr>
            </w:pPr>
          </w:p>
        </w:tc>
        <w:tc>
          <w:tcPr>
            <w:tcW w:w="1109" w:type="dxa"/>
            <w:tcBorders>
              <w:top w:val="single" w:sz="4" w:space="0" w:color="auto"/>
              <w:left w:val="single" w:sz="4" w:space="0" w:color="auto"/>
              <w:bottom w:val="single" w:sz="4" w:space="0" w:color="auto"/>
              <w:right w:val="single" w:sz="4" w:space="0" w:color="auto"/>
            </w:tcBorders>
          </w:tcPr>
          <w:p w14:paraId="7FDE719D" w14:textId="77777777" w:rsidR="00CC41AE" w:rsidRPr="00CC41AE" w:rsidRDefault="00CC41AE">
            <w:pPr>
              <w:rPr>
                <w:iCs/>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13B9A267" w14:textId="77777777" w:rsidR="00CC41AE" w:rsidRPr="00CC41AE" w:rsidRDefault="00CC41AE">
            <w:pPr>
              <w:rPr>
                <w:iCs/>
                <w:sz w:val="22"/>
                <w:szCs w:val="22"/>
              </w:rPr>
            </w:pPr>
            <w:r w:rsidRPr="00CC41AE">
              <w:rPr>
                <w:sz w:val="22"/>
                <w:szCs w:val="22"/>
              </w:rPr>
              <w:t>Udslæt, kløe, urticaria</w:t>
            </w:r>
          </w:p>
        </w:tc>
        <w:tc>
          <w:tcPr>
            <w:tcW w:w="993" w:type="dxa"/>
            <w:tcBorders>
              <w:top w:val="single" w:sz="4" w:space="0" w:color="auto"/>
              <w:left w:val="single" w:sz="4" w:space="0" w:color="auto"/>
              <w:bottom w:val="single" w:sz="4" w:space="0" w:color="auto"/>
              <w:right w:val="single" w:sz="4" w:space="0" w:color="auto"/>
            </w:tcBorders>
          </w:tcPr>
          <w:p w14:paraId="53980163" w14:textId="77777777" w:rsidR="00CC41AE" w:rsidRPr="00CC41AE" w:rsidRDefault="00CC41AE">
            <w:pPr>
              <w:rPr>
                <w:iCs/>
                <w:sz w:val="22"/>
                <w:szCs w:val="22"/>
              </w:rPr>
            </w:pPr>
          </w:p>
        </w:tc>
      </w:tr>
      <w:tr w:rsidR="00CC41AE" w:rsidRPr="00CC41AE" w14:paraId="2B97B505" w14:textId="77777777" w:rsidTr="00CC41AE">
        <w:tc>
          <w:tcPr>
            <w:tcW w:w="1760" w:type="dxa"/>
            <w:tcBorders>
              <w:top w:val="single" w:sz="4" w:space="0" w:color="auto"/>
              <w:left w:val="single" w:sz="4" w:space="0" w:color="auto"/>
              <w:bottom w:val="single" w:sz="4" w:space="0" w:color="auto"/>
              <w:right w:val="single" w:sz="4" w:space="0" w:color="auto"/>
            </w:tcBorders>
            <w:hideMark/>
          </w:tcPr>
          <w:p w14:paraId="2E3AFF1E" w14:textId="77777777" w:rsidR="00CC41AE" w:rsidRPr="00CC41AE" w:rsidRDefault="00CC41AE">
            <w:pPr>
              <w:rPr>
                <w:iCs/>
                <w:sz w:val="22"/>
                <w:szCs w:val="22"/>
                <w:lang w:val="da-DK"/>
              </w:rPr>
            </w:pPr>
            <w:r w:rsidRPr="00CC41AE">
              <w:rPr>
                <w:b/>
                <w:iCs/>
                <w:sz w:val="22"/>
                <w:szCs w:val="22"/>
                <w:lang w:val="da-DK"/>
              </w:rPr>
              <w:lastRenderedPageBreak/>
              <w:t>Almene symptomer og reaktioner på administrationsstedet</w:t>
            </w:r>
          </w:p>
        </w:tc>
        <w:tc>
          <w:tcPr>
            <w:tcW w:w="1212" w:type="dxa"/>
            <w:tcBorders>
              <w:top w:val="single" w:sz="4" w:space="0" w:color="auto"/>
              <w:left w:val="single" w:sz="4" w:space="0" w:color="auto"/>
              <w:bottom w:val="single" w:sz="4" w:space="0" w:color="auto"/>
              <w:right w:val="single" w:sz="4" w:space="0" w:color="auto"/>
            </w:tcBorders>
          </w:tcPr>
          <w:p w14:paraId="2859E03E" w14:textId="77777777" w:rsidR="00CC41AE" w:rsidRPr="00CC41AE" w:rsidRDefault="00CC41AE">
            <w:pPr>
              <w:rPr>
                <w:iCs/>
                <w:sz w:val="22"/>
                <w:szCs w:val="22"/>
                <w:lang w:val="da-DK"/>
              </w:rPr>
            </w:pPr>
          </w:p>
        </w:tc>
        <w:tc>
          <w:tcPr>
            <w:tcW w:w="1276" w:type="dxa"/>
            <w:tcBorders>
              <w:top w:val="single" w:sz="4" w:space="0" w:color="auto"/>
              <w:left w:val="single" w:sz="4" w:space="0" w:color="auto"/>
              <w:bottom w:val="single" w:sz="4" w:space="0" w:color="auto"/>
              <w:right w:val="single" w:sz="4" w:space="0" w:color="auto"/>
            </w:tcBorders>
          </w:tcPr>
          <w:p w14:paraId="1AFC62CC" w14:textId="77777777" w:rsidR="00CC41AE" w:rsidRPr="00CC41AE" w:rsidRDefault="00CC41AE">
            <w:pPr>
              <w:rPr>
                <w:iCs/>
                <w:sz w:val="22"/>
                <w:szCs w:val="22"/>
                <w:lang w:val="da-DK"/>
              </w:rPr>
            </w:pPr>
          </w:p>
        </w:tc>
        <w:tc>
          <w:tcPr>
            <w:tcW w:w="1442" w:type="dxa"/>
            <w:tcBorders>
              <w:top w:val="single" w:sz="4" w:space="0" w:color="auto"/>
              <w:left w:val="single" w:sz="4" w:space="0" w:color="auto"/>
              <w:bottom w:val="single" w:sz="4" w:space="0" w:color="auto"/>
              <w:right w:val="single" w:sz="4" w:space="0" w:color="auto"/>
            </w:tcBorders>
          </w:tcPr>
          <w:p w14:paraId="5F66EF65" w14:textId="77777777" w:rsidR="00CC41AE" w:rsidRPr="00CC41AE" w:rsidRDefault="00CC41AE">
            <w:pPr>
              <w:rPr>
                <w:iCs/>
                <w:sz w:val="22"/>
                <w:szCs w:val="22"/>
                <w:lang w:val="da-DK"/>
              </w:rPr>
            </w:pPr>
          </w:p>
        </w:tc>
        <w:tc>
          <w:tcPr>
            <w:tcW w:w="1109" w:type="dxa"/>
            <w:tcBorders>
              <w:top w:val="single" w:sz="4" w:space="0" w:color="auto"/>
              <w:left w:val="single" w:sz="4" w:space="0" w:color="auto"/>
              <w:bottom w:val="single" w:sz="4" w:space="0" w:color="auto"/>
              <w:right w:val="single" w:sz="4" w:space="0" w:color="auto"/>
            </w:tcBorders>
          </w:tcPr>
          <w:p w14:paraId="0AFAD3E1" w14:textId="77777777" w:rsidR="00CC41AE" w:rsidRPr="00CC41AE" w:rsidRDefault="00CC41AE">
            <w:pPr>
              <w:rPr>
                <w:iCs/>
                <w:sz w:val="22"/>
                <w:szCs w:val="22"/>
                <w:lang w:val="da-DK"/>
              </w:rPr>
            </w:pPr>
          </w:p>
        </w:tc>
        <w:tc>
          <w:tcPr>
            <w:tcW w:w="1701" w:type="dxa"/>
            <w:tcBorders>
              <w:top w:val="single" w:sz="4" w:space="0" w:color="auto"/>
              <w:left w:val="single" w:sz="4" w:space="0" w:color="auto"/>
              <w:bottom w:val="single" w:sz="4" w:space="0" w:color="auto"/>
              <w:right w:val="single" w:sz="4" w:space="0" w:color="auto"/>
            </w:tcBorders>
            <w:hideMark/>
          </w:tcPr>
          <w:p w14:paraId="539F1E94" w14:textId="77777777" w:rsidR="00CC41AE" w:rsidRPr="00CC41AE" w:rsidRDefault="00CC41AE">
            <w:pPr>
              <w:rPr>
                <w:iCs/>
                <w:sz w:val="22"/>
                <w:szCs w:val="22"/>
                <w:lang w:val="da-DK"/>
              </w:rPr>
            </w:pPr>
            <w:r w:rsidRPr="00CC41AE">
              <w:rPr>
                <w:sz w:val="22"/>
                <w:szCs w:val="22"/>
                <w:lang w:val="da-DK"/>
              </w:rPr>
              <w:t>Træthed (energiløshed, udmattelse), svaghed (se pkt. 4.7)</w:t>
            </w:r>
          </w:p>
        </w:tc>
        <w:tc>
          <w:tcPr>
            <w:tcW w:w="993" w:type="dxa"/>
            <w:tcBorders>
              <w:top w:val="single" w:sz="4" w:space="0" w:color="auto"/>
              <w:left w:val="single" w:sz="4" w:space="0" w:color="auto"/>
              <w:bottom w:val="single" w:sz="4" w:space="0" w:color="auto"/>
              <w:right w:val="single" w:sz="4" w:space="0" w:color="auto"/>
            </w:tcBorders>
          </w:tcPr>
          <w:p w14:paraId="1A64E451" w14:textId="77777777" w:rsidR="00CC41AE" w:rsidRPr="00CC41AE" w:rsidRDefault="00CC41AE">
            <w:pPr>
              <w:rPr>
                <w:iCs/>
                <w:sz w:val="22"/>
                <w:szCs w:val="22"/>
                <w:lang w:val="da-DK"/>
              </w:rPr>
            </w:pPr>
          </w:p>
        </w:tc>
      </w:tr>
    </w:tbl>
    <w:p w14:paraId="76084021" w14:textId="77777777" w:rsidR="00CC41AE" w:rsidRDefault="00CC41AE" w:rsidP="00CC41AE">
      <w:pPr>
        <w:ind w:left="426" w:hanging="426"/>
        <w:rPr>
          <w:sz w:val="20"/>
        </w:rPr>
      </w:pPr>
      <w:r>
        <w:rPr>
          <w:sz w:val="20"/>
        </w:rPr>
        <w:t>*</w:t>
      </w:r>
      <w:r>
        <w:rPr>
          <w:sz w:val="20"/>
        </w:rPr>
        <w:tab/>
        <w:t>Et meget lille antal spontane indberetninger er blevet identificeret efter langvarig behandling med intranasalt fluticasonpropionat.</w:t>
      </w:r>
    </w:p>
    <w:p w14:paraId="35911E7C" w14:textId="77777777" w:rsidR="00CC41AE" w:rsidRDefault="00CC41AE" w:rsidP="00CC41AE">
      <w:pPr>
        <w:ind w:left="426" w:hanging="426"/>
        <w:rPr>
          <w:sz w:val="20"/>
        </w:rPr>
      </w:pPr>
      <w:r>
        <w:rPr>
          <w:sz w:val="20"/>
        </w:rPr>
        <w:t>**</w:t>
      </w:r>
      <w:r>
        <w:rPr>
          <w:sz w:val="20"/>
        </w:rPr>
        <w:tab/>
        <w:t>Septal perforation i næsen er blevet indberettet efter brug af intranasale kortikosteroider.</w:t>
      </w:r>
    </w:p>
    <w:p w14:paraId="1B4B557D" w14:textId="77777777" w:rsidR="00CC41AE" w:rsidRPr="00CC41AE" w:rsidRDefault="00CC41AE" w:rsidP="00CC41AE">
      <w:pPr>
        <w:ind w:left="851"/>
        <w:rPr>
          <w:sz w:val="24"/>
          <w:szCs w:val="24"/>
        </w:rPr>
      </w:pPr>
    </w:p>
    <w:p w14:paraId="341B591A" w14:textId="77777777" w:rsidR="00CC41AE" w:rsidRPr="00CC41AE" w:rsidRDefault="00CC41AE" w:rsidP="00CC41AE">
      <w:pPr>
        <w:autoSpaceDE w:val="0"/>
        <w:autoSpaceDN w:val="0"/>
        <w:adjustRightInd w:val="0"/>
        <w:ind w:left="851"/>
        <w:rPr>
          <w:sz w:val="24"/>
          <w:szCs w:val="24"/>
        </w:rPr>
      </w:pPr>
      <w:r w:rsidRPr="00CC41AE">
        <w:rPr>
          <w:sz w:val="24"/>
          <w:szCs w:val="24"/>
        </w:rPr>
        <w:t>Systemiske bivirkninger kan forekomme efter brug af visse nasale kortikosteroider, især når de gives i høje doser i længere perioder (se pkt. 4.4).</w:t>
      </w:r>
    </w:p>
    <w:p w14:paraId="1836193B" w14:textId="77777777" w:rsidR="00CC41AE" w:rsidRPr="00CC41AE" w:rsidRDefault="00CC41AE" w:rsidP="00CC41AE">
      <w:pPr>
        <w:autoSpaceDE w:val="0"/>
        <w:autoSpaceDN w:val="0"/>
        <w:adjustRightInd w:val="0"/>
        <w:ind w:left="851"/>
        <w:rPr>
          <w:sz w:val="24"/>
          <w:szCs w:val="24"/>
        </w:rPr>
      </w:pPr>
    </w:p>
    <w:p w14:paraId="6E72BDA7" w14:textId="77777777" w:rsidR="00CC41AE" w:rsidRPr="00CC41AE" w:rsidRDefault="00CC41AE" w:rsidP="00CC41AE">
      <w:pPr>
        <w:autoSpaceDE w:val="0"/>
        <w:autoSpaceDN w:val="0"/>
        <w:adjustRightInd w:val="0"/>
        <w:ind w:left="851"/>
        <w:rPr>
          <w:sz w:val="24"/>
          <w:szCs w:val="24"/>
        </w:rPr>
      </w:pPr>
      <w:r w:rsidRPr="00CC41AE">
        <w:rPr>
          <w:sz w:val="24"/>
          <w:szCs w:val="24"/>
        </w:rPr>
        <w:t>Væksthæmning er blevet indberettet hos børn behandlet med nasale kortikosteroider. Væksthæmning kan også optræde hos unge (se pkt. 4.4).</w:t>
      </w:r>
    </w:p>
    <w:p w14:paraId="42E2ABF9" w14:textId="77777777" w:rsidR="00CC41AE" w:rsidRPr="00CC41AE" w:rsidRDefault="00CC41AE" w:rsidP="00CC41AE">
      <w:pPr>
        <w:autoSpaceDE w:val="0"/>
        <w:autoSpaceDN w:val="0"/>
        <w:adjustRightInd w:val="0"/>
        <w:ind w:left="851"/>
        <w:rPr>
          <w:sz w:val="24"/>
          <w:szCs w:val="24"/>
        </w:rPr>
      </w:pPr>
    </w:p>
    <w:p w14:paraId="0CEC567D" w14:textId="77777777" w:rsidR="00CC41AE" w:rsidRPr="00CC41AE" w:rsidRDefault="00CC41AE" w:rsidP="00CC41AE">
      <w:pPr>
        <w:autoSpaceDE w:val="0"/>
        <w:autoSpaceDN w:val="0"/>
        <w:adjustRightInd w:val="0"/>
        <w:ind w:left="851"/>
        <w:rPr>
          <w:sz w:val="24"/>
          <w:szCs w:val="24"/>
        </w:rPr>
      </w:pPr>
      <w:r w:rsidRPr="00CC41AE">
        <w:rPr>
          <w:sz w:val="24"/>
          <w:szCs w:val="24"/>
        </w:rPr>
        <w:t>Osteoporose er set i sjældne tilfælde, når nasale glukokortikoider er blevet administreret i længere tid.</w:t>
      </w:r>
    </w:p>
    <w:p w14:paraId="61BEA385" w14:textId="77777777" w:rsidR="00CC41AE" w:rsidRPr="00CC41AE" w:rsidRDefault="00CC41AE" w:rsidP="00CC41AE">
      <w:pPr>
        <w:ind w:left="851"/>
        <w:rPr>
          <w:i/>
          <w:sz w:val="24"/>
          <w:szCs w:val="24"/>
        </w:rPr>
      </w:pPr>
    </w:p>
    <w:p w14:paraId="6994024D" w14:textId="77777777" w:rsidR="00CC41AE" w:rsidRPr="00CC41AE" w:rsidRDefault="00CC41AE" w:rsidP="00CC41AE">
      <w:pPr>
        <w:keepNext/>
        <w:autoSpaceDE w:val="0"/>
        <w:autoSpaceDN w:val="0"/>
        <w:adjustRightInd w:val="0"/>
        <w:ind w:left="851"/>
        <w:rPr>
          <w:sz w:val="24"/>
          <w:szCs w:val="24"/>
          <w:u w:val="single"/>
        </w:rPr>
      </w:pPr>
      <w:r w:rsidRPr="00CC41AE">
        <w:rPr>
          <w:sz w:val="24"/>
          <w:szCs w:val="24"/>
          <w:u w:val="single"/>
        </w:rPr>
        <w:t>Indberetning af formodede bivirkninger</w:t>
      </w:r>
    </w:p>
    <w:p w14:paraId="6E292DC5" w14:textId="2B4D8043" w:rsidR="00CC41AE" w:rsidRPr="00CC41AE" w:rsidRDefault="00CC41AE" w:rsidP="00CC41AE">
      <w:pPr>
        <w:autoSpaceDE w:val="0"/>
        <w:autoSpaceDN w:val="0"/>
        <w:adjustRightInd w:val="0"/>
        <w:ind w:left="851"/>
        <w:rPr>
          <w:sz w:val="24"/>
          <w:szCs w:val="24"/>
        </w:rPr>
      </w:pPr>
      <w:r w:rsidRPr="00CC41AE">
        <w:rPr>
          <w:sz w:val="24"/>
          <w:szCs w:val="24"/>
        </w:rPr>
        <w:t>Når lægemidlet er godkendt, er indberetning af formodede bivirkninger vigtig. Det muliggør løbende overvågning af benefit/risk-forholdet for lægemidlet. Sundhedspersoner anmodes om at indberette alle formodede bivirkninger via</w:t>
      </w:r>
      <w:r>
        <w:rPr>
          <w:sz w:val="24"/>
          <w:szCs w:val="24"/>
        </w:rPr>
        <w:t>:</w:t>
      </w:r>
    </w:p>
    <w:p w14:paraId="3CCDCAB0" w14:textId="77777777" w:rsidR="00CC41AE" w:rsidRPr="00CC41AE" w:rsidRDefault="00CC41AE" w:rsidP="00CC41AE">
      <w:pPr>
        <w:autoSpaceDE w:val="0"/>
        <w:autoSpaceDN w:val="0"/>
        <w:adjustRightInd w:val="0"/>
        <w:ind w:left="851"/>
        <w:rPr>
          <w:sz w:val="24"/>
          <w:szCs w:val="24"/>
        </w:rPr>
      </w:pPr>
    </w:p>
    <w:p w14:paraId="3DE59FF9" w14:textId="77777777" w:rsidR="00CC41AE" w:rsidRPr="00CC41AE" w:rsidRDefault="00CC41AE" w:rsidP="00CC41AE">
      <w:pPr>
        <w:autoSpaceDE w:val="0"/>
        <w:autoSpaceDN w:val="0"/>
        <w:adjustRightInd w:val="0"/>
        <w:ind w:left="851"/>
        <w:rPr>
          <w:sz w:val="24"/>
          <w:szCs w:val="24"/>
        </w:rPr>
      </w:pPr>
      <w:r w:rsidRPr="00CC41AE">
        <w:rPr>
          <w:sz w:val="24"/>
          <w:szCs w:val="24"/>
        </w:rPr>
        <w:t>Lægemiddelstyrelsen</w:t>
      </w:r>
    </w:p>
    <w:p w14:paraId="2D36EBB9" w14:textId="77777777" w:rsidR="00CC41AE" w:rsidRPr="00CC41AE" w:rsidRDefault="00CC41AE" w:rsidP="00CC41AE">
      <w:pPr>
        <w:autoSpaceDE w:val="0"/>
        <w:autoSpaceDN w:val="0"/>
        <w:adjustRightInd w:val="0"/>
        <w:ind w:left="851"/>
        <w:rPr>
          <w:sz w:val="24"/>
          <w:szCs w:val="24"/>
        </w:rPr>
      </w:pPr>
      <w:r w:rsidRPr="00CC41AE">
        <w:rPr>
          <w:sz w:val="24"/>
          <w:szCs w:val="24"/>
        </w:rPr>
        <w:t>Axel Heides Gade 1</w:t>
      </w:r>
    </w:p>
    <w:p w14:paraId="2EFDF100" w14:textId="77777777" w:rsidR="00CC41AE" w:rsidRPr="00CC41AE" w:rsidRDefault="00CC41AE" w:rsidP="00CC41AE">
      <w:pPr>
        <w:autoSpaceDE w:val="0"/>
        <w:autoSpaceDN w:val="0"/>
        <w:adjustRightInd w:val="0"/>
        <w:ind w:left="851"/>
        <w:rPr>
          <w:sz w:val="24"/>
          <w:szCs w:val="24"/>
        </w:rPr>
      </w:pPr>
      <w:r w:rsidRPr="00CC41AE">
        <w:rPr>
          <w:sz w:val="24"/>
          <w:szCs w:val="24"/>
        </w:rPr>
        <w:t>DK-2300 København S</w:t>
      </w:r>
    </w:p>
    <w:p w14:paraId="5F1349D7" w14:textId="0AD900F6" w:rsidR="00CC41AE" w:rsidRPr="00CC41AE" w:rsidRDefault="00CC41AE" w:rsidP="00CC41AE">
      <w:pPr>
        <w:autoSpaceDE w:val="0"/>
        <w:autoSpaceDN w:val="0"/>
        <w:adjustRightInd w:val="0"/>
        <w:ind w:left="851"/>
        <w:rPr>
          <w:sz w:val="24"/>
          <w:szCs w:val="24"/>
        </w:rPr>
      </w:pPr>
      <w:r w:rsidRPr="00CC41AE">
        <w:rPr>
          <w:sz w:val="24"/>
          <w:szCs w:val="24"/>
        </w:rPr>
        <w:t>Websted: www.meldenbivirkning.dk</w:t>
      </w:r>
    </w:p>
    <w:p w14:paraId="4EB9C4EC" w14:textId="77777777" w:rsidR="009260DE" w:rsidRPr="00CC41AE" w:rsidRDefault="009260DE" w:rsidP="00CC41AE">
      <w:pPr>
        <w:tabs>
          <w:tab w:val="left" w:pos="851"/>
        </w:tabs>
        <w:ind w:left="851"/>
        <w:rPr>
          <w:sz w:val="24"/>
          <w:szCs w:val="24"/>
        </w:rPr>
      </w:pPr>
    </w:p>
    <w:p w14:paraId="47C46A73"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98C2C69" w14:textId="77777777" w:rsidR="002E6061" w:rsidRPr="002E6061" w:rsidRDefault="002E6061" w:rsidP="002E6061">
      <w:pPr>
        <w:tabs>
          <w:tab w:val="left" w:pos="851"/>
        </w:tabs>
        <w:ind w:left="851"/>
        <w:rPr>
          <w:sz w:val="24"/>
          <w:szCs w:val="24"/>
        </w:rPr>
      </w:pPr>
      <w:r w:rsidRPr="002E6061">
        <w:rPr>
          <w:sz w:val="24"/>
          <w:szCs w:val="24"/>
        </w:rPr>
        <w:t>Der forventes ingen overdoseringsreaktioner med intranasal administration.</w:t>
      </w:r>
    </w:p>
    <w:p w14:paraId="2190A23F" w14:textId="77777777" w:rsidR="002E6061" w:rsidRPr="002E6061" w:rsidRDefault="002E6061" w:rsidP="002E6061">
      <w:pPr>
        <w:tabs>
          <w:tab w:val="left" w:pos="851"/>
        </w:tabs>
        <w:ind w:left="851"/>
        <w:rPr>
          <w:sz w:val="24"/>
          <w:szCs w:val="24"/>
        </w:rPr>
      </w:pPr>
    </w:p>
    <w:p w14:paraId="44AD0628" w14:textId="77777777" w:rsidR="002E6061" w:rsidRPr="002E6061" w:rsidRDefault="002E6061" w:rsidP="002E6061">
      <w:pPr>
        <w:tabs>
          <w:tab w:val="left" w:pos="851"/>
        </w:tabs>
        <w:ind w:left="851"/>
        <w:rPr>
          <w:sz w:val="24"/>
          <w:szCs w:val="24"/>
        </w:rPr>
      </w:pPr>
      <w:r w:rsidRPr="002E6061">
        <w:rPr>
          <w:sz w:val="24"/>
          <w:szCs w:val="24"/>
        </w:rPr>
        <w:t>Der er ingen tilgængelige data fra patienter vedrørende virkningen af akut eller kronisk overdosering med intranasalt fluticasonpropionat.</w:t>
      </w:r>
    </w:p>
    <w:p w14:paraId="3CD1FA02" w14:textId="77777777" w:rsidR="002E6061" w:rsidRPr="002E6061" w:rsidRDefault="002E6061" w:rsidP="002E6061">
      <w:pPr>
        <w:tabs>
          <w:tab w:val="left" w:pos="851"/>
        </w:tabs>
        <w:ind w:left="851"/>
        <w:rPr>
          <w:sz w:val="24"/>
          <w:szCs w:val="24"/>
        </w:rPr>
      </w:pPr>
    </w:p>
    <w:p w14:paraId="5E70F185" w14:textId="77777777" w:rsidR="002E6061" w:rsidRPr="002E6061" w:rsidRDefault="002E6061" w:rsidP="002E6061">
      <w:pPr>
        <w:tabs>
          <w:tab w:val="left" w:pos="851"/>
        </w:tabs>
        <w:ind w:left="851"/>
        <w:rPr>
          <w:sz w:val="24"/>
          <w:szCs w:val="24"/>
        </w:rPr>
      </w:pPr>
      <w:r w:rsidRPr="002E6061">
        <w:rPr>
          <w:sz w:val="24"/>
          <w:szCs w:val="24"/>
        </w:rPr>
        <w:t>Intranasal administration af 2 mg fluticasonpropionat (10 gange den anbefalede daglige dosis) to gange dagligt i syv dage hos raske frivillige personer har ingen effekt på hypotalamus-hypofyse-binyre (HPA)-akse-funktionen.</w:t>
      </w:r>
    </w:p>
    <w:p w14:paraId="2DEE7081" w14:textId="77777777" w:rsidR="002E6061" w:rsidRPr="002E6061" w:rsidRDefault="002E6061" w:rsidP="002E6061">
      <w:pPr>
        <w:tabs>
          <w:tab w:val="left" w:pos="851"/>
        </w:tabs>
        <w:ind w:left="851"/>
        <w:rPr>
          <w:sz w:val="24"/>
          <w:szCs w:val="24"/>
        </w:rPr>
      </w:pPr>
    </w:p>
    <w:p w14:paraId="2F5EE200" w14:textId="77777777" w:rsidR="002E6061" w:rsidRPr="002E6061" w:rsidRDefault="002E6061" w:rsidP="002E6061">
      <w:pPr>
        <w:tabs>
          <w:tab w:val="left" w:pos="851"/>
        </w:tabs>
        <w:ind w:left="851"/>
        <w:rPr>
          <w:sz w:val="24"/>
          <w:szCs w:val="24"/>
        </w:rPr>
      </w:pPr>
      <w:r w:rsidRPr="002E6061">
        <w:rPr>
          <w:sz w:val="24"/>
          <w:szCs w:val="24"/>
        </w:rPr>
        <w:t>Administration af højere doser end anbefalet over en længere periode kan medføre midlertidig suppression af binyrebarkfunktionen.</w:t>
      </w:r>
    </w:p>
    <w:p w14:paraId="6610EB5F" w14:textId="77777777" w:rsidR="002E6061" w:rsidRPr="002E6061" w:rsidRDefault="002E6061" w:rsidP="002E6061">
      <w:pPr>
        <w:tabs>
          <w:tab w:val="left" w:pos="851"/>
        </w:tabs>
        <w:ind w:left="851"/>
        <w:rPr>
          <w:sz w:val="24"/>
          <w:szCs w:val="24"/>
        </w:rPr>
      </w:pPr>
      <w:r w:rsidRPr="002E6061">
        <w:rPr>
          <w:sz w:val="24"/>
          <w:szCs w:val="24"/>
        </w:rPr>
        <w:t>Hos disse patienter skal behandling med Azelastine hydrochloride/Fluticasone "Newbury" næsespray fortsætte på en tilstrækkelig dosis til at kontrollere symptomerne. Binyrebarkfunktionen vil genoprettes i løbet af få dage og kan verificeres ved at måle cortisol i plasma.</w:t>
      </w:r>
    </w:p>
    <w:p w14:paraId="32227F64" w14:textId="77777777" w:rsidR="002E6061" w:rsidRPr="002E6061" w:rsidRDefault="002E6061" w:rsidP="002E6061">
      <w:pPr>
        <w:tabs>
          <w:tab w:val="left" w:pos="851"/>
        </w:tabs>
        <w:ind w:left="851"/>
        <w:rPr>
          <w:sz w:val="24"/>
          <w:szCs w:val="24"/>
        </w:rPr>
      </w:pPr>
    </w:p>
    <w:p w14:paraId="707DFE09" w14:textId="77777777" w:rsidR="002E6061" w:rsidRPr="002E6061" w:rsidRDefault="002E6061" w:rsidP="002E6061">
      <w:pPr>
        <w:tabs>
          <w:tab w:val="left" w:pos="851"/>
        </w:tabs>
        <w:ind w:left="851"/>
        <w:rPr>
          <w:sz w:val="24"/>
          <w:szCs w:val="24"/>
        </w:rPr>
      </w:pPr>
      <w:r w:rsidRPr="002E6061">
        <w:rPr>
          <w:sz w:val="24"/>
          <w:szCs w:val="24"/>
        </w:rPr>
        <w:t>I tilfælde af overdosering efter utilsigtet oral indtagelse må forstyrrelser i centralnervesystemet (herunder døsighed, konfusion, koma, takykardi og hypotension) forårsaget af azelastinhydrochlorid forventes baseret på resultaterne i dyrestudier.</w:t>
      </w:r>
    </w:p>
    <w:p w14:paraId="2C878FE3" w14:textId="77777777" w:rsidR="002E6061" w:rsidRPr="002E6061" w:rsidRDefault="002E6061" w:rsidP="002E6061">
      <w:pPr>
        <w:tabs>
          <w:tab w:val="left" w:pos="851"/>
        </w:tabs>
        <w:ind w:left="851"/>
        <w:rPr>
          <w:sz w:val="24"/>
          <w:szCs w:val="24"/>
        </w:rPr>
      </w:pPr>
    </w:p>
    <w:p w14:paraId="67A7D19A" w14:textId="77777777" w:rsidR="002E6061" w:rsidRPr="002E6061" w:rsidRDefault="002E6061" w:rsidP="002E6061">
      <w:pPr>
        <w:tabs>
          <w:tab w:val="left" w:pos="851"/>
        </w:tabs>
        <w:ind w:left="851"/>
        <w:rPr>
          <w:sz w:val="24"/>
          <w:szCs w:val="24"/>
        </w:rPr>
      </w:pPr>
      <w:r w:rsidRPr="002E6061">
        <w:rPr>
          <w:sz w:val="24"/>
          <w:szCs w:val="24"/>
        </w:rPr>
        <w:t>Behandling af disse lidelser skal være symptomatisk. Afhængigt af den indtagne mængde anbefales ventrikelskylning. Der er ingen kendt antidot.</w:t>
      </w:r>
    </w:p>
    <w:p w14:paraId="5E0555EE" w14:textId="77777777" w:rsidR="009260DE" w:rsidRPr="00C84483" w:rsidRDefault="009260DE" w:rsidP="009260DE">
      <w:pPr>
        <w:tabs>
          <w:tab w:val="left" w:pos="851"/>
        </w:tabs>
        <w:ind w:left="851"/>
        <w:rPr>
          <w:sz w:val="24"/>
          <w:szCs w:val="24"/>
        </w:rPr>
      </w:pPr>
    </w:p>
    <w:p w14:paraId="0DBE7A6F" w14:textId="77777777" w:rsidR="009260DE" w:rsidRPr="00C84483" w:rsidRDefault="009260DE" w:rsidP="009260DE">
      <w:pPr>
        <w:tabs>
          <w:tab w:val="left" w:pos="851"/>
        </w:tabs>
        <w:ind w:left="851" w:hanging="851"/>
        <w:rPr>
          <w:b/>
          <w:sz w:val="24"/>
          <w:szCs w:val="24"/>
        </w:rPr>
      </w:pPr>
      <w:r w:rsidRPr="00C84483">
        <w:rPr>
          <w:b/>
          <w:sz w:val="24"/>
          <w:szCs w:val="24"/>
        </w:rPr>
        <w:lastRenderedPageBreak/>
        <w:t>4.10</w:t>
      </w:r>
      <w:r w:rsidRPr="00C84483">
        <w:rPr>
          <w:b/>
          <w:sz w:val="24"/>
          <w:szCs w:val="24"/>
        </w:rPr>
        <w:tab/>
        <w:t>Udlevering</w:t>
      </w:r>
    </w:p>
    <w:p w14:paraId="5F6BA82C" w14:textId="460617B2" w:rsidR="009260DE" w:rsidRPr="00C84483" w:rsidRDefault="002E6061" w:rsidP="009260DE">
      <w:pPr>
        <w:tabs>
          <w:tab w:val="left" w:pos="851"/>
        </w:tabs>
        <w:ind w:left="851"/>
        <w:rPr>
          <w:sz w:val="24"/>
          <w:szCs w:val="24"/>
        </w:rPr>
      </w:pPr>
      <w:r>
        <w:rPr>
          <w:sz w:val="24"/>
          <w:szCs w:val="24"/>
        </w:rPr>
        <w:t>B</w:t>
      </w:r>
    </w:p>
    <w:p w14:paraId="401F9480" w14:textId="77777777" w:rsidR="009260DE" w:rsidRPr="00C84483" w:rsidRDefault="009260DE" w:rsidP="009260DE">
      <w:pPr>
        <w:tabs>
          <w:tab w:val="left" w:pos="851"/>
        </w:tabs>
        <w:ind w:left="851"/>
        <w:rPr>
          <w:sz w:val="24"/>
          <w:szCs w:val="24"/>
        </w:rPr>
      </w:pPr>
    </w:p>
    <w:p w14:paraId="1690B749" w14:textId="77777777" w:rsidR="009260DE" w:rsidRPr="00C84483" w:rsidRDefault="009260DE" w:rsidP="009260DE">
      <w:pPr>
        <w:tabs>
          <w:tab w:val="left" w:pos="851"/>
        </w:tabs>
        <w:ind w:left="851"/>
        <w:rPr>
          <w:sz w:val="24"/>
          <w:szCs w:val="24"/>
        </w:rPr>
      </w:pPr>
    </w:p>
    <w:p w14:paraId="48D43B9E"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0FFFCE9" w14:textId="77777777" w:rsidR="009260DE" w:rsidRPr="00C84483" w:rsidRDefault="009260DE" w:rsidP="009260DE">
      <w:pPr>
        <w:tabs>
          <w:tab w:val="left" w:pos="851"/>
        </w:tabs>
        <w:ind w:left="851"/>
        <w:rPr>
          <w:sz w:val="24"/>
          <w:szCs w:val="24"/>
        </w:rPr>
      </w:pPr>
    </w:p>
    <w:p w14:paraId="47962852"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69CDFF3D" w14:textId="77777777" w:rsidR="002E6061" w:rsidRPr="002E6061" w:rsidRDefault="002E6061" w:rsidP="002E6061">
      <w:pPr>
        <w:tabs>
          <w:tab w:val="left" w:pos="851"/>
        </w:tabs>
        <w:ind w:left="851"/>
        <w:rPr>
          <w:sz w:val="24"/>
          <w:szCs w:val="24"/>
        </w:rPr>
      </w:pPr>
      <w:r w:rsidRPr="002E6061">
        <w:rPr>
          <w:sz w:val="24"/>
          <w:szCs w:val="24"/>
        </w:rPr>
        <w:t>Farmakoterapeutisk klassifikation: Dekongestanter og andre nasale præparater til topisk anvendelse, kortikosteroider/fluticason, kombinationer, ATC-kode: R01AD58.</w:t>
      </w:r>
    </w:p>
    <w:p w14:paraId="1EC5BEE6" w14:textId="77777777" w:rsidR="002E6061" w:rsidRPr="002E6061" w:rsidRDefault="002E6061" w:rsidP="002E6061">
      <w:pPr>
        <w:tabs>
          <w:tab w:val="left" w:pos="851"/>
        </w:tabs>
        <w:ind w:left="851"/>
        <w:rPr>
          <w:sz w:val="24"/>
          <w:szCs w:val="24"/>
        </w:rPr>
      </w:pPr>
    </w:p>
    <w:p w14:paraId="23393B13" w14:textId="77777777" w:rsidR="002E6061" w:rsidRPr="002E6061" w:rsidRDefault="002E6061" w:rsidP="002E6061">
      <w:pPr>
        <w:tabs>
          <w:tab w:val="left" w:pos="851"/>
        </w:tabs>
        <w:ind w:left="851"/>
        <w:rPr>
          <w:iCs/>
          <w:sz w:val="24"/>
          <w:szCs w:val="24"/>
          <w:u w:val="single"/>
        </w:rPr>
      </w:pPr>
      <w:r w:rsidRPr="002E6061">
        <w:rPr>
          <w:iCs/>
          <w:sz w:val="24"/>
          <w:szCs w:val="24"/>
          <w:u w:val="single"/>
        </w:rPr>
        <w:t>Virkningsmekanisme og farmakodynamiske virkninger</w:t>
      </w:r>
    </w:p>
    <w:p w14:paraId="659C003F" w14:textId="77777777" w:rsidR="002E6061" w:rsidRPr="002E6061" w:rsidRDefault="002E6061" w:rsidP="002E6061">
      <w:pPr>
        <w:tabs>
          <w:tab w:val="left" w:pos="851"/>
        </w:tabs>
        <w:ind w:left="851"/>
        <w:rPr>
          <w:sz w:val="24"/>
          <w:szCs w:val="24"/>
        </w:rPr>
      </w:pPr>
      <w:r w:rsidRPr="002E6061">
        <w:rPr>
          <w:sz w:val="24"/>
          <w:szCs w:val="24"/>
        </w:rPr>
        <w:t>Azelastine hydrochloride/Fluticasone "Newbury" næsespray indeholder azelastinhydrochlorid og fluticasonpropionat, der har forskellige virkningsmekanismer og udviser synergistiske virkninger med hensyn til forbedring af symptomerne på allergisk rhinitis og rhinokonjunktivitis.</w:t>
      </w:r>
    </w:p>
    <w:p w14:paraId="2CC26181" w14:textId="77777777" w:rsidR="002E6061" w:rsidRPr="002E6061" w:rsidRDefault="002E6061" w:rsidP="002E6061">
      <w:pPr>
        <w:tabs>
          <w:tab w:val="left" w:pos="851"/>
        </w:tabs>
        <w:ind w:left="851"/>
        <w:rPr>
          <w:sz w:val="24"/>
          <w:szCs w:val="24"/>
        </w:rPr>
      </w:pPr>
    </w:p>
    <w:p w14:paraId="38236BEE" w14:textId="77777777" w:rsidR="002E6061" w:rsidRPr="002E6061" w:rsidRDefault="002E6061" w:rsidP="002E6061">
      <w:pPr>
        <w:tabs>
          <w:tab w:val="left" w:pos="851"/>
        </w:tabs>
        <w:ind w:left="851"/>
        <w:rPr>
          <w:bCs/>
          <w:i/>
          <w:sz w:val="24"/>
          <w:szCs w:val="24"/>
        </w:rPr>
      </w:pPr>
      <w:r w:rsidRPr="002E6061">
        <w:rPr>
          <w:bCs/>
          <w:i/>
          <w:sz w:val="24"/>
          <w:szCs w:val="24"/>
        </w:rPr>
        <w:t>Fluticasonpropionat</w:t>
      </w:r>
    </w:p>
    <w:p w14:paraId="41F049AD" w14:textId="77777777" w:rsidR="002E6061" w:rsidRPr="002E6061" w:rsidRDefault="002E6061" w:rsidP="002E6061">
      <w:pPr>
        <w:tabs>
          <w:tab w:val="left" w:pos="851"/>
        </w:tabs>
        <w:ind w:left="851"/>
        <w:rPr>
          <w:sz w:val="24"/>
          <w:szCs w:val="24"/>
        </w:rPr>
      </w:pPr>
      <w:r w:rsidRPr="002E6061">
        <w:rPr>
          <w:sz w:val="24"/>
          <w:szCs w:val="24"/>
        </w:rPr>
        <w:t>Fluticasonpropionat er et syntetisk trifluorineret kortikosteroid med meget høj affinitet for glukokortikoid-receptoren og har en potent antiinflammatorisk virkning; det er f.eks. 3-5 gange mere potent end dexamethason til binding af klonet human glukokortikoid-receptor og i genekspressionstest.</w:t>
      </w:r>
    </w:p>
    <w:p w14:paraId="3A473EE0" w14:textId="77777777" w:rsidR="002E6061" w:rsidRPr="002E6061" w:rsidRDefault="002E6061" w:rsidP="002E6061">
      <w:pPr>
        <w:tabs>
          <w:tab w:val="left" w:pos="851"/>
        </w:tabs>
        <w:ind w:left="851"/>
        <w:rPr>
          <w:sz w:val="24"/>
          <w:szCs w:val="24"/>
        </w:rPr>
      </w:pPr>
    </w:p>
    <w:p w14:paraId="5A43E6B9" w14:textId="77777777" w:rsidR="002E6061" w:rsidRPr="002E6061" w:rsidRDefault="002E6061" w:rsidP="002E6061">
      <w:pPr>
        <w:tabs>
          <w:tab w:val="left" w:pos="851"/>
        </w:tabs>
        <w:ind w:left="851"/>
        <w:rPr>
          <w:bCs/>
          <w:i/>
          <w:sz w:val="24"/>
          <w:szCs w:val="24"/>
        </w:rPr>
      </w:pPr>
      <w:r w:rsidRPr="002E6061">
        <w:rPr>
          <w:bCs/>
          <w:i/>
          <w:sz w:val="24"/>
          <w:szCs w:val="24"/>
        </w:rPr>
        <w:t>Azelastinhydrochlorid</w:t>
      </w:r>
    </w:p>
    <w:p w14:paraId="79F72EC1" w14:textId="77777777" w:rsidR="002E6061" w:rsidRPr="002E6061" w:rsidRDefault="002E6061" w:rsidP="002E6061">
      <w:pPr>
        <w:tabs>
          <w:tab w:val="left" w:pos="851"/>
        </w:tabs>
        <w:ind w:left="851"/>
        <w:rPr>
          <w:sz w:val="24"/>
          <w:szCs w:val="24"/>
        </w:rPr>
      </w:pPr>
      <w:r w:rsidRPr="002E6061">
        <w:rPr>
          <w:sz w:val="24"/>
          <w:szCs w:val="24"/>
        </w:rPr>
        <w:t>Azelastin, et phtalazinon-derivat, er klassificeret som et potent langtidsvirkende antiallergisk stof med selektive H</w:t>
      </w:r>
      <w:r w:rsidRPr="002E6061">
        <w:rPr>
          <w:sz w:val="24"/>
          <w:szCs w:val="24"/>
          <w:vertAlign w:val="subscript"/>
        </w:rPr>
        <w:t>1</w:t>
      </w:r>
      <w:r w:rsidRPr="002E6061">
        <w:rPr>
          <w:sz w:val="24"/>
          <w:szCs w:val="24"/>
        </w:rPr>
        <w:t xml:space="preserve">-antagonistiske, mastcellestabiliserende og antiinflammatoriske egenskaber. Data fra </w:t>
      </w:r>
      <w:r w:rsidRPr="002E6061">
        <w:rPr>
          <w:i/>
          <w:sz w:val="24"/>
          <w:szCs w:val="24"/>
        </w:rPr>
        <w:t>in vivo</w:t>
      </w:r>
      <w:r w:rsidRPr="002E6061">
        <w:rPr>
          <w:sz w:val="24"/>
          <w:szCs w:val="24"/>
        </w:rPr>
        <w:t xml:space="preserve"> (non-kliniske)- og </w:t>
      </w:r>
      <w:r w:rsidRPr="002E6061">
        <w:rPr>
          <w:i/>
          <w:sz w:val="24"/>
          <w:szCs w:val="24"/>
        </w:rPr>
        <w:t>in vitro</w:t>
      </w:r>
      <w:r w:rsidRPr="002E6061">
        <w:rPr>
          <w:sz w:val="24"/>
          <w:szCs w:val="24"/>
        </w:rPr>
        <w:t>-studier har vist, at azelastin hæmmer syntesen eller frigørelsen af de kemiske mediatorer, der vides at være involveret i tidlige og sene stadier af allergiske reaktioner, f.eks. leukotriener, histamin, PAF (blodpladeaktiverende faktor) og serotonin.</w:t>
      </w:r>
    </w:p>
    <w:p w14:paraId="1AC9A35E" w14:textId="77777777" w:rsidR="002E6061" w:rsidRPr="002E6061" w:rsidRDefault="002E6061" w:rsidP="002E6061">
      <w:pPr>
        <w:tabs>
          <w:tab w:val="left" w:pos="851"/>
        </w:tabs>
        <w:ind w:left="851"/>
        <w:rPr>
          <w:sz w:val="24"/>
          <w:szCs w:val="24"/>
        </w:rPr>
      </w:pPr>
      <w:r w:rsidRPr="002E6061">
        <w:rPr>
          <w:sz w:val="24"/>
          <w:szCs w:val="24"/>
        </w:rPr>
        <w:t>Lindring af nasale allergisymptomer ses inden for 15 minutter efter administration.</w:t>
      </w:r>
    </w:p>
    <w:p w14:paraId="448D0D5D" w14:textId="77777777" w:rsidR="002E6061" w:rsidRPr="002E6061" w:rsidRDefault="002E6061" w:rsidP="002E6061">
      <w:pPr>
        <w:tabs>
          <w:tab w:val="left" w:pos="851"/>
        </w:tabs>
        <w:ind w:left="851"/>
        <w:rPr>
          <w:sz w:val="24"/>
          <w:szCs w:val="24"/>
        </w:rPr>
      </w:pPr>
    </w:p>
    <w:p w14:paraId="724675CF" w14:textId="77777777" w:rsidR="002E6061" w:rsidRPr="002E6061" w:rsidRDefault="002E6061" w:rsidP="002E6061">
      <w:pPr>
        <w:tabs>
          <w:tab w:val="left" w:pos="851"/>
        </w:tabs>
        <w:ind w:left="851"/>
        <w:rPr>
          <w:bCs/>
          <w:i/>
          <w:sz w:val="24"/>
          <w:szCs w:val="24"/>
        </w:rPr>
      </w:pPr>
      <w:r w:rsidRPr="002E6061">
        <w:rPr>
          <w:bCs/>
          <w:i/>
          <w:sz w:val="24"/>
          <w:szCs w:val="24"/>
        </w:rPr>
        <w:t>Azelastin/fluticason-næsespray</w:t>
      </w:r>
    </w:p>
    <w:p w14:paraId="14227BEA" w14:textId="77777777" w:rsidR="002E6061" w:rsidRPr="002E6061" w:rsidRDefault="002E6061" w:rsidP="002E6061">
      <w:pPr>
        <w:tabs>
          <w:tab w:val="left" w:pos="851"/>
        </w:tabs>
        <w:ind w:left="851"/>
        <w:rPr>
          <w:sz w:val="24"/>
          <w:szCs w:val="24"/>
        </w:rPr>
      </w:pPr>
      <w:r w:rsidRPr="002E6061">
        <w:rPr>
          <w:sz w:val="24"/>
          <w:szCs w:val="24"/>
        </w:rPr>
        <w:t>I 4 kliniske studier hos voksne og unge med allergisk rhinitis gav azelastin/fluticason-næsespray en signifikant forbedring af nasale symptomer (rhinorrhoea, nasal kongestion, nysen og nasal kløe) i en dosis på ét pust to gange dagligt i hvert næsebor sammenlignet med placebo, azelastinhydrochlorid alene og fluticasonpropionat alene. Den forbedrede signifikant de okulære symptomer (kløe, tåreflåd/rindende øjne og røde øjne) og patienternes sygdomsrelaterede livskvalitet (Rhinoconjunctivitis Quality of Life Questionnaire – RQLQ) i alle 4 studier.</w:t>
      </w:r>
    </w:p>
    <w:p w14:paraId="09F88146" w14:textId="77777777" w:rsidR="002E6061" w:rsidRPr="002E6061" w:rsidRDefault="002E6061" w:rsidP="002E6061">
      <w:pPr>
        <w:tabs>
          <w:tab w:val="left" w:pos="851"/>
        </w:tabs>
        <w:ind w:left="851"/>
        <w:rPr>
          <w:sz w:val="24"/>
          <w:szCs w:val="24"/>
        </w:rPr>
      </w:pPr>
    </w:p>
    <w:p w14:paraId="1D8415ED" w14:textId="77777777" w:rsidR="002E6061" w:rsidRPr="002E6061" w:rsidRDefault="002E6061" w:rsidP="002E6061">
      <w:pPr>
        <w:tabs>
          <w:tab w:val="left" w:pos="851"/>
        </w:tabs>
        <w:ind w:left="851"/>
        <w:rPr>
          <w:sz w:val="24"/>
          <w:szCs w:val="24"/>
        </w:rPr>
      </w:pPr>
      <w:r w:rsidRPr="002E6061">
        <w:rPr>
          <w:sz w:val="24"/>
          <w:szCs w:val="24"/>
        </w:rPr>
        <w:t>Sammenlignet med en allerede markedsført fluticasonpropionat-næsespray blev symptomforbedringen (50 % reduktion i nasale symptomer) nået signifikant tidligere (3 dage og mere) med azelastin/fluticason-næsespray. Azelastin/fluticason-næsesprayens statistisk signifikante virkning i forhold til fluticasonpropionat-næsespray blev fastholdt i hele det etårige studie hos patienter med kronisk vedvarende allergisk rhinitis og ikke-allergisk/vasomotorisk rhinitis.</w:t>
      </w:r>
    </w:p>
    <w:p w14:paraId="6F49E11D" w14:textId="77777777" w:rsidR="002E6061" w:rsidRPr="002E6061" w:rsidRDefault="002E6061" w:rsidP="002E6061">
      <w:pPr>
        <w:tabs>
          <w:tab w:val="left" w:pos="851"/>
        </w:tabs>
        <w:ind w:left="851"/>
        <w:rPr>
          <w:sz w:val="24"/>
          <w:szCs w:val="24"/>
        </w:rPr>
      </w:pPr>
    </w:p>
    <w:p w14:paraId="004E0256" w14:textId="77777777" w:rsidR="002E6061" w:rsidRPr="002E6061" w:rsidRDefault="002E6061" w:rsidP="002E6061">
      <w:pPr>
        <w:tabs>
          <w:tab w:val="left" w:pos="851"/>
        </w:tabs>
        <w:ind w:left="851"/>
        <w:rPr>
          <w:sz w:val="24"/>
          <w:szCs w:val="24"/>
        </w:rPr>
      </w:pPr>
      <w:r w:rsidRPr="002E6061">
        <w:rPr>
          <w:sz w:val="24"/>
          <w:szCs w:val="24"/>
        </w:rPr>
        <w:t xml:space="preserve">I et eksponeringsstudie med ambrosiapollen blev første statistisk signifikante lindring af nasalsymptomer observeret 5 minutter efter administration af azelastin/fluticason-næsespray (sammenlignet med placebo). 15 minutter efter administration af </w:t>
      </w:r>
      <w:r w:rsidRPr="002E6061">
        <w:rPr>
          <w:sz w:val="24"/>
          <w:szCs w:val="24"/>
        </w:rPr>
        <w:lastRenderedPageBreak/>
        <w:t>azelastin/fluticason-næsespray rapporterede 60 % af patienterne en klinisk relevant reduktion af symptomscore på mindst 30 %.</w:t>
      </w:r>
    </w:p>
    <w:p w14:paraId="195B94D7" w14:textId="77777777" w:rsidR="009260DE" w:rsidRPr="00C84483" w:rsidRDefault="009260DE" w:rsidP="009260DE">
      <w:pPr>
        <w:tabs>
          <w:tab w:val="left" w:pos="851"/>
        </w:tabs>
        <w:ind w:left="851"/>
        <w:rPr>
          <w:sz w:val="24"/>
          <w:szCs w:val="24"/>
        </w:rPr>
      </w:pPr>
    </w:p>
    <w:p w14:paraId="6969C156"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6AEF67C1" w14:textId="77777777" w:rsidR="002E6061" w:rsidRDefault="002E6061" w:rsidP="002E6061">
      <w:pPr>
        <w:tabs>
          <w:tab w:val="left" w:pos="851"/>
        </w:tabs>
        <w:ind w:left="851"/>
        <w:rPr>
          <w:sz w:val="24"/>
          <w:szCs w:val="24"/>
          <w:u w:val="single"/>
        </w:rPr>
      </w:pPr>
    </w:p>
    <w:p w14:paraId="1746811C" w14:textId="16DE5855" w:rsidR="002E6061" w:rsidRPr="002E6061" w:rsidRDefault="002E6061" w:rsidP="002E6061">
      <w:pPr>
        <w:tabs>
          <w:tab w:val="left" w:pos="851"/>
        </w:tabs>
        <w:ind w:left="851"/>
        <w:rPr>
          <w:sz w:val="24"/>
          <w:szCs w:val="24"/>
          <w:u w:val="single"/>
        </w:rPr>
      </w:pPr>
      <w:r w:rsidRPr="002E6061">
        <w:rPr>
          <w:sz w:val="24"/>
          <w:szCs w:val="24"/>
          <w:u w:val="single"/>
        </w:rPr>
        <w:t>Absorption</w:t>
      </w:r>
    </w:p>
    <w:p w14:paraId="06D3BD7B" w14:textId="77777777" w:rsidR="002E6061" w:rsidRPr="002E6061" w:rsidRDefault="002E6061" w:rsidP="002E6061">
      <w:pPr>
        <w:tabs>
          <w:tab w:val="left" w:pos="851"/>
        </w:tabs>
        <w:ind w:left="851"/>
        <w:rPr>
          <w:sz w:val="24"/>
          <w:szCs w:val="24"/>
        </w:rPr>
      </w:pPr>
      <w:r w:rsidRPr="002E6061">
        <w:rPr>
          <w:sz w:val="24"/>
          <w:szCs w:val="24"/>
        </w:rPr>
        <w:t>Efter intranasal administration af to pust med azelastin/fluticason-næsespray i hvert næsebor (548 mikrogram azelastinhydrochlorid og 200 mikrogram fluticason) var den gennemsnitlige (± standardafvigelse) højeste plasmaeksponering (C</w:t>
      </w:r>
      <w:r w:rsidRPr="002E6061">
        <w:rPr>
          <w:sz w:val="24"/>
          <w:szCs w:val="24"/>
          <w:vertAlign w:val="subscript"/>
        </w:rPr>
        <w:t>max</w:t>
      </w:r>
      <w:r w:rsidRPr="002E6061">
        <w:rPr>
          <w:sz w:val="24"/>
          <w:szCs w:val="24"/>
        </w:rPr>
        <w:t>) 194,5 ± 74,4 pg/ml for azelastin og 10,3 ± 3,9 pg/ml for fluticasonpropionat, og den gennemsnitlige totale eksponering (AUC) var 4.217 ± 2.618 pg/ml*time for azelastin og 97,7 ± 43,1 pg/ml*time for fluticason. Den mediane tid til højeste eksponering (t</w:t>
      </w:r>
      <w:r w:rsidRPr="002E6061">
        <w:rPr>
          <w:sz w:val="24"/>
          <w:szCs w:val="24"/>
          <w:vertAlign w:val="subscript"/>
        </w:rPr>
        <w:t>max</w:t>
      </w:r>
      <w:r w:rsidRPr="002E6061">
        <w:rPr>
          <w:sz w:val="24"/>
          <w:szCs w:val="24"/>
        </w:rPr>
        <w:t>) efter en enkelt dosis var 0,5 time for azelastin og 1,0 time for fluticason.</w:t>
      </w:r>
    </w:p>
    <w:p w14:paraId="0418D4E7" w14:textId="77777777" w:rsidR="002E6061" w:rsidRPr="002E6061" w:rsidRDefault="002E6061" w:rsidP="002E6061">
      <w:pPr>
        <w:tabs>
          <w:tab w:val="left" w:pos="851"/>
        </w:tabs>
        <w:ind w:left="851"/>
        <w:rPr>
          <w:sz w:val="24"/>
          <w:szCs w:val="24"/>
        </w:rPr>
      </w:pPr>
    </w:p>
    <w:p w14:paraId="47AC64C1" w14:textId="77777777" w:rsidR="002E6061" w:rsidRPr="002E6061" w:rsidRDefault="002E6061" w:rsidP="002E6061">
      <w:pPr>
        <w:tabs>
          <w:tab w:val="left" w:pos="851"/>
        </w:tabs>
        <w:ind w:left="851"/>
        <w:rPr>
          <w:sz w:val="24"/>
          <w:szCs w:val="24"/>
        </w:rPr>
      </w:pPr>
      <w:r w:rsidRPr="002E6061">
        <w:rPr>
          <w:sz w:val="24"/>
          <w:szCs w:val="24"/>
        </w:rPr>
        <w:t>Systemisk eksponering for fluticasonpropionat var ~50 % højere for azelastin/fluticason-næsespray sammenlignet med en markedsført fluticason-næsespray. Azelastin/fluticason-næsespray var ækvivalent med en markedsført azelastin-næsespray, for så vidt angår systemisk eksponering for azelastin. Der var ingen tegn på farmakokinetiske interaktioner mellem azelastinhydrochlorid og fluticasonpropionat.</w:t>
      </w:r>
    </w:p>
    <w:p w14:paraId="3BA21ADA" w14:textId="77777777" w:rsidR="002E6061" w:rsidRPr="002E6061" w:rsidRDefault="002E6061" w:rsidP="002E6061">
      <w:pPr>
        <w:tabs>
          <w:tab w:val="left" w:pos="851"/>
        </w:tabs>
        <w:ind w:left="851"/>
        <w:rPr>
          <w:sz w:val="24"/>
          <w:szCs w:val="24"/>
        </w:rPr>
      </w:pPr>
    </w:p>
    <w:p w14:paraId="54ECF5C2" w14:textId="77777777" w:rsidR="002E6061" w:rsidRPr="002E6061" w:rsidRDefault="002E6061" w:rsidP="002E6061">
      <w:pPr>
        <w:tabs>
          <w:tab w:val="left" w:pos="851"/>
        </w:tabs>
        <w:ind w:left="851"/>
        <w:rPr>
          <w:iCs/>
          <w:sz w:val="24"/>
          <w:szCs w:val="24"/>
          <w:u w:val="single"/>
        </w:rPr>
      </w:pPr>
      <w:r w:rsidRPr="002E6061">
        <w:rPr>
          <w:iCs/>
          <w:sz w:val="24"/>
          <w:szCs w:val="24"/>
          <w:u w:val="single"/>
        </w:rPr>
        <w:t>Fordeling</w:t>
      </w:r>
    </w:p>
    <w:p w14:paraId="219D0824" w14:textId="77777777" w:rsidR="002E6061" w:rsidRPr="002E6061" w:rsidRDefault="002E6061" w:rsidP="002E6061">
      <w:pPr>
        <w:tabs>
          <w:tab w:val="left" w:pos="851"/>
        </w:tabs>
        <w:ind w:left="851"/>
        <w:rPr>
          <w:sz w:val="24"/>
          <w:szCs w:val="24"/>
        </w:rPr>
      </w:pPr>
      <w:r w:rsidRPr="002E6061">
        <w:rPr>
          <w:sz w:val="24"/>
          <w:szCs w:val="24"/>
        </w:rPr>
        <w:t xml:space="preserve">Fluticasonpropionat har et stort fordelingsvolumen ved </w:t>
      </w:r>
      <w:r w:rsidRPr="002E6061">
        <w:rPr>
          <w:i/>
          <w:iCs/>
          <w:sz w:val="24"/>
          <w:szCs w:val="24"/>
        </w:rPr>
        <w:t>steady-state</w:t>
      </w:r>
      <w:r w:rsidRPr="002E6061">
        <w:rPr>
          <w:sz w:val="24"/>
          <w:szCs w:val="24"/>
        </w:rPr>
        <w:t xml:space="preserve"> (ca. 318 liter). Plasmaproteinbindingen er 91 %.</w:t>
      </w:r>
    </w:p>
    <w:p w14:paraId="204E1FCD" w14:textId="77777777" w:rsidR="002E6061" w:rsidRPr="002E6061" w:rsidRDefault="002E6061" w:rsidP="002E6061">
      <w:pPr>
        <w:tabs>
          <w:tab w:val="left" w:pos="851"/>
        </w:tabs>
        <w:ind w:left="851"/>
        <w:rPr>
          <w:sz w:val="24"/>
          <w:szCs w:val="24"/>
        </w:rPr>
      </w:pPr>
      <w:r w:rsidRPr="002E6061">
        <w:rPr>
          <w:sz w:val="24"/>
          <w:szCs w:val="24"/>
        </w:rPr>
        <w:t>Fordelingsvolumen for azelastin er høj, hvilket indikerer distribution hovedsagelig i det perifere væv. Proteinbindingsniveauet er ca. 80-90 %. Desuden har begge lægemidler brede terapeutiske vinduer. Derfor er lægemiddelfortrængningsreaktioner usandsynlige.</w:t>
      </w:r>
    </w:p>
    <w:p w14:paraId="7026C354" w14:textId="77777777" w:rsidR="002E6061" w:rsidRPr="002E6061" w:rsidRDefault="002E6061" w:rsidP="002E6061">
      <w:pPr>
        <w:tabs>
          <w:tab w:val="left" w:pos="851"/>
        </w:tabs>
        <w:ind w:left="851"/>
        <w:rPr>
          <w:sz w:val="24"/>
          <w:szCs w:val="24"/>
        </w:rPr>
      </w:pPr>
    </w:p>
    <w:p w14:paraId="1A204EC6" w14:textId="77777777" w:rsidR="002E6061" w:rsidRPr="002E6061" w:rsidRDefault="002E6061" w:rsidP="002E6061">
      <w:pPr>
        <w:tabs>
          <w:tab w:val="left" w:pos="851"/>
        </w:tabs>
        <w:ind w:left="851"/>
        <w:rPr>
          <w:iCs/>
          <w:sz w:val="24"/>
          <w:szCs w:val="24"/>
          <w:u w:val="single"/>
        </w:rPr>
      </w:pPr>
      <w:r w:rsidRPr="002E6061">
        <w:rPr>
          <w:iCs/>
          <w:sz w:val="24"/>
          <w:szCs w:val="24"/>
          <w:u w:val="single"/>
        </w:rPr>
        <w:t>Biotransformation</w:t>
      </w:r>
    </w:p>
    <w:p w14:paraId="647AD313" w14:textId="77777777" w:rsidR="002E6061" w:rsidRPr="002E6061" w:rsidRDefault="002E6061" w:rsidP="002E6061">
      <w:pPr>
        <w:tabs>
          <w:tab w:val="left" w:pos="851"/>
        </w:tabs>
        <w:ind w:left="851"/>
        <w:rPr>
          <w:sz w:val="24"/>
          <w:szCs w:val="24"/>
        </w:rPr>
      </w:pPr>
      <w:r w:rsidRPr="002E6061">
        <w:rPr>
          <w:sz w:val="24"/>
          <w:szCs w:val="24"/>
        </w:rPr>
        <w:t xml:space="preserve">Fluticasonpropionat udskilles hurtigt fra det systemiske kredsløb, hovedsagelig ved metabolisering i leveren til en inaktiv carboxylsyremetabolit, ved hjælp af cytochrom P450 CYP3A4. Når fluticasonpropionat indtages oralt, gennemgår det også en omfattende </w:t>
      </w:r>
      <w:r w:rsidRPr="002E6061">
        <w:rPr>
          <w:i/>
          <w:iCs/>
          <w:sz w:val="24"/>
          <w:szCs w:val="24"/>
        </w:rPr>
        <w:t>first-pass</w:t>
      </w:r>
      <w:r w:rsidRPr="002E6061">
        <w:rPr>
          <w:sz w:val="24"/>
          <w:szCs w:val="24"/>
        </w:rPr>
        <w:t xml:space="preserve">-metabolisme. Azelastin metaboliseres til </w:t>
      </w:r>
      <w:r w:rsidRPr="002E6061">
        <w:rPr>
          <w:i/>
          <w:iCs/>
          <w:sz w:val="24"/>
          <w:szCs w:val="24"/>
        </w:rPr>
        <w:t>N</w:t>
      </w:r>
      <w:r w:rsidRPr="002E6061">
        <w:rPr>
          <w:sz w:val="24"/>
          <w:szCs w:val="24"/>
        </w:rPr>
        <w:t>-desmethylazelastin via forskellige CYP-isoenzymer, hovedsagelig CYP3A4, CYP2D6 og CYP2C19.</w:t>
      </w:r>
    </w:p>
    <w:p w14:paraId="5700753D" w14:textId="77777777" w:rsidR="002E6061" w:rsidRPr="002E6061" w:rsidRDefault="002E6061" w:rsidP="002E6061">
      <w:pPr>
        <w:tabs>
          <w:tab w:val="left" w:pos="851"/>
        </w:tabs>
        <w:ind w:left="851"/>
        <w:rPr>
          <w:sz w:val="24"/>
          <w:szCs w:val="24"/>
        </w:rPr>
      </w:pPr>
    </w:p>
    <w:p w14:paraId="479E903C" w14:textId="77777777" w:rsidR="002E6061" w:rsidRPr="002E6061" w:rsidRDefault="002E6061" w:rsidP="002E6061">
      <w:pPr>
        <w:tabs>
          <w:tab w:val="left" w:pos="851"/>
        </w:tabs>
        <w:ind w:left="851"/>
        <w:rPr>
          <w:iCs/>
          <w:sz w:val="24"/>
          <w:szCs w:val="24"/>
          <w:u w:val="single"/>
        </w:rPr>
      </w:pPr>
      <w:r w:rsidRPr="002E6061">
        <w:rPr>
          <w:iCs/>
          <w:sz w:val="24"/>
          <w:szCs w:val="24"/>
          <w:u w:val="single"/>
        </w:rPr>
        <w:t>Elimination</w:t>
      </w:r>
    </w:p>
    <w:p w14:paraId="291016EE" w14:textId="77777777" w:rsidR="002E6061" w:rsidRPr="002E6061" w:rsidRDefault="002E6061" w:rsidP="002E6061">
      <w:pPr>
        <w:tabs>
          <w:tab w:val="left" w:pos="851"/>
        </w:tabs>
        <w:ind w:left="851"/>
        <w:rPr>
          <w:sz w:val="24"/>
          <w:szCs w:val="24"/>
        </w:rPr>
      </w:pPr>
      <w:r w:rsidRPr="002E6061">
        <w:rPr>
          <w:sz w:val="24"/>
          <w:szCs w:val="24"/>
        </w:rPr>
        <w:t>Eliminationshastigheden for intravenøst administreret fluticasonpropionat er lineær over doseringsintervallet 250-1.000 mikrogram og er karakteriseret ved en høj plasmaclearance (CL = 1,1 l/min.). De højeste plasmakoncentrationer reduceres med ca. 98 % inden for 3</w:t>
      </w:r>
      <w:r w:rsidRPr="002E6061">
        <w:rPr>
          <w:sz w:val="24"/>
          <w:szCs w:val="24"/>
        </w:rPr>
        <w:noBreakHyphen/>
        <w:t>4 timer, og kun lave plasmakoncentrationer blev forbundet med den terminale halveringstid på 7,8 timer. Den renale clearance af fluticasonpropionat er ubetydelig (&lt; 0,2 %) og mindre end 5 % som carboxylsyremetabolit. Den største eliminationsvej er udskillelse af fluticasonpropionat og dets metabolitter i galden.</w:t>
      </w:r>
    </w:p>
    <w:p w14:paraId="694C66B9" w14:textId="77777777" w:rsidR="002E6061" w:rsidRPr="002E6061" w:rsidRDefault="002E6061" w:rsidP="002E6061">
      <w:pPr>
        <w:tabs>
          <w:tab w:val="left" w:pos="851"/>
        </w:tabs>
        <w:ind w:left="851"/>
        <w:rPr>
          <w:sz w:val="24"/>
          <w:szCs w:val="24"/>
        </w:rPr>
      </w:pPr>
      <w:r w:rsidRPr="002E6061">
        <w:rPr>
          <w:sz w:val="24"/>
          <w:szCs w:val="24"/>
        </w:rPr>
        <w:t>Eliminationshalveringstider i plasma efter en enkelt dosis azelastin er ca. 20</w:t>
      </w:r>
      <w:r w:rsidRPr="002E6061">
        <w:rPr>
          <w:sz w:val="24"/>
          <w:szCs w:val="24"/>
        </w:rPr>
        <w:noBreakHyphen/>
        <w:t xml:space="preserve">25 timer for azelastin og ca. 45 timer for den terapeutisk aktive metabolit </w:t>
      </w:r>
      <w:r w:rsidRPr="002E6061">
        <w:rPr>
          <w:i/>
          <w:iCs/>
          <w:sz w:val="24"/>
          <w:szCs w:val="24"/>
        </w:rPr>
        <w:t>N</w:t>
      </w:r>
      <w:r w:rsidRPr="002E6061">
        <w:rPr>
          <w:sz w:val="24"/>
          <w:szCs w:val="24"/>
        </w:rPr>
        <w:t>-desmethylazelastin. Udskillelse sker hovedsagelig via fæces. Den vedvarende udskillelse af små mængder af dosis i fæces tyder på, at der sker en vis enterohepatisk cirkulation.</w:t>
      </w:r>
    </w:p>
    <w:p w14:paraId="330DC53D" w14:textId="334C1882" w:rsidR="002E6061" w:rsidRDefault="002E6061">
      <w:pPr>
        <w:rPr>
          <w:sz w:val="24"/>
          <w:szCs w:val="24"/>
        </w:rPr>
      </w:pPr>
      <w:r>
        <w:rPr>
          <w:sz w:val="24"/>
          <w:szCs w:val="24"/>
        </w:rPr>
        <w:br w:type="page"/>
      </w:r>
    </w:p>
    <w:p w14:paraId="095506DA" w14:textId="77777777" w:rsidR="002E6061" w:rsidRPr="002E6061" w:rsidRDefault="002E6061" w:rsidP="002E6061">
      <w:pPr>
        <w:tabs>
          <w:tab w:val="left" w:pos="851"/>
        </w:tabs>
        <w:ind w:left="851"/>
        <w:rPr>
          <w:sz w:val="24"/>
          <w:szCs w:val="24"/>
        </w:rPr>
      </w:pPr>
    </w:p>
    <w:p w14:paraId="37DF5191"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652E10EC" w14:textId="77777777" w:rsidR="002E6061" w:rsidRDefault="002E6061" w:rsidP="002E6061">
      <w:pPr>
        <w:tabs>
          <w:tab w:val="left" w:pos="851"/>
        </w:tabs>
        <w:ind w:left="851"/>
        <w:rPr>
          <w:bCs/>
          <w:i/>
          <w:sz w:val="24"/>
          <w:szCs w:val="24"/>
        </w:rPr>
      </w:pPr>
    </w:p>
    <w:p w14:paraId="648C1A2A" w14:textId="5AAE20D2" w:rsidR="002E6061" w:rsidRPr="002E6061" w:rsidRDefault="002E6061" w:rsidP="002E6061">
      <w:pPr>
        <w:tabs>
          <w:tab w:val="left" w:pos="851"/>
        </w:tabs>
        <w:ind w:left="851"/>
        <w:rPr>
          <w:bCs/>
          <w:i/>
          <w:sz w:val="24"/>
          <w:szCs w:val="24"/>
        </w:rPr>
      </w:pPr>
      <w:r w:rsidRPr="002E6061">
        <w:rPr>
          <w:bCs/>
          <w:i/>
          <w:sz w:val="24"/>
          <w:szCs w:val="24"/>
        </w:rPr>
        <w:t>Fluticasonpropionat</w:t>
      </w:r>
    </w:p>
    <w:p w14:paraId="6DD4ACAC" w14:textId="77777777" w:rsidR="002E6061" w:rsidRPr="002E6061" w:rsidRDefault="002E6061" w:rsidP="002E6061">
      <w:pPr>
        <w:tabs>
          <w:tab w:val="left" w:pos="851"/>
        </w:tabs>
        <w:ind w:left="851"/>
        <w:rPr>
          <w:sz w:val="24"/>
          <w:szCs w:val="24"/>
        </w:rPr>
      </w:pPr>
      <w:r w:rsidRPr="002E6061">
        <w:rPr>
          <w:sz w:val="24"/>
          <w:szCs w:val="24"/>
        </w:rPr>
        <w:t>De fund, der blev gjort i de generelle toksikologiske studier, var lig dem, der blev gjort med andre glukokortikoider, og er forbundet med overdreven farmakologisk aktivitet. Disse fund er sandsynligvis ikke relevante for mennesker, som får de anbefalede nasale doser, der resulterer i minimal systemisk eksponering. Der er ikke observeret genotoksisk virkning af fluticasonpropionat i konventionelle genotoksiske undersøgelser. Desuden sås der ingen behandlingsrelaterede stigninger i incidensen af tumorer i toårige inhalationsstudier hos rotter og mus.</w:t>
      </w:r>
    </w:p>
    <w:p w14:paraId="12F14683" w14:textId="77777777" w:rsidR="002E6061" w:rsidRPr="002E6061" w:rsidRDefault="002E6061" w:rsidP="002E6061">
      <w:pPr>
        <w:tabs>
          <w:tab w:val="left" w:pos="851"/>
        </w:tabs>
        <w:ind w:left="851"/>
        <w:rPr>
          <w:sz w:val="24"/>
          <w:szCs w:val="24"/>
        </w:rPr>
      </w:pPr>
    </w:p>
    <w:p w14:paraId="4D2AC52A" w14:textId="77777777" w:rsidR="002E6061" w:rsidRPr="002E6061" w:rsidRDefault="002E6061" w:rsidP="002E6061">
      <w:pPr>
        <w:tabs>
          <w:tab w:val="left" w:pos="851"/>
        </w:tabs>
        <w:ind w:left="851"/>
        <w:rPr>
          <w:sz w:val="24"/>
          <w:szCs w:val="24"/>
        </w:rPr>
      </w:pPr>
      <w:r w:rsidRPr="002E6061">
        <w:rPr>
          <w:sz w:val="24"/>
          <w:szCs w:val="24"/>
        </w:rPr>
        <w:t>I dyrestudier er det påvist, at glukokortikoider inducerer misdannelser, herunder ganespalte og intrauterin væksthæmning. Sandsynligvis er heller ikke disse fund relevante for mennesker, som får de anbefalede nasale doser, der resulterer i minimal systemisk eksponering (se pkt. 5.2).</w:t>
      </w:r>
    </w:p>
    <w:p w14:paraId="7CDAB139" w14:textId="77777777" w:rsidR="002E6061" w:rsidRPr="002E6061" w:rsidRDefault="002E6061" w:rsidP="002E6061">
      <w:pPr>
        <w:tabs>
          <w:tab w:val="left" w:pos="851"/>
        </w:tabs>
        <w:ind w:left="851"/>
        <w:rPr>
          <w:sz w:val="24"/>
          <w:szCs w:val="24"/>
        </w:rPr>
      </w:pPr>
    </w:p>
    <w:p w14:paraId="6CCDD728" w14:textId="77777777" w:rsidR="002E6061" w:rsidRPr="002E6061" w:rsidRDefault="002E6061" w:rsidP="002E6061">
      <w:pPr>
        <w:tabs>
          <w:tab w:val="left" w:pos="851"/>
        </w:tabs>
        <w:ind w:left="851"/>
        <w:rPr>
          <w:bCs/>
          <w:i/>
          <w:sz w:val="24"/>
          <w:szCs w:val="24"/>
        </w:rPr>
      </w:pPr>
      <w:r w:rsidRPr="002E6061">
        <w:rPr>
          <w:bCs/>
          <w:i/>
          <w:sz w:val="24"/>
          <w:szCs w:val="24"/>
        </w:rPr>
        <w:t>Azelastinhydrochlorid</w:t>
      </w:r>
    </w:p>
    <w:p w14:paraId="2FC418B0" w14:textId="77777777" w:rsidR="002E6061" w:rsidRPr="002E6061" w:rsidRDefault="002E6061" w:rsidP="002E6061">
      <w:pPr>
        <w:tabs>
          <w:tab w:val="left" w:pos="851"/>
        </w:tabs>
        <w:ind w:left="851"/>
        <w:rPr>
          <w:sz w:val="24"/>
          <w:szCs w:val="24"/>
        </w:rPr>
      </w:pPr>
      <w:r w:rsidRPr="002E6061">
        <w:rPr>
          <w:sz w:val="24"/>
          <w:szCs w:val="24"/>
        </w:rPr>
        <w:t xml:space="preserve">Azelastinhydrochlorid viste intet sensibiliseringspotentiale hos marsvin. Azelastin viste intet genotoksisk potentiale i en række </w:t>
      </w:r>
      <w:r w:rsidRPr="002E6061">
        <w:rPr>
          <w:i/>
          <w:sz w:val="24"/>
          <w:szCs w:val="24"/>
        </w:rPr>
        <w:t>in vitro</w:t>
      </w:r>
      <w:r w:rsidRPr="002E6061">
        <w:rPr>
          <w:sz w:val="24"/>
          <w:szCs w:val="24"/>
        </w:rPr>
        <w:t xml:space="preserve">- og </w:t>
      </w:r>
      <w:r w:rsidRPr="002E6061">
        <w:rPr>
          <w:i/>
          <w:sz w:val="24"/>
          <w:szCs w:val="24"/>
        </w:rPr>
        <w:t>in vivo</w:t>
      </w:r>
      <w:r w:rsidRPr="002E6061">
        <w:rPr>
          <w:sz w:val="24"/>
          <w:szCs w:val="24"/>
        </w:rPr>
        <w:t>-test, og der sås heller ikke noget karcinogent potentiale hos rotter eller mus. Hos han</w:t>
      </w:r>
      <w:r w:rsidRPr="002E6061">
        <w:rPr>
          <w:sz w:val="24"/>
          <w:szCs w:val="24"/>
        </w:rPr>
        <w:noBreakHyphen/>
        <w:t xml:space="preserve"> og hunrotter medførte azelastin i orale doser over 3 mg/kg/dag et dosisrelateret fald i fertilitetsindekset; der blev ikke fundet nogen stofrelaterede forandringer i de reproduktive organer hos hverken hanner eller hunner i kroniske toksicitetsstudier. Embryotoksiske og teratogene virkninger i rotter, mus og kaniner sås kun ved maternelt toksiske doser (f.eks. blev misdannelser i skelettet observeret hos rotter og mus ved doser på 68,6 mg/kg/dag).</w:t>
      </w:r>
    </w:p>
    <w:p w14:paraId="10F3D4DB" w14:textId="77777777" w:rsidR="002E6061" w:rsidRPr="002E6061" w:rsidRDefault="002E6061" w:rsidP="002E6061">
      <w:pPr>
        <w:tabs>
          <w:tab w:val="left" w:pos="851"/>
        </w:tabs>
        <w:ind w:left="851"/>
        <w:rPr>
          <w:sz w:val="24"/>
          <w:szCs w:val="24"/>
        </w:rPr>
      </w:pPr>
    </w:p>
    <w:p w14:paraId="7539A2E2" w14:textId="77777777" w:rsidR="002E6061" w:rsidRPr="002E6061" w:rsidRDefault="002E6061" w:rsidP="002E6061">
      <w:pPr>
        <w:tabs>
          <w:tab w:val="left" w:pos="851"/>
        </w:tabs>
        <w:ind w:left="851"/>
        <w:rPr>
          <w:bCs/>
          <w:i/>
          <w:sz w:val="24"/>
          <w:szCs w:val="24"/>
        </w:rPr>
      </w:pPr>
      <w:r w:rsidRPr="002E6061">
        <w:rPr>
          <w:bCs/>
          <w:i/>
          <w:sz w:val="24"/>
          <w:szCs w:val="24"/>
        </w:rPr>
        <w:t>Azelastin/fluticason-næsespray</w:t>
      </w:r>
    </w:p>
    <w:p w14:paraId="3F2AA353" w14:textId="77777777" w:rsidR="002E6061" w:rsidRPr="002E6061" w:rsidRDefault="002E6061" w:rsidP="002E6061">
      <w:pPr>
        <w:tabs>
          <w:tab w:val="left" w:pos="851"/>
        </w:tabs>
        <w:ind w:left="851"/>
        <w:rPr>
          <w:sz w:val="24"/>
          <w:szCs w:val="24"/>
        </w:rPr>
      </w:pPr>
      <w:r w:rsidRPr="002E6061">
        <w:rPr>
          <w:sz w:val="24"/>
          <w:szCs w:val="24"/>
        </w:rPr>
        <w:t>Toksicitetsstudier med gentagen intranasal dosering hos rotter i en periode på op til 90 dage og hos hunde i 14 dage med azelastin/fluticason-næsespray viste ingen nye bivirkninger sammenlignet med de individuelle komponenter.</w:t>
      </w:r>
    </w:p>
    <w:p w14:paraId="4416DEC6" w14:textId="77777777" w:rsidR="009260DE" w:rsidRPr="00C84483" w:rsidRDefault="009260DE" w:rsidP="009260DE">
      <w:pPr>
        <w:tabs>
          <w:tab w:val="left" w:pos="851"/>
        </w:tabs>
        <w:ind w:left="851"/>
        <w:rPr>
          <w:sz w:val="24"/>
          <w:szCs w:val="24"/>
        </w:rPr>
      </w:pPr>
    </w:p>
    <w:p w14:paraId="3C6D2267" w14:textId="77777777" w:rsidR="009260DE" w:rsidRPr="00C84483" w:rsidRDefault="009260DE" w:rsidP="009260DE">
      <w:pPr>
        <w:tabs>
          <w:tab w:val="left" w:pos="851"/>
        </w:tabs>
        <w:ind w:left="851"/>
        <w:rPr>
          <w:sz w:val="24"/>
          <w:szCs w:val="24"/>
        </w:rPr>
      </w:pPr>
    </w:p>
    <w:p w14:paraId="41CDA667"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975A738" w14:textId="77777777" w:rsidR="009260DE" w:rsidRPr="00BA09F1" w:rsidRDefault="009260DE" w:rsidP="009260DE">
      <w:pPr>
        <w:tabs>
          <w:tab w:val="left" w:pos="851"/>
        </w:tabs>
        <w:ind w:left="851"/>
        <w:rPr>
          <w:sz w:val="24"/>
          <w:szCs w:val="24"/>
        </w:rPr>
      </w:pPr>
    </w:p>
    <w:p w14:paraId="019CD51B"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C2C88C3" w14:textId="77777777" w:rsidR="004F137F" w:rsidRPr="004F137F" w:rsidRDefault="004F137F" w:rsidP="004F137F">
      <w:pPr>
        <w:tabs>
          <w:tab w:val="left" w:pos="851"/>
        </w:tabs>
        <w:ind w:left="851"/>
        <w:rPr>
          <w:sz w:val="24"/>
          <w:szCs w:val="24"/>
        </w:rPr>
      </w:pPr>
      <w:r w:rsidRPr="004F137F">
        <w:rPr>
          <w:sz w:val="24"/>
          <w:szCs w:val="24"/>
        </w:rPr>
        <w:t>Dinatriumedetat</w:t>
      </w:r>
    </w:p>
    <w:p w14:paraId="33877E20" w14:textId="77777777" w:rsidR="004F137F" w:rsidRPr="004F137F" w:rsidRDefault="004F137F" w:rsidP="004F137F">
      <w:pPr>
        <w:tabs>
          <w:tab w:val="left" w:pos="851"/>
        </w:tabs>
        <w:ind w:left="851"/>
        <w:rPr>
          <w:sz w:val="24"/>
          <w:szCs w:val="24"/>
        </w:rPr>
      </w:pPr>
      <w:r w:rsidRPr="004F137F">
        <w:rPr>
          <w:sz w:val="24"/>
          <w:szCs w:val="24"/>
        </w:rPr>
        <w:t>Glycerol</w:t>
      </w:r>
    </w:p>
    <w:p w14:paraId="6FFE70EE" w14:textId="77777777" w:rsidR="004F137F" w:rsidRPr="004F137F" w:rsidRDefault="004F137F" w:rsidP="004F137F">
      <w:pPr>
        <w:tabs>
          <w:tab w:val="left" w:pos="851"/>
        </w:tabs>
        <w:ind w:left="851"/>
        <w:rPr>
          <w:sz w:val="24"/>
          <w:szCs w:val="24"/>
        </w:rPr>
      </w:pPr>
      <w:r w:rsidRPr="004F137F">
        <w:rPr>
          <w:sz w:val="24"/>
          <w:szCs w:val="24"/>
        </w:rPr>
        <w:t>Mikrokrystallinsk cellulose (E460)</w:t>
      </w:r>
    </w:p>
    <w:p w14:paraId="0F3F5C77" w14:textId="77777777" w:rsidR="004F137F" w:rsidRPr="004F137F" w:rsidRDefault="004F137F" w:rsidP="004F137F">
      <w:pPr>
        <w:tabs>
          <w:tab w:val="left" w:pos="851"/>
        </w:tabs>
        <w:ind w:left="851"/>
        <w:rPr>
          <w:sz w:val="24"/>
          <w:szCs w:val="24"/>
        </w:rPr>
      </w:pPr>
      <w:r w:rsidRPr="004F137F">
        <w:rPr>
          <w:sz w:val="24"/>
          <w:szCs w:val="24"/>
        </w:rPr>
        <w:t>Carmellosenatrium (E466)</w:t>
      </w:r>
    </w:p>
    <w:p w14:paraId="0CCAFA67" w14:textId="77777777" w:rsidR="004F137F" w:rsidRPr="004F137F" w:rsidRDefault="004F137F" w:rsidP="004F137F">
      <w:pPr>
        <w:tabs>
          <w:tab w:val="left" w:pos="851"/>
        </w:tabs>
        <w:ind w:left="851"/>
        <w:rPr>
          <w:sz w:val="24"/>
          <w:szCs w:val="24"/>
        </w:rPr>
      </w:pPr>
      <w:r w:rsidRPr="004F137F">
        <w:rPr>
          <w:sz w:val="24"/>
          <w:szCs w:val="24"/>
        </w:rPr>
        <w:t>Polysorbat 80 (E433)</w:t>
      </w:r>
    </w:p>
    <w:p w14:paraId="61F50B98" w14:textId="77777777" w:rsidR="004F137F" w:rsidRPr="004F137F" w:rsidRDefault="004F137F" w:rsidP="004F137F">
      <w:pPr>
        <w:tabs>
          <w:tab w:val="left" w:pos="851"/>
        </w:tabs>
        <w:ind w:left="851"/>
        <w:rPr>
          <w:sz w:val="24"/>
          <w:szCs w:val="24"/>
        </w:rPr>
      </w:pPr>
      <w:r w:rsidRPr="004F137F">
        <w:rPr>
          <w:sz w:val="24"/>
          <w:szCs w:val="24"/>
        </w:rPr>
        <w:t>Benzalkoniumchlorid</w:t>
      </w:r>
    </w:p>
    <w:p w14:paraId="10CABFAE" w14:textId="77777777" w:rsidR="004F137F" w:rsidRPr="004F137F" w:rsidRDefault="004F137F" w:rsidP="004F137F">
      <w:pPr>
        <w:tabs>
          <w:tab w:val="left" w:pos="851"/>
        </w:tabs>
        <w:ind w:left="851"/>
        <w:rPr>
          <w:sz w:val="24"/>
          <w:szCs w:val="24"/>
        </w:rPr>
      </w:pPr>
      <w:r w:rsidRPr="004F137F">
        <w:rPr>
          <w:sz w:val="24"/>
          <w:szCs w:val="24"/>
        </w:rPr>
        <w:t>Phenylethylalkohol</w:t>
      </w:r>
    </w:p>
    <w:p w14:paraId="4D283A8C" w14:textId="77777777" w:rsidR="004F137F" w:rsidRPr="004F137F" w:rsidRDefault="004F137F" w:rsidP="004F137F">
      <w:pPr>
        <w:tabs>
          <w:tab w:val="left" w:pos="851"/>
        </w:tabs>
        <w:ind w:left="851"/>
        <w:rPr>
          <w:sz w:val="24"/>
          <w:szCs w:val="24"/>
        </w:rPr>
      </w:pPr>
      <w:r w:rsidRPr="004F137F">
        <w:rPr>
          <w:sz w:val="24"/>
          <w:szCs w:val="24"/>
        </w:rPr>
        <w:t>Renset vand</w:t>
      </w:r>
    </w:p>
    <w:p w14:paraId="65897B14" w14:textId="77777777" w:rsidR="009260DE" w:rsidRPr="00C84483" w:rsidRDefault="009260DE" w:rsidP="009260DE">
      <w:pPr>
        <w:tabs>
          <w:tab w:val="left" w:pos="851"/>
        </w:tabs>
        <w:ind w:left="851"/>
        <w:rPr>
          <w:sz w:val="24"/>
          <w:szCs w:val="24"/>
        </w:rPr>
      </w:pPr>
    </w:p>
    <w:p w14:paraId="664396CA"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60509F70" w14:textId="77777777" w:rsidR="004F137F" w:rsidRPr="004F137F" w:rsidRDefault="004F137F" w:rsidP="004F137F">
      <w:pPr>
        <w:tabs>
          <w:tab w:val="left" w:pos="851"/>
        </w:tabs>
        <w:ind w:left="851"/>
        <w:rPr>
          <w:sz w:val="24"/>
          <w:szCs w:val="24"/>
        </w:rPr>
      </w:pPr>
      <w:r w:rsidRPr="004F137F">
        <w:rPr>
          <w:sz w:val="24"/>
          <w:szCs w:val="24"/>
        </w:rPr>
        <w:t>Ikke relevant.</w:t>
      </w:r>
    </w:p>
    <w:p w14:paraId="7D646BA4" w14:textId="59058AE1" w:rsidR="004F137F" w:rsidRDefault="004F137F">
      <w:pPr>
        <w:rPr>
          <w:sz w:val="24"/>
          <w:szCs w:val="24"/>
        </w:rPr>
      </w:pPr>
      <w:r>
        <w:rPr>
          <w:sz w:val="24"/>
          <w:szCs w:val="24"/>
        </w:rPr>
        <w:br w:type="page"/>
      </w:r>
    </w:p>
    <w:p w14:paraId="44ADAC9C" w14:textId="77777777" w:rsidR="009260DE" w:rsidRPr="00C84483" w:rsidRDefault="009260DE" w:rsidP="009260DE">
      <w:pPr>
        <w:tabs>
          <w:tab w:val="left" w:pos="851"/>
        </w:tabs>
        <w:ind w:left="851"/>
        <w:rPr>
          <w:sz w:val="24"/>
          <w:szCs w:val="24"/>
        </w:rPr>
      </w:pPr>
    </w:p>
    <w:p w14:paraId="108263DF"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155E73E6" w14:textId="55C3B277" w:rsidR="004F137F" w:rsidRPr="004F137F" w:rsidRDefault="004F137F" w:rsidP="004F137F">
      <w:pPr>
        <w:tabs>
          <w:tab w:val="left" w:pos="851"/>
        </w:tabs>
        <w:ind w:left="851"/>
        <w:rPr>
          <w:sz w:val="24"/>
          <w:szCs w:val="24"/>
        </w:rPr>
      </w:pPr>
      <w:r w:rsidRPr="004F137F">
        <w:rPr>
          <w:sz w:val="24"/>
          <w:szCs w:val="24"/>
        </w:rPr>
        <w:t>2 år</w:t>
      </w:r>
      <w:r>
        <w:rPr>
          <w:sz w:val="24"/>
          <w:szCs w:val="24"/>
        </w:rPr>
        <w:t>.</w:t>
      </w:r>
    </w:p>
    <w:p w14:paraId="63910D14" w14:textId="77777777" w:rsidR="004F137F" w:rsidRPr="004F137F" w:rsidRDefault="004F137F" w:rsidP="004F137F">
      <w:pPr>
        <w:tabs>
          <w:tab w:val="left" w:pos="851"/>
        </w:tabs>
        <w:ind w:left="851"/>
        <w:rPr>
          <w:sz w:val="24"/>
          <w:szCs w:val="24"/>
        </w:rPr>
      </w:pPr>
    </w:p>
    <w:p w14:paraId="22203AA3" w14:textId="77777777" w:rsidR="004F137F" w:rsidRPr="004F137F" w:rsidRDefault="004F137F" w:rsidP="004F137F">
      <w:pPr>
        <w:tabs>
          <w:tab w:val="left" w:pos="851"/>
        </w:tabs>
        <w:ind w:left="851"/>
        <w:rPr>
          <w:sz w:val="24"/>
          <w:szCs w:val="24"/>
          <w:u w:val="single"/>
        </w:rPr>
      </w:pPr>
      <w:r w:rsidRPr="004F137F">
        <w:rPr>
          <w:sz w:val="24"/>
          <w:szCs w:val="24"/>
          <w:u w:val="single"/>
        </w:rPr>
        <w:t>Holdbarhed efter første åbning</w:t>
      </w:r>
    </w:p>
    <w:p w14:paraId="4EAFAB64" w14:textId="577D96B8" w:rsidR="004F137F" w:rsidRPr="004F137F" w:rsidRDefault="004F137F" w:rsidP="004F137F">
      <w:pPr>
        <w:tabs>
          <w:tab w:val="left" w:pos="851"/>
        </w:tabs>
        <w:ind w:left="851"/>
        <w:rPr>
          <w:sz w:val="24"/>
          <w:szCs w:val="24"/>
        </w:rPr>
      </w:pPr>
      <w:r w:rsidRPr="004F137F">
        <w:rPr>
          <w:sz w:val="24"/>
          <w:szCs w:val="24"/>
        </w:rPr>
        <w:t>1 år.</w:t>
      </w:r>
    </w:p>
    <w:p w14:paraId="6D7A03A9" w14:textId="77777777" w:rsidR="009260DE" w:rsidRPr="00C84483" w:rsidRDefault="009260DE" w:rsidP="009260DE">
      <w:pPr>
        <w:tabs>
          <w:tab w:val="left" w:pos="851"/>
        </w:tabs>
        <w:ind w:left="851"/>
        <w:rPr>
          <w:sz w:val="24"/>
          <w:szCs w:val="24"/>
        </w:rPr>
      </w:pPr>
    </w:p>
    <w:p w14:paraId="7CEB614D"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62B20EB9" w14:textId="77777777" w:rsidR="004F137F" w:rsidRPr="004F137F" w:rsidRDefault="004F137F" w:rsidP="004F137F">
      <w:pPr>
        <w:tabs>
          <w:tab w:val="left" w:pos="851"/>
        </w:tabs>
        <w:ind w:left="851"/>
        <w:rPr>
          <w:sz w:val="24"/>
          <w:szCs w:val="24"/>
        </w:rPr>
      </w:pPr>
      <w:r w:rsidRPr="004F137F">
        <w:rPr>
          <w:sz w:val="24"/>
          <w:szCs w:val="24"/>
        </w:rPr>
        <w:t>Må ikke opbevares i køleskab eller nedfryses.</w:t>
      </w:r>
    </w:p>
    <w:p w14:paraId="536CC981" w14:textId="77777777" w:rsidR="009260DE" w:rsidRPr="00C84483" w:rsidRDefault="009260DE" w:rsidP="009260DE">
      <w:pPr>
        <w:tabs>
          <w:tab w:val="left" w:pos="851"/>
        </w:tabs>
        <w:ind w:left="851"/>
        <w:rPr>
          <w:sz w:val="24"/>
          <w:szCs w:val="24"/>
        </w:rPr>
      </w:pPr>
    </w:p>
    <w:p w14:paraId="0F7B4949"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293A8BA" w14:textId="77777777" w:rsidR="004F137F" w:rsidRPr="004F137F" w:rsidRDefault="004F137F" w:rsidP="004F137F">
      <w:pPr>
        <w:tabs>
          <w:tab w:val="left" w:pos="851"/>
        </w:tabs>
        <w:ind w:left="851"/>
        <w:rPr>
          <w:sz w:val="24"/>
          <w:szCs w:val="24"/>
        </w:rPr>
      </w:pPr>
      <w:r w:rsidRPr="004F137F">
        <w:rPr>
          <w:sz w:val="24"/>
          <w:szCs w:val="24"/>
        </w:rPr>
        <w:t>Ravfarvet type I-glasflaske med en spraypumpe, en nasal polypropylen-applikator (aktuator) og en støvhætte, indeholdende 23 g (mindst 120 pust) suspension.</w:t>
      </w:r>
    </w:p>
    <w:p w14:paraId="45BC9FD7" w14:textId="77777777" w:rsidR="004F137F" w:rsidRPr="004F137F" w:rsidRDefault="004F137F" w:rsidP="004F137F">
      <w:pPr>
        <w:tabs>
          <w:tab w:val="left" w:pos="851"/>
        </w:tabs>
        <w:ind w:left="851"/>
        <w:rPr>
          <w:sz w:val="24"/>
          <w:szCs w:val="24"/>
        </w:rPr>
      </w:pPr>
    </w:p>
    <w:p w14:paraId="704CE4C0" w14:textId="77777777" w:rsidR="004F137F" w:rsidRPr="004F137F" w:rsidRDefault="004F137F" w:rsidP="004F137F">
      <w:pPr>
        <w:tabs>
          <w:tab w:val="left" w:pos="851"/>
        </w:tabs>
        <w:ind w:left="851"/>
        <w:rPr>
          <w:i/>
          <w:sz w:val="24"/>
          <w:szCs w:val="24"/>
          <w:u w:val="single"/>
        </w:rPr>
      </w:pPr>
      <w:r w:rsidRPr="004F137F">
        <w:rPr>
          <w:sz w:val="24"/>
          <w:szCs w:val="24"/>
          <w:u w:val="single"/>
        </w:rPr>
        <w:t>Pakningsstørrelser</w:t>
      </w:r>
    </w:p>
    <w:p w14:paraId="50F09E4C" w14:textId="636A4CEB" w:rsidR="004F137F" w:rsidRPr="004F137F" w:rsidRDefault="004F137F" w:rsidP="004F137F">
      <w:pPr>
        <w:tabs>
          <w:tab w:val="left" w:pos="851"/>
        </w:tabs>
        <w:ind w:left="851"/>
        <w:rPr>
          <w:sz w:val="24"/>
          <w:szCs w:val="24"/>
        </w:rPr>
      </w:pPr>
      <w:r>
        <w:rPr>
          <w:sz w:val="24"/>
          <w:szCs w:val="24"/>
        </w:rPr>
        <w:t>E</w:t>
      </w:r>
      <w:r w:rsidRPr="004F137F">
        <w:rPr>
          <w:sz w:val="24"/>
          <w:szCs w:val="24"/>
        </w:rPr>
        <w:t>n 25 ml-flaske indeholdende 23 g suspension (mindst 120 pust).</w:t>
      </w:r>
    </w:p>
    <w:p w14:paraId="39F5AFE3" w14:textId="7EB93139" w:rsidR="004F137F" w:rsidRPr="004F137F" w:rsidRDefault="004F137F" w:rsidP="004F137F">
      <w:pPr>
        <w:tabs>
          <w:tab w:val="left" w:pos="851"/>
        </w:tabs>
        <w:ind w:left="851"/>
        <w:rPr>
          <w:sz w:val="24"/>
          <w:szCs w:val="24"/>
        </w:rPr>
      </w:pPr>
      <w:r w:rsidRPr="004F137F">
        <w:rPr>
          <w:sz w:val="24"/>
          <w:szCs w:val="24"/>
        </w:rPr>
        <w:t xml:space="preserve">Sampakning </w:t>
      </w:r>
      <w:r>
        <w:rPr>
          <w:sz w:val="24"/>
          <w:szCs w:val="24"/>
        </w:rPr>
        <w:t>med</w:t>
      </w:r>
      <w:r w:rsidRPr="004F137F">
        <w:rPr>
          <w:sz w:val="24"/>
          <w:szCs w:val="24"/>
        </w:rPr>
        <w:t xml:space="preserve"> 3 flasker på hver 25 ml indeholdende 23 g suspension (mindst 120 pust).</w:t>
      </w:r>
    </w:p>
    <w:p w14:paraId="21696EFC" w14:textId="77777777" w:rsidR="004F137F" w:rsidRPr="004F137F" w:rsidRDefault="004F137F" w:rsidP="004F137F">
      <w:pPr>
        <w:tabs>
          <w:tab w:val="left" w:pos="851"/>
        </w:tabs>
        <w:ind w:left="851"/>
        <w:rPr>
          <w:sz w:val="24"/>
          <w:szCs w:val="24"/>
        </w:rPr>
      </w:pPr>
    </w:p>
    <w:p w14:paraId="64D37304" w14:textId="77777777" w:rsidR="004F137F" w:rsidRPr="004F137F" w:rsidRDefault="004F137F" w:rsidP="004F137F">
      <w:pPr>
        <w:tabs>
          <w:tab w:val="left" w:pos="851"/>
        </w:tabs>
        <w:ind w:left="851"/>
        <w:rPr>
          <w:sz w:val="24"/>
          <w:szCs w:val="24"/>
        </w:rPr>
      </w:pPr>
      <w:r w:rsidRPr="004F137F">
        <w:rPr>
          <w:sz w:val="24"/>
          <w:szCs w:val="24"/>
        </w:rPr>
        <w:t>Ikke alle pakningsstørrelser er nødvendigvis markedsført.</w:t>
      </w:r>
    </w:p>
    <w:p w14:paraId="193F29B7" w14:textId="77777777" w:rsidR="009260DE" w:rsidRPr="00C84483" w:rsidRDefault="009260DE" w:rsidP="009260DE">
      <w:pPr>
        <w:tabs>
          <w:tab w:val="left" w:pos="851"/>
        </w:tabs>
        <w:ind w:left="851"/>
        <w:rPr>
          <w:sz w:val="24"/>
          <w:szCs w:val="24"/>
        </w:rPr>
      </w:pPr>
    </w:p>
    <w:p w14:paraId="27301884"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061425C" w14:textId="77777777" w:rsidR="004F137F" w:rsidRPr="004F137F" w:rsidRDefault="004F137F" w:rsidP="004F137F">
      <w:pPr>
        <w:tabs>
          <w:tab w:val="left" w:pos="851"/>
        </w:tabs>
        <w:ind w:left="851"/>
        <w:rPr>
          <w:sz w:val="24"/>
          <w:szCs w:val="24"/>
        </w:rPr>
      </w:pPr>
      <w:r w:rsidRPr="004F137F">
        <w:rPr>
          <w:sz w:val="24"/>
          <w:szCs w:val="24"/>
        </w:rPr>
        <w:t>Ryst flasken forsigtigt inden brug.</w:t>
      </w:r>
    </w:p>
    <w:p w14:paraId="4E3B8BF4" w14:textId="77777777" w:rsidR="004F137F" w:rsidRPr="004F137F" w:rsidRDefault="004F137F" w:rsidP="004F137F">
      <w:pPr>
        <w:tabs>
          <w:tab w:val="left" w:pos="851"/>
        </w:tabs>
        <w:ind w:left="851"/>
        <w:rPr>
          <w:sz w:val="24"/>
          <w:szCs w:val="24"/>
        </w:rPr>
      </w:pPr>
    </w:p>
    <w:p w14:paraId="5D74E2E2" w14:textId="77777777" w:rsidR="004F137F" w:rsidRPr="004F137F" w:rsidRDefault="004F137F" w:rsidP="004F137F">
      <w:pPr>
        <w:tabs>
          <w:tab w:val="left" w:pos="851"/>
        </w:tabs>
        <w:ind w:left="851"/>
        <w:rPr>
          <w:sz w:val="24"/>
          <w:szCs w:val="24"/>
        </w:rPr>
      </w:pPr>
      <w:r w:rsidRPr="004F137F">
        <w:rPr>
          <w:sz w:val="24"/>
          <w:szCs w:val="24"/>
        </w:rPr>
        <w:t>Ingen særlige forholdsregler ved bortskaffelse.</w:t>
      </w:r>
    </w:p>
    <w:p w14:paraId="77C647B2" w14:textId="77777777" w:rsidR="009260DE" w:rsidRPr="00C84483" w:rsidRDefault="009260DE" w:rsidP="000730CA">
      <w:pPr>
        <w:tabs>
          <w:tab w:val="left" w:pos="851"/>
        </w:tabs>
        <w:ind w:left="851"/>
        <w:rPr>
          <w:sz w:val="24"/>
          <w:szCs w:val="24"/>
        </w:rPr>
      </w:pPr>
    </w:p>
    <w:p w14:paraId="0CB98176"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6651688" w14:textId="77777777" w:rsidR="004F137F" w:rsidRPr="000F2894" w:rsidRDefault="004F137F" w:rsidP="004F137F">
      <w:pPr>
        <w:tabs>
          <w:tab w:val="left" w:pos="851"/>
        </w:tabs>
        <w:ind w:left="851"/>
        <w:rPr>
          <w:sz w:val="24"/>
          <w:szCs w:val="24"/>
        </w:rPr>
      </w:pPr>
      <w:r w:rsidRPr="000F2894">
        <w:rPr>
          <w:sz w:val="24"/>
          <w:szCs w:val="24"/>
        </w:rPr>
        <w:t>Newbury Pharmaceuticals AB</w:t>
      </w:r>
    </w:p>
    <w:p w14:paraId="6F1E1102" w14:textId="40C5C0D2" w:rsidR="004F137F" w:rsidRPr="000F2894" w:rsidRDefault="004F137F" w:rsidP="004F137F">
      <w:pPr>
        <w:tabs>
          <w:tab w:val="left" w:pos="851"/>
        </w:tabs>
        <w:ind w:left="851"/>
        <w:rPr>
          <w:sz w:val="24"/>
          <w:szCs w:val="24"/>
        </w:rPr>
      </w:pPr>
      <w:r w:rsidRPr="000F2894">
        <w:rPr>
          <w:sz w:val="24"/>
          <w:szCs w:val="24"/>
        </w:rPr>
        <w:t>Medicon Village</w:t>
      </w:r>
    </w:p>
    <w:p w14:paraId="7D8311FA" w14:textId="3BFD74E3" w:rsidR="00E64F7D" w:rsidRPr="000F2894" w:rsidRDefault="00E64F7D" w:rsidP="004F137F">
      <w:pPr>
        <w:tabs>
          <w:tab w:val="left" w:pos="851"/>
        </w:tabs>
        <w:ind w:left="851"/>
        <w:rPr>
          <w:sz w:val="24"/>
          <w:szCs w:val="24"/>
        </w:rPr>
      </w:pPr>
      <w:r w:rsidRPr="00E64F7D">
        <w:rPr>
          <w:sz w:val="24"/>
          <w:szCs w:val="24"/>
        </w:rPr>
        <w:t>Scheele Torget 1</w:t>
      </w:r>
    </w:p>
    <w:p w14:paraId="6F7F5D01" w14:textId="77777777" w:rsidR="004F137F" w:rsidRPr="000F2894" w:rsidRDefault="004F137F" w:rsidP="004F137F">
      <w:pPr>
        <w:tabs>
          <w:tab w:val="left" w:pos="851"/>
        </w:tabs>
        <w:ind w:left="851"/>
        <w:rPr>
          <w:sz w:val="24"/>
          <w:szCs w:val="24"/>
        </w:rPr>
      </w:pPr>
      <w:r w:rsidRPr="000F2894">
        <w:rPr>
          <w:sz w:val="24"/>
          <w:szCs w:val="24"/>
        </w:rPr>
        <w:t>223 81 Lund</w:t>
      </w:r>
    </w:p>
    <w:p w14:paraId="041FE322" w14:textId="77777777" w:rsidR="004F137F" w:rsidRPr="004F137F" w:rsidRDefault="004F137F" w:rsidP="004F137F">
      <w:pPr>
        <w:tabs>
          <w:tab w:val="left" w:pos="851"/>
        </w:tabs>
        <w:ind w:left="851"/>
        <w:rPr>
          <w:sz w:val="24"/>
          <w:szCs w:val="24"/>
        </w:rPr>
      </w:pPr>
      <w:r w:rsidRPr="004F137F">
        <w:rPr>
          <w:sz w:val="24"/>
          <w:szCs w:val="24"/>
        </w:rPr>
        <w:t>Sverige</w:t>
      </w:r>
    </w:p>
    <w:p w14:paraId="43A840D7" w14:textId="584912DA" w:rsidR="009260DE" w:rsidRPr="00C84483" w:rsidRDefault="009260DE" w:rsidP="009260DE">
      <w:pPr>
        <w:tabs>
          <w:tab w:val="left" w:pos="851"/>
        </w:tabs>
        <w:ind w:left="851"/>
        <w:rPr>
          <w:sz w:val="24"/>
          <w:szCs w:val="24"/>
        </w:rPr>
      </w:pPr>
    </w:p>
    <w:p w14:paraId="1C70739B"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210FBAEE" w14:textId="052621C7" w:rsidR="009260DE" w:rsidRPr="00C84483" w:rsidRDefault="00E64F7D" w:rsidP="009260DE">
      <w:pPr>
        <w:tabs>
          <w:tab w:val="left" w:pos="851"/>
        </w:tabs>
        <w:ind w:left="851"/>
        <w:rPr>
          <w:sz w:val="24"/>
          <w:szCs w:val="24"/>
        </w:rPr>
      </w:pPr>
      <w:r>
        <w:rPr>
          <w:sz w:val="24"/>
          <w:szCs w:val="24"/>
        </w:rPr>
        <w:t>70041</w:t>
      </w:r>
    </w:p>
    <w:p w14:paraId="73830A15" w14:textId="77777777" w:rsidR="009260DE" w:rsidRPr="00C84483" w:rsidRDefault="009260DE" w:rsidP="009260DE">
      <w:pPr>
        <w:tabs>
          <w:tab w:val="left" w:pos="851"/>
        </w:tabs>
        <w:ind w:left="851"/>
        <w:jc w:val="both"/>
        <w:rPr>
          <w:sz w:val="24"/>
          <w:szCs w:val="24"/>
        </w:rPr>
      </w:pPr>
    </w:p>
    <w:p w14:paraId="0526CEBB"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CD57C3A" w14:textId="3903E0BC" w:rsidR="009260DE" w:rsidRPr="00C84483" w:rsidRDefault="000F2894" w:rsidP="009260DE">
      <w:pPr>
        <w:tabs>
          <w:tab w:val="left" w:pos="851"/>
        </w:tabs>
        <w:ind w:left="851"/>
        <w:rPr>
          <w:sz w:val="24"/>
          <w:szCs w:val="24"/>
        </w:rPr>
      </w:pPr>
      <w:r>
        <w:rPr>
          <w:sz w:val="24"/>
          <w:szCs w:val="24"/>
        </w:rPr>
        <w:t>21. februar 2025</w:t>
      </w:r>
    </w:p>
    <w:p w14:paraId="650BA1EC" w14:textId="77777777" w:rsidR="009260DE" w:rsidRPr="00C84483" w:rsidRDefault="009260DE" w:rsidP="009260DE">
      <w:pPr>
        <w:tabs>
          <w:tab w:val="left" w:pos="851"/>
        </w:tabs>
        <w:ind w:left="851"/>
        <w:rPr>
          <w:sz w:val="24"/>
          <w:szCs w:val="24"/>
        </w:rPr>
      </w:pPr>
    </w:p>
    <w:p w14:paraId="0A4FC74F"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319DDCBE" w14:textId="1F1AFFFE" w:rsidR="009260DE" w:rsidRPr="00C84483" w:rsidRDefault="00E64F7D"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EE2B9" w14:textId="77777777" w:rsidR="009C71FA" w:rsidRDefault="009C71FA">
      <w:r>
        <w:separator/>
      </w:r>
    </w:p>
  </w:endnote>
  <w:endnote w:type="continuationSeparator" w:id="0">
    <w:p w14:paraId="4690B421" w14:textId="77777777" w:rsidR="009C71FA" w:rsidRDefault="009C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25F16" w14:textId="77777777" w:rsidR="000259B9" w:rsidRDefault="000259B9">
    <w:pPr>
      <w:pStyle w:val="Sidefod"/>
      <w:pBdr>
        <w:bottom w:val="single" w:sz="6" w:space="1" w:color="auto"/>
      </w:pBdr>
    </w:pPr>
  </w:p>
  <w:p w14:paraId="0D76895D" w14:textId="77777777" w:rsidR="000259B9" w:rsidRDefault="000259B9" w:rsidP="00C42586">
    <w:pPr>
      <w:pStyle w:val="Sidefod"/>
      <w:tabs>
        <w:tab w:val="clear" w:pos="4819"/>
        <w:tab w:val="left" w:pos="8505"/>
      </w:tabs>
      <w:rPr>
        <w:i/>
        <w:sz w:val="18"/>
        <w:szCs w:val="18"/>
      </w:rPr>
    </w:pPr>
  </w:p>
  <w:p w14:paraId="17807B5F" w14:textId="3669475C"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16777">
      <w:rPr>
        <w:i/>
        <w:noProof/>
        <w:sz w:val="18"/>
        <w:szCs w:val="18"/>
      </w:rPr>
      <w:t>Azelastine hydrochloride-Fluticasone Newbury , næsespray, suspension 137+50 mikrogram pr. pust</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9F8CE" w14:textId="77777777" w:rsidR="009C71FA" w:rsidRDefault="009C71FA">
      <w:r>
        <w:separator/>
      </w:r>
    </w:p>
  </w:footnote>
  <w:footnote w:type="continuationSeparator" w:id="0">
    <w:p w14:paraId="4977F13C" w14:textId="77777777" w:rsidR="009C71FA" w:rsidRDefault="009C7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FA"/>
    <w:rsid w:val="00021E22"/>
    <w:rsid w:val="000259B9"/>
    <w:rsid w:val="00041491"/>
    <w:rsid w:val="00050D16"/>
    <w:rsid w:val="000730CA"/>
    <w:rsid w:val="00074F2A"/>
    <w:rsid w:val="000A1CA8"/>
    <w:rsid w:val="000A466B"/>
    <w:rsid w:val="000B058C"/>
    <w:rsid w:val="000D68B0"/>
    <w:rsid w:val="000E4EE6"/>
    <w:rsid w:val="000F2894"/>
    <w:rsid w:val="001454E2"/>
    <w:rsid w:val="00206CE8"/>
    <w:rsid w:val="0021526C"/>
    <w:rsid w:val="00283A2B"/>
    <w:rsid w:val="002B30AD"/>
    <w:rsid w:val="002C1EC0"/>
    <w:rsid w:val="002C2C01"/>
    <w:rsid w:val="002E6061"/>
    <w:rsid w:val="003A29AE"/>
    <w:rsid w:val="003A32D7"/>
    <w:rsid w:val="003B4074"/>
    <w:rsid w:val="003C769A"/>
    <w:rsid w:val="003D3A90"/>
    <w:rsid w:val="003F1838"/>
    <w:rsid w:val="004251C1"/>
    <w:rsid w:val="0045746C"/>
    <w:rsid w:val="0049104B"/>
    <w:rsid w:val="004E3B12"/>
    <w:rsid w:val="004F137F"/>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C71FA"/>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CC41AE"/>
    <w:rsid w:val="00D020B0"/>
    <w:rsid w:val="00D11748"/>
    <w:rsid w:val="00D237F6"/>
    <w:rsid w:val="00D34D98"/>
    <w:rsid w:val="00D366CF"/>
    <w:rsid w:val="00D93992"/>
    <w:rsid w:val="00E108AA"/>
    <w:rsid w:val="00E3749A"/>
    <w:rsid w:val="00E64F7D"/>
    <w:rsid w:val="00E7437F"/>
    <w:rsid w:val="00E865B8"/>
    <w:rsid w:val="00EC0B9B"/>
    <w:rsid w:val="00ED5E9F"/>
    <w:rsid w:val="00F1677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1657D"/>
  <w15:chartTrackingRefBased/>
  <w15:docId w15:val="{B416FE2D-C4BE-4723-B603-4AA886ED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CC41AE"/>
    <w:rPr>
      <w:color w:val="0000FF"/>
      <w:u w:val="single"/>
    </w:rPr>
  </w:style>
  <w:style w:type="table" w:styleId="Tabel-Gitter">
    <w:name w:val="Table Grid"/>
    <w:basedOn w:val="Tabel-Normal"/>
    <w:rsid w:val="00CC41AE"/>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17985">
      <w:bodyDiv w:val="1"/>
      <w:marLeft w:val="0"/>
      <w:marRight w:val="0"/>
      <w:marTop w:val="0"/>
      <w:marBottom w:val="0"/>
      <w:divBdr>
        <w:top w:val="none" w:sz="0" w:space="0" w:color="auto"/>
        <w:left w:val="none" w:sz="0" w:space="0" w:color="auto"/>
        <w:bottom w:val="none" w:sz="0" w:space="0" w:color="auto"/>
        <w:right w:val="none" w:sz="0" w:space="0" w:color="auto"/>
      </w:divBdr>
    </w:div>
    <w:div w:id="69469605">
      <w:bodyDiv w:val="1"/>
      <w:marLeft w:val="0"/>
      <w:marRight w:val="0"/>
      <w:marTop w:val="0"/>
      <w:marBottom w:val="0"/>
      <w:divBdr>
        <w:top w:val="none" w:sz="0" w:space="0" w:color="auto"/>
        <w:left w:val="none" w:sz="0" w:space="0" w:color="auto"/>
        <w:bottom w:val="none" w:sz="0" w:space="0" w:color="auto"/>
        <w:right w:val="none" w:sz="0" w:space="0" w:color="auto"/>
      </w:divBdr>
    </w:div>
    <w:div w:id="9190137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3884180">
      <w:bodyDiv w:val="1"/>
      <w:marLeft w:val="0"/>
      <w:marRight w:val="0"/>
      <w:marTop w:val="0"/>
      <w:marBottom w:val="0"/>
      <w:divBdr>
        <w:top w:val="none" w:sz="0" w:space="0" w:color="auto"/>
        <w:left w:val="none" w:sz="0" w:space="0" w:color="auto"/>
        <w:bottom w:val="none" w:sz="0" w:space="0" w:color="auto"/>
        <w:right w:val="none" w:sz="0" w:space="0" w:color="auto"/>
      </w:divBdr>
    </w:div>
    <w:div w:id="237984344">
      <w:bodyDiv w:val="1"/>
      <w:marLeft w:val="0"/>
      <w:marRight w:val="0"/>
      <w:marTop w:val="0"/>
      <w:marBottom w:val="0"/>
      <w:divBdr>
        <w:top w:val="none" w:sz="0" w:space="0" w:color="auto"/>
        <w:left w:val="none" w:sz="0" w:space="0" w:color="auto"/>
        <w:bottom w:val="none" w:sz="0" w:space="0" w:color="auto"/>
        <w:right w:val="none" w:sz="0" w:space="0" w:color="auto"/>
      </w:divBdr>
    </w:div>
    <w:div w:id="380443860">
      <w:bodyDiv w:val="1"/>
      <w:marLeft w:val="0"/>
      <w:marRight w:val="0"/>
      <w:marTop w:val="0"/>
      <w:marBottom w:val="0"/>
      <w:divBdr>
        <w:top w:val="none" w:sz="0" w:space="0" w:color="auto"/>
        <w:left w:val="none" w:sz="0" w:space="0" w:color="auto"/>
        <w:bottom w:val="none" w:sz="0" w:space="0" w:color="auto"/>
        <w:right w:val="none" w:sz="0" w:space="0" w:color="auto"/>
      </w:divBdr>
    </w:div>
    <w:div w:id="400176564">
      <w:bodyDiv w:val="1"/>
      <w:marLeft w:val="0"/>
      <w:marRight w:val="0"/>
      <w:marTop w:val="0"/>
      <w:marBottom w:val="0"/>
      <w:divBdr>
        <w:top w:val="none" w:sz="0" w:space="0" w:color="auto"/>
        <w:left w:val="none" w:sz="0" w:space="0" w:color="auto"/>
        <w:bottom w:val="none" w:sz="0" w:space="0" w:color="auto"/>
        <w:right w:val="none" w:sz="0" w:space="0" w:color="auto"/>
      </w:divBdr>
    </w:div>
    <w:div w:id="587540782">
      <w:bodyDiv w:val="1"/>
      <w:marLeft w:val="0"/>
      <w:marRight w:val="0"/>
      <w:marTop w:val="0"/>
      <w:marBottom w:val="0"/>
      <w:divBdr>
        <w:top w:val="none" w:sz="0" w:space="0" w:color="auto"/>
        <w:left w:val="none" w:sz="0" w:space="0" w:color="auto"/>
        <w:bottom w:val="none" w:sz="0" w:space="0" w:color="auto"/>
        <w:right w:val="none" w:sz="0" w:space="0" w:color="auto"/>
      </w:divBdr>
    </w:div>
    <w:div w:id="604579937">
      <w:bodyDiv w:val="1"/>
      <w:marLeft w:val="0"/>
      <w:marRight w:val="0"/>
      <w:marTop w:val="0"/>
      <w:marBottom w:val="0"/>
      <w:divBdr>
        <w:top w:val="none" w:sz="0" w:space="0" w:color="auto"/>
        <w:left w:val="none" w:sz="0" w:space="0" w:color="auto"/>
        <w:bottom w:val="none" w:sz="0" w:space="0" w:color="auto"/>
        <w:right w:val="none" w:sz="0" w:space="0" w:color="auto"/>
      </w:divBdr>
    </w:div>
    <w:div w:id="627247287">
      <w:bodyDiv w:val="1"/>
      <w:marLeft w:val="0"/>
      <w:marRight w:val="0"/>
      <w:marTop w:val="0"/>
      <w:marBottom w:val="0"/>
      <w:divBdr>
        <w:top w:val="none" w:sz="0" w:space="0" w:color="auto"/>
        <w:left w:val="none" w:sz="0" w:space="0" w:color="auto"/>
        <w:bottom w:val="none" w:sz="0" w:space="0" w:color="auto"/>
        <w:right w:val="none" w:sz="0" w:space="0" w:color="auto"/>
      </w:divBdr>
    </w:div>
    <w:div w:id="731855278">
      <w:bodyDiv w:val="1"/>
      <w:marLeft w:val="0"/>
      <w:marRight w:val="0"/>
      <w:marTop w:val="0"/>
      <w:marBottom w:val="0"/>
      <w:divBdr>
        <w:top w:val="none" w:sz="0" w:space="0" w:color="auto"/>
        <w:left w:val="none" w:sz="0" w:space="0" w:color="auto"/>
        <w:bottom w:val="none" w:sz="0" w:space="0" w:color="auto"/>
        <w:right w:val="none" w:sz="0" w:space="0" w:color="auto"/>
      </w:divBdr>
    </w:div>
    <w:div w:id="766076215">
      <w:bodyDiv w:val="1"/>
      <w:marLeft w:val="0"/>
      <w:marRight w:val="0"/>
      <w:marTop w:val="0"/>
      <w:marBottom w:val="0"/>
      <w:divBdr>
        <w:top w:val="none" w:sz="0" w:space="0" w:color="auto"/>
        <w:left w:val="none" w:sz="0" w:space="0" w:color="auto"/>
        <w:bottom w:val="none" w:sz="0" w:space="0" w:color="auto"/>
        <w:right w:val="none" w:sz="0" w:space="0" w:color="auto"/>
      </w:divBdr>
    </w:div>
    <w:div w:id="770590731">
      <w:bodyDiv w:val="1"/>
      <w:marLeft w:val="0"/>
      <w:marRight w:val="0"/>
      <w:marTop w:val="0"/>
      <w:marBottom w:val="0"/>
      <w:divBdr>
        <w:top w:val="none" w:sz="0" w:space="0" w:color="auto"/>
        <w:left w:val="none" w:sz="0" w:space="0" w:color="auto"/>
        <w:bottom w:val="none" w:sz="0" w:space="0" w:color="auto"/>
        <w:right w:val="none" w:sz="0" w:space="0" w:color="auto"/>
      </w:divBdr>
    </w:div>
    <w:div w:id="796994834">
      <w:bodyDiv w:val="1"/>
      <w:marLeft w:val="0"/>
      <w:marRight w:val="0"/>
      <w:marTop w:val="0"/>
      <w:marBottom w:val="0"/>
      <w:divBdr>
        <w:top w:val="none" w:sz="0" w:space="0" w:color="auto"/>
        <w:left w:val="none" w:sz="0" w:space="0" w:color="auto"/>
        <w:bottom w:val="none" w:sz="0" w:space="0" w:color="auto"/>
        <w:right w:val="none" w:sz="0" w:space="0" w:color="auto"/>
      </w:divBdr>
    </w:div>
    <w:div w:id="816532225">
      <w:bodyDiv w:val="1"/>
      <w:marLeft w:val="0"/>
      <w:marRight w:val="0"/>
      <w:marTop w:val="0"/>
      <w:marBottom w:val="0"/>
      <w:divBdr>
        <w:top w:val="none" w:sz="0" w:space="0" w:color="auto"/>
        <w:left w:val="none" w:sz="0" w:space="0" w:color="auto"/>
        <w:bottom w:val="none" w:sz="0" w:space="0" w:color="auto"/>
        <w:right w:val="none" w:sz="0" w:space="0" w:color="auto"/>
      </w:divBdr>
    </w:div>
    <w:div w:id="895118240">
      <w:bodyDiv w:val="1"/>
      <w:marLeft w:val="0"/>
      <w:marRight w:val="0"/>
      <w:marTop w:val="0"/>
      <w:marBottom w:val="0"/>
      <w:divBdr>
        <w:top w:val="none" w:sz="0" w:space="0" w:color="auto"/>
        <w:left w:val="none" w:sz="0" w:space="0" w:color="auto"/>
        <w:bottom w:val="none" w:sz="0" w:space="0" w:color="auto"/>
        <w:right w:val="none" w:sz="0" w:space="0" w:color="auto"/>
      </w:divBdr>
    </w:div>
    <w:div w:id="958492625">
      <w:bodyDiv w:val="1"/>
      <w:marLeft w:val="0"/>
      <w:marRight w:val="0"/>
      <w:marTop w:val="0"/>
      <w:marBottom w:val="0"/>
      <w:divBdr>
        <w:top w:val="none" w:sz="0" w:space="0" w:color="auto"/>
        <w:left w:val="none" w:sz="0" w:space="0" w:color="auto"/>
        <w:bottom w:val="none" w:sz="0" w:space="0" w:color="auto"/>
        <w:right w:val="none" w:sz="0" w:space="0" w:color="auto"/>
      </w:divBdr>
    </w:div>
    <w:div w:id="981036310">
      <w:bodyDiv w:val="1"/>
      <w:marLeft w:val="0"/>
      <w:marRight w:val="0"/>
      <w:marTop w:val="0"/>
      <w:marBottom w:val="0"/>
      <w:divBdr>
        <w:top w:val="none" w:sz="0" w:space="0" w:color="auto"/>
        <w:left w:val="none" w:sz="0" w:space="0" w:color="auto"/>
        <w:bottom w:val="none" w:sz="0" w:space="0" w:color="auto"/>
        <w:right w:val="none" w:sz="0" w:space="0" w:color="auto"/>
      </w:divBdr>
    </w:div>
    <w:div w:id="1093744162">
      <w:bodyDiv w:val="1"/>
      <w:marLeft w:val="0"/>
      <w:marRight w:val="0"/>
      <w:marTop w:val="0"/>
      <w:marBottom w:val="0"/>
      <w:divBdr>
        <w:top w:val="none" w:sz="0" w:space="0" w:color="auto"/>
        <w:left w:val="none" w:sz="0" w:space="0" w:color="auto"/>
        <w:bottom w:val="none" w:sz="0" w:space="0" w:color="auto"/>
        <w:right w:val="none" w:sz="0" w:space="0" w:color="auto"/>
      </w:divBdr>
    </w:div>
    <w:div w:id="1123499616">
      <w:bodyDiv w:val="1"/>
      <w:marLeft w:val="0"/>
      <w:marRight w:val="0"/>
      <w:marTop w:val="0"/>
      <w:marBottom w:val="0"/>
      <w:divBdr>
        <w:top w:val="none" w:sz="0" w:space="0" w:color="auto"/>
        <w:left w:val="none" w:sz="0" w:space="0" w:color="auto"/>
        <w:bottom w:val="none" w:sz="0" w:space="0" w:color="auto"/>
        <w:right w:val="none" w:sz="0" w:space="0" w:color="auto"/>
      </w:divBdr>
    </w:div>
    <w:div w:id="1133329732">
      <w:bodyDiv w:val="1"/>
      <w:marLeft w:val="0"/>
      <w:marRight w:val="0"/>
      <w:marTop w:val="0"/>
      <w:marBottom w:val="0"/>
      <w:divBdr>
        <w:top w:val="none" w:sz="0" w:space="0" w:color="auto"/>
        <w:left w:val="none" w:sz="0" w:space="0" w:color="auto"/>
        <w:bottom w:val="none" w:sz="0" w:space="0" w:color="auto"/>
        <w:right w:val="none" w:sz="0" w:space="0" w:color="auto"/>
      </w:divBdr>
    </w:div>
    <w:div w:id="1214006105">
      <w:bodyDiv w:val="1"/>
      <w:marLeft w:val="0"/>
      <w:marRight w:val="0"/>
      <w:marTop w:val="0"/>
      <w:marBottom w:val="0"/>
      <w:divBdr>
        <w:top w:val="none" w:sz="0" w:space="0" w:color="auto"/>
        <w:left w:val="none" w:sz="0" w:space="0" w:color="auto"/>
        <w:bottom w:val="none" w:sz="0" w:space="0" w:color="auto"/>
        <w:right w:val="none" w:sz="0" w:space="0" w:color="auto"/>
      </w:divBdr>
    </w:div>
    <w:div w:id="1309092387">
      <w:bodyDiv w:val="1"/>
      <w:marLeft w:val="0"/>
      <w:marRight w:val="0"/>
      <w:marTop w:val="0"/>
      <w:marBottom w:val="0"/>
      <w:divBdr>
        <w:top w:val="none" w:sz="0" w:space="0" w:color="auto"/>
        <w:left w:val="none" w:sz="0" w:space="0" w:color="auto"/>
        <w:bottom w:val="none" w:sz="0" w:space="0" w:color="auto"/>
        <w:right w:val="none" w:sz="0" w:space="0" w:color="auto"/>
      </w:divBdr>
    </w:div>
    <w:div w:id="1364944485">
      <w:bodyDiv w:val="1"/>
      <w:marLeft w:val="0"/>
      <w:marRight w:val="0"/>
      <w:marTop w:val="0"/>
      <w:marBottom w:val="0"/>
      <w:divBdr>
        <w:top w:val="none" w:sz="0" w:space="0" w:color="auto"/>
        <w:left w:val="none" w:sz="0" w:space="0" w:color="auto"/>
        <w:bottom w:val="none" w:sz="0" w:space="0" w:color="auto"/>
        <w:right w:val="none" w:sz="0" w:space="0" w:color="auto"/>
      </w:divBdr>
    </w:div>
    <w:div w:id="1431125593">
      <w:bodyDiv w:val="1"/>
      <w:marLeft w:val="0"/>
      <w:marRight w:val="0"/>
      <w:marTop w:val="0"/>
      <w:marBottom w:val="0"/>
      <w:divBdr>
        <w:top w:val="none" w:sz="0" w:space="0" w:color="auto"/>
        <w:left w:val="none" w:sz="0" w:space="0" w:color="auto"/>
        <w:bottom w:val="none" w:sz="0" w:space="0" w:color="auto"/>
        <w:right w:val="none" w:sz="0" w:space="0" w:color="auto"/>
      </w:divBdr>
    </w:div>
    <w:div w:id="1443769018">
      <w:bodyDiv w:val="1"/>
      <w:marLeft w:val="0"/>
      <w:marRight w:val="0"/>
      <w:marTop w:val="0"/>
      <w:marBottom w:val="0"/>
      <w:divBdr>
        <w:top w:val="none" w:sz="0" w:space="0" w:color="auto"/>
        <w:left w:val="none" w:sz="0" w:space="0" w:color="auto"/>
        <w:bottom w:val="none" w:sz="0" w:space="0" w:color="auto"/>
        <w:right w:val="none" w:sz="0" w:space="0" w:color="auto"/>
      </w:divBdr>
    </w:div>
    <w:div w:id="1462309541">
      <w:bodyDiv w:val="1"/>
      <w:marLeft w:val="0"/>
      <w:marRight w:val="0"/>
      <w:marTop w:val="0"/>
      <w:marBottom w:val="0"/>
      <w:divBdr>
        <w:top w:val="none" w:sz="0" w:space="0" w:color="auto"/>
        <w:left w:val="none" w:sz="0" w:space="0" w:color="auto"/>
        <w:bottom w:val="none" w:sz="0" w:space="0" w:color="auto"/>
        <w:right w:val="none" w:sz="0" w:space="0" w:color="auto"/>
      </w:divBdr>
    </w:div>
    <w:div w:id="1496067981">
      <w:bodyDiv w:val="1"/>
      <w:marLeft w:val="0"/>
      <w:marRight w:val="0"/>
      <w:marTop w:val="0"/>
      <w:marBottom w:val="0"/>
      <w:divBdr>
        <w:top w:val="none" w:sz="0" w:space="0" w:color="auto"/>
        <w:left w:val="none" w:sz="0" w:space="0" w:color="auto"/>
        <w:bottom w:val="none" w:sz="0" w:space="0" w:color="auto"/>
        <w:right w:val="none" w:sz="0" w:space="0" w:color="auto"/>
      </w:divBdr>
    </w:div>
    <w:div w:id="1540976610">
      <w:bodyDiv w:val="1"/>
      <w:marLeft w:val="0"/>
      <w:marRight w:val="0"/>
      <w:marTop w:val="0"/>
      <w:marBottom w:val="0"/>
      <w:divBdr>
        <w:top w:val="none" w:sz="0" w:space="0" w:color="auto"/>
        <w:left w:val="none" w:sz="0" w:space="0" w:color="auto"/>
        <w:bottom w:val="none" w:sz="0" w:space="0" w:color="auto"/>
        <w:right w:val="none" w:sz="0" w:space="0" w:color="auto"/>
      </w:divBdr>
    </w:div>
    <w:div w:id="1575429804">
      <w:bodyDiv w:val="1"/>
      <w:marLeft w:val="0"/>
      <w:marRight w:val="0"/>
      <w:marTop w:val="0"/>
      <w:marBottom w:val="0"/>
      <w:divBdr>
        <w:top w:val="none" w:sz="0" w:space="0" w:color="auto"/>
        <w:left w:val="none" w:sz="0" w:space="0" w:color="auto"/>
        <w:bottom w:val="none" w:sz="0" w:space="0" w:color="auto"/>
        <w:right w:val="none" w:sz="0" w:space="0" w:color="auto"/>
      </w:divBdr>
    </w:div>
    <w:div w:id="1673146977">
      <w:bodyDiv w:val="1"/>
      <w:marLeft w:val="0"/>
      <w:marRight w:val="0"/>
      <w:marTop w:val="0"/>
      <w:marBottom w:val="0"/>
      <w:divBdr>
        <w:top w:val="none" w:sz="0" w:space="0" w:color="auto"/>
        <w:left w:val="none" w:sz="0" w:space="0" w:color="auto"/>
        <w:bottom w:val="none" w:sz="0" w:space="0" w:color="auto"/>
        <w:right w:val="none" w:sz="0" w:space="0" w:color="auto"/>
      </w:divBdr>
    </w:div>
    <w:div w:id="1727952326">
      <w:bodyDiv w:val="1"/>
      <w:marLeft w:val="0"/>
      <w:marRight w:val="0"/>
      <w:marTop w:val="0"/>
      <w:marBottom w:val="0"/>
      <w:divBdr>
        <w:top w:val="none" w:sz="0" w:space="0" w:color="auto"/>
        <w:left w:val="none" w:sz="0" w:space="0" w:color="auto"/>
        <w:bottom w:val="none" w:sz="0" w:space="0" w:color="auto"/>
        <w:right w:val="none" w:sz="0" w:space="0" w:color="auto"/>
      </w:divBdr>
    </w:div>
    <w:div w:id="1735161550">
      <w:bodyDiv w:val="1"/>
      <w:marLeft w:val="0"/>
      <w:marRight w:val="0"/>
      <w:marTop w:val="0"/>
      <w:marBottom w:val="0"/>
      <w:divBdr>
        <w:top w:val="none" w:sz="0" w:space="0" w:color="auto"/>
        <w:left w:val="none" w:sz="0" w:space="0" w:color="auto"/>
        <w:bottom w:val="none" w:sz="0" w:space="0" w:color="auto"/>
        <w:right w:val="none" w:sz="0" w:space="0" w:color="auto"/>
      </w:divBdr>
    </w:div>
    <w:div w:id="1785691617">
      <w:bodyDiv w:val="1"/>
      <w:marLeft w:val="0"/>
      <w:marRight w:val="0"/>
      <w:marTop w:val="0"/>
      <w:marBottom w:val="0"/>
      <w:divBdr>
        <w:top w:val="none" w:sz="0" w:space="0" w:color="auto"/>
        <w:left w:val="none" w:sz="0" w:space="0" w:color="auto"/>
        <w:bottom w:val="none" w:sz="0" w:space="0" w:color="auto"/>
        <w:right w:val="none" w:sz="0" w:space="0" w:color="auto"/>
      </w:divBdr>
    </w:div>
    <w:div w:id="1846019785">
      <w:bodyDiv w:val="1"/>
      <w:marLeft w:val="0"/>
      <w:marRight w:val="0"/>
      <w:marTop w:val="0"/>
      <w:marBottom w:val="0"/>
      <w:divBdr>
        <w:top w:val="none" w:sz="0" w:space="0" w:color="auto"/>
        <w:left w:val="none" w:sz="0" w:space="0" w:color="auto"/>
        <w:bottom w:val="none" w:sz="0" w:space="0" w:color="auto"/>
        <w:right w:val="none" w:sz="0" w:space="0" w:color="auto"/>
      </w:divBdr>
    </w:div>
    <w:div w:id="1859075992">
      <w:bodyDiv w:val="1"/>
      <w:marLeft w:val="0"/>
      <w:marRight w:val="0"/>
      <w:marTop w:val="0"/>
      <w:marBottom w:val="0"/>
      <w:divBdr>
        <w:top w:val="none" w:sz="0" w:space="0" w:color="auto"/>
        <w:left w:val="none" w:sz="0" w:space="0" w:color="auto"/>
        <w:bottom w:val="none" w:sz="0" w:space="0" w:color="auto"/>
        <w:right w:val="none" w:sz="0" w:space="0" w:color="auto"/>
      </w:divBdr>
    </w:div>
    <w:div w:id="2003311977">
      <w:bodyDiv w:val="1"/>
      <w:marLeft w:val="0"/>
      <w:marRight w:val="0"/>
      <w:marTop w:val="0"/>
      <w:marBottom w:val="0"/>
      <w:divBdr>
        <w:top w:val="none" w:sz="0" w:space="0" w:color="auto"/>
        <w:left w:val="none" w:sz="0" w:space="0" w:color="auto"/>
        <w:bottom w:val="none" w:sz="0" w:space="0" w:color="auto"/>
        <w:right w:val="none" w:sz="0" w:space="0" w:color="auto"/>
      </w:divBdr>
    </w:div>
    <w:div w:id="2030719778">
      <w:bodyDiv w:val="1"/>
      <w:marLeft w:val="0"/>
      <w:marRight w:val="0"/>
      <w:marTop w:val="0"/>
      <w:marBottom w:val="0"/>
      <w:divBdr>
        <w:top w:val="none" w:sz="0" w:space="0" w:color="auto"/>
        <w:left w:val="none" w:sz="0" w:space="0" w:color="auto"/>
        <w:bottom w:val="none" w:sz="0" w:space="0" w:color="auto"/>
        <w:right w:val="none" w:sz="0" w:space="0" w:color="auto"/>
      </w:divBdr>
    </w:div>
    <w:div w:id="2090271334">
      <w:bodyDiv w:val="1"/>
      <w:marLeft w:val="0"/>
      <w:marRight w:val="0"/>
      <w:marTop w:val="0"/>
      <w:marBottom w:val="0"/>
      <w:divBdr>
        <w:top w:val="none" w:sz="0" w:space="0" w:color="auto"/>
        <w:left w:val="none" w:sz="0" w:space="0" w:color="auto"/>
        <w:bottom w:val="none" w:sz="0" w:space="0" w:color="auto"/>
        <w:right w:val="none" w:sz="0" w:space="0" w:color="auto"/>
      </w:divBdr>
    </w:div>
    <w:div w:id="2116973228">
      <w:bodyDiv w:val="1"/>
      <w:marLeft w:val="0"/>
      <w:marRight w:val="0"/>
      <w:marTop w:val="0"/>
      <w:marBottom w:val="0"/>
      <w:divBdr>
        <w:top w:val="none" w:sz="0" w:space="0" w:color="auto"/>
        <w:left w:val="none" w:sz="0" w:space="0" w:color="auto"/>
        <w:bottom w:val="none" w:sz="0" w:space="0" w:color="auto"/>
        <w:right w:val="none" w:sz="0" w:space="0" w:color="auto"/>
      </w:divBdr>
    </w:div>
    <w:div w:id="214172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19</TotalTime>
  <Pages>11</Pages>
  <Words>2886</Words>
  <Characters>20269</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2023080102 mt</dc:description>
  <cp:lastModifiedBy>Hanne Thy Iversen</cp:lastModifiedBy>
  <cp:revision>7</cp:revision>
  <cp:lastPrinted>2012-08-22T08:53:00Z</cp:lastPrinted>
  <dcterms:created xsi:type="dcterms:W3CDTF">2025-02-20T14:11:00Z</dcterms:created>
  <dcterms:modified xsi:type="dcterms:W3CDTF">2025-02-21T08:58:00Z</dcterms:modified>
</cp:coreProperties>
</file>