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64" w:rsidRPr="007F1052" w:rsidRDefault="005D0A64" w:rsidP="005D0A64">
      <w:pPr>
        <w:pStyle w:val="Titel"/>
        <w:tabs>
          <w:tab w:val="left" w:pos="7513"/>
        </w:tabs>
        <w:jc w:val="both"/>
        <w:rPr>
          <w:b w:val="0"/>
          <w:spacing w:val="-3"/>
          <w:szCs w:val="24"/>
        </w:rPr>
      </w:pPr>
      <w:r w:rsidRPr="007F1052">
        <w:rPr>
          <w:b w:val="0"/>
          <w:noProof/>
          <w:spacing w:val="-3"/>
          <w:szCs w:val="24"/>
        </w:rPr>
        <w:drawing>
          <wp:inline distT="0" distB="0" distL="0" distR="0" wp14:anchorId="2B35C194" wp14:editId="48502414">
            <wp:extent cx="2463800" cy="692150"/>
            <wp:effectExtent l="0" t="0" r="0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64" w:rsidRPr="007F1052" w:rsidRDefault="005D0A64" w:rsidP="00A17AD4">
      <w:pPr>
        <w:pStyle w:val="Titel"/>
        <w:jc w:val="left"/>
        <w:rPr>
          <w:b w:val="0"/>
          <w:szCs w:val="24"/>
        </w:rPr>
      </w:pPr>
    </w:p>
    <w:p w:rsidR="005D0A64" w:rsidRPr="007F1052" w:rsidRDefault="00DC7E76" w:rsidP="005D0A64">
      <w:pPr>
        <w:pStyle w:val="Titel"/>
        <w:jc w:val="right"/>
        <w:rPr>
          <w:szCs w:val="24"/>
        </w:rPr>
      </w:pPr>
      <w:r>
        <w:rPr>
          <w:szCs w:val="24"/>
        </w:rPr>
        <w:t>18. december</w:t>
      </w:r>
      <w:r w:rsidR="004F0D89">
        <w:rPr>
          <w:szCs w:val="24"/>
        </w:rPr>
        <w:t xml:space="preserve"> 2023</w:t>
      </w:r>
    </w:p>
    <w:p w:rsidR="00FB0105" w:rsidRDefault="00FB0105" w:rsidP="005D0A64">
      <w:pPr>
        <w:pStyle w:val="Titel"/>
        <w:jc w:val="left"/>
        <w:rPr>
          <w:b w:val="0"/>
          <w:szCs w:val="24"/>
        </w:rPr>
      </w:pPr>
    </w:p>
    <w:p w:rsidR="00DC7E76" w:rsidRPr="007F1052" w:rsidRDefault="00DC7E76" w:rsidP="005D0A64">
      <w:pPr>
        <w:pStyle w:val="Titel"/>
        <w:jc w:val="left"/>
        <w:rPr>
          <w:b w:val="0"/>
          <w:szCs w:val="24"/>
        </w:rPr>
      </w:pPr>
    </w:p>
    <w:p w:rsidR="00A17AD4" w:rsidRPr="007F1052" w:rsidRDefault="00A17AD4" w:rsidP="005D0A64">
      <w:pPr>
        <w:pStyle w:val="Titel"/>
        <w:jc w:val="left"/>
        <w:rPr>
          <w:b w:val="0"/>
          <w:szCs w:val="24"/>
        </w:rPr>
      </w:pPr>
    </w:p>
    <w:p w:rsidR="005D0A64" w:rsidRPr="00FB0105" w:rsidRDefault="005D0A64" w:rsidP="005D0A64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FB0105">
        <w:rPr>
          <w:b/>
          <w:spacing w:val="-3"/>
          <w:sz w:val="24"/>
          <w:szCs w:val="24"/>
        </w:rPr>
        <w:t>PRODUKTRESUMÉ</w:t>
      </w:r>
    </w:p>
    <w:p w:rsidR="005D0A64" w:rsidRPr="00FB0105" w:rsidRDefault="005D0A64" w:rsidP="005D0A6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5D0A64" w:rsidRPr="00FB0105" w:rsidRDefault="005D0A64" w:rsidP="005D0A64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FB0105">
        <w:rPr>
          <w:b/>
          <w:spacing w:val="-3"/>
          <w:sz w:val="24"/>
          <w:szCs w:val="24"/>
        </w:rPr>
        <w:t>for</w:t>
      </w:r>
    </w:p>
    <w:p w:rsidR="005D0A64" w:rsidRPr="00FB0105" w:rsidRDefault="005D0A64" w:rsidP="005D0A6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5D0A64" w:rsidRPr="00FB0105" w:rsidRDefault="000C4B2E" w:rsidP="005D0A64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proofErr w:type="spellStart"/>
      <w:r w:rsidRPr="00FB0105">
        <w:rPr>
          <w:b/>
          <w:spacing w:val="-3"/>
          <w:sz w:val="24"/>
          <w:szCs w:val="24"/>
        </w:rPr>
        <w:t>Azithromycin</w:t>
      </w:r>
      <w:proofErr w:type="spellEnd"/>
      <w:r w:rsidRPr="00FB0105">
        <w:rPr>
          <w:b/>
          <w:spacing w:val="-3"/>
          <w:sz w:val="24"/>
          <w:szCs w:val="24"/>
        </w:rPr>
        <w:t xml:space="preserve"> </w:t>
      </w:r>
      <w:r w:rsidR="00A17AD4" w:rsidRPr="00FB0105">
        <w:rPr>
          <w:b/>
          <w:spacing w:val="-3"/>
          <w:sz w:val="24"/>
          <w:szCs w:val="24"/>
        </w:rPr>
        <w:t>"</w:t>
      </w:r>
      <w:r w:rsidRPr="00FB0105">
        <w:rPr>
          <w:b/>
          <w:spacing w:val="-3"/>
          <w:sz w:val="24"/>
          <w:szCs w:val="24"/>
        </w:rPr>
        <w:t>2care4</w:t>
      </w:r>
      <w:r w:rsidR="00A17AD4" w:rsidRPr="00FB0105">
        <w:rPr>
          <w:b/>
          <w:spacing w:val="-3"/>
          <w:sz w:val="24"/>
          <w:szCs w:val="24"/>
        </w:rPr>
        <w:t>"</w:t>
      </w:r>
      <w:r w:rsidR="005D0A64" w:rsidRPr="00FB0105">
        <w:rPr>
          <w:b/>
          <w:spacing w:val="-3"/>
          <w:sz w:val="24"/>
          <w:szCs w:val="24"/>
        </w:rPr>
        <w:t>, filmovertrukne tabletter</w:t>
      </w:r>
      <w:r w:rsidRPr="00FB0105">
        <w:rPr>
          <w:b/>
          <w:spacing w:val="-3"/>
          <w:sz w:val="24"/>
          <w:szCs w:val="24"/>
        </w:rPr>
        <w:t xml:space="preserve"> (2care4)</w:t>
      </w:r>
    </w:p>
    <w:p w:rsidR="005D0A64" w:rsidRPr="00FB0105" w:rsidRDefault="005D0A64" w:rsidP="0031704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  <w:sz w:val="24"/>
          <w:szCs w:val="24"/>
        </w:rPr>
      </w:pPr>
    </w:p>
    <w:p w:rsidR="005D0A64" w:rsidRPr="00FB0105" w:rsidRDefault="005D0A64" w:rsidP="0031704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0.  </w:t>
      </w:r>
      <w:r w:rsidRPr="007F1052">
        <w:rPr>
          <w:b/>
          <w:spacing w:val="-3"/>
          <w:sz w:val="24"/>
          <w:szCs w:val="24"/>
        </w:rPr>
        <w:tab/>
        <w:t>D.SP.NR.</w:t>
      </w:r>
    </w:p>
    <w:p w:rsidR="005D0A64" w:rsidRPr="007F1052" w:rsidRDefault="00D14187" w:rsidP="005D0A64">
      <w:pPr>
        <w:ind w:firstLine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0</w:t>
      </w:r>
      <w:r w:rsidR="005D0A64" w:rsidRPr="007F1052">
        <w:rPr>
          <w:spacing w:val="-3"/>
          <w:sz w:val="24"/>
          <w:szCs w:val="24"/>
        </w:rPr>
        <w:t>8518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1. </w:t>
      </w:r>
      <w:r w:rsidRPr="007F1052">
        <w:rPr>
          <w:b/>
          <w:spacing w:val="-3"/>
          <w:sz w:val="24"/>
          <w:szCs w:val="24"/>
        </w:rPr>
        <w:tab/>
        <w:t>LÆGEMIDLETS NAVN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proofErr w:type="spellStart"/>
      <w:r w:rsidR="000C4B2E" w:rsidRPr="007F1052">
        <w:rPr>
          <w:spacing w:val="-3"/>
          <w:sz w:val="24"/>
          <w:szCs w:val="24"/>
        </w:rPr>
        <w:t>Azithromycin</w:t>
      </w:r>
      <w:proofErr w:type="spellEnd"/>
      <w:r w:rsidR="000C4B2E" w:rsidRPr="007F1052">
        <w:rPr>
          <w:spacing w:val="-3"/>
          <w:sz w:val="24"/>
          <w:szCs w:val="24"/>
        </w:rPr>
        <w:t xml:space="preserve"> </w:t>
      </w:r>
      <w:r w:rsidR="00A17AD4" w:rsidRPr="007F1052">
        <w:rPr>
          <w:spacing w:val="-3"/>
          <w:sz w:val="24"/>
          <w:szCs w:val="24"/>
        </w:rPr>
        <w:t>"</w:t>
      </w:r>
      <w:r w:rsidR="000C4B2E" w:rsidRPr="007F1052">
        <w:rPr>
          <w:spacing w:val="-3"/>
          <w:sz w:val="24"/>
          <w:szCs w:val="24"/>
        </w:rPr>
        <w:t>2care4</w:t>
      </w:r>
      <w:r w:rsidR="00A17AD4" w:rsidRPr="007F1052">
        <w:rPr>
          <w:spacing w:val="-3"/>
          <w:sz w:val="24"/>
          <w:szCs w:val="24"/>
        </w:rPr>
        <w:t>"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2. </w:t>
      </w:r>
      <w:r w:rsidRPr="007F1052">
        <w:rPr>
          <w:b/>
          <w:spacing w:val="-3"/>
          <w:sz w:val="24"/>
          <w:szCs w:val="24"/>
        </w:rPr>
        <w:tab/>
        <w:t>KVALITATIV OG KVANTITATIV SAMMENSÆTNING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proofErr w:type="spellStart"/>
      <w:r w:rsidRPr="007F1052">
        <w:rPr>
          <w:spacing w:val="-3"/>
          <w:sz w:val="24"/>
          <w:szCs w:val="24"/>
        </w:rPr>
        <w:t>Azithromycin</w:t>
      </w:r>
      <w:proofErr w:type="spellEnd"/>
      <w:r w:rsidRPr="007F1052">
        <w:rPr>
          <w:spacing w:val="-3"/>
          <w:sz w:val="24"/>
          <w:szCs w:val="24"/>
        </w:rPr>
        <w:t xml:space="preserve"> 250 mg som </w:t>
      </w:r>
      <w:proofErr w:type="spellStart"/>
      <w:r w:rsidRPr="007F1052">
        <w:rPr>
          <w:spacing w:val="-3"/>
          <w:sz w:val="24"/>
          <w:szCs w:val="24"/>
        </w:rPr>
        <w:t>azithromycindihydrat</w:t>
      </w:r>
      <w:proofErr w:type="spellEnd"/>
      <w:r w:rsidRPr="007F1052">
        <w:rPr>
          <w:spacing w:val="-3"/>
          <w:sz w:val="24"/>
          <w:szCs w:val="24"/>
        </w:rPr>
        <w:t>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bookmarkStart w:id="0" w:name="_GoBack"/>
      <w:bookmarkEnd w:id="0"/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spacing w:val="-3"/>
          <w:sz w:val="24"/>
          <w:szCs w:val="24"/>
        </w:rPr>
        <w:tab/>
        <w:t>Hjælpestoffer som behandleren skal være opmærksom på: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spacing w:val="-3"/>
          <w:sz w:val="24"/>
          <w:szCs w:val="24"/>
        </w:rPr>
        <w:tab/>
      </w:r>
      <w:proofErr w:type="spellStart"/>
      <w:r w:rsidRPr="007F1052">
        <w:rPr>
          <w:spacing w:val="-3"/>
          <w:sz w:val="24"/>
          <w:szCs w:val="24"/>
        </w:rPr>
        <w:t>Lactose</w:t>
      </w:r>
      <w:proofErr w:type="spellEnd"/>
      <w:r w:rsidRPr="007F1052">
        <w:rPr>
          <w:spacing w:val="-3"/>
          <w:sz w:val="24"/>
          <w:szCs w:val="24"/>
        </w:rPr>
        <w:t>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spacing w:val="-3"/>
          <w:sz w:val="24"/>
          <w:szCs w:val="24"/>
        </w:rPr>
        <w:tab/>
        <w:t>Alle hjælpestoffer er anført under pkt. 6.1.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3. </w:t>
      </w:r>
      <w:r w:rsidRPr="007F1052">
        <w:rPr>
          <w:b/>
          <w:spacing w:val="-3"/>
          <w:sz w:val="24"/>
          <w:szCs w:val="24"/>
        </w:rPr>
        <w:tab/>
        <w:t>LÆGEMIDDELFORM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Filmovertrukne tabletter</w:t>
      </w:r>
      <w:r w:rsidR="000C4B2E" w:rsidRPr="007F1052">
        <w:rPr>
          <w:spacing w:val="-3"/>
          <w:sz w:val="24"/>
          <w:szCs w:val="24"/>
        </w:rPr>
        <w:t xml:space="preserve"> (2care4)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4. </w:t>
      </w:r>
      <w:r w:rsidRPr="007F1052">
        <w:rPr>
          <w:b/>
          <w:spacing w:val="-3"/>
          <w:sz w:val="24"/>
          <w:szCs w:val="24"/>
        </w:rPr>
        <w:tab/>
        <w:t>KLINISKE OPLYSNINGER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4.1</w:t>
      </w:r>
      <w:r w:rsidRPr="007F1052">
        <w:rPr>
          <w:b/>
          <w:spacing w:val="-3"/>
          <w:sz w:val="24"/>
          <w:szCs w:val="24"/>
        </w:rPr>
        <w:tab/>
        <w:t>Terapeutiske indikationer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 xml:space="preserve">Infektioner forårsaget af </w:t>
      </w:r>
      <w:proofErr w:type="spellStart"/>
      <w:r w:rsidRPr="007F1052">
        <w:rPr>
          <w:spacing w:val="-3"/>
          <w:sz w:val="24"/>
          <w:szCs w:val="24"/>
        </w:rPr>
        <w:t>azithromycinfølsomme</w:t>
      </w:r>
      <w:proofErr w:type="spellEnd"/>
      <w:r w:rsidRPr="007F1052">
        <w:rPr>
          <w:spacing w:val="-3"/>
          <w:sz w:val="24"/>
          <w:szCs w:val="24"/>
        </w:rPr>
        <w:t xml:space="preserve"> bakterier.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Lokale resistensniveauer for relevante </w:t>
      </w:r>
      <w:proofErr w:type="spellStart"/>
      <w:r w:rsidRPr="007F1052">
        <w:rPr>
          <w:sz w:val="24"/>
          <w:szCs w:val="24"/>
        </w:rPr>
        <w:t>patogener</w:t>
      </w:r>
      <w:proofErr w:type="spellEnd"/>
      <w:r w:rsidRPr="007F1052">
        <w:rPr>
          <w:sz w:val="24"/>
          <w:szCs w:val="24"/>
        </w:rPr>
        <w:t xml:space="preserve"> bør tages i betragtning, når man beslutter udskrivning af antibiotika. Officielle/lokale retningslin</w:t>
      </w:r>
      <w:r w:rsidR="00FF2DFF">
        <w:rPr>
          <w:sz w:val="24"/>
          <w:szCs w:val="24"/>
        </w:rPr>
        <w:t>j</w:t>
      </w:r>
      <w:r w:rsidRPr="007F1052">
        <w:rPr>
          <w:sz w:val="24"/>
          <w:szCs w:val="24"/>
        </w:rPr>
        <w:t>er vedrørende korrekt brug af antibiotika bør følges (se pkt. 5.1).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4.2</w:t>
      </w:r>
      <w:r w:rsidRPr="007F1052">
        <w:rPr>
          <w:b/>
          <w:spacing w:val="-3"/>
          <w:sz w:val="24"/>
          <w:szCs w:val="24"/>
        </w:rPr>
        <w:tab/>
        <w:t>Dosering og administration</w:t>
      </w:r>
    </w:p>
    <w:p w:rsidR="00DC7E76" w:rsidRPr="00614F12" w:rsidRDefault="00DC7E76" w:rsidP="00DC7E76">
      <w:pPr>
        <w:pStyle w:val="Brdtekstindrykning2"/>
        <w:ind w:left="851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Azithromycin</w:t>
      </w:r>
      <w:proofErr w:type="spellEnd"/>
      <w:r>
        <w:rPr>
          <w:rFonts w:ascii="Times New Roman" w:hAnsi="Times New Roman"/>
          <w:szCs w:val="24"/>
        </w:rPr>
        <w:t xml:space="preserve"> ”2care4”</w:t>
      </w:r>
      <w:r w:rsidRPr="00614F12">
        <w:rPr>
          <w:rFonts w:ascii="Times New Roman" w:hAnsi="Times New Roman"/>
          <w:szCs w:val="24"/>
        </w:rPr>
        <w:t xml:space="preserve"> bør administreres som én enkelt daglig dosis. Behandlingsperiode og dosering er anført nedenfor. 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>Tabletterne kan tages med eller uden mad. Tabletterne må deles, men ikke tygges eller knuses.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>Voksne:</w:t>
      </w:r>
      <w:r w:rsidRPr="00614F12">
        <w:rPr>
          <w:spacing w:val="-3"/>
          <w:sz w:val="24"/>
          <w:szCs w:val="24"/>
        </w:rPr>
        <w:t xml:space="preserve"> 1,5 g givet som enten 500 mg 1 gang daglig i 3 dage eller 500 mg den første dag som enkelt</w:t>
      </w:r>
      <w:r w:rsidRPr="00614F12">
        <w:rPr>
          <w:spacing w:val="-3"/>
          <w:sz w:val="24"/>
          <w:szCs w:val="24"/>
        </w:rPr>
        <w:softHyphen/>
        <w:t>dosis, og derefter 250 mg 1 gang daglig i 4 dage.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 xml:space="preserve">Infektioner med </w:t>
      </w:r>
      <w:proofErr w:type="spellStart"/>
      <w:r w:rsidRPr="00614F12">
        <w:rPr>
          <w:i/>
          <w:spacing w:val="-3"/>
          <w:sz w:val="24"/>
          <w:szCs w:val="24"/>
        </w:rPr>
        <w:t>Chlamydia</w:t>
      </w:r>
      <w:proofErr w:type="spellEnd"/>
      <w:r w:rsidRPr="00614F12">
        <w:rPr>
          <w:i/>
          <w:spacing w:val="-3"/>
          <w:sz w:val="24"/>
          <w:szCs w:val="24"/>
        </w:rPr>
        <w:t xml:space="preserve"> </w:t>
      </w:r>
      <w:proofErr w:type="spellStart"/>
      <w:r w:rsidRPr="00614F12">
        <w:rPr>
          <w:i/>
          <w:spacing w:val="-3"/>
          <w:sz w:val="24"/>
          <w:szCs w:val="24"/>
        </w:rPr>
        <w:t>trachomatis</w:t>
      </w:r>
      <w:proofErr w:type="spellEnd"/>
      <w:r w:rsidRPr="00614F12">
        <w:rPr>
          <w:i/>
          <w:spacing w:val="-3"/>
          <w:sz w:val="24"/>
          <w:szCs w:val="24"/>
        </w:rPr>
        <w:t xml:space="preserve"> eller </w:t>
      </w:r>
      <w:proofErr w:type="spellStart"/>
      <w:r w:rsidRPr="00614F12">
        <w:rPr>
          <w:i/>
          <w:sz w:val="24"/>
          <w:szCs w:val="24"/>
        </w:rPr>
        <w:t>Haemophilus</w:t>
      </w:r>
      <w:proofErr w:type="spellEnd"/>
      <w:r w:rsidRPr="00614F12">
        <w:rPr>
          <w:i/>
          <w:sz w:val="24"/>
          <w:szCs w:val="24"/>
        </w:rPr>
        <w:t xml:space="preserve"> </w:t>
      </w:r>
      <w:proofErr w:type="spellStart"/>
      <w:r w:rsidRPr="00614F12">
        <w:rPr>
          <w:i/>
          <w:sz w:val="24"/>
          <w:szCs w:val="24"/>
        </w:rPr>
        <w:t>ducreyi</w:t>
      </w:r>
      <w:proofErr w:type="spellEnd"/>
      <w:r w:rsidRPr="00614F12">
        <w:rPr>
          <w:spacing w:val="-3"/>
          <w:sz w:val="24"/>
          <w:szCs w:val="24"/>
        </w:rPr>
        <w:t xml:space="preserve">: 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>1 g som éngangs</w:t>
      </w:r>
      <w:r w:rsidRPr="00614F12">
        <w:rPr>
          <w:spacing w:val="-3"/>
          <w:sz w:val="24"/>
          <w:szCs w:val="24"/>
        </w:rPr>
        <w:softHyphen/>
        <w:t xml:space="preserve">dosis. </w:t>
      </w:r>
    </w:p>
    <w:p w:rsidR="00DC7E76" w:rsidRPr="00614F12" w:rsidRDefault="00DC7E76" w:rsidP="00DC7E76">
      <w:pPr>
        <w:ind w:left="851"/>
        <w:rPr>
          <w:i/>
          <w:iCs/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i/>
          <w:iCs/>
          <w:spacing w:val="-3"/>
          <w:sz w:val="24"/>
          <w:szCs w:val="24"/>
        </w:rPr>
      </w:pPr>
      <w:r w:rsidRPr="00614F12">
        <w:rPr>
          <w:i/>
          <w:iCs/>
          <w:spacing w:val="-3"/>
          <w:sz w:val="24"/>
          <w:szCs w:val="24"/>
        </w:rPr>
        <w:t>Infektioner</w:t>
      </w:r>
      <w:r w:rsidRPr="00614F12">
        <w:rPr>
          <w:i/>
          <w:spacing w:val="-3"/>
          <w:sz w:val="24"/>
          <w:szCs w:val="24"/>
        </w:rPr>
        <w:t xml:space="preserve"> med </w:t>
      </w:r>
      <w:proofErr w:type="spellStart"/>
      <w:r w:rsidRPr="00614F12">
        <w:rPr>
          <w:i/>
          <w:iCs/>
          <w:spacing w:val="-3"/>
          <w:sz w:val="24"/>
          <w:szCs w:val="24"/>
        </w:rPr>
        <w:t>Neisseria</w:t>
      </w:r>
      <w:proofErr w:type="spellEnd"/>
      <w:r w:rsidRPr="00614F12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614F12">
        <w:rPr>
          <w:i/>
          <w:iCs/>
          <w:spacing w:val="-3"/>
          <w:sz w:val="24"/>
          <w:szCs w:val="24"/>
        </w:rPr>
        <w:t>gonorrheae</w:t>
      </w:r>
      <w:proofErr w:type="spellEnd"/>
      <w:r w:rsidRPr="00614F12">
        <w:rPr>
          <w:i/>
          <w:iCs/>
          <w:spacing w:val="-3"/>
          <w:sz w:val="24"/>
          <w:szCs w:val="24"/>
        </w:rPr>
        <w:t>: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 xml:space="preserve">Anbefalet dosis er 1 g eller 2 g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i kombination med 250 mg eller 500 mg </w:t>
      </w:r>
      <w:proofErr w:type="spellStart"/>
      <w:r w:rsidRPr="00614F12">
        <w:rPr>
          <w:spacing w:val="-3"/>
          <w:sz w:val="24"/>
          <w:szCs w:val="24"/>
        </w:rPr>
        <w:t>ceftriaxon</w:t>
      </w:r>
      <w:proofErr w:type="spellEnd"/>
      <w:r w:rsidRPr="00614F12">
        <w:rPr>
          <w:spacing w:val="-3"/>
          <w:sz w:val="24"/>
          <w:szCs w:val="24"/>
        </w:rPr>
        <w:t xml:space="preserve"> i henhold til lokale kliniske vejledninger. Ved behandling af patienter, der er allergiske over for penicillin og/eller </w:t>
      </w:r>
      <w:proofErr w:type="spellStart"/>
      <w:r w:rsidRPr="00614F12">
        <w:rPr>
          <w:spacing w:val="-3"/>
          <w:sz w:val="24"/>
          <w:szCs w:val="24"/>
        </w:rPr>
        <w:t>cefalosporiner</w:t>
      </w:r>
      <w:proofErr w:type="spellEnd"/>
      <w:r w:rsidRPr="00614F12">
        <w:rPr>
          <w:spacing w:val="-3"/>
          <w:sz w:val="24"/>
          <w:szCs w:val="24"/>
        </w:rPr>
        <w:t>, bør lægen konsultere lokale retningslinjer.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>Ældre:</w:t>
      </w:r>
      <w:r w:rsidRPr="00614F12">
        <w:rPr>
          <w:spacing w:val="-3"/>
          <w:sz w:val="24"/>
          <w:szCs w:val="24"/>
        </w:rPr>
        <w:t xml:space="preserve"> Dosisjustering er ikke nødvendig. Da ældre patienter kan have eksisterende </w:t>
      </w:r>
      <w:proofErr w:type="spellStart"/>
      <w:r w:rsidRPr="00614F12">
        <w:rPr>
          <w:spacing w:val="-3"/>
          <w:sz w:val="24"/>
          <w:szCs w:val="24"/>
        </w:rPr>
        <w:t>proarytmiske</w:t>
      </w:r>
      <w:proofErr w:type="spellEnd"/>
      <w:r w:rsidRPr="00614F12">
        <w:rPr>
          <w:spacing w:val="-3"/>
          <w:sz w:val="24"/>
          <w:szCs w:val="24"/>
        </w:rPr>
        <w:t xml:space="preserve"> lidelser, bør der udvises særlig forsigtighed pga. risiko for at udvikle </w:t>
      </w:r>
      <w:proofErr w:type="spellStart"/>
      <w:r w:rsidRPr="00614F12">
        <w:rPr>
          <w:spacing w:val="-3"/>
          <w:sz w:val="24"/>
          <w:szCs w:val="24"/>
        </w:rPr>
        <w:t>arytmier</w:t>
      </w:r>
      <w:proofErr w:type="spellEnd"/>
      <w:r w:rsidRPr="00614F12">
        <w:rPr>
          <w:spacing w:val="-3"/>
          <w:sz w:val="24"/>
          <w:szCs w:val="24"/>
        </w:rPr>
        <w:t xml:space="preserve"> og </w:t>
      </w:r>
      <w:proofErr w:type="spellStart"/>
      <w:r w:rsidRPr="00614F12">
        <w:rPr>
          <w:spacing w:val="-3"/>
          <w:sz w:val="24"/>
          <w:szCs w:val="24"/>
        </w:rPr>
        <w:t>torsade</w:t>
      </w:r>
      <w:proofErr w:type="spellEnd"/>
      <w:r w:rsidRPr="00614F12">
        <w:rPr>
          <w:spacing w:val="-3"/>
          <w:sz w:val="24"/>
          <w:szCs w:val="24"/>
        </w:rPr>
        <w:t xml:space="preserve"> de pointes (se pkt. 4.4).</w:t>
      </w:r>
    </w:p>
    <w:p w:rsidR="00DC7E76" w:rsidRPr="00614F12" w:rsidRDefault="00DC7E76" w:rsidP="00DC7E76">
      <w:pPr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i/>
          <w:sz w:val="24"/>
          <w:szCs w:val="24"/>
        </w:rPr>
        <w:t xml:space="preserve">Nedsat nyrefunktion: </w:t>
      </w:r>
      <w:r w:rsidRPr="00614F12">
        <w:rPr>
          <w:sz w:val="24"/>
          <w:szCs w:val="24"/>
        </w:rPr>
        <w:t xml:space="preserve">Dosisjustering er ikke nødvendig hos patienter med </w:t>
      </w:r>
      <w:r>
        <w:rPr>
          <w:sz w:val="24"/>
          <w:szCs w:val="24"/>
        </w:rPr>
        <w:br/>
      </w:r>
      <w:r w:rsidRPr="00614F12">
        <w:rPr>
          <w:sz w:val="24"/>
          <w:szCs w:val="24"/>
        </w:rPr>
        <w:t>GFR</w:t>
      </w:r>
      <w:r>
        <w:rPr>
          <w:sz w:val="24"/>
          <w:szCs w:val="24"/>
        </w:rPr>
        <w:t> </w:t>
      </w:r>
      <w:r w:rsidRPr="00614F12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Pr="00614F12">
        <w:rPr>
          <w:sz w:val="24"/>
          <w:szCs w:val="24"/>
        </w:rPr>
        <w:t>80</w:t>
      </w:r>
      <w:r>
        <w:rPr>
          <w:sz w:val="24"/>
          <w:szCs w:val="24"/>
        </w:rPr>
        <w:t> </w:t>
      </w:r>
      <w:r w:rsidRPr="00614F12">
        <w:rPr>
          <w:sz w:val="24"/>
          <w:szCs w:val="24"/>
        </w:rPr>
        <w:t xml:space="preserve">ml/min. Forsigtighed tilrådes, når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gives til patienter med GFR &lt;10 ml/min (se pkt. 4.4 og pkt. 5.2).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i/>
          <w:sz w:val="24"/>
          <w:szCs w:val="24"/>
        </w:rPr>
        <w:t>Nedsat leverfunktion:</w:t>
      </w:r>
      <w:r w:rsidRPr="00614F12">
        <w:rPr>
          <w:sz w:val="24"/>
          <w:szCs w:val="24"/>
        </w:rPr>
        <w:t xml:space="preserve"> Dosisjustering er ikke nødvendig hos patienter med mild til moderat nedsat leverfunktion. Forsigtighed tilrådes, når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gives til patienter med stærkt nedsat leverfunktion (se pkt. 4.4)</w:t>
      </w:r>
      <w:r w:rsidRPr="00614F12">
        <w:rPr>
          <w:i/>
          <w:sz w:val="24"/>
          <w:szCs w:val="24"/>
        </w:rPr>
        <w:t>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4.3</w:t>
      </w:r>
      <w:r w:rsidRPr="007F1052">
        <w:rPr>
          <w:b/>
          <w:spacing w:val="-3"/>
          <w:sz w:val="24"/>
          <w:szCs w:val="24"/>
        </w:rPr>
        <w:tab/>
        <w:t>Kontraindikationer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z w:val="24"/>
          <w:szCs w:val="24"/>
        </w:rPr>
        <w:t xml:space="preserve">Overfølsomhed over for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, andre </w:t>
      </w:r>
      <w:proofErr w:type="spellStart"/>
      <w:r w:rsidRPr="007F1052">
        <w:rPr>
          <w:sz w:val="24"/>
          <w:szCs w:val="24"/>
        </w:rPr>
        <w:t>makrolidantibiotika</w:t>
      </w:r>
      <w:proofErr w:type="spellEnd"/>
      <w:r w:rsidRPr="007F1052">
        <w:rPr>
          <w:sz w:val="24"/>
          <w:szCs w:val="24"/>
        </w:rPr>
        <w:t xml:space="preserve"> (f.eks. </w:t>
      </w:r>
      <w:proofErr w:type="spellStart"/>
      <w:r w:rsidRPr="007F1052">
        <w:rPr>
          <w:sz w:val="24"/>
          <w:szCs w:val="24"/>
        </w:rPr>
        <w:t>erythromycin</w:t>
      </w:r>
      <w:proofErr w:type="spellEnd"/>
      <w:r w:rsidRPr="007F1052">
        <w:rPr>
          <w:sz w:val="24"/>
          <w:szCs w:val="24"/>
        </w:rPr>
        <w:t xml:space="preserve">), eller </w:t>
      </w:r>
      <w:proofErr w:type="spellStart"/>
      <w:r w:rsidRPr="007F1052">
        <w:rPr>
          <w:sz w:val="24"/>
          <w:szCs w:val="24"/>
        </w:rPr>
        <w:t>ketolidantibiotika</w:t>
      </w:r>
      <w:proofErr w:type="spellEnd"/>
      <w:r w:rsidRPr="007F1052">
        <w:rPr>
          <w:sz w:val="24"/>
          <w:szCs w:val="24"/>
        </w:rPr>
        <w:t xml:space="preserve"> eller over for et eller flere af hjælpestofferne anført i pkt. 6.1.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4.4</w:t>
      </w:r>
      <w:r w:rsidRPr="007F1052">
        <w:rPr>
          <w:b/>
          <w:spacing w:val="-3"/>
          <w:sz w:val="24"/>
          <w:szCs w:val="24"/>
        </w:rPr>
        <w:tab/>
        <w:t>Særlige advarsler og forsigtighedsregler vedrørende brugen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>Lokale retningslin</w:t>
      </w:r>
      <w:r>
        <w:rPr>
          <w:sz w:val="24"/>
          <w:szCs w:val="24"/>
        </w:rPr>
        <w:t>j</w:t>
      </w:r>
      <w:r w:rsidRPr="00614F12">
        <w:rPr>
          <w:sz w:val="24"/>
          <w:szCs w:val="24"/>
        </w:rPr>
        <w:t>er vedrørende korrekt brug af antibiotika bør følges (se pkt. 5.1).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Ligesom for </w:t>
      </w:r>
      <w:proofErr w:type="spellStart"/>
      <w:r w:rsidRPr="00614F12">
        <w:rPr>
          <w:sz w:val="24"/>
          <w:szCs w:val="24"/>
        </w:rPr>
        <w:t>erythromycin</w:t>
      </w:r>
      <w:proofErr w:type="spellEnd"/>
      <w:r w:rsidRPr="00614F12">
        <w:rPr>
          <w:sz w:val="24"/>
          <w:szCs w:val="24"/>
        </w:rPr>
        <w:t xml:space="preserve"> og andre makrolider er der i sjældne tilfælde rapporteret om alvorlige allergiske reaktioner inkl. </w:t>
      </w:r>
      <w:proofErr w:type="spellStart"/>
      <w:r w:rsidRPr="00614F12">
        <w:rPr>
          <w:sz w:val="24"/>
          <w:szCs w:val="24"/>
        </w:rPr>
        <w:t>angioødem</w:t>
      </w:r>
      <w:proofErr w:type="spellEnd"/>
      <w:r w:rsidRPr="00614F12">
        <w:rPr>
          <w:sz w:val="24"/>
          <w:szCs w:val="24"/>
        </w:rPr>
        <w:t xml:space="preserve"> og anafylaksi (sjældent fatal) og hudreaktioner, herunder akut generaliseret </w:t>
      </w:r>
      <w:proofErr w:type="spellStart"/>
      <w:r w:rsidRPr="00614F12">
        <w:rPr>
          <w:sz w:val="24"/>
          <w:szCs w:val="24"/>
        </w:rPr>
        <w:t>eksantematøs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pustulose</w:t>
      </w:r>
      <w:proofErr w:type="spellEnd"/>
      <w:r w:rsidRPr="00614F12">
        <w:rPr>
          <w:sz w:val="24"/>
          <w:szCs w:val="24"/>
        </w:rPr>
        <w:t xml:space="preserve"> (AGEP), Stevens Johnsons Syndrom, toksisk </w:t>
      </w:r>
      <w:proofErr w:type="spellStart"/>
      <w:r w:rsidRPr="00614F12">
        <w:rPr>
          <w:sz w:val="24"/>
          <w:szCs w:val="24"/>
        </w:rPr>
        <w:t>epidermal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nekrolyse</w:t>
      </w:r>
      <w:proofErr w:type="spellEnd"/>
      <w:r w:rsidRPr="00614F12">
        <w:rPr>
          <w:sz w:val="24"/>
          <w:szCs w:val="24"/>
        </w:rPr>
        <w:t xml:space="preserve"> (sjældent fatal) samt lægemiddel</w:t>
      </w:r>
      <w:r w:rsidRPr="00614F12">
        <w:rPr>
          <w:sz w:val="24"/>
          <w:szCs w:val="24"/>
        </w:rPr>
        <w:softHyphen/>
        <w:t xml:space="preserve">fremkaldt udslæt med </w:t>
      </w:r>
      <w:proofErr w:type="spellStart"/>
      <w:r w:rsidRPr="00614F12">
        <w:rPr>
          <w:sz w:val="24"/>
          <w:szCs w:val="24"/>
        </w:rPr>
        <w:t>eosinofili</w:t>
      </w:r>
      <w:proofErr w:type="spellEnd"/>
      <w:r w:rsidRPr="00614F12">
        <w:rPr>
          <w:sz w:val="24"/>
          <w:szCs w:val="24"/>
        </w:rPr>
        <w:t xml:space="preserve"> og systemiske symptomer (DRESS). Nogle af disse reaktioner har medført recidiverende symptomer og krævet længere observation og behandling. 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>Hvis der opstår allergiske reaktioner, skal behandlingen seponeres og støttende behandling iværksættes. Behandlere skal være opmærksomme på, at de allergiske symptomer kan komme igen, når den symptomatiske behandling seponeres.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Leveren er den vigtigste eliminationsvej for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, hvorfor anvendelsen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bør ske med forsigtighed hos patienter med signifikant leversygdom. Tilfælde af fulminant hepatitis, som potentielt kan føre til livstruende leversvigt, er blevet rapporteret i forbindelse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(se pkt. 4.8). Nogle patienter kan have haft eksisterende leversygdom eller have taget andre </w:t>
      </w:r>
      <w:proofErr w:type="spellStart"/>
      <w:r w:rsidRPr="00614F12">
        <w:rPr>
          <w:sz w:val="24"/>
          <w:szCs w:val="24"/>
        </w:rPr>
        <w:t>hepatotoksiske</w:t>
      </w:r>
      <w:proofErr w:type="spellEnd"/>
      <w:r w:rsidRPr="00614F12">
        <w:rPr>
          <w:sz w:val="24"/>
          <w:szCs w:val="24"/>
        </w:rPr>
        <w:t xml:space="preserve"> lægemidler.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I tilfælde af tegn og symptomer på leverdysfunktion, såsom hurtig udviklende asteni forbundet med gulsot, mørk urin, tendens til blødning eller </w:t>
      </w:r>
      <w:proofErr w:type="spellStart"/>
      <w:r w:rsidRPr="00614F12">
        <w:rPr>
          <w:sz w:val="24"/>
          <w:szCs w:val="24"/>
        </w:rPr>
        <w:t>hepatisk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encephalopati</w:t>
      </w:r>
      <w:proofErr w:type="spellEnd"/>
      <w:r w:rsidRPr="00614F12">
        <w:rPr>
          <w:sz w:val="24"/>
          <w:szCs w:val="24"/>
        </w:rPr>
        <w:t xml:space="preserve">, bør leverfunktionstest/undersøgelse straks udføres.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skal seponeres, hvis der er opstået leverdysfunktion.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Infantil </w:t>
      </w:r>
      <w:proofErr w:type="spellStart"/>
      <w:r w:rsidRPr="00614F12">
        <w:rPr>
          <w:sz w:val="24"/>
          <w:szCs w:val="24"/>
        </w:rPr>
        <w:t>hypertrofisk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pylorusstenose</w:t>
      </w:r>
      <w:proofErr w:type="spellEnd"/>
      <w:r w:rsidRPr="00614F12">
        <w:rPr>
          <w:sz w:val="24"/>
          <w:szCs w:val="24"/>
        </w:rPr>
        <w:t xml:space="preserve"> (IHP)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lastRenderedPageBreak/>
        <w:t xml:space="preserve">Der er set infantil </w:t>
      </w:r>
      <w:proofErr w:type="spellStart"/>
      <w:r w:rsidRPr="00614F12">
        <w:rPr>
          <w:sz w:val="24"/>
          <w:szCs w:val="24"/>
        </w:rPr>
        <w:t>hypertrofisk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pylorusstenose</w:t>
      </w:r>
      <w:proofErr w:type="spellEnd"/>
      <w:r w:rsidRPr="00614F12">
        <w:rPr>
          <w:sz w:val="24"/>
          <w:szCs w:val="24"/>
        </w:rPr>
        <w:t xml:space="preserve"> hos nyfødte, der er blevet behandlet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inden for de første 42 dage efter fødsel. Forældre og pårørende skal informeres om, at lægen skal kontaktes hvis barnet kaster op eller der opstår irritabilitet, når barnet får mad.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Samtidig administration af </w:t>
      </w:r>
      <w:proofErr w:type="spellStart"/>
      <w:r w:rsidRPr="00614F12">
        <w:rPr>
          <w:sz w:val="24"/>
          <w:szCs w:val="24"/>
        </w:rPr>
        <w:t>ergotaminlignende</w:t>
      </w:r>
      <w:proofErr w:type="spellEnd"/>
      <w:r w:rsidRPr="00614F12">
        <w:rPr>
          <w:sz w:val="24"/>
          <w:szCs w:val="24"/>
        </w:rPr>
        <w:t xml:space="preserve"> derivater og visse </w:t>
      </w:r>
      <w:proofErr w:type="spellStart"/>
      <w:r w:rsidRPr="00614F12">
        <w:rPr>
          <w:sz w:val="24"/>
          <w:szCs w:val="24"/>
        </w:rPr>
        <w:t>makrolidantibiotika</w:t>
      </w:r>
      <w:proofErr w:type="spellEnd"/>
      <w:r w:rsidRPr="00614F12">
        <w:rPr>
          <w:sz w:val="24"/>
          <w:szCs w:val="24"/>
        </w:rPr>
        <w:t xml:space="preserve"> kan udløse </w:t>
      </w:r>
      <w:proofErr w:type="spellStart"/>
      <w:r w:rsidRPr="00614F12">
        <w:rPr>
          <w:sz w:val="24"/>
          <w:szCs w:val="24"/>
        </w:rPr>
        <w:t>ergotisme</w:t>
      </w:r>
      <w:proofErr w:type="spellEnd"/>
      <w:r w:rsidRPr="00614F12">
        <w:rPr>
          <w:sz w:val="24"/>
          <w:szCs w:val="24"/>
        </w:rPr>
        <w:t xml:space="preserve">. Der er ingen data vedrørende risikoen for interaktion mellem </w:t>
      </w:r>
      <w:proofErr w:type="spellStart"/>
      <w:r w:rsidRPr="00614F12">
        <w:rPr>
          <w:sz w:val="24"/>
          <w:szCs w:val="24"/>
        </w:rPr>
        <w:t>ergotaminlignende</w:t>
      </w:r>
      <w:proofErr w:type="spellEnd"/>
      <w:r w:rsidRPr="00614F12">
        <w:rPr>
          <w:sz w:val="24"/>
          <w:szCs w:val="24"/>
        </w:rPr>
        <w:t xml:space="preserve"> stoffer og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. Samtidig indtagelse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ergotaminlignende</w:t>
      </w:r>
      <w:proofErr w:type="spellEnd"/>
      <w:r w:rsidRPr="00614F12">
        <w:rPr>
          <w:sz w:val="24"/>
          <w:szCs w:val="24"/>
        </w:rPr>
        <w:t xml:space="preserve"> derivater bør dog undgås på grund af den teoretiske mulighed for </w:t>
      </w:r>
      <w:proofErr w:type="spellStart"/>
      <w:r w:rsidRPr="00614F12">
        <w:rPr>
          <w:sz w:val="24"/>
          <w:szCs w:val="24"/>
        </w:rPr>
        <w:t>ergotisme</w:t>
      </w:r>
      <w:proofErr w:type="spellEnd"/>
      <w:r w:rsidRPr="00614F12">
        <w:rPr>
          <w:sz w:val="24"/>
          <w:szCs w:val="24"/>
        </w:rPr>
        <w:t xml:space="preserve"> (se pkt. 4.5).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rStyle w:val="Fremhv"/>
          <w:color w:val="000000"/>
          <w:sz w:val="24"/>
          <w:szCs w:val="24"/>
        </w:rPr>
      </w:pPr>
      <w:r w:rsidRPr="00614F12">
        <w:rPr>
          <w:rStyle w:val="Fremhv"/>
          <w:color w:val="000000"/>
          <w:sz w:val="24"/>
          <w:szCs w:val="24"/>
        </w:rPr>
        <w:t>Som ved anden antibiotisk behandling, tilrådes opmærksomhed på tegn på super</w:t>
      </w:r>
      <w:r w:rsidRPr="00614F12">
        <w:rPr>
          <w:rStyle w:val="Fremhv"/>
          <w:color w:val="000000"/>
          <w:sz w:val="24"/>
          <w:szCs w:val="24"/>
        </w:rPr>
        <w:softHyphen/>
        <w:t>infektion af ikke-</w:t>
      </w:r>
      <w:proofErr w:type="spellStart"/>
      <w:r w:rsidRPr="00614F12">
        <w:rPr>
          <w:rStyle w:val="Fremhv"/>
          <w:color w:val="000000"/>
          <w:sz w:val="24"/>
          <w:szCs w:val="24"/>
        </w:rPr>
        <w:t>azithromycinfølsomme</w:t>
      </w:r>
      <w:proofErr w:type="spellEnd"/>
      <w:r w:rsidRPr="00614F12">
        <w:rPr>
          <w:rStyle w:val="Fremhv"/>
          <w:color w:val="000000"/>
          <w:sz w:val="24"/>
          <w:szCs w:val="24"/>
        </w:rPr>
        <w:t xml:space="preserve"> organismer, herunder svampe.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rStyle w:val="Fremhv"/>
          <w:color w:val="000000"/>
          <w:sz w:val="24"/>
          <w:szCs w:val="24"/>
        </w:rPr>
        <w:t>Clostridium</w:t>
      </w:r>
      <w:proofErr w:type="spellEnd"/>
      <w:r w:rsidRPr="00614F12">
        <w:rPr>
          <w:rStyle w:val="Fremhv"/>
          <w:color w:val="000000"/>
          <w:sz w:val="24"/>
          <w:szCs w:val="24"/>
        </w:rPr>
        <w:t xml:space="preserve"> difficile a</w:t>
      </w:r>
      <w:r w:rsidRPr="00614F12">
        <w:rPr>
          <w:sz w:val="24"/>
          <w:szCs w:val="24"/>
        </w:rPr>
        <w:t xml:space="preserve">ssocieret diarré (CDAD) er rapporteret i forbindelse med næsten alle antibiotikabehandlinger, inklusive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, og kan føre til symptomer der varierer fra mild diarré til </w:t>
      </w:r>
      <w:proofErr w:type="gramStart"/>
      <w:r w:rsidRPr="00614F12">
        <w:rPr>
          <w:sz w:val="24"/>
          <w:szCs w:val="24"/>
        </w:rPr>
        <w:t>fatal</w:t>
      </w:r>
      <w:r>
        <w:rPr>
          <w:sz w:val="24"/>
          <w:szCs w:val="24"/>
        </w:rPr>
        <w:t xml:space="preserve"> </w:t>
      </w:r>
      <w:r w:rsidRPr="00614F12">
        <w:rPr>
          <w:sz w:val="24"/>
          <w:szCs w:val="24"/>
        </w:rPr>
        <w:t>colitis</w:t>
      </w:r>
      <w:proofErr w:type="gramEnd"/>
      <w:r w:rsidRPr="00614F12">
        <w:rPr>
          <w:sz w:val="24"/>
          <w:szCs w:val="24"/>
        </w:rPr>
        <w:t xml:space="preserve">. Behandling med antibiotika kan ændre den normale tarmflora, hvilket kan føre til overvækst af </w:t>
      </w:r>
      <w:proofErr w:type="spellStart"/>
      <w:r w:rsidRPr="00614F12">
        <w:rPr>
          <w:rStyle w:val="Fremhv"/>
          <w:color w:val="000000"/>
          <w:sz w:val="24"/>
          <w:szCs w:val="24"/>
        </w:rPr>
        <w:t>Clostridium</w:t>
      </w:r>
      <w:proofErr w:type="spellEnd"/>
      <w:r w:rsidRPr="00614F12">
        <w:rPr>
          <w:rStyle w:val="Fremhv"/>
          <w:color w:val="000000"/>
          <w:sz w:val="24"/>
          <w:szCs w:val="24"/>
        </w:rPr>
        <w:t xml:space="preserve"> difficile</w:t>
      </w:r>
      <w:r w:rsidRPr="00614F12">
        <w:rPr>
          <w:sz w:val="24"/>
          <w:szCs w:val="24"/>
        </w:rPr>
        <w:t xml:space="preserve"> i tarmen.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 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rStyle w:val="Fremhv"/>
          <w:color w:val="000000"/>
          <w:sz w:val="24"/>
          <w:szCs w:val="24"/>
        </w:rPr>
        <w:t>Clostridium</w:t>
      </w:r>
      <w:proofErr w:type="spellEnd"/>
      <w:r w:rsidRPr="00614F12">
        <w:rPr>
          <w:rStyle w:val="Fremhv"/>
          <w:color w:val="000000"/>
          <w:sz w:val="24"/>
          <w:szCs w:val="24"/>
        </w:rPr>
        <w:t xml:space="preserve"> difficile</w:t>
      </w:r>
      <w:r w:rsidRPr="00614F12">
        <w:rPr>
          <w:sz w:val="24"/>
          <w:szCs w:val="24"/>
        </w:rPr>
        <w:t xml:space="preserve"> producerer toksinerne A og B, der medvirker til udvikling af CDAD. Toksinproducerende stammer af </w:t>
      </w:r>
      <w:proofErr w:type="spellStart"/>
      <w:r w:rsidRPr="00614F12">
        <w:rPr>
          <w:rStyle w:val="Fremhv"/>
          <w:color w:val="000000"/>
          <w:sz w:val="24"/>
          <w:szCs w:val="24"/>
        </w:rPr>
        <w:t>Clostridium</w:t>
      </w:r>
      <w:proofErr w:type="spellEnd"/>
      <w:r w:rsidRPr="00614F12">
        <w:rPr>
          <w:rStyle w:val="Fremhv"/>
          <w:color w:val="000000"/>
          <w:sz w:val="24"/>
          <w:szCs w:val="24"/>
        </w:rPr>
        <w:t xml:space="preserve"> difficile</w:t>
      </w:r>
      <w:r w:rsidRPr="00614F12">
        <w:rPr>
          <w:sz w:val="24"/>
          <w:szCs w:val="24"/>
        </w:rPr>
        <w:t xml:space="preserve"> medfører øget morbiditet og mortalitet, da disse infektioner kan være vanskelige at behandle med antimikrobiel behandling og kan kræve </w:t>
      </w:r>
      <w:proofErr w:type="spellStart"/>
      <w:r w:rsidRPr="00614F12">
        <w:rPr>
          <w:sz w:val="24"/>
          <w:szCs w:val="24"/>
        </w:rPr>
        <w:t>colectomi</w:t>
      </w:r>
      <w:proofErr w:type="spellEnd"/>
      <w:r w:rsidRPr="00614F12">
        <w:rPr>
          <w:sz w:val="24"/>
          <w:szCs w:val="24"/>
        </w:rPr>
        <w:t>. Patienter, der får diarré efter antibiotisk behandling, bør undersøges for CDAD. Grundig gennemgang af patientens sygehistorie er nødvendig eftersom CDAD kan opstå op til 2 måneder efter afsluttet antibiotisk behandling.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sz w:val="24"/>
          <w:szCs w:val="24"/>
        </w:rPr>
        <w:t>Pseudomembranøs</w:t>
      </w:r>
      <w:proofErr w:type="spellEnd"/>
      <w:r w:rsidRPr="00614F12">
        <w:rPr>
          <w:sz w:val="24"/>
          <w:szCs w:val="24"/>
        </w:rPr>
        <w:t xml:space="preserve"> colitis er rapporteret ved næsten alle antibiotika, inklusive makrolider og kan variere i sværhedsgrad fra milde tilfælde til livstruende.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</w:t>
      </w:r>
      <w:r w:rsidRPr="00614F12">
        <w:rPr>
          <w:sz w:val="24"/>
          <w:szCs w:val="24"/>
        </w:rPr>
        <w:t xml:space="preserve">GFR &lt;10 ml/min </w:t>
      </w:r>
      <w:r>
        <w:rPr>
          <w:sz w:val="24"/>
          <w:szCs w:val="24"/>
        </w:rPr>
        <w:t xml:space="preserve">er der set en øget tilgængelighed af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på 33% </w:t>
      </w:r>
      <w:r w:rsidRPr="00614F12">
        <w:rPr>
          <w:sz w:val="24"/>
          <w:szCs w:val="24"/>
        </w:rPr>
        <w:t>(se pkt. 5.2). Der bør udvises forsigtighed ved behandling af denne type patienter.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Bør ikke anvendes hos patienter i </w:t>
      </w:r>
      <w:proofErr w:type="spellStart"/>
      <w:r w:rsidRPr="00614F12">
        <w:rPr>
          <w:sz w:val="24"/>
          <w:szCs w:val="24"/>
        </w:rPr>
        <w:t>ciclosporinbehandling</w:t>
      </w:r>
      <w:proofErr w:type="spellEnd"/>
      <w:r w:rsidRPr="00614F12">
        <w:rPr>
          <w:sz w:val="24"/>
          <w:szCs w:val="24"/>
        </w:rPr>
        <w:t xml:space="preserve"> (se pkt. 4.5).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Der er set forlænget kardial </w:t>
      </w:r>
      <w:proofErr w:type="spellStart"/>
      <w:r w:rsidRPr="00614F12">
        <w:rPr>
          <w:sz w:val="24"/>
          <w:szCs w:val="24"/>
        </w:rPr>
        <w:t>repolarisering</w:t>
      </w:r>
      <w:proofErr w:type="spellEnd"/>
      <w:r w:rsidRPr="00614F12">
        <w:rPr>
          <w:sz w:val="24"/>
          <w:szCs w:val="24"/>
        </w:rPr>
        <w:t xml:space="preserve"> og QT-interval, hvilket medfører en risiko for udvikling af </w:t>
      </w:r>
      <w:proofErr w:type="spellStart"/>
      <w:r w:rsidRPr="00614F12">
        <w:rPr>
          <w:sz w:val="24"/>
          <w:szCs w:val="24"/>
        </w:rPr>
        <w:t>hjertearytmier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torsades</w:t>
      </w:r>
      <w:proofErr w:type="spellEnd"/>
      <w:r w:rsidRPr="00614F12">
        <w:rPr>
          <w:sz w:val="24"/>
          <w:szCs w:val="24"/>
        </w:rPr>
        <w:t xml:space="preserve"> de pointes hos patienter, der blev behandlet med makrolider, herunder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(se pkt. 4.8). Da de følgende lidelser kan føre til en forøget risiko for </w:t>
      </w:r>
      <w:proofErr w:type="spellStart"/>
      <w:r w:rsidRPr="00614F12">
        <w:rPr>
          <w:sz w:val="24"/>
          <w:szCs w:val="24"/>
        </w:rPr>
        <w:t>ventrikulære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arytmier</w:t>
      </w:r>
      <w:proofErr w:type="spellEnd"/>
      <w:r w:rsidRPr="00614F12">
        <w:rPr>
          <w:sz w:val="24"/>
          <w:szCs w:val="24"/>
        </w:rPr>
        <w:t xml:space="preserve"> (herunder </w:t>
      </w:r>
      <w:proofErr w:type="spellStart"/>
      <w:r w:rsidRPr="00614F12">
        <w:rPr>
          <w:sz w:val="24"/>
          <w:szCs w:val="24"/>
        </w:rPr>
        <w:t>torsade</w:t>
      </w:r>
      <w:proofErr w:type="spellEnd"/>
      <w:r w:rsidRPr="00614F12">
        <w:rPr>
          <w:sz w:val="24"/>
          <w:szCs w:val="24"/>
        </w:rPr>
        <w:t xml:space="preserve"> de pointes), der kan føre til hjertestop, bør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anvendes med forsigtighed til patienter med eksisterende </w:t>
      </w:r>
      <w:proofErr w:type="spellStart"/>
      <w:r w:rsidRPr="00614F12">
        <w:rPr>
          <w:sz w:val="24"/>
          <w:szCs w:val="24"/>
        </w:rPr>
        <w:t>pro</w:t>
      </w:r>
      <w:r w:rsidRPr="00614F12">
        <w:rPr>
          <w:sz w:val="24"/>
          <w:szCs w:val="24"/>
        </w:rPr>
        <w:softHyphen/>
        <w:t>arytmiske</w:t>
      </w:r>
      <w:proofErr w:type="spellEnd"/>
      <w:r w:rsidRPr="00614F12">
        <w:rPr>
          <w:sz w:val="24"/>
          <w:szCs w:val="24"/>
        </w:rPr>
        <w:t xml:space="preserve"> tilstande (særligt kvinder og ældre). Dette gælder for patienter med:</w:t>
      </w:r>
    </w:p>
    <w:p w:rsidR="00DC7E76" w:rsidRPr="00614F12" w:rsidRDefault="00DC7E76" w:rsidP="00DC7E76">
      <w:pPr>
        <w:numPr>
          <w:ilvl w:val="0"/>
          <w:numId w:val="6"/>
        </w:numPr>
        <w:tabs>
          <w:tab w:val="clear" w:pos="1871"/>
        </w:tabs>
        <w:ind w:left="1276" w:hanging="425"/>
        <w:rPr>
          <w:sz w:val="24"/>
          <w:szCs w:val="24"/>
        </w:rPr>
      </w:pPr>
      <w:r w:rsidRPr="00614F12">
        <w:rPr>
          <w:sz w:val="24"/>
          <w:szCs w:val="24"/>
        </w:rPr>
        <w:t>Medfødt eller dokumenteret forlænget QT-interval.</w:t>
      </w:r>
    </w:p>
    <w:p w:rsidR="00DC7E76" w:rsidRPr="00614F12" w:rsidRDefault="00DC7E76" w:rsidP="00DC7E76">
      <w:pPr>
        <w:numPr>
          <w:ilvl w:val="0"/>
          <w:numId w:val="6"/>
        </w:numPr>
        <w:tabs>
          <w:tab w:val="clear" w:pos="1871"/>
        </w:tabs>
        <w:ind w:left="1276" w:hanging="425"/>
        <w:rPr>
          <w:sz w:val="24"/>
          <w:szCs w:val="24"/>
        </w:rPr>
      </w:pPr>
      <w:r w:rsidRPr="00614F12">
        <w:rPr>
          <w:sz w:val="24"/>
          <w:szCs w:val="24"/>
        </w:rPr>
        <w:t xml:space="preserve">Aktiv behandling med lægemidler, der forlænger QT-intervallet, f.eks. </w:t>
      </w:r>
      <w:proofErr w:type="spellStart"/>
      <w:r w:rsidRPr="00614F12">
        <w:rPr>
          <w:sz w:val="24"/>
          <w:szCs w:val="24"/>
        </w:rPr>
        <w:t>antiarytmika</w:t>
      </w:r>
      <w:proofErr w:type="spellEnd"/>
      <w:r w:rsidRPr="00614F12">
        <w:rPr>
          <w:sz w:val="24"/>
          <w:szCs w:val="24"/>
        </w:rPr>
        <w:t xml:space="preserve"> klasse IA (</w:t>
      </w:r>
      <w:proofErr w:type="spellStart"/>
      <w:r w:rsidRPr="00614F12">
        <w:rPr>
          <w:sz w:val="24"/>
          <w:szCs w:val="24"/>
        </w:rPr>
        <w:t>quinidin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procainamid</w:t>
      </w:r>
      <w:proofErr w:type="spellEnd"/>
      <w:r w:rsidRPr="00614F12">
        <w:rPr>
          <w:sz w:val="24"/>
          <w:szCs w:val="24"/>
        </w:rPr>
        <w:t>) og klasse III (</w:t>
      </w:r>
      <w:proofErr w:type="spellStart"/>
      <w:r w:rsidRPr="00614F12">
        <w:rPr>
          <w:sz w:val="24"/>
          <w:szCs w:val="24"/>
        </w:rPr>
        <w:t>dofetilid</w:t>
      </w:r>
      <w:proofErr w:type="spellEnd"/>
      <w:r w:rsidRPr="00614F12">
        <w:rPr>
          <w:sz w:val="24"/>
          <w:szCs w:val="24"/>
        </w:rPr>
        <w:t xml:space="preserve">, </w:t>
      </w:r>
      <w:proofErr w:type="spellStart"/>
      <w:r w:rsidRPr="00614F12">
        <w:rPr>
          <w:sz w:val="24"/>
          <w:szCs w:val="24"/>
        </w:rPr>
        <w:t>amiodaron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sotalol</w:t>
      </w:r>
      <w:proofErr w:type="spellEnd"/>
      <w:r w:rsidRPr="00614F12">
        <w:rPr>
          <w:sz w:val="24"/>
          <w:szCs w:val="24"/>
        </w:rPr>
        <w:t xml:space="preserve">), </w:t>
      </w:r>
      <w:proofErr w:type="spellStart"/>
      <w:r w:rsidRPr="00614F12">
        <w:rPr>
          <w:sz w:val="24"/>
          <w:szCs w:val="24"/>
        </w:rPr>
        <w:t>cisaprid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terfenadin</w:t>
      </w:r>
      <w:proofErr w:type="spellEnd"/>
      <w:r w:rsidRPr="00614F12">
        <w:rPr>
          <w:sz w:val="24"/>
          <w:szCs w:val="24"/>
        </w:rPr>
        <w:t>, antipsykotika (</w:t>
      </w:r>
      <w:proofErr w:type="spellStart"/>
      <w:r w:rsidRPr="00614F12">
        <w:rPr>
          <w:sz w:val="24"/>
          <w:szCs w:val="24"/>
        </w:rPr>
        <w:t>pimozid</w:t>
      </w:r>
      <w:proofErr w:type="spellEnd"/>
      <w:r w:rsidRPr="00614F12">
        <w:rPr>
          <w:sz w:val="24"/>
          <w:szCs w:val="24"/>
        </w:rPr>
        <w:t xml:space="preserve">), </w:t>
      </w:r>
      <w:proofErr w:type="spellStart"/>
      <w:r w:rsidRPr="00614F12">
        <w:rPr>
          <w:sz w:val="24"/>
          <w:szCs w:val="24"/>
        </w:rPr>
        <w:t>antidepressiva</w:t>
      </w:r>
      <w:proofErr w:type="spellEnd"/>
      <w:r w:rsidRPr="00614F12">
        <w:rPr>
          <w:sz w:val="24"/>
          <w:szCs w:val="24"/>
        </w:rPr>
        <w:t xml:space="preserve"> (</w:t>
      </w:r>
      <w:proofErr w:type="spellStart"/>
      <w:r w:rsidRPr="00614F12">
        <w:rPr>
          <w:sz w:val="24"/>
          <w:szCs w:val="24"/>
        </w:rPr>
        <w:t>citalopram</w:t>
      </w:r>
      <w:proofErr w:type="spellEnd"/>
      <w:r w:rsidRPr="00614F12">
        <w:rPr>
          <w:sz w:val="24"/>
          <w:szCs w:val="24"/>
        </w:rPr>
        <w:t xml:space="preserve">) og </w:t>
      </w:r>
      <w:proofErr w:type="spellStart"/>
      <w:r w:rsidRPr="00614F12">
        <w:rPr>
          <w:sz w:val="24"/>
          <w:szCs w:val="24"/>
        </w:rPr>
        <w:t>fluoroquinoloner</w:t>
      </w:r>
      <w:proofErr w:type="spellEnd"/>
      <w:r w:rsidRPr="00614F12">
        <w:rPr>
          <w:sz w:val="24"/>
          <w:szCs w:val="24"/>
        </w:rPr>
        <w:t xml:space="preserve"> (</w:t>
      </w:r>
      <w:proofErr w:type="spellStart"/>
      <w:r w:rsidRPr="00614F12">
        <w:rPr>
          <w:sz w:val="24"/>
          <w:szCs w:val="24"/>
        </w:rPr>
        <w:t>moxifloxacin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levofloxacin</w:t>
      </w:r>
      <w:proofErr w:type="spellEnd"/>
      <w:r w:rsidRPr="00614F12">
        <w:rPr>
          <w:sz w:val="24"/>
          <w:szCs w:val="24"/>
        </w:rPr>
        <w:t>).</w:t>
      </w:r>
    </w:p>
    <w:p w:rsidR="00DC7E76" w:rsidRPr="00614F12" w:rsidRDefault="00DC7E76" w:rsidP="00DC7E76">
      <w:pPr>
        <w:numPr>
          <w:ilvl w:val="0"/>
          <w:numId w:val="6"/>
        </w:numPr>
        <w:tabs>
          <w:tab w:val="clear" w:pos="1871"/>
        </w:tabs>
        <w:ind w:left="1276" w:hanging="425"/>
        <w:rPr>
          <w:sz w:val="24"/>
          <w:szCs w:val="24"/>
        </w:rPr>
      </w:pPr>
      <w:r w:rsidRPr="00614F12">
        <w:rPr>
          <w:sz w:val="24"/>
          <w:szCs w:val="24"/>
        </w:rPr>
        <w:t xml:space="preserve">Elektrolytforstyrrelser, særligt i tilfælde af </w:t>
      </w:r>
      <w:proofErr w:type="spellStart"/>
      <w:r w:rsidRPr="00614F12">
        <w:rPr>
          <w:sz w:val="24"/>
          <w:szCs w:val="24"/>
        </w:rPr>
        <w:t>hypokaliæmi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hypomagnesæmi</w:t>
      </w:r>
      <w:proofErr w:type="spellEnd"/>
    </w:p>
    <w:p w:rsidR="00DC7E76" w:rsidRPr="00614F12" w:rsidRDefault="00DC7E76" w:rsidP="00DC7E76">
      <w:pPr>
        <w:numPr>
          <w:ilvl w:val="0"/>
          <w:numId w:val="6"/>
        </w:numPr>
        <w:tabs>
          <w:tab w:val="clear" w:pos="1871"/>
        </w:tabs>
        <w:ind w:left="1276" w:hanging="425"/>
        <w:rPr>
          <w:sz w:val="24"/>
          <w:szCs w:val="24"/>
        </w:rPr>
      </w:pPr>
      <w:r w:rsidRPr="00614F12">
        <w:rPr>
          <w:sz w:val="24"/>
          <w:szCs w:val="24"/>
        </w:rPr>
        <w:t xml:space="preserve">Klinisk relevant bradykardi, </w:t>
      </w:r>
      <w:proofErr w:type="spellStart"/>
      <w:r w:rsidRPr="00614F12">
        <w:rPr>
          <w:sz w:val="24"/>
          <w:szCs w:val="24"/>
        </w:rPr>
        <w:t>hjertearytmi</w:t>
      </w:r>
      <w:proofErr w:type="spellEnd"/>
      <w:r w:rsidRPr="00614F12">
        <w:rPr>
          <w:sz w:val="24"/>
          <w:szCs w:val="24"/>
        </w:rPr>
        <w:t xml:space="preserve"> og alvorlig hjerteinsufficiens.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Default="00DC7E76" w:rsidP="00DC7E76">
      <w:pPr>
        <w:tabs>
          <w:tab w:val="left" w:pos="840"/>
          <w:tab w:val="left" w:pos="1320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Forværring af symptomer på </w:t>
      </w:r>
      <w:proofErr w:type="spellStart"/>
      <w:r>
        <w:rPr>
          <w:sz w:val="24"/>
          <w:szCs w:val="24"/>
        </w:rPr>
        <w:t>myastenia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gravis</w:t>
      </w:r>
      <w:proofErr w:type="spellEnd"/>
      <w:r>
        <w:rPr>
          <w:sz w:val="24"/>
          <w:szCs w:val="24"/>
        </w:rPr>
        <w:t xml:space="preserve"> og nyopstået </w:t>
      </w:r>
      <w:proofErr w:type="spellStart"/>
      <w:r>
        <w:rPr>
          <w:sz w:val="24"/>
          <w:szCs w:val="24"/>
        </w:rPr>
        <w:t>myasteniasyndrom</w:t>
      </w:r>
      <w:proofErr w:type="spellEnd"/>
      <w:r>
        <w:rPr>
          <w:sz w:val="24"/>
          <w:szCs w:val="24"/>
        </w:rPr>
        <w:t xml:space="preserve"> er set hos patienter i behandling med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(se pkt. 4.8).</w:t>
      </w:r>
    </w:p>
    <w:p w:rsidR="00DC7E76" w:rsidRDefault="00DC7E76" w:rsidP="00DC7E76">
      <w:pPr>
        <w:tabs>
          <w:tab w:val="left" w:pos="840"/>
        </w:tabs>
        <w:ind w:left="8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Sikkerhed og effekt ved forebyggelse eller behandling af </w:t>
      </w:r>
      <w:proofErr w:type="spellStart"/>
      <w:r>
        <w:rPr>
          <w:sz w:val="24"/>
          <w:szCs w:val="24"/>
        </w:rPr>
        <w:t>Mycobacterium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complex</w:t>
      </w:r>
      <w:proofErr w:type="spellEnd"/>
      <w:r>
        <w:rPr>
          <w:sz w:val="24"/>
          <w:szCs w:val="24"/>
        </w:rPr>
        <w:t xml:space="preserve"> (MAC) hos børn er ikke fastslået.</w:t>
      </w:r>
    </w:p>
    <w:p w:rsidR="00DC7E76" w:rsidRDefault="00DC7E76" w:rsidP="00DC7E7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”2care4”</w:t>
      </w:r>
      <w:r>
        <w:rPr>
          <w:sz w:val="24"/>
          <w:szCs w:val="24"/>
        </w:rPr>
        <w:t xml:space="preserve"> filmovertrukne tabletter indeholder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. Bør ikke anvendes til patienter med arvelig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en særlig form af hereditær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(Lapp </w:t>
      </w:r>
      <w:proofErr w:type="spellStart"/>
      <w:r>
        <w:rPr>
          <w:sz w:val="24"/>
          <w:szCs w:val="24"/>
        </w:rPr>
        <w:t>Lactase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deficiency</w:t>
      </w:r>
      <w:proofErr w:type="spellEnd"/>
      <w:r>
        <w:rPr>
          <w:sz w:val="24"/>
          <w:szCs w:val="24"/>
        </w:rPr>
        <w:t xml:space="preserve">)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sz w:val="24"/>
          <w:szCs w:val="24"/>
        </w:rPr>
        <w:t>.</w:t>
      </w:r>
    </w:p>
    <w:p w:rsidR="00DC7E76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Default="00DC7E76" w:rsidP="00DC7E7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”2care4”</w:t>
      </w:r>
      <w:r>
        <w:rPr>
          <w:sz w:val="24"/>
          <w:szCs w:val="24"/>
        </w:rPr>
        <w:t xml:space="preserve"> filmovertrukne tabletter indeholder mindre end 1 mmol (23 mg) natrium pr. tablet, dvs. de er i det væsentlige natriumfri.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4.5</w:t>
      </w:r>
      <w:r w:rsidRPr="007F1052">
        <w:rPr>
          <w:b/>
          <w:spacing w:val="-3"/>
          <w:sz w:val="24"/>
          <w:szCs w:val="24"/>
        </w:rPr>
        <w:tab/>
        <w:t>Interaktion med andre lægemidler og andre former for interaktion</w:t>
      </w:r>
    </w:p>
    <w:p w:rsidR="00DC7E76" w:rsidRPr="00614F12" w:rsidRDefault="00DC7E76" w:rsidP="00DC7E76">
      <w:pPr>
        <w:ind w:left="851"/>
        <w:rPr>
          <w:spacing w:val="-3"/>
          <w:sz w:val="24"/>
          <w:szCs w:val="24"/>
        </w:rPr>
      </w:pPr>
      <w:proofErr w:type="spellStart"/>
      <w:r w:rsidRPr="00614F12">
        <w:rPr>
          <w:i/>
          <w:spacing w:val="-3"/>
          <w:sz w:val="24"/>
          <w:szCs w:val="24"/>
        </w:rPr>
        <w:t>Antacida</w:t>
      </w:r>
      <w:proofErr w:type="spellEnd"/>
      <w:r w:rsidRPr="00614F12">
        <w:rPr>
          <w:spacing w:val="-3"/>
          <w:sz w:val="24"/>
          <w:szCs w:val="24"/>
        </w:rPr>
        <w:t xml:space="preserve">: Et </w:t>
      </w:r>
      <w:proofErr w:type="spellStart"/>
      <w:r w:rsidRPr="00614F12">
        <w:rPr>
          <w:spacing w:val="-3"/>
          <w:sz w:val="24"/>
          <w:szCs w:val="24"/>
        </w:rPr>
        <w:t>farmakokinetisk</w:t>
      </w:r>
      <w:proofErr w:type="spellEnd"/>
      <w:r w:rsidRPr="00614F12">
        <w:rPr>
          <w:spacing w:val="-3"/>
          <w:sz w:val="24"/>
          <w:szCs w:val="24"/>
        </w:rPr>
        <w:t xml:space="preserve"> forsøg, der undersøgte effekt af samtidig indgift af </w:t>
      </w:r>
      <w:proofErr w:type="spellStart"/>
      <w:r w:rsidRPr="00614F12">
        <w:rPr>
          <w:spacing w:val="-3"/>
          <w:sz w:val="24"/>
          <w:szCs w:val="24"/>
        </w:rPr>
        <w:t>antacida</w:t>
      </w:r>
      <w:proofErr w:type="spellEnd"/>
      <w:r w:rsidRPr="00614F12">
        <w:rPr>
          <w:spacing w:val="-3"/>
          <w:sz w:val="24"/>
          <w:szCs w:val="24"/>
        </w:rPr>
        <w:t xml:space="preserve"> med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viste ingen generel effekt på biotilgængelighed selvom de maksimale serumkoncentrationer blev reduceret med 25 %. Patienter der får både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og </w:t>
      </w:r>
      <w:proofErr w:type="spellStart"/>
      <w:r w:rsidRPr="00614F12">
        <w:rPr>
          <w:spacing w:val="-3"/>
          <w:sz w:val="24"/>
          <w:szCs w:val="24"/>
        </w:rPr>
        <w:t>antacida</w:t>
      </w:r>
      <w:proofErr w:type="spellEnd"/>
      <w:r w:rsidRPr="00614F12">
        <w:rPr>
          <w:spacing w:val="-3"/>
          <w:sz w:val="24"/>
          <w:szCs w:val="24"/>
        </w:rPr>
        <w:t xml:space="preserve"> bør ikke tage lægemidlerne samtidig.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iCs/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Cetirizin</w:t>
      </w:r>
      <w:proofErr w:type="spellEnd"/>
      <w:r w:rsidRPr="00614F12">
        <w:rPr>
          <w:iCs/>
          <w:sz w:val="24"/>
          <w:szCs w:val="24"/>
        </w:rPr>
        <w:t xml:space="preserve">: Samtidig behandling med </w:t>
      </w:r>
      <w:proofErr w:type="spellStart"/>
      <w:r w:rsidRPr="00614F12">
        <w:rPr>
          <w:iCs/>
          <w:sz w:val="24"/>
          <w:szCs w:val="24"/>
        </w:rPr>
        <w:t>azithromycin</w:t>
      </w:r>
      <w:proofErr w:type="spellEnd"/>
      <w:r w:rsidRPr="00614F12">
        <w:rPr>
          <w:iCs/>
          <w:sz w:val="24"/>
          <w:szCs w:val="24"/>
        </w:rPr>
        <w:t xml:space="preserve"> i 5 dage og </w:t>
      </w:r>
      <w:proofErr w:type="spellStart"/>
      <w:r w:rsidRPr="00614F12">
        <w:rPr>
          <w:iCs/>
          <w:sz w:val="24"/>
          <w:szCs w:val="24"/>
        </w:rPr>
        <w:t>cetirizin</w:t>
      </w:r>
      <w:proofErr w:type="spellEnd"/>
      <w:r w:rsidRPr="00614F12">
        <w:rPr>
          <w:iCs/>
          <w:sz w:val="24"/>
          <w:szCs w:val="24"/>
        </w:rPr>
        <w:t xml:space="preserve"> 20 mg ved </w:t>
      </w:r>
      <w:proofErr w:type="spellStart"/>
      <w:r w:rsidRPr="00614F12">
        <w:rPr>
          <w:iCs/>
          <w:sz w:val="24"/>
          <w:szCs w:val="24"/>
        </w:rPr>
        <w:t>steady</w:t>
      </w:r>
      <w:proofErr w:type="spellEnd"/>
      <w:r w:rsidRPr="00614F12">
        <w:rPr>
          <w:iCs/>
          <w:sz w:val="24"/>
          <w:szCs w:val="24"/>
        </w:rPr>
        <w:t xml:space="preserve"> </w:t>
      </w:r>
      <w:proofErr w:type="spellStart"/>
      <w:r w:rsidRPr="00614F12">
        <w:rPr>
          <w:iCs/>
          <w:sz w:val="24"/>
          <w:szCs w:val="24"/>
        </w:rPr>
        <w:t>state</w:t>
      </w:r>
      <w:proofErr w:type="spellEnd"/>
      <w:r w:rsidRPr="00614F12">
        <w:rPr>
          <w:iCs/>
          <w:sz w:val="24"/>
          <w:szCs w:val="24"/>
        </w:rPr>
        <w:t xml:space="preserve"> resulterede ikke i nogen </w:t>
      </w:r>
      <w:proofErr w:type="spellStart"/>
      <w:r w:rsidRPr="00614F12">
        <w:rPr>
          <w:iCs/>
          <w:sz w:val="24"/>
          <w:szCs w:val="24"/>
        </w:rPr>
        <w:t>farmakokinetisk</w:t>
      </w:r>
      <w:proofErr w:type="spellEnd"/>
      <w:r w:rsidRPr="00614F12">
        <w:rPr>
          <w:iCs/>
          <w:sz w:val="24"/>
          <w:szCs w:val="24"/>
        </w:rPr>
        <w:t xml:space="preserve"> interaktion eller nogen signifikante ændringer i QT-intervallet hos raske frivillige forsøgspersoner.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Didanosin</w:t>
      </w:r>
      <w:proofErr w:type="spellEnd"/>
      <w:r w:rsidRPr="00614F12">
        <w:rPr>
          <w:i/>
          <w:sz w:val="24"/>
          <w:szCs w:val="24"/>
        </w:rPr>
        <w:t xml:space="preserve"> (</w:t>
      </w:r>
      <w:proofErr w:type="spellStart"/>
      <w:r w:rsidRPr="00614F12">
        <w:rPr>
          <w:i/>
          <w:sz w:val="24"/>
          <w:szCs w:val="24"/>
        </w:rPr>
        <w:t>dideoxyinosin</w:t>
      </w:r>
      <w:proofErr w:type="spellEnd"/>
      <w:r w:rsidRPr="00614F12">
        <w:rPr>
          <w:i/>
          <w:sz w:val="24"/>
          <w:szCs w:val="24"/>
        </w:rPr>
        <w:t>):</w:t>
      </w:r>
      <w:r w:rsidRPr="00614F12">
        <w:rPr>
          <w:sz w:val="24"/>
          <w:szCs w:val="24"/>
        </w:rPr>
        <w:t xml:space="preserve"> Samtidig indgift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1200 mg/dag og </w:t>
      </w:r>
      <w:proofErr w:type="spellStart"/>
      <w:r w:rsidRPr="00614F12">
        <w:rPr>
          <w:sz w:val="24"/>
          <w:szCs w:val="24"/>
        </w:rPr>
        <w:t>didanosin</w:t>
      </w:r>
      <w:proofErr w:type="spellEnd"/>
      <w:r w:rsidRPr="00614F12">
        <w:rPr>
          <w:sz w:val="24"/>
          <w:szCs w:val="24"/>
        </w:rPr>
        <w:t xml:space="preserve"> 400 mg/dag hos 6 </w:t>
      </w:r>
      <w:proofErr w:type="spellStart"/>
      <w:r w:rsidRPr="00614F12">
        <w:rPr>
          <w:sz w:val="24"/>
          <w:szCs w:val="24"/>
        </w:rPr>
        <w:t>HIV-positive</w:t>
      </w:r>
      <w:proofErr w:type="spellEnd"/>
      <w:r w:rsidRPr="00614F12">
        <w:rPr>
          <w:sz w:val="24"/>
          <w:szCs w:val="24"/>
        </w:rPr>
        <w:t xml:space="preserve"> forsøgspersoner påvirkede tilsyneladende ikke </w:t>
      </w:r>
      <w:proofErr w:type="spellStart"/>
      <w:r w:rsidRPr="00614F12">
        <w:rPr>
          <w:sz w:val="24"/>
          <w:szCs w:val="24"/>
        </w:rPr>
        <w:t>didanosins</w:t>
      </w:r>
      <w:proofErr w:type="spellEnd"/>
      <w:r w:rsidRPr="00614F12">
        <w:rPr>
          <w:sz w:val="24"/>
          <w:szCs w:val="24"/>
        </w:rPr>
        <w:t xml:space="preserve"> farmakokinetik i </w:t>
      </w:r>
      <w:proofErr w:type="spellStart"/>
      <w:r w:rsidRPr="00614F12">
        <w:rPr>
          <w:sz w:val="24"/>
          <w:szCs w:val="24"/>
        </w:rPr>
        <w:t>steady-state</w:t>
      </w:r>
      <w:proofErr w:type="spellEnd"/>
      <w:r w:rsidRPr="00614F12">
        <w:rPr>
          <w:sz w:val="24"/>
          <w:szCs w:val="24"/>
        </w:rPr>
        <w:t xml:space="preserve"> sammenlignet med placebo.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sz w:val="24"/>
          <w:szCs w:val="24"/>
        </w:rPr>
      </w:pPr>
      <w:r w:rsidRPr="00614F12">
        <w:rPr>
          <w:i/>
          <w:sz w:val="24"/>
          <w:szCs w:val="24"/>
        </w:rPr>
        <w:tab/>
      </w:r>
      <w:proofErr w:type="spellStart"/>
      <w:r w:rsidRPr="00614F12">
        <w:rPr>
          <w:i/>
          <w:sz w:val="24"/>
          <w:szCs w:val="24"/>
        </w:rPr>
        <w:t>Digoxin</w:t>
      </w:r>
      <w:proofErr w:type="spellEnd"/>
      <w:r w:rsidRPr="00614F12">
        <w:rPr>
          <w:i/>
          <w:sz w:val="24"/>
          <w:szCs w:val="24"/>
        </w:rPr>
        <w:t xml:space="preserve"> og </w:t>
      </w:r>
      <w:proofErr w:type="spellStart"/>
      <w:r w:rsidRPr="00614F12">
        <w:rPr>
          <w:i/>
          <w:sz w:val="24"/>
          <w:szCs w:val="24"/>
        </w:rPr>
        <w:t>colchicin</w:t>
      </w:r>
      <w:proofErr w:type="spellEnd"/>
      <w:r w:rsidRPr="00614F12">
        <w:rPr>
          <w:i/>
          <w:sz w:val="24"/>
          <w:szCs w:val="24"/>
        </w:rPr>
        <w:t xml:space="preserve"> (P-gp-substrater):</w:t>
      </w:r>
      <w:r w:rsidRPr="00614F12">
        <w:rPr>
          <w:sz w:val="24"/>
          <w:szCs w:val="24"/>
        </w:rPr>
        <w:t xml:space="preserve"> Samtidig indgift af </w:t>
      </w:r>
      <w:proofErr w:type="spellStart"/>
      <w:r w:rsidRPr="00614F12">
        <w:rPr>
          <w:sz w:val="24"/>
          <w:szCs w:val="24"/>
        </w:rPr>
        <w:t>makrolidantibiotika</w:t>
      </w:r>
      <w:proofErr w:type="spellEnd"/>
      <w:r w:rsidRPr="00614F12">
        <w:rPr>
          <w:sz w:val="24"/>
          <w:szCs w:val="24"/>
        </w:rPr>
        <w:t xml:space="preserve">, herunder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>, med P-</w:t>
      </w:r>
      <w:proofErr w:type="spellStart"/>
      <w:r w:rsidRPr="00614F12">
        <w:rPr>
          <w:sz w:val="24"/>
          <w:szCs w:val="24"/>
        </w:rPr>
        <w:t>glycoprotein</w:t>
      </w:r>
      <w:proofErr w:type="spellEnd"/>
      <w:r w:rsidRPr="00614F12">
        <w:rPr>
          <w:sz w:val="24"/>
          <w:szCs w:val="24"/>
        </w:rPr>
        <w:t xml:space="preserve">-substrater som </w:t>
      </w:r>
      <w:proofErr w:type="spellStart"/>
      <w:r w:rsidRPr="00614F12">
        <w:rPr>
          <w:sz w:val="24"/>
          <w:szCs w:val="24"/>
        </w:rPr>
        <w:t>digoxin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colchicin</w:t>
      </w:r>
      <w:proofErr w:type="spellEnd"/>
      <w:r w:rsidRPr="00614F12">
        <w:rPr>
          <w:sz w:val="24"/>
          <w:szCs w:val="24"/>
        </w:rPr>
        <w:t>, har resulteret i forhøjet P-</w:t>
      </w:r>
      <w:proofErr w:type="spellStart"/>
      <w:r w:rsidRPr="00614F12">
        <w:rPr>
          <w:sz w:val="24"/>
          <w:szCs w:val="24"/>
        </w:rPr>
        <w:t>glycoprotein</w:t>
      </w:r>
      <w:proofErr w:type="spellEnd"/>
      <w:r w:rsidRPr="00614F12">
        <w:rPr>
          <w:sz w:val="24"/>
          <w:szCs w:val="24"/>
        </w:rPr>
        <w:t xml:space="preserve">-substrat i serum. Muligheden for forhøjede substratniveauer bør derfor tages i betragtning ved samtidig behandling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P-gp-substrater som f.eks. </w:t>
      </w:r>
      <w:proofErr w:type="spellStart"/>
      <w:r w:rsidRPr="00614F12">
        <w:rPr>
          <w:sz w:val="24"/>
          <w:szCs w:val="24"/>
        </w:rPr>
        <w:t>digoxin</w:t>
      </w:r>
      <w:proofErr w:type="spellEnd"/>
      <w:r w:rsidRPr="00614F12">
        <w:rPr>
          <w:sz w:val="24"/>
          <w:szCs w:val="24"/>
        </w:rPr>
        <w:t xml:space="preserve">. Klinisk monitorering og hos nogle patienter desuden måling af </w:t>
      </w:r>
      <w:proofErr w:type="spellStart"/>
      <w:r w:rsidRPr="00614F12">
        <w:rPr>
          <w:sz w:val="24"/>
          <w:szCs w:val="24"/>
        </w:rPr>
        <w:t>digoxinplasmaniveau</w:t>
      </w:r>
      <w:proofErr w:type="spellEnd"/>
      <w:r w:rsidRPr="00614F12">
        <w:rPr>
          <w:sz w:val="24"/>
          <w:szCs w:val="24"/>
        </w:rPr>
        <w:t xml:space="preserve"> er nødvendig under behandling samt efter afslutning af behandling.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Zidovudin</w:t>
      </w:r>
      <w:proofErr w:type="spellEnd"/>
      <w:r w:rsidRPr="00614F12">
        <w:rPr>
          <w:sz w:val="24"/>
          <w:szCs w:val="24"/>
        </w:rPr>
        <w:t xml:space="preserve">: Enkeltdoser på 1000 mg og gentagne doser på 1200 mg eller 600 mg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havde en lille effekt på plasmafarmakokinetikken og urinudskillelsen af </w:t>
      </w:r>
      <w:proofErr w:type="spellStart"/>
      <w:r w:rsidRPr="00614F12">
        <w:rPr>
          <w:sz w:val="24"/>
          <w:szCs w:val="24"/>
        </w:rPr>
        <w:t>zidovudin</w:t>
      </w:r>
      <w:proofErr w:type="spellEnd"/>
      <w:r w:rsidRPr="00614F12">
        <w:rPr>
          <w:sz w:val="24"/>
          <w:szCs w:val="24"/>
        </w:rPr>
        <w:t xml:space="preserve"> og dets </w:t>
      </w:r>
      <w:proofErr w:type="spellStart"/>
      <w:r w:rsidRPr="00614F12">
        <w:rPr>
          <w:sz w:val="24"/>
          <w:szCs w:val="24"/>
        </w:rPr>
        <w:t>glucuronid</w:t>
      </w:r>
      <w:proofErr w:type="spellEnd"/>
      <w:r w:rsidRPr="00614F12">
        <w:rPr>
          <w:sz w:val="24"/>
          <w:szCs w:val="24"/>
        </w:rPr>
        <w:t xml:space="preserve"> metabolit. Øget koncentration af </w:t>
      </w:r>
      <w:proofErr w:type="spellStart"/>
      <w:r w:rsidRPr="00614F12">
        <w:rPr>
          <w:sz w:val="24"/>
          <w:szCs w:val="24"/>
        </w:rPr>
        <w:t>fosforyleret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zidovudin</w:t>
      </w:r>
      <w:proofErr w:type="spellEnd"/>
      <w:r w:rsidRPr="00614F12">
        <w:rPr>
          <w:sz w:val="24"/>
          <w:szCs w:val="24"/>
        </w:rPr>
        <w:t xml:space="preserve"> (den kliniske aktive metabolit) i </w:t>
      </w:r>
      <w:proofErr w:type="spellStart"/>
      <w:r w:rsidRPr="00614F12">
        <w:rPr>
          <w:sz w:val="24"/>
          <w:szCs w:val="24"/>
        </w:rPr>
        <w:t>mononukleære</w:t>
      </w:r>
      <w:proofErr w:type="spellEnd"/>
      <w:r w:rsidRPr="00614F12">
        <w:rPr>
          <w:sz w:val="24"/>
          <w:szCs w:val="24"/>
        </w:rPr>
        <w:t xml:space="preserve"> celler i perifert blod er set ved samtidig behandling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>. Den kliniske betydning af dette er dog uklar, men det kan være til gavn for patienterne.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bCs/>
          <w:sz w:val="24"/>
          <w:szCs w:val="24"/>
        </w:rPr>
      </w:pPr>
      <w:r w:rsidRPr="00614F12">
        <w:rPr>
          <w:b/>
          <w:sz w:val="24"/>
          <w:szCs w:val="24"/>
        </w:rPr>
        <w:tab/>
      </w:r>
      <w:r w:rsidRPr="00614F12">
        <w:rPr>
          <w:bCs/>
          <w:sz w:val="24"/>
          <w:szCs w:val="24"/>
        </w:rPr>
        <w:t xml:space="preserve">Der er ikke signifikant interaktion mellem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og det </w:t>
      </w:r>
      <w:proofErr w:type="spellStart"/>
      <w:r w:rsidRPr="00614F12">
        <w:rPr>
          <w:bCs/>
          <w:sz w:val="24"/>
          <w:szCs w:val="24"/>
        </w:rPr>
        <w:t>hepatiske</w:t>
      </w:r>
      <w:proofErr w:type="spellEnd"/>
      <w:r w:rsidRPr="00614F12">
        <w:rPr>
          <w:bCs/>
          <w:sz w:val="24"/>
          <w:szCs w:val="24"/>
        </w:rPr>
        <w:t xml:space="preserve"> </w:t>
      </w:r>
      <w:proofErr w:type="spellStart"/>
      <w:r w:rsidRPr="00614F12">
        <w:rPr>
          <w:bCs/>
          <w:sz w:val="24"/>
          <w:szCs w:val="24"/>
        </w:rPr>
        <w:t>cytochrom</w:t>
      </w:r>
      <w:proofErr w:type="spellEnd"/>
      <w:r w:rsidRPr="00614F12">
        <w:rPr>
          <w:bCs/>
          <w:sz w:val="24"/>
          <w:szCs w:val="24"/>
        </w:rPr>
        <w:t xml:space="preserve"> P450-system. Det forventes ikke at der er nogen form for </w:t>
      </w:r>
      <w:proofErr w:type="spellStart"/>
      <w:r w:rsidRPr="00614F12">
        <w:rPr>
          <w:bCs/>
          <w:sz w:val="24"/>
          <w:szCs w:val="24"/>
        </w:rPr>
        <w:t>farmakokinetisk</w:t>
      </w:r>
      <w:proofErr w:type="spellEnd"/>
      <w:r w:rsidRPr="00614F12">
        <w:rPr>
          <w:bCs/>
          <w:sz w:val="24"/>
          <w:szCs w:val="24"/>
        </w:rPr>
        <w:t xml:space="preserve"> interaktion, som er set med </w:t>
      </w:r>
      <w:proofErr w:type="spellStart"/>
      <w:r w:rsidRPr="00614F12">
        <w:rPr>
          <w:bCs/>
          <w:sz w:val="24"/>
          <w:szCs w:val="24"/>
        </w:rPr>
        <w:t>erythromycin</w:t>
      </w:r>
      <w:proofErr w:type="spellEnd"/>
      <w:r w:rsidRPr="00614F12">
        <w:rPr>
          <w:bCs/>
          <w:sz w:val="24"/>
          <w:szCs w:val="24"/>
        </w:rPr>
        <w:t xml:space="preserve"> og andre makrolider. </w:t>
      </w:r>
      <w:proofErr w:type="spellStart"/>
      <w:r w:rsidRPr="00614F12">
        <w:rPr>
          <w:bCs/>
          <w:sz w:val="24"/>
          <w:szCs w:val="24"/>
        </w:rPr>
        <w:t>Hepatisk</w:t>
      </w:r>
      <w:proofErr w:type="spellEnd"/>
      <w:r w:rsidRPr="00614F12">
        <w:rPr>
          <w:bCs/>
          <w:sz w:val="24"/>
          <w:szCs w:val="24"/>
        </w:rPr>
        <w:t xml:space="preserve"> </w:t>
      </w:r>
      <w:proofErr w:type="spellStart"/>
      <w:r w:rsidRPr="00614F12">
        <w:rPr>
          <w:bCs/>
          <w:sz w:val="24"/>
          <w:szCs w:val="24"/>
        </w:rPr>
        <w:t>cytochrom</w:t>
      </w:r>
      <w:proofErr w:type="spellEnd"/>
      <w:r w:rsidRPr="00614F12">
        <w:rPr>
          <w:bCs/>
          <w:sz w:val="24"/>
          <w:szCs w:val="24"/>
        </w:rPr>
        <w:t xml:space="preserve"> P450 induktion eller inaktivering via </w:t>
      </w:r>
      <w:proofErr w:type="spellStart"/>
      <w:r w:rsidRPr="00614F12">
        <w:rPr>
          <w:bCs/>
          <w:sz w:val="24"/>
          <w:szCs w:val="24"/>
        </w:rPr>
        <w:t>cytochrommetabolitkomplekset</w:t>
      </w:r>
      <w:proofErr w:type="spellEnd"/>
      <w:r w:rsidRPr="00614F12">
        <w:rPr>
          <w:bCs/>
          <w:sz w:val="24"/>
          <w:szCs w:val="24"/>
        </w:rPr>
        <w:t xml:space="preserve"> forekommer ikke med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>.</w:t>
      </w:r>
    </w:p>
    <w:p w:rsidR="00DC7E76" w:rsidRPr="00614F12" w:rsidRDefault="00DC7E76" w:rsidP="00DC7E76">
      <w:pPr>
        <w:ind w:left="851"/>
        <w:rPr>
          <w:i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Ergotamin</w:t>
      </w:r>
      <w:proofErr w:type="spellEnd"/>
      <w:r w:rsidRPr="00614F12">
        <w:rPr>
          <w:i/>
          <w:sz w:val="24"/>
          <w:szCs w:val="24"/>
        </w:rPr>
        <w:t xml:space="preserve"> og lignende farmaka:</w:t>
      </w:r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ergotamin</w:t>
      </w:r>
      <w:proofErr w:type="spellEnd"/>
      <w:r w:rsidRPr="00614F12">
        <w:rPr>
          <w:sz w:val="24"/>
          <w:szCs w:val="24"/>
        </w:rPr>
        <w:t xml:space="preserve"> derivater bør ikke gives samtidig på grund af den teoretiske mulighed for </w:t>
      </w:r>
      <w:proofErr w:type="spellStart"/>
      <w:r w:rsidRPr="00614F12">
        <w:rPr>
          <w:sz w:val="24"/>
          <w:szCs w:val="24"/>
        </w:rPr>
        <w:t>ergotisme</w:t>
      </w:r>
      <w:proofErr w:type="spellEnd"/>
      <w:r w:rsidRPr="00614F12">
        <w:rPr>
          <w:sz w:val="24"/>
          <w:szCs w:val="24"/>
        </w:rPr>
        <w:t xml:space="preserve"> (se pkt. 4.4).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Der er udført </w:t>
      </w:r>
      <w:proofErr w:type="spellStart"/>
      <w:r w:rsidRPr="00614F12">
        <w:rPr>
          <w:sz w:val="24"/>
          <w:szCs w:val="24"/>
        </w:rPr>
        <w:t>farmakokinetiske</w:t>
      </w:r>
      <w:proofErr w:type="spellEnd"/>
      <w:r w:rsidRPr="00614F12">
        <w:rPr>
          <w:sz w:val="24"/>
          <w:szCs w:val="24"/>
        </w:rPr>
        <w:t xml:space="preserve"> forsøg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de nedenfor nævnte præparater, der omdannes ved </w:t>
      </w:r>
      <w:proofErr w:type="spellStart"/>
      <w:r w:rsidRPr="00614F12">
        <w:rPr>
          <w:sz w:val="24"/>
          <w:szCs w:val="24"/>
        </w:rPr>
        <w:t>cytochrom</w:t>
      </w:r>
      <w:proofErr w:type="spellEnd"/>
      <w:r w:rsidRPr="00614F12">
        <w:rPr>
          <w:sz w:val="24"/>
          <w:szCs w:val="24"/>
        </w:rPr>
        <w:t xml:space="preserve"> P450 metabolisme.</w:t>
      </w:r>
    </w:p>
    <w:p w:rsidR="00DC7E76" w:rsidRPr="00614F12" w:rsidRDefault="00DC7E76" w:rsidP="00DC7E76">
      <w:pPr>
        <w:ind w:left="851"/>
        <w:rPr>
          <w:i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Atorvastatin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Samtidig indgift af </w:t>
      </w:r>
      <w:proofErr w:type="spellStart"/>
      <w:r w:rsidRPr="00614F12">
        <w:rPr>
          <w:sz w:val="24"/>
          <w:szCs w:val="24"/>
        </w:rPr>
        <w:t>atorvastatin</w:t>
      </w:r>
      <w:proofErr w:type="spellEnd"/>
      <w:r w:rsidRPr="00614F12">
        <w:rPr>
          <w:sz w:val="24"/>
          <w:szCs w:val="24"/>
        </w:rPr>
        <w:t xml:space="preserve"> (10 mg/dag) og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(500 mg/dag) forandrede ikke plasmakoncentrationen af </w:t>
      </w:r>
      <w:proofErr w:type="spellStart"/>
      <w:r w:rsidRPr="00614F12">
        <w:rPr>
          <w:sz w:val="24"/>
          <w:szCs w:val="24"/>
        </w:rPr>
        <w:t>atorvastatin</w:t>
      </w:r>
      <w:proofErr w:type="spellEnd"/>
      <w:r w:rsidRPr="00614F12">
        <w:rPr>
          <w:sz w:val="24"/>
          <w:szCs w:val="24"/>
        </w:rPr>
        <w:t xml:space="preserve"> (bestemt ud fra HMG </w:t>
      </w:r>
      <w:proofErr w:type="spellStart"/>
      <w:r w:rsidRPr="00614F12">
        <w:rPr>
          <w:sz w:val="24"/>
          <w:szCs w:val="24"/>
        </w:rPr>
        <w:t>CoA-</w:t>
      </w:r>
      <w:r w:rsidRPr="00614F12">
        <w:rPr>
          <w:sz w:val="24"/>
          <w:szCs w:val="24"/>
        </w:rPr>
        <w:lastRenderedPageBreak/>
        <w:t>reduktase</w:t>
      </w:r>
      <w:proofErr w:type="spellEnd"/>
      <w:r w:rsidRPr="00614F12">
        <w:rPr>
          <w:sz w:val="24"/>
          <w:szCs w:val="24"/>
        </w:rPr>
        <w:t xml:space="preserve"> inhibition </w:t>
      </w:r>
      <w:proofErr w:type="spellStart"/>
      <w:r w:rsidRPr="00614F12">
        <w:rPr>
          <w:sz w:val="24"/>
          <w:szCs w:val="24"/>
        </w:rPr>
        <w:t>assay</w:t>
      </w:r>
      <w:proofErr w:type="spellEnd"/>
      <w:r w:rsidRPr="00614F12">
        <w:rPr>
          <w:sz w:val="24"/>
          <w:szCs w:val="24"/>
        </w:rPr>
        <w:t xml:space="preserve">). Der er dog efter markedsføring set tilfælde af </w:t>
      </w:r>
      <w:proofErr w:type="spellStart"/>
      <w:r w:rsidRPr="00614F12">
        <w:rPr>
          <w:sz w:val="24"/>
          <w:szCs w:val="24"/>
        </w:rPr>
        <w:t>rabdomyolyse</w:t>
      </w:r>
      <w:proofErr w:type="spellEnd"/>
      <w:r w:rsidRPr="00614F12">
        <w:rPr>
          <w:sz w:val="24"/>
          <w:szCs w:val="24"/>
        </w:rPr>
        <w:t xml:space="preserve"> hos patienter, der fik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statiner</w:t>
      </w:r>
      <w:proofErr w:type="spellEnd"/>
      <w:r w:rsidRPr="00614F12">
        <w:rPr>
          <w:sz w:val="24"/>
          <w:szCs w:val="24"/>
        </w:rPr>
        <w:t>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Carbamazepin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I et </w:t>
      </w:r>
      <w:proofErr w:type="spellStart"/>
      <w:r w:rsidRPr="00614F12">
        <w:rPr>
          <w:sz w:val="24"/>
          <w:szCs w:val="24"/>
        </w:rPr>
        <w:t>farmakokinetisk</w:t>
      </w:r>
      <w:proofErr w:type="spellEnd"/>
      <w:r w:rsidRPr="00614F12">
        <w:rPr>
          <w:sz w:val="24"/>
          <w:szCs w:val="24"/>
        </w:rPr>
        <w:t xml:space="preserve"> interaktionsforsøg blev der ikke set signifikant effekt på plasmakoncentrationen af </w:t>
      </w:r>
      <w:proofErr w:type="spellStart"/>
      <w:r w:rsidRPr="00614F12">
        <w:rPr>
          <w:sz w:val="24"/>
          <w:szCs w:val="24"/>
        </w:rPr>
        <w:t>carbamazepin</w:t>
      </w:r>
      <w:proofErr w:type="spellEnd"/>
      <w:r w:rsidRPr="00614F12">
        <w:rPr>
          <w:sz w:val="24"/>
          <w:szCs w:val="24"/>
        </w:rPr>
        <w:t xml:space="preserve"> eller dets aktive metabolit hos patienter, der samtidig fik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>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Cimetidin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I et </w:t>
      </w:r>
      <w:proofErr w:type="spellStart"/>
      <w:r w:rsidRPr="00614F12">
        <w:rPr>
          <w:sz w:val="24"/>
          <w:szCs w:val="24"/>
        </w:rPr>
        <w:t>farmakokinetisk</w:t>
      </w:r>
      <w:proofErr w:type="spellEnd"/>
      <w:r w:rsidRPr="00614F12">
        <w:rPr>
          <w:sz w:val="24"/>
          <w:szCs w:val="24"/>
        </w:rPr>
        <w:t xml:space="preserve"> forsøg, der undersøgte effekten af enkelt-dosis </w:t>
      </w:r>
      <w:proofErr w:type="spellStart"/>
      <w:r w:rsidRPr="00614F12">
        <w:rPr>
          <w:sz w:val="24"/>
          <w:szCs w:val="24"/>
        </w:rPr>
        <w:t>cimetidin</w:t>
      </w:r>
      <w:proofErr w:type="spellEnd"/>
      <w:r w:rsidRPr="00614F12">
        <w:rPr>
          <w:sz w:val="24"/>
          <w:szCs w:val="24"/>
        </w:rPr>
        <w:t xml:space="preserve"> givet 2 timer før administration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, blev der ikke set ændringer i </w:t>
      </w:r>
      <w:proofErr w:type="spellStart"/>
      <w:r w:rsidRPr="00614F12">
        <w:rPr>
          <w:sz w:val="24"/>
          <w:szCs w:val="24"/>
        </w:rPr>
        <w:t>azithromycins</w:t>
      </w:r>
      <w:proofErr w:type="spellEnd"/>
      <w:r w:rsidRPr="00614F12">
        <w:rPr>
          <w:sz w:val="24"/>
          <w:szCs w:val="24"/>
        </w:rPr>
        <w:t xml:space="preserve"> farmakokinetik. </w:t>
      </w:r>
    </w:p>
    <w:p w:rsidR="00DC7E76" w:rsidRPr="00614F12" w:rsidRDefault="00DC7E76" w:rsidP="00DC7E76">
      <w:pPr>
        <w:ind w:left="851"/>
        <w:rPr>
          <w:bCs/>
          <w:sz w:val="24"/>
          <w:szCs w:val="24"/>
        </w:rPr>
      </w:pPr>
    </w:p>
    <w:p w:rsidR="00DC7E76" w:rsidRPr="00614F12" w:rsidRDefault="00DC7E76" w:rsidP="00DC7E76">
      <w:pPr>
        <w:ind w:left="851"/>
        <w:rPr>
          <w:bCs/>
          <w:sz w:val="24"/>
          <w:szCs w:val="24"/>
        </w:rPr>
      </w:pPr>
      <w:proofErr w:type="spellStart"/>
      <w:r w:rsidRPr="00614F12">
        <w:rPr>
          <w:bCs/>
          <w:i/>
          <w:sz w:val="24"/>
          <w:szCs w:val="24"/>
        </w:rPr>
        <w:t>Coumarinlignende</w:t>
      </w:r>
      <w:proofErr w:type="spellEnd"/>
      <w:r w:rsidRPr="00614F12">
        <w:rPr>
          <w:bCs/>
          <w:i/>
          <w:sz w:val="24"/>
          <w:szCs w:val="24"/>
        </w:rPr>
        <w:t xml:space="preserve"> orale </w:t>
      </w:r>
      <w:proofErr w:type="spellStart"/>
      <w:r w:rsidRPr="00614F12">
        <w:rPr>
          <w:bCs/>
          <w:i/>
          <w:sz w:val="24"/>
          <w:szCs w:val="24"/>
        </w:rPr>
        <w:t>antikoagulantia</w:t>
      </w:r>
      <w:proofErr w:type="spellEnd"/>
      <w:r w:rsidRPr="00614F12">
        <w:rPr>
          <w:bCs/>
          <w:i/>
          <w:sz w:val="24"/>
          <w:szCs w:val="24"/>
        </w:rPr>
        <w:t>:</w:t>
      </w:r>
      <w:r w:rsidRPr="00614F12">
        <w:rPr>
          <w:bCs/>
          <w:sz w:val="24"/>
          <w:szCs w:val="24"/>
        </w:rPr>
        <w:t xml:space="preserve"> I et </w:t>
      </w:r>
      <w:proofErr w:type="spellStart"/>
      <w:r w:rsidRPr="00614F12">
        <w:rPr>
          <w:bCs/>
          <w:sz w:val="24"/>
          <w:szCs w:val="24"/>
        </w:rPr>
        <w:t>farmakokinetisk</w:t>
      </w:r>
      <w:proofErr w:type="spellEnd"/>
      <w:r w:rsidRPr="00614F12">
        <w:rPr>
          <w:bCs/>
          <w:sz w:val="24"/>
          <w:szCs w:val="24"/>
        </w:rPr>
        <w:t xml:space="preserve"> interaktionsforsøg ændrede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ikke den </w:t>
      </w:r>
      <w:proofErr w:type="spellStart"/>
      <w:r w:rsidRPr="00614F12">
        <w:rPr>
          <w:bCs/>
          <w:sz w:val="24"/>
          <w:szCs w:val="24"/>
        </w:rPr>
        <w:t>antikoagulantiske</w:t>
      </w:r>
      <w:proofErr w:type="spellEnd"/>
      <w:r w:rsidRPr="00614F12">
        <w:rPr>
          <w:bCs/>
          <w:sz w:val="24"/>
          <w:szCs w:val="24"/>
        </w:rPr>
        <w:t xml:space="preserve"> effekt af en 15 mg </w:t>
      </w:r>
      <w:proofErr w:type="spellStart"/>
      <w:r w:rsidRPr="00614F12">
        <w:rPr>
          <w:bCs/>
          <w:sz w:val="24"/>
          <w:szCs w:val="24"/>
        </w:rPr>
        <w:t>warfarin</w:t>
      </w:r>
      <w:proofErr w:type="spellEnd"/>
      <w:r w:rsidRPr="00614F12">
        <w:rPr>
          <w:bCs/>
          <w:sz w:val="24"/>
          <w:szCs w:val="24"/>
        </w:rPr>
        <w:t xml:space="preserve">-dosis hos raske frivillige forsøgspersoner. Der er efter markedsføring rapporteret om forstærket </w:t>
      </w:r>
      <w:proofErr w:type="spellStart"/>
      <w:r w:rsidRPr="00614F12">
        <w:rPr>
          <w:bCs/>
          <w:sz w:val="24"/>
          <w:szCs w:val="24"/>
        </w:rPr>
        <w:t>anti</w:t>
      </w:r>
      <w:r w:rsidRPr="00614F12">
        <w:rPr>
          <w:bCs/>
          <w:sz w:val="24"/>
          <w:szCs w:val="24"/>
        </w:rPr>
        <w:softHyphen/>
        <w:t>koagulantisk</w:t>
      </w:r>
      <w:proofErr w:type="spellEnd"/>
      <w:r w:rsidRPr="00614F12">
        <w:rPr>
          <w:bCs/>
          <w:sz w:val="24"/>
          <w:szCs w:val="24"/>
        </w:rPr>
        <w:t xml:space="preserve"> effekt efter samtidig indgift af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og </w:t>
      </w:r>
      <w:proofErr w:type="spellStart"/>
      <w:r w:rsidRPr="00614F12">
        <w:rPr>
          <w:bCs/>
          <w:sz w:val="24"/>
          <w:szCs w:val="24"/>
        </w:rPr>
        <w:t>coumarinlignende</w:t>
      </w:r>
      <w:proofErr w:type="spellEnd"/>
      <w:r w:rsidRPr="00614F12">
        <w:rPr>
          <w:bCs/>
          <w:sz w:val="24"/>
          <w:szCs w:val="24"/>
        </w:rPr>
        <w:t xml:space="preserve"> orale </w:t>
      </w:r>
      <w:proofErr w:type="spellStart"/>
      <w:r w:rsidRPr="00614F12">
        <w:rPr>
          <w:bCs/>
          <w:sz w:val="24"/>
          <w:szCs w:val="24"/>
        </w:rPr>
        <w:t>antikoagulantia</w:t>
      </w:r>
      <w:proofErr w:type="spellEnd"/>
      <w:r w:rsidRPr="00614F12">
        <w:rPr>
          <w:bCs/>
          <w:sz w:val="24"/>
          <w:szCs w:val="24"/>
        </w:rPr>
        <w:t xml:space="preserve">. Selvom der ikke er fastslået kausal sammenhæng, bør hyppigheden af monitorering af </w:t>
      </w:r>
      <w:proofErr w:type="spellStart"/>
      <w:r w:rsidRPr="00614F12">
        <w:rPr>
          <w:bCs/>
          <w:sz w:val="24"/>
          <w:szCs w:val="24"/>
        </w:rPr>
        <w:t>prothrombintid</w:t>
      </w:r>
      <w:proofErr w:type="spellEnd"/>
      <w:r w:rsidRPr="00614F12">
        <w:rPr>
          <w:bCs/>
          <w:sz w:val="24"/>
          <w:szCs w:val="24"/>
        </w:rPr>
        <w:t xml:space="preserve"> overvejes hos patienter, der får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samtidig med </w:t>
      </w:r>
      <w:proofErr w:type="spellStart"/>
      <w:r w:rsidRPr="00614F12">
        <w:rPr>
          <w:bCs/>
          <w:sz w:val="24"/>
          <w:szCs w:val="24"/>
        </w:rPr>
        <w:t>coumarinlignende</w:t>
      </w:r>
      <w:proofErr w:type="spellEnd"/>
      <w:r w:rsidRPr="00614F12">
        <w:rPr>
          <w:bCs/>
          <w:sz w:val="24"/>
          <w:szCs w:val="24"/>
        </w:rPr>
        <w:t xml:space="preserve"> orale </w:t>
      </w:r>
      <w:proofErr w:type="spellStart"/>
      <w:r w:rsidRPr="00614F12">
        <w:rPr>
          <w:bCs/>
          <w:sz w:val="24"/>
          <w:szCs w:val="24"/>
        </w:rPr>
        <w:t>antikoagulantia</w:t>
      </w:r>
      <w:proofErr w:type="spellEnd"/>
      <w:r w:rsidRPr="00614F12">
        <w:rPr>
          <w:bCs/>
          <w:sz w:val="24"/>
          <w:szCs w:val="24"/>
        </w:rPr>
        <w:t xml:space="preserve">. </w:t>
      </w:r>
    </w:p>
    <w:p w:rsidR="00DC7E76" w:rsidRPr="00614F12" w:rsidRDefault="00DC7E76" w:rsidP="00DC7E76">
      <w:pPr>
        <w:ind w:left="851" w:hanging="851"/>
        <w:rPr>
          <w:iCs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Ciclosporin</w:t>
      </w:r>
      <w:proofErr w:type="spellEnd"/>
      <w:r w:rsidRPr="00614F12">
        <w:rPr>
          <w:sz w:val="24"/>
          <w:szCs w:val="24"/>
        </w:rPr>
        <w:t xml:space="preserve">: I et </w:t>
      </w:r>
      <w:proofErr w:type="spellStart"/>
      <w:r w:rsidRPr="00614F12">
        <w:rPr>
          <w:sz w:val="24"/>
          <w:szCs w:val="24"/>
        </w:rPr>
        <w:t>farmakokinetisk</w:t>
      </w:r>
      <w:proofErr w:type="spellEnd"/>
      <w:r w:rsidRPr="00614F12">
        <w:rPr>
          <w:sz w:val="24"/>
          <w:szCs w:val="24"/>
        </w:rPr>
        <w:t xml:space="preserve"> forsøg med raske, frivillige forsøgspersoner, der fik 500 mg/dag oral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i 3 dage og dernæst en 10 mg/kg oral dosis </w:t>
      </w:r>
      <w:proofErr w:type="spellStart"/>
      <w:r w:rsidRPr="00614F12">
        <w:rPr>
          <w:sz w:val="24"/>
          <w:szCs w:val="24"/>
        </w:rPr>
        <w:t>ciclosporin</w:t>
      </w:r>
      <w:proofErr w:type="spellEnd"/>
      <w:r w:rsidRPr="00614F12">
        <w:rPr>
          <w:sz w:val="24"/>
          <w:szCs w:val="24"/>
        </w:rPr>
        <w:t xml:space="preserve">, fandt man, at </w:t>
      </w:r>
      <w:proofErr w:type="spellStart"/>
      <w:r w:rsidRPr="00614F12">
        <w:rPr>
          <w:sz w:val="24"/>
          <w:szCs w:val="24"/>
        </w:rPr>
        <w:t>ciclosporin</w:t>
      </w:r>
      <w:proofErr w:type="spellEnd"/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C</w:t>
      </w:r>
      <w:r w:rsidRPr="00614F12">
        <w:rPr>
          <w:sz w:val="24"/>
          <w:szCs w:val="24"/>
          <w:vertAlign w:val="subscript"/>
        </w:rPr>
        <w:t>max</w:t>
      </w:r>
      <w:proofErr w:type="spellEnd"/>
      <w:r w:rsidRPr="00614F12">
        <w:rPr>
          <w:sz w:val="24"/>
          <w:szCs w:val="24"/>
        </w:rPr>
        <w:t xml:space="preserve"> og AUC</w:t>
      </w:r>
      <w:r w:rsidRPr="00614F12">
        <w:rPr>
          <w:sz w:val="24"/>
          <w:szCs w:val="24"/>
          <w:vertAlign w:val="subscript"/>
        </w:rPr>
        <w:t>0-5</w:t>
      </w:r>
      <w:r w:rsidRPr="00614F12">
        <w:rPr>
          <w:sz w:val="24"/>
          <w:szCs w:val="24"/>
        </w:rPr>
        <w:t xml:space="preserve"> var signifikant forhøjede. Derfor bør der udvises forsigtighed ved samtidig behandling. Hvis samtidig behandling er nødvendig, bør serum </w:t>
      </w:r>
      <w:proofErr w:type="spellStart"/>
      <w:r w:rsidRPr="00614F12">
        <w:rPr>
          <w:sz w:val="24"/>
          <w:szCs w:val="24"/>
        </w:rPr>
        <w:t>ciclosporinniveauet</w:t>
      </w:r>
      <w:proofErr w:type="spellEnd"/>
      <w:r w:rsidRPr="00614F12">
        <w:rPr>
          <w:sz w:val="24"/>
          <w:szCs w:val="24"/>
        </w:rPr>
        <w:t xml:space="preserve"> monitoreres og dosis justeres i overensstemmelse hermed.</w:t>
      </w:r>
    </w:p>
    <w:p w:rsidR="00DC7E76" w:rsidRPr="00614F12" w:rsidRDefault="00DC7E76" w:rsidP="00DC7E76">
      <w:pPr>
        <w:ind w:left="851"/>
        <w:rPr>
          <w:bCs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bCs/>
          <w:i/>
          <w:sz w:val="24"/>
          <w:szCs w:val="24"/>
        </w:rPr>
        <w:t>Efavirenz</w:t>
      </w:r>
      <w:proofErr w:type="spellEnd"/>
      <w:r w:rsidRPr="00614F12">
        <w:rPr>
          <w:bCs/>
          <w:i/>
          <w:sz w:val="24"/>
          <w:szCs w:val="24"/>
        </w:rPr>
        <w:t>:</w:t>
      </w:r>
      <w:r w:rsidRPr="00614F12">
        <w:rPr>
          <w:bCs/>
          <w:sz w:val="24"/>
          <w:szCs w:val="24"/>
        </w:rPr>
        <w:t xml:space="preserve"> Samtidig indgift af enkeltdosis </w:t>
      </w:r>
      <w:proofErr w:type="spellStart"/>
      <w:r w:rsidRPr="00614F12">
        <w:rPr>
          <w:bCs/>
          <w:sz w:val="24"/>
          <w:szCs w:val="24"/>
        </w:rPr>
        <w:t>azi</w:t>
      </w:r>
      <w:r w:rsidRPr="00614F12">
        <w:rPr>
          <w:sz w:val="24"/>
          <w:szCs w:val="24"/>
        </w:rPr>
        <w:t>thromycin</w:t>
      </w:r>
      <w:proofErr w:type="spellEnd"/>
      <w:r w:rsidRPr="00614F12">
        <w:rPr>
          <w:sz w:val="24"/>
          <w:szCs w:val="24"/>
        </w:rPr>
        <w:t xml:space="preserve"> 600 mg og </w:t>
      </w:r>
      <w:proofErr w:type="spellStart"/>
      <w:r w:rsidRPr="00614F12">
        <w:rPr>
          <w:sz w:val="24"/>
          <w:szCs w:val="24"/>
        </w:rPr>
        <w:t>efavirenz</w:t>
      </w:r>
      <w:proofErr w:type="spellEnd"/>
      <w:r w:rsidRPr="00614F12">
        <w:rPr>
          <w:sz w:val="24"/>
          <w:szCs w:val="24"/>
        </w:rPr>
        <w:t xml:space="preserve"> 400 mg/dag i 7 dage viste ikke kliniske relevante </w:t>
      </w:r>
      <w:proofErr w:type="spellStart"/>
      <w:r w:rsidRPr="00614F12">
        <w:rPr>
          <w:sz w:val="24"/>
          <w:szCs w:val="24"/>
        </w:rPr>
        <w:t>farmakokinetiske</w:t>
      </w:r>
      <w:proofErr w:type="spellEnd"/>
      <w:r w:rsidRPr="00614F12">
        <w:rPr>
          <w:sz w:val="24"/>
          <w:szCs w:val="24"/>
        </w:rPr>
        <w:t xml:space="preserve"> interaktioner.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Fluconazol</w:t>
      </w:r>
      <w:proofErr w:type="spellEnd"/>
      <w:r w:rsidRPr="00614F12">
        <w:rPr>
          <w:i/>
          <w:sz w:val="24"/>
          <w:szCs w:val="24"/>
        </w:rPr>
        <w:t xml:space="preserve">: </w:t>
      </w:r>
      <w:r w:rsidRPr="00614F12">
        <w:rPr>
          <w:sz w:val="24"/>
          <w:szCs w:val="24"/>
        </w:rPr>
        <w:t xml:space="preserve">Samtidig indgift af enkeltdosis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1200 mg ændrede ikke farmakokinetikken for en enkeltdosis </w:t>
      </w:r>
      <w:proofErr w:type="spellStart"/>
      <w:r w:rsidRPr="00614F12">
        <w:rPr>
          <w:sz w:val="24"/>
          <w:szCs w:val="24"/>
        </w:rPr>
        <w:t>fluconazol</w:t>
      </w:r>
      <w:proofErr w:type="spellEnd"/>
      <w:r w:rsidRPr="00614F12">
        <w:rPr>
          <w:sz w:val="24"/>
          <w:szCs w:val="24"/>
        </w:rPr>
        <w:t xml:space="preserve"> 800 mg. Totalkoncentration og halveringstid for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var uændret ved samtidig indgift af </w:t>
      </w:r>
      <w:proofErr w:type="spellStart"/>
      <w:r w:rsidRPr="00614F12">
        <w:rPr>
          <w:sz w:val="24"/>
          <w:szCs w:val="24"/>
        </w:rPr>
        <w:t>fluconazol</w:t>
      </w:r>
      <w:proofErr w:type="spellEnd"/>
      <w:r w:rsidRPr="00614F12">
        <w:rPr>
          <w:sz w:val="24"/>
          <w:szCs w:val="24"/>
        </w:rPr>
        <w:t xml:space="preserve">, men der blev set et klinisk </w:t>
      </w:r>
      <w:proofErr w:type="spellStart"/>
      <w:r w:rsidRPr="00614F12">
        <w:rPr>
          <w:sz w:val="24"/>
          <w:szCs w:val="24"/>
        </w:rPr>
        <w:t>insignifikant</w:t>
      </w:r>
      <w:proofErr w:type="spellEnd"/>
      <w:r w:rsidRPr="00614F12">
        <w:rPr>
          <w:sz w:val="24"/>
          <w:szCs w:val="24"/>
        </w:rPr>
        <w:t xml:space="preserve"> reduktion i </w:t>
      </w:r>
      <w:proofErr w:type="spellStart"/>
      <w:r w:rsidRPr="00614F12">
        <w:rPr>
          <w:sz w:val="24"/>
          <w:szCs w:val="24"/>
        </w:rPr>
        <w:t>C</w:t>
      </w:r>
      <w:r w:rsidRPr="00614F12">
        <w:rPr>
          <w:sz w:val="24"/>
          <w:szCs w:val="24"/>
          <w:vertAlign w:val="subscript"/>
        </w:rPr>
        <w:t>max</w:t>
      </w:r>
      <w:proofErr w:type="spellEnd"/>
      <w:r w:rsidRPr="00614F12">
        <w:rPr>
          <w:sz w:val="24"/>
          <w:szCs w:val="24"/>
        </w:rPr>
        <w:t xml:space="preserve"> (18 %) for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>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Indinavir</w:t>
      </w:r>
      <w:proofErr w:type="spellEnd"/>
      <w:r w:rsidRPr="00614F12">
        <w:rPr>
          <w:i/>
          <w:sz w:val="24"/>
          <w:szCs w:val="24"/>
        </w:rPr>
        <w:t xml:space="preserve">: </w:t>
      </w:r>
      <w:r w:rsidRPr="00614F12">
        <w:rPr>
          <w:sz w:val="24"/>
          <w:szCs w:val="24"/>
        </w:rPr>
        <w:t xml:space="preserve">Samtidig indgift af en enkeltdosis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1200 mg havde ikke statistisk signifikant effekt på farmakokinetikken for </w:t>
      </w:r>
      <w:proofErr w:type="spellStart"/>
      <w:r w:rsidRPr="00614F12">
        <w:rPr>
          <w:sz w:val="24"/>
          <w:szCs w:val="24"/>
        </w:rPr>
        <w:t>indinavir</w:t>
      </w:r>
      <w:proofErr w:type="spellEnd"/>
      <w:r w:rsidRPr="00614F12">
        <w:rPr>
          <w:sz w:val="24"/>
          <w:szCs w:val="24"/>
        </w:rPr>
        <w:t xml:space="preserve"> 800 mg 3 gange dagligt i 5 dage.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Methylprednisolon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I et </w:t>
      </w:r>
      <w:proofErr w:type="spellStart"/>
      <w:r w:rsidRPr="00614F12">
        <w:rPr>
          <w:sz w:val="24"/>
          <w:szCs w:val="24"/>
        </w:rPr>
        <w:t>farmakokinetisk</w:t>
      </w:r>
      <w:proofErr w:type="spellEnd"/>
      <w:r w:rsidRPr="00614F12">
        <w:rPr>
          <w:sz w:val="24"/>
          <w:szCs w:val="24"/>
        </w:rPr>
        <w:t xml:space="preserve"> interaktionsforsøg med raske frivillige forsøgspersoner havde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ikke indflydelse på </w:t>
      </w:r>
      <w:proofErr w:type="spellStart"/>
      <w:r w:rsidRPr="00614F12">
        <w:rPr>
          <w:sz w:val="24"/>
          <w:szCs w:val="24"/>
        </w:rPr>
        <w:t>methylprednisolons</w:t>
      </w:r>
      <w:proofErr w:type="spellEnd"/>
      <w:r w:rsidRPr="00614F12">
        <w:rPr>
          <w:sz w:val="24"/>
          <w:szCs w:val="24"/>
        </w:rPr>
        <w:t xml:space="preserve"> farmakokinetik.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Midazolam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Hos raske frivillige forsøgspersoner, medførte samtidig indgift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500 mg/dag i 3 dage ikke klinisk signifikante ændringer i farmakokinetikken og </w:t>
      </w:r>
      <w:proofErr w:type="spellStart"/>
      <w:r w:rsidRPr="00614F12">
        <w:rPr>
          <w:sz w:val="24"/>
          <w:szCs w:val="24"/>
        </w:rPr>
        <w:t>farmakodynamikken</w:t>
      </w:r>
      <w:proofErr w:type="spellEnd"/>
      <w:r w:rsidRPr="00614F12">
        <w:rPr>
          <w:sz w:val="24"/>
          <w:szCs w:val="24"/>
        </w:rPr>
        <w:t xml:space="preserve"> for </w:t>
      </w:r>
      <w:proofErr w:type="spellStart"/>
      <w:r w:rsidRPr="00614F12">
        <w:rPr>
          <w:sz w:val="24"/>
          <w:szCs w:val="24"/>
        </w:rPr>
        <w:t>midazolam</w:t>
      </w:r>
      <w:proofErr w:type="spellEnd"/>
      <w:r w:rsidRPr="00614F12">
        <w:rPr>
          <w:sz w:val="24"/>
          <w:szCs w:val="24"/>
        </w:rPr>
        <w:t xml:space="preserve"> enkeltdosis 15 mg.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Nelfinavir</w:t>
      </w:r>
      <w:proofErr w:type="spellEnd"/>
      <w:r w:rsidRPr="00614F12">
        <w:rPr>
          <w:i/>
          <w:sz w:val="24"/>
          <w:szCs w:val="24"/>
        </w:rPr>
        <w:t xml:space="preserve">: </w:t>
      </w:r>
      <w:r w:rsidRPr="00614F12">
        <w:rPr>
          <w:sz w:val="24"/>
          <w:szCs w:val="24"/>
        </w:rPr>
        <w:t xml:space="preserve">Samtidig indgift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1200 mg og </w:t>
      </w:r>
      <w:proofErr w:type="spellStart"/>
      <w:r w:rsidRPr="00614F12">
        <w:rPr>
          <w:sz w:val="24"/>
          <w:szCs w:val="24"/>
        </w:rPr>
        <w:t>nelfinavir</w:t>
      </w:r>
      <w:proofErr w:type="spellEnd"/>
      <w:r w:rsidRPr="00614F12">
        <w:rPr>
          <w:sz w:val="24"/>
          <w:szCs w:val="24"/>
        </w:rPr>
        <w:t xml:space="preserve"> ved </w:t>
      </w:r>
      <w:proofErr w:type="spellStart"/>
      <w:r w:rsidRPr="00614F12">
        <w:rPr>
          <w:sz w:val="24"/>
          <w:szCs w:val="24"/>
        </w:rPr>
        <w:t>steady-state</w:t>
      </w:r>
      <w:proofErr w:type="spellEnd"/>
      <w:r w:rsidRPr="00614F12">
        <w:rPr>
          <w:sz w:val="24"/>
          <w:szCs w:val="24"/>
        </w:rPr>
        <w:t xml:space="preserve"> (750 mg 3 gange dagligt) medførte øget </w:t>
      </w:r>
      <w:proofErr w:type="spellStart"/>
      <w:r w:rsidRPr="00614F12">
        <w:rPr>
          <w:sz w:val="24"/>
          <w:szCs w:val="24"/>
        </w:rPr>
        <w:t>azithromycinkoncentration</w:t>
      </w:r>
      <w:proofErr w:type="spellEnd"/>
      <w:r w:rsidRPr="00614F12">
        <w:rPr>
          <w:sz w:val="24"/>
          <w:szCs w:val="24"/>
        </w:rPr>
        <w:t>. Der blev ikke set klinisk signifikante bivirkninger og det er ikke nødvendigt at justere dosis.</w:t>
      </w:r>
    </w:p>
    <w:p w:rsidR="00DC7E76" w:rsidRPr="00614F12" w:rsidRDefault="00DC7E76" w:rsidP="00DC7E76">
      <w:pPr>
        <w:ind w:left="851" w:hanging="851"/>
        <w:rPr>
          <w:i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Rifabutin</w:t>
      </w:r>
      <w:proofErr w:type="spellEnd"/>
      <w:r w:rsidRPr="00614F12">
        <w:rPr>
          <w:sz w:val="24"/>
          <w:szCs w:val="24"/>
        </w:rPr>
        <w:t xml:space="preserve">: Samtidig administration af </w:t>
      </w:r>
      <w:proofErr w:type="spellStart"/>
      <w:r w:rsidRPr="00614F12">
        <w:rPr>
          <w:sz w:val="24"/>
          <w:szCs w:val="24"/>
        </w:rPr>
        <w:t>rifabutin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påvirkede ikke serumkoncentrationerne af nogen af stofferne.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sz w:val="24"/>
          <w:szCs w:val="24"/>
        </w:rPr>
        <w:lastRenderedPageBreak/>
        <w:t>Neutropeni</w:t>
      </w:r>
      <w:proofErr w:type="spellEnd"/>
      <w:r w:rsidRPr="00614F12">
        <w:rPr>
          <w:sz w:val="24"/>
          <w:szCs w:val="24"/>
        </w:rPr>
        <w:t xml:space="preserve"> er set hos personer, der fik samtidig behandling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rifabutin</w:t>
      </w:r>
      <w:proofErr w:type="spellEnd"/>
      <w:r w:rsidRPr="00614F12">
        <w:rPr>
          <w:sz w:val="24"/>
          <w:szCs w:val="24"/>
        </w:rPr>
        <w:t xml:space="preserve">. Da </w:t>
      </w:r>
      <w:proofErr w:type="spellStart"/>
      <w:r w:rsidRPr="00614F12">
        <w:rPr>
          <w:sz w:val="24"/>
          <w:szCs w:val="24"/>
        </w:rPr>
        <w:t>neutropeni</w:t>
      </w:r>
      <w:proofErr w:type="spellEnd"/>
      <w:r w:rsidRPr="00614F12">
        <w:rPr>
          <w:sz w:val="24"/>
          <w:szCs w:val="24"/>
        </w:rPr>
        <w:t xml:space="preserve"> kan forekomme ved behandling med </w:t>
      </w:r>
      <w:proofErr w:type="spellStart"/>
      <w:r w:rsidRPr="00614F12">
        <w:rPr>
          <w:sz w:val="24"/>
          <w:szCs w:val="24"/>
        </w:rPr>
        <w:t>rifabutin</w:t>
      </w:r>
      <w:proofErr w:type="spellEnd"/>
      <w:r w:rsidRPr="00614F12">
        <w:rPr>
          <w:sz w:val="24"/>
          <w:szCs w:val="24"/>
        </w:rPr>
        <w:t xml:space="preserve">, er en årsagssammenhæng til kombinationen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ikke blevet vist (se pkt. 4.8).</w:t>
      </w:r>
    </w:p>
    <w:p w:rsidR="00DC7E76" w:rsidRPr="00614F12" w:rsidRDefault="00DC7E76" w:rsidP="00DC7E76">
      <w:pPr>
        <w:ind w:left="851"/>
        <w:rPr>
          <w:i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Sildenafil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Hos raske, frivillige, mandlige forsøgspersoner var der ikke tegn på en effekt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500 mg/dag i 3 dage på AUC og </w:t>
      </w:r>
      <w:proofErr w:type="spellStart"/>
      <w:r w:rsidRPr="00614F12">
        <w:rPr>
          <w:sz w:val="24"/>
          <w:szCs w:val="24"/>
        </w:rPr>
        <w:t>C</w:t>
      </w:r>
      <w:r w:rsidRPr="00614F12">
        <w:rPr>
          <w:sz w:val="24"/>
          <w:szCs w:val="24"/>
          <w:vertAlign w:val="subscript"/>
        </w:rPr>
        <w:t>max</w:t>
      </w:r>
      <w:proofErr w:type="spellEnd"/>
      <w:r w:rsidRPr="00614F12">
        <w:rPr>
          <w:sz w:val="24"/>
          <w:szCs w:val="24"/>
        </w:rPr>
        <w:t xml:space="preserve"> for </w:t>
      </w:r>
      <w:proofErr w:type="spellStart"/>
      <w:r w:rsidRPr="00614F12">
        <w:rPr>
          <w:sz w:val="24"/>
          <w:szCs w:val="24"/>
        </w:rPr>
        <w:t>sildenafil</w:t>
      </w:r>
      <w:proofErr w:type="spellEnd"/>
      <w:r w:rsidRPr="00614F12">
        <w:rPr>
          <w:sz w:val="24"/>
          <w:szCs w:val="24"/>
        </w:rPr>
        <w:t xml:space="preserve"> eller dets primære metabolit.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Terfenadin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Farmakokinetiske</w:t>
      </w:r>
      <w:proofErr w:type="spellEnd"/>
      <w:r w:rsidRPr="00614F12">
        <w:rPr>
          <w:sz w:val="24"/>
          <w:szCs w:val="24"/>
        </w:rPr>
        <w:t xml:space="preserve"> undersøgelser viser ikke tegn på interaktion mellem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terfenadin</w:t>
      </w:r>
      <w:proofErr w:type="spellEnd"/>
      <w:r w:rsidRPr="00614F12">
        <w:rPr>
          <w:sz w:val="24"/>
          <w:szCs w:val="24"/>
        </w:rPr>
        <w:t>. Der har være sjældne tilfælde, hvor mulighed for en sådan interaktion ikke helt har kunnet udelukkes, men der var ikke specifikt bevis for, at en sådan interaktion var indtruffet.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Theophyllin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Der er ingen tegn på klinisk signifikant </w:t>
      </w:r>
      <w:proofErr w:type="spellStart"/>
      <w:r w:rsidRPr="00614F12">
        <w:rPr>
          <w:sz w:val="24"/>
          <w:szCs w:val="24"/>
        </w:rPr>
        <w:t>farmakokinetisk</w:t>
      </w:r>
      <w:proofErr w:type="spellEnd"/>
      <w:r w:rsidRPr="00614F12">
        <w:rPr>
          <w:sz w:val="24"/>
          <w:szCs w:val="24"/>
        </w:rPr>
        <w:t xml:space="preserve"> interaktion, når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theophyllin</w:t>
      </w:r>
      <w:proofErr w:type="spellEnd"/>
      <w:r w:rsidRPr="00614F12">
        <w:rPr>
          <w:sz w:val="24"/>
          <w:szCs w:val="24"/>
        </w:rPr>
        <w:t xml:space="preserve"> er </w:t>
      </w:r>
      <w:proofErr w:type="spellStart"/>
      <w:r w:rsidRPr="00614F12">
        <w:rPr>
          <w:sz w:val="24"/>
          <w:szCs w:val="24"/>
        </w:rPr>
        <w:t>co</w:t>
      </w:r>
      <w:proofErr w:type="spellEnd"/>
      <w:r w:rsidRPr="00614F12">
        <w:rPr>
          <w:sz w:val="24"/>
          <w:szCs w:val="24"/>
        </w:rPr>
        <w:t xml:space="preserve">-administreret til raske frivillige forsøgspersoner. 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Triazolam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Hos 14 raske frivillige forsøgspersoner, havde samtidig administration af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500 mg på dag 1 og 250 mg på dag 2 med 0,125 mg </w:t>
      </w:r>
      <w:proofErr w:type="spellStart"/>
      <w:r w:rsidRPr="00614F12">
        <w:rPr>
          <w:sz w:val="24"/>
          <w:szCs w:val="24"/>
        </w:rPr>
        <w:t>triazolam</w:t>
      </w:r>
      <w:proofErr w:type="spellEnd"/>
      <w:r w:rsidRPr="00614F12">
        <w:rPr>
          <w:sz w:val="24"/>
          <w:szCs w:val="24"/>
        </w:rPr>
        <w:t xml:space="preserve"> på dag 2 ingen signifikant effekt på nogen af de </w:t>
      </w:r>
      <w:proofErr w:type="spellStart"/>
      <w:r w:rsidRPr="00614F12">
        <w:rPr>
          <w:sz w:val="24"/>
          <w:szCs w:val="24"/>
        </w:rPr>
        <w:t>farmakokinetiske</w:t>
      </w:r>
      <w:proofErr w:type="spellEnd"/>
      <w:r w:rsidRPr="00614F12">
        <w:rPr>
          <w:sz w:val="24"/>
          <w:szCs w:val="24"/>
        </w:rPr>
        <w:t xml:space="preserve"> værdier for </w:t>
      </w:r>
      <w:proofErr w:type="spellStart"/>
      <w:r w:rsidRPr="00614F12">
        <w:rPr>
          <w:sz w:val="24"/>
          <w:szCs w:val="24"/>
        </w:rPr>
        <w:t>triazolam</w:t>
      </w:r>
      <w:proofErr w:type="spellEnd"/>
      <w:r w:rsidRPr="00614F12">
        <w:rPr>
          <w:sz w:val="24"/>
          <w:szCs w:val="24"/>
        </w:rPr>
        <w:t xml:space="preserve"> sammenlignet med </w:t>
      </w:r>
      <w:proofErr w:type="spellStart"/>
      <w:r w:rsidRPr="00614F12">
        <w:rPr>
          <w:sz w:val="24"/>
          <w:szCs w:val="24"/>
        </w:rPr>
        <w:t>triazolam</w:t>
      </w:r>
      <w:proofErr w:type="spellEnd"/>
      <w:r w:rsidRPr="00614F12">
        <w:rPr>
          <w:sz w:val="24"/>
          <w:szCs w:val="24"/>
        </w:rPr>
        <w:t xml:space="preserve"> og placebo.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color w:val="000000"/>
          <w:sz w:val="24"/>
          <w:szCs w:val="24"/>
        </w:rPr>
      </w:pPr>
      <w:proofErr w:type="spellStart"/>
      <w:r w:rsidRPr="00614F12">
        <w:rPr>
          <w:i/>
          <w:color w:val="000000"/>
          <w:sz w:val="24"/>
          <w:szCs w:val="24"/>
        </w:rPr>
        <w:t>Trimethoprim</w:t>
      </w:r>
      <w:proofErr w:type="spellEnd"/>
      <w:r w:rsidRPr="00614F12">
        <w:rPr>
          <w:i/>
          <w:color w:val="000000"/>
          <w:sz w:val="24"/>
          <w:szCs w:val="24"/>
        </w:rPr>
        <w:t>/</w:t>
      </w:r>
      <w:proofErr w:type="spellStart"/>
      <w:r w:rsidRPr="00614F12">
        <w:rPr>
          <w:i/>
          <w:color w:val="000000"/>
          <w:sz w:val="24"/>
          <w:szCs w:val="24"/>
        </w:rPr>
        <w:t>sulfamethoxazol</w:t>
      </w:r>
      <w:proofErr w:type="spellEnd"/>
      <w:r w:rsidRPr="00614F12">
        <w:rPr>
          <w:i/>
          <w:color w:val="000000"/>
          <w:sz w:val="24"/>
          <w:szCs w:val="24"/>
        </w:rPr>
        <w:t>:</w:t>
      </w:r>
      <w:r w:rsidRPr="00614F12">
        <w:rPr>
          <w:color w:val="000000"/>
          <w:sz w:val="24"/>
          <w:szCs w:val="24"/>
        </w:rPr>
        <w:t xml:space="preserve"> Samtidig administration af </w:t>
      </w:r>
      <w:proofErr w:type="spellStart"/>
      <w:r w:rsidRPr="00614F12">
        <w:rPr>
          <w:color w:val="000000"/>
          <w:sz w:val="24"/>
          <w:szCs w:val="24"/>
        </w:rPr>
        <w:t>trimethoprim</w:t>
      </w:r>
      <w:proofErr w:type="spellEnd"/>
      <w:r w:rsidRPr="00614F12">
        <w:rPr>
          <w:color w:val="000000"/>
          <w:sz w:val="24"/>
          <w:szCs w:val="24"/>
        </w:rPr>
        <w:t>/</w:t>
      </w:r>
      <w:proofErr w:type="spellStart"/>
      <w:r w:rsidRPr="00614F12">
        <w:rPr>
          <w:color w:val="000000"/>
          <w:sz w:val="24"/>
          <w:szCs w:val="24"/>
        </w:rPr>
        <w:t>sulfamethoxazol</w:t>
      </w:r>
      <w:proofErr w:type="spellEnd"/>
      <w:r w:rsidRPr="00614F12">
        <w:rPr>
          <w:color w:val="000000"/>
          <w:sz w:val="24"/>
          <w:szCs w:val="24"/>
        </w:rPr>
        <w:t xml:space="preserve"> (160 mg/800 mg) i 7 dage med </w:t>
      </w:r>
      <w:proofErr w:type="spellStart"/>
      <w:r w:rsidRPr="00614F12">
        <w:rPr>
          <w:color w:val="000000"/>
          <w:sz w:val="24"/>
          <w:szCs w:val="24"/>
        </w:rPr>
        <w:t>azithromycin</w:t>
      </w:r>
      <w:proofErr w:type="spellEnd"/>
      <w:r w:rsidRPr="00614F12">
        <w:rPr>
          <w:color w:val="000000"/>
          <w:sz w:val="24"/>
          <w:szCs w:val="24"/>
        </w:rPr>
        <w:t xml:space="preserve"> 1200 mg på Dag 7 havde ingen signifikant effekt på de maksimale koncentrationer, samlet eksponering eller urinudskillelsen af enten </w:t>
      </w:r>
      <w:proofErr w:type="spellStart"/>
      <w:r w:rsidRPr="00614F12">
        <w:rPr>
          <w:color w:val="000000"/>
          <w:sz w:val="24"/>
          <w:szCs w:val="24"/>
        </w:rPr>
        <w:t>trimethoprim</w:t>
      </w:r>
      <w:proofErr w:type="spellEnd"/>
      <w:r w:rsidRPr="00614F12">
        <w:rPr>
          <w:color w:val="000000"/>
          <w:sz w:val="24"/>
          <w:szCs w:val="24"/>
        </w:rPr>
        <w:t xml:space="preserve"> eller </w:t>
      </w:r>
      <w:proofErr w:type="spellStart"/>
      <w:r w:rsidRPr="00614F12">
        <w:rPr>
          <w:color w:val="000000"/>
          <w:sz w:val="24"/>
          <w:szCs w:val="24"/>
        </w:rPr>
        <w:t>sulfamethoxazol</w:t>
      </w:r>
      <w:proofErr w:type="spellEnd"/>
      <w:r w:rsidRPr="00614F12">
        <w:rPr>
          <w:color w:val="000000"/>
          <w:sz w:val="24"/>
          <w:szCs w:val="24"/>
        </w:rPr>
        <w:t xml:space="preserve">. Serumkoncentrationerne af </w:t>
      </w:r>
      <w:proofErr w:type="spellStart"/>
      <w:r w:rsidRPr="00614F12">
        <w:rPr>
          <w:color w:val="000000"/>
          <w:sz w:val="24"/>
          <w:szCs w:val="24"/>
        </w:rPr>
        <w:t>azithromycin</w:t>
      </w:r>
      <w:proofErr w:type="spellEnd"/>
      <w:r w:rsidRPr="00614F12">
        <w:rPr>
          <w:color w:val="000000"/>
          <w:sz w:val="24"/>
          <w:szCs w:val="24"/>
        </w:rPr>
        <w:t xml:space="preserve"> svarede til dem, der blev set i andre undersøgelser.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  <w:u w:val="single"/>
        </w:rPr>
      </w:pPr>
      <w:proofErr w:type="spellStart"/>
      <w:r w:rsidRPr="00614F12">
        <w:rPr>
          <w:i/>
          <w:sz w:val="24"/>
          <w:szCs w:val="24"/>
        </w:rPr>
        <w:t>Lovastatin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kan medføre forhøjede plasmakoncentrationer af </w:t>
      </w:r>
      <w:proofErr w:type="spellStart"/>
      <w:r w:rsidRPr="00614F12">
        <w:rPr>
          <w:sz w:val="24"/>
          <w:szCs w:val="24"/>
        </w:rPr>
        <w:t>lovastatin</w:t>
      </w:r>
      <w:proofErr w:type="spellEnd"/>
      <w:r w:rsidRPr="00614F12">
        <w:rPr>
          <w:sz w:val="24"/>
          <w:szCs w:val="24"/>
        </w:rPr>
        <w:t xml:space="preserve"> og dermed risiko for </w:t>
      </w:r>
      <w:proofErr w:type="spellStart"/>
      <w:r w:rsidRPr="00614F12">
        <w:rPr>
          <w:sz w:val="24"/>
          <w:szCs w:val="24"/>
        </w:rPr>
        <w:t>rhabdomyolyse</w:t>
      </w:r>
      <w:proofErr w:type="spellEnd"/>
      <w:r w:rsidRPr="00614F12">
        <w:rPr>
          <w:sz w:val="24"/>
          <w:szCs w:val="24"/>
        </w:rPr>
        <w:t xml:space="preserve">, hvorfor kombinationsbehandling frarådes. </w:t>
      </w:r>
      <w:r w:rsidRPr="00614F12">
        <w:rPr>
          <w:sz w:val="24"/>
          <w:szCs w:val="24"/>
          <w:u w:val="single"/>
        </w:rPr>
        <w:t xml:space="preserve"> </w:t>
      </w:r>
    </w:p>
    <w:p w:rsidR="00DC7E76" w:rsidRPr="00614F12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614F12">
        <w:rPr>
          <w:i/>
          <w:sz w:val="24"/>
          <w:szCs w:val="24"/>
        </w:rPr>
        <w:t>Warfarin</w:t>
      </w:r>
      <w:proofErr w:type="spellEnd"/>
      <w:r w:rsidRPr="00614F12">
        <w:rPr>
          <w:i/>
          <w:sz w:val="24"/>
          <w:szCs w:val="24"/>
        </w:rPr>
        <w:t xml:space="preserve">, </w:t>
      </w:r>
      <w:proofErr w:type="spellStart"/>
      <w:r w:rsidRPr="00614F12">
        <w:rPr>
          <w:bCs/>
          <w:i/>
          <w:sz w:val="24"/>
          <w:szCs w:val="24"/>
        </w:rPr>
        <w:t>phenprocoumon</w:t>
      </w:r>
      <w:proofErr w:type="spellEnd"/>
      <w:r w:rsidRPr="00614F12">
        <w:rPr>
          <w:i/>
          <w:sz w:val="24"/>
          <w:szCs w:val="24"/>
        </w:rPr>
        <w:t>:</w:t>
      </w:r>
      <w:r w:rsidRPr="00614F12">
        <w:rPr>
          <w:sz w:val="24"/>
          <w:szCs w:val="24"/>
        </w:rPr>
        <w:t xml:space="preserve"> Ved samtidig behandling med </w:t>
      </w:r>
      <w:proofErr w:type="spellStart"/>
      <w:r w:rsidRPr="00614F12">
        <w:rPr>
          <w:sz w:val="24"/>
          <w:szCs w:val="24"/>
        </w:rPr>
        <w:t>azithromycin</w:t>
      </w:r>
      <w:proofErr w:type="spellEnd"/>
      <w:r w:rsidRPr="00614F12">
        <w:rPr>
          <w:sz w:val="24"/>
          <w:szCs w:val="24"/>
        </w:rPr>
        <w:t xml:space="preserve"> og </w:t>
      </w:r>
      <w:proofErr w:type="spellStart"/>
      <w:r w:rsidRPr="00614F12">
        <w:rPr>
          <w:sz w:val="24"/>
          <w:szCs w:val="24"/>
        </w:rPr>
        <w:t>warfarin</w:t>
      </w:r>
      <w:proofErr w:type="spellEnd"/>
      <w:r w:rsidRPr="00614F12">
        <w:rPr>
          <w:sz w:val="24"/>
          <w:szCs w:val="24"/>
        </w:rPr>
        <w:t xml:space="preserve"> eller </w:t>
      </w:r>
      <w:proofErr w:type="spellStart"/>
      <w:r w:rsidRPr="00614F12">
        <w:rPr>
          <w:sz w:val="24"/>
          <w:szCs w:val="24"/>
        </w:rPr>
        <w:t>p</w:t>
      </w:r>
      <w:r w:rsidRPr="00614F12">
        <w:rPr>
          <w:bCs/>
          <w:sz w:val="24"/>
          <w:szCs w:val="24"/>
        </w:rPr>
        <w:t>henprocoumon</w:t>
      </w:r>
      <w:proofErr w:type="spellEnd"/>
      <w:r w:rsidRPr="00614F12">
        <w:rPr>
          <w:bCs/>
          <w:sz w:val="24"/>
          <w:szCs w:val="24"/>
        </w:rPr>
        <w:t xml:space="preserve"> anbefales h</w:t>
      </w:r>
      <w:r w:rsidRPr="00614F12">
        <w:rPr>
          <w:sz w:val="24"/>
          <w:szCs w:val="24"/>
        </w:rPr>
        <w:t xml:space="preserve">yppig kontrol af INR og eventuel dosisjustering af </w:t>
      </w:r>
      <w:proofErr w:type="spellStart"/>
      <w:r w:rsidRPr="00614F12">
        <w:rPr>
          <w:sz w:val="24"/>
          <w:szCs w:val="24"/>
        </w:rPr>
        <w:t>warfarin</w:t>
      </w:r>
      <w:proofErr w:type="spellEnd"/>
      <w:r w:rsidRPr="00614F12">
        <w:rPr>
          <w:sz w:val="24"/>
          <w:szCs w:val="24"/>
        </w:rPr>
        <w:t xml:space="preserve">. </w:t>
      </w:r>
    </w:p>
    <w:p w:rsidR="00DC7E76" w:rsidRPr="00614F12" w:rsidRDefault="00DC7E76" w:rsidP="00DC7E76">
      <w:pPr>
        <w:ind w:left="851"/>
        <w:rPr>
          <w:strike/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  <w:u w:val="single"/>
        </w:rPr>
      </w:pPr>
      <w:r w:rsidRPr="00614F12">
        <w:rPr>
          <w:sz w:val="24"/>
          <w:szCs w:val="24"/>
          <w:u w:val="single"/>
        </w:rPr>
        <w:t>Lægemidler der påvirker QT-intervallet:</w:t>
      </w:r>
    </w:p>
    <w:p w:rsidR="00DC7E76" w:rsidRDefault="00DC7E76" w:rsidP="00DC7E76">
      <w:pPr>
        <w:ind w:left="851"/>
        <w:rPr>
          <w:sz w:val="24"/>
          <w:szCs w:val="24"/>
        </w:rPr>
      </w:pPr>
      <w:r w:rsidRPr="00614F12">
        <w:rPr>
          <w:sz w:val="24"/>
          <w:szCs w:val="24"/>
        </w:rPr>
        <w:t xml:space="preserve">Patienter, der samtidigt anvender lægemidler, som forlænger QT-intervallet (f.eks. </w:t>
      </w:r>
      <w:proofErr w:type="spellStart"/>
      <w:r w:rsidRPr="00614F12">
        <w:rPr>
          <w:sz w:val="24"/>
          <w:szCs w:val="24"/>
        </w:rPr>
        <w:t>terfenadin</w:t>
      </w:r>
      <w:proofErr w:type="spellEnd"/>
      <w:r w:rsidRPr="00614F12">
        <w:rPr>
          <w:sz w:val="24"/>
          <w:szCs w:val="24"/>
        </w:rPr>
        <w:t xml:space="preserve">, klasse IA og III </w:t>
      </w:r>
      <w:proofErr w:type="spellStart"/>
      <w:r w:rsidRPr="00614F12">
        <w:rPr>
          <w:sz w:val="24"/>
          <w:szCs w:val="24"/>
        </w:rPr>
        <w:t>antiarytmika</w:t>
      </w:r>
      <w:proofErr w:type="spellEnd"/>
      <w:r w:rsidRPr="00614F12">
        <w:rPr>
          <w:sz w:val="24"/>
          <w:szCs w:val="24"/>
        </w:rPr>
        <w:t xml:space="preserve">) bør overvåges nøje (f.eks. patientens kliniske tilstand, EKG-måling) under </w:t>
      </w:r>
      <w:proofErr w:type="spellStart"/>
      <w:r w:rsidRPr="00614F12">
        <w:rPr>
          <w:sz w:val="24"/>
          <w:szCs w:val="24"/>
        </w:rPr>
        <w:t>azithromycinbehandling</w:t>
      </w:r>
      <w:proofErr w:type="spellEnd"/>
      <w:r w:rsidRPr="00614F12">
        <w:rPr>
          <w:sz w:val="24"/>
          <w:szCs w:val="24"/>
        </w:rPr>
        <w:t xml:space="preserve"> (se pkt. 4.4).</w:t>
      </w:r>
    </w:p>
    <w:p w:rsidR="00DC7E76" w:rsidRDefault="00DC7E76" w:rsidP="00DC7E76">
      <w:pPr>
        <w:ind w:left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sz w:val="24"/>
          <w:szCs w:val="24"/>
        </w:rPr>
      </w:pPr>
      <w:proofErr w:type="spellStart"/>
      <w:r w:rsidRPr="00C27A28">
        <w:rPr>
          <w:sz w:val="24"/>
          <w:szCs w:val="24"/>
        </w:rPr>
        <w:t>Azithromycin</w:t>
      </w:r>
      <w:proofErr w:type="spellEnd"/>
      <w:r w:rsidRPr="00C27A28">
        <w:rPr>
          <w:sz w:val="24"/>
          <w:szCs w:val="24"/>
        </w:rPr>
        <w:t xml:space="preserve"> skal anvendes med forsigtighed hos patienter, der får medicin, der kan forlænge QT-intervallet med potentiale til at inducere </w:t>
      </w:r>
      <w:proofErr w:type="spellStart"/>
      <w:r w:rsidRPr="00C27A28">
        <w:rPr>
          <w:sz w:val="24"/>
          <w:szCs w:val="24"/>
        </w:rPr>
        <w:t>hjertearytmi</w:t>
      </w:r>
      <w:proofErr w:type="spellEnd"/>
      <w:r w:rsidRPr="00C27A28">
        <w:rPr>
          <w:sz w:val="24"/>
          <w:szCs w:val="24"/>
        </w:rPr>
        <w:t xml:space="preserve">, f.eks. </w:t>
      </w:r>
      <w:proofErr w:type="spellStart"/>
      <w:r w:rsidRPr="00C27A28">
        <w:rPr>
          <w:sz w:val="24"/>
          <w:szCs w:val="24"/>
        </w:rPr>
        <w:t>hydroxychloroquin</w:t>
      </w:r>
      <w:proofErr w:type="spellEnd"/>
      <w:r w:rsidRPr="00C27A28">
        <w:rPr>
          <w:sz w:val="24"/>
          <w:szCs w:val="24"/>
        </w:rPr>
        <w:t>.</w:t>
      </w:r>
    </w:p>
    <w:p w:rsidR="005D0A64" w:rsidRPr="007F1052" w:rsidRDefault="005D0A64" w:rsidP="005D0A64">
      <w:pPr>
        <w:ind w:left="851" w:hanging="851"/>
        <w:rPr>
          <w:i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4.6</w:t>
      </w:r>
      <w:r w:rsidRPr="007F1052">
        <w:rPr>
          <w:b/>
          <w:spacing w:val="-3"/>
          <w:sz w:val="24"/>
          <w:szCs w:val="24"/>
        </w:rPr>
        <w:tab/>
      </w:r>
      <w:r w:rsidR="00F90E79">
        <w:rPr>
          <w:b/>
          <w:spacing w:val="-3"/>
          <w:sz w:val="24"/>
          <w:szCs w:val="24"/>
        </w:rPr>
        <w:t>Fertilitet, g</w:t>
      </w:r>
      <w:r w:rsidRPr="007F1052">
        <w:rPr>
          <w:b/>
          <w:spacing w:val="-3"/>
          <w:sz w:val="24"/>
          <w:szCs w:val="24"/>
        </w:rPr>
        <w:t>raviditet og amning</w:t>
      </w:r>
    </w:p>
    <w:p w:rsidR="00F90E79" w:rsidRDefault="00F90E79" w:rsidP="00F90E79">
      <w:pPr>
        <w:tabs>
          <w:tab w:val="left" w:pos="840"/>
        </w:tabs>
        <w:ind w:firstLine="840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Graviditet</w:t>
      </w:r>
    </w:p>
    <w:p w:rsidR="004F0D89" w:rsidRDefault="004F0D89" w:rsidP="004F0D89">
      <w:pPr>
        <w:tabs>
          <w:tab w:val="left" w:pos="840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Toksicitetsforsøg på dyrs evne til at reproducere sig har vist, at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kan passere placenta, men der blev ikke set </w:t>
      </w:r>
      <w:proofErr w:type="spellStart"/>
      <w:r>
        <w:rPr>
          <w:sz w:val="24"/>
          <w:szCs w:val="24"/>
        </w:rPr>
        <w:t>teratogenetiske</w:t>
      </w:r>
      <w:proofErr w:type="spellEnd"/>
      <w:r>
        <w:rPr>
          <w:sz w:val="24"/>
          <w:szCs w:val="24"/>
        </w:rPr>
        <w:t xml:space="preserve"> virkninger. Der findes en stor mængde data fra observationsstudier fra flere lande om brug af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under graviditet sammen</w:t>
      </w:r>
      <w:r>
        <w:rPr>
          <w:sz w:val="24"/>
          <w:szCs w:val="24"/>
        </w:rPr>
        <w:softHyphen/>
        <w:t xml:space="preserve">lignet med ingen brug af antibiotika eller brug af anden type antibiotika i samme periode. Selvom resultaterne fra de fleste studier ikke tyder på en sammenhæng med </w:t>
      </w:r>
      <w:proofErr w:type="spellStart"/>
      <w:r>
        <w:rPr>
          <w:sz w:val="24"/>
          <w:szCs w:val="24"/>
        </w:rPr>
        <w:t>føtale</w:t>
      </w:r>
      <w:proofErr w:type="spellEnd"/>
      <w:r>
        <w:rPr>
          <w:sz w:val="24"/>
          <w:szCs w:val="24"/>
        </w:rPr>
        <w:t xml:space="preserve"> bivirk</w:t>
      </w:r>
      <w:r>
        <w:rPr>
          <w:sz w:val="24"/>
          <w:szCs w:val="24"/>
        </w:rPr>
        <w:softHyphen/>
        <w:t xml:space="preserve">ninger, herunder alvorlig medfødte misdannelser eller </w:t>
      </w:r>
      <w:proofErr w:type="spellStart"/>
      <w:r>
        <w:rPr>
          <w:sz w:val="24"/>
          <w:szCs w:val="24"/>
        </w:rPr>
        <w:t>kardiovaskulære</w:t>
      </w:r>
      <w:proofErr w:type="spellEnd"/>
      <w:r>
        <w:rPr>
          <w:sz w:val="24"/>
          <w:szCs w:val="24"/>
        </w:rPr>
        <w:t xml:space="preserve"> misdannelser, så er </w:t>
      </w:r>
      <w:r>
        <w:rPr>
          <w:sz w:val="24"/>
          <w:szCs w:val="24"/>
        </w:rPr>
        <w:lastRenderedPageBreak/>
        <w:t xml:space="preserve">der begrænsede epidemiologiske tegn på en forøget risiko for abort ved brug af </w:t>
      </w:r>
      <w:proofErr w:type="spellStart"/>
      <w:r>
        <w:rPr>
          <w:sz w:val="24"/>
          <w:szCs w:val="24"/>
        </w:rPr>
        <w:t>azithro</w:t>
      </w:r>
      <w:r>
        <w:rPr>
          <w:sz w:val="24"/>
          <w:szCs w:val="24"/>
        </w:rPr>
        <w:softHyphen/>
        <w:t>mycin</w:t>
      </w:r>
      <w:proofErr w:type="spellEnd"/>
      <w:r>
        <w:rPr>
          <w:sz w:val="24"/>
          <w:szCs w:val="24"/>
        </w:rPr>
        <w:t xml:space="preserve"> under den første del af graviditeten.</w:t>
      </w:r>
    </w:p>
    <w:p w:rsidR="004F0D89" w:rsidRDefault="004F0D89" w:rsidP="004F0D89">
      <w:pPr>
        <w:tabs>
          <w:tab w:val="left" w:pos="840"/>
        </w:tabs>
        <w:ind w:left="840"/>
        <w:rPr>
          <w:sz w:val="24"/>
          <w:szCs w:val="24"/>
        </w:rPr>
      </w:pPr>
    </w:p>
    <w:p w:rsidR="00F90E79" w:rsidRDefault="004F0D89" w:rsidP="004F0D89">
      <w:pPr>
        <w:tabs>
          <w:tab w:val="left" w:pos="840"/>
        </w:tabs>
        <w:ind w:left="851" w:hanging="11"/>
        <w:rPr>
          <w:sz w:val="24"/>
          <w:szCs w:val="24"/>
        </w:rPr>
      </w:pPr>
      <w:proofErr w:type="spellStart"/>
      <w:r>
        <w:rPr>
          <w:sz w:val="24"/>
          <w:szCs w:val="24"/>
          <w:lang w:eastAsia="da-DK"/>
        </w:rPr>
        <w:t>Azithromycin</w:t>
      </w:r>
      <w:proofErr w:type="spellEnd"/>
      <w:r>
        <w:rPr>
          <w:sz w:val="24"/>
          <w:szCs w:val="24"/>
          <w:lang w:eastAsia="da-DK"/>
        </w:rPr>
        <w:t xml:space="preserve"> må kun anvendes under graviditet, hvis det er blevet vurderet, at fordelene ved denne behandling forventes at overstige de potentielle risici.</w:t>
      </w:r>
    </w:p>
    <w:p w:rsidR="00F90E79" w:rsidRDefault="00F90E79" w:rsidP="00F90E79">
      <w:pPr>
        <w:tabs>
          <w:tab w:val="left" w:pos="840"/>
        </w:tabs>
        <w:rPr>
          <w:sz w:val="24"/>
          <w:szCs w:val="24"/>
        </w:rPr>
      </w:pPr>
    </w:p>
    <w:p w:rsidR="00F90E79" w:rsidRDefault="00F90E79" w:rsidP="00F90E79">
      <w:pPr>
        <w:tabs>
          <w:tab w:val="left" w:pos="840"/>
        </w:tabs>
        <w:ind w:firstLine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F90E79" w:rsidRDefault="00F90E79" w:rsidP="00F90E79">
      <w:pPr>
        <w:tabs>
          <w:tab w:val="left" w:pos="840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Begrænsede data fra publicerede kliniske forsøg, tyder på, at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kan genfindes i modermælken og den anslåede højeste daglige mediandosis er 0,1-0,7 mg/kg/dag. Der blev ikke set alvorlige bivirkninger af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hos de spædbørn, der blev ammet.</w:t>
      </w:r>
    </w:p>
    <w:p w:rsidR="00F90E79" w:rsidRDefault="00F90E79" w:rsidP="00F90E79">
      <w:pPr>
        <w:tabs>
          <w:tab w:val="left" w:pos="840"/>
        </w:tabs>
        <w:ind w:left="840"/>
        <w:rPr>
          <w:sz w:val="24"/>
          <w:szCs w:val="24"/>
        </w:rPr>
      </w:pPr>
    </w:p>
    <w:p w:rsidR="00F90E79" w:rsidRDefault="00F90E79" w:rsidP="00F90E79">
      <w:pPr>
        <w:tabs>
          <w:tab w:val="left" w:pos="840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Der bør foretages en vurdering af fordelene ved at barnet bliver ammet og fordelen ved behandling af moderen, når der skal tages en beslutning om amning skal ophøre eller </w:t>
      </w:r>
      <w:proofErr w:type="spellStart"/>
      <w:r>
        <w:rPr>
          <w:sz w:val="24"/>
          <w:szCs w:val="24"/>
        </w:rPr>
        <w:t>azithromycinbehandling</w:t>
      </w:r>
      <w:proofErr w:type="spellEnd"/>
      <w:r>
        <w:rPr>
          <w:sz w:val="24"/>
          <w:szCs w:val="24"/>
        </w:rPr>
        <w:t xml:space="preserve"> skal seponeres eller helt undlades.</w:t>
      </w:r>
    </w:p>
    <w:p w:rsidR="00F90E79" w:rsidRDefault="00F90E79" w:rsidP="00F90E79">
      <w:pPr>
        <w:ind w:left="851"/>
        <w:rPr>
          <w:sz w:val="24"/>
          <w:szCs w:val="24"/>
        </w:rPr>
      </w:pPr>
    </w:p>
    <w:p w:rsidR="00F90E79" w:rsidRDefault="00F90E79" w:rsidP="00F90E79">
      <w:pPr>
        <w:tabs>
          <w:tab w:val="left" w:pos="840"/>
        </w:tabs>
        <w:rPr>
          <w:sz w:val="24"/>
          <w:u w:val="single"/>
        </w:rPr>
      </w:pPr>
      <w:r>
        <w:tab/>
      </w:r>
      <w:r>
        <w:rPr>
          <w:sz w:val="24"/>
          <w:u w:val="single"/>
        </w:rPr>
        <w:t>Fertilitet</w:t>
      </w:r>
    </w:p>
    <w:p w:rsidR="00F90E79" w:rsidRDefault="00F90E79" w:rsidP="00F90E79">
      <w:pPr>
        <w:tabs>
          <w:tab w:val="left" w:pos="840"/>
        </w:tabs>
        <w:rPr>
          <w:sz w:val="24"/>
        </w:rPr>
      </w:pPr>
      <w:r>
        <w:rPr>
          <w:sz w:val="24"/>
        </w:rPr>
        <w:tab/>
        <w:t xml:space="preserve">I fertilitetsstudier med rotter blev der set færre graviditeter hos rotter, der fik </w:t>
      </w:r>
      <w:proofErr w:type="spellStart"/>
      <w:r>
        <w:rPr>
          <w:sz w:val="24"/>
        </w:rPr>
        <w:t>azithromycin</w:t>
      </w:r>
      <w:proofErr w:type="spellEnd"/>
      <w:r>
        <w:rPr>
          <w:sz w:val="24"/>
        </w:rPr>
        <w:t xml:space="preserve">. </w:t>
      </w:r>
      <w:r>
        <w:rPr>
          <w:sz w:val="24"/>
        </w:rPr>
        <w:tab/>
        <w:t>Betydningen af dette fund for mennesker er ukendt.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4.7</w:t>
      </w:r>
      <w:r w:rsidRPr="007F1052">
        <w:rPr>
          <w:b/>
          <w:spacing w:val="-3"/>
          <w:sz w:val="24"/>
          <w:szCs w:val="24"/>
        </w:rPr>
        <w:tab/>
        <w:t xml:space="preserve">Virkning på evnen til at føre motorkøretøj </w:t>
      </w:r>
      <w:r w:rsidR="00F90E79">
        <w:rPr>
          <w:b/>
          <w:spacing w:val="-3"/>
          <w:sz w:val="24"/>
          <w:szCs w:val="24"/>
        </w:rPr>
        <w:t>og</w:t>
      </w:r>
      <w:r w:rsidRPr="007F1052">
        <w:rPr>
          <w:b/>
          <w:spacing w:val="-3"/>
          <w:sz w:val="24"/>
          <w:szCs w:val="24"/>
        </w:rPr>
        <w:t xml:space="preserve"> betjene maskiner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Ikke mærkning.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Der er ikke bevis for at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kan påvirke evnen til at føre motorkøretøj eller betjene maskiner.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numPr>
          <w:ilvl w:val="1"/>
          <w:numId w:val="7"/>
        </w:numPr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Bivirkninger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De hyppigst forekommende bivirkninger er </w:t>
      </w:r>
      <w:proofErr w:type="spellStart"/>
      <w:r w:rsidRPr="007F1052">
        <w:rPr>
          <w:sz w:val="24"/>
          <w:szCs w:val="24"/>
        </w:rPr>
        <w:t>gastrointestinale</w:t>
      </w:r>
      <w:proofErr w:type="spellEnd"/>
      <w:r w:rsidRPr="007F1052">
        <w:rPr>
          <w:sz w:val="24"/>
          <w:szCs w:val="24"/>
        </w:rPr>
        <w:t xml:space="preserve"> gener især diarré, opkastning, </w:t>
      </w:r>
      <w:proofErr w:type="spellStart"/>
      <w:r w:rsidRPr="007F1052">
        <w:rPr>
          <w:sz w:val="24"/>
          <w:szCs w:val="24"/>
        </w:rPr>
        <w:t>abdominalsmerter</w:t>
      </w:r>
      <w:proofErr w:type="spellEnd"/>
      <w:r w:rsidRPr="007F1052">
        <w:rPr>
          <w:sz w:val="24"/>
          <w:szCs w:val="24"/>
        </w:rPr>
        <w:t xml:space="preserve"> og kvalme.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b/>
          <w:bCs/>
          <w:spacing w:val="-3"/>
          <w:sz w:val="24"/>
          <w:szCs w:val="24"/>
        </w:rPr>
      </w:pPr>
      <w:r w:rsidRPr="007F1052">
        <w:rPr>
          <w:bCs/>
          <w:sz w:val="24"/>
          <w:szCs w:val="24"/>
        </w:rPr>
        <w:t xml:space="preserve">Skemaet nedenfor anfører de bivirkninger, der er rapporteret gennem kliniske forsøg og erfaring efter markedsføring. </w:t>
      </w:r>
      <w:r w:rsidRPr="007F1052">
        <w:rPr>
          <w:rStyle w:val="a"/>
          <w:sz w:val="24"/>
          <w:szCs w:val="24"/>
        </w:rPr>
        <w:t xml:space="preserve">Alle bivirkninger er anført efter </w:t>
      </w:r>
      <w:proofErr w:type="spellStart"/>
      <w:r w:rsidRPr="007F1052">
        <w:rPr>
          <w:rStyle w:val="a"/>
          <w:sz w:val="24"/>
          <w:szCs w:val="24"/>
        </w:rPr>
        <w:t>MedDRA</w:t>
      </w:r>
      <w:proofErr w:type="spellEnd"/>
      <w:r w:rsidRPr="007F1052">
        <w:rPr>
          <w:rStyle w:val="a"/>
          <w:sz w:val="24"/>
          <w:szCs w:val="24"/>
        </w:rPr>
        <w:t xml:space="preserve"> organklasse og hyppighed. Bivirkninger set efter markedsføring er angivet i kursiv. Frekvenser er defineret ud fra: m</w:t>
      </w:r>
      <w:r w:rsidRPr="007F1052">
        <w:rPr>
          <w:sz w:val="24"/>
          <w:szCs w:val="24"/>
        </w:rPr>
        <w:t>eget almindelig ≥1/10, almindelig ≥1/100 og &lt;1/10, ikke almindelig ≥1/1.000 og &lt;1/100, sjælden ≥1/10.000 og &lt;1/1.000, meget sjælden &lt;1/10.000 samt ikke kendt (kan ikke estimeres ud fra forhånden</w:t>
      </w:r>
      <w:r w:rsidRPr="007F1052">
        <w:rPr>
          <w:sz w:val="24"/>
          <w:szCs w:val="24"/>
        </w:rPr>
        <w:softHyphen/>
        <w:t>værende data). Inden for hver frekvensgruppering er bivirkningerne anført i rækkefølge efter alvorlighed.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b/>
          <w:bCs/>
          <w:sz w:val="24"/>
          <w:szCs w:val="24"/>
        </w:rPr>
      </w:pPr>
      <w:r w:rsidRPr="007F1052">
        <w:rPr>
          <w:b/>
          <w:bCs/>
          <w:sz w:val="24"/>
          <w:szCs w:val="24"/>
        </w:rPr>
        <w:t xml:space="preserve">Bivirkninger der formentlig kan relateres til </w:t>
      </w:r>
      <w:proofErr w:type="spellStart"/>
      <w:r w:rsidRPr="007F1052">
        <w:rPr>
          <w:b/>
          <w:bCs/>
          <w:sz w:val="24"/>
          <w:szCs w:val="24"/>
        </w:rPr>
        <w:t>azithromycin</w:t>
      </w:r>
      <w:proofErr w:type="spellEnd"/>
      <w:r w:rsidRPr="007F1052">
        <w:rPr>
          <w:b/>
          <w:bCs/>
          <w:sz w:val="24"/>
          <w:szCs w:val="24"/>
        </w:rPr>
        <w:t xml:space="preserve"> baseret på kliniske studier og indberetninger efter markedsføring:</w:t>
      </w:r>
    </w:p>
    <w:p w:rsidR="00C86630" w:rsidRPr="007F1052" w:rsidRDefault="00C86630" w:rsidP="005D0A64">
      <w:pPr>
        <w:ind w:left="851"/>
        <w:rPr>
          <w:sz w:val="24"/>
          <w:szCs w:val="24"/>
        </w:rPr>
      </w:pPr>
    </w:p>
    <w:tbl>
      <w:tblPr>
        <w:tblW w:w="861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111"/>
      </w:tblGrid>
      <w:tr w:rsidR="005D0A64" w:rsidRPr="007F1052" w:rsidTr="00C86630">
        <w:trPr>
          <w:cantSplit/>
          <w:tblHeader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proofErr w:type="spellStart"/>
            <w:r w:rsidRPr="007F1052">
              <w:rPr>
                <w:b/>
                <w:sz w:val="24"/>
                <w:szCs w:val="24"/>
              </w:rPr>
              <w:t>MedDRA</w:t>
            </w:r>
            <w:proofErr w:type="spellEnd"/>
            <w:r w:rsidRPr="007F1052">
              <w:rPr>
                <w:b/>
                <w:sz w:val="24"/>
                <w:szCs w:val="24"/>
              </w:rPr>
              <w:t xml:space="preserve"> organklasse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Bivirkninger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Infektioner og parasitære sygdomme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Candidiasis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vaginitis</w:t>
            </w:r>
            <w:proofErr w:type="spellEnd"/>
            <w:r w:rsidRPr="007F1052">
              <w:rPr>
                <w:sz w:val="24"/>
                <w:szCs w:val="24"/>
              </w:rPr>
              <w:t xml:space="preserve">, pneumoni, svampeinfektion, bakterieinfektion, </w:t>
            </w:r>
            <w:proofErr w:type="spellStart"/>
            <w:r w:rsidRPr="007F1052">
              <w:rPr>
                <w:sz w:val="24"/>
                <w:szCs w:val="24"/>
              </w:rPr>
              <w:t>faryngitis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gastroenteritis</w:t>
            </w:r>
            <w:proofErr w:type="spellEnd"/>
            <w:r w:rsidRPr="007F1052">
              <w:rPr>
                <w:sz w:val="24"/>
                <w:szCs w:val="24"/>
              </w:rPr>
              <w:t>, vejr</w:t>
            </w:r>
            <w:r w:rsidRPr="007F1052">
              <w:rPr>
                <w:sz w:val="24"/>
                <w:szCs w:val="24"/>
              </w:rPr>
              <w:softHyphen/>
              <w:t>træknings</w:t>
            </w:r>
            <w:r w:rsidRPr="007F1052">
              <w:rPr>
                <w:sz w:val="24"/>
                <w:szCs w:val="24"/>
              </w:rPr>
              <w:softHyphen/>
              <w:t xml:space="preserve">lidelser, </w:t>
            </w:r>
            <w:proofErr w:type="spellStart"/>
            <w:r w:rsidRPr="007F1052">
              <w:rPr>
                <w:sz w:val="24"/>
                <w:szCs w:val="24"/>
              </w:rPr>
              <w:t>rhinitis</w:t>
            </w:r>
            <w:proofErr w:type="spellEnd"/>
            <w:r w:rsidRPr="007F1052">
              <w:rPr>
                <w:sz w:val="24"/>
                <w:szCs w:val="24"/>
              </w:rPr>
              <w:t xml:space="preserve">, oral </w:t>
            </w:r>
            <w:proofErr w:type="spellStart"/>
            <w:r w:rsidRPr="007F1052">
              <w:rPr>
                <w:sz w:val="24"/>
                <w:szCs w:val="24"/>
              </w:rPr>
              <w:t>candidiasis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Pseudomembranøs</w:t>
            </w:r>
            <w:proofErr w:type="spellEnd"/>
            <w:r w:rsidRPr="007F1052">
              <w:rPr>
                <w:sz w:val="24"/>
                <w:szCs w:val="24"/>
              </w:rPr>
              <w:t xml:space="preserve"> colitis (se pkt. 4.4).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Blod og lymfesystem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Leukopeni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neutropeni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eosinofili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Thrombocytopeni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hæmolytisk</w:t>
            </w:r>
            <w:proofErr w:type="spellEnd"/>
            <w:r w:rsidRPr="007F1052">
              <w:rPr>
                <w:sz w:val="24"/>
                <w:szCs w:val="24"/>
              </w:rPr>
              <w:t xml:space="preserve"> anæmi.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lastRenderedPageBreak/>
              <w:t>Immunsystemet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Angioødem</w:t>
            </w:r>
            <w:proofErr w:type="spellEnd"/>
            <w:r w:rsidRPr="007F1052">
              <w:rPr>
                <w:sz w:val="24"/>
                <w:szCs w:val="24"/>
              </w:rPr>
              <w:t xml:space="preserve">, hypersensitivitet. 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Anafylaktisk</w:t>
            </w:r>
            <w:proofErr w:type="spellEnd"/>
            <w:r w:rsidRPr="007F1052">
              <w:rPr>
                <w:sz w:val="24"/>
                <w:szCs w:val="24"/>
              </w:rPr>
              <w:t xml:space="preserve"> reaktion (se pkt. 4.4).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Metabolisme og ernæring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Appetitløshed.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Psykiske forstyrrelser</w:t>
            </w: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Nervøsitet, søvnløshed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Sjælden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Agitation.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Aggressivitet, angst, delirium, hallucinationer.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Nervesystemet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Svimmelhed, hovedpine, </w:t>
            </w:r>
            <w:proofErr w:type="spellStart"/>
            <w:r w:rsidRPr="007F1052">
              <w:rPr>
                <w:sz w:val="24"/>
                <w:szCs w:val="24"/>
              </w:rPr>
              <w:t>paræstesi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dysgeusi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Søvnighed.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Syncope</w:t>
            </w:r>
            <w:proofErr w:type="spellEnd"/>
            <w:r w:rsidRPr="007F1052">
              <w:rPr>
                <w:sz w:val="24"/>
                <w:szCs w:val="24"/>
              </w:rPr>
              <w:t xml:space="preserve">, kramper, </w:t>
            </w:r>
            <w:proofErr w:type="spellStart"/>
            <w:r w:rsidRPr="007F1052">
              <w:rPr>
                <w:sz w:val="24"/>
                <w:szCs w:val="24"/>
              </w:rPr>
              <w:t>hypæstesi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psykomotorisk</w:t>
            </w:r>
            <w:proofErr w:type="spellEnd"/>
            <w:r w:rsidRPr="007F1052">
              <w:rPr>
                <w:sz w:val="24"/>
                <w:szCs w:val="24"/>
              </w:rPr>
              <w:t xml:space="preserve"> hyperaktivitet, </w:t>
            </w:r>
            <w:proofErr w:type="spellStart"/>
            <w:r w:rsidRPr="007F1052">
              <w:rPr>
                <w:sz w:val="24"/>
                <w:szCs w:val="24"/>
              </w:rPr>
              <w:t>anosmi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ageusi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parosmi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myastenia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gravis</w:t>
            </w:r>
            <w:proofErr w:type="spellEnd"/>
            <w:r w:rsidRPr="007F1052">
              <w:rPr>
                <w:sz w:val="24"/>
                <w:szCs w:val="24"/>
              </w:rPr>
              <w:t xml:space="preserve"> (se pkt. 4.4).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Øjne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Synsforstyrrelser.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Øre og labyrint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Døvhed/nedsat hørelse</w:t>
            </w:r>
            <w:r w:rsidRPr="007F1052">
              <w:rPr>
                <w:rStyle w:val="Fodnotehenvisning"/>
                <w:sz w:val="24"/>
                <w:szCs w:val="24"/>
              </w:rPr>
              <w:footnoteReference w:id="1"/>
            </w:r>
            <w:r w:rsidRPr="007F1052">
              <w:rPr>
                <w:sz w:val="24"/>
                <w:szCs w:val="24"/>
              </w:rPr>
              <w:t xml:space="preserve"> </w:t>
            </w:r>
            <w:r w:rsidRPr="007F1052">
              <w:rPr>
                <w:rStyle w:val="Fodnotehenvisning"/>
                <w:sz w:val="24"/>
                <w:szCs w:val="24"/>
              </w:rPr>
              <w:footnoteReference w:id="2"/>
            </w:r>
            <w:r w:rsidRPr="007F1052">
              <w:rPr>
                <w:sz w:val="24"/>
                <w:szCs w:val="24"/>
              </w:rPr>
              <w:t xml:space="preserve">, tinnitus, </w:t>
            </w:r>
            <w:proofErr w:type="spellStart"/>
            <w:r w:rsidRPr="007F1052">
              <w:rPr>
                <w:sz w:val="24"/>
                <w:szCs w:val="24"/>
              </w:rPr>
              <w:t>vertigo</w:t>
            </w:r>
            <w:proofErr w:type="spellEnd"/>
            <w:r w:rsidRPr="007F1052">
              <w:rPr>
                <w:sz w:val="24"/>
                <w:szCs w:val="24"/>
              </w:rPr>
              <w:t>, lidelser i ørene.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Hjerte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Palpitationer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Torsade</w:t>
            </w:r>
            <w:proofErr w:type="spellEnd"/>
            <w:r w:rsidRPr="007F1052">
              <w:rPr>
                <w:sz w:val="24"/>
                <w:szCs w:val="24"/>
              </w:rPr>
              <w:t xml:space="preserve"> de pointes (se pkt. 4.4), </w:t>
            </w:r>
            <w:proofErr w:type="spellStart"/>
            <w:r w:rsidRPr="007F1052">
              <w:rPr>
                <w:sz w:val="24"/>
                <w:szCs w:val="24"/>
              </w:rPr>
              <w:t>arytmi</w:t>
            </w:r>
            <w:proofErr w:type="spellEnd"/>
            <w:r w:rsidRPr="007F1052">
              <w:rPr>
                <w:sz w:val="24"/>
                <w:szCs w:val="24"/>
              </w:rPr>
              <w:t xml:space="preserve"> (se pkt. 4.4) inklusive </w:t>
            </w:r>
            <w:proofErr w:type="spellStart"/>
            <w:r w:rsidRPr="007F1052">
              <w:rPr>
                <w:sz w:val="24"/>
                <w:szCs w:val="24"/>
              </w:rPr>
              <w:t>ventrikulær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tachycardi</w:t>
            </w:r>
            <w:proofErr w:type="spellEnd"/>
            <w:r w:rsidRPr="007F1052">
              <w:rPr>
                <w:sz w:val="24"/>
                <w:szCs w:val="24"/>
              </w:rPr>
              <w:t>, forlænget QT-interval (ekg) (se pkt. 4.4).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b/>
                <w:sz w:val="24"/>
                <w:szCs w:val="24"/>
              </w:rPr>
              <w:t>Vaskulære</w:t>
            </w:r>
            <w:proofErr w:type="spellEnd"/>
            <w:r w:rsidRPr="007F1052">
              <w:rPr>
                <w:b/>
                <w:sz w:val="24"/>
                <w:szCs w:val="24"/>
              </w:rPr>
              <w:t xml:space="preserve"> sygdomme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Flushing</w:t>
            </w:r>
            <w:proofErr w:type="spellEnd"/>
            <w:r w:rsidRPr="007F1052">
              <w:rPr>
                <w:i/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Hypotension.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7F1052"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Dyspnø, </w:t>
            </w:r>
            <w:proofErr w:type="spellStart"/>
            <w:r w:rsidRPr="007F1052">
              <w:rPr>
                <w:sz w:val="24"/>
                <w:szCs w:val="24"/>
              </w:rPr>
              <w:t>epitaxis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Mave-tarm</w:t>
            </w:r>
            <w:r w:rsidR="00267E87" w:rsidRPr="007F1052">
              <w:rPr>
                <w:b/>
                <w:sz w:val="24"/>
                <w:szCs w:val="24"/>
              </w:rPr>
              <w:t>-</w:t>
            </w:r>
            <w:r w:rsidRPr="007F1052">
              <w:rPr>
                <w:b/>
                <w:sz w:val="24"/>
                <w:szCs w:val="24"/>
              </w:rPr>
              <w:t>kanalen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Meget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Diarré, </w:t>
            </w:r>
            <w:proofErr w:type="spellStart"/>
            <w:r w:rsidRPr="007F1052">
              <w:rPr>
                <w:sz w:val="24"/>
                <w:szCs w:val="24"/>
              </w:rPr>
              <w:t>abdominalsmerter</w:t>
            </w:r>
            <w:proofErr w:type="spellEnd"/>
            <w:r w:rsidRPr="007F1052">
              <w:rPr>
                <w:sz w:val="24"/>
                <w:szCs w:val="24"/>
              </w:rPr>
              <w:t xml:space="preserve">, kvalme, </w:t>
            </w:r>
            <w:proofErr w:type="spellStart"/>
            <w:r w:rsidRPr="007F1052">
              <w:rPr>
                <w:sz w:val="24"/>
                <w:szCs w:val="24"/>
              </w:rPr>
              <w:t>flatulens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Opkast, dyspepsi.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Obstipation, gastritis, </w:t>
            </w:r>
            <w:proofErr w:type="spellStart"/>
            <w:r w:rsidRPr="007F1052">
              <w:rPr>
                <w:sz w:val="24"/>
                <w:szCs w:val="24"/>
              </w:rPr>
              <w:t>abdominal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distension</w:t>
            </w:r>
            <w:proofErr w:type="spellEnd"/>
            <w:r w:rsidRPr="007F1052">
              <w:rPr>
                <w:sz w:val="24"/>
                <w:szCs w:val="24"/>
              </w:rPr>
              <w:t>, mundtørhed, bøvsen, mundsår, overproduktion af spyt.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Pancreatitis</w:t>
            </w:r>
            <w:proofErr w:type="spellEnd"/>
            <w:r w:rsidRPr="007F1052">
              <w:rPr>
                <w:sz w:val="24"/>
                <w:szCs w:val="24"/>
              </w:rPr>
              <w:t>, misfarvning af tungen.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Lever og galdeveje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Hepatitis.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lastRenderedPageBreak/>
              <w:t>Sjælden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Unormal leverfunktion, </w:t>
            </w:r>
            <w:proofErr w:type="spellStart"/>
            <w:r w:rsidRPr="007F1052">
              <w:rPr>
                <w:sz w:val="24"/>
                <w:szCs w:val="24"/>
              </w:rPr>
              <w:t>kolestatisk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ikterus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Leversvigt (sjældent med dødelig udgang; se pkt. 4.4), fulminant hepatitis, </w:t>
            </w:r>
            <w:proofErr w:type="spellStart"/>
            <w:r w:rsidRPr="007F1052">
              <w:rPr>
                <w:sz w:val="24"/>
                <w:szCs w:val="24"/>
              </w:rPr>
              <w:t>hepatisk</w:t>
            </w:r>
            <w:proofErr w:type="spellEnd"/>
            <w:r w:rsidRPr="007F1052">
              <w:rPr>
                <w:sz w:val="24"/>
                <w:szCs w:val="24"/>
              </w:rPr>
              <w:t xml:space="preserve"> nekrose.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keepNext/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Hud og subkutane væv</w:t>
            </w:r>
          </w:p>
          <w:p w:rsidR="005D0A64" w:rsidRPr="007F1052" w:rsidRDefault="005D0A64" w:rsidP="003B4BCE">
            <w:pPr>
              <w:keepNext/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keepNext/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keepNext/>
              <w:rPr>
                <w:i/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Udslæt, </w:t>
            </w:r>
            <w:proofErr w:type="spellStart"/>
            <w:r w:rsidRPr="007F1052">
              <w:rPr>
                <w:sz w:val="24"/>
                <w:szCs w:val="24"/>
              </w:rPr>
              <w:t>pruritus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Stevens-Johnsons syndrom, fotosensitivitet, </w:t>
            </w:r>
            <w:proofErr w:type="spellStart"/>
            <w:r w:rsidRPr="007F1052">
              <w:rPr>
                <w:sz w:val="24"/>
                <w:szCs w:val="24"/>
              </w:rPr>
              <w:t>urticaria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dermatitis</w:t>
            </w:r>
            <w:proofErr w:type="spellEnd"/>
            <w:r w:rsidRPr="007F1052">
              <w:rPr>
                <w:sz w:val="24"/>
                <w:szCs w:val="24"/>
              </w:rPr>
              <w:t xml:space="preserve">, tør hud, </w:t>
            </w:r>
            <w:proofErr w:type="spellStart"/>
            <w:r w:rsidRPr="007F1052">
              <w:rPr>
                <w:sz w:val="24"/>
                <w:szCs w:val="24"/>
              </w:rPr>
              <w:t>hyperhidrose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Sjælden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Akut generaliseret </w:t>
            </w:r>
            <w:proofErr w:type="spellStart"/>
            <w:r w:rsidRPr="007F1052">
              <w:rPr>
                <w:sz w:val="24"/>
                <w:szCs w:val="24"/>
              </w:rPr>
              <w:t>eksantematøs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pustulose</w:t>
            </w:r>
            <w:proofErr w:type="spellEnd"/>
            <w:r w:rsidRPr="007F1052">
              <w:rPr>
                <w:sz w:val="24"/>
                <w:szCs w:val="24"/>
              </w:rPr>
              <w:t xml:space="preserve"> (AGEP), lægemiddel</w:t>
            </w:r>
            <w:r w:rsidRPr="007F1052">
              <w:rPr>
                <w:sz w:val="24"/>
                <w:szCs w:val="24"/>
              </w:rPr>
              <w:softHyphen/>
              <w:t xml:space="preserve">fremkaldt udslæt med </w:t>
            </w:r>
            <w:proofErr w:type="spellStart"/>
            <w:r w:rsidRPr="007F1052">
              <w:rPr>
                <w:sz w:val="24"/>
                <w:szCs w:val="24"/>
              </w:rPr>
              <w:t>eosinofili</w:t>
            </w:r>
            <w:proofErr w:type="spellEnd"/>
            <w:r w:rsidRPr="007F1052">
              <w:rPr>
                <w:sz w:val="24"/>
                <w:szCs w:val="24"/>
              </w:rPr>
              <w:t xml:space="preserve"> og systemiske symptomer (DRESS).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Toksisk </w:t>
            </w:r>
            <w:proofErr w:type="spellStart"/>
            <w:r w:rsidRPr="007F1052">
              <w:rPr>
                <w:sz w:val="24"/>
                <w:szCs w:val="24"/>
              </w:rPr>
              <w:t>epidermal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nekrolyse</w:t>
            </w:r>
            <w:proofErr w:type="spellEnd"/>
            <w:r w:rsidRPr="007F1052">
              <w:rPr>
                <w:sz w:val="24"/>
                <w:szCs w:val="24"/>
              </w:rPr>
              <w:t xml:space="preserve">, </w:t>
            </w:r>
            <w:proofErr w:type="spellStart"/>
            <w:r w:rsidRPr="007F1052">
              <w:rPr>
                <w:sz w:val="24"/>
                <w:szCs w:val="24"/>
              </w:rPr>
              <w:t>erythema</w:t>
            </w:r>
            <w:proofErr w:type="spellEnd"/>
            <w:r w:rsidRPr="007F1052">
              <w:rPr>
                <w:sz w:val="24"/>
                <w:szCs w:val="24"/>
              </w:rPr>
              <w:t xml:space="preserve"> multiforme.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Knogler, led, muskler og bindevæv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Arthralgi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Osteoarthritis</w:t>
            </w:r>
            <w:proofErr w:type="spellEnd"/>
            <w:r w:rsidRPr="007F1052">
              <w:rPr>
                <w:sz w:val="24"/>
                <w:szCs w:val="24"/>
              </w:rPr>
              <w:t>, myalgi, rygsmerter, nakkesmerter.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Nyrer og urinveje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Dysuri</w:t>
            </w:r>
            <w:proofErr w:type="spellEnd"/>
            <w:r w:rsidRPr="007F1052">
              <w:rPr>
                <w:sz w:val="24"/>
                <w:szCs w:val="24"/>
              </w:rPr>
              <w:t>, nyresmerter.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Akut nyresvigt, </w:t>
            </w:r>
            <w:proofErr w:type="spellStart"/>
            <w:r w:rsidRPr="007F1052">
              <w:rPr>
                <w:sz w:val="24"/>
                <w:szCs w:val="24"/>
              </w:rPr>
              <w:t>interstitiel</w:t>
            </w:r>
            <w:proofErr w:type="spellEnd"/>
            <w:r w:rsidRPr="007F1052">
              <w:rPr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z w:val="24"/>
                <w:szCs w:val="24"/>
              </w:rPr>
              <w:t>nefritis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Det reproduktive system og mammae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Metrorrhagia</w:t>
            </w:r>
            <w:proofErr w:type="spellEnd"/>
            <w:r w:rsidRPr="007F1052">
              <w:rPr>
                <w:sz w:val="24"/>
                <w:szCs w:val="24"/>
              </w:rPr>
              <w:t>, lidelser i testes.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Almene symptomer og reaktioner på administrationsstedet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Udmattet</w:t>
            </w:r>
            <w:r w:rsidRPr="007F1052">
              <w:rPr>
                <w:sz w:val="24"/>
                <w:szCs w:val="24"/>
              </w:rPr>
              <w:softHyphen/>
              <w:t>hed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Brystsmerter, ødemer, asteni, utilpashed, ansigtsødem, smerter i brystet, </w:t>
            </w:r>
            <w:proofErr w:type="spellStart"/>
            <w:r w:rsidRPr="007F1052">
              <w:rPr>
                <w:sz w:val="24"/>
                <w:szCs w:val="24"/>
              </w:rPr>
              <w:t>pyreksi</w:t>
            </w:r>
            <w:proofErr w:type="spellEnd"/>
            <w:r w:rsidRPr="007F1052">
              <w:rPr>
                <w:sz w:val="24"/>
                <w:szCs w:val="24"/>
              </w:rPr>
              <w:t>, smerter, perifært ødem.</w:t>
            </w:r>
          </w:p>
        </w:tc>
      </w:tr>
      <w:tr w:rsidR="005D0A64" w:rsidRPr="007F1052" w:rsidTr="00C86630">
        <w:trPr>
          <w:cantSplit/>
          <w:trHeight w:val="146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Undersøgelser</w:t>
            </w:r>
          </w:p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Reduceret lymfocyttal, stigning i </w:t>
            </w:r>
            <w:proofErr w:type="spellStart"/>
            <w:r w:rsidRPr="007F1052">
              <w:rPr>
                <w:sz w:val="24"/>
                <w:szCs w:val="24"/>
              </w:rPr>
              <w:t>eosinofiltal</w:t>
            </w:r>
            <w:proofErr w:type="spellEnd"/>
            <w:r w:rsidRPr="007F1052">
              <w:rPr>
                <w:sz w:val="24"/>
                <w:szCs w:val="24"/>
              </w:rPr>
              <w:t xml:space="preserve">, nedsat </w:t>
            </w:r>
            <w:proofErr w:type="spellStart"/>
            <w:r w:rsidRPr="007F1052">
              <w:rPr>
                <w:sz w:val="24"/>
                <w:szCs w:val="24"/>
              </w:rPr>
              <w:t>serumbicarbonat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basofile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monocytter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neutrofile</w:t>
            </w:r>
            <w:proofErr w:type="spellEnd"/>
            <w:r w:rsidRPr="007F1052">
              <w:rPr>
                <w:sz w:val="24"/>
                <w:szCs w:val="24"/>
              </w:rPr>
              <w:t>.</w:t>
            </w:r>
          </w:p>
        </w:tc>
      </w:tr>
      <w:tr w:rsidR="005D0A64" w:rsidRPr="007F1052" w:rsidTr="00C86630">
        <w:trPr>
          <w:cantSplit/>
          <w:trHeight w:val="310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Stigning i </w:t>
            </w:r>
            <w:proofErr w:type="spellStart"/>
            <w:r w:rsidRPr="007F1052">
              <w:rPr>
                <w:sz w:val="24"/>
                <w:szCs w:val="24"/>
              </w:rPr>
              <w:t>serumaspartatamino</w:t>
            </w:r>
            <w:r w:rsidRPr="007F1052">
              <w:rPr>
                <w:sz w:val="24"/>
                <w:szCs w:val="24"/>
              </w:rPr>
              <w:softHyphen/>
              <w:t>trans</w:t>
            </w:r>
            <w:r w:rsidRPr="007F1052">
              <w:rPr>
                <w:sz w:val="24"/>
                <w:szCs w:val="24"/>
              </w:rPr>
              <w:softHyphen/>
              <w:t>ferase</w:t>
            </w:r>
            <w:proofErr w:type="spellEnd"/>
            <w:r w:rsidRPr="007F1052">
              <w:rPr>
                <w:sz w:val="24"/>
                <w:szCs w:val="24"/>
              </w:rPr>
              <w:t xml:space="preserve"> (ASAT), stigning i </w:t>
            </w:r>
            <w:proofErr w:type="spellStart"/>
            <w:r w:rsidRPr="007F1052">
              <w:rPr>
                <w:sz w:val="24"/>
                <w:szCs w:val="24"/>
              </w:rPr>
              <w:t>serum</w:t>
            </w:r>
            <w:r w:rsidRPr="007F1052">
              <w:rPr>
                <w:sz w:val="24"/>
                <w:szCs w:val="24"/>
              </w:rPr>
              <w:softHyphen/>
              <w:t>alaninaminotransferase</w:t>
            </w:r>
            <w:proofErr w:type="spellEnd"/>
            <w:r w:rsidRPr="007F1052">
              <w:rPr>
                <w:sz w:val="24"/>
                <w:szCs w:val="24"/>
              </w:rPr>
              <w:t xml:space="preserve"> (ALAT), stigning i serumbilirubin, stigning i serumurinstof, stigning i </w:t>
            </w:r>
            <w:proofErr w:type="spellStart"/>
            <w:r w:rsidRPr="007F1052">
              <w:rPr>
                <w:sz w:val="24"/>
                <w:szCs w:val="24"/>
              </w:rPr>
              <w:t>kreatinin</w:t>
            </w:r>
            <w:proofErr w:type="spellEnd"/>
            <w:r w:rsidRPr="007F1052">
              <w:rPr>
                <w:sz w:val="24"/>
                <w:szCs w:val="24"/>
              </w:rPr>
              <w:t xml:space="preserve">, forstyrrelser i kalium i blodet, stigning i basisk </w:t>
            </w:r>
            <w:proofErr w:type="spellStart"/>
            <w:r w:rsidRPr="007F1052">
              <w:rPr>
                <w:sz w:val="24"/>
                <w:szCs w:val="24"/>
              </w:rPr>
              <w:t>phosphatase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chlorid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glucose</w:t>
            </w:r>
            <w:proofErr w:type="spellEnd"/>
            <w:r w:rsidRPr="007F1052">
              <w:rPr>
                <w:sz w:val="24"/>
                <w:szCs w:val="24"/>
              </w:rPr>
              <w:t xml:space="preserve">, stigning i </w:t>
            </w:r>
            <w:proofErr w:type="spellStart"/>
            <w:r w:rsidRPr="007F1052">
              <w:rPr>
                <w:sz w:val="24"/>
                <w:szCs w:val="24"/>
              </w:rPr>
              <w:t>trombocytter</w:t>
            </w:r>
            <w:proofErr w:type="spellEnd"/>
            <w:r w:rsidRPr="007F1052">
              <w:rPr>
                <w:sz w:val="24"/>
                <w:szCs w:val="24"/>
              </w:rPr>
              <w:t xml:space="preserve">, fald i hæmatokrit, stigning i </w:t>
            </w:r>
            <w:proofErr w:type="spellStart"/>
            <w:r w:rsidRPr="007F1052">
              <w:rPr>
                <w:sz w:val="24"/>
                <w:szCs w:val="24"/>
              </w:rPr>
              <w:t>bicarbonat</w:t>
            </w:r>
            <w:proofErr w:type="spellEnd"/>
            <w:r w:rsidRPr="007F1052">
              <w:rPr>
                <w:sz w:val="24"/>
                <w:szCs w:val="24"/>
              </w:rPr>
              <w:t>, unormalt natriumindhold i blodet.</w:t>
            </w:r>
          </w:p>
        </w:tc>
      </w:tr>
      <w:tr w:rsidR="005D0A64" w:rsidRPr="007F1052" w:rsidTr="00C86630">
        <w:trPr>
          <w:cantSplit/>
          <w:trHeight w:val="87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lastRenderedPageBreak/>
              <w:t>Traumer, forgiftninger og behandlings</w:t>
            </w:r>
            <w:r w:rsidRPr="007F1052">
              <w:rPr>
                <w:b/>
                <w:sz w:val="24"/>
                <w:szCs w:val="24"/>
              </w:rPr>
              <w:softHyphen/>
              <w:t>komplikationer</w:t>
            </w:r>
          </w:p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i/>
                <w:sz w:val="24"/>
                <w:szCs w:val="24"/>
              </w:rPr>
              <w:t>Ikke almindelig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Postoperative komplikationer.</w:t>
            </w:r>
          </w:p>
        </w:tc>
      </w:tr>
    </w:tbl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0C4B2E" w:rsidRPr="007F1052" w:rsidRDefault="000C4B2E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7F1052">
        <w:rPr>
          <w:sz w:val="24"/>
          <w:szCs w:val="24"/>
          <w:u w:val="single"/>
          <w:lang w:eastAsia="da-DK"/>
        </w:rPr>
        <w:t>Indberetning af formodede bivirkninger</w:t>
      </w: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  <w:r w:rsidRPr="007F1052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7F1052">
        <w:rPr>
          <w:sz w:val="24"/>
          <w:szCs w:val="24"/>
          <w:lang w:eastAsia="da-DK"/>
        </w:rPr>
        <w:t>risk</w:t>
      </w:r>
      <w:proofErr w:type="spellEnd"/>
      <w:r w:rsidRPr="007F1052">
        <w:rPr>
          <w:sz w:val="24"/>
          <w:szCs w:val="24"/>
          <w:lang w:eastAsia="da-DK"/>
        </w:rPr>
        <w:t xml:space="preserve">-forholdet for lægemidlet. </w:t>
      </w:r>
      <w:r w:rsidR="00D90C95">
        <w:rPr>
          <w:sz w:val="24"/>
          <w:szCs w:val="24"/>
          <w:lang w:eastAsia="da-DK"/>
        </w:rPr>
        <w:t>S</w:t>
      </w:r>
      <w:r w:rsidRPr="007F1052">
        <w:rPr>
          <w:sz w:val="24"/>
          <w:szCs w:val="24"/>
          <w:lang w:eastAsia="da-DK"/>
        </w:rPr>
        <w:t>undhedsperson</w:t>
      </w:r>
      <w:r w:rsidR="00D90C95">
        <w:rPr>
          <w:sz w:val="24"/>
          <w:szCs w:val="24"/>
          <w:lang w:eastAsia="da-DK"/>
        </w:rPr>
        <w:t>er</w:t>
      </w:r>
      <w:r w:rsidRPr="007F1052">
        <w:rPr>
          <w:sz w:val="24"/>
          <w:szCs w:val="24"/>
          <w:lang w:eastAsia="da-DK"/>
        </w:rPr>
        <w:t xml:space="preserve"> anmodes om at indberette alle formodede bivirkninger via:</w:t>
      </w: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  <w:r w:rsidRPr="007F1052">
        <w:rPr>
          <w:sz w:val="24"/>
          <w:szCs w:val="24"/>
          <w:lang w:eastAsia="da-DK"/>
        </w:rPr>
        <w:t>Lægemiddelstyrelsen</w:t>
      </w: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  <w:r w:rsidRPr="007F1052">
        <w:rPr>
          <w:sz w:val="24"/>
          <w:szCs w:val="24"/>
          <w:lang w:eastAsia="da-DK"/>
        </w:rPr>
        <w:t>Axel Heides Gade 1</w:t>
      </w: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  <w:r w:rsidRPr="007F1052">
        <w:rPr>
          <w:sz w:val="24"/>
          <w:szCs w:val="24"/>
          <w:lang w:eastAsia="da-DK"/>
        </w:rPr>
        <w:t>DK-2300 København S</w:t>
      </w:r>
    </w:p>
    <w:p w:rsidR="000C4B2E" w:rsidRPr="007F1052" w:rsidRDefault="000C4B2E" w:rsidP="002A1420">
      <w:pPr>
        <w:ind w:left="851"/>
        <w:rPr>
          <w:sz w:val="24"/>
          <w:szCs w:val="24"/>
          <w:lang w:eastAsia="da-DK"/>
        </w:rPr>
      </w:pPr>
      <w:r w:rsidRPr="007F1052">
        <w:rPr>
          <w:sz w:val="24"/>
          <w:szCs w:val="24"/>
          <w:lang w:eastAsia="da-DK"/>
        </w:rPr>
        <w:t xml:space="preserve">Websted: </w:t>
      </w:r>
      <w:hyperlink r:id="rId8" w:history="1">
        <w:r w:rsidRPr="007F1052">
          <w:rPr>
            <w:rStyle w:val="Hyperlink"/>
            <w:sz w:val="24"/>
            <w:szCs w:val="24"/>
            <w:lang w:eastAsia="da-DK"/>
          </w:rPr>
          <w:t>www.meldenbivirkning.dk</w:t>
        </w:r>
      </w:hyperlink>
      <w:r w:rsidRPr="007F1052">
        <w:rPr>
          <w:sz w:val="24"/>
          <w:szCs w:val="24"/>
          <w:lang w:eastAsia="da-DK"/>
        </w:rPr>
        <w:t xml:space="preserve"> 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764590">
      <w:pPr>
        <w:keepNext/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4.9</w:t>
      </w:r>
      <w:r w:rsidRPr="007F1052">
        <w:rPr>
          <w:b/>
          <w:spacing w:val="-3"/>
          <w:sz w:val="24"/>
          <w:szCs w:val="24"/>
        </w:rPr>
        <w:tab/>
        <w:t>Overdosering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Bivirkningerne, der er set ved højere dosering end anbefalet, er de samme som dem, der er set ved normaldosering. 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Symptomer: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De typiske symptomer omfatter reversibelt høretab, kraftig kvalme, opkastning, </w:t>
      </w:r>
      <w:proofErr w:type="spellStart"/>
      <w:r w:rsidRPr="007F1052">
        <w:rPr>
          <w:sz w:val="24"/>
          <w:szCs w:val="24"/>
        </w:rPr>
        <w:t>abdominale</w:t>
      </w:r>
      <w:proofErr w:type="spellEnd"/>
      <w:r w:rsidRPr="007F1052">
        <w:rPr>
          <w:sz w:val="24"/>
          <w:szCs w:val="24"/>
        </w:rPr>
        <w:t xml:space="preserve"> smerter og diarré. 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Behandling: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I tilfælde af overdosering er administration af medicinsk kul, almen symptomatisk behandling samt tiltag til understøttelse af vitale funktioner indiceret, hvor det er nødvendigt.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4.10</w:t>
      </w:r>
      <w:r w:rsidRPr="007F1052">
        <w:rPr>
          <w:b/>
          <w:spacing w:val="-3"/>
          <w:sz w:val="24"/>
          <w:szCs w:val="24"/>
        </w:rPr>
        <w:tab/>
        <w:t>Udlevering</w:t>
      </w:r>
    </w:p>
    <w:p w:rsidR="00BA7714" w:rsidRDefault="00B21E50" w:rsidP="00BA7714">
      <w:pPr>
        <w:ind w:left="851"/>
        <w:rPr>
          <w:spacing w:val="-3"/>
          <w:sz w:val="24"/>
          <w:szCs w:val="24"/>
        </w:rPr>
      </w:pPr>
      <w:bookmarkStart w:id="1" w:name="_Hlk47092252"/>
      <w:r>
        <w:rPr>
          <w:spacing w:val="-3"/>
          <w:sz w:val="24"/>
          <w:szCs w:val="24"/>
        </w:rPr>
        <w:t>B</w:t>
      </w:r>
    </w:p>
    <w:bookmarkEnd w:id="1"/>
    <w:p w:rsidR="005D0A64" w:rsidRPr="000B445F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F90E79" w:rsidRDefault="005D0A64" w:rsidP="00F90E79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 xml:space="preserve">5. </w:t>
      </w:r>
      <w:r w:rsidRPr="007F1052">
        <w:rPr>
          <w:b/>
          <w:spacing w:val="-3"/>
          <w:sz w:val="24"/>
          <w:szCs w:val="24"/>
        </w:rPr>
        <w:tab/>
        <w:t>FARMAKOLOGISKE EGENSKABER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5.1</w:t>
      </w:r>
      <w:r w:rsidRPr="007F1052">
        <w:rPr>
          <w:b/>
          <w:spacing w:val="-3"/>
          <w:sz w:val="24"/>
          <w:szCs w:val="24"/>
        </w:rPr>
        <w:tab/>
      </w:r>
      <w:proofErr w:type="spellStart"/>
      <w:r w:rsidRPr="007F1052">
        <w:rPr>
          <w:b/>
          <w:spacing w:val="-3"/>
          <w:sz w:val="24"/>
          <w:szCs w:val="24"/>
        </w:rPr>
        <w:t>Farmakodynamiske</w:t>
      </w:r>
      <w:proofErr w:type="spellEnd"/>
      <w:r w:rsidRPr="007F1052">
        <w:rPr>
          <w:b/>
          <w:spacing w:val="-3"/>
          <w:sz w:val="24"/>
          <w:szCs w:val="24"/>
        </w:rPr>
        <w:t xml:space="preserve"> egenskaber</w:t>
      </w:r>
    </w:p>
    <w:p w:rsidR="00C86630" w:rsidRPr="00F90E79" w:rsidRDefault="00F90E79" w:rsidP="00F90E79">
      <w:pPr>
        <w:ind w:left="851"/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7F1052">
        <w:rPr>
          <w:spacing w:val="-3"/>
          <w:sz w:val="24"/>
          <w:szCs w:val="24"/>
        </w:rPr>
        <w:t>Antibakterielle midler til systemisk brug, makrolider.</w:t>
      </w:r>
      <w:r>
        <w:rPr>
          <w:spacing w:val="-3"/>
          <w:sz w:val="24"/>
          <w:szCs w:val="24"/>
        </w:rPr>
        <w:t xml:space="preserve"> </w:t>
      </w:r>
      <w:r w:rsidRPr="007F1052">
        <w:rPr>
          <w:spacing w:val="-3"/>
          <w:sz w:val="24"/>
          <w:szCs w:val="24"/>
        </w:rPr>
        <w:t>ATC-kode: J 01 FA 10</w:t>
      </w:r>
      <w:r>
        <w:rPr>
          <w:spacing w:val="-3"/>
          <w:sz w:val="24"/>
          <w:szCs w:val="24"/>
        </w:rPr>
        <w:t>.</w:t>
      </w:r>
    </w:p>
    <w:p w:rsidR="00F90E79" w:rsidRPr="007F1052" w:rsidRDefault="00F90E79" w:rsidP="005D0A64">
      <w:pPr>
        <w:ind w:firstLine="851"/>
        <w:rPr>
          <w:b/>
          <w:sz w:val="24"/>
          <w:szCs w:val="24"/>
        </w:rPr>
      </w:pPr>
    </w:p>
    <w:p w:rsidR="005D0A64" w:rsidRPr="007F1052" w:rsidRDefault="005D0A64" w:rsidP="005D0A64">
      <w:pPr>
        <w:ind w:firstLine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Virkningsmekanisme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tilhører den første underklasse af </w:t>
      </w:r>
      <w:proofErr w:type="spellStart"/>
      <w:r w:rsidRPr="007F1052">
        <w:rPr>
          <w:sz w:val="24"/>
          <w:szCs w:val="24"/>
        </w:rPr>
        <w:t>makrolidantibiotika</w:t>
      </w:r>
      <w:proofErr w:type="spellEnd"/>
      <w:r w:rsidRPr="007F1052">
        <w:rPr>
          <w:sz w:val="24"/>
          <w:szCs w:val="24"/>
        </w:rPr>
        <w:t xml:space="preserve">, som kaldes </w:t>
      </w:r>
      <w:proofErr w:type="spellStart"/>
      <w:r w:rsidRPr="007F1052">
        <w:rPr>
          <w:sz w:val="24"/>
          <w:szCs w:val="24"/>
        </w:rPr>
        <w:t>azalider</w:t>
      </w:r>
      <w:proofErr w:type="spellEnd"/>
      <w:r w:rsidRPr="007F1052">
        <w:rPr>
          <w:sz w:val="24"/>
          <w:szCs w:val="24"/>
        </w:rPr>
        <w:t xml:space="preserve">, og som er kemisk forskellig fra </w:t>
      </w:r>
      <w:proofErr w:type="spellStart"/>
      <w:r w:rsidRPr="007F1052">
        <w:rPr>
          <w:sz w:val="24"/>
          <w:szCs w:val="24"/>
        </w:rPr>
        <w:t>erythromycin</w:t>
      </w:r>
      <w:proofErr w:type="spellEnd"/>
      <w:r w:rsidRPr="007F1052">
        <w:rPr>
          <w:sz w:val="24"/>
          <w:szCs w:val="24"/>
        </w:rPr>
        <w:t xml:space="preserve">. Det er kemisk udviklet ved at indsætte et nitrogenatom i </w:t>
      </w:r>
      <w:proofErr w:type="spellStart"/>
      <w:r w:rsidRPr="007F1052">
        <w:rPr>
          <w:sz w:val="24"/>
          <w:szCs w:val="24"/>
        </w:rPr>
        <w:t>erythromycin</w:t>
      </w:r>
      <w:proofErr w:type="spellEnd"/>
      <w:r w:rsidRPr="007F1052">
        <w:rPr>
          <w:sz w:val="24"/>
          <w:szCs w:val="24"/>
        </w:rPr>
        <w:t xml:space="preserve"> A's </w:t>
      </w:r>
      <w:proofErr w:type="spellStart"/>
      <w:r w:rsidRPr="007F1052">
        <w:rPr>
          <w:sz w:val="24"/>
          <w:szCs w:val="24"/>
        </w:rPr>
        <w:t>lactonring</w:t>
      </w:r>
      <w:proofErr w:type="spellEnd"/>
      <w:r w:rsidRPr="007F1052">
        <w:rPr>
          <w:sz w:val="24"/>
          <w:szCs w:val="24"/>
        </w:rPr>
        <w:t xml:space="preserve">. Det kemiske navn for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er 9-deoxy-9a-aza-9a-methyl-9a-homoerythromycin A. </w:t>
      </w:r>
      <w:proofErr w:type="spellStart"/>
      <w:r w:rsidRPr="007F1052">
        <w:rPr>
          <w:sz w:val="24"/>
          <w:szCs w:val="24"/>
        </w:rPr>
        <w:t>Molekylevægten</w:t>
      </w:r>
      <w:proofErr w:type="spellEnd"/>
      <w:r w:rsidRPr="007F1052">
        <w:rPr>
          <w:sz w:val="24"/>
          <w:szCs w:val="24"/>
        </w:rPr>
        <w:t xml:space="preserve"> er 749,0.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sz w:val="24"/>
          <w:szCs w:val="24"/>
        </w:rPr>
      </w:pPr>
      <w:r w:rsidRPr="007F1052">
        <w:rPr>
          <w:spacing w:val="-3"/>
          <w:sz w:val="24"/>
          <w:szCs w:val="24"/>
        </w:rPr>
        <w:tab/>
      </w:r>
      <w:r w:rsidRPr="007F1052">
        <w:rPr>
          <w:sz w:val="24"/>
          <w:szCs w:val="24"/>
        </w:rPr>
        <w:t>Hæmning af proteinsyntesen i bakterierne sker ved binding til 50 S-delen af bakteriernes ribosomer og hindrer translokation af peptiderne uden at påvirke polynukleotidsyntesen.</w:t>
      </w:r>
    </w:p>
    <w:p w:rsidR="005D0A64" w:rsidRPr="007F1052" w:rsidRDefault="005D0A64" w:rsidP="005D0A64">
      <w:pPr>
        <w:ind w:left="851" w:hanging="851"/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b/>
          <w:sz w:val="24"/>
          <w:szCs w:val="24"/>
        </w:rPr>
        <w:t>Kardial elektrofysiologi</w:t>
      </w:r>
    </w:p>
    <w:p w:rsidR="005D0A64" w:rsidRPr="007F1052" w:rsidRDefault="005D0A64" w:rsidP="005D0A64">
      <w:pPr>
        <w:ind w:left="851"/>
        <w:rPr>
          <w:spacing w:val="-3"/>
          <w:sz w:val="24"/>
          <w:szCs w:val="24"/>
        </w:rPr>
      </w:pPr>
      <w:r w:rsidRPr="007F1052">
        <w:rPr>
          <w:sz w:val="24"/>
          <w:szCs w:val="24"/>
        </w:rPr>
        <w:t xml:space="preserve">Forlængelse af </w:t>
      </w:r>
      <w:proofErr w:type="spellStart"/>
      <w:r w:rsidRPr="007F1052">
        <w:rPr>
          <w:sz w:val="24"/>
          <w:szCs w:val="24"/>
        </w:rPr>
        <w:t>QT</w:t>
      </w:r>
      <w:r w:rsidRPr="007F1052">
        <w:rPr>
          <w:sz w:val="24"/>
          <w:szCs w:val="24"/>
          <w:vertAlign w:val="subscript"/>
        </w:rPr>
        <w:t>c</w:t>
      </w:r>
      <w:proofErr w:type="spellEnd"/>
      <w:r w:rsidRPr="007F1052">
        <w:rPr>
          <w:sz w:val="24"/>
          <w:szCs w:val="24"/>
        </w:rPr>
        <w:t xml:space="preserve">-intervallet blev undersøgt i et randomiseret, placebokontrolleret parallel-forsøg med 116 raske frivillige forsøgspersoner, der fik enten </w:t>
      </w:r>
      <w:proofErr w:type="spellStart"/>
      <w:r w:rsidRPr="007F1052">
        <w:rPr>
          <w:sz w:val="24"/>
          <w:szCs w:val="24"/>
        </w:rPr>
        <w:t>chloroquin</w:t>
      </w:r>
      <w:proofErr w:type="spellEnd"/>
      <w:r w:rsidRPr="007F1052">
        <w:rPr>
          <w:sz w:val="24"/>
          <w:szCs w:val="24"/>
        </w:rPr>
        <w:t xml:space="preserve"> </w:t>
      </w:r>
      <w:r w:rsidRPr="007F1052">
        <w:rPr>
          <w:sz w:val="24"/>
          <w:szCs w:val="24"/>
        </w:rPr>
        <w:lastRenderedPageBreak/>
        <w:t xml:space="preserve">(1.000 mg) alene eller kombineret med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(500 mg, 1.000 mg og 1.500 mg 1 gang daglig). Samtidig behandling med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forlængede </w:t>
      </w:r>
      <w:proofErr w:type="spellStart"/>
      <w:r w:rsidRPr="007F1052">
        <w:rPr>
          <w:sz w:val="24"/>
          <w:szCs w:val="24"/>
        </w:rPr>
        <w:t>QT</w:t>
      </w:r>
      <w:r w:rsidRPr="007F1052">
        <w:rPr>
          <w:sz w:val="24"/>
          <w:szCs w:val="24"/>
          <w:vertAlign w:val="subscript"/>
        </w:rPr>
        <w:t>c</w:t>
      </w:r>
      <w:proofErr w:type="spellEnd"/>
      <w:r w:rsidRPr="007F1052">
        <w:rPr>
          <w:sz w:val="24"/>
          <w:szCs w:val="24"/>
        </w:rPr>
        <w:t xml:space="preserve">-intervallet og forlængelsen var dosis- og koncentrations-afhængig. De maksimale gennemsnitlige forlængelser af </w:t>
      </w:r>
      <w:proofErr w:type="spellStart"/>
      <w:r w:rsidRPr="007F1052">
        <w:rPr>
          <w:sz w:val="24"/>
          <w:szCs w:val="24"/>
        </w:rPr>
        <w:t>QT</w:t>
      </w:r>
      <w:r w:rsidRPr="007F1052">
        <w:rPr>
          <w:sz w:val="24"/>
          <w:szCs w:val="24"/>
          <w:vertAlign w:val="subscript"/>
        </w:rPr>
        <w:t>c</w:t>
      </w:r>
      <w:r w:rsidRPr="007F1052">
        <w:rPr>
          <w:sz w:val="24"/>
          <w:szCs w:val="24"/>
        </w:rPr>
        <w:t>F</w:t>
      </w:r>
      <w:proofErr w:type="spellEnd"/>
      <w:r w:rsidRPr="007F1052">
        <w:rPr>
          <w:sz w:val="24"/>
          <w:szCs w:val="24"/>
        </w:rPr>
        <w:t xml:space="preserve"> (95% øvre </w:t>
      </w:r>
      <w:proofErr w:type="spellStart"/>
      <w:r w:rsidRPr="007F1052">
        <w:rPr>
          <w:sz w:val="24"/>
          <w:szCs w:val="24"/>
        </w:rPr>
        <w:t>konfidensgrænse</w:t>
      </w:r>
      <w:proofErr w:type="spellEnd"/>
      <w:r w:rsidRPr="007F1052">
        <w:rPr>
          <w:sz w:val="24"/>
          <w:szCs w:val="24"/>
        </w:rPr>
        <w:t xml:space="preserve">) sammenlignet med </w:t>
      </w:r>
      <w:proofErr w:type="spellStart"/>
      <w:r w:rsidRPr="007F1052">
        <w:rPr>
          <w:sz w:val="24"/>
          <w:szCs w:val="24"/>
        </w:rPr>
        <w:t>chloroquin</w:t>
      </w:r>
      <w:proofErr w:type="spellEnd"/>
      <w:r w:rsidRPr="007F1052">
        <w:rPr>
          <w:sz w:val="24"/>
          <w:szCs w:val="24"/>
        </w:rPr>
        <w:t xml:space="preserve"> alene var 5 (10) ms, 7 (12) ms og 9 (14) ms, når der samtidig blev givet hhv. 500 mg, 1.000 mg og 1.500 mg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>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tabs>
          <w:tab w:val="left" w:pos="851"/>
          <w:tab w:val="left" w:pos="1418"/>
        </w:tabs>
        <w:rPr>
          <w:b/>
          <w:sz w:val="24"/>
          <w:szCs w:val="24"/>
        </w:rPr>
      </w:pPr>
      <w:r w:rsidRPr="007F1052">
        <w:rPr>
          <w:i/>
          <w:spacing w:val="-3"/>
          <w:sz w:val="24"/>
          <w:szCs w:val="24"/>
        </w:rPr>
        <w:tab/>
      </w:r>
      <w:r w:rsidRPr="007F1052">
        <w:rPr>
          <w:b/>
          <w:sz w:val="24"/>
          <w:szCs w:val="24"/>
        </w:rPr>
        <w:t>Resistensmekanisme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Der er 2 dominerende resistensfaktorer i kliniske </w:t>
      </w:r>
      <w:proofErr w:type="spellStart"/>
      <w:r w:rsidRPr="007F1052">
        <w:rPr>
          <w:sz w:val="24"/>
          <w:szCs w:val="24"/>
        </w:rPr>
        <w:t>isolater</w:t>
      </w:r>
      <w:proofErr w:type="spellEnd"/>
      <w:r w:rsidRPr="007F1052">
        <w:rPr>
          <w:sz w:val="24"/>
          <w:szCs w:val="24"/>
        </w:rPr>
        <w:t xml:space="preserve"> af </w:t>
      </w:r>
      <w:proofErr w:type="spellStart"/>
      <w:r w:rsidRPr="007F1052">
        <w:rPr>
          <w:i/>
          <w:sz w:val="24"/>
          <w:szCs w:val="24"/>
        </w:rPr>
        <w:t>Streptococcus</w:t>
      </w:r>
      <w:proofErr w:type="spellEnd"/>
      <w:r w:rsidRPr="007F1052">
        <w:rPr>
          <w:i/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pneumoniae</w:t>
      </w:r>
      <w:proofErr w:type="spellEnd"/>
      <w:r w:rsidRPr="007F1052">
        <w:rPr>
          <w:sz w:val="24"/>
          <w:szCs w:val="24"/>
        </w:rPr>
        <w:t xml:space="preserve"> og </w:t>
      </w:r>
      <w:proofErr w:type="spellStart"/>
      <w:r w:rsidRPr="007F1052">
        <w:rPr>
          <w:i/>
          <w:sz w:val="24"/>
          <w:szCs w:val="24"/>
        </w:rPr>
        <w:t>Streptococcus</w:t>
      </w:r>
      <w:proofErr w:type="spellEnd"/>
      <w:r w:rsidRPr="007F1052">
        <w:rPr>
          <w:i/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pyogenes</w:t>
      </w:r>
      <w:proofErr w:type="spellEnd"/>
      <w:r w:rsidRPr="007F1052">
        <w:rPr>
          <w:i/>
          <w:sz w:val="24"/>
          <w:szCs w:val="24"/>
        </w:rPr>
        <w:t xml:space="preserve">: </w:t>
      </w:r>
      <w:proofErr w:type="spellStart"/>
      <w:r w:rsidRPr="007F1052">
        <w:rPr>
          <w:i/>
          <w:sz w:val="24"/>
          <w:szCs w:val="24"/>
        </w:rPr>
        <w:t>mef</w:t>
      </w:r>
      <w:proofErr w:type="spellEnd"/>
      <w:r w:rsidRPr="007F1052">
        <w:rPr>
          <w:i/>
          <w:sz w:val="24"/>
          <w:szCs w:val="24"/>
        </w:rPr>
        <w:t xml:space="preserve"> og erm</w:t>
      </w:r>
      <w:r w:rsidRPr="007F1052">
        <w:rPr>
          <w:sz w:val="24"/>
          <w:szCs w:val="24"/>
        </w:rPr>
        <w:t xml:space="preserve">. </w:t>
      </w:r>
      <w:proofErr w:type="spellStart"/>
      <w:r w:rsidRPr="007F1052">
        <w:rPr>
          <w:i/>
          <w:sz w:val="24"/>
          <w:szCs w:val="24"/>
        </w:rPr>
        <w:t>Mef</w:t>
      </w:r>
      <w:proofErr w:type="spellEnd"/>
      <w:r w:rsidRPr="007F1052">
        <w:rPr>
          <w:sz w:val="24"/>
          <w:szCs w:val="24"/>
        </w:rPr>
        <w:t xml:space="preserve"> indkoder en udstrømningspumpe, som kun formidler resistens til 14- og 15-leddet makrolider. </w:t>
      </w:r>
      <w:proofErr w:type="spellStart"/>
      <w:r w:rsidRPr="007F1052">
        <w:rPr>
          <w:sz w:val="24"/>
          <w:szCs w:val="24"/>
        </w:rPr>
        <w:t>Mef</w:t>
      </w:r>
      <w:proofErr w:type="spellEnd"/>
      <w:r w:rsidRPr="007F1052">
        <w:rPr>
          <w:sz w:val="24"/>
          <w:szCs w:val="24"/>
        </w:rPr>
        <w:t xml:space="preserve"> er også beskrevet i en række af andre arter. </w:t>
      </w:r>
      <w:r w:rsidRPr="007F1052">
        <w:rPr>
          <w:i/>
          <w:sz w:val="24"/>
          <w:szCs w:val="24"/>
        </w:rPr>
        <w:t>Erm</w:t>
      </w:r>
      <w:r w:rsidRPr="007F1052">
        <w:rPr>
          <w:sz w:val="24"/>
          <w:szCs w:val="24"/>
        </w:rPr>
        <w:t xml:space="preserve"> gener indkoder en 23S-rRNA </w:t>
      </w:r>
      <w:proofErr w:type="spellStart"/>
      <w:r w:rsidRPr="007F1052">
        <w:rPr>
          <w:sz w:val="24"/>
          <w:szCs w:val="24"/>
        </w:rPr>
        <w:t>methyltransferase</w:t>
      </w:r>
      <w:proofErr w:type="spellEnd"/>
      <w:r w:rsidRPr="007F1052">
        <w:rPr>
          <w:sz w:val="24"/>
          <w:szCs w:val="24"/>
        </w:rPr>
        <w:t xml:space="preserve">, som tilføjer </w:t>
      </w:r>
      <w:proofErr w:type="spellStart"/>
      <w:r w:rsidRPr="007F1052">
        <w:rPr>
          <w:sz w:val="24"/>
          <w:szCs w:val="24"/>
        </w:rPr>
        <w:t>methylgrupper</w:t>
      </w:r>
      <w:proofErr w:type="spellEnd"/>
      <w:r w:rsidRPr="007F1052">
        <w:rPr>
          <w:sz w:val="24"/>
          <w:szCs w:val="24"/>
        </w:rPr>
        <w:t xml:space="preserve"> til adenin 2058 af 23S </w:t>
      </w:r>
      <w:proofErr w:type="spellStart"/>
      <w:r w:rsidRPr="007F1052">
        <w:rPr>
          <w:sz w:val="24"/>
          <w:szCs w:val="24"/>
        </w:rPr>
        <w:t>rRNA</w:t>
      </w:r>
      <w:proofErr w:type="spellEnd"/>
      <w:r w:rsidRPr="007F1052">
        <w:rPr>
          <w:sz w:val="24"/>
          <w:szCs w:val="24"/>
        </w:rPr>
        <w:t xml:space="preserve"> (</w:t>
      </w:r>
      <w:r w:rsidRPr="007F1052">
        <w:rPr>
          <w:i/>
          <w:sz w:val="24"/>
          <w:szCs w:val="24"/>
        </w:rPr>
        <w:t>E. coli</w:t>
      </w:r>
      <w:r w:rsidRPr="007F1052">
        <w:rPr>
          <w:sz w:val="24"/>
          <w:szCs w:val="24"/>
        </w:rPr>
        <w:t xml:space="preserve"> </w:t>
      </w:r>
      <w:proofErr w:type="spellStart"/>
      <w:r w:rsidRPr="007F1052">
        <w:rPr>
          <w:sz w:val="24"/>
          <w:szCs w:val="24"/>
        </w:rPr>
        <w:t>rRNA</w:t>
      </w:r>
      <w:proofErr w:type="spellEnd"/>
      <w:r w:rsidRPr="007F1052">
        <w:rPr>
          <w:sz w:val="24"/>
          <w:szCs w:val="24"/>
        </w:rPr>
        <w:t xml:space="preserve"> nummereringssystemet). Det </w:t>
      </w:r>
      <w:proofErr w:type="spellStart"/>
      <w:r w:rsidRPr="007F1052">
        <w:rPr>
          <w:sz w:val="24"/>
          <w:szCs w:val="24"/>
        </w:rPr>
        <w:t>methylerede</w:t>
      </w:r>
      <w:proofErr w:type="spellEnd"/>
      <w:r w:rsidRPr="007F1052">
        <w:rPr>
          <w:sz w:val="24"/>
          <w:szCs w:val="24"/>
        </w:rPr>
        <w:t xml:space="preserve"> nukleotid er i domæne V og kan interagere med lincosamider og </w:t>
      </w:r>
      <w:proofErr w:type="spellStart"/>
      <w:r w:rsidRPr="007F1052">
        <w:rPr>
          <w:sz w:val="24"/>
          <w:szCs w:val="24"/>
        </w:rPr>
        <w:t>streptogramin</w:t>
      </w:r>
      <w:proofErr w:type="spellEnd"/>
      <w:r w:rsidRPr="007F1052">
        <w:rPr>
          <w:sz w:val="24"/>
          <w:szCs w:val="24"/>
        </w:rPr>
        <w:t xml:space="preserve"> B foruden med makrolider. Dette resulterer i en </w:t>
      </w:r>
      <w:proofErr w:type="spellStart"/>
      <w:r w:rsidRPr="007F1052">
        <w:rPr>
          <w:sz w:val="24"/>
          <w:szCs w:val="24"/>
        </w:rPr>
        <w:t>phenotype</w:t>
      </w:r>
      <w:proofErr w:type="spellEnd"/>
      <w:r w:rsidRPr="007F1052">
        <w:rPr>
          <w:sz w:val="24"/>
          <w:szCs w:val="24"/>
        </w:rPr>
        <w:t xml:space="preserve"> kendt som </w:t>
      </w:r>
      <w:r w:rsidR="00C86630" w:rsidRPr="007F1052">
        <w:rPr>
          <w:sz w:val="24"/>
          <w:szCs w:val="24"/>
        </w:rPr>
        <w:t>MLSB-resistens</w:t>
      </w:r>
      <w:r w:rsidRPr="007F1052">
        <w:rPr>
          <w:sz w:val="24"/>
          <w:szCs w:val="24"/>
        </w:rPr>
        <w:t xml:space="preserve">. </w:t>
      </w:r>
      <w:r w:rsidRPr="007F1052">
        <w:rPr>
          <w:i/>
          <w:sz w:val="24"/>
          <w:szCs w:val="24"/>
        </w:rPr>
        <w:t>Erm(B)</w:t>
      </w:r>
      <w:r w:rsidRPr="007F1052">
        <w:rPr>
          <w:sz w:val="24"/>
          <w:szCs w:val="24"/>
        </w:rPr>
        <w:t xml:space="preserve"> og </w:t>
      </w:r>
      <w:r w:rsidRPr="007F1052">
        <w:rPr>
          <w:i/>
          <w:sz w:val="24"/>
          <w:szCs w:val="24"/>
        </w:rPr>
        <w:t>erm(A)</w:t>
      </w:r>
      <w:r w:rsidRPr="007F1052">
        <w:rPr>
          <w:sz w:val="24"/>
          <w:szCs w:val="24"/>
        </w:rPr>
        <w:t xml:space="preserve"> er fundet i kliniske </w:t>
      </w:r>
      <w:proofErr w:type="spellStart"/>
      <w:r w:rsidRPr="007F1052">
        <w:rPr>
          <w:sz w:val="24"/>
          <w:szCs w:val="24"/>
        </w:rPr>
        <w:t>isolater</w:t>
      </w:r>
      <w:proofErr w:type="spellEnd"/>
      <w:r w:rsidRPr="007F1052">
        <w:rPr>
          <w:sz w:val="24"/>
          <w:szCs w:val="24"/>
        </w:rPr>
        <w:t xml:space="preserve"> af </w:t>
      </w:r>
      <w:proofErr w:type="spellStart"/>
      <w:r w:rsidRPr="007F1052">
        <w:rPr>
          <w:i/>
          <w:sz w:val="24"/>
          <w:szCs w:val="24"/>
        </w:rPr>
        <w:t>Streptococcus</w:t>
      </w:r>
      <w:proofErr w:type="spellEnd"/>
      <w:r w:rsidRPr="007F1052">
        <w:rPr>
          <w:i/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pneumoniae</w:t>
      </w:r>
      <w:proofErr w:type="spellEnd"/>
      <w:r w:rsidRPr="007F1052">
        <w:rPr>
          <w:sz w:val="24"/>
          <w:szCs w:val="24"/>
        </w:rPr>
        <w:t xml:space="preserve"> og </w:t>
      </w:r>
      <w:proofErr w:type="spellStart"/>
      <w:r w:rsidRPr="007F1052">
        <w:rPr>
          <w:i/>
          <w:sz w:val="24"/>
          <w:szCs w:val="24"/>
        </w:rPr>
        <w:t>Streptococcus</w:t>
      </w:r>
      <w:proofErr w:type="spellEnd"/>
      <w:r w:rsidRPr="007F1052">
        <w:rPr>
          <w:i/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pyogenes</w:t>
      </w:r>
      <w:proofErr w:type="spellEnd"/>
      <w:r w:rsidRPr="007F1052">
        <w:rPr>
          <w:sz w:val="24"/>
          <w:szCs w:val="24"/>
        </w:rPr>
        <w:t>.</w:t>
      </w:r>
    </w:p>
    <w:p w:rsidR="005D0A64" w:rsidRPr="007F1052" w:rsidRDefault="005D0A64" w:rsidP="005D0A64">
      <w:pPr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t>AcrAB-TolC</w:t>
      </w:r>
      <w:proofErr w:type="spellEnd"/>
      <w:r w:rsidRPr="007F1052">
        <w:rPr>
          <w:sz w:val="24"/>
          <w:szCs w:val="24"/>
        </w:rPr>
        <w:t xml:space="preserve"> pumpe i </w:t>
      </w:r>
      <w:proofErr w:type="spellStart"/>
      <w:r w:rsidRPr="007F1052">
        <w:rPr>
          <w:i/>
          <w:sz w:val="24"/>
          <w:szCs w:val="24"/>
        </w:rPr>
        <w:t>Haemophilus</w:t>
      </w:r>
      <w:proofErr w:type="spellEnd"/>
      <w:r w:rsidRPr="007F1052">
        <w:rPr>
          <w:i/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influenzae</w:t>
      </w:r>
      <w:proofErr w:type="spellEnd"/>
      <w:r w:rsidRPr="007F1052">
        <w:rPr>
          <w:sz w:val="24"/>
          <w:szCs w:val="24"/>
        </w:rPr>
        <w:t xml:space="preserve"> er ansvarlig for de medfødte højere niveauer af </w:t>
      </w:r>
      <w:r w:rsidR="00C86630" w:rsidRPr="007F1052">
        <w:rPr>
          <w:sz w:val="24"/>
          <w:szCs w:val="24"/>
        </w:rPr>
        <w:t>MIC-værdierne</w:t>
      </w:r>
      <w:r w:rsidRPr="007F1052">
        <w:rPr>
          <w:sz w:val="24"/>
          <w:szCs w:val="24"/>
        </w:rPr>
        <w:t xml:space="preserve"> for </w:t>
      </w:r>
      <w:proofErr w:type="spellStart"/>
      <w:r w:rsidRPr="007F1052">
        <w:rPr>
          <w:sz w:val="24"/>
          <w:szCs w:val="24"/>
        </w:rPr>
        <w:t>makroliderne</w:t>
      </w:r>
      <w:proofErr w:type="spellEnd"/>
      <w:r w:rsidRPr="007F1052">
        <w:rPr>
          <w:sz w:val="24"/>
          <w:szCs w:val="24"/>
        </w:rPr>
        <w:t>.</w:t>
      </w:r>
    </w:p>
    <w:p w:rsidR="005D0A64" w:rsidRPr="007F1052" w:rsidRDefault="005D0A64" w:rsidP="005D0A64">
      <w:pPr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I kliniske </w:t>
      </w:r>
      <w:proofErr w:type="spellStart"/>
      <w:r w:rsidRPr="007F1052">
        <w:rPr>
          <w:sz w:val="24"/>
          <w:szCs w:val="24"/>
        </w:rPr>
        <w:t>isolater</w:t>
      </w:r>
      <w:proofErr w:type="spellEnd"/>
      <w:r w:rsidRPr="007F1052">
        <w:rPr>
          <w:sz w:val="24"/>
          <w:szCs w:val="24"/>
        </w:rPr>
        <w:t xml:space="preserve"> er mutationer i 23S </w:t>
      </w:r>
      <w:proofErr w:type="spellStart"/>
      <w:r w:rsidRPr="007F1052">
        <w:rPr>
          <w:sz w:val="24"/>
          <w:szCs w:val="24"/>
        </w:rPr>
        <w:t>rRNA</w:t>
      </w:r>
      <w:proofErr w:type="spellEnd"/>
      <w:r w:rsidRPr="007F1052">
        <w:rPr>
          <w:sz w:val="24"/>
          <w:szCs w:val="24"/>
        </w:rPr>
        <w:t>, specifikt i nukleotider 2057-2059 eller 2611 i domæne V eller mutationer i ribosomale proteiner L4 eller L22 sjældne.</w:t>
      </w:r>
    </w:p>
    <w:p w:rsidR="005D0A64" w:rsidRPr="007F1052" w:rsidRDefault="005D0A64" w:rsidP="005D0A64">
      <w:pPr>
        <w:rPr>
          <w:sz w:val="24"/>
          <w:szCs w:val="24"/>
        </w:rPr>
      </w:pPr>
    </w:p>
    <w:p w:rsidR="005D0A64" w:rsidRPr="00D14187" w:rsidRDefault="005D0A64" w:rsidP="005D0A64">
      <w:pPr>
        <w:ind w:firstLine="851"/>
        <w:rPr>
          <w:b/>
          <w:sz w:val="24"/>
          <w:szCs w:val="24"/>
          <w:lang w:val="en-US"/>
        </w:rPr>
      </w:pPr>
      <w:r w:rsidRPr="00D14187">
        <w:rPr>
          <w:b/>
          <w:sz w:val="24"/>
          <w:szCs w:val="24"/>
          <w:lang w:val="en-US"/>
        </w:rPr>
        <w:t>Breakpoints</w:t>
      </w:r>
    </w:p>
    <w:p w:rsidR="005D0A64" w:rsidRPr="00D14187" w:rsidRDefault="005D0A64" w:rsidP="005D0A64">
      <w:pPr>
        <w:ind w:left="840"/>
        <w:rPr>
          <w:sz w:val="24"/>
          <w:szCs w:val="24"/>
          <w:lang w:val="en-US"/>
        </w:rPr>
      </w:pPr>
      <w:proofErr w:type="spellStart"/>
      <w:r w:rsidRPr="00D14187">
        <w:rPr>
          <w:sz w:val="24"/>
          <w:szCs w:val="24"/>
          <w:lang w:val="en-US"/>
        </w:rPr>
        <w:t>Følgende</w:t>
      </w:r>
      <w:proofErr w:type="spellEnd"/>
      <w:r w:rsidRPr="00D14187">
        <w:rPr>
          <w:sz w:val="24"/>
          <w:szCs w:val="24"/>
          <w:lang w:val="en-US"/>
        </w:rPr>
        <w:t xml:space="preserve"> MIC-</w:t>
      </w:r>
      <w:proofErr w:type="spellStart"/>
      <w:r w:rsidRPr="00D14187">
        <w:rPr>
          <w:sz w:val="24"/>
          <w:szCs w:val="24"/>
          <w:lang w:val="en-US"/>
        </w:rPr>
        <w:t>værdier</w:t>
      </w:r>
      <w:proofErr w:type="spellEnd"/>
      <w:r w:rsidRPr="00D14187">
        <w:rPr>
          <w:sz w:val="24"/>
          <w:szCs w:val="24"/>
          <w:lang w:val="en-US"/>
        </w:rPr>
        <w:t xml:space="preserve"> (</w:t>
      </w:r>
      <w:proofErr w:type="spellStart"/>
      <w:r w:rsidRPr="00D14187">
        <w:rPr>
          <w:sz w:val="24"/>
          <w:szCs w:val="24"/>
          <w:lang w:val="en-US"/>
        </w:rPr>
        <w:t>Mininum</w:t>
      </w:r>
      <w:proofErr w:type="spellEnd"/>
      <w:r w:rsidRPr="00D14187">
        <w:rPr>
          <w:sz w:val="24"/>
          <w:szCs w:val="24"/>
          <w:lang w:val="en-US"/>
        </w:rPr>
        <w:t xml:space="preserve"> inhibitory concentration) </w:t>
      </w:r>
      <w:proofErr w:type="spellStart"/>
      <w:r w:rsidRPr="00D14187">
        <w:rPr>
          <w:sz w:val="24"/>
          <w:szCs w:val="24"/>
          <w:lang w:val="en-US"/>
        </w:rPr>
        <w:t>er</w:t>
      </w:r>
      <w:proofErr w:type="spellEnd"/>
      <w:r w:rsidRPr="00D14187">
        <w:rPr>
          <w:sz w:val="24"/>
          <w:szCs w:val="24"/>
          <w:lang w:val="en-US"/>
        </w:rPr>
        <w:t xml:space="preserve"> </w:t>
      </w:r>
      <w:proofErr w:type="spellStart"/>
      <w:r w:rsidRPr="00D14187">
        <w:rPr>
          <w:sz w:val="24"/>
          <w:szCs w:val="24"/>
          <w:lang w:val="en-US"/>
        </w:rPr>
        <w:t>defineret</w:t>
      </w:r>
      <w:proofErr w:type="spellEnd"/>
      <w:r w:rsidRPr="00D14187">
        <w:rPr>
          <w:sz w:val="24"/>
          <w:szCs w:val="24"/>
          <w:lang w:val="en-US"/>
        </w:rPr>
        <w:t xml:space="preserve"> </w:t>
      </w:r>
      <w:proofErr w:type="spellStart"/>
      <w:r w:rsidRPr="00D14187">
        <w:rPr>
          <w:sz w:val="24"/>
          <w:szCs w:val="24"/>
          <w:lang w:val="en-US"/>
        </w:rPr>
        <w:t>af</w:t>
      </w:r>
      <w:proofErr w:type="spellEnd"/>
      <w:r w:rsidRPr="00D14187">
        <w:rPr>
          <w:sz w:val="24"/>
          <w:szCs w:val="24"/>
          <w:lang w:val="en-US"/>
        </w:rPr>
        <w:t xml:space="preserve"> EUCAST (European Committee on Antimicrobial Susceptibility Testing): </w:t>
      </w:r>
    </w:p>
    <w:p w:rsidR="005D0A64" w:rsidRPr="007F1052" w:rsidRDefault="005D0A64" w:rsidP="005D0A64">
      <w:pPr>
        <w:ind w:left="840"/>
        <w:rPr>
          <w:sz w:val="24"/>
          <w:szCs w:val="24"/>
        </w:rPr>
      </w:pPr>
      <w:proofErr w:type="spellStart"/>
      <w:r w:rsidRPr="007F1052">
        <w:rPr>
          <w:i/>
          <w:sz w:val="24"/>
          <w:szCs w:val="24"/>
        </w:rPr>
        <w:t>Haemophilus</w:t>
      </w:r>
      <w:proofErr w:type="spellEnd"/>
      <w:r w:rsidRPr="007F1052">
        <w:rPr>
          <w:sz w:val="24"/>
          <w:szCs w:val="24"/>
        </w:rPr>
        <w:t xml:space="preserve"> </w:t>
      </w:r>
      <w:proofErr w:type="spellStart"/>
      <w:r w:rsidRPr="007F1052">
        <w:rPr>
          <w:sz w:val="24"/>
          <w:szCs w:val="24"/>
        </w:rPr>
        <w:t>spp</w:t>
      </w:r>
      <w:proofErr w:type="spellEnd"/>
      <w:r w:rsidRPr="007F1052">
        <w:rPr>
          <w:sz w:val="24"/>
          <w:szCs w:val="24"/>
        </w:rPr>
        <w:t xml:space="preserve">: Følsomme ≤ 0,12 mg/l og resistente &gt;4 mg/l. </w:t>
      </w:r>
    </w:p>
    <w:p w:rsidR="005D0A64" w:rsidRPr="007F1052" w:rsidRDefault="005D0A64" w:rsidP="005D0A64">
      <w:pPr>
        <w:ind w:left="840"/>
        <w:rPr>
          <w:sz w:val="24"/>
          <w:szCs w:val="24"/>
        </w:rPr>
      </w:pPr>
      <w:r w:rsidRPr="007F1052">
        <w:rPr>
          <w:i/>
          <w:sz w:val="24"/>
          <w:szCs w:val="24"/>
        </w:rPr>
        <w:t xml:space="preserve">M. </w:t>
      </w:r>
      <w:proofErr w:type="spellStart"/>
      <w:r w:rsidRPr="007F1052">
        <w:rPr>
          <w:i/>
          <w:sz w:val="24"/>
          <w:szCs w:val="24"/>
        </w:rPr>
        <w:t>catarrhalis</w:t>
      </w:r>
      <w:proofErr w:type="spellEnd"/>
      <w:r w:rsidRPr="007F1052">
        <w:rPr>
          <w:sz w:val="24"/>
          <w:szCs w:val="24"/>
        </w:rPr>
        <w:t xml:space="preserve">: Følsomme ≤0,5 mg/l og resistente &gt;0,5 mg/l. </w:t>
      </w:r>
    </w:p>
    <w:p w:rsidR="005D0A64" w:rsidRPr="007F1052" w:rsidRDefault="005D0A64" w:rsidP="005D0A64">
      <w:pPr>
        <w:ind w:left="840"/>
        <w:rPr>
          <w:sz w:val="24"/>
          <w:szCs w:val="24"/>
          <w:vertAlign w:val="superscript"/>
        </w:rPr>
      </w:pPr>
      <w:r w:rsidRPr="007F1052">
        <w:rPr>
          <w:sz w:val="24"/>
          <w:szCs w:val="24"/>
        </w:rPr>
        <w:t xml:space="preserve">streptokokker (inklusive </w:t>
      </w:r>
      <w:r w:rsidRPr="007F1052">
        <w:rPr>
          <w:i/>
          <w:sz w:val="24"/>
          <w:szCs w:val="24"/>
        </w:rPr>
        <w:t xml:space="preserve">S. </w:t>
      </w:r>
      <w:proofErr w:type="spellStart"/>
      <w:r w:rsidRPr="007F1052">
        <w:rPr>
          <w:i/>
          <w:sz w:val="24"/>
          <w:szCs w:val="24"/>
        </w:rPr>
        <w:t>pneumoniae</w:t>
      </w:r>
      <w:proofErr w:type="spellEnd"/>
      <w:r w:rsidRPr="007F1052">
        <w:rPr>
          <w:sz w:val="24"/>
          <w:szCs w:val="24"/>
        </w:rPr>
        <w:t xml:space="preserve"> og </w:t>
      </w:r>
      <w:r w:rsidRPr="007F1052">
        <w:rPr>
          <w:i/>
          <w:sz w:val="24"/>
          <w:szCs w:val="24"/>
        </w:rPr>
        <w:t>S.</w:t>
      </w:r>
      <w:r w:rsidRPr="007F1052">
        <w:rPr>
          <w:sz w:val="24"/>
          <w:szCs w:val="24"/>
        </w:rPr>
        <w:t xml:space="preserve"> </w:t>
      </w:r>
      <w:proofErr w:type="spellStart"/>
      <w:r w:rsidRPr="007F1052">
        <w:rPr>
          <w:i/>
          <w:sz w:val="24"/>
          <w:szCs w:val="24"/>
        </w:rPr>
        <w:t>pyogenes</w:t>
      </w:r>
      <w:proofErr w:type="spellEnd"/>
      <w:r w:rsidRPr="007F1052">
        <w:rPr>
          <w:sz w:val="24"/>
          <w:szCs w:val="24"/>
        </w:rPr>
        <w:t xml:space="preserve">):  Følsomme ≤ 0,25 mg/l og resistente &gt;0,5 mg/l. </w:t>
      </w:r>
    </w:p>
    <w:p w:rsidR="005D0A64" w:rsidRPr="007F1052" w:rsidRDefault="005D0A64" w:rsidP="005D0A64">
      <w:pPr>
        <w:rPr>
          <w:sz w:val="24"/>
          <w:szCs w:val="24"/>
        </w:rPr>
      </w:pPr>
    </w:p>
    <w:p w:rsidR="005D0A64" w:rsidRPr="007F1052" w:rsidRDefault="005D0A64" w:rsidP="005D0A64">
      <w:pPr>
        <w:ind w:firstLine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Antibakterielt spektrum</w:t>
      </w:r>
    </w:p>
    <w:p w:rsidR="005D0A64" w:rsidRPr="007F1052" w:rsidRDefault="005D0A64" w:rsidP="005D0A64">
      <w:pPr>
        <w:ind w:firstLine="851"/>
        <w:rPr>
          <w:sz w:val="24"/>
          <w:szCs w:val="24"/>
        </w:rPr>
      </w:pPr>
      <w:r w:rsidRPr="007F1052">
        <w:rPr>
          <w:sz w:val="24"/>
          <w:szCs w:val="24"/>
        </w:rPr>
        <w:t xml:space="preserve">Bakterielle arters følsomhed over for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er vist i tabellen nedenfor.</w:t>
      </w:r>
    </w:p>
    <w:p w:rsidR="005D0A64" w:rsidRPr="007F1052" w:rsidRDefault="005D0A64" w:rsidP="005D0A64">
      <w:pPr>
        <w:rPr>
          <w:sz w:val="24"/>
          <w:szCs w:val="24"/>
        </w:rPr>
      </w:pPr>
    </w:p>
    <w:p w:rsidR="005D0A64" w:rsidRPr="007F1052" w:rsidRDefault="005D0A6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 xml:space="preserve">Prævalensen af erhvervet resistens kan variere geografisk og over tid for udvalgte arter. Information om den lokale </w:t>
      </w:r>
      <w:proofErr w:type="spellStart"/>
      <w:r w:rsidRPr="007F1052">
        <w:rPr>
          <w:sz w:val="24"/>
          <w:szCs w:val="24"/>
        </w:rPr>
        <w:t>resistensprævalens</w:t>
      </w:r>
      <w:proofErr w:type="spellEnd"/>
      <w:r w:rsidRPr="007F1052">
        <w:rPr>
          <w:sz w:val="24"/>
          <w:szCs w:val="24"/>
        </w:rPr>
        <w:t xml:space="preserve"> er vigtig, især når der behandles alvorlige infektioner. Der bør søges ekspertvurdering, hvis den lokale </w:t>
      </w:r>
      <w:proofErr w:type="spellStart"/>
      <w:r w:rsidRPr="007F1052">
        <w:rPr>
          <w:sz w:val="24"/>
          <w:szCs w:val="24"/>
        </w:rPr>
        <w:t>resistensprævalens</w:t>
      </w:r>
      <w:proofErr w:type="spellEnd"/>
      <w:r w:rsidRPr="007F1052">
        <w:rPr>
          <w:sz w:val="24"/>
          <w:szCs w:val="24"/>
        </w:rPr>
        <w:t xml:space="preserve"> er på et niveau, der gør anvendeligheden af lægemiddelstoffet tvivlsom.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p w:rsidR="005D0A64" w:rsidRPr="007F1052" w:rsidRDefault="00A17AD4" w:rsidP="005D0A64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"</w:t>
      </w:r>
      <w:r w:rsidR="005D0A64" w:rsidRPr="007F1052">
        <w:rPr>
          <w:sz w:val="24"/>
          <w:szCs w:val="24"/>
        </w:rPr>
        <w:t>Arter, for hvilke erhvervet resistens kan være et problem</w:t>
      </w:r>
      <w:r w:rsidRPr="007F1052">
        <w:rPr>
          <w:sz w:val="24"/>
          <w:szCs w:val="24"/>
        </w:rPr>
        <w:t>"</w:t>
      </w:r>
      <w:r w:rsidR="005D0A64" w:rsidRPr="007F1052">
        <w:rPr>
          <w:sz w:val="24"/>
          <w:szCs w:val="24"/>
        </w:rPr>
        <w:t xml:space="preserve">, er defineret som arter, for hvilke der i mindst ét EU-land er en </w:t>
      </w:r>
      <w:proofErr w:type="spellStart"/>
      <w:r w:rsidR="005D0A64" w:rsidRPr="007F1052">
        <w:rPr>
          <w:sz w:val="24"/>
          <w:szCs w:val="24"/>
        </w:rPr>
        <w:t>resistensprævalens</w:t>
      </w:r>
      <w:proofErr w:type="spellEnd"/>
      <w:r w:rsidR="005D0A64" w:rsidRPr="007F1052">
        <w:rPr>
          <w:sz w:val="24"/>
          <w:szCs w:val="24"/>
        </w:rPr>
        <w:t xml:space="preserve"> på mindst 10%.</w:t>
      </w:r>
    </w:p>
    <w:p w:rsidR="005D0A64" w:rsidRPr="007F1052" w:rsidRDefault="005D0A64" w:rsidP="005D0A64">
      <w:pPr>
        <w:ind w:left="851"/>
        <w:rPr>
          <w:sz w:val="24"/>
          <w:szCs w:val="24"/>
        </w:rPr>
      </w:pP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8"/>
      </w:tblGrid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Almindeligvis følsomme arter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Aerobe Gram positive bakterier</w:t>
            </w:r>
          </w:p>
        </w:tc>
      </w:tr>
      <w:tr w:rsidR="005D0A64" w:rsidRPr="007F1052" w:rsidTr="003B4BCE">
        <w:tc>
          <w:tcPr>
            <w:tcW w:w="8008" w:type="dxa"/>
            <w:tcBorders>
              <w:left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F1052">
              <w:rPr>
                <w:i/>
                <w:iCs/>
                <w:sz w:val="24"/>
                <w:szCs w:val="24"/>
              </w:rPr>
              <w:t>Staphylococcus</w:t>
            </w:r>
            <w:proofErr w:type="spellEnd"/>
            <w:r w:rsidRPr="007F1052">
              <w:rPr>
                <w:i/>
                <w:iCs/>
                <w:sz w:val="24"/>
                <w:szCs w:val="24"/>
              </w:rPr>
              <w:t xml:space="preserve"> aureus</w:t>
            </w:r>
          </w:p>
          <w:p w:rsidR="005D0A64" w:rsidRPr="007F1052" w:rsidRDefault="005D0A64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F1052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Pr="007F105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i/>
                <w:iCs/>
                <w:sz w:val="24"/>
                <w:szCs w:val="24"/>
              </w:rPr>
              <w:t>agalactiae</w:t>
            </w:r>
            <w:proofErr w:type="spellEnd"/>
          </w:p>
          <w:p w:rsidR="005D0A64" w:rsidRPr="007F1052" w:rsidRDefault="005D0A64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 xml:space="preserve">Streptokokker (gruppe C, F, G) </w:t>
            </w:r>
          </w:p>
          <w:p w:rsidR="005D0A64" w:rsidRPr="007F1052" w:rsidRDefault="005D0A64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052">
              <w:rPr>
                <w:sz w:val="24"/>
                <w:szCs w:val="24"/>
              </w:rPr>
              <w:t>Viridans streptokokker.</w:t>
            </w:r>
          </w:p>
        </w:tc>
      </w:tr>
      <w:tr w:rsidR="005D0A64" w:rsidRPr="007F1052" w:rsidTr="003B4BCE">
        <w:tc>
          <w:tcPr>
            <w:tcW w:w="8008" w:type="dxa"/>
            <w:tcBorders>
              <w:left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Aerobe Gram negative bakterier</w:t>
            </w:r>
          </w:p>
        </w:tc>
      </w:tr>
      <w:tr w:rsidR="005D0A64" w:rsidRPr="006A0493" w:rsidTr="003B4BCE">
        <w:tc>
          <w:tcPr>
            <w:tcW w:w="80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Bordetella pertussis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lastRenderedPageBreak/>
              <w:t>Haemophilus</w:t>
            </w:r>
            <w:proofErr w:type="spellEnd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ducreyi</w:t>
            </w:r>
            <w:proofErr w:type="spellEnd"/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Haemophilus</w:t>
            </w:r>
            <w:proofErr w:type="spellEnd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parainfluenzae</w:t>
            </w:r>
            <w:proofErr w:type="spellEnd"/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*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Legionella pneumophila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Moraxella catarrhalis*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Neisseria gonorrhoeae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jc w:val="center"/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lastRenderedPageBreak/>
              <w:t xml:space="preserve">Arter med naturlig </w:t>
            </w:r>
            <w:proofErr w:type="spellStart"/>
            <w:r w:rsidRPr="007F1052">
              <w:rPr>
                <w:b/>
                <w:sz w:val="24"/>
                <w:szCs w:val="24"/>
              </w:rPr>
              <w:t>intermediær</w:t>
            </w:r>
            <w:proofErr w:type="spellEnd"/>
            <w:r w:rsidRPr="007F1052">
              <w:rPr>
                <w:b/>
                <w:sz w:val="24"/>
                <w:szCs w:val="24"/>
              </w:rPr>
              <w:t xml:space="preserve"> (nedsat) følsomhed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7F1052">
              <w:rPr>
                <w:i/>
                <w:iCs/>
                <w:spacing w:val="-3"/>
                <w:sz w:val="24"/>
                <w:szCs w:val="24"/>
              </w:rPr>
              <w:t>Haemophilus</w:t>
            </w:r>
            <w:proofErr w:type="spellEnd"/>
            <w:r w:rsidRPr="007F1052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i/>
                <w:iCs/>
                <w:spacing w:val="-3"/>
                <w:sz w:val="24"/>
                <w:szCs w:val="24"/>
              </w:rPr>
              <w:t>influenzae</w:t>
            </w:r>
            <w:proofErr w:type="spellEnd"/>
            <w:r w:rsidRPr="007F1052">
              <w:rPr>
                <w:i/>
                <w:iCs/>
                <w:spacing w:val="-3"/>
                <w:sz w:val="24"/>
                <w:szCs w:val="24"/>
              </w:rPr>
              <w:t>**</w:t>
            </w:r>
            <w:r w:rsidRPr="007F1052">
              <w:rPr>
                <w:spacing w:val="-3"/>
                <w:sz w:val="24"/>
                <w:szCs w:val="24"/>
              </w:rPr>
              <w:t xml:space="preserve"> </w:t>
            </w:r>
          </w:p>
          <w:p w:rsidR="005D0A64" w:rsidRPr="007F1052" w:rsidRDefault="005D0A64" w:rsidP="003B4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jc w:val="center"/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Andre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sz w:val="24"/>
                <w:szCs w:val="24"/>
                <w:lang w:val="en-US"/>
              </w:rPr>
              <w:t>C</w:t>
            </w:r>
            <w:r w:rsidRPr="006A0493">
              <w:rPr>
                <w:rStyle w:val="Fremhv"/>
                <w:sz w:val="24"/>
                <w:szCs w:val="24"/>
                <w:lang w:val="en-US"/>
              </w:rPr>
              <w:t>hlamydophila</w:t>
            </w: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 xml:space="preserve"> pneumoniae*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Chlamydia trachomatis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6A0493" w:rsidRDefault="005D0A64" w:rsidP="003B4BCE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  <w:r w:rsidRPr="006A0493">
              <w:rPr>
                <w:i/>
                <w:iCs/>
                <w:spacing w:val="-3"/>
                <w:sz w:val="24"/>
                <w:szCs w:val="24"/>
                <w:lang w:val="en-US"/>
              </w:rPr>
              <w:t>Mycoplasma pneumoniae*</w:t>
            </w:r>
            <w:r w:rsidRPr="006A0493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5D0A64" w:rsidRPr="007F1052" w:rsidRDefault="005D0A64" w:rsidP="003B4BCE">
            <w:pPr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7F1052">
              <w:rPr>
                <w:i/>
                <w:iCs/>
                <w:spacing w:val="-3"/>
                <w:sz w:val="24"/>
                <w:szCs w:val="24"/>
              </w:rPr>
              <w:t>Ureaplasma</w:t>
            </w:r>
            <w:proofErr w:type="spellEnd"/>
            <w:r w:rsidRPr="007F1052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i/>
                <w:iCs/>
                <w:spacing w:val="-3"/>
                <w:sz w:val="24"/>
                <w:szCs w:val="24"/>
              </w:rPr>
              <w:t>urealyticum</w:t>
            </w:r>
            <w:proofErr w:type="spellEnd"/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7645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Arter for hvilke erhvervet resistens kan være et problem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rPr>
                <w:b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 xml:space="preserve">Aerobe </w:t>
            </w:r>
            <w:proofErr w:type="spellStart"/>
            <w:r w:rsidRPr="007F1052">
              <w:rPr>
                <w:b/>
                <w:sz w:val="24"/>
                <w:szCs w:val="24"/>
              </w:rPr>
              <w:t>Gram-positive</w:t>
            </w:r>
            <w:proofErr w:type="spellEnd"/>
            <w:r w:rsidRPr="007F10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b/>
                <w:sz w:val="24"/>
                <w:szCs w:val="24"/>
              </w:rPr>
              <w:t>kokker</w:t>
            </w:r>
            <w:proofErr w:type="spellEnd"/>
            <w:r w:rsidRPr="007F10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0A64" w:rsidRPr="007F1052" w:rsidTr="003B4BCE">
        <w:trPr>
          <w:trHeight w:val="685"/>
        </w:trPr>
        <w:tc>
          <w:tcPr>
            <w:tcW w:w="8008" w:type="dxa"/>
            <w:tcBorders>
              <w:left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rPr>
                <w:i/>
                <w:sz w:val="24"/>
                <w:szCs w:val="24"/>
              </w:rPr>
            </w:pPr>
            <w:proofErr w:type="spellStart"/>
            <w:r w:rsidRPr="007F1052">
              <w:rPr>
                <w:i/>
                <w:sz w:val="24"/>
                <w:szCs w:val="24"/>
              </w:rPr>
              <w:t>Streptococcus</w:t>
            </w:r>
            <w:proofErr w:type="spellEnd"/>
            <w:r w:rsidRPr="007F10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i/>
                <w:sz w:val="24"/>
                <w:szCs w:val="24"/>
              </w:rPr>
              <w:t>pneumoniae</w:t>
            </w:r>
            <w:proofErr w:type="spellEnd"/>
            <w:r w:rsidRPr="007F1052">
              <w:rPr>
                <w:i/>
                <w:sz w:val="24"/>
                <w:szCs w:val="24"/>
              </w:rPr>
              <w:t>*</w:t>
            </w:r>
          </w:p>
          <w:p w:rsidR="005D0A64" w:rsidRPr="007F1052" w:rsidRDefault="005D0A64" w:rsidP="003B4BCE">
            <w:pPr>
              <w:rPr>
                <w:sz w:val="24"/>
                <w:szCs w:val="24"/>
              </w:rPr>
            </w:pPr>
            <w:proofErr w:type="spellStart"/>
            <w:r w:rsidRPr="007F1052">
              <w:rPr>
                <w:i/>
                <w:sz w:val="24"/>
                <w:szCs w:val="24"/>
              </w:rPr>
              <w:t>Streptococcus</w:t>
            </w:r>
            <w:proofErr w:type="spellEnd"/>
            <w:r w:rsidRPr="007F10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i/>
                <w:sz w:val="24"/>
                <w:szCs w:val="24"/>
              </w:rPr>
              <w:t>pyogenes</w:t>
            </w:r>
            <w:proofErr w:type="spellEnd"/>
            <w:r w:rsidRPr="007F1052">
              <w:rPr>
                <w:i/>
                <w:sz w:val="24"/>
                <w:szCs w:val="24"/>
              </w:rPr>
              <w:t>*</w:t>
            </w:r>
          </w:p>
        </w:tc>
      </w:tr>
      <w:tr w:rsidR="005D0A64" w:rsidRPr="007F1052" w:rsidTr="003B4BCE"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1052">
              <w:rPr>
                <w:b/>
                <w:sz w:val="24"/>
                <w:szCs w:val="24"/>
              </w:rPr>
              <w:t>Naturligt resistente arter</w:t>
            </w:r>
          </w:p>
        </w:tc>
      </w:tr>
      <w:tr w:rsidR="005D0A64" w:rsidRPr="007F1052" w:rsidTr="003B4BCE">
        <w:trPr>
          <w:trHeight w:val="540"/>
        </w:trPr>
        <w:tc>
          <w:tcPr>
            <w:tcW w:w="8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A64" w:rsidRPr="007F1052" w:rsidRDefault="005D0A64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F1052">
              <w:rPr>
                <w:sz w:val="24"/>
                <w:szCs w:val="24"/>
              </w:rPr>
              <w:t>Enterobacteriaceae</w:t>
            </w:r>
            <w:proofErr w:type="spellEnd"/>
          </w:p>
          <w:p w:rsidR="005D0A64" w:rsidRPr="007F1052" w:rsidRDefault="005D0A64" w:rsidP="003B4BCE">
            <w:pPr>
              <w:jc w:val="both"/>
              <w:rPr>
                <w:sz w:val="24"/>
                <w:szCs w:val="24"/>
              </w:rPr>
            </w:pPr>
            <w:proofErr w:type="spellStart"/>
            <w:r w:rsidRPr="007F1052">
              <w:rPr>
                <w:i/>
                <w:iCs/>
                <w:spacing w:val="-3"/>
                <w:sz w:val="24"/>
                <w:szCs w:val="24"/>
              </w:rPr>
              <w:t>Pseudomonas</w:t>
            </w:r>
            <w:proofErr w:type="spellEnd"/>
            <w:r w:rsidRPr="007F10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1052">
              <w:rPr>
                <w:spacing w:val="-3"/>
                <w:sz w:val="24"/>
                <w:szCs w:val="24"/>
              </w:rPr>
              <w:t>spp</w:t>
            </w:r>
            <w:proofErr w:type="spellEnd"/>
            <w:r w:rsidRPr="007F1052">
              <w:rPr>
                <w:spacing w:val="-3"/>
                <w:sz w:val="24"/>
                <w:szCs w:val="24"/>
              </w:rPr>
              <w:t>.</w:t>
            </w:r>
          </w:p>
        </w:tc>
      </w:tr>
    </w:tbl>
    <w:p w:rsidR="005D0A64" w:rsidRPr="007F1052" w:rsidRDefault="005D0A64" w:rsidP="00CF2420">
      <w:pPr>
        <w:ind w:left="851"/>
        <w:rPr>
          <w:iCs/>
          <w:spacing w:val="-3"/>
          <w:sz w:val="24"/>
          <w:szCs w:val="24"/>
        </w:rPr>
      </w:pPr>
      <w:r w:rsidRPr="007F1052">
        <w:rPr>
          <w:iCs/>
          <w:spacing w:val="-3"/>
          <w:sz w:val="24"/>
          <w:szCs w:val="24"/>
        </w:rPr>
        <w:t xml:space="preserve">Bemærk: Der er krydsresistens mellem </w:t>
      </w:r>
      <w:proofErr w:type="spellStart"/>
      <w:r w:rsidRPr="007F1052">
        <w:rPr>
          <w:iCs/>
          <w:spacing w:val="-3"/>
          <w:sz w:val="24"/>
          <w:szCs w:val="24"/>
        </w:rPr>
        <w:t>azithromycin</w:t>
      </w:r>
      <w:proofErr w:type="spellEnd"/>
      <w:r w:rsidRPr="007F1052">
        <w:rPr>
          <w:iCs/>
          <w:spacing w:val="-3"/>
          <w:sz w:val="24"/>
          <w:szCs w:val="24"/>
        </w:rPr>
        <w:t xml:space="preserve"> og andre makrolider.</w:t>
      </w:r>
    </w:p>
    <w:p w:rsidR="005D0A64" w:rsidRPr="007F1052" w:rsidRDefault="005D0A64" w:rsidP="005D0A64">
      <w:pPr>
        <w:ind w:left="851"/>
        <w:rPr>
          <w:iCs/>
          <w:spacing w:val="-3"/>
          <w:sz w:val="24"/>
          <w:szCs w:val="24"/>
        </w:rPr>
      </w:pPr>
      <w:r w:rsidRPr="007F1052">
        <w:rPr>
          <w:sz w:val="24"/>
          <w:szCs w:val="24"/>
        </w:rPr>
        <w:t xml:space="preserve">* </w:t>
      </w:r>
      <w:r w:rsidRPr="007F1052">
        <w:rPr>
          <w:iCs/>
          <w:spacing w:val="-3"/>
          <w:sz w:val="24"/>
          <w:szCs w:val="24"/>
        </w:rPr>
        <w:t>Arter for hvilke effekt er vist i kliniske studier</w:t>
      </w:r>
    </w:p>
    <w:p w:rsidR="005D0A64" w:rsidRPr="007F1052" w:rsidRDefault="005D0A64" w:rsidP="005D0A64">
      <w:pPr>
        <w:ind w:left="851"/>
        <w:rPr>
          <w:iCs/>
          <w:spacing w:val="-3"/>
          <w:sz w:val="24"/>
          <w:szCs w:val="24"/>
        </w:rPr>
      </w:pPr>
      <w:r w:rsidRPr="007F1052">
        <w:rPr>
          <w:sz w:val="24"/>
          <w:szCs w:val="24"/>
        </w:rPr>
        <w:t xml:space="preserve">** </w:t>
      </w:r>
      <w:r w:rsidRPr="007F1052">
        <w:rPr>
          <w:iCs/>
          <w:spacing w:val="-3"/>
          <w:sz w:val="24"/>
          <w:szCs w:val="24"/>
        </w:rPr>
        <w:t xml:space="preserve">Arter med naturlig </w:t>
      </w:r>
      <w:proofErr w:type="spellStart"/>
      <w:r w:rsidRPr="007F1052">
        <w:rPr>
          <w:iCs/>
          <w:spacing w:val="-3"/>
          <w:sz w:val="24"/>
          <w:szCs w:val="24"/>
        </w:rPr>
        <w:t>intermediær</w:t>
      </w:r>
      <w:proofErr w:type="spellEnd"/>
      <w:r w:rsidRPr="007F1052">
        <w:rPr>
          <w:iCs/>
          <w:spacing w:val="-3"/>
          <w:sz w:val="24"/>
          <w:szCs w:val="24"/>
        </w:rPr>
        <w:t xml:space="preserve"> følsomhed</w:t>
      </w:r>
    </w:p>
    <w:p w:rsidR="005D0A64" w:rsidRPr="007F1052" w:rsidRDefault="005D0A64" w:rsidP="005D0A64">
      <w:pPr>
        <w:ind w:left="851"/>
        <w:rPr>
          <w:iCs/>
          <w:spacing w:val="-3"/>
          <w:sz w:val="24"/>
          <w:szCs w:val="24"/>
        </w:rPr>
      </w:pPr>
    </w:p>
    <w:p w:rsidR="005D0A64" w:rsidRPr="007F1052" w:rsidRDefault="005D0A64" w:rsidP="005D0A64">
      <w:pPr>
        <w:autoSpaceDE w:val="0"/>
        <w:autoSpaceDN w:val="0"/>
        <w:adjustRightInd w:val="0"/>
        <w:ind w:firstLine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Pædiatrisk population</w:t>
      </w:r>
    </w:p>
    <w:p w:rsidR="005D0A64" w:rsidRPr="007F1052" w:rsidRDefault="005D0A64" w:rsidP="005D0A64">
      <w:pPr>
        <w:ind w:left="851"/>
        <w:rPr>
          <w:iCs/>
          <w:spacing w:val="-3"/>
          <w:sz w:val="24"/>
          <w:szCs w:val="24"/>
        </w:rPr>
      </w:pPr>
      <w:r w:rsidRPr="007F1052">
        <w:rPr>
          <w:sz w:val="24"/>
          <w:szCs w:val="24"/>
        </w:rPr>
        <w:t xml:space="preserve">Efter en gennemgang af kliniske forsøg med børn, kan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ikke anbefales til behandling af malaria, hverken som monoterapi eller i kombination med </w:t>
      </w:r>
      <w:proofErr w:type="spellStart"/>
      <w:r w:rsidRPr="007F1052">
        <w:rPr>
          <w:sz w:val="24"/>
          <w:szCs w:val="24"/>
        </w:rPr>
        <w:t>chloroquin</w:t>
      </w:r>
      <w:proofErr w:type="spellEnd"/>
      <w:r w:rsidRPr="007F1052">
        <w:rPr>
          <w:sz w:val="24"/>
          <w:szCs w:val="24"/>
        </w:rPr>
        <w:t xml:space="preserve"> eller </w:t>
      </w:r>
      <w:proofErr w:type="spellStart"/>
      <w:r w:rsidRPr="007F1052">
        <w:rPr>
          <w:sz w:val="24"/>
          <w:szCs w:val="24"/>
        </w:rPr>
        <w:t>artemisininer</w:t>
      </w:r>
      <w:proofErr w:type="spellEnd"/>
      <w:r w:rsidRPr="007F1052">
        <w:rPr>
          <w:sz w:val="24"/>
          <w:szCs w:val="24"/>
        </w:rPr>
        <w:t xml:space="preserve"> da der ikke kunne påvises non-inferioritet sammenlignet med midler mod malaria, der anbefales til behandling af ukompliceret malaria.</w:t>
      </w:r>
    </w:p>
    <w:p w:rsidR="005D0A64" w:rsidRPr="007F1052" w:rsidRDefault="005D0A64" w:rsidP="005D0A64">
      <w:pPr>
        <w:ind w:left="851"/>
        <w:rPr>
          <w:iCs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5.2</w:t>
      </w:r>
      <w:r w:rsidRPr="007F1052">
        <w:rPr>
          <w:b/>
          <w:spacing w:val="-3"/>
          <w:sz w:val="24"/>
          <w:szCs w:val="24"/>
        </w:rPr>
        <w:tab/>
      </w:r>
      <w:proofErr w:type="spellStart"/>
      <w:r w:rsidRPr="007F1052">
        <w:rPr>
          <w:b/>
          <w:spacing w:val="-3"/>
          <w:sz w:val="24"/>
          <w:szCs w:val="24"/>
        </w:rPr>
        <w:t>Farmakokinetiske</w:t>
      </w:r>
      <w:proofErr w:type="spellEnd"/>
      <w:r w:rsidRPr="007F1052">
        <w:rPr>
          <w:b/>
          <w:spacing w:val="-3"/>
          <w:sz w:val="24"/>
          <w:szCs w:val="24"/>
        </w:rPr>
        <w:t xml:space="preserve"> egenskaber</w:t>
      </w:r>
    </w:p>
    <w:p w:rsidR="00FF2DFF" w:rsidRDefault="005D0A64" w:rsidP="005D0A64">
      <w:pPr>
        <w:ind w:left="851" w:hanging="851"/>
        <w:rPr>
          <w:b/>
          <w:i/>
          <w:spacing w:val="-3"/>
          <w:sz w:val="24"/>
          <w:szCs w:val="24"/>
        </w:rPr>
      </w:pPr>
      <w:r w:rsidRPr="007F1052">
        <w:rPr>
          <w:b/>
          <w:i/>
          <w:spacing w:val="-3"/>
          <w:sz w:val="24"/>
          <w:szCs w:val="24"/>
        </w:rPr>
        <w:tab/>
      </w:r>
    </w:p>
    <w:p w:rsidR="00DC7E76" w:rsidRPr="00614F12" w:rsidRDefault="00DC7E76" w:rsidP="00DC7E76">
      <w:pPr>
        <w:ind w:left="851"/>
        <w:rPr>
          <w:i/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>Absorption: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>Biotilgængeligheden efter oral administration er ca. 37 %. Peak plasmaniveauer nås efter 2-3 timer. Hos ældre frivillige (over 65 år) ses lidt højere AUC-værdier efter 5 dages behandling end hos yngre frivillige (under 40 år). Disse er ikke klinisk signifikante, hvorfor der ikke anbefales dosisændring hos ældre patienter.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 xml:space="preserve">Ingen tegn på væsentlige ændringer i </w:t>
      </w:r>
      <w:proofErr w:type="spellStart"/>
      <w:r w:rsidRPr="00614F12">
        <w:rPr>
          <w:spacing w:val="-3"/>
          <w:sz w:val="24"/>
          <w:szCs w:val="24"/>
        </w:rPr>
        <w:t>azithromycins</w:t>
      </w:r>
      <w:proofErr w:type="spellEnd"/>
      <w:r w:rsidRPr="00614F12">
        <w:rPr>
          <w:spacing w:val="-3"/>
          <w:sz w:val="24"/>
          <w:szCs w:val="24"/>
        </w:rPr>
        <w:t xml:space="preserve"> serum farmakokinetik hos patienter </w:t>
      </w:r>
      <w:r>
        <w:rPr>
          <w:spacing w:val="-3"/>
          <w:sz w:val="24"/>
          <w:szCs w:val="24"/>
        </w:rPr>
        <w:t>med GFR &gt;</w:t>
      </w:r>
      <w:r w:rsidRPr="00614F12">
        <w:rPr>
          <w:spacing w:val="-3"/>
          <w:sz w:val="24"/>
          <w:szCs w:val="24"/>
        </w:rPr>
        <w:t xml:space="preserve">40 ml/min. 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 xml:space="preserve">Ingen væsentlige ændringer i </w:t>
      </w:r>
      <w:proofErr w:type="spellStart"/>
      <w:r w:rsidRPr="00614F12">
        <w:rPr>
          <w:spacing w:val="-3"/>
          <w:sz w:val="24"/>
          <w:szCs w:val="24"/>
        </w:rPr>
        <w:t>azithromycins</w:t>
      </w:r>
      <w:proofErr w:type="spellEnd"/>
      <w:r w:rsidRPr="00614F12">
        <w:rPr>
          <w:spacing w:val="-3"/>
          <w:sz w:val="24"/>
          <w:szCs w:val="24"/>
        </w:rPr>
        <w:t xml:space="preserve"> serum farmakokinetik hos patienter med let til moderat nedsat leverfunktion (klasse A og B). Mængden af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synes at stige i urinen, måske som kompensation for den reducerede </w:t>
      </w:r>
      <w:proofErr w:type="spellStart"/>
      <w:r w:rsidRPr="00614F12">
        <w:rPr>
          <w:spacing w:val="-3"/>
          <w:sz w:val="24"/>
          <w:szCs w:val="24"/>
        </w:rPr>
        <w:t>leverclearance</w:t>
      </w:r>
      <w:proofErr w:type="spellEnd"/>
      <w:r w:rsidRPr="00614F12">
        <w:rPr>
          <w:spacing w:val="-3"/>
          <w:sz w:val="24"/>
          <w:szCs w:val="24"/>
        </w:rPr>
        <w:t>.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i/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ab/>
        <w:t>Biotransformation: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>Der er fundet meget høje koncentrationer af uændret stof i menneskets galde sammen med 10 metabolitter, dannet ved N- og O-</w:t>
      </w:r>
      <w:proofErr w:type="spellStart"/>
      <w:r w:rsidRPr="00614F12">
        <w:rPr>
          <w:spacing w:val="-3"/>
          <w:sz w:val="24"/>
          <w:szCs w:val="24"/>
        </w:rPr>
        <w:t>demetylering</w:t>
      </w:r>
      <w:proofErr w:type="spellEnd"/>
      <w:r w:rsidRPr="00614F12">
        <w:rPr>
          <w:spacing w:val="-3"/>
          <w:sz w:val="24"/>
          <w:szCs w:val="24"/>
        </w:rPr>
        <w:t xml:space="preserve">, ved </w:t>
      </w:r>
      <w:proofErr w:type="spellStart"/>
      <w:r w:rsidRPr="00614F12">
        <w:rPr>
          <w:spacing w:val="-3"/>
          <w:sz w:val="24"/>
          <w:szCs w:val="24"/>
        </w:rPr>
        <w:t>hydroxylering</w:t>
      </w:r>
      <w:proofErr w:type="spellEnd"/>
      <w:r w:rsidRPr="00614F12">
        <w:rPr>
          <w:spacing w:val="-3"/>
          <w:sz w:val="24"/>
          <w:szCs w:val="24"/>
        </w:rPr>
        <w:t xml:space="preserve"> af </w:t>
      </w:r>
      <w:proofErr w:type="spellStart"/>
      <w:r w:rsidRPr="00614F12">
        <w:rPr>
          <w:spacing w:val="-3"/>
          <w:sz w:val="24"/>
          <w:szCs w:val="24"/>
        </w:rPr>
        <w:t>desosamin</w:t>
      </w:r>
      <w:proofErr w:type="spellEnd"/>
      <w:r w:rsidRPr="00614F12">
        <w:rPr>
          <w:spacing w:val="-3"/>
          <w:sz w:val="24"/>
          <w:szCs w:val="24"/>
        </w:rPr>
        <w:t xml:space="preserve"> og </w:t>
      </w:r>
      <w:proofErr w:type="spellStart"/>
      <w:r w:rsidRPr="00614F12">
        <w:rPr>
          <w:spacing w:val="-3"/>
          <w:sz w:val="24"/>
          <w:szCs w:val="24"/>
        </w:rPr>
        <w:t>aglycon</w:t>
      </w:r>
      <w:proofErr w:type="spellEnd"/>
      <w:r w:rsidRPr="00614F12">
        <w:rPr>
          <w:spacing w:val="-3"/>
          <w:sz w:val="24"/>
          <w:szCs w:val="24"/>
        </w:rPr>
        <w:t xml:space="preserve"> ringe og ved spaltning af det </w:t>
      </w:r>
      <w:proofErr w:type="spellStart"/>
      <w:r w:rsidRPr="00614F12">
        <w:rPr>
          <w:spacing w:val="-3"/>
          <w:sz w:val="24"/>
          <w:szCs w:val="24"/>
        </w:rPr>
        <w:t>cladinøse</w:t>
      </w:r>
      <w:proofErr w:type="spellEnd"/>
      <w:r w:rsidRPr="00614F12">
        <w:rPr>
          <w:spacing w:val="-3"/>
          <w:sz w:val="24"/>
          <w:szCs w:val="24"/>
        </w:rPr>
        <w:t xml:space="preserve"> </w:t>
      </w:r>
      <w:proofErr w:type="spellStart"/>
      <w:r w:rsidRPr="00614F12">
        <w:rPr>
          <w:spacing w:val="-3"/>
          <w:sz w:val="24"/>
          <w:szCs w:val="24"/>
        </w:rPr>
        <w:t>konjugat</w:t>
      </w:r>
      <w:proofErr w:type="spellEnd"/>
      <w:r w:rsidRPr="00614F12">
        <w:rPr>
          <w:spacing w:val="-3"/>
          <w:sz w:val="24"/>
          <w:szCs w:val="24"/>
        </w:rPr>
        <w:t>. Sammen</w:t>
      </w:r>
      <w:r w:rsidRPr="00614F12">
        <w:rPr>
          <w:spacing w:val="-3"/>
          <w:sz w:val="24"/>
          <w:szCs w:val="24"/>
        </w:rPr>
        <w:softHyphen/>
        <w:t>ligning af HPLC og mikrobio</w:t>
      </w:r>
      <w:r w:rsidRPr="00614F12">
        <w:rPr>
          <w:spacing w:val="-3"/>
          <w:sz w:val="24"/>
          <w:szCs w:val="24"/>
        </w:rPr>
        <w:softHyphen/>
        <w:t xml:space="preserve">logiske metoder i væv indikerer, at metabolitterne ikke har betydning for </w:t>
      </w:r>
      <w:proofErr w:type="spellStart"/>
      <w:r w:rsidRPr="00614F12">
        <w:rPr>
          <w:spacing w:val="-3"/>
          <w:sz w:val="24"/>
          <w:szCs w:val="24"/>
        </w:rPr>
        <w:t>azithromycins</w:t>
      </w:r>
      <w:proofErr w:type="spellEnd"/>
      <w:r w:rsidRPr="00614F12">
        <w:rPr>
          <w:spacing w:val="-3"/>
          <w:sz w:val="24"/>
          <w:szCs w:val="24"/>
        </w:rPr>
        <w:t xml:space="preserve"> mikro</w:t>
      </w:r>
      <w:r w:rsidRPr="00614F12">
        <w:rPr>
          <w:spacing w:val="-3"/>
          <w:sz w:val="24"/>
          <w:szCs w:val="24"/>
        </w:rPr>
        <w:softHyphen/>
        <w:t>biologiske aktivitet.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/>
        <w:rPr>
          <w:i/>
          <w:sz w:val="24"/>
          <w:szCs w:val="24"/>
        </w:rPr>
      </w:pPr>
      <w:r w:rsidRPr="00614F12">
        <w:rPr>
          <w:i/>
          <w:sz w:val="24"/>
          <w:szCs w:val="24"/>
        </w:rPr>
        <w:t>Distribution: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>Markant højere koncentrationer i væv end i plasma (op til 50 gange den maksimalt fundne plasmakoncentration), hvilket tyder på, at stoffet er meget vævsbundet. Høje koncentrationer i væv som lunge, tonsil og prostata. Selv efter at koncentrationen i serum eller plasma er faldet til under detektionsniveau er koncentrationerne højere end MIC</w:t>
      </w:r>
      <w:r w:rsidRPr="00614F12">
        <w:rPr>
          <w:spacing w:val="-3"/>
          <w:sz w:val="24"/>
          <w:szCs w:val="24"/>
          <w:vertAlign w:val="subscript"/>
        </w:rPr>
        <w:t>90</w:t>
      </w:r>
      <w:r w:rsidRPr="00614F12">
        <w:rPr>
          <w:spacing w:val="-3"/>
          <w:sz w:val="24"/>
          <w:szCs w:val="24"/>
        </w:rPr>
        <w:t xml:space="preserve"> for mulige </w:t>
      </w:r>
      <w:proofErr w:type="spellStart"/>
      <w:r w:rsidRPr="00614F12">
        <w:rPr>
          <w:spacing w:val="-3"/>
          <w:sz w:val="24"/>
          <w:szCs w:val="24"/>
        </w:rPr>
        <w:t>patogener</w:t>
      </w:r>
      <w:proofErr w:type="spellEnd"/>
      <w:r w:rsidRPr="00614F12">
        <w:rPr>
          <w:spacing w:val="-3"/>
          <w:sz w:val="24"/>
          <w:szCs w:val="24"/>
        </w:rPr>
        <w:t xml:space="preserve"> efter en enkelt dosis på 500 mg. Der blev fundet høje koncentrationer af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i gynækologisk væv 96 timer efter en oral enkeltdosis af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 xml:space="preserve"> på 500 mg</w:t>
      </w:r>
    </w:p>
    <w:p w:rsidR="00DC7E76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i/>
          <w:spacing w:val="-3"/>
          <w:sz w:val="24"/>
          <w:szCs w:val="24"/>
        </w:rPr>
      </w:pPr>
      <w:r w:rsidRPr="00614F12">
        <w:rPr>
          <w:i/>
          <w:spacing w:val="-3"/>
          <w:sz w:val="24"/>
          <w:szCs w:val="24"/>
        </w:rPr>
        <w:tab/>
        <w:t>Elimination: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  <w:r w:rsidRPr="00614F12">
        <w:rPr>
          <w:spacing w:val="-3"/>
          <w:sz w:val="24"/>
          <w:szCs w:val="24"/>
        </w:rPr>
        <w:tab/>
        <w:t>Den terminale plasmaudskillelseshalveringstid reflekterer nøje vævstømningshal</w:t>
      </w:r>
      <w:r w:rsidRPr="00614F12">
        <w:rPr>
          <w:spacing w:val="-3"/>
          <w:sz w:val="24"/>
          <w:szCs w:val="24"/>
        </w:rPr>
        <w:softHyphen/>
        <w:t xml:space="preserve">veringstiden på 2-4 dage. Ca. 12% af en intravenøst indgivet dosis er udskilt i urinen i løbet af 3 dage som oprindeligt stof, størstedelen i løbet af de første 24 timer. Galdeudskillelse er den primære udskillelsesvej for uændret stof efter oralt indgivet </w:t>
      </w:r>
      <w:proofErr w:type="spellStart"/>
      <w:r w:rsidRPr="00614F12">
        <w:rPr>
          <w:spacing w:val="-3"/>
          <w:sz w:val="24"/>
          <w:szCs w:val="24"/>
        </w:rPr>
        <w:t>azithromycin</w:t>
      </w:r>
      <w:proofErr w:type="spellEnd"/>
      <w:r w:rsidRPr="00614F12">
        <w:rPr>
          <w:spacing w:val="-3"/>
          <w:sz w:val="24"/>
          <w:szCs w:val="24"/>
        </w:rPr>
        <w:t>.</w:t>
      </w:r>
    </w:p>
    <w:p w:rsidR="00DC7E76" w:rsidRPr="00614F12" w:rsidRDefault="00DC7E76" w:rsidP="00DC7E76">
      <w:pPr>
        <w:ind w:left="851" w:hanging="851"/>
        <w:rPr>
          <w:spacing w:val="-3"/>
          <w:sz w:val="24"/>
          <w:szCs w:val="24"/>
        </w:rPr>
      </w:pPr>
    </w:p>
    <w:p w:rsidR="00DC7E76" w:rsidRPr="00614F12" w:rsidRDefault="00DC7E76" w:rsidP="00DC7E76">
      <w:pPr>
        <w:ind w:left="851" w:hanging="851"/>
        <w:rPr>
          <w:sz w:val="24"/>
          <w:szCs w:val="24"/>
        </w:rPr>
      </w:pPr>
      <w:r w:rsidRPr="00614F12">
        <w:rPr>
          <w:spacing w:val="-3"/>
          <w:sz w:val="24"/>
          <w:szCs w:val="24"/>
        </w:rPr>
        <w:tab/>
      </w:r>
      <w:r w:rsidRPr="00614F12">
        <w:rPr>
          <w:sz w:val="24"/>
          <w:szCs w:val="24"/>
        </w:rPr>
        <w:t>I dyreforsøg er der fundet høje koncentrationer i fagocytter. I eksperimentelle modeller er der frigivet højere koncentrationer under aktiv fagocytose end fra ikke stimulerede fagocytter. I dyremodeller har dette resulteret i, at højere koncentrationer afgives til infektionsstedet</w:t>
      </w:r>
    </w:p>
    <w:p w:rsidR="00DC7E76" w:rsidRPr="00614F12" w:rsidRDefault="00DC7E76" w:rsidP="00DC7E76">
      <w:pPr>
        <w:ind w:left="851" w:hanging="851"/>
        <w:rPr>
          <w:sz w:val="24"/>
          <w:szCs w:val="24"/>
        </w:rPr>
      </w:pPr>
    </w:p>
    <w:p w:rsidR="00DC7E76" w:rsidRPr="00614F12" w:rsidRDefault="00DC7E76" w:rsidP="00DC7E76">
      <w:pPr>
        <w:ind w:left="851"/>
        <w:rPr>
          <w:b/>
          <w:sz w:val="24"/>
          <w:szCs w:val="24"/>
        </w:rPr>
      </w:pPr>
      <w:r w:rsidRPr="00614F12">
        <w:rPr>
          <w:b/>
          <w:sz w:val="24"/>
          <w:szCs w:val="24"/>
        </w:rPr>
        <w:t>Farmakokinetik i specielle grupper</w:t>
      </w:r>
    </w:p>
    <w:p w:rsidR="00DC7E76" w:rsidRPr="00614F12" w:rsidRDefault="00DC7E76" w:rsidP="00DC7E76">
      <w:pPr>
        <w:ind w:left="851"/>
        <w:rPr>
          <w:bCs/>
          <w:i/>
          <w:iCs/>
          <w:sz w:val="24"/>
          <w:szCs w:val="24"/>
        </w:rPr>
      </w:pPr>
      <w:r w:rsidRPr="00614F12">
        <w:rPr>
          <w:bCs/>
          <w:i/>
          <w:iCs/>
          <w:sz w:val="24"/>
          <w:szCs w:val="24"/>
        </w:rPr>
        <w:t>Nedsat nyrefunktion</w:t>
      </w:r>
    </w:p>
    <w:p w:rsidR="00DC7E76" w:rsidRPr="00614F12" w:rsidRDefault="00DC7E76" w:rsidP="00DC7E76">
      <w:pPr>
        <w:ind w:left="851" w:hanging="851"/>
        <w:rPr>
          <w:bCs/>
          <w:sz w:val="24"/>
          <w:szCs w:val="24"/>
        </w:rPr>
      </w:pPr>
      <w:r w:rsidRPr="00614F12">
        <w:rPr>
          <w:bCs/>
          <w:sz w:val="24"/>
          <w:szCs w:val="24"/>
        </w:rPr>
        <w:tab/>
        <w:t>Hos forsøgspersoner med GFR 10</w:t>
      </w:r>
      <w:r>
        <w:rPr>
          <w:bCs/>
          <w:sz w:val="24"/>
          <w:szCs w:val="24"/>
        </w:rPr>
        <w:t>-</w:t>
      </w:r>
      <w:r w:rsidRPr="00614F12">
        <w:rPr>
          <w:bCs/>
          <w:sz w:val="24"/>
          <w:szCs w:val="24"/>
        </w:rPr>
        <w:t xml:space="preserve">80 ml/min </w:t>
      </w:r>
      <w:r>
        <w:rPr>
          <w:bCs/>
          <w:sz w:val="24"/>
          <w:szCs w:val="24"/>
        </w:rPr>
        <w:t>blev</w:t>
      </w:r>
      <w:r w:rsidRPr="00614F12">
        <w:rPr>
          <w:bCs/>
          <w:sz w:val="24"/>
          <w:szCs w:val="24"/>
        </w:rPr>
        <w:t xml:space="preserve"> </w:t>
      </w:r>
      <w:proofErr w:type="spellStart"/>
      <w:r w:rsidRPr="00614F12">
        <w:rPr>
          <w:bCs/>
          <w:sz w:val="24"/>
          <w:szCs w:val="24"/>
        </w:rPr>
        <w:t>azithomycins</w:t>
      </w:r>
      <w:proofErr w:type="spellEnd"/>
      <w:r w:rsidRPr="00614F12">
        <w:rPr>
          <w:bCs/>
          <w:sz w:val="24"/>
          <w:szCs w:val="24"/>
        </w:rPr>
        <w:t xml:space="preserve"> farmakokinetik efter en enkelt dosis på 1,0 g af øjeblikkelig frigivet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ikke påvirket. Statistisk signifikante forskelle i AUC 0-120 (11,7 </w:t>
      </w:r>
      <w:proofErr w:type="spellStart"/>
      <w:r w:rsidRPr="00614F12">
        <w:rPr>
          <w:bCs/>
          <w:sz w:val="24"/>
          <w:szCs w:val="24"/>
        </w:rPr>
        <w:t>μg</w:t>
      </w:r>
      <w:proofErr w:type="spellEnd"/>
      <w:r w:rsidRPr="00614F12">
        <w:rPr>
          <w:bCs/>
          <w:sz w:val="24"/>
          <w:szCs w:val="24"/>
        </w:rPr>
        <w:t xml:space="preserve"> x time/ml </w:t>
      </w:r>
      <w:r w:rsidRPr="00614F12">
        <w:rPr>
          <w:bCs/>
          <w:i/>
          <w:sz w:val="24"/>
          <w:szCs w:val="24"/>
        </w:rPr>
        <w:t xml:space="preserve">versus </w:t>
      </w:r>
      <w:r w:rsidRPr="00614F12">
        <w:rPr>
          <w:bCs/>
          <w:sz w:val="24"/>
          <w:szCs w:val="24"/>
        </w:rPr>
        <w:t xml:space="preserve">8,8 </w:t>
      </w:r>
      <w:proofErr w:type="spellStart"/>
      <w:r w:rsidRPr="00614F12">
        <w:rPr>
          <w:bCs/>
          <w:sz w:val="24"/>
          <w:szCs w:val="24"/>
        </w:rPr>
        <w:t>μg</w:t>
      </w:r>
      <w:proofErr w:type="spellEnd"/>
      <w:r w:rsidRPr="00614F12">
        <w:rPr>
          <w:bCs/>
          <w:sz w:val="24"/>
          <w:szCs w:val="24"/>
        </w:rPr>
        <w:t xml:space="preserve"> x time/ml), </w:t>
      </w:r>
      <w:proofErr w:type="spellStart"/>
      <w:r w:rsidRPr="00614F12">
        <w:rPr>
          <w:bCs/>
          <w:sz w:val="24"/>
          <w:szCs w:val="24"/>
        </w:rPr>
        <w:t>C</w:t>
      </w:r>
      <w:r w:rsidRPr="00614F12">
        <w:rPr>
          <w:bCs/>
          <w:sz w:val="24"/>
          <w:szCs w:val="24"/>
          <w:vertAlign w:val="subscript"/>
        </w:rPr>
        <w:t>max</w:t>
      </w:r>
      <w:proofErr w:type="spellEnd"/>
      <w:r w:rsidRPr="00614F12">
        <w:rPr>
          <w:bCs/>
          <w:sz w:val="24"/>
          <w:szCs w:val="24"/>
        </w:rPr>
        <w:t xml:space="preserve"> (1,6</w:t>
      </w:r>
      <w:r>
        <w:rPr>
          <w:bCs/>
          <w:sz w:val="24"/>
          <w:szCs w:val="24"/>
        </w:rPr>
        <w:t> </w:t>
      </w:r>
      <w:proofErr w:type="spellStart"/>
      <w:r w:rsidRPr="00614F12">
        <w:rPr>
          <w:bCs/>
          <w:sz w:val="24"/>
          <w:szCs w:val="24"/>
        </w:rPr>
        <w:t>μg</w:t>
      </w:r>
      <w:proofErr w:type="spellEnd"/>
      <w:r w:rsidRPr="00614F12">
        <w:rPr>
          <w:bCs/>
          <w:sz w:val="24"/>
          <w:szCs w:val="24"/>
        </w:rPr>
        <w:t>/ml</w:t>
      </w:r>
      <w:r w:rsidRPr="00614F12">
        <w:rPr>
          <w:bCs/>
          <w:i/>
          <w:sz w:val="24"/>
          <w:szCs w:val="24"/>
        </w:rPr>
        <w:t xml:space="preserve"> versus</w:t>
      </w:r>
      <w:r w:rsidRPr="00614F12">
        <w:rPr>
          <w:bCs/>
          <w:sz w:val="24"/>
          <w:szCs w:val="24"/>
        </w:rPr>
        <w:t xml:space="preserve"> 1,0 </w:t>
      </w:r>
      <w:proofErr w:type="spellStart"/>
      <w:r w:rsidRPr="00614F12">
        <w:rPr>
          <w:bCs/>
          <w:sz w:val="24"/>
          <w:szCs w:val="24"/>
        </w:rPr>
        <w:t>μg</w:t>
      </w:r>
      <w:proofErr w:type="spellEnd"/>
      <w:r w:rsidRPr="00614F12">
        <w:rPr>
          <w:bCs/>
          <w:sz w:val="24"/>
          <w:szCs w:val="24"/>
        </w:rPr>
        <w:t xml:space="preserve">/ml) og </w:t>
      </w:r>
      <w:proofErr w:type="spellStart"/>
      <w:r w:rsidRPr="00614F12">
        <w:rPr>
          <w:bCs/>
          <w:sz w:val="24"/>
          <w:szCs w:val="24"/>
        </w:rPr>
        <w:t>CL</w:t>
      </w:r>
      <w:r w:rsidRPr="00614F12">
        <w:rPr>
          <w:bCs/>
          <w:sz w:val="24"/>
          <w:szCs w:val="24"/>
          <w:vertAlign w:val="subscript"/>
        </w:rPr>
        <w:t>r</w:t>
      </w:r>
      <w:proofErr w:type="spellEnd"/>
      <w:r w:rsidRPr="00614F12">
        <w:rPr>
          <w:bCs/>
          <w:sz w:val="24"/>
          <w:szCs w:val="24"/>
        </w:rPr>
        <w:t xml:space="preserve"> (2,3 ml/min/kg vs. 0,2 ml/min/kg) ses mellem gruppen med GFR &lt;10</w:t>
      </w:r>
      <w:r>
        <w:rPr>
          <w:bCs/>
          <w:sz w:val="24"/>
          <w:szCs w:val="24"/>
        </w:rPr>
        <w:t> </w:t>
      </w:r>
      <w:r w:rsidRPr="00614F12">
        <w:rPr>
          <w:bCs/>
          <w:sz w:val="24"/>
          <w:szCs w:val="24"/>
        </w:rPr>
        <w:t>ml/min og gruppen med</w:t>
      </w:r>
      <w:r>
        <w:rPr>
          <w:bCs/>
          <w:sz w:val="24"/>
          <w:szCs w:val="24"/>
        </w:rPr>
        <w:t xml:space="preserve"> GFR &gt;80 ml/min</w:t>
      </w:r>
      <w:r w:rsidRPr="00614F12">
        <w:rPr>
          <w:bCs/>
          <w:sz w:val="24"/>
          <w:szCs w:val="24"/>
        </w:rPr>
        <w:t>.</w:t>
      </w:r>
    </w:p>
    <w:p w:rsidR="00DC7E76" w:rsidRPr="00614F12" w:rsidRDefault="00DC7E76" w:rsidP="00DC7E76">
      <w:pPr>
        <w:ind w:left="851" w:hanging="851"/>
        <w:rPr>
          <w:bCs/>
          <w:sz w:val="24"/>
          <w:szCs w:val="24"/>
        </w:rPr>
      </w:pPr>
    </w:p>
    <w:p w:rsidR="00DC7E76" w:rsidRPr="00614F12" w:rsidRDefault="00DC7E76" w:rsidP="00DC7E76">
      <w:pPr>
        <w:keepNext/>
        <w:ind w:left="851" w:hanging="851"/>
        <w:rPr>
          <w:bCs/>
          <w:i/>
          <w:iCs/>
          <w:sz w:val="24"/>
          <w:szCs w:val="24"/>
        </w:rPr>
      </w:pPr>
      <w:r w:rsidRPr="00614F12">
        <w:rPr>
          <w:bCs/>
          <w:i/>
          <w:iCs/>
          <w:sz w:val="24"/>
          <w:szCs w:val="24"/>
        </w:rPr>
        <w:tab/>
        <w:t>Nedsat leverfunktion</w:t>
      </w:r>
    </w:p>
    <w:p w:rsidR="00DC7E76" w:rsidRPr="00614F12" w:rsidRDefault="00DC7E76" w:rsidP="00DC7E76">
      <w:pPr>
        <w:ind w:left="851" w:hanging="851"/>
        <w:rPr>
          <w:bCs/>
          <w:sz w:val="24"/>
          <w:szCs w:val="24"/>
        </w:rPr>
      </w:pPr>
      <w:r w:rsidRPr="00614F12">
        <w:rPr>
          <w:bCs/>
          <w:sz w:val="24"/>
          <w:szCs w:val="24"/>
        </w:rPr>
        <w:tab/>
        <w:t xml:space="preserve">Hos patienter med mild (Klasse A) til moderat (Klasse B) nedsat leverfunktion er der ikke tegn på udpræget ændring i </w:t>
      </w:r>
      <w:proofErr w:type="spellStart"/>
      <w:r w:rsidRPr="00614F12">
        <w:rPr>
          <w:bCs/>
          <w:sz w:val="24"/>
          <w:szCs w:val="24"/>
        </w:rPr>
        <w:t>farmakokinetiske</w:t>
      </w:r>
      <w:proofErr w:type="spellEnd"/>
      <w:r w:rsidRPr="00614F12">
        <w:rPr>
          <w:bCs/>
          <w:sz w:val="24"/>
          <w:szCs w:val="24"/>
        </w:rPr>
        <w:t xml:space="preserve"> data for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i serum sammenlignet med dem med normal leverfunktion. </w:t>
      </w:r>
      <w:proofErr w:type="spellStart"/>
      <w:r w:rsidRPr="00614F12">
        <w:rPr>
          <w:bCs/>
          <w:sz w:val="24"/>
          <w:szCs w:val="24"/>
        </w:rPr>
        <w:t>Urinclearance</w:t>
      </w:r>
      <w:proofErr w:type="spellEnd"/>
      <w:r w:rsidRPr="00614F12">
        <w:rPr>
          <w:bCs/>
          <w:sz w:val="24"/>
          <w:szCs w:val="24"/>
        </w:rPr>
        <w:t xml:space="preserve"> af </w:t>
      </w:r>
      <w:proofErr w:type="spellStart"/>
      <w:r w:rsidRPr="00614F12">
        <w:rPr>
          <w:bCs/>
          <w:sz w:val="24"/>
          <w:szCs w:val="24"/>
        </w:rPr>
        <w:t>azithromycin</w:t>
      </w:r>
      <w:proofErr w:type="spellEnd"/>
      <w:r w:rsidRPr="00614F12">
        <w:rPr>
          <w:bCs/>
          <w:sz w:val="24"/>
          <w:szCs w:val="24"/>
        </w:rPr>
        <w:t xml:space="preserve"> synes at stige hos disse patienter, måske for at kompensere for reduceret </w:t>
      </w:r>
      <w:proofErr w:type="spellStart"/>
      <w:r w:rsidRPr="00614F12">
        <w:rPr>
          <w:bCs/>
          <w:sz w:val="24"/>
          <w:szCs w:val="24"/>
        </w:rPr>
        <w:t>hepatisk</w:t>
      </w:r>
      <w:proofErr w:type="spellEnd"/>
      <w:r w:rsidRPr="00614F12">
        <w:rPr>
          <w:bCs/>
          <w:sz w:val="24"/>
          <w:szCs w:val="24"/>
        </w:rPr>
        <w:t xml:space="preserve"> </w:t>
      </w:r>
      <w:proofErr w:type="spellStart"/>
      <w:r w:rsidRPr="00614F12">
        <w:rPr>
          <w:bCs/>
          <w:sz w:val="24"/>
          <w:szCs w:val="24"/>
        </w:rPr>
        <w:t>clearance</w:t>
      </w:r>
      <w:proofErr w:type="spellEnd"/>
      <w:r w:rsidRPr="00614F12">
        <w:rPr>
          <w:bCs/>
          <w:sz w:val="24"/>
          <w:szCs w:val="24"/>
        </w:rPr>
        <w:t xml:space="preserve">. </w:t>
      </w:r>
    </w:p>
    <w:p w:rsidR="00DC7E76" w:rsidRPr="00614F12" w:rsidRDefault="00DC7E76" w:rsidP="00DC7E76">
      <w:pPr>
        <w:ind w:left="851" w:hanging="851"/>
        <w:rPr>
          <w:bCs/>
          <w:sz w:val="24"/>
          <w:szCs w:val="24"/>
        </w:rPr>
      </w:pPr>
      <w:r w:rsidRPr="00614F12">
        <w:rPr>
          <w:bCs/>
          <w:sz w:val="24"/>
          <w:szCs w:val="24"/>
        </w:rPr>
        <w:tab/>
      </w:r>
    </w:p>
    <w:p w:rsidR="00DC7E76" w:rsidRPr="00614F12" w:rsidRDefault="00DC7E76" w:rsidP="00DC7E76">
      <w:pPr>
        <w:ind w:left="1304" w:hanging="464"/>
        <w:rPr>
          <w:bCs/>
          <w:i/>
          <w:iCs/>
          <w:sz w:val="24"/>
          <w:szCs w:val="24"/>
        </w:rPr>
      </w:pPr>
      <w:r w:rsidRPr="00614F12">
        <w:rPr>
          <w:bCs/>
          <w:i/>
          <w:iCs/>
          <w:sz w:val="24"/>
          <w:szCs w:val="24"/>
        </w:rPr>
        <w:t>Ældre</w:t>
      </w:r>
    </w:p>
    <w:p w:rsidR="005D0A64" w:rsidRDefault="00DC7E76" w:rsidP="00DC7E76">
      <w:pPr>
        <w:ind w:left="851" w:hanging="11"/>
        <w:rPr>
          <w:bCs/>
          <w:sz w:val="24"/>
          <w:szCs w:val="24"/>
        </w:rPr>
      </w:pPr>
      <w:r w:rsidRPr="00614F12">
        <w:rPr>
          <w:bCs/>
          <w:sz w:val="24"/>
          <w:szCs w:val="24"/>
        </w:rPr>
        <w:t>Efter 5-dages behandling ses en anelse højere AUC-værdier hos ældre frivillige (&gt; 65 år) end hos unge frivillige (&lt; 40 år), men disse har ikke klinisk betydning. Derfor er dosisjustering ikke nødvendig.</w:t>
      </w:r>
    </w:p>
    <w:p w:rsidR="00DC7E76" w:rsidRPr="007F1052" w:rsidRDefault="00DC7E76" w:rsidP="00DC7E76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5.3</w:t>
      </w:r>
      <w:r w:rsidRPr="007F1052">
        <w:rPr>
          <w:b/>
          <w:spacing w:val="-3"/>
          <w:sz w:val="24"/>
          <w:szCs w:val="24"/>
        </w:rPr>
        <w:tab/>
      </w:r>
      <w:r w:rsidR="00F90E79">
        <w:rPr>
          <w:b/>
          <w:spacing w:val="-3"/>
          <w:sz w:val="24"/>
          <w:szCs w:val="24"/>
        </w:rPr>
        <w:t>Non-</w:t>
      </w:r>
      <w:r w:rsidRPr="007F1052">
        <w:rPr>
          <w:b/>
          <w:spacing w:val="-3"/>
          <w:sz w:val="24"/>
          <w:szCs w:val="24"/>
        </w:rPr>
        <w:t>kliniske sikkerhedsdata</w:t>
      </w:r>
    </w:p>
    <w:p w:rsidR="005D0A64" w:rsidRPr="007F1052" w:rsidRDefault="005D0A64" w:rsidP="005D0A64">
      <w:pPr>
        <w:ind w:left="851"/>
        <w:rPr>
          <w:spacing w:val="-3"/>
          <w:sz w:val="24"/>
          <w:szCs w:val="24"/>
        </w:rPr>
      </w:pPr>
      <w:r w:rsidRPr="007F1052">
        <w:rPr>
          <w:sz w:val="24"/>
          <w:szCs w:val="24"/>
        </w:rPr>
        <w:t xml:space="preserve">I dyreforsøg med mus, rotter og hunde, der fik gentagne doser af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, er der set ses fosfolipidose (intracellulær fosfolipidakkumulering) i adskillige væv (f.eks. øje, dorsal </w:t>
      </w:r>
      <w:proofErr w:type="spellStart"/>
      <w:r w:rsidRPr="007F1052">
        <w:rPr>
          <w:sz w:val="24"/>
          <w:szCs w:val="24"/>
        </w:rPr>
        <w:t>rodganglia</w:t>
      </w:r>
      <w:proofErr w:type="spellEnd"/>
      <w:r w:rsidRPr="007F1052">
        <w:rPr>
          <w:sz w:val="24"/>
          <w:szCs w:val="24"/>
        </w:rPr>
        <w:t xml:space="preserve">, lever, galdeblære, nyre, milt og pancreas). Samme grad af fosfolipidose er set i væv hos neonatale rotter og hunde. Virkningen er reversibel efter behandlingsophør. Der er intet, der tyder på, at dette er af betydning for den almindelige anvendelse af </w:t>
      </w:r>
      <w:proofErr w:type="spellStart"/>
      <w:r w:rsidRPr="007F1052">
        <w:rPr>
          <w:sz w:val="24"/>
          <w:szCs w:val="24"/>
        </w:rPr>
        <w:t>azithromycin</w:t>
      </w:r>
      <w:proofErr w:type="spellEnd"/>
      <w:r w:rsidRPr="007F1052">
        <w:rPr>
          <w:sz w:val="24"/>
          <w:szCs w:val="24"/>
        </w:rPr>
        <w:t xml:space="preserve"> hos mennesker.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4F0D89">
      <w:pPr>
        <w:keepNext/>
        <w:ind w:left="851" w:hanging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6.</w:t>
      </w:r>
      <w:r w:rsidRPr="007F1052">
        <w:rPr>
          <w:b/>
          <w:sz w:val="24"/>
          <w:szCs w:val="24"/>
        </w:rPr>
        <w:tab/>
        <w:t>FARMACEUTISKE OPLYSNINGER</w:t>
      </w:r>
    </w:p>
    <w:p w:rsidR="005D0A64" w:rsidRPr="007F1052" w:rsidRDefault="005D0A64" w:rsidP="003B26BE">
      <w:pPr>
        <w:ind w:left="851" w:hanging="851"/>
        <w:rPr>
          <w:b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6.1</w:t>
      </w:r>
      <w:r w:rsidRPr="007F1052">
        <w:rPr>
          <w:b/>
          <w:spacing w:val="-3"/>
          <w:sz w:val="24"/>
          <w:szCs w:val="24"/>
        </w:rPr>
        <w:tab/>
        <w:t>Hjælpestoffer</w:t>
      </w:r>
    </w:p>
    <w:p w:rsidR="00B40E28" w:rsidRPr="007F1052" w:rsidRDefault="000C4B2E" w:rsidP="000C4B2E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lastRenderedPageBreak/>
        <w:t>Magnesiumstearat</w:t>
      </w:r>
      <w:proofErr w:type="spellEnd"/>
    </w:p>
    <w:p w:rsidR="00B40E28" w:rsidRPr="007F1052" w:rsidRDefault="007D6EDD" w:rsidP="000C4B2E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t>N</w:t>
      </w:r>
      <w:r w:rsidR="000C4B2E" w:rsidRPr="007F1052">
        <w:rPr>
          <w:sz w:val="24"/>
          <w:szCs w:val="24"/>
        </w:rPr>
        <w:t>atriumlaurilsulfat</w:t>
      </w:r>
      <w:proofErr w:type="spellEnd"/>
      <w:r w:rsidR="000C4B2E" w:rsidRPr="007F1052">
        <w:rPr>
          <w:sz w:val="24"/>
          <w:szCs w:val="24"/>
        </w:rPr>
        <w:t xml:space="preserve"> </w:t>
      </w:r>
    </w:p>
    <w:p w:rsidR="00B40E28" w:rsidRPr="007F1052" w:rsidRDefault="007D6EDD" w:rsidP="000C4B2E">
      <w:pPr>
        <w:ind w:left="851"/>
        <w:rPr>
          <w:sz w:val="24"/>
          <w:szCs w:val="24"/>
        </w:rPr>
      </w:pPr>
      <w:r w:rsidRPr="007F1052">
        <w:rPr>
          <w:sz w:val="24"/>
          <w:szCs w:val="24"/>
        </w:rPr>
        <w:t>V</w:t>
      </w:r>
      <w:r w:rsidR="000C4B2E" w:rsidRPr="007F1052">
        <w:rPr>
          <w:sz w:val="24"/>
          <w:szCs w:val="24"/>
        </w:rPr>
        <w:t xml:space="preserve">andfri </w:t>
      </w:r>
      <w:proofErr w:type="spellStart"/>
      <w:r w:rsidR="000C4B2E" w:rsidRPr="007F1052">
        <w:rPr>
          <w:sz w:val="24"/>
          <w:szCs w:val="24"/>
        </w:rPr>
        <w:t>calciumhydrogenphosphat</w:t>
      </w:r>
      <w:proofErr w:type="spellEnd"/>
      <w:r w:rsidR="000C4B2E" w:rsidRPr="007F1052">
        <w:rPr>
          <w:sz w:val="24"/>
          <w:szCs w:val="24"/>
        </w:rPr>
        <w:t xml:space="preserve"> </w:t>
      </w:r>
    </w:p>
    <w:p w:rsidR="007D6EDD" w:rsidRPr="00D14187" w:rsidRDefault="007D6EDD" w:rsidP="000C4B2E">
      <w:pPr>
        <w:ind w:left="851"/>
        <w:rPr>
          <w:sz w:val="24"/>
          <w:szCs w:val="24"/>
          <w:lang w:val="en-US"/>
        </w:rPr>
      </w:pPr>
      <w:proofErr w:type="spellStart"/>
      <w:r w:rsidRPr="00D14187">
        <w:rPr>
          <w:sz w:val="24"/>
          <w:szCs w:val="24"/>
          <w:lang w:val="en-US"/>
        </w:rPr>
        <w:t>C</w:t>
      </w:r>
      <w:r w:rsidR="000C4B2E" w:rsidRPr="00D14187">
        <w:rPr>
          <w:sz w:val="24"/>
          <w:szCs w:val="24"/>
          <w:lang w:val="en-US"/>
        </w:rPr>
        <w:t>roscarmellosenatrium</w:t>
      </w:r>
      <w:proofErr w:type="spellEnd"/>
      <w:r w:rsidR="000C4B2E" w:rsidRPr="00D14187">
        <w:rPr>
          <w:sz w:val="24"/>
          <w:szCs w:val="24"/>
          <w:lang w:val="en-US"/>
        </w:rPr>
        <w:t xml:space="preserve"> </w:t>
      </w:r>
    </w:p>
    <w:p w:rsidR="007D6EDD" w:rsidRPr="00D14187" w:rsidRDefault="007D6EDD" w:rsidP="000C4B2E">
      <w:pPr>
        <w:ind w:left="851"/>
        <w:rPr>
          <w:sz w:val="24"/>
          <w:szCs w:val="24"/>
          <w:lang w:val="en-US"/>
        </w:rPr>
      </w:pPr>
      <w:r w:rsidRPr="00D14187">
        <w:rPr>
          <w:sz w:val="24"/>
          <w:szCs w:val="24"/>
          <w:lang w:val="en-US"/>
        </w:rPr>
        <w:t>H</w:t>
      </w:r>
      <w:r w:rsidR="000C4B2E" w:rsidRPr="00D14187">
        <w:rPr>
          <w:sz w:val="24"/>
          <w:szCs w:val="24"/>
          <w:lang w:val="en-US"/>
        </w:rPr>
        <w:t xml:space="preserve">ypromellose </w:t>
      </w:r>
    </w:p>
    <w:p w:rsidR="007D6EDD" w:rsidRPr="00D14187" w:rsidRDefault="007D6EDD" w:rsidP="000C4B2E">
      <w:pPr>
        <w:ind w:left="851"/>
        <w:rPr>
          <w:sz w:val="24"/>
          <w:szCs w:val="24"/>
          <w:lang w:val="en-US"/>
        </w:rPr>
      </w:pPr>
      <w:r w:rsidRPr="00D14187">
        <w:rPr>
          <w:sz w:val="24"/>
          <w:szCs w:val="24"/>
          <w:lang w:val="en-US"/>
        </w:rPr>
        <w:t>L</w:t>
      </w:r>
      <w:r w:rsidR="000C4B2E" w:rsidRPr="00D14187">
        <w:rPr>
          <w:sz w:val="24"/>
          <w:szCs w:val="24"/>
          <w:lang w:val="en-US"/>
        </w:rPr>
        <w:t xml:space="preserve">actose </w:t>
      </w:r>
    </w:p>
    <w:p w:rsidR="007D6EDD" w:rsidRPr="00D14187" w:rsidRDefault="007D6EDD" w:rsidP="000C4B2E">
      <w:pPr>
        <w:ind w:left="851"/>
        <w:rPr>
          <w:sz w:val="24"/>
          <w:szCs w:val="24"/>
          <w:lang w:val="en-US"/>
        </w:rPr>
      </w:pPr>
      <w:proofErr w:type="spellStart"/>
      <w:r w:rsidRPr="00D14187">
        <w:rPr>
          <w:sz w:val="24"/>
          <w:szCs w:val="24"/>
          <w:lang w:val="en-US"/>
        </w:rPr>
        <w:t>T</w:t>
      </w:r>
      <w:r w:rsidR="000C4B2E" w:rsidRPr="00D14187">
        <w:rPr>
          <w:sz w:val="24"/>
          <w:szCs w:val="24"/>
          <w:lang w:val="en-US"/>
        </w:rPr>
        <w:t>itandioxid</w:t>
      </w:r>
      <w:proofErr w:type="spellEnd"/>
      <w:r w:rsidR="000C4B2E" w:rsidRPr="00D14187">
        <w:rPr>
          <w:sz w:val="24"/>
          <w:szCs w:val="24"/>
          <w:lang w:val="en-US"/>
        </w:rPr>
        <w:t xml:space="preserve"> (E 171) </w:t>
      </w:r>
    </w:p>
    <w:p w:rsidR="007D6EDD" w:rsidRPr="007F1052" w:rsidRDefault="007D6EDD" w:rsidP="000C4B2E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t>T</w:t>
      </w:r>
      <w:r w:rsidR="000C4B2E" w:rsidRPr="007F1052">
        <w:rPr>
          <w:sz w:val="24"/>
          <w:szCs w:val="24"/>
        </w:rPr>
        <w:t>riacetin</w:t>
      </w:r>
      <w:proofErr w:type="spellEnd"/>
      <w:r w:rsidR="000C4B2E" w:rsidRPr="007F1052">
        <w:rPr>
          <w:sz w:val="24"/>
          <w:szCs w:val="24"/>
        </w:rPr>
        <w:t xml:space="preserve"> </w:t>
      </w:r>
    </w:p>
    <w:p w:rsidR="000C4B2E" w:rsidRPr="007F1052" w:rsidRDefault="007D6EDD" w:rsidP="000C4B2E">
      <w:pPr>
        <w:ind w:left="851"/>
        <w:rPr>
          <w:sz w:val="24"/>
          <w:szCs w:val="24"/>
        </w:rPr>
      </w:pPr>
      <w:proofErr w:type="spellStart"/>
      <w:r w:rsidRPr="007F1052">
        <w:rPr>
          <w:sz w:val="24"/>
          <w:szCs w:val="24"/>
        </w:rPr>
        <w:t>P</w:t>
      </w:r>
      <w:r w:rsidR="000C4B2E" w:rsidRPr="007F1052">
        <w:rPr>
          <w:sz w:val="24"/>
          <w:szCs w:val="24"/>
        </w:rPr>
        <w:t>regelatineret</w:t>
      </w:r>
      <w:proofErr w:type="spellEnd"/>
      <w:r w:rsidR="000C4B2E" w:rsidRPr="007F1052">
        <w:rPr>
          <w:sz w:val="24"/>
          <w:szCs w:val="24"/>
        </w:rPr>
        <w:t xml:space="preserve"> stivelse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764590">
      <w:pPr>
        <w:keepNext/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6.2</w:t>
      </w:r>
      <w:r w:rsidRPr="007F1052">
        <w:rPr>
          <w:b/>
          <w:spacing w:val="-3"/>
          <w:sz w:val="24"/>
          <w:szCs w:val="24"/>
        </w:rPr>
        <w:tab/>
        <w:t>Uforligeligheder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Ikke relevant.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6.3</w:t>
      </w:r>
      <w:r w:rsidRPr="007F1052">
        <w:rPr>
          <w:b/>
          <w:spacing w:val="-3"/>
          <w:sz w:val="24"/>
          <w:szCs w:val="24"/>
        </w:rPr>
        <w:tab/>
        <w:t>Opbevaringstid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3 år.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6.4</w:t>
      </w:r>
      <w:r w:rsidRPr="007F1052">
        <w:rPr>
          <w:b/>
          <w:spacing w:val="-3"/>
          <w:sz w:val="24"/>
          <w:szCs w:val="24"/>
        </w:rPr>
        <w:tab/>
        <w:t>Særlige opbevaringsforhold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Må ikke opbevares over 30</w:t>
      </w:r>
      <w:r w:rsidR="00267E87" w:rsidRPr="007F1052">
        <w:rPr>
          <w:spacing w:val="-3"/>
          <w:sz w:val="24"/>
          <w:szCs w:val="24"/>
        </w:rPr>
        <w:t xml:space="preserve"> </w:t>
      </w:r>
      <w:r w:rsidR="00D90C95">
        <w:rPr>
          <w:spacing w:val="-3"/>
          <w:sz w:val="24"/>
          <w:szCs w:val="24"/>
        </w:rPr>
        <w:t>°</w:t>
      </w:r>
      <w:r w:rsidRPr="007F1052">
        <w:rPr>
          <w:spacing w:val="-3"/>
          <w:sz w:val="24"/>
          <w:szCs w:val="24"/>
        </w:rPr>
        <w:t>C.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6.5</w:t>
      </w:r>
      <w:r w:rsidRPr="007F1052">
        <w:rPr>
          <w:b/>
          <w:spacing w:val="-3"/>
          <w:sz w:val="24"/>
          <w:szCs w:val="24"/>
        </w:rPr>
        <w:tab/>
        <w:t>Emballagetype og pakningsstørrelser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Blister</w:t>
      </w:r>
      <w:r w:rsidR="000C4B2E" w:rsidRPr="007F1052">
        <w:rPr>
          <w:spacing w:val="-3"/>
          <w:sz w:val="24"/>
          <w:szCs w:val="24"/>
        </w:rPr>
        <w:t>.</w:t>
      </w:r>
      <w:r w:rsidRPr="007F1052">
        <w:rPr>
          <w:spacing w:val="-3"/>
          <w:sz w:val="24"/>
          <w:szCs w:val="24"/>
        </w:rPr>
        <w:t xml:space="preserve"> 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6.6</w:t>
      </w:r>
      <w:r w:rsidRPr="007F1052">
        <w:rPr>
          <w:b/>
          <w:spacing w:val="-3"/>
          <w:sz w:val="24"/>
          <w:szCs w:val="24"/>
        </w:rPr>
        <w:tab/>
        <w:t>Regler for bortskaffelse og anden håndtering</w:t>
      </w:r>
    </w:p>
    <w:p w:rsidR="005D0A64" w:rsidRPr="007F1052" w:rsidRDefault="005D0A64" w:rsidP="005D0A64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Pr="007F1052">
        <w:rPr>
          <w:spacing w:val="-3"/>
          <w:sz w:val="24"/>
          <w:szCs w:val="24"/>
        </w:rPr>
        <w:t>Ingen særlige forholdsregler.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7.</w:t>
      </w:r>
      <w:r w:rsidRPr="007F1052">
        <w:rPr>
          <w:b/>
          <w:spacing w:val="-3"/>
          <w:sz w:val="24"/>
          <w:szCs w:val="24"/>
        </w:rPr>
        <w:tab/>
        <w:t>INDEHAVER AF MARKEDSFØRINGSTILLADELSEN</w:t>
      </w:r>
    </w:p>
    <w:p w:rsidR="005D0A64" w:rsidRPr="007F1052" w:rsidRDefault="005D0A64" w:rsidP="000C4B2E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="000C4B2E" w:rsidRPr="007F1052">
        <w:rPr>
          <w:spacing w:val="-3"/>
          <w:sz w:val="24"/>
          <w:szCs w:val="24"/>
        </w:rPr>
        <w:t>2care4 ApS</w:t>
      </w:r>
    </w:p>
    <w:p w:rsidR="000C4B2E" w:rsidRPr="007F1052" w:rsidRDefault="000C4B2E" w:rsidP="000C4B2E">
      <w:pPr>
        <w:ind w:left="851" w:hanging="851"/>
        <w:rPr>
          <w:sz w:val="24"/>
          <w:szCs w:val="24"/>
        </w:rPr>
      </w:pPr>
      <w:r w:rsidRPr="007F1052">
        <w:rPr>
          <w:sz w:val="24"/>
          <w:szCs w:val="24"/>
        </w:rPr>
        <w:tab/>
        <w:t>Stenhuggervej 12</w:t>
      </w:r>
    </w:p>
    <w:p w:rsidR="000C4B2E" w:rsidRPr="007F1052" w:rsidRDefault="000C4B2E" w:rsidP="000C4B2E">
      <w:pPr>
        <w:ind w:left="851" w:hanging="851"/>
        <w:rPr>
          <w:sz w:val="24"/>
          <w:szCs w:val="24"/>
        </w:rPr>
      </w:pPr>
      <w:r w:rsidRPr="007F1052">
        <w:rPr>
          <w:sz w:val="24"/>
          <w:szCs w:val="24"/>
        </w:rPr>
        <w:tab/>
        <w:t>6710 Esbjerg</w:t>
      </w: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>8.</w:t>
      </w:r>
      <w:r w:rsidRPr="007F1052">
        <w:rPr>
          <w:b/>
          <w:spacing w:val="-3"/>
          <w:sz w:val="24"/>
          <w:szCs w:val="24"/>
        </w:rPr>
        <w:tab/>
        <w:t>MARKEDSFØRINGSTILLADELSESNUMMER (</w:t>
      </w:r>
      <w:r w:rsidR="00F90E79">
        <w:rPr>
          <w:b/>
          <w:spacing w:val="-3"/>
          <w:sz w:val="24"/>
          <w:szCs w:val="24"/>
        </w:rPr>
        <w:t>-</w:t>
      </w:r>
      <w:r w:rsidRPr="007F1052">
        <w:rPr>
          <w:b/>
          <w:spacing w:val="-3"/>
          <w:sz w:val="24"/>
          <w:szCs w:val="24"/>
        </w:rPr>
        <w:t>NUMRE)</w:t>
      </w:r>
    </w:p>
    <w:p w:rsidR="005D0A64" w:rsidRPr="007F1052" w:rsidRDefault="005D0A64" w:rsidP="000C4B2E">
      <w:pPr>
        <w:ind w:left="851" w:hanging="851"/>
        <w:rPr>
          <w:spacing w:val="-3"/>
          <w:sz w:val="24"/>
          <w:szCs w:val="24"/>
        </w:rPr>
      </w:pPr>
      <w:r w:rsidRPr="007F1052">
        <w:rPr>
          <w:b/>
          <w:spacing w:val="-3"/>
          <w:sz w:val="24"/>
          <w:szCs w:val="24"/>
        </w:rPr>
        <w:tab/>
      </w:r>
      <w:r w:rsidR="000C4B2E" w:rsidRPr="007F1052">
        <w:rPr>
          <w:spacing w:val="-3"/>
          <w:sz w:val="24"/>
          <w:szCs w:val="24"/>
        </w:rPr>
        <w:t>64098</w:t>
      </w:r>
    </w:p>
    <w:p w:rsidR="000C4B2E" w:rsidRPr="007F1052" w:rsidRDefault="000C4B2E" w:rsidP="000C4B2E">
      <w:pPr>
        <w:ind w:left="851" w:hanging="851"/>
        <w:rPr>
          <w:b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9.</w:t>
      </w:r>
      <w:r w:rsidRPr="007F1052">
        <w:rPr>
          <w:b/>
          <w:sz w:val="24"/>
          <w:szCs w:val="24"/>
        </w:rPr>
        <w:tab/>
        <w:t>DATO FOR FØRSTE MARKEDSFØRINGSTILLADELSE</w:t>
      </w:r>
    </w:p>
    <w:p w:rsidR="005D0A64" w:rsidRPr="007F1052" w:rsidRDefault="005D0A64" w:rsidP="005D0A64">
      <w:pPr>
        <w:ind w:left="851" w:hanging="851"/>
        <w:rPr>
          <w:sz w:val="24"/>
          <w:szCs w:val="24"/>
        </w:rPr>
      </w:pPr>
      <w:r w:rsidRPr="007F1052">
        <w:rPr>
          <w:b/>
          <w:sz w:val="24"/>
          <w:szCs w:val="24"/>
        </w:rPr>
        <w:tab/>
      </w:r>
      <w:r w:rsidR="000C4B2E" w:rsidRPr="007F1052">
        <w:rPr>
          <w:sz w:val="24"/>
          <w:szCs w:val="24"/>
        </w:rPr>
        <w:t>12. marts 2020</w:t>
      </w:r>
    </w:p>
    <w:p w:rsidR="005D0A64" w:rsidRPr="007F1052" w:rsidRDefault="005D0A64" w:rsidP="005D0A64">
      <w:pPr>
        <w:ind w:left="851" w:hanging="851"/>
        <w:rPr>
          <w:b/>
          <w:sz w:val="24"/>
          <w:szCs w:val="24"/>
        </w:rPr>
      </w:pPr>
    </w:p>
    <w:p w:rsidR="005D0A64" w:rsidRPr="007F1052" w:rsidRDefault="005D0A64" w:rsidP="005D0A64">
      <w:pPr>
        <w:ind w:left="851" w:hanging="851"/>
        <w:rPr>
          <w:b/>
          <w:sz w:val="24"/>
          <w:szCs w:val="24"/>
        </w:rPr>
      </w:pPr>
      <w:r w:rsidRPr="007F1052">
        <w:rPr>
          <w:b/>
          <w:sz w:val="24"/>
          <w:szCs w:val="24"/>
        </w:rPr>
        <w:t>10.</w:t>
      </w:r>
      <w:r w:rsidRPr="007F1052">
        <w:rPr>
          <w:b/>
          <w:sz w:val="24"/>
          <w:szCs w:val="24"/>
        </w:rPr>
        <w:tab/>
        <w:t>DATO FOR ÆNDRING AF TEKSTEN</w:t>
      </w:r>
    </w:p>
    <w:p w:rsidR="009260DE" w:rsidRPr="007F1052" w:rsidRDefault="005D0A64" w:rsidP="00B40E28">
      <w:pPr>
        <w:ind w:left="851" w:hanging="851"/>
        <w:rPr>
          <w:sz w:val="24"/>
          <w:szCs w:val="24"/>
        </w:rPr>
      </w:pPr>
      <w:r w:rsidRPr="007F1052">
        <w:rPr>
          <w:b/>
          <w:sz w:val="24"/>
          <w:szCs w:val="24"/>
        </w:rPr>
        <w:tab/>
      </w:r>
      <w:r w:rsidR="00DC7E76">
        <w:rPr>
          <w:sz w:val="24"/>
          <w:szCs w:val="24"/>
        </w:rPr>
        <w:t>18. december</w:t>
      </w:r>
      <w:r w:rsidR="004F0D89" w:rsidRPr="004F0D89">
        <w:rPr>
          <w:sz w:val="24"/>
          <w:szCs w:val="24"/>
        </w:rPr>
        <w:t xml:space="preserve"> 2023</w:t>
      </w:r>
    </w:p>
    <w:sectPr w:rsidR="009260DE" w:rsidRPr="007F1052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64" w:rsidRDefault="005D0A64">
      <w:r>
        <w:separator/>
      </w:r>
    </w:p>
  </w:endnote>
  <w:endnote w:type="continuationSeparator" w:id="0">
    <w:p w:rsidR="005D0A64" w:rsidRDefault="005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72BB4">
      <w:rPr>
        <w:i/>
        <w:noProof/>
        <w:sz w:val="18"/>
        <w:szCs w:val="18"/>
      </w:rPr>
      <w:t>Azithromycin 2care4 (2care4), filmovertrukne tabletter 250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64" w:rsidRDefault="005D0A64">
      <w:r>
        <w:separator/>
      </w:r>
    </w:p>
  </w:footnote>
  <w:footnote w:type="continuationSeparator" w:id="0">
    <w:p w:rsidR="005D0A64" w:rsidRDefault="005D0A64">
      <w:r>
        <w:continuationSeparator/>
      </w:r>
    </w:p>
  </w:footnote>
  <w:footnote w:id="1">
    <w:p w:rsidR="005D0A64" w:rsidRDefault="005D0A64" w:rsidP="005D0A64">
      <w:pPr>
        <w:pStyle w:val="Fodnotetekst"/>
      </w:pPr>
      <w:r>
        <w:rPr>
          <w:rStyle w:val="Fodnotehenvisning"/>
        </w:rPr>
        <w:footnoteRef/>
      </w:r>
      <w:r>
        <w:t xml:space="preserve"> Frekvensen af døvhed/nedsat hørelse afhænger af dosis og behandlingsperiode. Frekvensen af døvhed/nedsat hørelse ved behandlingsregimer på 1-5 dage er </w:t>
      </w:r>
      <w:r w:rsidR="00A17AD4">
        <w:t>"</w:t>
      </w:r>
      <w:r>
        <w:t>sjælden</w:t>
      </w:r>
      <w:r w:rsidR="00A17AD4">
        <w:t>"</w:t>
      </w:r>
      <w:r>
        <w:t xml:space="preserve"> og </w:t>
      </w:r>
      <w:r w:rsidR="00A17AD4">
        <w:t>"</w:t>
      </w:r>
      <w:r>
        <w:t>ikke almindelig</w:t>
      </w:r>
      <w:r w:rsidR="00A17AD4">
        <w:t>"</w:t>
      </w:r>
      <w:r>
        <w:t xml:space="preserve"> når azithromycin anvendes til kronisk behandling ved profylakse mod opportunistiske infektioner i immunkompromitterede patienter.</w:t>
      </w:r>
    </w:p>
  </w:footnote>
  <w:footnote w:id="2">
    <w:p w:rsidR="005D0A64" w:rsidRDefault="005D0A64" w:rsidP="005D0A64">
      <w:pPr>
        <w:pStyle w:val="Fodnotetekst"/>
      </w:pPr>
      <w:r>
        <w:rPr>
          <w:rStyle w:val="Fodnotehenvisning"/>
        </w:rPr>
        <w:footnoteRef/>
      </w:r>
      <w:r>
        <w:t xml:space="preserve"> MedDRA-term for </w:t>
      </w:r>
      <w:r w:rsidR="00A17AD4">
        <w:t>"</w:t>
      </w:r>
      <w:r>
        <w:t>nedsat hørelse</w:t>
      </w:r>
      <w:r w:rsidR="00A17AD4">
        <w:t>"</w:t>
      </w:r>
      <w:r>
        <w:t xml:space="preserve"> omfatter hypoakusi, døvhed og unilateral døvhed.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328"/>
    <w:multiLevelType w:val="multilevel"/>
    <w:tmpl w:val="7982EE4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A82F9A"/>
    <w:multiLevelType w:val="hybridMultilevel"/>
    <w:tmpl w:val="E892D9F2"/>
    <w:lvl w:ilvl="0" w:tplc="5330F31A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Arial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Arial" w:hAnsi="Aria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Arial" w:hAnsi="Arial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Arial" w:hAnsi="Arial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Arial" w:hAnsi="Arial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Arial" w:hAnsi="Arial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64"/>
    <w:rsid w:val="000259B9"/>
    <w:rsid w:val="00041491"/>
    <w:rsid w:val="00050D16"/>
    <w:rsid w:val="00063DA6"/>
    <w:rsid w:val="00072BB4"/>
    <w:rsid w:val="00074F2A"/>
    <w:rsid w:val="000949EA"/>
    <w:rsid w:val="000A1CA8"/>
    <w:rsid w:val="000A466B"/>
    <w:rsid w:val="000B058C"/>
    <w:rsid w:val="000B445F"/>
    <w:rsid w:val="000C4B2E"/>
    <w:rsid w:val="000C5C40"/>
    <w:rsid w:val="000E4EE6"/>
    <w:rsid w:val="001454E2"/>
    <w:rsid w:val="00164478"/>
    <w:rsid w:val="001C2AEC"/>
    <w:rsid w:val="00206CE8"/>
    <w:rsid w:val="0021526C"/>
    <w:rsid w:val="00267E87"/>
    <w:rsid w:val="00283A2B"/>
    <w:rsid w:val="00293411"/>
    <w:rsid w:val="002A2318"/>
    <w:rsid w:val="002B30AD"/>
    <w:rsid w:val="002C2C01"/>
    <w:rsid w:val="0031704F"/>
    <w:rsid w:val="003A29AE"/>
    <w:rsid w:val="003A32D7"/>
    <w:rsid w:val="003B26BE"/>
    <w:rsid w:val="003B4074"/>
    <w:rsid w:val="003C769A"/>
    <w:rsid w:val="003F1838"/>
    <w:rsid w:val="003F57C2"/>
    <w:rsid w:val="0045746C"/>
    <w:rsid w:val="0049104B"/>
    <w:rsid w:val="004E3B12"/>
    <w:rsid w:val="004F0D89"/>
    <w:rsid w:val="00532310"/>
    <w:rsid w:val="00560ECC"/>
    <w:rsid w:val="00565F0F"/>
    <w:rsid w:val="005742C5"/>
    <w:rsid w:val="00594A86"/>
    <w:rsid w:val="00596D86"/>
    <w:rsid w:val="005D0A64"/>
    <w:rsid w:val="00637F5A"/>
    <w:rsid w:val="006560B1"/>
    <w:rsid w:val="006756DD"/>
    <w:rsid w:val="006A0493"/>
    <w:rsid w:val="00704ED5"/>
    <w:rsid w:val="00737275"/>
    <w:rsid w:val="00740D25"/>
    <w:rsid w:val="00740EEC"/>
    <w:rsid w:val="00764590"/>
    <w:rsid w:val="0078011A"/>
    <w:rsid w:val="00782AF4"/>
    <w:rsid w:val="00790EE7"/>
    <w:rsid w:val="007B6649"/>
    <w:rsid w:val="007D6EDD"/>
    <w:rsid w:val="007F1052"/>
    <w:rsid w:val="0081546F"/>
    <w:rsid w:val="00823AA6"/>
    <w:rsid w:val="0082576E"/>
    <w:rsid w:val="008767B8"/>
    <w:rsid w:val="00907F75"/>
    <w:rsid w:val="009260DE"/>
    <w:rsid w:val="0093258A"/>
    <w:rsid w:val="009C7BA3"/>
    <w:rsid w:val="009D1F5A"/>
    <w:rsid w:val="009E2C77"/>
    <w:rsid w:val="00A17AD4"/>
    <w:rsid w:val="00A634B5"/>
    <w:rsid w:val="00A8581D"/>
    <w:rsid w:val="00AC45D5"/>
    <w:rsid w:val="00B003BF"/>
    <w:rsid w:val="00B21E50"/>
    <w:rsid w:val="00B373D7"/>
    <w:rsid w:val="00B40E28"/>
    <w:rsid w:val="00BA7714"/>
    <w:rsid w:val="00C36276"/>
    <w:rsid w:val="00C42586"/>
    <w:rsid w:val="00C60CCD"/>
    <w:rsid w:val="00C84483"/>
    <w:rsid w:val="00C86630"/>
    <w:rsid w:val="00C95551"/>
    <w:rsid w:val="00CB20D7"/>
    <w:rsid w:val="00CF2420"/>
    <w:rsid w:val="00D020B0"/>
    <w:rsid w:val="00D044CB"/>
    <w:rsid w:val="00D11748"/>
    <w:rsid w:val="00D14187"/>
    <w:rsid w:val="00D366CF"/>
    <w:rsid w:val="00D90C95"/>
    <w:rsid w:val="00DC7E76"/>
    <w:rsid w:val="00E108AA"/>
    <w:rsid w:val="00E24FC9"/>
    <w:rsid w:val="00E307CC"/>
    <w:rsid w:val="00E31812"/>
    <w:rsid w:val="00E3749A"/>
    <w:rsid w:val="00E461E3"/>
    <w:rsid w:val="00E7437F"/>
    <w:rsid w:val="00E865B8"/>
    <w:rsid w:val="00EC0B9B"/>
    <w:rsid w:val="00ED5E9F"/>
    <w:rsid w:val="00F05A64"/>
    <w:rsid w:val="00F66D4F"/>
    <w:rsid w:val="00F90E79"/>
    <w:rsid w:val="00FB0105"/>
    <w:rsid w:val="00FB6D01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4401E"/>
  <w15:chartTrackingRefBased/>
  <w15:docId w15:val="{4DDB5FB6-919C-4493-97B8-AEA4CB4A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rsid w:val="005D0A64"/>
    <w:pPr>
      <w:ind w:left="720"/>
      <w:jc w:val="both"/>
    </w:pPr>
    <w:rPr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5D0A64"/>
    <w:rPr>
      <w:sz w:val="24"/>
    </w:rPr>
  </w:style>
  <w:style w:type="paragraph" w:styleId="Brdtekstindrykning2">
    <w:name w:val="Body Text Indent 2"/>
    <w:basedOn w:val="Normal"/>
    <w:link w:val="Brdtekstindrykning2Tegn"/>
    <w:rsid w:val="005D0A64"/>
    <w:pPr>
      <w:ind w:left="705"/>
    </w:pPr>
    <w:rPr>
      <w:rFonts w:ascii="Arial" w:hAnsi="Arial"/>
      <w:sz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5D0A64"/>
    <w:rPr>
      <w:rFonts w:ascii="Arial" w:hAnsi="Arial"/>
      <w:sz w:val="24"/>
    </w:rPr>
  </w:style>
  <w:style w:type="character" w:customStyle="1" w:styleId="a">
    <w:name w:val="_"/>
    <w:basedOn w:val="Standardskrifttypeiafsnit"/>
    <w:rsid w:val="005D0A64"/>
  </w:style>
  <w:style w:type="character" w:styleId="Fremhv">
    <w:name w:val="Emphasis"/>
    <w:qFormat/>
    <w:rsid w:val="005D0A64"/>
    <w:rPr>
      <w:i/>
      <w:i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D0A64"/>
    <w:rPr>
      <w:sz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D0A64"/>
  </w:style>
  <w:style w:type="character" w:styleId="Fodnotehenvisning">
    <w:name w:val="footnote reference"/>
    <w:uiPriority w:val="99"/>
    <w:semiHidden/>
    <w:unhideWhenUsed/>
    <w:rsid w:val="005D0A64"/>
    <w:rPr>
      <w:vertAlign w:val="superscript"/>
    </w:rPr>
  </w:style>
  <w:style w:type="character" w:styleId="Hyperlink">
    <w:name w:val="Hyperlink"/>
    <w:uiPriority w:val="99"/>
    <w:unhideWhenUsed/>
    <w:rsid w:val="005D0A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A64"/>
    <w:pPr>
      <w:spacing w:before="100" w:beforeAutospacing="1" w:after="100" w:afterAutospacing="1"/>
    </w:pPr>
    <w:rPr>
      <w:rFonts w:eastAsia="Calibri"/>
      <w:sz w:val="24"/>
      <w:szCs w:val="24"/>
      <w:lang w:eastAsia="da-DK"/>
    </w:rPr>
  </w:style>
  <w:style w:type="character" w:styleId="Strk">
    <w:name w:val="Strong"/>
    <w:uiPriority w:val="22"/>
    <w:qFormat/>
    <w:rsid w:val="005D0A64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C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4091</Words>
  <Characters>27621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Becker</dc:creator>
  <cp:keywords/>
  <dc:description>2023123815_x000d_
PI-SPC pkt. 4.2, 4.4, 4.5, 5.2</dc:description>
  <cp:lastModifiedBy>Victoria Becker</cp:lastModifiedBy>
  <cp:revision>3</cp:revision>
  <cp:lastPrinted>2020-03-12T19:57:00Z</cp:lastPrinted>
  <dcterms:created xsi:type="dcterms:W3CDTF">2024-01-10T11:46:00Z</dcterms:created>
  <dcterms:modified xsi:type="dcterms:W3CDTF">2024-01-10T11:51:00Z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Kommentar_1">
    <vt:lpwstr>2020022498 - Nyt PI-SPC [Camilla Sværke Hansen : 30-03-2020 13:45:00]</vt:lpwstr>
  </property>
  <property fmtid="{D5CDD505-2E9C-101B-9397-08002B2CF9AE}" pid="4" name="Kommentar_2">
    <vt:lpwstr>2020034282, ændring af udleveringsbestemmelse fra B til BEGR [Gitte Jørgensen : 30-03-2020 13:46]</vt:lpwstr>
  </property>
  <property fmtid="{D5CDD505-2E9C-101B-9397-08002B2CF9AE}" pid="5" name="ConvertedFromMacroDocument">
    <vt:lpwstr>True</vt:lpwstr>
  </property>
</Properties>
</file>