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A1" w:rsidRPr="0051095B" w:rsidRDefault="000220A1" w:rsidP="000220A1">
      <w:r w:rsidRPr="0051095B">
        <w:rPr>
          <w:noProof/>
          <w:lang w:eastAsia="da-DK"/>
        </w:rPr>
        <w:drawing>
          <wp:inline distT="0" distB="0" distL="0" distR="0" wp14:anchorId="479AF2A5" wp14:editId="1E5B8700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0A1" w:rsidRPr="0051095B" w:rsidRDefault="000220A1" w:rsidP="000220A1">
      <w:pPr>
        <w:pStyle w:val="Titel"/>
        <w:jc w:val="left"/>
        <w:rPr>
          <w:b w:val="0"/>
        </w:rPr>
      </w:pPr>
    </w:p>
    <w:p w:rsidR="000220A1" w:rsidRPr="0051095B" w:rsidRDefault="0072625F" w:rsidP="000220A1">
      <w:pPr>
        <w:pStyle w:val="Titel"/>
        <w:jc w:val="right"/>
      </w:pPr>
      <w:r>
        <w:t>9. januar</w:t>
      </w:r>
      <w:r w:rsidR="00687EF2">
        <w:t xml:space="preserve"> 202</w:t>
      </w:r>
      <w:r>
        <w:t>4</w:t>
      </w:r>
    </w:p>
    <w:p w:rsidR="00C46902" w:rsidRPr="0051095B" w:rsidRDefault="00C46902" w:rsidP="000220A1">
      <w:pPr>
        <w:pStyle w:val="Titel"/>
        <w:jc w:val="left"/>
        <w:rPr>
          <w:b w:val="0"/>
        </w:rPr>
      </w:pPr>
    </w:p>
    <w:p w:rsidR="00687EF2" w:rsidRPr="0051095B" w:rsidRDefault="00687EF2" w:rsidP="000220A1">
      <w:pPr>
        <w:pStyle w:val="Titel"/>
        <w:jc w:val="left"/>
        <w:rPr>
          <w:b w:val="0"/>
        </w:rPr>
      </w:pPr>
    </w:p>
    <w:p w:rsidR="000220A1" w:rsidRPr="0051095B" w:rsidRDefault="000220A1" w:rsidP="000220A1">
      <w:pPr>
        <w:jc w:val="center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PRODUKTRESUMÉ</w:t>
      </w:r>
      <w:bookmarkStart w:id="0" w:name="_GoBack"/>
      <w:bookmarkEnd w:id="0"/>
    </w:p>
    <w:p w:rsidR="000220A1" w:rsidRPr="0051095B" w:rsidRDefault="000220A1" w:rsidP="000220A1">
      <w:pPr>
        <w:jc w:val="center"/>
        <w:rPr>
          <w:b/>
          <w:sz w:val="24"/>
          <w:szCs w:val="24"/>
        </w:rPr>
      </w:pPr>
    </w:p>
    <w:p w:rsidR="000220A1" w:rsidRPr="0051095B" w:rsidRDefault="000220A1" w:rsidP="000220A1">
      <w:pPr>
        <w:jc w:val="center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for</w:t>
      </w:r>
    </w:p>
    <w:p w:rsidR="000220A1" w:rsidRPr="0051095B" w:rsidRDefault="000220A1" w:rsidP="000220A1">
      <w:pPr>
        <w:jc w:val="center"/>
        <w:rPr>
          <w:b/>
          <w:sz w:val="24"/>
          <w:szCs w:val="24"/>
        </w:rPr>
      </w:pPr>
    </w:p>
    <w:p w:rsidR="000220A1" w:rsidRPr="0051095B" w:rsidRDefault="000220A1" w:rsidP="000220A1">
      <w:pPr>
        <w:jc w:val="center"/>
        <w:rPr>
          <w:b/>
          <w:sz w:val="24"/>
          <w:szCs w:val="24"/>
        </w:rPr>
      </w:pPr>
      <w:proofErr w:type="spellStart"/>
      <w:r w:rsidRPr="0051095B">
        <w:rPr>
          <w:b/>
          <w:sz w:val="24"/>
          <w:szCs w:val="24"/>
        </w:rPr>
        <w:t>Aztarol</w:t>
      </w:r>
      <w:proofErr w:type="spellEnd"/>
      <w:r w:rsidRPr="0051095B">
        <w:rPr>
          <w:b/>
          <w:sz w:val="24"/>
          <w:szCs w:val="24"/>
        </w:rPr>
        <w:t>, depottabletter</w:t>
      </w:r>
    </w:p>
    <w:p w:rsidR="000220A1" w:rsidRPr="0051095B" w:rsidRDefault="000220A1" w:rsidP="000220A1">
      <w:pPr>
        <w:jc w:val="both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jc w:val="both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27616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1.</w:t>
      </w:r>
      <w:r w:rsidRPr="0051095B">
        <w:rPr>
          <w:b/>
          <w:sz w:val="24"/>
          <w:szCs w:val="24"/>
        </w:rPr>
        <w:tab/>
        <w:t>LÆGEMIDLETS NAVN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</w:r>
      <w:proofErr w:type="spellStart"/>
      <w:r w:rsidRPr="0051095B">
        <w:rPr>
          <w:sz w:val="24"/>
          <w:szCs w:val="24"/>
        </w:rPr>
        <w:t>Aztarol</w:t>
      </w:r>
      <w:proofErr w:type="spellEnd"/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</w: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2.</w:t>
      </w:r>
      <w:r w:rsidRPr="0051095B">
        <w:rPr>
          <w:b/>
          <w:sz w:val="24"/>
          <w:szCs w:val="24"/>
        </w:rPr>
        <w:tab/>
        <w:t>KVALITATIV OG KVANTITATIV SAMMENSÆTNING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Hver depottablet indeholder 2 mg ropinirol (som hydrochlorid).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Hver depottablet indeholder 4 mg ropinirol (som hydrochlorid).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Hver depottablet indeholder 8 mg ropinirol (som hydrochlorid).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  <w:u w:val="single"/>
        </w:rPr>
      </w:pPr>
      <w:r w:rsidRPr="0051095B">
        <w:rPr>
          <w:noProof/>
          <w:sz w:val="24"/>
          <w:szCs w:val="24"/>
          <w:u w:val="single"/>
        </w:rPr>
        <w:t>Hjælpestof, som behandleren skal være opmærksom på: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Hver 2 mg depottablet indeholder 64,97 mg lactosemonohydrat.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Hver 4 mg depottablet indeholder 59,12 mg lactosemonohydrat.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Hver 8 mg depottablet indeholder 55,88 mg lactosemonohydrat.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</w:p>
    <w:p w:rsidR="000220A1" w:rsidRPr="0051095B" w:rsidRDefault="000220A1" w:rsidP="000220A1">
      <w:pPr>
        <w:tabs>
          <w:tab w:val="left" w:pos="-720"/>
        </w:tabs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Alle hjælpestoffer er anført under pkt. 6.1.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3.</w:t>
      </w:r>
      <w:r w:rsidRPr="0051095B">
        <w:rPr>
          <w:b/>
          <w:sz w:val="24"/>
          <w:szCs w:val="24"/>
        </w:rPr>
        <w:tab/>
        <w:t>LÆGEMIDDELFORM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Depottabletter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  <w:u w:val="single"/>
        </w:rPr>
      </w:pPr>
      <w:r w:rsidRPr="0051095B">
        <w:rPr>
          <w:noProof/>
          <w:sz w:val="24"/>
          <w:szCs w:val="24"/>
          <w:u w:val="single"/>
        </w:rPr>
        <w:t xml:space="preserve">Aztarol 2 mg depottabletter: 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Pink, marmoreret, oval tablet, 16,0×8,20 mm, mærket med 2x på den ene side.</w:t>
      </w:r>
    </w:p>
    <w:p w:rsidR="000220A1" w:rsidRPr="0051095B" w:rsidRDefault="000220A1" w:rsidP="0072625F">
      <w:pPr>
        <w:suppressAutoHyphens/>
        <w:rPr>
          <w:noProof/>
          <w:sz w:val="24"/>
          <w:szCs w:val="24"/>
        </w:rPr>
      </w:pP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  <w:u w:val="single"/>
        </w:rPr>
      </w:pPr>
      <w:r w:rsidRPr="0051095B">
        <w:rPr>
          <w:noProof/>
          <w:sz w:val="24"/>
          <w:szCs w:val="24"/>
          <w:u w:val="single"/>
        </w:rPr>
        <w:t xml:space="preserve">Aztarol 4 mg depottabletter: 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Brun, marmoreret, oval tablet, 16,0×8,20 mm, mærket med 4x på den ene side.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  <w:u w:val="single"/>
        </w:rPr>
      </w:pPr>
      <w:r w:rsidRPr="0051095B">
        <w:rPr>
          <w:noProof/>
          <w:sz w:val="24"/>
          <w:szCs w:val="24"/>
          <w:u w:val="single"/>
        </w:rPr>
        <w:t xml:space="preserve">Aztarol 8 mg depottabletter: 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Mørk pink, marmoreret, oval tablet, 16,0×8,20 mm, mærket med 8x på den ene side.</w:t>
      </w:r>
    </w:p>
    <w:p w:rsidR="000220A1" w:rsidRPr="0051095B" w:rsidRDefault="000220A1" w:rsidP="000220A1">
      <w:pPr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</w:t>
      </w:r>
      <w:r w:rsidRPr="0051095B">
        <w:rPr>
          <w:b/>
          <w:sz w:val="24"/>
          <w:szCs w:val="24"/>
        </w:rPr>
        <w:tab/>
        <w:t>KLINISKE OPLYSNINGER</w:t>
      </w: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  <w:u w:val="single"/>
        </w:rPr>
      </w:pPr>
      <w:r w:rsidRPr="0051095B">
        <w:rPr>
          <w:b/>
          <w:sz w:val="24"/>
          <w:szCs w:val="24"/>
        </w:rPr>
        <w:t>4.1</w:t>
      </w:r>
      <w:r w:rsidRPr="0051095B">
        <w:rPr>
          <w:b/>
          <w:sz w:val="24"/>
          <w:szCs w:val="24"/>
        </w:rPr>
        <w:tab/>
        <w:t>Terapeutiske indikationer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Behandling af Parkinsons sygdom under de følgende omstændigheder:</w:t>
      </w:r>
    </w:p>
    <w:p w:rsidR="000220A1" w:rsidRPr="0051095B" w:rsidRDefault="000220A1" w:rsidP="000220A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1095B">
        <w:rPr>
          <w:sz w:val="24"/>
          <w:szCs w:val="24"/>
        </w:rPr>
        <w:t xml:space="preserve">Initialbehandling som monoterapi for at udsætte introduktionen af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1095B">
        <w:rPr>
          <w:sz w:val="24"/>
          <w:szCs w:val="24"/>
        </w:rPr>
        <w:lastRenderedPageBreak/>
        <w:t xml:space="preserve">I kombination med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 under sygdomsforløbet, når virkningen af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 aftager eller bliver inkonsistent, og der forekommer fluktuationer i den terapeutiske virkning ("end of </w:t>
      </w:r>
      <w:proofErr w:type="spellStart"/>
      <w:r w:rsidRPr="0051095B">
        <w:rPr>
          <w:sz w:val="24"/>
          <w:szCs w:val="24"/>
        </w:rPr>
        <w:t>dose</w:t>
      </w:r>
      <w:proofErr w:type="spellEnd"/>
      <w:r w:rsidRPr="0051095B">
        <w:rPr>
          <w:sz w:val="24"/>
          <w:szCs w:val="24"/>
        </w:rPr>
        <w:t>" eller "on</w:t>
      </w:r>
      <w:r w:rsidRPr="0051095B">
        <w:rPr>
          <w:sz w:val="24"/>
          <w:szCs w:val="24"/>
        </w:rPr>
        <w:noBreakHyphen/>
      </w:r>
      <w:proofErr w:type="spellStart"/>
      <w:r w:rsidRPr="0051095B">
        <w:rPr>
          <w:sz w:val="24"/>
          <w:szCs w:val="24"/>
        </w:rPr>
        <w:t>off</w:t>
      </w:r>
      <w:proofErr w:type="spellEnd"/>
      <w:r w:rsidRPr="0051095B">
        <w:rPr>
          <w:sz w:val="24"/>
          <w:szCs w:val="24"/>
        </w:rPr>
        <w:t>"-type fluktuationer).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</w:r>
    </w:p>
    <w:p w:rsidR="000220A1" w:rsidRPr="00DB78ED" w:rsidRDefault="000220A1" w:rsidP="000220A1">
      <w:pPr>
        <w:ind w:left="851"/>
        <w:rPr>
          <w:sz w:val="24"/>
          <w:szCs w:val="24"/>
          <w:u w:val="single"/>
        </w:rPr>
      </w:pPr>
      <w:r w:rsidRPr="00DB78ED">
        <w:rPr>
          <w:sz w:val="24"/>
          <w:szCs w:val="24"/>
          <w:u w:val="single"/>
        </w:rPr>
        <w:t>Dosering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DB78ED" w:rsidRDefault="000220A1" w:rsidP="000220A1">
      <w:pPr>
        <w:ind w:left="851"/>
        <w:rPr>
          <w:i/>
          <w:sz w:val="24"/>
          <w:szCs w:val="24"/>
        </w:rPr>
      </w:pPr>
      <w:r w:rsidRPr="00DB78ED">
        <w:rPr>
          <w:i/>
          <w:sz w:val="24"/>
          <w:szCs w:val="24"/>
        </w:rPr>
        <w:t>Voksne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Individuel dosistitrering anbefales i henhold til effekt og tolerance.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depottabletter skal tages en gang daglig, på samme tidspunkt hver dag.</w:t>
      </w:r>
    </w:p>
    <w:p w:rsidR="00DB78ED" w:rsidRPr="0051095B" w:rsidRDefault="00DB78ED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  <w:r w:rsidRPr="0051095B">
        <w:rPr>
          <w:i/>
          <w:sz w:val="24"/>
          <w:szCs w:val="24"/>
        </w:rPr>
        <w:t>Initial titrering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Startdosis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er 2 mg en gang daglig i den første uge, derefter øges dosis til 4 mg en gang daglig fra den anden behandlingsuge. Terapeutisk respons kan ses ved en dosis på 4 mg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en gang daglig.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Patienter, som starter behandlingen med en dosis på 2 mg/dag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depottabletter, og som oplever bivirkninger, som de ikke kan affinde sig med, kan have fordel af at skifte til behandling med konventionelle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filmovertrukne tabletter i en lavere daglig dosis, delt i 3 lige store doser.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  <w:r w:rsidRPr="0051095B">
        <w:rPr>
          <w:i/>
          <w:sz w:val="24"/>
          <w:szCs w:val="24"/>
        </w:rPr>
        <w:t>Terapeutisk regime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Patientens vedligeholdelsesdosis bør forblive på den laveste 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depottabletter, hvor der opnås symptomatisk kontrol.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Hvis tilstrækkelig symptomatisk kontrol ikke opnås eller opretholdes ved en dosis på 4 mg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en gang daglig, kan den daglige dosis øges med 2 mg ugentligt eller med længere intervaller op til en dosis på 8 mg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en gang daglig.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Hvis tilstrækkelig symptomatisk kontrol stadig ikke opnås eller opretholdes ved en dosis på 8 mg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en gang daglig, kan den daglige dosis øges med 2-4 mg hver anden uge eller med længere intervaller. Maksimal daglig 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er 24 mg.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For at opnå den dosis, som er nødvendig, anbefales det at anvende det mindst mulige antal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ved at anvende den højst tilgængelige styrke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Hvis behandlingen afbrydes i en eller flere dage, bør det overvejes at re-initiere behandlingen ved dosistitrering (se ovenstående).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Når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administreres som tillægsbehandling til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, kan det være muligt at reducere </w:t>
      </w:r>
      <w:proofErr w:type="spellStart"/>
      <w:r w:rsidRPr="0051095B">
        <w:rPr>
          <w:sz w:val="24"/>
          <w:szCs w:val="24"/>
        </w:rPr>
        <w:t>levodopadosis</w:t>
      </w:r>
      <w:proofErr w:type="spellEnd"/>
      <w:r w:rsidRPr="0051095B">
        <w:rPr>
          <w:sz w:val="24"/>
          <w:szCs w:val="24"/>
        </w:rPr>
        <w:t xml:space="preserve"> gradvist, afhængigt af det kliniske respons. I kliniske undersøgelser blev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-dosis reduceret gradvist med ca. 30 % hos patienter, der fik tillægsbehandling med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depottabletter. Kombinationsbehandling med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 kan hos patienter med fremskreden Parkinsons sygdom, medføre </w:t>
      </w:r>
      <w:proofErr w:type="spellStart"/>
      <w:r w:rsidRPr="0051095B">
        <w:rPr>
          <w:sz w:val="24"/>
          <w:szCs w:val="24"/>
        </w:rPr>
        <w:t>dyskinesi</w:t>
      </w:r>
      <w:proofErr w:type="spellEnd"/>
      <w:r w:rsidRPr="0051095B">
        <w:rPr>
          <w:sz w:val="24"/>
          <w:szCs w:val="24"/>
        </w:rPr>
        <w:t xml:space="preserve"> under den initiale titrering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depottabletter. I kliniske studier viste det sig, at en reduktion af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-dosis kan forbedre </w:t>
      </w:r>
      <w:proofErr w:type="spellStart"/>
      <w:r w:rsidRPr="0051095B">
        <w:rPr>
          <w:sz w:val="24"/>
          <w:szCs w:val="24"/>
        </w:rPr>
        <w:t>dyskinesi</w:t>
      </w:r>
      <w:proofErr w:type="spellEnd"/>
      <w:r w:rsidRPr="0051095B">
        <w:rPr>
          <w:sz w:val="24"/>
          <w:szCs w:val="24"/>
        </w:rPr>
        <w:t xml:space="preserve"> (se pkt. 4.8).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lastRenderedPageBreak/>
        <w:t xml:space="preserve">Ved overgang fra anden dopaminagonist til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skal indehaveren af markedsføringstilladelsens retningslin</w:t>
      </w:r>
      <w:r w:rsidR="00DB78ED">
        <w:rPr>
          <w:sz w:val="24"/>
          <w:szCs w:val="24"/>
        </w:rPr>
        <w:t>j</w:t>
      </w:r>
      <w:r w:rsidRPr="0051095B">
        <w:rPr>
          <w:sz w:val="24"/>
          <w:szCs w:val="24"/>
        </w:rPr>
        <w:t xml:space="preserve">er med hensyn til </w:t>
      </w:r>
      <w:proofErr w:type="spellStart"/>
      <w:r w:rsidRPr="0051095B">
        <w:rPr>
          <w:sz w:val="24"/>
          <w:szCs w:val="24"/>
        </w:rPr>
        <w:t>seponering</w:t>
      </w:r>
      <w:proofErr w:type="spellEnd"/>
      <w:r w:rsidRPr="0051095B">
        <w:rPr>
          <w:sz w:val="24"/>
          <w:szCs w:val="24"/>
        </w:rPr>
        <w:t xml:space="preserve"> følges, inden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initieres.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I lighed med andre dopaminagonister er det nødvendigt at seponere </w:t>
      </w:r>
      <w:proofErr w:type="spellStart"/>
      <w:r w:rsidRPr="0051095B">
        <w:rPr>
          <w:sz w:val="24"/>
          <w:szCs w:val="24"/>
        </w:rPr>
        <w:t>ropinirolbehandling</w:t>
      </w:r>
      <w:proofErr w:type="spellEnd"/>
      <w:r w:rsidRPr="0051095B">
        <w:rPr>
          <w:sz w:val="24"/>
          <w:szCs w:val="24"/>
        </w:rPr>
        <w:t xml:space="preserve"> gradvist ved at reducere den daglige dosis over en periode på en uge (se pkt. 4.4).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  <w:r w:rsidRPr="0051095B">
        <w:rPr>
          <w:i/>
          <w:sz w:val="24"/>
          <w:szCs w:val="24"/>
        </w:rPr>
        <w:t xml:space="preserve">Skift fra </w:t>
      </w:r>
      <w:proofErr w:type="spellStart"/>
      <w:r w:rsidRPr="0051095B">
        <w:rPr>
          <w:i/>
          <w:sz w:val="24"/>
          <w:szCs w:val="24"/>
        </w:rPr>
        <w:t>ropinirol</w:t>
      </w:r>
      <w:proofErr w:type="spellEnd"/>
      <w:r w:rsidRPr="0051095B">
        <w:rPr>
          <w:i/>
          <w:sz w:val="24"/>
          <w:szCs w:val="24"/>
        </w:rPr>
        <w:t xml:space="preserve"> filmovertrukne tabletter til </w:t>
      </w:r>
      <w:proofErr w:type="spellStart"/>
      <w:r w:rsidRPr="0051095B">
        <w:rPr>
          <w:i/>
          <w:sz w:val="24"/>
          <w:szCs w:val="24"/>
        </w:rPr>
        <w:t>Aztarol</w:t>
      </w:r>
      <w:proofErr w:type="spellEnd"/>
      <w:r w:rsidRPr="0051095B">
        <w:rPr>
          <w:i/>
          <w:sz w:val="24"/>
          <w:szCs w:val="24"/>
        </w:rPr>
        <w:t xml:space="preserve"> depottabletter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Patienter kan skifte fra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-filmovertrukne tabletter (konventionelle) til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depottabletter fra den ene dag til den anden. Dosis af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depottabletter baseres på den totale daglige 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filmovertrukne tabletter, patienten fik. Skemaet nedenfor viser den anbefalede dosis af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depottabletter for patienter, der skifter fra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filmovertrukne tabletter (konventionelle):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  <w:r w:rsidRPr="0051095B">
        <w:rPr>
          <w:i/>
          <w:sz w:val="24"/>
          <w:szCs w:val="24"/>
        </w:rPr>
        <w:t xml:space="preserve">Skift fra </w:t>
      </w:r>
      <w:proofErr w:type="spellStart"/>
      <w:r w:rsidRPr="0051095B">
        <w:rPr>
          <w:i/>
          <w:sz w:val="24"/>
          <w:szCs w:val="24"/>
        </w:rPr>
        <w:t>ropinirol</w:t>
      </w:r>
      <w:proofErr w:type="spellEnd"/>
      <w:r w:rsidRPr="0051095B">
        <w:rPr>
          <w:i/>
          <w:sz w:val="24"/>
          <w:szCs w:val="24"/>
        </w:rPr>
        <w:t xml:space="preserve"> filmovertrukne tabletter til </w:t>
      </w:r>
      <w:proofErr w:type="spellStart"/>
      <w:r w:rsidRPr="0051095B">
        <w:rPr>
          <w:i/>
          <w:sz w:val="24"/>
          <w:szCs w:val="24"/>
        </w:rPr>
        <w:t>Aztarol</w:t>
      </w:r>
      <w:proofErr w:type="spellEnd"/>
      <w:r w:rsidRPr="0051095B">
        <w:rPr>
          <w:i/>
          <w:sz w:val="24"/>
          <w:szCs w:val="24"/>
        </w:rPr>
        <w:t xml:space="preserve"> depottabletter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545"/>
      </w:tblGrid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proofErr w:type="spellStart"/>
            <w:r w:rsidRPr="0051095B">
              <w:rPr>
                <w:sz w:val="24"/>
                <w:szCs w:val="24"/>
              </w:rPr>
              <w:t>Ropinirol</w:t>
            </w:r>
            <w:proofErr w:type="spellEnd"/>
            <w:r w:rsidRPr="0051095B">
              <w:rPr>
                <w:sz w:val="24"/>
                <w:szCs w:val="24"/>
              </w:rPr>
              <w:t xml:space="preserve"> filmovertrukne tabletter</w:t>
            </w:r>
          </w:p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Total daglig dosis (mg)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proofErr w:type="spellStart"/>
            <w:r w:rsidRPr="0051095B">
              <w:rPr>
                <w:sz w:val="24"/>
                <w:szCs w:val="24"/>
              </w:rPr>
              <w:t>Aztarol</w:t>
            </w:r>
            <w:proofErr w:type="spellEnd"/>
            <w:r w:rsidRPr="0051095B">
              <w:rPr>
                <w:sz w:val="24"/>
                <w:szCs w:val="24"/>
              </w:rPr>
              <w:t xml:space="preserve"> depottabletter</w:t>
            </w:r>
          </w:p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Total daglig dosis (mg)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0,75-2,25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2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3-4,5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4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6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7,5-9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8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12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15-18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16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20</w:t>
            </w:r>
          </w:p>
        </w:tc>
      </w:tr>
      <w:tr w:rsidR="000220A1" w:rsidRPr="0051095B" w:rsidTr="003B4B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24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0A1" w:rsidRPr="0051095B" w:rsidRDefault="000220A1" w:rsidP="003B4BCE">
            <w:pPr>
              <w:rPr>
                <w:sz w:val="24"/>
                <w:szCs w:val="24"/>
              </w:rPr>
            </w:pPr>
            <w:r w:rsidRPr="0051095B">
              <w:rPr>
                <w:sz w:val="24"/>
                <w:szCs w:val="24"/>
              </w:rPr>
              <w:t>24</w:t>
            </w:r>
          </w:p>
        </w:tc>
      </w:tr>
    </w:tbl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Efter skift til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depottabletter kan dosis justeres afhængigt af terapeutisk respons (se "Initial titrering" og "Terapeutisk regime" ovenfor).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DB78ED" w:rsidRDefault="000220A1" w:rsidP="000220A1">
      <w:pPr>
        <w:ind w:left="851"/>
        <w:rPr>
          <w:i/>
          <w:sz w:val="24"/>
          <w:szCs w:val="24"/>
        </w:rPr>
      </w:pPr>
      <w:r w:rsidRPr="00DB78ED">
        <w:rPr>
          <w:i/>
          <w:sz w:val="24"/>
          <w:szCs w:val="24"/>
        </w:rPr>
        <w:t>Pædiatrisk population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Det frarådes at anvende </w:t>
      </w: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depottabletter til børn og unge under 18 år pga. manglende dokumentation for sikkerhed og virkning.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DB78ED" w:rsidRDefault="000220A1" w:rsidP="000220A1">
      <w:pPr>
        <w:ind w:left="851"/>
        <w:rPr>
          <w:i/>
          <w:sz w:val="24"/>
          <w:szCs w:val="24"/>
        </w:rPr>
      </w:pPr>
      <w:r w:rsidRPr="00DB78ED">
        <w:rPr>
          <w:i/>
          <w:sz w:val="24"/>
          <w:szCs w:val="24"/>
        </w:rPr>
        <w:t>Ældre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Clearance</w:t>
      </w:r>
      <w:proofErr w:type="spellEnd"/>
      <w:r w:rsidRPr="0051095B">
        <w:rPr>
          <w:sz w:val="24"/>
          <w:szCs w:val="24"/>
        </w:rPr>
        <w:t xml:space="preserve">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nedsat med ca. 15 % hos patienter i alderen 65 år og derover. Selvom dosisjustering ikke er påkrævet, bør 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titreres individuelt op til optimalt klinisk respons, med omhyggelig monitorering af </w:t>
      </w:r>
      <w:proofErr w:type="spellStart"/>
      <w:r w:rsidRPr="0051095B">
        <w:rPr>
          <w:sz w:val="24"/>
          <w:szCs w:val="24"/>
        </w:rPr>
        <w:t>tolerabilitet</w:t>
      </w:r>
      <w:proofErr w:type="spellEnd"/>
      <w:r w:rsidRPr="0051095B">
        <w:rPr>
          <w:sz w:val="24"/>
          <w:szCs w:val="24"/>
        </w:rPr>
        <w:t>. Hos patienter i alderen 75 år og derover kan langsommere titrering ved behandlingsstart overvejes.</w:t>
      </w:r>
    </w:p>
    <w:p w:rsidR="000220A1" w:rsidRPr="0051095B" w:rsidRDefault="000220A1" w:rsidP="000220A1">
      <w:pPr>
        <w:ind w:left="851" w:hanging="851"/>
        <w:rPr>
          <w:sz w:val="24"/>
          <w:szCs w:val="24"/>
          <w:u w:val="single"/>
        </w:rPr>
      </w:pPr>
    </w:p>
    <w:p w:rsidR="000220A1" w:rsidRPr="00DB78ED" w:rsidRDefault="000220A1" w:rsidP="000220A1">
      <w:pPr>
        <w:ind w:left="851"/>
        <w:rPr>
          <w:i/>
          <w:sz w:val="24"/>
          <w:szCs w:val="24"/>
        </w:rPr>
      </w:pPr>
      <w:r w:rsidRPr="00DB78ED">
        <w:rPr>
          <w:i/>
          <w:sz w:val="24"/>
          <w:szCs w:val="24"/>
        </w:rPr>
        <w:t>Nedsat nyrefunktion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Hos patienter med let til moderat nedsat nyrefunktion (</w:t>
      </w:r>
      <w:proofErr w:type="spellStart"/>
      <w:r w:rsidRPr="0051095B">
        <w:rPr>
          <w:sz w:val="24"/>
          <w:szCs w:val="24"/>
        </w:rPr>
        <w:t>kreatininclearance</w:t>
      </w:r>
      <w:proofErr w:type="spellEnd"/>
      <w:r w:rsidRPr="0051095B">
        <w:rPr>
          <w:sz w:val="24"/>
          <w:szCs w:val="24"/>
        </w:rPr>
        <w:t xml:space="preserve"> mellem 30 og 50 ml/min) blev der ikke observeret nogen forandring i </w:t>
      </w:r>
      <w:proofErr w:type="spellStart"/>
      <w:r w:rsidRPr="0051095B">
        <w:rPr>
          <w:sz w:val="24"/>
          <w:szCs w:val="24"/>
        </w:rPr>
        <w:t>ropinirolclearance</w:t>
      </w:r>
      <w:proofErr w:type="spellEnd"/>
      <w:r w:rsidRPr="0051095B">
        <w:rPr>
          <w:sz w:val="24"/>
          <w:szCs w:val="24"/>
        </w:rPr>
        <w:t>, hvilket indikerer, at dosisjustering ikke er nødvendig for denne population.</w:t>
      </w:r>
    </w:p>
    <w:p w:rsidR="000220A1" w:rsidRDefault="000220A1" w:rsidP="000220A1">
      <w:pPr>
        <w:ind w:left="851" w:hanging="851"/>
        <w:rPr>
          <w:sz w:val="24"/>
          <w:szCs w:val="24"/>
        </w:rPr>
      </w:pPr>
    </w:p>
    <w:p w:rsidR="00DB78ED" w:rsidRPr="0051095B" w:rsidRDefault="00DB78ED" w:rsidP="00532CB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Anvendelse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hos patienter med svær nedsat nyrefunktion (</w:t>
      </w:r>
      <w:proofErr w:type="spellStart"/>
      <w:r w:rsidRPr="0051095B">
        <w:rPr>
          <w:sz w:val="24"/>
          <w:szCs w:val="24"/>
        </w:rPr>
        <w:t>kreatininclearance</w:t>
      </w:r>
      <w:proofErr w:type="spellEnd"/>
      <w:r w:rsidRPr="0051095B">
        <w:rPr>
          <w:sz w:val="24"/>
          <w:szCs w:val="24"/>
        </w:rPr>
        <w:t xml:space="preserve"> mindre end 30 ml/min) uden regelmæssig hæmodialyse er ikke undersøgt.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Et studie af anvendelsen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hos patienter med nyresvigt (patienter i hæmodialyse) har vist at dosisjustering er nødvendigt hos disse patienter, på følgende vis: Den anbefalede initiale 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2 mg en gang daglig. Yderligere dosisøgning bør baseres på </w:t>
      </w:r>
      <w:proofErr w:type="spellStart"/>
      <w:r w:rsidRPr="0051095B">
        <w:rPr>
          <w:sz w:val="24"/>
          <w:szCs w:val="24"/>
        </w:rPr>
        <w:t>tolerabilitet</w:t>
      </w:r>
      <w:proofErr w:type="spellEnd"/>
      <w:r w:rsidRPr="0051095B">
        <w:rPr>
          <w:sz w:val="24"/>
          <w:szCs w:val="24"/>
        </w:rPr>
        <w:t xml:space="preserve"> og virkning. Den anbefalede maksimale dosis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i/>
          <w:sz w:val="24"/>
          <w:szCs w:val="24"/>
        </w:rPr>
        <w:t xml:space="preserve"> </w:t>
      </w:r>
      <w:r w:rsidRPr="0051095B">
        <w:rPr>
          <w:sz w:val="24"/>
          <w:szCs w:val="24"/>
        </w:rPr>
        <w:t xml:space="preserve">er 18 mg/dag hos </w:t>
      </w:r>
      <w:r w:rsidRPr="0051095B">
        <w:rPr>
          <w:sz w:val="24"/>
          <w:szCs w:val="24"/>
        </w:rPr>
        <w:lastRenderedPageBreak/>
        <w:t>patienter i regelmæssig hæmodialyse. Supplerende doser efter hæmodialyse er ikke påkrævet (se pkt. 5.2).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Administration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Oral anvendelse.</w:t>
      </w:r>
    </w:p>
    <w:p w:rsidR="00DB78ED" w:rsidRDefault="00DB78ED" w:rsidP="00DB78ED">
      <w:pPr>
        <w:ind w:left="851"/>
        <w:rPr>
          <w:sz w:val="24"/>
          <w:szCs w:val="24"/>
        </w:rPr>
      </w:pPr>
    </w:p>
    <w:p w:rsidR="00DB78ED" w:rsidRPr="0051095B" w:rsidRDefault="00DB78ED" w:rsidP="00DB78ED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Depottabletterne kan tages sammen med eller uden et måltid (se pkt. 5.2). </w:t>
      </w:r>
    </w:p>
    <w:p w:rsidR="00DB78ED" w:rsidRPr="0051095B" w:rsidRDefault="00DB78ED" w:rsidP="00DB78ED">
      <w:pPr>
        <w:rPr>
          <w:sz w:val="24"/>
          <w:szCs w:val="24"/>
        </w:rPr>
      </w:pPr>
    </w:p>
    <w:p w:rsidR="000220A1" w:rsidRPr="0051095B" w:rsidRDefault="000220A1" w:rsidP="000220A1">
      <w:pPr>
        <w:ind w:right="-1" w:firstLine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Aztarol depottabletter skal synkes hele og må ikke tygges, knuses eller deles.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4.3</w:t>
      </w:r>
      <w:r w:rsidRPr="0051095B">
        <w:rPr>
          <w:b/>
          <w:sz w:val="24"/>
          <w:szCs w:val="24"/>
        </w:rPr>
        <w:tab/>
        <w:t>Kontraindikationer</w:t>
      </w:r>
    </w:p>
    <w:p w:rsidR="000220A1" w:rsidRPr="0051095B" w:rsidRDefault="000220A1" w:rsidP="002A3138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 w:rsidRPr="0051095B">
        <w:rPr>
          <w:sz w:val="24"/>
          <w:szCs w:val="24"/>
        </w:rPr>
        <w:t xml:space="preserve">Overfølsomhed over for det aktive stof eller over for et eller flere af hjælpestofferne anført i pkt. 6.1. </w:t>
      </w:r>
    </w:p>
    <w:p w:rsidR="000220A1" w:rsidRPr="0051095B" w:rsidRDefault="000220A1" w:rsidP="002A3138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 w:rsidRPr="0051095B">
        <w:rPr>
          <w:sz w:val="24"/>
          <w:szCs w:val="24"/>
        </w:rPr>
        <w:t>Alvorligt nedsat nyrefunktion (</w:t>
      </w:r>
      <w:proofErr w:type="spellStart"/>
      <w:r w:rsidRPr="0051095B">
        <w:rPr>
          <w:sz w:val="24"/>
          <w:szCs w:val="24"/>
        </w:rPr>
        <w:t>kreatininclearance</w:t>
      </w:r>
      <w:proofErr w:type="spellEnd"/>
      <w:r w:rsidRPr="0051095B">
        <w:rPr>
          <w:sz w:val="24"/>
          <w:szCs w:val="24"/>
        </w:rPr>
        <w:t xml:space="preserve"> &lt;30 ml/min) uden regelmæssig hæmodialyse.</w:t>
      </w:r>
    </w:p>
    <w:p w:rsidR="000220A1" w:rsidRPr="0051095B" w:rsidRDefault="000220A1" w:rsidP="002A3138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</w:rPr>
      </w:pPr>
      <w:r w:rsidRPr="0051095B">
        <w:rPr>
          <w:sz w:val="24"/>
          <w:szCs w:val="24"/>
        </w:rPr>
        <w:t>Nedsat leverfunktion.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4.4</w:t>
      </w:r>
      <w:r w:rsidRPr="0051095B">
        <w:rPr>
          <w:b/>
          <w:sz w:val="24"/>
          <w:szCs w:val="24"/>
        </w:rPr>
        <w:tab/>
        <w:t>Særlige advarsler og forsigtighedsregler vedrørende brugen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sz w:val="24"/>
          <w:szCs w:val="24"/>
        </w:rPr>
        <w:tab/>
      </w:r>
      <w:proofErr w:type="spellStart"/>
      <w:r w:rsidRPr="0051095B">
        <w:rPr>
          <w:b/>
          <w:sz w:val="24"/>
          <w:szCs w:val="24"/>
        </w:rPr>
        <w:t>Somnolens</w:t>
      </w:r>
      <w:proofErr w:type="spellEnd"/>
      <w:r w:rsidRPr="0051095B">
        <w:rPr>
          <w:b/>
          <w:sz w:val="24"/>
          <w:szCs w:val="24"/>
        </w:rPr>
        <w:t xml:space="preserve"> og pludseligt indsættende søvnanfald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sat i forbindelse med </w:t>
      </w:r>
      <w:proofErr w:type="spellStart"/>
      <w:r w:rsidRPr="0051095B">
        <w:rPr>
          <w:sz w:val="24"/>
          <w:szCs w:val="24"/>
        </w:rPr>
        <w:t>somnolens</w:t>
      </w:r>
      <w:proofErr w:type="spellEnd"/>
      <w:r w:rsidRPr="0051095B">
        <w:rPr>
          <w:sz w:val="24"/>
          <w:szCs w:val="24"/>
        </w:rPr>
        <w:t xml:space="preserve"> og episoder, hvor patienten pludseligt falder i søvn, især hos patienter med Parkinsons sygdom. </w:t>
      </w:r>
      <w:r w:rsidR="00DB78ED" w:rsidRPr="0051095B">
        <w:rPr>
          <w:sz w:val="24"/>
          <w:szCs w:val="24"/>
        </w:rPr>
        <w:t>Der e</w:t>
      </w:r>
      <w:r w:rsidR="00DB78ED">
        <w:rPr>
          <w:sz w:val="24"/>
          <w:szCs w:val="24"/>
        </w:rPr>
        <w:t xml:space="preserve">r </w:t>
      </w:r>
      <w:r w:rsidR="00DB78ED" w:rsidRPr="0051095B">
        <w:rPr>
          <w:sz w:val="24"/>
          <w:szCs w:val="24"/>
        </w:rPr>
        <w:t>rapporteret</w:t>
      </w:r>
      <w:r w:rsidR="00DB78ED">
        <w:rPr>
          <w:sz w:val="24"/>
          <w:szCs w:val="24"/>
        </w:rPr>
        <w:t xml:space="preserve"> tilfælde</w:t>
      </w:r>
      <w:r w:rsidR="00DB78ED" w:rsidRPr="0051095B">
        <w:rPr>
          <w:sz w:val="24"/>
          <w:szCs w:val="24"/>
        </w:rPr>
        <w:t xml:space="preserve"> om patienter, der pludseligt falder i søvn under daglige gøremål og i nogle tilfælde uden forudgående advarselssignaler</w:t>
      </w:r>
      <w:r w:rsidR="00DB78ED">
        <w:rPr>
          <w:sz w:val="24"/>
          <w:szCs w:val="24"/>
        </w:rPr>
        <w:t xml:space="preserve"> (se pkt. 4.8)</w:t>
      </w:r>
      <w:r w:rsidR="00DB78ED" w:rsidRPr="0051095B">
        <w:rPr>
          <w:sz w:val="24"/>
          <w:szCs w:val="24"/>
        </w:rPr>
        <w:t xml:space="preserve">. Patienterne skal informeres om dette, og de bør rådes til at være forsigtige, hvis de fører motorkøretøj eller betjener maskiner under behandling med </w:t>
      </w:r>
      <w:proofErr w:type="spellStart"/>
      <w:r w:rsidR="00DB78ED" w:rsidRPr="0051095B">
        <w:rPr>
          <w:sz w:val="24"/>
          <w:szCs w:val="24"/>
        </w:rPr>
        <w:t>ropinirol</w:t>
      </w:r>
      <w:proofErr w:type="spellEnd"/>
      <w:r w:rsidR="00DB78ED">
        <w:rPr>
          <w:sz w:val="24"/>
          <w:szCs w:val="24"/>
        </w:rPr>
        <w:t xml:space="preserve"> (se pkt. 4.7)</w:t>
      </w:r>
      <w:r w:rsidR="00DB78ED" w:rsidRPr="0051095B">
        <w:rPr>
          <w:sz w:val="24"/>
          <w:szCs w:val="24"/>
        </w:rPr>
        <w:t xml:space="preserve">. </w:t>
      </w:r>
      <w:r w:rsidRPr="0051095B">
        <w:rPr>
          <w:sz w:val="24"/>
          <w:szCs w:val="24"/>
        </w:rPr>
        <w:t xml:space="preserve">Patienter, der har oplevet </w:t>
      </w:r>
      <w:proofErr w:type="spellStart"/>
      <w:r w:rsidRPr="0051095B">
        <w:rPr>
          <w:sz w:val="24"/>
          <w:szCs w:val="24"/>
        </w:rPr>
        <w:t>somnolens</w:t>
      </w:r>
      <w:proofErr w:type="spellEnd"/>
      <w:r w:rsidRPr="0051095B">
        <w:rPr>
          <w:sz w:val="24"/>
          <w:szCs w:val="24"/>
        </w:rPr>
        <w:t xml:space="preserve"> og/eller episoder, hvor de pludseligt falder i søvn, skal undlade at føre motorkøretøj eller betjene maskiner. Reduktion af dosis eller </w:t>
      </w:r>
      <w:proofErr w:type="spellStart"/>
      <w:r w:rsidRPr="0051095B">
        <w:rPr>
          <w:sz w:val="24"/>
          <w:szCs w:val="24"/>
        </w:rPr>
        <w:t>seponering</w:t>
      </w:r>
      <w:proofErr w:type="spellEnd"/>
      <w:r w:rsidRPr="0051095B">
        <w:rPr>
          <w:sz w:val="24"/>
          <w:szCs w:val="24"/>
        </w:rPr>
        <w:t xml:space="preserve"> af behandlingen bør desuden overvejes.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Psykiske eller psykotiske forstyrrelser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Patienter, der har eller har haft alvorlige psykiatriske eller psykotiske sygdomme, bør kun behandles med dopaminagonister, såfremt potentielle fordele opvejer risici.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Manglende impulskontrol</w:t>
      </w:r>
    </w:p>
    <w:p w:rsidR="00DB78ED" w:rsidRDefault="000220A1" w:rsidP="00DB78ED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Patienter skal monitoreres regelmæssigt for udvikling af patologiske vane- og impulshandlinger. Patienter og behandlere skal gøres opmærksomme på, at adfærdssymptomer på patologisk vane- og impulskontrol inklusiv</w:t>
      </w:r>
      <w:r w:rsidR="00DB78ED">
        <w:rPr>
          <w:sz w:val="24"/>
          <w:szCs w:val="24"/>
        </w:rPr>
        <w:t>e</w:t>
      </w:r>
      <w:r w:rsidRPr="0051095B">
        <w:rPr>
          <w:sz w:val="24"/>
          <w:szCs w:val="24"/>
        </w:rPr>
        <w:t xml:space="preserve"> patologisk spillelyst, forøget libido og </w:t>
      </w:r>
      <w:proofErr w:type="spellStart"/>
      <w:r w:rsidRPr="0051095B">
        <w:rPr>
          <w:sz w:val="24"/>
          <w:szCs w:val="24"/>
        </w:rPr>
        <w:t>hyperseksualitet</w:t>
      </w:r>
      <w:proofErr w:type="spellEnd"/>
      <w:r w:rsidRPr="0051095B">
        <w:rPr>
          <w:sz w:val="24"/>
          <w:szCs w:val="24"/>
        </w:rPr>
        <w:t xml:space="preserve">, </w:t>
      </w:r>
      <w:proofErr w:type="spellStart"/>
      <w:r w:rsidRPr="0051095B">
        <w:rPr>
          <w:sz w:val="24"/>
          <w:szCs w:val="24"/>
        </w:rPr>
        <w:t>kompulsiv</w:t>
      </w:r>
      <w:proofErr w:type="spellEnd"/>
      <w:r w:rsidRPr="0051095B">
        <w:rPr>
          <w:sz w:val="24"/>
          <w:szCs w:val="24"/>
        </w:rPr>
        <w:t xml:space="preserve"> brug af penge og indkøb, spiseorgie og tvangsspisning kan opstå hos patienter, som bliver behandlede med dopaminagonister, </w:t>
      </w:r>
      <w:r w:rsidR="00DB78ED" w:rsidRPr="0051095B">
        <w:rPr>
          <w:sz w:val="24"/>
          <w:szCs w:val="24"/>
        </w:rPr>
        <w:t xml:space="preserve">inklusive </w:t>
      </w:r>
      <w:proofErr w:type="spellStart"/>
      <w:r w:rsidR="00DB78ED" w:rsidRPr="0051095B">
        <w:rPr>
          <w:sz w:val="24"/>
          <w:szCs w:val="24"/>
        </w:rPr>
        <w:t>Aztarol</w:t>
      </w:r>
      <w:proofErr w:type="spellEnd"/>
      <w:r w:rsidR="00DB78ED">
        <w:rPr>
          <w:sz w:val="24"/>
          <w:szCs w:val="24"/>
        </w:rPr>
        <w:t xml:space="preserve"> (se pkt. 4.8)</w:t>
      </w:r>
      <w:r w:rsidR="00DB78ED" w:rsidRPr="0051095B">
        <w:rPr>
          <w:sz w:val="24"/>
          <w:szCs w:val="24"/>
        </w:rPr>
        <w:t xml:space="preserve">. Det anbefales at genoverveje behandlingen, hvis disse symptomer opstår. </w:t>
      </w:r>
    </w:p>
    <w:p w:rsidR="00DB78ED" w:rsidRDefault="00DB78ED" w:rsidP="00DB78ED">
      <w:pPr>
        <w:ind w:left="851"/>
        <w:rPr>
          <w:sz w:val="24"/>
          <w:szCs w:val="24"/>
        </w:rPr>
      </w:pPr>
    </w:p>
    <w:p w:rsidR="00DB78ED" w:rsidRDefault="00DB78ED" w:rsidP="00DB78ED">
      <w:pPr>
        <w:ind w:firstLine="851"/>
        <w:rPr>
          <w:b/>
          <w:bCs/>
          <w:sz w:val="24"/>
          <w:szCs w:val="24"/>
        </w:rPr>
      </w:pPr>
      <w:r w:rsidRPr="00365DB4">
        <w:rPr>
          <w:b/>
          <w:bCs/>
          <w:sz w:val="24"/>
          <w:szCs w:val="24"/>
        </w:rPr>
        <w:t>Mani</w:t>
      </w:r>
    </w:p>
    <w:p w:rsidR="00DB78ED" w:rsidRPr="0051095B" w:rsidRDefault="00DB78ED" w:rsidP="00DB78ED">
      <w:pPr>
        <w:ind w:left="851"/>
        <w:rPr>
          <w:sz w:val="24"/>
          <w:szCs w:val="24"/>
        </w:rPr>
      </w:pPr>
      <w:r w:rsidRPr="00C747CD">
        <w:rPr>
          <w:sz w:val="24"/>
          <w:szCs w:val="24"/>
        </w:rPr>
        <w:t xml:space="preserve">Patienter bør </w:t>
      </w:r>
      <w:r>
        <w:rPr>
          <w:bCs/>
          <w:sz w:val="24"/>
          <w:szCs w:val="24"/>
        </w:rPr>
        <w:t>monitoreres</w:t>
      </w:r>
      <w:r w:rsidRPr="00486888">
        <w:rPr>
          <w:bCs/>
          <w:sz w:val="24"/>
          <w:szCs w:val="24"/>
        </w:rPr>
        <w:t xml:space="preserve"> </w:t>
      </w:r>
      <w:r w:rsidRPr="00C747CD">
        <w:rPr>
          <w:sz w:val="24"/>
          <w:szCs w:val="24"/>
        </w:rPr>
        <w:t xml:space="preserve">regelmæssigt for udvikling af mani. Patienter og </w:t>
      </w:r>
      <w:r>
        <w:rPr>
          <w:bCs/>
          <w:sz w:val="24"/>
          <w:szCs w:val="24"/>
        </w:rPr>
        <w:t>omsorgspersoner</w:t>
      </w:r>
      <w:r w:rsidRPr="008932C4">
        <w:rPr>
          <w:bCs/>
          <w:sz w:val="24"/>
          <w:szCs w:val="24"/>
        </w:rPr>
        <w:t xml:space="preserve"> </w:t>
      </w:r>
      <w:r w:rsidRPr="00C747CD">
        <w:rPr>
          <w:sz w:val="24"/>
          <w:szCs w:val="24"/>
        </w:rPr>
        <w:t>bør informeres om, at mani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>med eller uden symptomer på i</w:t>
      </w:r>
      <w:r w:rsidRPr="008932C4">
        <w:rPr>
          <w:bCs/>
          <w:sz w:val="24"/>
          <w:szCs w:val="24"/>
        </w:rPr>
        <w:t>mpulskontrolforstyrrelser</w:t>
      </w:r>
      <w:r>
        <w:rPr>
          <w:bCs/>
          <w:sz w:val="24"/>
          <w:szCs w:val="24"/>
        </w:rPr>
        <w:t>,</w:t>
      </w:r>
      <w:r w:rsidRPr="008932C4">
        <w:rPr>
          <w:bCs/>
          <w:sz w:val="24"/>
          <w:szCs w:val="24"/>
        </w:rPr>
        <w:t xml:space="preserve"> kan forekomme</w:t>
      </w:r>
      <w:r>
        <w:rPr>
          <w:bCs/>
          <w:sz w:val="24"/>
          <w:szCs w:val="24"/>
        </w:rPr>
        <w:t xml:space="preserve"> </w:t>
      </w:r>
      <w:r w:rsidRPr="008932C4">
        <w:rPr>
          <w:bCs/>
          <w:sz w:val="24"/>
          <w:szCs w:val="24"/>
        </w:rPr>
        <w:t xml:space="preserve">hos patienter i behandling med </w:t>
      </w:r>
      <w:proofErr w:type="spellStart"/>
      <w:r w:rsidRPr="00F943EB">
        <w:rPr>
          <w:sz w:val="24"/>
          <w:szCs w:val="24"/>
        </w:rPr>
        <w:t>Aztarol</w:t>
      </w:r>
      <w:proofErr w:type="spellEnd"/>
      <w:r w:rsidRPr="008932C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Pr="008932C4">
        <w:rPr>
          <w:bCs/>
          <w:sz w:val="24"/>
          <w:szCs w:val="24"/>
        </w:rPr>
        <w:t xml:space="preserve">Dosisreduktion/gradvis </w:t>
      </w:r>
      <w:proofErr w:type="spellStart"/>
      <w:r w:rsidRPr="008932C4">
        <w:rPr>
          <w:bCs/>
          <w:sz w:val="24"/>
          <w:szCs w:val="24"/>
        </w:rPr>
        <w:t>seponering</w:t>
      </w:r>
      <w:proofErr w:type="spellEnd"/>
      <w:r w:rsidRPr="008932C4">
        <w:rPr>
          <w:bCs/>
          <w:sz w:val="24"/>
          <w:szCs w:val="24"/>
        </w:rPr>
        <w:t xml:space="preserve"> bør overvejes, hvis der udvikles sådanne symptomer.</w:t>
      </w:r>
    </w:p>
    <w:p w:rsidR="000220A1" w:rsidRPr="0051095B" w:rsidRDefault="000220A1" w:rsidP="00DB78ED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Hypotension</w:t>
      </w:r>
    </w:p>
    <w:p w:rsidR="00DB78ED" w:rsidRPr="0051095B" w:rsidRDefault="000220A1" w:rsidP="00DB78ED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lastRenderedPageBreak/>
        <w:t xml:space="preserve">På grund af risiko for hypotension anbefales blodtryksmonitorering hos patienter med alvorlig </w:t>
      </w:r>
      <w:proofErr w:type="spellStart"/>
      <w:r w:rsidRPr="0051095B">
        <w:rPr>
          <w:sz w:val="24"/>
          <w:szCs w:val="24"/>
        </w:rPr>
        <w:t>kardiovaskulær</w:t>
      </w:r>
      <w:proofErr w:type="spellEnd"/>
      <w:r w:rsidRPr="0051095B">
        <w:rPr>
          <w:sz w:val="24"/>
          <w:szCs w:val="24"/>
        </w:rPr>
        <w:t xml:space="preserve"> sygdom (især </w:t>
      </w:r>
      <w:proofErr w:type="spellStart"/>
      <w:r w:rsidRPr="0051095B">
        <w:rPr>
          <w:sz w:val="24"/>
          <w:szCs w:val="24"/>
        </w:rPr>
        <w:t>koronarinsufficiens</w:t>
      </w:r>
      <w:proofErr w:type="spellEnd"/>
      <w:r w:rsidRPr="0051095B">
        <w:rPr>
          <w:sz w:val="24"/>
          <w:szCs w:val="24"/>
        </w:rPr>
        <w:t>), især ved behandlingsstart</w:t>
      </w:r>
      <w:r w:rsidR="00DB78ED">
        <w:rPr>
          <w:sz w:val="24"/>
          <w:szCs w:val="24"/>
        </w:rPr>
        <w:t xml:space="preserve"> (se pkt. 4.8)</w:t>
      </w:r>
      <w:r w:rsidR="00DB78ED"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 xml:space="preserve">Malignt </w:t>
      </w:r>
      <w:proofErr w:type="spellStart"/>
      <w:r w:rsidRPr="0051095B">
        <w:rPr>
          <w:b/>
          <w:sz w:val="24"/>
          <w:szCs w:val="24"/>
        </w:rPr>
        <w:t>neuroleptikasyndrom</w:t>
      </w:r>
      <w:proofErr w:type="spellEnd"/>
    </w:p>
    <w:p w:rsidR="000220A1" w:rsidRPr="0051095B" w:rsidRDefault="000220A1" w:rsidP="00532CB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Symptomer, der ligner </w:t>
      </w:r>
      <w:proofErr w:type="spellStart"/>
      <w:r w:rsidRPr="0051095B">
        <w:rPr>
          <w:sz w:val="24"/>
          <w:szCs w:val="24"/>
        </w:rPr>
        <w:t>neuroleptisk</w:t>
      </w:r>
      <w:proofErr w:type="spellEnd"/>
      <w:r w:rsidRPr="0051095B">
        <w:rPr>
          <w:sz w:val="24"/>
          <w:szCs w:val="24"/>
        </w:rPr>
        <w:t xml:space="preserve"> malignt syndrom er set i forbindelse med pludseligt ophør med dopaminbehandling. Det anbefales derfor at nedtrappe behandlingen (se pkt. 4.2).</w:t>
      </w:r>
    </w:p>
    <w:p w:rsidR="000220A1" w:rsidRPr="0051095B" w:rsidRDefault="000220A1" w:rsidP="00532CB1">
      <w:pPr>
        <w:ind w:left="851"/>
        <w:rPr>
          <w:sz w:val="24"/>
          <w:szCs w:val="24"/>
        </w:rPr>
      </w:pPr>
    </w:p>
    <w:p w:rsidR="0031215E" w:rsidRPr="0051095B" w:rsidRDefault="0031215E" w:rsidP="00532CB1">
      <w:pPr>
        <w:tabs>
          <w:tab w:val="left" w:pos="851"/>
        </w:tabs>
        <w:ind w:left="851"/>
        <w:rPr>
          <w:b/>
          <w:bCs/>
          <w:sz w:val="24"/>
          <w:szCs w:val="24"/>
        </w:rPr>
      </w:pPr>
      <w:proofErr w:type="spellStart"/>
      <w:r w:rsidRPr="0051095B">
        <w:rPr>
          <w:b/>
          <w:bCs/>
          <w:sz w:val="24"/>
          <w:szCs w:val="24"/>
        </w:rPr>
        <w:t>Dopaminaqonist</w:t>
      </w:r>
      <w:proofErr w:type="spellEnd"/>
      <w:r w:rsidRPr="0051095B">
        <w:rPr>
          <w:b/>
          <w:bCs/>
          <w:sz w:val="24"/>
          <w:szCs w:val="24"/>
        </w:rPr>
        <w:t xml:space="preserve">-abstinenssyndrom (DAWS) </w:t>
      </w:r>
    </w:p>
    <w:p w:rsidR="0031215E" w:rsidRPr="0051095B" w:rsidRDefault="0031215E" w:rsidP="00532CB1">
      <w:pPr>
        <w:tabs>
          <w:tab w:val="left" w:pos="851"/>
        </w:tabs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Der er blevet rapporteret DAWS med dopaminagonister, herunder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(se pkt. 4.8). For at seponere behandlingen hos patienter med Parkinsons sygdom skal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nedtrappes (se pkt. 4.2). Begrænsede data tyder på, at patienter med impulskontrol</w:t>
      </w:r>
      <w:r w:rsidR="00FD2BD2" w:rsidRPr="0051095B">
        <w:rPr>
          <w:sz w:val="24"/>
          <w:szCs w:val="24"/>
        </w:rPr>
        <w:softHyphen/>
      </w:r>
      <w:r w:rsidRPr="0051095B">
        <w:rPr>
          <w:sz w:val="24"/>
          <w:szCs w:val="24"/>
        </w:rPr>
        <w:t>forstyrrelser og dem, der får en høj daglig dosis og/eller høje kumulative doser af dopaminagonister kan have en højere risiko for at udvikle DAWS. Abstinenssymptomer kan omfatte apati</w:t>
      </w:r>
      <w:r w:rsidR="00FD2BD2" w:rsidRPr="0051095B">
        <w:rPr>
          <w:sz w:val="24"/>
          <w:szCs w:val="24"/>
        </w:rPr>
        <w:t>,</w:t>
      </w:r>
      <w:r w:rsidRPr="0051095B">
        <w:rPr>
          <w:sz w:val="24"/>
          <w:szCs w:val="24"/>
        </w:rPr>
        <w:t xml:space="preserve"> angst</w:t>
      </w:r>
      <w:r w:rsidR="00FD2BD2" w:rsidRPr="0051095B">
        <w:rPr>
          <w:sz w:val="24"/>
          <w:szCs w:val="24"/>
        </w:rPr>
        <w:t>,</w:t>
      </w:r>
      <w:r w:rsidRPr="0051095B">
        <w:rPr>
          <w:sz w:val="24"/>
          <w:szCs w:val="24"/>
        </w:rPr>
        <w:t xml:space="preserve"> depression</w:t>
      </w:r>
      <w:r w:rsidR="00FD2BD2" w:rsidRPr="0051095B">
        <w:rPr>
          <w:sz w:val="24"/>
          <w:szCs w:val="24"/>
        </w:rPr>
        <w:t>,</w:t>
      </w:r>
      <w:r w:rsidRPr="0051095B">
        <w:rPr>
          <w:sz w:val="24"/>
          <w:szCs w:val="24"/>
        </w:rPr>
        <w:t xml:space="preserve"> træthed</w:t>
      </w:r>
      <w:r w:rsidR="00FD2BD2" w:rsidRPr="0051095B">
        <w:rPr>
          <w:sz w:val="24"/>
          <w:szCs w:val="24"/>
        </w:rPr>
        <w:t xml:space="preserve">, </w:t>
      </w:r>
      <w:r w:rsidRPr="0051095B">
        <w:rPr>
          <w:sz w:val="24"/>
          <w:szCs w:val="24"/>
        </w:rPr>
        <w:t xml:space="preserve">svedtendens og smerter og responderer ikke på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. Før nedtrapning og </w:t>
      </w:r>
      <w:proofErr w:type="spellStart"/>
      <w:r w:rsidRPr="0051095B">
        <w:rPr>
          <w:sz w:val="24"/>
          <w:szCs w:val="24"/>
        </w:rPr>
        <w:t>seponering</w:t>
      </w:r>
      <w:proofErr w:type="spellEnd"/>
      <w:r w:rsidRPr="0051095B">
        <w:rPr>
          <w:sz w:val="24"/>
          <w:szCs w:val="24"/>
        </w:rPr>
        <w:t xml:space="preserve">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skal patienterne informeres om potentielle abstinenssymptomer. Patienterne skal overvåges nøje under nedtrapning og </w:t>
      </w:r>
      <w:proofErr w:type="spellStart"/>
      <w:r w:rsidRPr="0051095B">
        <w:rPr>
          <w:sz w:val="24"/>
          <w:szCs w:val="24"/>
        </w:rPr>
        <w:t>seponering</w:t>
      </w:r>
      <w:proofErr w:type="spellEnd"/>
      <w:r w:rsidRPr="0051095B">
        <w:rPr>
          <w:sz w:val="24"/>
          <w:szCs w:val="24"/>
        </w:rPr>
        <w:t xml:space="preserve">. I tilfælde af svære og/eller vedvarende abstinenssymptomer kan midlertidig genadministration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med den laveste effektive dosis overvejes.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Hallucinationer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Hallucinationer er en kendt bivirkning ved behandling med dopaminagonister og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="00DB78ED">
        <w:rPr>
          <w:sz w:val="24"/>
          <w:szCs w:val="24"/>
        </w:rPr>
        <w:t xml:space="preserve"> (se pkt. 4.8)</w:t>
      </w:r>
      <w:r w:rsidR="00DB78ED" w:rsidRPr="0051095B">
        <w:rPr>
          <w:sz w:val="24"/>
          <w:szCs w:val="24"/>
        </w:rPr>
        <w:t>.</w:t>
      </w:r>
      <w:r w:rsidRPr="0051095B">
        <w:rPr>
          <w:sz w:val="24"/>
          <w:szCs w:val="24"/>
        </w:rPr>
        <w:t xml:space="preserve"> Patienter skal informeres om, at hallucinationer kan forekomme.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Ufuldstændig frigivelse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Aztarol</w:t>
      </w:r>
      <w:proofErr w:type="spellEnd"/>
      <w:r w:rsidRPr="0051095B">
        <w:rPr>
          <w:sz w:val="24"/>
          <w:szCs w:val="24"/>
        </w:rPr>
        <w:t xml:space="preserve"> er udviklet til at frigive lægemiddel over en periode på 24 timer. Hvis der opstår hurtigt gennemløb i mave-tarm</w:t>
      </w:r>
      <w:r w:rsidR="001B3A55" w:rsidRPr="0051095B">
        <w:rPr>
          <w:sz w:val="24"/>
          <w:szCs w:val="24"/>
        </w:rPr>
        <w:t>-</w:t>
      </w:r>
      <w:r w:rsidRPr="0051095B">
        <w:rPr>
          <w:sz w:val="24"/>
          <w:szCs w:val="24"/>
        </w:rPr>
        <w:t>kanalen, er der risiko for ufuldstændig frigivelse af lægemidlet og at medicinen passerer ud sammen med afføringen.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B31806" w:rsidRPr="0051095B" w:rsidRDefault="00B31806" w:rsidP="00B31806">
      <w:pPr>
        <w:ind w:left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Hjælpestoffer</w:t>
      </w:r>
    </w:p>
    <w:p w:rsidR="00B31806" w:rsidRPr="00532CB1" w:rsidRDefault="00B31806" w:rsidP="00532CB1">
      <w:pPr>
        <w:ind w:left="851"/>
        <w:rPr>
          <w:sz w:val="24"/>
          <w:szCs w:val="24"/>
        </w:rPr>
      </w:pPr>
      <w:r w:rsidRPr="00532CB1">
        <w:rPr>
          <w:sz w:val="24"/>
          <w:szCs w:val="24"/>
        </w:rPr>
        <w:t xml:space="preserve">Dette lægemiddel indeholder </w:t>
      </w:r>
      <w:proofErr w:type="spellStart"/>
      <w:r w:rsidRPr="00532CB1">
        <w:rPr>
          <w:sz w:val="24"/>
          <w:szCs w:val="24"/>
        </w:rPr>
        <w:t>lactose</w:t>
      </w:r>
      <w:proofErr w:type="spellEnd"/>
      <w:r w:rsidRPr="00532CB1">
        <w:rPr>
          <w:sz w:val="24"/>
          <w:szCs w:val="24"/>
        </w:rPr>
        <w:t>. Bør ikke anvendes til patienter med hereditær</w:t>
      </w:r>
      <w:r w:rsidR="003D7820" w:rsidRPr="00532CB1">
        <w:rPr>
          <w:sz w:val="24"/>
          <w:szCs w:val="24"/>
        </w:rPr>
        <w:t xml:space="preserve"> </w:t>
      </w:r>
      <w:proofErr w:type="spellStart"/>
      <w:r w:rsidRPr="00532CB1">
        <w:rPr>
          <w:sz w:val="24"/>
          <w:szCs w:val="24"/>
        </w:rPr>
        <w:t>galactoseintolerans</w:t>
      </w:r>
      <w:proofErr w:type="spellEnd"/>
      <w:r w:rsidRPr="00532CB1">
        <w:rPr>
          <w:sz w:val="24"/>
          <w:szCs w:val="24"/>
        </w:rPr>
        <w:t xml:space="preserve">, total </w:t>
      </w:r>
      <w:proofErr w:type="spellStart"/>
      <w:r w:rsidRPr="00532CB1">
        <w:rPr>
          <w:sz w:val="24"/>
          <w:szCs w:val="24"/>
        </w:rPr>
        <w:t>lactasemangel</w:t>
      </w:r>
      <w:proofErr w:type="spellEnd"/>
      <w:r w:rsidRPr="00532CB1">
        <w:rPr>
          <w:sz w:val="24"/>
          <w:szCs w:val="24"/>
        </w:rPr>
        <w:t xml:space="preserve"> eller </w:t>
      </w:r>
      <w:proofErr w:type="spellStart"/>
      <w:r w:rsidRPr="00532CB1">
        <w:rPr>
          <w:sz w:val="24"/>
          <w:szCs w:val="24"/>
        </w:rPr>
        <w:t>glucose</w:t>
      </w:r>
      <w:proofErr w:type="spellEnd"/>
      <w:r w:rsidRPr="00532CB1">
        <w:rPr>
          <w:sz w:val="24"/>
          <w:szCs w:val="24"/>
        </w:rPr>
        <w:t>/</w:t>
      </w:r>
      <w:proofErr w:type="spellStart"/>
      <w:r w:rsidRPr="00532CB1">
        <w:rPr>
          <w:sz w:val="24"/>
          <w:szCs w:val="24"/>
        </w:rPr>
        <w:t>galactosemalabsorption</w:t>
      </w:r>
      <w:proofErr w:type="spellEnd"/>
      <w:r w:rsidRPr="00532CB1">
        <w:rPr>
          <w:sz w:val="24"/>
          <w:szCs w:val="24"/>
        </w:rPr>
        <w:t>.</w:t>
      </w:r>
    </w:p>
    <w:p w:rsidR="00B31806" w:rsidRPr="00532CB1" w:rsidRDefault="00B31806" w:rsidP="00532CB1">
      <w:pPr>
        <w:ind w:left="851"/>
        <w:rPr>
          <w:sz w:val="24"/>
          <w:szCs w:val="24"/>
        </w:rPr>
      </w:pPr>
    </w:p>
    <w:p w:rsidR="00B31806" w:rsidRPr="00532CB1" w:rsidRDefault="00B31806" w:rsidP="00532CB1">
      <w:pPr>
        <w:ind w:left="851"/>
        <w:rPr>
          <w:sz w:val="24"/>
          <w:szCs w:val="24"/>
        </w:rPr>
      </w:pPr>
      <w:bookmarkStart w:id="1" w:name="_Hlk21619847"/>
      <w:r w:rsidRPr="00532CB1">
        <w:rPr>
          <w:sz w:val="24"/>
          <w:szCs w:val="24"/>
        </w:rPr>
        <w:t>Dette lægemiddel indeholder mindre end 1 mmol (23 mg) natrium pr. tablet, dvs. det er i det væsentlige natriumfrit.</w:t>
      </w:r>
    </w:p>
    <w:bookmarkEnd w:id="1"/>
    <w:p w:rsidR="000220A1" w:rsidRPr="0051095B" w:rsidRDefault="000220A1" w:rsidP="00532CB1">
      <w:pPr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4.5</w:t>
      </w:r>
      <w:r w:rsidRPr="0051095B">
        <w:rPr>
          <w:b/>
          <w:sz w:val="24"/>
          <w:szCs w:val="24"/>
        </w:rPr>
        <w:tab/>
        <w:t>Interaktion med andre lægemidler og andre former for interaktion</w:t>
      </w:r>
    </w:p>
    <w:p w:rsidR="00DB78ED" w:rsidRDefault="00DB78ED" w:rsidP="000220A1">
      <w:pPr>
        <w:ind w:left="851" w:hanging="851"/>
        <w:rPr>
          <w:sz w:val="24"/>
          <w:szCs w:val="24"/>
        </w:rPr>
      </w:pPr>
    </w:p>
    <w:p w:rsidR="00DB78ED" w:rsidRPr="00ED71F4" w:rsidRDefault="00DB78ED" w:rsidP="00532CB1">
      <w:pPr>
        <w:ind w:left="851"/>
        <w:rPr>
          <w:i/>
          <w:iCs/>
          <w:sz w:val="24"/>
          <w:szCs w:val="24"/>
        </w:rPr>
      </w:pPr>
      <w:proofErr w:type="spellStart"/>
      <w:r w:rsidRPr="00ED71F4">
        <w:rPr>
          <w:i/>
          <w:iCs/>
          <w:sz w:val="24"/>
          <w:szCs w:val="24"/>
        </w:rPr>
        <w:t>Levodopa</w:t>
      </w:r>
      <w:proofErr w:type="spellEnd"/>
      <w:r w:rsidRPr="00ED71F4">
        <w:rPr>
          <w:i/>
          <w:iCs/>
          <w:sz w:val="24"/>
          <w:szCs w:val="24"/>
        </w:rPr>
        <w:t xml:space="preserve"> eller </w:t>
      </w:r>
      <w:proofErr w:type="spellStart"/>
      <w:r w:rsidRPr="00ED71F4">
        <w:rPr>
          <w:i/>
          <w:iCs/>
          <w:sz w:val="24"/>
          <w:szCs w:val="24"/>
        </w:rPr>
        <w:t>domperidon</w:t>
      </w:r>
      <w:proofErr w:type="spellEnd"/>
    </w:p>
    <w:p w:rsidR="000220A1" w:rsidRPr="0051095B" w:rsidRDefault="000220A1" w:rsidP="00532CB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Der er ingen </w:t>
      </w:r>
      <w:proofErr w:type="spellStart"/>
      <w:r w:rsidRPr="0051095B">
        <w:rPr>
          <w:sz w:val="24"/>
          <w:szCs w:val="24"/>
        </w:rPr>
        <w:t>farmakokinetisk</w:t>
      </w:r>
      <w:proofErr w:type="spellEnd"/>
      <w:r w:rsidRPr="0051095B">
        <w:rPr>
          <w:sz w:val="24"/>
          <w:szCs w:val="24"/>
        </w:rPr>
        <w:t xml:space="preserve"> interaktion mellem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og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 xml:space="preserve"> eller </w:t>
      </w:r>
      <w:proofErr w:type="spellStart"/>
      <w:r w:rsidRPr="0051095B">
        <w:rPr>
          <w:sz w:val="24"/>
          <w:szCs w:val="24"/>
        </w:rPr>
        <w:t>domperidon</w:t>
      </w:r>
      <w:proofErr w:type="spellEnd"/>
      <w:r w:rsidRPr="0051095B">
        <w:rPr>
          <w:sz w:val="24"/>
          <w:szCs w:val="24"/>
        </w:rPr>
        <w:t>, som vil nødvendiggøre dosisjustering af disse lægemidler.</w:t>
      </w:r>
    </w:p>
    <w:p w:rsidR="000220A1" w:rsidRPr="0051095B" w:rsidRDefault="000220A1" w:rsidP="00532CB1">
      <w:pPr>
        <w:ind w:left="851"/>
        <w:rPr>
          <w:sz w:val="24"/>
          <w:szCs w:val="24"/>
        </w:rPr>
      </w:pPr>
    </w:p>
    <w:p w:rsidR="00DB78ED" w:rsidRPr="00ED71F4" w:rsidRDefault="00DB78ED" w:rsidP="00532CB1">
      <w:pPr>
        <w:ind w:left="851"/>
        <w:rPr>
          <w:i/>
          <w:iCs/>
          <w:sz w:val="24"/>
          <w:szCs w:val="24"/>
        </w:rPr>
      </w:pPr>
      <w:proofErr w:type="spellStart"/>
      <w:r w:rsidRPr="00ED71F4">
        <w:rPr>
          <w:i/>
          <w:iCs/>
          <w:sz w:val="24"/>
          <w:szCs w:val="24"/>
        </w:rPr>
        <w:t>Neuroleptika</w:t>
      </w:r>
      <w:proofErr w:type="spellEnd"/>
      <w:r w:rsidRPr="00ED71F4">
        <w:rPr>
          <w:i/>
          <w:iCs/>
          <w:sz w:val="24"/>
          <w:szCs w:val="24"/>
        </w:rPr>
        <w:t xml:space="preserve"> og andre centralt aktive dopaminantagonister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Neuroleptika</w:t>
      </w:r>
      <w:proofErr w:type="spellEnd"/>
      <w:r w:rsidRPr="0051095B">
        <w:rPr>
          <w:sz w:val="24"/>
          <w:szCs w:val="24"/>
        </w:rPr>
        <w:t xml:space="preserve"> og andre centralt aktive dopaminantagonister, såsom </w:t>
      </w:r>
      <w:proofErr w:type="spellStart"/>
      <w:r w:rsidRPr="0051095B">
        <w:rPr>
          <w:sz w:val="24"/>
          <w:szCs w:val="24"/>
        </w:rPr>
        <w:t>sulpirid</w:t>
      </w:r>
      <w:proofErr w:type="spellEnd"/>
      <w:r w:rsidRPr="0051095B">
        <w:rPr>
          <w:sz w:val="24"/>
          <w:szCs w:val="24"/>
        </w:rPr>
        <w:t xml:space="preserve"> eller </w:t>
      </w:r>
      <w:proofErr w:type="spellStart"/>
      <w:r w:rsidRPr="0051095B">
        <w:rPr>
          <w:sz w:val="24"/>
          <w:szCs w:val="24"/>
        </w:rPr>
        <w:t>metoclopramid</w:t>
      </w:r>
      <w:proofErr w:type="spellEnd"/>
      <w:r w:rsidRPr="0051095B">
        <w:rPr>
          <w:sz w:val="24"/>
          <w:szCs w:val="24"/>
        </w:rPr>
        <w:t xml:space="preserve">, kan mindske virkningen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>, og samtidig anvendelse af disse lægemidler bør derfor undgås.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DB78ED" w:rsidRPr="00ED71F4" w:rsidRDefault="00DB78ED" w:rsidP="00DB78ED">
      <w:pPr>
        <w:ind w:left="851"/>
        <w:rPr>
          <w:i/>
          <w:iCs/>
          <w:sz w:val="24"/>
          <w:szCs w:val="24"/>
        </w:rPr>
      </w:pPr>
      <w:r w:rsidRPr="00ED71F4">
        <w:rPr>
          <w:i/>
          <w:iCs/>
          <w:sz w:val="24"/>
          <w:szCs w:val="24"/>
        </w:rPr>
        <w:t>Østrogener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Forhøjede plasmakoncentrationer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blevet observeret hos patienter behandlet med høje østrogendoser. Hos patienter, som allerede modtager hormonerstatnings</w:t>
      </w:r>
      <w:r w:rsidRPr="0051095B">
        <w:rPr>
          <w:sz w:val="24"/>
          <w:szCs w:val="24"/>
        </w:rPr>
        <w:softHyphen/>
      </w:r>
      <w:r w:rsidRPr="0051095B">
        <w:rPr>
          <w:sz w:val="24"/>
          <w:szCs w:val="24"/>
        </w:rPr>
        <w:lastRenderedPageBreak/>
        <w:t xml:space="preserve">behandling (HRT), kan </w:t>
      </w:r>
      <w:proofErr w:type="spellStart"/>
      <w:r w:rsidRPr="0051095B">
        <w:rPr>
          <w:sz w:val="24"/>
          <w:szCs w:val="24"/>
        </w:rPr>
        <w:t>ropinirolbehandling</w:t>
      </w:r>
      <w:proofErr w:type="spellEnd"/>
      <w:r w:rsidRPr="0051095B">
        <w:rPr>
          <w:sz w:val="24"/>
          <w:szCs w:val="24"/>
        </w:rPr>
        <w:t xml:space="preserve"> initieres på normal vis. Imidlertid kan det blive nødvendigt at justere </w:t>
      </w:r>
      <w:proofErr w:type="spellStart"/>
      <w:r w:rsidRPr="0051095B">
        <w:rPr>
          <w:sz w:val="24"/>
          <w:szCs w:val="24"/>
        </w:rPr>
        <w:t>ropiniroldosis</w:t>
      </w:r>
      <w:proofErr w:type="spellEnd"/>
      <w:r w:rsidRPr="0051095B">
        <w:rPr>
          <w:sz w:val="24"/>
          <w:szCs w:val="24"/>
        </w:rPr>
        <w:t xml:space="preserve"> i overensstemmelse med klinisk respons, såfremt HRT seponeres eller introduceres under behandling med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DB78ED" w:rsidRPr="00ED71F4" w:rsidRDefault="00DB78ED" w:rsidP="00DB78ED">
      <w:pPr>
        <w:ind w:left="851"/>
        <w:rPr>
          <w:i/>
          <w:iCs/>
          <w:sz w:val="24"/>
          <w:szCs w:val="24"/>
        </w:rPr>
      </w:pPr>
      <w:r w:rsidRPr="00ED71F4">
        <w:rPr>
          <w:i/>
          <w:iCs/>
          <w:sz w:val="24"/>
          <w:szCs w:val="24"/>
        </w:rPr>
        <w:t>CYP 1A2-hæmmere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</w:t>
      </w:r>
      <w:proofErr w:type="spellStart"/>
      <w:r w:rsidRPr="0051095B">
        <w:rPr>
          <w:sz w:val="24"/>
          <w:szCs w:val="24"/>
        </w:rPr>
        <w:t>metaboliseres</w:t>
      </w:r>
      <w:proofErr w:type="spellEnd"/>
      <w:r w:rsidRPr="0051095B">
        <w:rPr>
          <w:sz w:val="24"/>
          <w:szCs w:val="24"/>
        </w:rPr>
        <w:t xml:space="preserve"> hovedsageligt af </w:t>
      </w:r>
      <w:proofErr w:type="spellStart"/>
      <w:r w:rsidRPr="0051095B">
        <w:rPr>
          <w:sz w:val="24"/>
          <w:szCs w:val="24"/>
        </w:rPr>
        <w:t>cytokrom</w:t>
      </w:r>
      <w:proofErr w:type="spellEnd"/>
      <w:r w:rsidRPr="0051095B">
        <w:rPr>
          <w:sz w:val="24"/>
          <w:szCs w:val="24"/>
        </w:rPr>
        <w:t xml:space="preserve"> P450-isoenzymet CYP 1A2. En </w:t>
      </w:r>
      <w:proofErr w:type="spellStart"/>
      <w:r w:rsidRPr="0051095B">
        <w:rPr>
          <w:sz w:val="24"/>
          <w:szCs w:val="24"/>
        </w:rPr>
        <w:t>farmakokinetisk</w:t>
      </w:r>
      <w:proofErr w:type="spellEnd"/>
      <w:r w:rsidRPr="0051095B">
        <w:rPr>
          <w:sz w:val="24"/>
          <w:szCs w:val="24"/>
        </w:rPr>
        <w:t xml:space="preserve"> undersøgelse (med en konventionel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>-filmovertrukke</w:t>
      </w:r>
      <w:r w:rsidR="003C01AB">
        <w:rPr>
          <w:sz w:val="24"/>
          <w:szCs w:val="24"/>
        </w:rPr>
        <w:t>t</w:t>
      </w:r>
      <w:r w:rsidRPr="0051095B">
        <w:rPr>
          <w:sz w:val="24"/>
          <w:szCs w:val="24"/>
        </w:rPr>
        <w:t xml:space="preserve"> tablet med en dosis på 2 mg 3 gange daglig) hos Parkinson-patienter viste, at </w:t>
      </w:r>
      <w:proofErr w:type="spellStart"/>
      <w:r w:rsidRPr="0051095B">
        <w:rPr>
          <w:sz w:val="24"/>
          <w:szCs w:val="24"/>
        </w:rPr>
        <w:t>ciprofloxacin</w:t>
      </w:r>
      <w:proofErr w:type="spellEnd"/>
      <w:r w:rsidRPr="0051095B">
        <w:rPr>
          <w:sz w:val="24"/>
          <w:szCs w:val="24"/>
        </w:rPr>
        <w:t xml:space="preserve"> øgede 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og AUC for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med henholdsvis 60 % og 84 % med en mulig risiko for bivirkninger. Det kan derfor være nødvendigt hos patienter, der allerede modtager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, at justere </w:t>
      </w:r>
      <w:proofErr w:type="spellStart"/>
      <w:r w:rsidRPr="0051095B">
        <w:rPr>
          <w:sz w:val="24"/>
          <w:szCs w:val="24"/>
        </w:rPr>
        <w:t>ropiniroldosis</w:t>
      </w:r>
      <w:proofErr w:type="spellEnd"/>
      <w:r w:rsidRPr="0051095B">
        <w:rPr>
          <w:sz w:val="24"/>
          <w:szCs w:val="24"/>
        </w:rPr>
        <w:t xml:space="preserve">, når lægemidler, der hæmmer CYP 1A2, f.eks. </w:t>
      </w:r>
      <w:proofErr w:type="spellStart"/>
      <w:r w:rsidRPr="0051095B">
        <w:rPr>
          <w:sz w:val="24"/>
          <w:szCs w:val="24"/>
        </w:rPr>
        <w:t>ciprofloxacin</w:t>
      </w:r>
      <w:proofErr w:type="spellEnd"/>
      <w:r w:rsidRPr="0051095B">
        <w:rPr>
          <w:sz w:val="24"/>
          <w:szCs w:val="24"/>
        </w:rPr>
        <w:t xml:space="preserve">, </w:t>
      </w:r>
      <w:proofErr w:type="spellStart"/>
      <w:r w:rsidRPr="0051095B">
        <w:rPr>
          <w:sz w:val="24"/>
          <w:szCs w:val="24"/>
        </w:rPr>
        <w:t>enoxacin</w:t>
      </w:r>
      <w:proofErr w:type="spellEnd"/>
      <w:r w:rsidRPr="0051095B">
        <w:rPr>
          <w:sz w:val="24"/>
          <w:szCs w:val="24"/>
        </w:rPr>
        <w:t xml:space="preserve"> eller </w:t>
      </w:r>
      <w:proofErr w:type="spellStart"/>
      <w:r w:rsidRPr="0051095B">
        <w:rPr>
          <w:sz w:val="24"/>
          <w:szCs w:val="24"/>
        </w:rPr>
        <w:t>fluvoxamin</w:t>
      </w:r>
      <w:proofErr w:type="spellEnd"/>
      <w:r w:rsidRPr="0051095B">
        <w:rPr>
          <w:sz w:val="24"/>
          <w:szCs w:val="24"/>
        </w:rPr>
        <w:t>, introduceres eller seponeres.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En </w:t>
      </w:r>
      <w:proofErr w:type="spellStart"/>
      <w:r w:rsidRPr="0051095B">
        <w:rPr>
          <w:sz w:val="24"/>
          <w:szCs w:val="24"/>
        </w:rPr>
        <w:t>farmakokinetisk</w:t>
      </w:r>
      <w:proofErr w:type="spellEnd"/>
      <w:r w:rsidRPr="0051095B">
        <w:rPr>
          <w:sz w:val="24"/>
          <w:szCs w:val="24"/>
        </w:rPr>
        <w:t xml:space="preserve"> interaktionsundersøgelse hos patienter med Parkinsons sygdom mellem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(med konventionel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tablet med en dosis på 2 mg 3 gange daglig) og </w:t>
      </w:r>
      <w:proofErr w:type="spellStart"/>
      <w:r w:rsidRPr="0051095B">
        <w:rPr>
          <w:sz w:val="24"/>
          <w:szCs w:val="24"/>
        </w:rPr>
        <w:t>theophyllin</w:t>
      </w:r>
      <w:proofErr w:type="spellEnd"/>
      <w:r w:rsidRPr="0051095B">
        <w:rPr>
          <w:sz w:val="24"/>
          <w:szCs w:val="24"/>
        </w:rPr>
        <w:t xml:space="preserve">, et CYP 1A2-substrat, viste ingen ændringer i farmakokinetikken af hverken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eller </w:t>
      </w:r>
      <w:proofErr w:type="spellStart"/>
      <w:r w:rsidRPr="0051095B">
        <w:rPr>
          <w:sz w:val="24"/>
          <w:szCs w:val="24"/>
        </w:rPr>
        <w:t>theophyllin</w:t>
      </w:r>
      <w:proofErr w:type="spellEnd"/>
      <w:r w:rsidRPr="0051095B">
        <w:rPr>
          <w:sz w:val="24"/>
          <w:szCs w:val="24"/>
        </w:rPr>
        <w:t xml:space="preserve">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DB78ED" w:rsidRPr="00ED71F4" w:rsidRDefault="00DB78ED" w:rsidP="00DB78ED">
      <w:pPr>
        <w:ind w:left="851"/>
        <w:rPr>
          <w:i/>
          <w:iCs/>
          <w:sz w:val="24"/>
          <w:szCs w:val="24"/>
        </w:rPr>
      </w:pPr>
      <w:r w:rsidRPr="00ED71F4">
        <w:rPr>
          <w:i/>
          <w:iCs/>
          <w:sz w:val="24"/>
          <w:szCs w:val="24"/>
        </w:rPr>
        <w:t>Vitamin K-antagonister</w:t>
      </w:r>
    </w:p>
    <w:p w:rsidR="00DB78ED" w:rsidRDefault="00DB78ED" w:rsidP="00DB78ED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Hos patienter, der får en kombination af vitamin K-antagonister og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>, er der set tilfælde af ubalanceret INR. Der kræves øget klinisk og biologisk overvågning (INR).</w:t>
      </w:r>
    </w:p>
    <w:p w:rsidR="00DB78ED" w:rsidRDefault="00DB78ED" w:rsidP="00DB78ED">
      <w:pPr>
        <w:ind w:left="851"/>
        <w:rPr>
          <w:sz w:val="24"/>
          <w:szCs w:val="24"/>
        </w:rPr>
      </w:pPr>
    </w:p>
    <w:p w:rsidR="000220A1" w:rsidRDefault="00DB78ED" w:rsidP="00532CB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Det er kendt at rygning inducerer CYP 1A2-metabolismen. Hos patienter, der påbegynder eller ophører med rygning, kan det derfor være nødvendigt at justere dosis.</w:t>
      </w:r>
    </w:p>
    <w:p w:rsidR="00DB78ED" w:rsidRPr="0051095B" w:rsidRDefault="00DB78ED" w:rsidP="00DB78ED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B31806" w:rsidRPr="0051095B" w:rsidRDefault="00B31806" w:rsidP="00B31806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Graviditet</w:t>
      </w:r>
    </w:p>
    <w:p w:rsidR="00B31806" w:rsidRPr="0051095B" w:rsidRDefault="00B31806" w:rsidP="00B31806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</w:rPr>
        <w:t xml:space="preserve">Der foreligger ikke tilstrækkelige data om brugen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hos gravide. </w:t>
      </w:r>
      <w:bookmarkStart w:id="2" w:name="_Hlk56686479"/>
      <w:r w:rsidRPr="0051095B">
        <w:rPr>
          <w:sz w:val="24"/>
          <w:szCs w:val="24"/>
        </w:rPr>
        <w:t xml:space="preserve"> Gradvist øgede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koncentrationer kan forekomme i løbet af graviditeten. (se pkt. 5.2).</w:t>
      </w:r>
      <w:bookmarkEnd w:id="2"/>
    </w:p>
    <w:p w:rsidR="00B31806" w:rsidRPr="0051095B" w:rsidRDefault="00B31806" w:rsidP="00B31806">
      <w:pPr>
        <w:ind w:left="851"/>
        <w:rPr>
          <w:sz w:val="24"/>
          <w:szCs w:val="24"/>
        </w:rPr>
      </w:pPr>
    </w:p>
    <w:p w:rsidR="00B31806" w:rsidRPr="0051095B" w:rsidRDefault="00B31806" w:rsidP="00B31806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Dyrestudier har påvist reproduktionstoksicitet (se pkt. 5.3). Da den potentielle risiko for mennesker er ukendt, frarådes det at anvende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til gravide kvinder, medmindre den </w:t>
      </w:r>
      <w:proofErr w:type="spellStart"/>
      <w:r w:rsidRPr="0051095B">
        <w:rPr>
          <w:sz w:val="24"/>
          <w:szCs w:val="24"/>
        </w:rPr>
        <w:t>potientielle</w:t>
      </w:r>
      <w:proofErr w:type="spellEnd"/>
      <w:r w:rsidRPr="0051095B">
        <w:rPr>
          <w:sz w:val="24"/>
          <w:szCs w:val="24"/>
        </w:rPr>
        <w:t xml:space="preserve"> fordel for moderen overstiger den potentielle risiko for fosteret.</w:t>
      </w:r>
    </w:p>
    <w:p w:rsidR="00B31806" w:rsidRPr="0051095B" w:rsidRDefault="00B31806" w:rsidP="00B31806">
      <w:pPr>
        <w:ind w:left="851"/>
        <w:rPr>
          <w:sz w:val="24"/>
          <w:szCs w:val="24"/>
        </w:rPr>
      </w:pPr>
    </w:p>
    <w:p w:rsidR="00B31806" w:rsidRPr="0051095B" w:rsidRDefault="00B31806" w:rsidP="00B31806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Amning</w:t>
      </w:r>
    </w:p>
    <w:p w:rsidR="00B31806" w:rsidRPr="0051095B" w:rsidRDefault="00B31806" w:rsidP="00B31806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</w:rPr>
        <w:t xml:space="preserve">Det blev vist, at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-relateret materiale blev overført til mælken hos diegivende rotter. Det er uvist om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og dets metabolitter udskilles i modermælken. En risiko for det ammede barn kan ikke udelukkes.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bør ikke anvendes til ammende mødre, da det kan hæmme mælkeproduktionen.</w:t>
      </w:r>
      <w:r w:rsidRPr="0051095B">
        <w:rPr>
          <w:sz w:val="24"/>
          <w:szCs w:val="24"/>
          <w:u w:val="single"/>
        </w:rPr>
        <w:t xml:space="preserve"> </w:t>
      </w:r>
    </w:p>
    <w:p w:rsidR="00B31806" w:rsidRPr="0051095B" w:rsidRDefault="00B31806" w:rsidP="00B31806">
      <w:pPr>
        <w:ind w:left="851"/>
        <w:rPr>
          <w:sz w:val="24"/>
          <w:szCs w:val="24"/>
          <w:u w:val="single"/>
        </w:rPr>
      </w:pPr>
    </w:p>
    <w:p w:rsidR="00B31806" w:rsidRPr="0051095B" w:rsidRDefault="00B31806" w:rsidP="00B31806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Fertilitet</w:t>
      </w:r>
    </w:p>
    <w:p w:rsidR="000220A1" w:rsidRPr="0051095B" w:rsidRDefault="00B31806" w:rsidP="003D7820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Der er ingen data på effekten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med hensyn til human fertilitet. I </w:t>
      </w:r>
      <w:bookmarkStart w:id="3" w:name="_Hlk56689358"/>
      <w:r w:rsidRPr="0051095B">
        <w:rPr>
          <w:sz w:val="24"/>
          <w:szCs w:val="24"/>
        </w:rPr>
        <w:t>fertilitets</w:t>
      </w:r>
      <w:r w:rsidR="003D7820" w:rsidRPr="0051095B">
        <w:rPr>
          <w:sz w:val="24"/>
          <w:szCs w:val="24"/>
        </w:rPr>
        <w:softHyphen/>
      </w:r>
      <w:r w:rsidRPr="0051095B">
        <w:rPr>
          <w:sz w:val="24"/>
          <w:szCs w:val="24"/>
        </w:rPr>
        <w:t>undersøgelser</w:t>
      </w:r>
      <w:bookmarkEnd w:id="3"/>
      <w:r w:rsidRPr="0051095B">
        <w:rPr>
          <w:sz w:val="24"/>
          <w:szCs w:val="24"/>
        </w:rPr>
        <w:t xml:space="preserve"> hos hunrotter blev effekter set på implantationen, men der blev ikke set nogen effekter på fertiliteten hos hanrotter (se pkt. 5.3).</w:t>
      </w:r>
    </w:p>
    <w:p w:rsidR="003C01AB" w:rsidRDefault="003C01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1806" w:rsidRPr="0051095B" w:rsidRDefault="00B31806" w:rsidP="00B31806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Mærkning.</w:t>
      </w:r>
    </w:p>
    <w:p w:rsidR="000220A1" w:rsidRPr="0051095B" w:rsidRDefault="00B31806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Patienter, der er i behandling med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, og hvor hallucinationer, </w:t>
      </w:r>
      <w:proofErr w:type="spellStart"/>
      <w:r w:rsidRPr="0051095B">
        <w:rPr>
          <w:sz w:val="24"/>
          <w:szCs w:val="24"/>
        </w:rPr>
        <w:t>somnolens</w:t>
      </w:r>
      <w:proofErr w:type="spellEnd"/>
      <w:r w:rsidR="000220A1" w:rsidRPr="0051095B">
        <w:rPr>
          <w:sz w:val="24"/>
          <w:szCs w:val="24"/>
        </w:rPr>
        <w:t xml:space="preserve"> og/eller episoder med pludselig søvn forekommer, skal oplyses om, at de skal undlade at føre motorkøretøj eller deltage i aktiviteter (f.eks. betjening af maskiner), hvor nedsat opmærksomhed kan bringe deres eget eller andres liv og helbred i fare. Dette gælder indtil sådanne tilbagevendende episoder og </w:t>
      </w:r>
      <w:proofErr w:type="spellStart"/>
      <w:r w:rsidR="000220A1" w:rsidRPr="0051095B">
        <w:rPr>
          <w:sz w:val="24"/>
          <w:szCs w:val="24"/>
        </w:rPr>
        <w:t>somnolens</w:t>
      </w:r>
      <w:proofErr w:type="spellEnd"/>
      <w:r w:rsidR="000220A1" w:rsidRPr="0051095B">
        <w:rPr>
          <w:sz w:val="24"/>
          <w:szCs w:val="24"/>
        </w:rPr>
        <w:t xml:space="preserve"> er ophørt (se pkt. 4.4).</w:t>
      </w:r>
    </w:p>
    <w:p w:rsidR="000220A1" w:rsidRPr="0051095B" w:rsidRDefault="000220A1" w:rsidP="000220A1">
      <w:pPr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4.8</w:t>
      </w:r>
      <w:r w:rsidRPr="0051095B">
        <w:rPr>
          <w:b/>
          <w:sz w:val="24"/>
          <w:szCs w:val="24"/>
        </w:rPr>
        <w:tab/>
        <w:t>Bivirkninger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 xml:space="preserve">Bivirkninger er opdelt i organklasser og hyppighed nedenfor. Det er angivet, om disse bivirkninger er rapporteret i kliniske undersøgelser som monoterapi eller som tillægsbehandling til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Hyppigheden er defineret som: meget almindelig (≥1/10), almindelig (≥1/100 til &lt; 1/10), ikke almindelig (≥1/1.000 til &lt;1/100), sjælden (≥1/10.000 til &lt;1/1.000), meget sjælden (&lt;1/10.000), ikke kendt (kan ikke estimeres ud fra forhåndenværende data).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I hver frekvensgruppe er bivirkningerne angivet i forhold til, hvor alvorlige de er, med de alvorligste først.</w:t>
      </w:r>
    </w:p>
    <w:p w:rsidR="00687EF2" w:rsidRDefault="00687EF2" w:rsidP="00687EF2">
      <w:pPr>
        <w:ind w:left="851" w:hanging="851"/>
        <w:rPr>
          <w:sz w:val="24"/>
          <w:szCs w:val="24"/>
        </w:rPr>
      </w:pPr>
    </w:p>
    <w:p w:rsidR="00687EF2" w:rsidRDefault="00687EF2" w:rsidP="00687EF2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Følgende bivirkninger er rapporteret enten i kliniske undersøgelser med </w:t>
      </w:r>
      <w:proofErr w:type="spellStart"/>
      <w:r>
        <w:rPr>
          <w:sz w:val="24"/>
          <w:szCs w:val="24"/>
          <w:u w:val="single"/>
        </w:rPr>
        <w:t>ropinirol</w:t>
      </w:r>
      <w:proofErr w:type="spellEnd"/>
      <w:r>
        <w:rPr>
          <w:sz w:val="24"/>
          <w:szCs w:val="24"/>
          <w:u w:val="single"/>
        </w:rPr>
        <w:t xml:space="preserve"> depottabletter eller filmovertrukne tabletter ved Parkinsons sygdom i doser på op til 24 mg dagligt eller fra post-marketing rapporter.</w:t>
      </w:r>
    </w:p>
    <w:p w:rsidR="00687EF2" w:rsidRDefault="00687EF2" w:rsidP="00687EF2">
      <w:pPr>
        <w:ind w:left="851" w:hanging="851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948"/>
        <w:gridCol w:w="17"/>
        <w:gridCol w:w="3963"/>
      </w:tblGrid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 monoterapi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 tillægsbehandling</w:t>
            </w: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Immunsystemet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Overfølsomhedsreaktioner (herunder nældefeber, </w:t>
            </w:r>
            <w:proofErr w:type="spellStart"/>
            <w:r>
              <w:rPr>
                <w:sz w:val="24"/>
                <w:szCs w:val="24"/>
              </w:rPr>
              <w:t>angioødem</w:t>
            </w:r>
            <w:proofErr w:type="spellEnd"/>
            <w:r>
              <w:rPr>
                <w:sz w:val="24"/>
                <w:szCs w:val="24"/>
              </w:rPr>
              <w:t>, hududslæt, kløe)</w:t>
            </w: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Psykiske forstyrrelser</w:t>
            </w:r>
          </w:p>
        </w:tc>
      </w:tr>
      <w:tr w:rsidR="00687EF2" w:rsidTr="00687EF2">
        <w:trPr>
          <w:cantSplit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Hallucinationer</w:t>
            </w:r>
          </w:p>
        </w:tc>
      </w:tr>
      <w:tr w:rsidR="00687EF2" w:rsidTr="00687E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Forvirring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Psykiske reaktioner (andre end hallucinationer) herunder delirium, vrangforestillinger, paranoia.</w:t>
            </w:r>
          </w:p>
        </w:tc>
      </w:tr>
      <w:tr w:rsidR="00687EF2" w:rsidTr="00687EF2">
        <w:trPr>
          <w:cantSplit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Patologisk spillelyst, forøget libido, </w:t>
            </w:r>
            <w:proofErr w:type="spellStart"/>
            <w:r>
              <w:rPr>
                <w:sz w:val="24"/>
                <w:szCs w:val="24"/>
              </w:rPr>
              <w:t>hyperseksualitet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kompulsiv</w:t>
            </w:r>
            <w:proofErr w:type="spellEnd"/>
            <w:r>
              <w:rPr>
                <w:sz w:val="24"/>
                <w:szCs w:val="24"/>
              </w:rPr>
              <w:t xml:space="preserve"> brug af penge og indkøb, spiseorgie og tvangsspisning kan opstå hos patienter, der behandles med dopaminagonister, inklusive </w:t>
            </w:r>
            <w:proofErr w:type="spellStart"/>
            <w:r>
              <w:rPr>
                <w:sz w:val="24"/>
                <w:szCs w:val="24"/>
              </w:rPr>
              <w:t>ropinirol</w:t>
            </w:r>
            <w:proofErr w:type="spellEnd"/>
            <w:r>
              <w:rPr>
                <w:sz w:val="24"/>
                <w:szCs w:val="24"/>
              </w:rPr>
              <w:t xml:space="preserve"> (se pkt. 4.4)</w:t>
            </w:r>
          </w:p>
        </w:tc>
      </w:tr>
      <w:tr w:rsidR="00687EF2" w:rsidTr="00687E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Aggression*</w:t>
            </w:r>
          </w:p>
        </w:tc>
      </w:tr>
      <w:tr w:rsidR="00687EF2" w:rsidTr="00687E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Dopamin </w:t>
            </w:r>
            <w:proofErr w:type="spellStart"/>
            <w:r>
              <w:rPr>
                <w:sz w:val="24"/>
                <w:szCs w:val="24"/>
              </w:rPr>
              <w:t>dysreguleringssyndrom</w:t>
            </w:r>
            <w:proofErr w:type="spellEnd"/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Nervesystemet</w:t>
            </w:r>
          </w:p>
        </w:tc>
      </w:tr>
      <w:tr w:rsidR="00687EF2" w:rsidTr="00687EF2">
        <w:trPr>
          <w:cantSplit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  <w:r>
              <w:rPr>
                <w:sz w:val="24"/>
                <w:szCs w:val="24"/>
              </w:rPr>
              <w:t>**</w:t>
            </w:r>
          </w:p>
        </w:tc>
      </w:tr>
      <w:tr w:rsidR="00687EF2" w:rsidTr="00687E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Synkope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Dyskinesi</w:t>
            </w:r>
            <w:proofErr w:type="spellEnd"/>
            <w:r>
              <w:rPr>
                <w:color w:val="000000"/>
                <w:szCs w:val="22"/>
                <w:lang w:eastAsia="en-GB"/>
              </w:rPr>
              <w:t>***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Svimmelhed (inklusive </w:t>
            </w:r>
            <w:proofErr w:type="spellStart"/>
            <w:r>
              <w:rPr>
                <w:sz w:val="24"/>
                <w:szCs w:val="24"/>
              </w:rPr>
              <w:t>vertigo</w:t>
            </w:r>
            <w:proofErr w:type="spellEnd"/>
            <w:r>
              <w:rPr>
                <w:sz w:val="24"/>
                <w:szCs w:val="24"/>
              </w:rPr>
              <w:t>), pludselig indtræden af søvn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Udpræget </w:t>
            </w:r>
            <w:proofErr w:type="spellStart"/>
            <w:r>
              <w:rPr>
                <w:sz w:val="24"/>
                <w:szCs w:val="24"/>
              </w:rPr>
              <w:t>somnolens</w:t>
            </w:r>
            <w:proofErr w:type="spellEnd"/>
            <w:r>
              <w:rPr>
                <w:sz w:val="24"/>
                <w:szCs w:val="24"/>
              </w:rPr>
              <w:t xml:space="preserve"> i dagtimerne</w:t>
            </w: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Vaskulære</w:t>
            </w:r>
            <w:proofErr w:type="spellEnd"/>
            <w:r>
              <w:rPr>
                <w:i/>
                <w:sz w:val="24"/>
                <w:szCs w:val="24"/>
              </w:rPr>
              <w:t xml:space="preserve"> sygdomme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b/>
                <w:sz w:val="24"/>
                <w:szCs w:val="24"/>
              </w:rPr>
            </w:pP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hypotension, hypotension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Postural</w:t>
            </w:r>
            <w:proofErr w:type="spellEnd"/>
            <w:r>
              <w:rPr>
                <w:sz w:val="24"/>
                <w:szCs w:val="24"/>
              </w:rPr>
              <w:t xml:space="preserve"> hypotension, hypotension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b/>
                <w:sz w:val="24"/>
                <w:szCs w:val="24"/>
              </w:rPr>
            </w:pP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Luftveje, thorax og </w:t>
            </w:r>
            <w:proofErr w:type="spellStart"/>
            <w:r>
              <w:rPr>
                <w:i/>
                <w:sz w:val="24"/>
                <w:szCs w:val="24"/>
              </w:rPr>
              <w:t>mediastinum</w:t>
            </w:r>
            <w:proofErr w:type="spellEnd"/>
          </w:p>
        </w:tc>
      </w:tr>
      <w:tr w:rsidR="00687EF2" w:rsidTr="00687EF2">
        <w:trPr>
          <w:cantSplit/>
          <w:trHeight w:val="385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Ikke almindelig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Hikke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i/>
                <w:sz w:val="24"/>
                <w:szCs w:val="24"/>
              </w:rPr>
            </w:pP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Mave-tarm-kanalen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Meget almindelig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Kvalme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Kvalme****</w:t>
            </w:r>
          </w:p>
        </w:tc>
      </w:tr>
      <w:tr w:rsidR="00687EF2" w:rsidTr="00687EF2">
        <w:trPr>
          <w:cantSplit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Obstipation, halsbrand</w:t>
            </w:r>
          </w:p>
        </w:tc>
      </w:tr>
      <w:tr w:rsidR="00687EF2" w:rsidTr="00687E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Opkastning, mavesmerter</w:t>
            </w:r>
          </w:p>
        </w:tc>
        <w:tc>
          <w:tcPr>
            <w:tcW w:w="2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Lever og galdeveje</w:t>
            </w:r>
          </w:p>
        </w:tc>
      </w:tr>
      <w:tr w:rsidR="00687EF2" w:rsidTr="00687EF2">
        <w:trPr>
          <w:cantSplit/>
          <w:trHeight w:val="411"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Leverreaktioner, især forhøjede leverenzymer</w:t>
            </w: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Det reproduktive system og mammae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Spontan penis erektion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2" w:rsidRDefault="00687EF2">
            <w:pPr>
              <w:rPr>
                <w:i/>
                <w:sz w:val="24"/>
                <w:szCs w:val="24"/>
              </w:rPr>
            </w:pPr>
          </w:p>
        </w:tc>
      </w:tr>
      <w:tr w:rsidR="00687EF2" w:rsidTr="00687EF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Almene symptomer og reaktioner på administrationsstedet</w:t>
            </w:r>
          </w:p>
        </w:tc>
      </w:tr>
      <w:tr w:rsidR="00687EF2" w:rsidTr="00687EF2">
        <w:trPr>
          <w:cantSplit/>
        </w:trPr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Perifert ødem</w:t>
            </w:r>
          </w:p>
        </w:tc>
      </w:tr>
      <w:tr w:rsidR="00687EF2" w:rsidTr="00687EF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EF2" w:rsidRDefault="00687EF2">
            <w:pPr>
              <w:rPr>
                <w:sz w:val="24"/>
                <w:szCs w:val="24"/>
              </w:rPr>
            </w:pP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Ødem i benene</w:t>
            </w:r>
          </w:p>
        </w:tc>
      </w:tr>
      <w:tr w:rsidR="00687EF2" w:rsidTr="00687EF2">
        <w:trPr>
          <w:cantSplit/>
        </w:trPr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F2" w:rsidRDefault="00687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Dopaminagonist </w:t>
            </w:r>
            <w:proofErr w:type="spellStart"/>
            <w:r>
              <w:rPr>
                <w:sz w:val="24"/>
                <w:szCs w:val="24"/>
              </w:rPr>
              <w:t>seponeringssyndrom</w:t>
            </w:r>
            <w:proofErr w:type="spellEnd"/>
            <w:r>
              <w:rPr>
                <w:sz w:val="24"/>
                <w:szCs w:val="24"/>
              </w:rPr>
              <w:t>, (herunder apati, angst, depression, træthed, øget svedtendens og smerter*****)</w:t>
            </w:r>
          </w:p>
        </w:tc>
      </w:tr>
    </w:tbl>
    <w:p w:rsidR="00687EF2" w:rsidRDefault="00687EF2" w:rsidP="00687EF2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  <w:t xml:space="preserve">Aggression har været forbundet med psykiske reaktioner og </w:t>
      </w:r>
      <w:proofErr w:type="spellStart"/>
      <w:r>
        <w:rPr>
          <w:sz w:val="22"/>
          <w:szCs w:val="22"/>
        </w:rPr>
        <w:t>kompulsive</w:t>
      </w:r>
      <w:proofErr w:type="spellEnd"/>
      <w:r>
        <w:rPr>
          <w:sz w:val="22"/>
          <w:szCs w:val="22"/>
        </w:rPr>
        <w:t xml:space="preserve"> symptomer.</w:t>
      </w:r>
    </w:p>
    <w:p w:rsidR="00687EF2" w:rsidRDefault="00687EF2" w:rsidP="00687EF2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>**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Somnolens</w:t>
      </w:r>
      <w:proofErr w:type="spellEnd"/>
      <w:r>
        <w:rPr>
          <w:sz w:val="22"/>
          <w:szCs w:val="22"/>
        </w:rPr>
        <w:t xml:space="preserve"> er rapporteret som meget almindeligt i kliniske studier med tillægsbehandling med filmovertrukne tabletter og rapporteret som almindeligt i kliniske studier med tillægsbehandling med depottabletter.</w:t>
      </w:r>
    </w:p>
    <w:p w:rsidR="00687EF2" w:rsidRDefault="00687EF2" w:rsidP="00687EF2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>***</w:t>
      </w:r>
      <w:r>
        <w:rPr>
          <w:sz w:val="22"/>
          <w:szCs w:val="22"/>
        </w:rPr>
        <w:tab/>
        <w:t xml:space="preserve">Hos patienter med fremskreden Parkinsons sygdom, kan der opstå </w:t>
      </w:r>
      <w:proofErr w:type="spellStart"/>
      <w:r>
        <w:rPr>
          <w:sz w:val="22"/>
          <w:szCs w:val="22"/>
        </w:rPr>
        <w:t>dyskinesier</w:t>
      </w:r>
      <w:proofErr w:type="spellEnd"/>
      <w:r>
        <w:rPr>
          <w:sz w:val="22"/>
          <w:szCs w:val="22"/>
        </w:rPr>
        <w:t xml:space="preserve"> under den første titreringsperiode med </w:t>
      </w:r>
      <w:proofErr w:type="spellStart"/>
      <w:r>
        <w:rPr>
          <w:sz w:val="22"/>
          <w:szCs w:val="22"/>
        </w:rPr>
        <w:t>ropinirol</w:t>
      </w:r>
      <w:proofErr w:type="spellEnd"/>
      <w:r>
        <w:rPr>
          <w:sz w:val="22"/>
          <w:szCs w:val="22"/>
        </w:rPr>
        <w:t xml:space="preserve">. Kliniske studier har vist, at en reduktion af </w:t>
      </w:r>
      <w:proofErr w:type="spellStart"/>
      <w:r>
        <w:rPr>
          <w:sz w:val="22"/>
          <w:szCs w:val="22"/>
        </w:rPr>
        <w:t>levodopa</w:t>
      </w:r>
      <w:proofErr w:type="spellEnd"/>
      <w:r>
        <w:rPr>
          <w:sz w:val="22"/>
          <w:szCs w:val="22"/>
        </w:rPr>
        <w:t xml:space="preserve">-dosis kan forbedre </w:t>
      </w:r>
      <w:proofErr w:type="spellStart"/>
      <w:r>
        <w:rPr>
          <w:sz w:val="22"/>
          <w:szCs w:val="22"/>
        </w:rPr>
        <w:t>dyskinesi</w:t>
      </w:r>
      <w:proofErr w:type="spellEnd"/>
      <w:r>
        <w:rPr>
          <w:sz w:val="22"/>
          <w:szCs w:val="22"/>
        </w:rPr>
        <w:t xml:space="preserve"> (se pkt. 4.2).</w:t>
      </w:r>
    </w:p>
    <w:p w:rsidR="00687EF2" w:rsidRDefault="00687EF2" w:rsidP="00687EF2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>****</w:t>
      </w:r>
      <w:r>
        <w:rPr>
          <w:sz w:val="22"/>
          <w:szCs w:val="22"/>
        </w:rPr>
        <w:tab/>
        <w:t xml:space="preserve">Kvalme er rapporteret som meget almindeligt i kliniske studier med tillægsbehandling med filmovertrukne tabletter og rapporteret som almindeligt i kliniske studier med tillægsbehandling med depottabletter. </w:t>
      </w:r>
    </w:p>
    <w:p w:rsidR="00673DA0" w:rsidRDefault="00687EF2" w:rsidP="00687EF2">
      <w:pPr>
        <w:ind w:left="851" w:hanging="851"/>
        <w:rPr>
          <w:sz w:val="22"/>
          <w:szCs w:val="22"/>
        </w:rPr>
      </w:pPr>
      <w:r>
        <w:rPr>
          <w:sz w:val="22"/>
          <w:szCs w:val="22"/>
        </w:rPr>
        <w:t>*****</w:t>
      </w:r>
      <w:r>
        <w:rPr>
          <w:sz w:val="22"/>
          <w:szCs w:val="22"/>
        </w:rPr>
        <w:tab/>
        <w:t xml:space="preserve">Non-motoriske bivirkninger kan forekomme ved nedtrapning eller </w:t>
      </w:r>
      <w:proofErr w:type="spellStart"/>
      <w:r>
        <w:rPr>
          <w:sz w:val="22"/>
          <w:szCs w:val="22"/>
        </w:rPr>
        <w:t>seponering</w:t>
      </w:r>
      <w:proofErr w:type="spellEnd"/>
      <w:r>
        <w:rPr>
          <w:sz w:val="22"/>
          <w:szCs w:val="22"/>
        </w:rPr>
        <w:t xml:space="preserve"> af dopaminagonister,</w:t>
      </w:r>
    </w:p>
    <w:p w:rsidR="00687EF2" w:rsidRPr="00532CB1" w:rsidRDefault="00687EF2" w:rsidP="00687EF2">
      <w:pPr>
        <w:ind w:left="851"/>
        <w:rPr>
          <w:sz w:val="24"/>
          <w:szCs w:val="24"/>
        </w:rPr>
      </w:pPr>
    </w:p>
    <w:p w:rsidR="00673DA0" w:rsidRPr="00532CB1" w:rsidRDefault="00673DA0" w:rsidP="00673DA0">
      <w:pPr>
        <w:pStyle w:val="Sidehoved"/>
        <w:ind w:left="851"/>
        <w:rPr>
          <w:szCs w:val="24"/>
          <w:u w:val="single"/>
        </w:rPr>
      </w:pPr>
      <w:r w:rsidRPr="00532CB1">
        <w:rPr>
          <w:szCs w:val="24"/>
          <w:u w:val="single"/>
        </w:rPr>
        <w:t>Indberetning af formodede bivirkninger</w:t>
      </w:r>
    </w:p>
    <w:p w:rsidR="00673DA0" w:rsidRPr="00532CB1" w:rsidRDefault="00673DA0" w:rsidP="00673DA0">
      <w:pPr>
        <w:ind w:left="851"/>
        <w:rPr>
          <w:sz w:val="24"/>
          <w:szCs w:val="24"/>
        </w:rPr>
      </w:pPr>
      <w:r w:rsidRPr="00532CB1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532CB1">
        <w:rPr>
          <w:sz w:val="24"/>
          <w:szCs w:val="24"/>
        </w:rPr>
        <w:t>risk</w:t>
      </w:r>
      <w:proofErr w:type="spellEnd"/>
      <w:r w:rsidRPr="00532CB1">
        <w:rPr>
          <w:sz w:val="24"/>
          <w:szCs w:val="24"/>
        </w:rPr>
        <w:t>-forholdet for lægemidlet. Sundhedspersoner anmodes om at indberette alle formodede bivirkninger via</w:t>
      </w:r>
    </w:p>
    <w:p w:rsidR="00673DA0" w:rsidRPr="00532CB1" w:rsidRDefault="00673DA0" w:rsidP="00673DA0">
      <w:pPr>
        <w:ind w:left="851"/>
        <w:rPr>
          <w:sz w:val="24"/>
          <w:szCs w:val="24"/>
        </w:rPr>
      </w:pPr>
    </w:p>
    <w:p w:rsidR="00673DA0" w:rsidRPr="00532CB1" w:rsidRDefault="00673DA0" w:rsidP="00673DA0">
      <w:pPr>
        <w:ind w:left="851"/>
        <w:rPr>
          <w:sz w:val="24"/>
          <w:szCs w:val="24"/>
        </w:rPr>
      </w:pPr>
      <w:r w:rsidRPr="00532CB1">
        <w:rPr>
          <w:sz w:val="24"/>
          <w:szCs w:val="24"/>
        </w:rPr>
        <w:t>Lægemiddelstyrelsen</w:t>
      </w:r>
    </w:p>
    <w:p w:rsidR="00673DA0" w:rsidRPr="00532CB1" w:rsidRDefault="00673DA0" w:rsidP="00673DA0">
      <w:pPr>
        <w:ind w:left="851"/>
        <w:rPr>
          <w:sz w:val="24"/>
          <w:szCs w:val="24"/>
        </w:rPr>
      </w:pPr>
      <w:r w:rsidRPr="00532CB1">
        <w:rPr>
          <w:sz w:val="24"/>
          <w:szCs w:val="24"/>
        </w:rPr>
        <w:t>Axel Heides Gade 1</w:t>
      </w:r>
    </w:p>
    <w:p w:rsidR="00673DA0" w:rsidRPr="00532CB1" w:rsidRDefault="00673DA0" w:rsidP="00673DA0">
      <w:pPr>
        <w:ind w:left="851"/>
        <w:rPr>
          <w:sz w:val="24"/>
          <w:szCs w:val="24"/>
        </w:rPr>
      </w:pPr>
      <w:r w:rsidRPr="00532CB1">
        <w:rPr>
          <w:sz w:val="24"/>
          <w:szCs w:val="24"/>
        </w:rPr>
        <w:t>DK-2300 København S</w:t>
      </w:r>
    </w:p>
    <w:p w:rsidR="00673DA0" w:rsidRPr="00532CB1" w:rsidRDefault="00673DA0" w:rsidP="00673DA0">
      <w:pPr>
        <w:ind w:left="851"/>
        <w:rPr>
          <w:sz w:val="24"/>
          <w:szCs w:val="24"/>
        </w:rPr>
      </w:pPr>
      <w:r w:rsidRPr="00532CB1">
        <w:rPr>
          <w:sz w:val="24"/>
          <w:szCs w:val="24"/>
        </w:rPr>
        <w:t xml:space="preserve">Websted: </w:t>
      </w:r>
      <w:hyperlink r:id="rId8" w:tooltip="http://www.meldenbivirkning.dk/" w:history="1">
        <w:r w:rsidRPr="00532CB1">
          <w:rPr>
            <w:rStyle w:val="Hyperlink"/>
            <w:color w:val="0000FF"/>
            <w:sz w:val="24"/>
            <w:szCs w:val="24"/>
          </w:rPr>
          <w:t>www.meldenbivirkning.dk</w:t>
        </w:r>
      </w:hyperlink>
    </w:p>
    <w:p w:rsidR="000220A1" w:rsidRPr="00532CB1" w:rsidRDefault="000220A1" w:rsidP="00673DA0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4.9</w:t>
      </w:r>
      <w:r w:rsidRPr="0051095B">
        <w:rPr>
          <w:b/>
          <w:sz w:val="24"/>
          <w:szCs w:val="24"/>
        </w:rPr>
        <w:tab/>
        <w:t>Overdosering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 xml:space="preserve">Symptomerne på overdosering med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relateret til dets </w:t>
      </w:r>
      <w:proofErr w:type="spellStart"/>
      <w:r w:rsidRPr="0051095B">
        <w:rPr>
          <w:sz w:val="24"/>
          <w:szCs w:val="24"/>
        </w:rPr>
        <w:t>dopaminerge</w:t>
      </w:r>
      <w:proofErr w:type="spellEnd"/>
      <w:r w:rsidRPr="0051095B">
        <w:rPr>
          <w:sz w:val="24"/>
          <w:szCs w:val="24"/>
        </w:rPr>
        <w:t xml:space="preserve"> aktivitet. Disse symptomer kan lindres ved relevant behandling med dopaminantagonister, såsom </w:t>
      </w:r>
      <w:proofErr w:type="spellStart"/>
      <w:r w:rsidRPr="0051095B">
        <w:rPr>
          <w:sz w:val="24"/>
          <w:szCs w:val="24"/>
        </w:rPr>
        <w:t>neuroleptika</w:t>
      </w:r>
      <w:proofErr w:type="spellEnd"/>
      <w:r w:rsidRPr="0051095B">
        <w:rPr>
          <w:sz w:val="24"/>
          <w:szCs w:val="24"/>
        </w:rPr>
        <w:t xml:space="preserve"> eller </w:t>
      </w:r>
      <w:proofErr w:type="spellStart"/>
      <w:r w:rsidRPr="0051095B">
        <w:rPr>
          <w:sz w:val="24"/>
          <w:szCs w:val="24"/>
        </w:rPr>
        <w:t>metoclopramid</w:t>
      </w:r>
      <w:proofErr w:type="spellEnd"/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4.10</w:t>
      </w:r>
      <w:r w:rsidRPr="0051095B">
        <w:rPr>
          <w:b/>
          <w:sz w:val="24"/>
          <w:szCs w:val="24"/>
        </w:rPr>
        <w:tab/>
        <w:t>Udlevering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B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1876D0" w:rsidRPr="00C84483" w:rsidRDefault="001876D0" w:rsidP="001876D0">
      <w:pPr>
        <w:tabs>
          <w:tab w:val="left" w:pos="851"/>
        </w:tabs>
        <w:ind w:left="851"/>
        <w:rPr>
          <w:sz w:val="24"/>
          <w:szCs w:val="24"/>
        </w:rPr>
      </w:pPr>
    </w:p>
    <w:p w:rsidR="001876D0" w:rsidRPr="00C84483" w:rsidRDefault="001876D0" w:rsidP="001876D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D70AD" w:rsidRPr="0051095B" w:rsidRDefault="006D70AD" w:rsidP="00532CB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51095B">
        <w:rPr>
          <w:sz w:val="24"/>
          <w:szCs w:val="24"/>
        </w:rPr>
        <w:t>D</w:t>
      </w:r>
      <w:r>
        <w:rPr>
          <w:sz w:val="24"/>
          <w:szCs w:val="24"/>
        </w:rPr>
        <w:t>opaminerge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stoffer,d</w:t>
      </w:r>
      <w:r w:rsidRPr="0051095B">
        <w:rPr>
          <w:sz w:val="24"/>
          <w:szCs w:val="24"/>
        </w:rPr>
        <w:t>opaminagonister</w:t>
      </w:r>
      <w:proofErr w:type="spellEnd"/>
      <w:proofErr w:type="gramEnd"/>
      <w:r w:rsidR="00532CB1">
        <w:rPr>
          <w:sz w:val="24"/>
          <w:szCs w:val="24"/>
        </w:rPr>
        <w:t xml:space="preserve">, </w:t>
      </w:r>
      <w:r w:rsidR="00532CB1" w:rsidRPr="0051095B">
        <w:rPr>
          <w:sz w:val="24"/>
          <w:szCs w:val="24"/>
        </w:rPr>
        <w:t>ATC-kode: N04BC04.</w:t>
      </w:r>
    </w:p>
    <w:p w:rsidR="000220A1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tabs>
          <w:tab w:val="left" w:pos="851"/>
        </w:tabs>
        <w:ind w:left="851"/>
        <w:rPr>
          <w:u w:val="single"/>
        </w:rPr>
      </w:pPr>
      <w:r w:rsidRPr="0051095B">
        <w:rPr>
          <w:u w:val="single"/>
        </w:rPr>
        <w:lastRenderedPageBreak/>
        <w:t>Virkningsmekanisme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en non</w:t>
      </w:r>
      <w:r w:rsidRPr="0051095B">
        <w:rPr>
          <w:sz w:val="24"/>
          <w:szCs w:val="24"/>
        </w:rPr>
        <w:noBreakHyphen/>
      </w:r>
      <w:proofErr w:type="spellStart"/>
      <w:r w:rsidRPr="0051095B">
        <w:rPr>
          <w:sz w:val="24"/>
          <w:szCs w:val="24"/>
        </w:rPr>
        <w:t>ergolin</w:t>
      </w:r>
      <w:proofErr w:type="spellEnd"/>
      <w:r w:rsidRPr="0051095B">
        <w:rPr>
          <w:sz w:val="24"/>
          <w:szCs w:val="24"/>
        </w:rPr>
        <w:t xml:space="preserve"> D2/D3 dopaminagonist, som stimulerer </w:t>
      </w:r>
      <w:proofErr w:type="spellStart"/>
      <w:r w:rsidRPr="0051095B">
        <w:rPr>
          <w:sz w:val="24"/>
          <w:szCs w:val="24"/>
        </w:rPr>
        <w:t>striatale</w:t>
      </w:r>
      <w:proofErr w:type="spellEnd"/>
      <w:r w:rsidRPr="0051095B">
        <w:rPr>
          <w:sz w:val="24"/>
          <w:szCs w:val="24"/>
        </w:rPr>
        <w:t xml:space="preserve"> dopamin</w:t>
      </w:r>
      <w:r w:rsidRPr="0051095B">
        <w:rPr>
          <w:sz w:val="24"/>
          <w:szCs w:val="24"/>
        </w:rPr>
        <w:softHyphen/>
        <w:t>receptorer.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afhjælper manglen på dopamin, som karakteriserer Parkinsons sygdom ved at stimulere </w:t>
      </w:r>
      <w:proofErr w:type="spellStart"/>
      <w:r w:rsidRPr="0051095B">
        <w:rPr>
          <w:sz w:val="24"/>
          <w:szCs w:val="24"/>
        </w:rPr>
        <w:t>striatale</w:t>
      </w:r>
      <w:proofErr w:type="spellEnd"/>
      <w:r w:rsidRPr="0051095B">
        <w:rPr>
          <w:sz w:val="24"/>
          <w:szCs w:val="24"/>
        </w:rPr>
        <w:t xml:space="preserve"> dopaminreceptorer.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udøver sin virkning i </w:t>
      </w:r>
      <w:proofErr w:type="spellStart"/>
      <w:r w:rsidRPr="0051095B">
        <w:rPr>
          <w:sz w:val="24"/>
          <w:szCs w:val="24"/>
        </w:rPr>
        <w:t>hypothalamus</w:t>
      </w:r>
      <w:proofErr w:type="spellEnd"/>
      <w:r w:rsidRPr="0051095B">
        <w:rPr>
          <w:sz w:val="24"/>
          <w:szCs w:val="24"/>
        </w:rPr>
        <w:t xml:space="preserve"> og hypofysen ved at hæmme sekretionen af </w:t>
      </w:r>
      <w:proofErr w:type="spellStart"/>
      <w:r w:rsidRPr="0051095B">
        <w:rPr>
          <w:sz w:val="24"/>
          <w:szCs w:val="24"/>
        </w:rPr>
        <w:t>prolactin</w:t>
      </w:r>
      <w:proofErr w:type="spellEnd"/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Klinisk virkning og sikkerhed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Et 36-ugers dobbeltblindet cross-over-studie med monoterapi over 3 perioder, udført hos 161 patienter med Parkinsons sygdom i tidlig fase, viste at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var ligeværdige i forhold til konventionelle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-filmovertrukne tabletter med hensyn til det primære effektmål, som var behandlingsforskellen i ændring fra baseline i "the </w:t>
      </w:r>
      <w:proofErr w:type="spellStart"/>
      <w:r w:rsidRPr="0051095B">
        <w:rPr>
          <w:sz w:val="24"/>
          <w:szCs w:val="24"/>
        </w:rPr>
        <w:t>Unified</w:t>
      </w:r>
      <w:proofErr w:type="spellEnd"/>
      <w:r w:rsidRPr="0051095B">
        <w:rPr>
          <w:sz w:val="24"/>
          <w:szCs w:val="24"/>
        </w:rPr>
        <w:t xml:space="preserve"> </w:t>
      </w:r>
      <w:proofErr w:type="spellStart"/>
      <w:r w:rsidRPr="0051095B">
        <w:rPr>
          <w:sz w:val="24"/>
          <w:szCs w:val="24"/>
        </w:rPr>
        <w:t>Parkinson’s</w:t>
      </w:r>
      <w:proofErr w:type="spellEnd"/>
      <w:r w:rsidRPr="0051095B">
        <w:rPr>
          <w:sz w:val="24"/>
          <w:szCs w:val="24"/>
        </w:rPr>
        <w:t xml:space="preserve"> </w:t>
      </w:r>
      <w:proofErr w:type="spellStart"/>
      <w:r w:rsidRPr="0051095B">
        <w:rPr>
          <w:sz w:val="24"/>
          <w:szCs w:val="24"/>
        </w:rPr>
        <w:t>Disease</w:t>
      </w:r>
      <w:proofErr w:type="spellEnd"/>
      <w:r w:rsidRPr="0051095B">
        <w:rPr>
          <w:sz w:val="24"/>
          <w:szCs w:val="24"/>
        </w:rPr>
        <w:t xml:space="preserve"> Rating </w:t>
      </w:r>
      <w:proofErr w:type="spellStart"/>
      <w:r w:rsidRPr="0051095B">
        <w:rPr>
          <w:sz w:val="24"/>
          <w:szCs w:val="24"/>
        </w:rPr>
        <w:t>Scale</w:t>
      </w:r>
      <w:proofErr w:type="spellEnd"/>
      <w:r w:rsidRPr="0051095B">
        <w:rPr>
          <w:sz w:val="24"/>
          <w:szCs w:val="24"/>
        </w:rPr>
        <w:t xml:space="preserve">" (UPDRS) bevægelsesscore (der var defineret en 3 points non-inferioritetsmargin på UPDRS bevægelsesscore). Den justerede gennemsnitsforskel mellem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og konventionelle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>-filmovertrukne tabletter ved studiets effektmål var -0,7 point (95 % CI: [-1,51; 0,10], p=0,0842).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Efter skift til den samme dosis med den alternative tabletformulering fra den ene dag til den anden, var der ingen forskel i bivirkningsprofilen, og hos færre end 3 % af patienterne skulle dosis justeres (alle dosisjusteringer var øgning med et dosistrin. Hos ingen af patienterne skulle dosis nedjusteres).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Et 24 ugers dobbeltblindet, placebokontrolleret studie i parallelle grupper med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hos Parkinson-patienter, som ikke var optimalt kontrolleret med </w:t>
      </w:r>
      <w:proofErr w:type="spellStart"/>
      <w:r w:rsidRPr="0051095B">
        <w:rPr>
          <w:sz w:val="24"/>
          <w:szCs w:val="24"/>
        </w:rPr>
        <w:t>levodopa</w:t>
      </w:r>
      <w:proofErr w:type="spellEnd"/>
      <w:r w:rsidRPr="0051095B">
        <w:rPr>
          <w:sz w:val="24"/>
          <w:szCs w:val="24"/>
        </w:rPr>
        <w:t>, viste en klinisk relevant og statistisk signifikant fordel i forhold til placebo på det primære effektmål, som var ændringen fra baseline i vågen tid "</w:t>
      </w:r>
      <w:proofErr w:type="spellStart"/>
      <w:r w:rsidRPr="0051095B">
        <w:rPr>
          <w:sz w:val="24"/>
          <w:szCs w:val="24"/>
        </w:rPr>
        <w:t>off</w:t>
      </w:r>
      <w:proofErr w:type="spellEnd"/>
      <w:r w:rsidRPr="0051095B">
        <w:rPr>
          <w:sz w:val="24"/>
          <w:szCs w:val="24"/>
        </w:rPr>
        <w:t xml:space="preserve">" (justeret gennemsnitlig behandlingsforskel var -1,7 timer (95 % CI: [-2,34; -1,09], p&lt;0,0001)). Dette blev understøttet af sekundære effektparametre, som var ændring fra baseline i total vågentid "on" (+1,7 timer (95 % CI: [1,06; 2,33], p&lt;0,0001) og total vågentid "on" uden generende </w:t>
      </w:r>
      <w:proofErr w:type="spellStart"/>
      <w:r w:rsidRPr="0051095B">
        <w:rPr>
          <w:sz w:val="24"/>
          <w:szCs w:val="24"/>
        </w:rPr>
        <w:t>dyskinesier</w:t>
      </w:r>
      <w:proofErr w:type="spellEnd"/>
      <w:r w:rsidRPr="0051095B">
        <w:rPr>
          <w:sz w:val="24"/>
          <w:szCs w:val="24"/>
        </w:rPr>
        <w:t xml:space="preserve"> (+1,5 timer (95 % CI: [0,85; 2,13], p&lt;0,0001). Det var vigtigt, at der ingen indikation var af en stigning fra baseline i vågentid "on" med generende </w:t>
      </w:r>
      <w:proofErr w:type="spellStart"/>
      <w:r w:rsidRPr="0051095B">
        <w:rPr>
          <w:sz w:val="24"/>
          <w:szCs w:val="24"/>
        </w:rPr>
        <w:t>dyskinesier</w:t>
      </w:r>
      <w:proofErr w:type="spellEnd"/>
      <w:r w:rsidRPr="0051095B">
        <w:rPr>
          <w:sz w:val="24"/>
          <w:szCs w:val="24"/>
        </w:rPr>
        <w:t xml:space="preserve">, hverken fra dagbogsdata eller fra </w:t>
      </w:r>
      <w:r w:rsidR="00D31669" w:rsidRPr="0051095B">
        <w:rPr>
          <w:sz w:val="24"/>
          <w:szCs w:val="24"/>
        </w:rPr>
        <w:t>UPDRS-observationer</w:t>
      </w:r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 xml:space="preserve">Studie af </w:t>
      </w:r>
      <w:proofErr w:type="spellStart"/>
      <w:r w:rsidRPr="0051095B">
        <w:rPr>
          <w:sz w:val="24"/>
          <w:szCs w:val="24"/>
          <w:u w:val="single"/>
        </w:rPr>
        <w:t>ropinirols</w:t>
      </w:r>
      <w:proofErr w:type="spellEnd"/>
      <w:r w:rsidRPr="0051095B">
        <w:rPr>
          <w:sz w:val="24"/>
          <w:szCs w:val="24"/>
          <w:u w:val="single"/>
        </w:rPr>
        <w:t xml:space="preserve"> virkning på </w:t>
      </w:r>
      <w:proofErr w:type="spellStart"/>
      <w:r w:rsidRPr="0051095B">
        <w:rPr>
          <w:sz w:val="24"/>
          <w:szCs w:val="24"/>
          <w:u w:val="single"/>
        </w:rPr>
        <w:t>kardiel</w:t>
      </w:r>
      <w:proofErr w:type="spellEnd"/>
      <w:r w:rsidRPr="0051095B">
        <w:rPr>
          <w:sz w:val="24"/>
          <w:szCs w:val="24"/>
          <w:u w:val="single"/>
        </w:rPr>
        <w:t xml:space="preserve"> </w:t>
      </w:r>
      <w:proofErr w:type="spellStart"/>
      <w:r w:rsidRPr="0051095B">
        <w:rPr>
          <w:sz w:val="24"/>
          <w:szCs w:val="24"/>
          <w:u w:val="single"/>
        </w:rPr>
        <w:t>repolarisering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Et gennemgribende QT-studie udført med raske mandlige og kvindelige frivillige forsøgspersoner, der fik doser på 0,5, 1, 2 og 4 mg konventionelle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filmovertrukne tabletter en gang daglig, viste sammenlignet med placebo, en maksimal forlængelse af QT-intervallet på 3,46 millisekunder (punkt estimat) ved en dosis på 1 mg. Den øvre grænse for det ensidede 95 % konfidensinterval for den største gennemsnitlige virkning var mindre end 7,5 millisekunder. </w:t>
      </w:r>
      <w:proofErr w:type="spellStart"/>
      <w:r w:rsidRPr="0051095B">
        <w:rPr>
          <w:sz w:val="24"/>
          <w:szCs w:val="24"/>
        </w:rPr>
        <w:t>Ropinirols</w:t>
      </w:r>
      <w:proofErr w:type="spellEnd"/>
      <w:r w:rsidRPr="0051095B">
        <w:rPr>
          <w:sz w:val="24"/>
          <w:szCs w:val="24"/>
        </w:rPr>
        <w:t xml:space="preserve"> virkning ved højere doser er ikke systematisk undersøgt.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De tilgængelige data fra et gennemgribende QT-studie indikerer ingen risiko for QT-forlængelse ved doser op til 4 mg/dag. Risikoen for forlænget QT-interval kan ikke udelukkes, da der ikke er foretaget et gennemgribende QT-studie ved doser på op til 24</w:t>
      </w:r>
      <w:r w:rsidR="005D161A">
        <w:rPr>
          <w:sz w:val="24"/>
          <w:szCs w:val="24"/>
        </w:rPr>
        <w:t> </w:t>
      </w:r>
      <w:r w:rsidRPr="0051095B">
        <w:rPr>
          <w:sz w:val="24"/>
          <w:szCs w:val="24"/>
        </w:rPr>
        <w:t>mg/dag.</w:t>
      </w:r>
    </w:p>
    <w:p w:rsidR="005D161A" w:rsidRDefault="005D16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20A1" w:rsidRPr="0051095B" w:rsidRDefault="000220A1" w:rsidP="000220A1">
      <w:pPr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5.2</w:t>
      </w:r>
      <w:r w:rsidRPr="0051095B">
        <w:rPr>
          <w:b/>
          <w:sz w:val="24"/>
          <w:szCs w:val="24"/>
        </w:rPr>
        <w:tab/>
      </w:r>
      <w:proofErr w:type="spellStart"/>
      <w:r w:rsidRPr="0051095B">
        <w:rPr>
          <w:b/>
          <w:sz w:val="24"/>
          <w:szCs w:val="24"/>
        </w:rPr>
        <w:t>Farmakokinetiske</w:t>
      </w:r>
      <w:proofErr w:type="spellEnd"/>
      <w:r w:rsidRPr="0051095B">
        <w:rPr>
          <w:b/>
          <w:sz w:val="24"/>
          <w:szCs w:val="24"/>
        </w:rPr>
        <w:t xml:space="preserve"> egenskaber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sz w:val="24"/>
          <w:szCs w:val="24"/>
          <w:u w:val="single"/>
        </w:rPr>
      </w:pPr>
      <w:r w:rsidRPr="0051095B">
        <w:rPr>
          <w:sz w:val="24"/>
          <w:szCs w:val="24"/>
        </w:rPr>
        <w:tab/>
      </w:r>
      <w:r w:rsidRPr="0051095B">
        <w:rPr>
          <w:sz w:val="24"/>
          <w:szCs w:val="24"/>
          <w:u w:val="single"/>
        </w:rPr>
        <w:t>Absorption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Ropinirols</w:t>
      </w:r>
      <w:proofErr w:type="spellEnd"/>
      <w:r w:rsidRPr="0051095B">
        <w:rPr>
          <w:sz w:val="24"/>
          <w:szCs w:val="24"/>
        </w:rPr>
        <w:t xml:space="preserve"> biotilgængelighed er ca. 50 % (36-57 %). Efter peroral administration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stiger plasmakoncentrationen langsomt med en gennemsnitlig tid til 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på mellem 6 og 10 timer. 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I et </w:t>
      </w:r>
      <w:proofErr w:type="spellStart"/>
      <w:r w:rsidRPr="0051095B">
        <w:rPr>
          <w:sz w:val="24"/>
          <w:szCs w:val="24"/>
        </w:rPr>
        <w:t>steady</w:t>
      </w:r>
      <w:proofErr w:type="spellEnd"/>
      <w:r w:rsidRPr="0051095B">
        <w:rPr>
          <w:sz w:val="24"/>
          <w:szCs w:val="24"/>
        </w:rPr>
        <w:t xml:space="preserve">-state-studie med 25 patienter med Parkinsons sygdom, som fik en dosis på 12 mg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en gang daglig, øgede et fedtholdigt måltid den systemiske eksponering for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med en gennemsnitlig stigning på 20 % i AUC og en gennemsnitlig stigning på 44 % i 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. </w:t>
      </w:r>
      <w:proofErr w:type="spellStart"/>
      <w:r w:rsidRPr="0051095B">
        <w:rPr>
          <w:sz w:val="24"/>
          <w:szCs w:val="24"/>
        </w:rPr>
        <w:t>T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blev forlænget med 3,0 timer. Det er imidlertid ikke sandsynligt, at disse ændringer er klinisk relevante (f.eks. øget hyppighed af bivirkninger).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D31669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Den systemiske eksponering for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sammenlignelig for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og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filmovertrukne tabletter (konventionelle), baseret på den samme daglige dosis.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Fordeling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Ropinirols</w:t>
      </w:r>
      <w:proofErr w:type="spellEnd"/>
      <w:r w:rsidRPr="0051095B">
        <w:rPr>
          <w:sz w:val="24"/>
          <w:szCs w:val="24"/>
        </w:rPr>
        <w:t xml:space="preserve"> plasmaproteinbinding er lav (10</w:t>
      </w:r>
      <w:r w:rsidRPr="0051095B">
        <w:rPr>
          <w:sz w:val="24"/>
          <w:szCs w:val="24"/>
        </w:rPr>
        <w:noBreakHyphen/>
        <w:t xml:space="preserve">40 %). I overensstemmelse med sin høje </w:t>
      </w:r>
      <w:proofErr w:type="spellStart"/>
      <w:r w:rsidRPr="0051095B">
        <w:rPr>
          <w:sz w:val="24"/>
          <w:szCs w:val="24"/>
        </w:rPr>
        <w:t>lipofilicitet</w:t>
      </w:r>
      <w:proofErr w:type="spellEnd"/>
      <w:r w:rsidRPr="0051095B">
        <w:rPr>
          <w:sz w:val="24"/>
          <w:szCs w:val="24"/>
        </w:rPr>
        <w:t xml:space="preserve"> udviser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et stort fordelingsvolumen (ca. 7 liter/kg).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Biotransformation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</w:t>
      </w:r>
      <w:proofErr w:type="spellStart"/>
      <w:r w:rsidRPr="0051095B">
        <w:rPr>
          <w:sz w:val="24"/>
          <w:szCs w:val="24"/>
        </w:rPr>
        <w:t>metaboliseres</w:t>
      </w:r>
      <w:proofErr w:type="spellEnd"/>
      <w:r w:rsidRPr="0051095B">
        <w:rPr>
          <w:sz w:val="24"/>
          <w:szCs w:val="24"/>
        </w:rPr>
        <w:t xml:space="preserve"> primært ved CYP 1A2-metabolisme, og metabolitterne udskilles hovedsageligt i urinen. Den vigtigste metabolit er mindst 100 gange mindre potent end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i dyremodeller af den </w:t>
      </w:r>
      <w:proofErr w:type="spellStart"/>
      <w:r w:rsidRPr="0051095B">
        <w:rPr>
          <w:sz w:val="24"/>
          <w:szCs w:val="24"/>
        </w:rPr>
        <w:t>dopaminerge</w:t>
      </w:r>
      <w:proofErr w:type="spellEnd"/>
      <w:r w:rsidRPr="0051095B">
        <w:rPr>
          <w:sz w:val="24"/>
          <w:szCs w:val="24"/>
        </w:rPr>
        <w:t xml:space="preserve"> funktion.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Elimination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udskilles fra det systemiske kredsløb med en gennemsnitlig eliminations-halveringstid på omkring 6 timer. Stigningen i systemisk eksponering (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og AUC) for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er omtrent proportional i det terapeutiske dosisinterval. Der er ikke observeret ændring af den orale </w:t>
      </w:r>
      <w:proofErr w:type="spellStart"/>
      <w:r w:rsidRPr="0051095B">
        <w:rPr>
          <w:sz w:val="24"/>
          <w:szCs w:val="24"/>
        </w:rPr>
        <w:t>clearance</w:t>
      </w:r>
      <w:proofErr w:type="spellEnd"/>
      <w:r w:rsidRPr="0051095B">
        <w:rPr>
          <w:sz w:val="24"/>
          <w:szCs w:val="24"/>
        </w:rPr>
        <w:t xml:space="preserve">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efter enkelt og gentagen peroral administration. Der er observeret store </w:t>
      </w:r>
      <w:proofErr w:type="spellStart"/>
      <w:r w:rsidRPr="0051095B">
        <w:rPr>
          <w:sz w:val="24"/>
          <w:szCs w:val="24"/>
        </w:rPr>
        <w:t>interindividuelle</w:t>
      </w:r>
      <w:proofErr w:type="spellEnd"/>
      <w:r w:rsidRPr="0051095B">
        <w:rPr>
          <w:sz w:val="24"/>
          <w:szCs w:val="24"/>
        </w:rPr>
        <w:t xml:space="preserve"> variationer i de </w:t>
      </w:r>
      <w:proofErr w:type="spellStart"/>
      <w:r w:rsidRPr="0051095B">
        <w:rPr>
          <w:sz w:val="24"/>
          <w:szCs w:val="24"/>
        </w:rPr>
        <w:t>farmakokinetiske</w:t>
      </w:r>
      <w:proofErr w:type="spellEnd"/>
      <w:r w:rsidRPr="0051095B">
        <w:rPr>
          <w:sz w:val="24"/>
          <w:szCs w:val="24"/>
        </w:rPr>
        <w:t xml:space="preserve"> parametre. Efter </w:t>
      </w:r>
      <w:proofErr w:type="spellStart"/>
      <w:r w:rsidRPr="0051095B">
        <w:rPr>
          <w:sz w:val="24"/>
          <w:szCs w:val="24"/>
        </w:rPr>
        <w:t>steady-state</w:t>
      </w:r>
      <w:proofErr w:type="spellEnd"/>
      <w:r w:rsidRPr="0051095B">
        <w:rPr>
          <w:sz w:val="24"/>
          <w:szCs w:val="24"/>
        </w:rPr>
        <w:t xml:space="preserve"> administration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depottabletter er den </w:t>
      </w:r>
      <w:proofErr w:type="spellStart"/>
      <w:r w:rsidRPr="0051095B">
        <w:rPr>
          <w:sz w:val="24"/>
          <w:szCs w:val="24"/>
        </w:rPr>
        <w:t>interindividuelle</w:t>
      </w:r>
      <w:proofErr w:type="spellEnd"/>
      <w:r w:rsidRPr="0051095B">
        <w:rPr>
          <w:sz w:val="24"/>
          <w:szCs w:val="24"/>
        </w:rPr>
        <w:t xml:space="preserve"> variation for 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mellem 30 % og 55 % og for AUC mellem 40 % og 70 %.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Nedsat nyrefunktion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Der er ikke observeret ændringer i farmakokinetikken for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hos patienter med Parkinsons sygdom og med mild til moderat nedsat nyrefunktion.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Hos patienter med nyresvigt i slutstadiet i regelmæssig hæmodialyse blev den orale </w:t>
      </w:r>
      <w:proofErr w:type="spellStart"/>
      <w:r w:rsidRPr="0051095B">
        <w:rPr>
          <w:sz w:val="24"/>
          <w:szCs w:val="24"/>
        </w:rPr>
        <w:t>clearance</w:t>
      </w:r>
      <w:proofErr w:type="spellEnd"/>
      <w:r w:rsidRPr="0051095B">
        <w:rPr>
          <w:sz w:val="24"/>
          <w:szCs w:val="24"/>
        </w:rPr>
        <w:t xml:space="preserve">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reduceret med ca. 30 %. Den orale </w:t>
      </w:r>
      <w:proofErr w:type="spellStart"/>
      <w:r w:rsidRPr="0051095B">
        <w:rPr>
          <w:sz w:val="24"/>
          <w:szCs w:val="24"/>
        </w:rPr>
        <w:t>clearance</w:t>
      </w:r>
      <w:proofErr w:type="spellEnd"/>
      <w:r w:rsidRPr="0051095B">
        <w:rPr>
          <w:sz w:val="24"/>
          <w:szCs w:val="24"/>
        </w:rPr>
        <w:t xml:space="preserve"> af metabolitterne SKF-104557 og SKF-89124 blev ligeledes reduceres med henholdsvis ca. 80 % og 60 %. Derfor er den anbefalede maksimale dosis hos disse patienter med Parkinsons sygdom begrænset til 18 mg/dag (se pkt. 4.2).</w:t>
      </w:r>
    </w:p>
    <w:p w:rsidR="00673DA0" w:rsidRPr="0051095B" w:rsidRDefault="00673DA0" w:rsidP="000220A1">
      <w:pPr>
        <w:ind w:left="851"/>
        <w:rPr>
          <w:sz w:val="24"/>
          <w:szCs w:val="24"/>
        </w:rPr>
      </w:pPr>
    </w:p>
    <w:p w:rsidR="00673DA0" w:rsidRPr="0051095B" w:rsidRDefault="00673DA0" w:rsidP="00673DA0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Graviditet</w:t>
      </w:r>
    </w:p>
    <w:p w:rsidR="00673DA0" w:rsidRPr="0051095B" w:rsidRDefault="00673DA0" w:rsidP="00673DA0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Fysiologiske ændringer i graviditeten (inklusiv nedsat CYP1A2 aktivitet) forventes gradvist at føre til en øget </w:t>
      </w:r>
      <w:proofErr w:type="spellStart"/>
      <w:r w:rsidRPr="0051095B">
        <w:rPr>
          <w:sz w:val="24"/>
          <w:szCs w:val="24"/>
        </w:rPr>
        <w:t>maternel</w:t>
      </w:r>
      <w:proofErr w:type="spellEnd"/>
      <w:r w:rsidRPr="0051095B">
        <w:rPr>
          <w:sz w:val="24"/>
          <w:szCs w:val="24"/>
        </w:rPr>
        <w:t xml:space="preserve"> systemisk eksponering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(se også pkt. 4.6).</w:t>
      </w:r>
    </w:p>
    <w:p w:rsidR="005D161A" w:rsidRDefault="005D161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673DA0" w:rsidRPr="0051095B" w:rsidRDefault="000220A1" w:rsidP="00673DA0">
      <w:pPr>
        <w:ind w:left="851" w:hanging="851"/>
        <w:rPr>
          <w:sz w:val="24"/>
          <w:szCs w:val="24"/>
          <w:u w:val="single"/>
        </w:rPr>
      </w:pPr>
      <w:r w:rsidRPr="0051095B">
        <w:rPr>
          <w:sz w:val="24"/>
          <w:szCs w:val="24"/>
        </w:rPr>
        <w:tab/>
      </w:r>
      <w:r w:rsidR="00673DA0" w:rsidRPr="0051095B">
        <w:rPr>
          <w:sz w:val="24"/>
          <w:szCs w:val="24"/>
          <w:u w:val="single"/>
        </w:rPr>
        <w:t>Reproduktionstoksicitet</w:t>
      </w:r>
    </w:p>
    <w:p w:rsidR="00673DA0" w:rsidRPr="0051095B" w:rsidRDefault="00673DA0" w:rsidP="00673DA0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 xml:space="preserve">I fertilitetsundersøgelser hos hunrotter blev der set effekter på implantationen på grund af de </w:t>
      </w:r>
      <w:proofErr w:type="spellStart"/>
      <w:r w:rsidRPr="0051095B">
        <w:rPr>
          <w:sz w:val="24"/>
          <w:szCs w:val="24"/>
        </w:rPr>
        <w:t>prolaktin</w:t>
      </w:r>
      <w:proofErr w:type="spellEnd"/>
      <w:r w:rsidRPr="0051095B">
        <w:rPr>
          <w:sz w:val="24"/>
          <w:szCs w:val="24"/>
        </w:rPr>
        <w:t xml:space="preserve">-sænkende virkninger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. Det skal bemærkes, at </w:t>
      </w:r>
      <w:proofErr w:type="spellStart"/>
      <w:r w:rsidRPr="0051095B">
        <w:rPr>
          <w:sz w:val="24"/>
          <w:szCs w:val="24"/>
        </w:rPr>
        <w:t>prolaktin</w:t>
      </w:r>
      <w:proofErr w:type="spellEnd"/>
      <w:r w:rsidRPr="0051095B">
        <w:rPr>
          <w:sz w:val="24"/>
          <w:szCs w:val="24"/>
        </w:rPr>
        <w:t xml:space="preserve"> ikke er essentielt for implantation hos mennesker.</w:t>
      </w:r>
    </w:p>
    <w:p w:rsidR="00673DA0" w:rsidRPr="0051095B" w:rsidRDefault="00673DA0" w:rsidP="00673DA0">
      <w:pPr>
        <w:ind w:left="851" w:hanging="851"/>
        <w:rPr>
          <w:sz w:val="24"/>
          <w:szCs w:val="24"/>
          <w:u w:val="single"/>
        </w:rPr>
      </w:pPr>
    </w:p>
    <w:p w:rsidR="00673DA0" w:rsidRPr="0051095B" w:rsidRDefault="00673DA0" w:rsidP="00673DA0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Administration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til drægtige rotter i toksiske doser resulterede i mindsket fostervægt ved 60 mg/kg/dag (gennemsnitlig AUC hos rotter omtrent 2 gange det højeste AUC ved maksimale anbefalede humane dosis (MRHD)), øget fosterdødelighed ved 90 mg/kg/dag (omtrent 3 gange det højeste AUC ved MRHD) og ekstremitetsmisdannelser ved 150 mg/kg/dag (omtrent 5 gange det højeste AUC ved MRHD). Der var ingen </w:t>
      </w:r>
      <w:proofErr w:type="spellStart"/>
      <w:r w:rsidRPr="0051095B">
        <w:rPr>
          <w:sz w:val="24"/>
          <w:szCs w:val="24"/>
        </w:rPr>
        <w:t>teratogen</w:t>
      </w:r>
      <w:proofErr w:type="spellEnd"/>
      <w:r w:rsidRPr="0051095B">
        <w:rPr>
          <w:sz w:val="24"/>
          <w:szCs w:val="24"/>
        </w:rPr>
        <w:t xml:space="preserve"> effekt hos rotter ved 120 mg/kg/dag (omtrent 4 gange det højeste AUC ved MRHD) og ingen indikation af effekt under </w:t>
      </w:r>
      <w:proofErr w:type="spellStart"/>
      <w:r w:rsidRPr="0051095B">
        <w:rPr>
          <w:sz w:val="24"/>
          <w:szCs w:val="24"/>
        </w:rPr>
        <w:t>organogenese</w:t>
      </w:r>
      <w:proofErr w:type="spellEnd"/>
      <w:r w:rsidRPr="0051095B">
        <w:rPr>
          <w:sz w:val="24"/>
          <w:szCs w:val="24"/>
        </w:rPr>
        <w:t xml:space="preserve"> hos kaniner, når det gives alene ved 20 mg/kg (9,5 gange den gennemsnitlige humane 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ved MRHD). Til gengæld frembragte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ved 10 mg/kg (4,8 gange den gennemsnitlige humane </w:t>
      </w:r>
      <w:proofErr w:type="spellStart"/>
      <w:r w:rsidRPr="0051095B">
        <w:rPr>
          <w:sz w:val="24"/>
          <w:szCs w:val="24"/>
        </w:rPr>
        <w:t>C</w:t>
      </w:r>
      <w:r w:rsidRPr="0051095B">
        <w:rPr>
          <w:sz w:val="24"/>
          <w:szCs w:val="24"/>
          <w:vertAlign w:val="subscript"/>
        </w:rPr>
        <w:t>max</w:t>
      </w:r>
      <w:proofErr w:type="spellEnd"/>
      <w:r w:rsidRPr="0051095B">
        <w:rPr>
          <w:sz w:val="24"/>
          <w:szCs w:val="24"/>
        </w:rPr>
        <w:t xml:space="preserve"> ved MRHD) til kaniner i kombination med oral L-</w:t>
      </w:r>
      <w:proofErr w:type="spellStart"/>
      <w:r w:rsidRPr="0051095B">
        <w:rPr>
          <w:sz w:val="24"/>
          <w:szCs w:val="24"/>
        </w:rPr>
        <w:t>dopa</w:t>
      </w:r>
      <w:proofErr w:type="spellEnd"/>
      <w:r w:rsidRPr="0051095B">
        <w:rPr>
          <w:sz w:val="24"/>
          <w:szCs w:val="24"/>
        </w:rPr>
        <w:t xml:space="preserve"> en højere forekomst og alvorlighedsgrad af misdannelser af fingre og tæer end med L-</w:t>
      </w:r>
      <w:proofErr w:type="spellStart"/>
      <w:r w:rsidRPr="0051095B">
        <w:rPr>
          <w:sz w:val="24"/>
          <w:szCs w:val="24"/>
        </w:rPr>
        <w:t>dopa</w:t>
      </w:r>
      <w:proofErr w:type="spellEnd"/>
      <w:r w:rsidRPr="0051095B">
        <w:rPr>
          <w:sz w:val="24"/>
          <w:szCs w:val="24"/>
        </w:rPr>
        <w:t xml:space="preserve"> alene.</w:t>
      </w:r>
    </w:p>
    <w:p w:rsidR="000220A1" w:rsidRPr="0051095B" w:rsidRDefault="000220A1" w:rsidP="00673DA0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Toksikologi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Den toksikologiske profil er principielt bestemt af den farmakolo</w:t>
      </w:r>
      <w:r w:rsidRPr="0051095B">
        <w:rPr>
          <w:sz w:val="24"/>
          <w:szCs w:val="24"/>
        </w:rPr>
        <w:softHyphen/>
        <w:t xml:space="preserve">giske aktivitet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: adfærdsændringer, </w:t>
      </w:r>
      <w:proofErr w:type="spellStart"/>
      <w:r w:rsidRPr="0051095B">
        <w:rPr>
          <w:sz w:val="24"/>
          <w:szCs w:val="24"/>
        </w:rPr>
        <w:t>hypoprolaktinæmi</w:t>
      </w:r>
      <w:proofErr w:type="spellEnd"/>
      <w:r w:rsidRPr="0051095B">
        <w:rPr>
          <w:sz w:val="24"/>
          <w:szCs w:val="24"/>
        </w:rPr>
        <w:t xml:space="preserve">, fald i blodtryk og puls, </w:t>
      </w:r>
      <w:proofErr w:type="spellStart"/>
      <w:r w:rsidRPr="0051095B">
        <w:rPr>
          <w:sz w:val="24"/>
          <w:szCs w:val="24"/>
        </w:rPr>
        <w:t>ptose</w:t>
      </w:r>
      <w:proofErr w:type="spellEnd"/>
      <w:r w:rsidRPr="0051095B">
        <w:rPr>
          <w:sz w:val="24"/>
          <w:szCs w:val="24"/>
        </w:rPr>
        <w:t xml:space="preserve"> og </w:t>
      </w:r>
      <w:proofErr w:type="spellStart"/>
      <w:r w:rsidRPr="0051095B">
        <w:rPr>
          <w:sz w:val="24"/>
          <w:szCs w:val="24"/>
        </w:rPr>
        <w:t>savlen</w:t>
      </w:r>
      <w:proofErr w:type="spellEnd"/>
      <w:r w:rsidRPr="0051095B">
        <w:rPr>
          <w:sz w:val="24"/>
          <w:szCs w:val="24"/>
        </w:rPr>
        <w:t xml:space="preserve">. Kun hos albinorotter blev der observeret </w:t>
      </w:r>
      <w:proofErr w:type="spellStart"/>
      <w:r w:rsidRPr="0051095B">
        <w:rPr>
          <w:sz w:val="24"/>
          <w:szCs w:val="24"/>
        </w:rPr>
        <w:t>retinal</w:t>
      </w:r>
      <w:proofErr w:type="spellEnd"/>
      <w:r w:rsidRPr="0051095B">
        <w:rPr>
          <w:sz w:val="24"/>
          <w:szCs w:val="24"/>
        </w:rPr>
        <w:t xml:space="preserve"> degenera</w:t>
      </w:r>
      <w:r w:rsidRPr="0051095B">
        <w:rPr>
          <w:sz w:val="24"/>
          <w:szCs w:val="24"/>
        </w:rPr>
        <w:softHyphen/>
        <w:t>tion i et langtidsstudie med højeste dosis (50 mg/kg) og var formentligt associeret med en forøget lyseksponering.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Genotoksicitet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Genotoksicitet er ikke observeret i de sædvanlige </w:t>
      </w:r>
      <w:r w:rsidRPr="0051095B">
        <w:rPr>
          <w:i/>
          <w:sz w:val="24"/>
          <w:szCs w:val="24"/>
        </w:rPr>
        <w:t xml:space="preserve">in </w:t>
      </w:r>
      <w:proofErr w:type="spellStart"/>
      <w:r w:rsidRPr="0051095B">
        <w:rPr>
          <w:i/>
          <w:sz w:val="24"/>
          <w:szCs w:val="24"/>
        </w:rPr>
        <w:t>vitro</w:t>
      </w:r>
      <w:proofErr w:type="spellEnd"/>
      <w:r w:rsidRPr="0051095B">
        <w:rPr>
          <w:i/>
          <w:sz w:val="24"/>
          <w:szCs w:val="24"/>
        </w:rPr>
        <w:t>-</w:t>
      </w:r>
      <w:r w:rsidRPr="0051095B">
        <w:rPr>
          <w:sz w:val="24"/>
          <w:szCs w:val="24"/>
        </w:rPr>
        <w:t xml:space="preserve"> og </w:t>
      </w:r>
      <w:r w:rsidRPr="0051095B">
        <w:rPr>
          <w:i/>
          <w:sz w:val="24"/>
          <w:szCs w:val="24"/>
        </w:rPr>
        <w:t xml:space="preserve">in </w:t>
      </w:r>
      <w:proofErr w:type="spellStart"/>
      <w:r w:rsidRPr="0051095B">
        <w:rPr>
          <w:i/>
          <w:sz w:val="24"/>
          <w:szCs w:val="24"/>
        </w:rPr>
        <w:t>vivo</w:t>
      </w:r>
      <w:proofErr w:type="spellEnd"/>
      <w:r w:rsidRPr="0051095B">
        <w:rPr>
          <w:sz w:val="24"/>
          <w:szCs w:val="24"/>
        </w:rPr>
        <w:t>-studier.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proofErr w:type="spellStart"/>
      <w:r w:rsidRPr="0051095B">
        <w:rPr>
          <w:sz w:val="24"/>
          <w:szCs w:val="24"/>
          <w:u w:val="single"/>
        </w:rPr>
        <w:t>Karcinogenicitet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Fra to</w:t>
      </w:r>
      <w:r w:rsidRPr="0051095B">
        <w:rPr>
          <w:sz w:val="24"/>
          <w:szCs w:val="24"/>
        </w:rPr>
        <w:noBreakHyphen/>
        <w:t xml:space="preserve">års-studier udført med mus og rotter i doser op til 50 mg/kg/dag var der ingen evidens for nogen karcinogen virkning hos mus. Hos rotter var de eneste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-relaterede læsioner </w:t>
      </w:r>
      <w:proofErr w:type="spellStart"/>
      <w:r w:rsidRPr="0051095B">
        <w:rPr>
          <w:sz w:val="24"/>
          <w:szCs w:val="24"/>
        </w:rPr>
        <w:t>Leydig</w:t>
      </w:r>
      <w:proofErr w:type="spellEnd"/>
      <w:r w:rsidRPr="0051095B">
        <w:rPr>
          <w:sz w:val="24"/>
          <w:szCs w:val="24"/>
        </w:rPr>
        <w:t xml:space="preserve"> </w:t>
      </w:r>
      <w:proofErr w:type="spellStart"/>
      <w:r w:rsidRPr="0051095B">
        <w:rPr>
          <w:sz w:val="24"/>
          <w:szCs w:val="24"/>
        </w:rPr>
        <w:t>cellehyperplasi</w:t>
      </w:r>
      <w:proofErr w:type="spellEnd"/>
      <w:r w:rsidRPr="0051095B">
        <w:rPr>
          <w:sz w:val="24"/>
          <w:szCs w:val="24"/>
        </w:rPr>
        <w:t xml:space="preserve"> og </w:t>
      </w:r>
      <w:proofErr w:type="spellStart"/>
      <w:r w:rsidRPr="0051095B">
        <w:rPr>
          <w:sz w:val="24"/>
          <w:szCs w:val="24"/>
        </w:rPr>
        <w:t>adenom</w:t>
      </w:r>
      <w:proofErr w:type="spellEnd"/>
      <w:r w:rsidRPr="0051095B">
        <w:rPr>
          <w:sz w:val="24"/>
          <w:szCs w:val="24"/>
        </w:rPr>
        <w:t xml:space="preserve"> i testiklerne forårsaget af </w:t>
      </w:r>
      <w:proofErr w:type="spellStart"/>
      <w:r w:rsidRPr="0051095B">
        <w:rPr>
          <w:sz w:val="24"/>
          <w:szCs w:val="24"/>
        </w:rPr>
        <w:t>ropinirols</w:t>
      </w:r>
      <w:proofErr w:type="spellEnd"/>
      <w:r w:rsidRPr="0051095B">
        <w:rPr>
          <w:sz w:val="24"/>
          <w:szCs w:val="24"/>
        </w:rPr>
        <w:t xml:space="preserve"> </w:t>
      </w:r>
      <w:proofErr w:type="spellStart"/>
      <w:r w:rsidRPr="0051095B">
        <w:rPr>
          <w:sz w:val="24"/>
          <w:szCs w:val="24"/>
        </w:rPr>
        <w:t>hypoprolaktinæmiske</w:t>
      </w:r>
      <w:proofErr w:type="spellEnd"/>
      <w:r w:rsidRPr="0051095B">
        <w:rPr>
          <w:sz w:val="24"/>
          <w:szCs w:val="24"/>
        </w:rPr>
        <w:t xml:space="preserve"> virkning. Disse læsioner betragtes som et artsspecifikt fænomen og udgør ingen risiko med hensyn til klinisk anvendelse af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>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sz w:val="24"/>
          <w:szCs w:val="24"/>
          <w:u w:val="single"/>
        </w:rPr>
        <w:t>Farmakologisk sikkerhed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i/>
          <w:sz w:val="24"/>
          <w:szCs w:val="24"/>
        </w:rPr>
        <w:t xml:space="preserve">In </w:t>
      </w:r>
      <w:proofErr w:type="spellStart"/>
      <w:r w:rsidRPr="0051095B">
        <w:rPr>
          <w:i/>
          <w:sz w:val="24"/>
          <w:szCs w:val="24"/>
        </w:rPr>
        <w:t>vitro</w:t>
      </w:r>
      <w:proofErr w:type="spellEnd"/>
      <w:r w:rsidRPr="0051095B">
        <w:rPr>
          <w:sz w:val="24"/>
          <w:szCs w:val="24"/>
        </w:rPr>
        <w:t xml:space="preserve">-studier har vist, at </w:t>
      </w:r>
      <w:proofErr w:type="spellStart"/>
      <w:r w:rsidRPr="0051095B">
        <w:rPr>
          <w:sz w:val="24"/>
          <w:szCs w:val="24"/>
        </w:rPr>
        <w:t>ropinirol</w:t>
      </w:r>
      <w:proofErr w:type="spellEnd"/>
      <w:r w:rsidRPr="0051095B">
        <w:rPr>
          <w:sz w:val="24"/>
          <w:szCs w:val="24"/>
        </w:rPr>
        <w:t xml:space="preserve"> hæmmer </w:t>
      </w:r>
      <w:proofErr w:type="spellStart"/>
      <w:r w:rsidRPr="0051095B">
        <w:rPr>
          <w:sz w:val="24"/>
          <w:szCs w:val="24"/>
        </w:rPr>
        <w:t>hERG</w:t>
      </w:r>
      <w:proofErr w:type="spellEnd"/>
      <w:r w:rsidRPr="0051095B">
        <w:rPr>
          <w:sz w:val="24"/>
          <w:szCs w:val="24"/>
        </w:rPr>
        <w:t>-medierede kanaler. IC</w:t>
      </w:r>
      <w:r w:rsidRPr="0051095B">
        <w:rPr>
          <w:sz w:val="24"/>
          <w:szCs w:val="24"/>
          <w:vertAlign w:val="subscript"/>
        </w:rPr>
        <w:t>50</w:t>
      </w:r>
      <w:r w:rsidRPr="0051095B">
        <w:rPr>
          <w:sz w:val="24"/>
          <w:szCs w:val="24"/>
        </w:rPr>
        <w:t xml:space="preserve"> værdien er 5 gange højere end den forventede maksimale plasmakoncentration hos patienter behandlet med den maksimale anbefalede dosis (24 mg/dag), se pkt. 5.1.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6.</w:t>
      </w:r>
      <w:r w:rsidRPr="0051095B">
        <w:rPr>
          <w:b/>
          <w:sz w:val="24"/>
          <w:szCs w:val="24"/>
        </w:rPr>
        <w:tab/>
        <w:t>FARMACEUTISKE OPLYSNINGER</w:t>
      </w: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6.1</w:t>
      </w:r>
      <w:r w:rsidRPr="0051095B">
        <w:rPr>
          <w:b/>
          <w:sz w:val="24"/>
          <w:szCs w:val="24"/>
        </w:rPr>
        <w:tab/>
        <w:t>Hjælpestoffer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Hypromellose</w:t>
      </w:r>
      <w:proofErr w:type="spellEnd"/>
      <w:r w:rsidRPr="0051095B">
        <w:rPr>
          <w:sz w:val="24"/>
          <w:szCs w:val="24"/>
        </w:rPr>
        <w:t xml:space="preserve"> 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Croscarmellosenatrium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Maltodextrin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Lactosemonohydrat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 xml:space="preserve">Ricinusolie, </w:t>
      </w:r>
      <w:proofErr w:type="spellStart"/>
      <w:r w:rsidRPr="0051095B">
        <w:rPr>
          <w:sz w:val="24"/>
          <w:szCs w:val="24"/>
        </w:rPr>
        <w:t>hydrogeneret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Silica</w:t>
      </w:r>
      <w:proofErr w:type="spellEnd"/>
      <w:r w:rsidRPr="0051095B">
        <w:rPr>
          <w:sz w:val="24"/>
          <w:szCs w:val="24"/>
        </w:rPr>
        <w:t>, kolloid vandfri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lastRenderedPageBreak/>
        <w:t>Magnesiumstearat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sz w:val="24"/>
          <w:szCs w:val="24"/>
          <w:u w:val="single"/>
        </w:rPr>
      </w:pPr>
      <w:r w:rsidRPr="0051095B">
        <w:rPr>
          <w:noProof/>
          <w:sz w:val="24"/>
          <w:szCs w:val="24"/>
          <w:u w:val="single"/>
        </w:rPr>
        <w:t>Pigmentblanding</w:t>
      </w: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  <w:r w:rsidRPr="0051095B">
        <w:rPr>
          <w:i/>
          <w:sz w:val="24"/>
          <w:szCs w:val="24"/>
        </w:rPr>
        <w:t>2 mg depottabletter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Jernoxid, rød (E172)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Jernoxid, gul (E172)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Lactosemonohydrat</w:t>
      </w:r>
      <w:proofErr w:type="spellEnd"/>
    </w:p>
    <w:p w:rsidR="000220A1" w:rsidRPr="003C01AB" w:rsidRDefault="000220A1" w:rsidP="0072625F">
      <w:pPr>
        <w:spacing w:line="260" w:lineRule="exact"/>
        <w:rPr>
          <w:sz w:val="24"/>
          <w:szCs w:val="24"/>
        </w:rPr>
      </w:pPr>
    </w:p>
    <w:p w:rsidR="000220A1" w:rsidRPr="0051095B" w:rsidRDefault="000220A1" w:rsidP="000220A1">
      <w:pPr>
        <w:ind w:left="851"/>
        <w:rPr>
          <w:i/>
          <w:sz w:val="24"/>
          <w:szCs w:val="24"/>
        </w:rPr>
      </w:pPr>
      <w:r w:rsidRPr="0051095B">
        <w:rPr>
          <w:i/>
          <w:sz w:val="24"/>
          <w:szCs w:val="24"/>
        </w:rPr>
        <w:t>4 mg &amp; 8 mg depottabletter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Jernoxid, rød (E172)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Jernoxid, gul (E172)</w:t>
      </w:r>
    </w:p>
    <w:p w:rsidR="000220A1" w:rsidRPr="0051095B" w:rsidRDefault="000220A1" w:rsidP="000220A1">
      <w:pPr>
        <w:ind w:left="851"/>
        <w:rPr>
          <w:sz w:val="24"/>
          <w:szCs w:val="24"/>
        </w:rPr>
      </w:pPr>
      <w:proofErr w:type="spellStart"/>
      <w:r w:rsidRPr="0051095B">
        <w:rPr>
          <w:sz w:val="24"/>
          <w:szCs w:val="24"/>
        </w:rPr>
        <w:t>Lactosemonohydrat</w:t>
      </w:r>
      <w:proofErr w:type="spellEnd"/>
    </w:p>
    <w:p w:rsidR="000220A1" w:rsidRPr="0051095B" w:rsidRDefault="000220A1" w:rsidP="000220A1">
      <w:pPr>
        <w:ind w:left="851"/>
        <w:rPr>
          <w:sz w:val="24"/>
          <w:szCs w:val="24"/>
        </w:rPr>
      </w:pPr>
      <w:r w:rsidRPr="0051095B">
        <w:rPr>
          <w:sz w:val="24"/>
          <w:szCs w:val="24"/>
        </w:rPr>
        <w:t>Jernoxid, sort (E172)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6.2</w:t>
      </w:r>
      <w:r w:rsidRPr="0051095B">
        <w:rPr>
          <w:b/>
          <w:sz w:val="24"/>
          <w:szCs w:val="24"/>
        </w:rPr>
        <w:tab/>
        <w:t>Uforligeligheder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Ikke relevant.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6.3</w:t>
      </w:r>
      <w:r w:rsidRPr="0051095B">
        <w:rPr>
          <w:b/>
          <w:sz w:val="24"/>
          <w:szCs w:val="24"/>
        </w:rPr>
        <w:tab/>
        <w:t>Opbevaringstid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2 år.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6.4</w:t>
      </w:r>
      <w:r w:rsidRPr="0051095B">
        <w:rPr>
          <w:b/>
          <w:sz w:val="24"/>
          <w:szCs w:val="24"/>
        </w:rPr>
        <w:tab/>
        <w:t>Særlige opbevaringsforhold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Må ikke opbevares ved temperaturer over 30 °C.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0220A1" w:rsidRPr="0051095B" w:rsidRDefault="000220A1" w:rsidP="000220A1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Blister (aluminium/aluminium)</w:t>
      </w:r>
    </w:p>
    <w:p w:rsidR="000220A1" w:rsidRPr="0051095B" w:rsidRDefault="000220A1" w:rsidP="000220A1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</w:p>
    <w:p w:rsidR="000220A1" w:rsidRPr="0051095B" w:rsidRDefault="000220A1" w:rsidP="000220A1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Pakningsstørrelser: 21, 28, 30, 42, 56, 84 og 90 stk.</w:t>
      </w:r>
    </w:p>
    <w:p w:rsidR="000220A1" w:rsidRPr="0051095B" w:rsidRDefault="000220A1" w:rsidP="000220A1">
      <w:pPr>
        <w:suppressAutoHyphens/>
        <w:ind w:left="851"/>
        <w:rPr>
          <w:noProof/>
          <w:sz w:val="24"/>
          <w:szCs w:val="24"/>
        </w:rPr>
      </w:pPr>
      <w:r w:rsidRPr="0051095B">
        <w:rPr>
          <w:noProof/>
          <w:sz w:val="24"/>
          <w:szCs w:val="24"/>
        </w:rPr>
        <w:t>Ikke alle pakningsstørrelser er nødvendigvis markedsført.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Ikke anvendt lægemiddel samt affald heraf skal bortskaffes i henhold til lokale retningslinjer.</w:t>
      </w:r>
    </w:p>
    <w:p w:rsidR="000220A1" w:rsidRPr="0051095B" w:rsidRDefault="000220A1" w:rsidP="000220A1">
      <w:pPr>
        <w:ind w:left="851" w:hanging="851"/>
        <w:jc w:val="both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7.</w:t>
      </w:r>
      <w:r w:rsidRPr="0051095B">
        <w:rPr>
          <w:b/>
          <w:sz w:val="24"/>
          <w:szCs w:val="24"/>
        </w:rPr>
        <w:tab/>
        <w:t>INDEHAVER AF MARKEDSFØRINGSTILLADELSEN</w:t>
      </w:r>
    </w:p>
    <w:p w:rsidR="00C22CF3" w:rsidRPr="00C46902" w:rsidRDefault="00C22CF3" w:rsidP="00C22CF3">
      <w:pPr>
        <w:ind w:left="851"/>
        <w:rPr>
          <w:noProof/>
          <w:sz w:val="24"/>
          <w:szCs w:val="24"/>
        </w:rPr>
      </w:pPr>
      <w:r w:rsidRPr="00C46902">
        <w:rPr>
          <w:noProof/>
          <w:sz w:val="24"/>
          <w:szCs w:val="24"/>
        </w:rPr>
        <w:t>Viatris Limited</w:t>
      </w:r>
    </w:p>
    <w:p w:rsidR="00C22CF3" w:rsidRPr="00C46902" w:rsidRDefault="00C22CF3" w:rsidP="00C22CF3">
      <w:pPr>
        <w:ind w:left="851"/>
        <w:rPr>
          <w:noProof/>
          <w:sz w:val="24"/>
          <w:szCs w:val="24"/>
        </w:rPr>
      </w:pPr>
      <w:r w:rsidRPr="00C46902">
        <w:rPr>
          <w:noProof/>
          <w:sz w:val="24"/>
          <w:szCs w:val="24"/>
        </w:rPr>
        <w:t>Damastown Industrial Park</w:t>
      </w:r>
    </w:p>
    <w:p w:rsidR="00C22CF3" w:rsidRPr="00C46902" w:rsidRDefault="00C22CF3" w:rsidP="00C22CF3">
      <w:pPr>
        <w:ind w:left="851"/>
        <w:rPr>
          <w:noProof/>
          <w:sz w:val="24"/>
          <w:szCs w:val="24"/>
        </w:rPr>
      </w:pPr>
      <w:r w:rsidRPr="00C46902">
        <w:rPr>
          <w:noProof/>
          <w:sz w:val="24"/>
          <w:szCs w:val="24"/>
        </w:rPr>
        <w:t>Mulhuddart,</w:t>
      </w:r>
    </w:p>
    <w:p w:rsidR="00C22CF3" w:rsidRPr="00C22CF3" w:rsidRDefault="00C22CF3" w:rsidP="00C22CF3">
      <w:pPr>
        <w:ind w:left="851"/>
        <w:rPr>
          <w:noProof/>
          <w:sz w:val="24"/>
          <w:szCs w:val="24"/>
        </w:rPr>
      </w:pPr>
      <w:r w:rsidRPr="00C22CF3">
        <w:rPr>
          <w:noProof/>
          <w:sz w:val="24"/>
          <w:szCs w:val="24"/>
        </w:rPr>
        <w:t>Dublin 15</w:t>
      </w:r>
    </w:p>
    <w:p w:rsidR="00C22CF3" w:rsidRPr="00C22CF3" w:rsidRDefault="00C22CF3" w:rsidP="00C22CF3">
      <w:pPr>
        <w:ind w:left="851"/>
        <w:rPr>
          <w:noProof/>
          <w:sz w:val="24"/>
          <w:szCs w:val="24"/>
        </w:rPr>
      </w:pPr>
      <w:r w:rsidRPr="00C22CF3">
        <w:rPr>
          <w:noProof/>
          <w:sz w:val="24"/>
          <w:szCs w:val="24"/>
        </w:rPr>
        <w:t>Dublin</w:t>
      </w:r>
    </w:p>
    <w:p w:rsidR="000220A1" w:rsidRPr="0051095B" w:rsidRDefault="00C22CF3" w:rsidP="00C22CF3">
      <w:pPr>
        <w:ind w:left="851"/>
        <w:rPr>
          <w:noProof/>
          <w:sz w:val="24"/>
          <w:szCs w:val="24"/>
        </w:rPr>
      </w:pPr>
      <w:r w:rsidRPr="00C22CF3">
        <w:rPr>
          <w:noProof/>
          <w:sz w:val="24"/>
          <w:szCs w:val="24"/>
        </w:rPr>
        <w:t>Ireland</w:t>
      </w:r>
    </w:p>
    <w:p w:rsidR="000220A1" w:rsidRPr="0051095B" w:rsidRDefault="000220A1" w:rsidP="000220A1">
      <w:pPr>
        <w:ind w:left="851"/>
        <w:rPr>
          <w:noProof/>
          <w:sz w:val="24"/>
          <w:szCs w:val="24"/>
        </w:rPr>
      </w:pPr>
    </w:p>
    <w:p w:rsidR="000220A1" w:rsidRPr="0051095B" w:rsidRDefault="000220A1" w:rsidP="000220A1">
      <w:pPr>
        <w:ind w:left="851"/>
        <w:rPr>
          <w:noProof/>
          <w:sz w:val="24"/>
          <w:szCs w:val="24"/>
        </w:rPr>
      </w:pPr>
      <w:r w:rsidRPr="0051095B">
        <w:rPr>
          <w:b/>
          <w:noProof/>
          <w:sz w:val="24"/>
          <w:szCs w:val="24"/>
        </w:rPr>
        <w:t>Repræsentant</w:t>
      </w:r>
    </w:p>
    <w:p w:rsidR="00C22CF3" w:rsidRPr="00C22CF3" w:rsidRDefault="00C22CF3" w:rsidP="00C22CF3">
      <w:pPr>
        <w:ind w:left="851"/>
        <w:rPr>
          <w:noProof/>
          <w:sz w:val="24"/>
          <w:szCs w:val="24"/>
        </w:rPr>
      </w:pPr>
      <w:r w:rsidRPr="00C22CF3">
        <w:rPr>
          <w:noProof/>
          <w:sz w:val="24"/>
          <w:szCs w:val="24"/>
        </w:rPr>
        <w:t>Viatris ApS</w:t>
      </w:r>
    </w:p>
    <w:p w:rsidR="00C22CF3" w:rsidRPr="00C22CF3" w:rsidRDefault="00C22CF3" w:rsidP="00C22CF3">
      <w:pPr>
        <w:ind w:left="851"/>
        <w:rPr>
          <w:noProof/>
          <w:sz w:val="24"/>
          <w:szCs w:val="24"/>
        </w:rPr>
      </w:pPr>
      <w:r w:rsidRPr="00C22CF3">
        <w:rPr>
          <w:noProof/>
          <w:sz w:val="24"/>
          <w:szCs w:val="24"/>
        </w:rPr>
        <w:t>Borupvang 1</w:t>
      </w:r>
    </w:p>
    <w:p w:rsidR="000220A1" w:rsidRPr="0051095B" w:rsidRDefault="00C22CF3" w:rsidP="00C22CF3">
      <w:pPr>
        <w:ind w:left="851"/>
        <w:rPr>
          <w:noProof/>
          <w:sz w:val="24"/>
          <w:szCs w:val="24"/>
        </w:rPr>
      </w:pPr>
      <w:r w:rsidRPr="00C22CF3">
        <w:rPr>
          <w:noProof/>
          <w:sz w:val="24"/>
          <w:szCs w:val="24"/>
        </w:rPr>
        <w:t>2750 Ballerup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1876D0" w:rsidRPr="00C84483" w:rsidRDefault="001876D0" w:rsidP="001876D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0220A1" w:rsidRPr="0051095B" w:rsidRDefault="000220A1" w:rsidP="000220A1">
      <w:pPr>
        <w:tabs>
          <w:tab w:val="left" w:pos="1560"/>
        </w:tabs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2 mg:</w:t>
      </w:r>
      <w:r w:rsidRPr="0051095B">
        <w:rPr>
          <w:sz w:val="24"/>
          <w:szCs w:val="24"/>
        </w:rPr>
        <w:tab/>
        <w:t>48016</w:t>
      </w:r>
    </w:p>
    <w:p w:rsidR="000220A1" w:rsidRPr="0051095B" w:rsidRDefault="000220A1" w:rsidP="000220A1">
      <w:pPr>
        <w:tabs>
          <w:tab w:val="left" w:pos="1560"/>
        </w:tabs>
        <w:ind w:left="851"/>
        <w:rPr>
          <w:sz w:val="24"/>
          <w:szCs w:val="24"/>
        </w:rPr>
      </w:pPr>
      <w:r w:rsidRPr="0051095B">
        <w:rPr>
          <w:sz w:val="24"/>
          <w:szCs w:val="24"/>
        </w:rPr>
        <w:t>4 mg:</w:t>
      </w:r>
      <w:r w:rsidRPr="0051095B">
        <w:rPr>
          <w:sz w:val="24"/>
          <w:szCs w:val="24"/>
        </w:rPr>
        <w:tab/>
        <w:t>48018</w:t>
      </w:r>
    </w:p>
    <w:p w:rsidR="000220A1" w:rsidRPr="0051095B" w:rsidRDefault="000220A1" w:rsidP="000220A1">
      <w:pPr>
        <w:tabs>
          <w:tab w:val="left" w:pos="1560"/>
        </w:tabs>
        <w:ind w:left="851"/>
        <w:rPr>
          <w:sz w:val="24"/>
          <w:szCs w:val="24"/>
        </w:rPr>
      </w:pPr>
      <w:r w:rsidRPr="0051095B">
        <w:rPr>
          <w:sz w:val="24"/>
          <w:szCs w:val="24"/>
        </w:rPr>
        <w:t>8 mg:</w:t>
      </w:r>
      <w:r w:rsidRPr="0051095B">
        <w:rPr>
          <w:sz w:val="24"/>
          <w:szCs w:val="24"/>
        </w:rPr>
        <w:tab/>
        <w:t>48019</w:t>
      </w:r>
    </w:p>
    <w:p w:rsidR="000220A1" w:rsidRPr="0051095B" w:rsidRDefault="000220A1" w:rsidP="000220A1">
      <w:pPr>
        <w:ind w:left="851" w:hanging="851"/>
        <w:jc w:val="both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9.</w:t>
      </w:r>
      <w:r w:rsidRPr="0051095B">
        <w:rPr>
          <w:b/>
          <w:sz w:val="24"/>
          <w:szCs w:val="24"/>
        </w:rPr>
        <w:tab/>
        <w:t>DATO FOR FØRSTE MARKEDSFØRINGSTILLADELSE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  <w:r w:rsidRPr="0051095B">
        <w:rPr>
          <w:sz w:val="24"/>
          <w:szCs w:val="24"/>
        </w:rPr>
        <w:tab/>
        <w:t>26. september 2012</w:t>
      </w:r>
    </w:p>
    <w:p w:rsidR="000220A1" w:rsidRPr="0051095B" w:rsidRDefault="000220A1" w:rsidP="000220A1">
      <w:pPr>
        <w:ind w:left="851" w:hanging="851"/>
        <w:rPr>
          <w:sz w:val="24"/>
          <w:szCs w:val="24"/>
        </w:rPr>
      </w:pPr>
    </w:p>
    <w:p w:rsidR="000220A1" w:rsidRPr="0051095B" w:rsidRDefault="000220A1" w:rsidP="000220A1">
      <w:pPr>
        <w:ind w:left="851" w:hanging="851"/>
        <w:rPr>
          <w:b/>
          <w:sz w:val="24"/>
          <w:szCs w:val="24"/>
        </w:rPr>
      </w:pPr>
      <w:r w:rsidRPr="0051095B">
        <w:rPr>
          <w:b/>
          <w:sz w:val="24"/>
          <w:szCs w:val="24"/>
        </w:rPr>
        <w:t>10.</w:t>
      </w:r>
      <w:r w:rsidRPr="0051095B">
        <w:rPr>
          <w:b/>
          <w:sz w:val="24"/>
          <w:szCs w:val="24"/>
        </w:rPr>
        <w:tab/>
        <w:t>DATO FOR ÆNDRING AF TEKSTEN</w:t>
      </w:r>
    </w:p>
    <w:p w:rsidR="009260DE" w:rsidRPr="0051095B" w:rsidRDefault="000220A1" w:rsidP="001876D0">
      <w:pPr>
        <w:ind w:left="851" w:hanging="851"/>
      </w:pPr>
      <w:r w:rsidRPr="0051095B">
        <w:rPr>
          <w:sz w:val="24"/>
          <w:szCs w:val="24"/>
        </w:rPr>
        <w:tab/>
      </w:r>
      <w:r w:rsidR="0072625F">
        <w:rPr>
          <w:sz w:val="24"/>
          <w:szCs w:val="24"/>
        </w:rPr>
        <w:t>9. januar</w:t>
      </w:r>
      <w:r w:rsidR="00687EF2">
        <w:rPr>
          <w:sz w:val="24"/>
          <w:szCs w:val="24"/>
        </w:rPr>
        <w:t xml:space="preserve"> 202</w:t>
      </w:r>
      <w:r w:rsidR="0072625F">
        <w:rPr>
          <w:sz w:val="24"/>
          <w:szCs w:val="24"/>
        </w:rPr>
        <w:t>4</w:t>
      </w:r>
    </w:p>
    <w:sectPr w:rsidR="009260DE" w:rsidRPr="0051095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A1" w:rsidRDefault="000220A1">
      <w:r>
        <w:separator/>
      </w:r>
    </w:p>
  </w:endnote>
  <w:endnote w:type="continuationSeparator" w:id="0">
    <w:p w:rsidR="000220A1" w:rsidRDefault="000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A19E9">
      <w:rPr>
        <w:i/>
        <w:noProof/>
        <w:sz w:val="18"/>
        <w:szCs w:val="18"/>
      </w:rPr>
      <w:t>Aztarol, depottabletter 2 mg, 4 mg og 8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A1" w:rsidRDefault="000220A1">
      <w:r>
        <w:separator/>
      </w:r>
    </w:p>
  </w:footnote>
  <w:footnote w:type="continuationSeparator" w:id="0">
    <w:p w:rsidR="000220A1" w:rsidRDefault="00022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4824B00"/>
    <w:multiLevelType w:val="hybridMultilevel"/>
    <w:tmpl w:val="18109CE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460B6C"/>
    <w:multiLevelType w:val="hybridMultilevel"/>
    <w:tmpl w:val="CC7C30C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A1"/>
    <w:rsid w:val="000220A1"/>
    <w:rsid w:val="000259B9"/>
    <w:rsid w:val="00033CAD"/>
    <w:rsid w:val="00041491"/>
    <w:rsid w:val="00044C76"/>
    <w:rsid w:val="00050D16"/>
    <w:rsid w:val="00074F2A"/>
    <w:rsid w:val="00092AA7"/>
    <w:rsid w:val="000A1CA8"/>
    <w:rsid w:val="000A466B"/>
    <w:rsid w:val="000B058C"/>
    <w:rsid w:val="000E4EE6"/>
    <w:rsid w:val="001454E2"/>
    <w:rsid w:val="001876D0"/>
    <w:rsid w:val="001A7312"/>
    <w:rsid w:val="001B3A55"/>
    <w:rsid w:val="00206CE8"/>
    <w:rsid w:val="0021526C"/>
    <w:rsid w:val="00283A2B"/>
    <w:rsid w:val="002A3138"/>
    <w:rsid w:val="002B30AD"/>
    <w:rsid w:val="002C2C01"/>
    <w:rsid w:val="002E794D"/>
    <w:rsid w:val="0031215E"/>
    <w:rsid w:val="003A29AE"/>
    <w:rsid w:val="003A32D7"/>
    <w:rsid w:val="003B4074"/>
    <w:rsid w:val="003C01AB"/>
    <w:rsid w:val="003C769A"/>
    <w:rsid w:val="003D7820"/>
    <w:rsid w:val="003F1838"/>
    <w:rsid w:val="00431E78"/>
    <w:rsid w:val="0045746C"/>
    <w:rsid w:val="0049104B"/>
    <w:rsid w:val="004E3B12"/>
    <w:rsid w:val="0051095B"/>
    <w:rsid w:val="00532310"/>
    <w:rsid w:val="00532CB1"/>
    <w:rsid w:val="00560ECC"/>
    <w:rsid w:val="00565F0F"/>
    <w:rsid w:val="00594A86"/>
    <w:rsid w:val="00596D86"/>
    <w:rsid w:val="005D161A"/>
    <w:rsid w:val="005E14E7"/>
    <w:rsid w:val="006148ED"/>
    <w:rsid w:val="00637F5A"/>
    <w:rsid w:val="006560B1"/>
    <w:rsid w:val="00673DA0"/>
    <w:rsid w:val="006756DD"/>
    <w:rsid w:val="00687EF2"/>
    <w:rsid w:val="006A4B5A"/>
    <w:rsid w:val="006D70AD"/>
    <w:rsid w:val="00706E6A"/>
    <w:rsid w:val="0072625F"/>
    <w:rsid w:val="00737275"/>
    <w:rsid w:val="00740EEC"/>
    <w:rsid w:val="00744FA1"/>
    <w:rsid w:val="0078011A"/>
    <w:rsid w:val="00782AF4"/>
    <w:rsid w:val="00790EE7"/>
    <w:rsid w:val="007B6649"/>
    <w:rsid w:val="0081546F"/>
    <w:rsid w:val="0082576E"/>
    <w:rsid w:val="00874829"/>
    <w:rsid w:val="008775BF"/>
    <w:rsid w:val="00907F75"/>
    <w:rsid w:val="009260DE"/>
    <w:rsid w:val="0093258A"/>
    <w:rsid w:val="00985D51"/>
    <w:rsid w:val="009C7BA3"/>
    <w:rsid w:val="009D1F5A"/>
    <w:rsid w:val="00A715B4"/>
    <w:rsid w:val="00B003BF"/>
    <w:rsid w:val="00B31806"/>
    <w:rsid w:val="00B373D7"/>
    <w:rsid w:val="00BC664C"/>
    <w:rsid w:val="00C22CF3"/>
    <w:rsid w:val="00C36276"/>
    <w:rsid w:val="00C42586"/>
    <w:rsid w:val="00C46902"/>
    <w:rsid w:val="00C60CCD"/>
    <w:rsid w:val="00C74A0F"/>
    <w:rsid w:val="00C84483"/>
    <w:rsid w:val="00C95551"/>
    <w:rsid w:val="00CB20D7"/>
    <w:rsid w:val="00D020B0"/>
    <w:rsid w:val="00D11748"/>
    <w:rsid w:val="00D31669"/>
    <w:rsid w:val="00D327D2"/>
    <w:rsid w:val="00D366CF"/>
    <w:rsid w:val="00D609C5"/>
    <w:rsid w:val="00DB78ED"/>
    <w:rsid w:val="00E0306F"/>
    <w:rsid w:val="00E108AA"/>
    <w:rsid w:val="00E31812"/>
    <w:rsid w:val="00E3749A"/>
    <w:rsid w:val="00E50268"/>
    <w:rsid w:val="00E7437F"/>
    <w:rsid w:val="00E865B8"/>
    <w:rsid w:val="00EC0B9B"/>
    <w:rsid w:val="00ED5E9F"/>
    <w:rsid w:val="00F5349B"/>
    <w:rsid w:val="00F54568"/>
    <w:rsid w:val="00F66D4F"/>
    <w:rsid w:val="00FA19E9"/>
    <w:rsid w:val="00FB6D01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5B7E-3374-45A8-A2EA-FEB1D013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0220A1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0220A1"/>
    <w:rPr>
      <w:color w:val="0563C1" w:themeColor="hyperlink"/>
      <w:u w:val="single"/>
    </w:rPr>
  </w:style>
  <w:style w:type="paragraph" w:customStyle="1" w:styleId="Default">
    <w:name w:val="Default"/>
    <w:rsid w:val="00B3180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3676</Words>
  <Characters>23983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jkew@dkma.dk</dc:creator>
  <cp:keywords/>
  <dc:description>2024011279_x000d_
Opdateret SPC som følge af afreg. af styrke 3 mg</dc:description>
  <cp:lastModifiedBy>Janni Kim Ekwall Weihrauch</cp:lastModifiedBy>
  <cp:revision>2</cp:revision>
  <cp:lastPrinted>2020-08-04T08:03:00Z</cp:lastPrinted>
  <dcterms:created xsi:type="dcterms:W3CDTF">2024-01-12T10:07:00Z</dcterms:created>
  <dcterms:modified xsi:type="dcterms:W3CDTF">2024-01-12T10:07:00Z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