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EB1" w:rsidRDefault="00D54EB1" w:rsidP="00D54EB1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F5C51A1" wp14:editId="33B45F8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D54EB1" w:rsidRPr="008F49E1" w:rsidRDefault="00D54EB1" w:rsidP="00D54EB1">
      <w:pPr>
        <w:rPr>
          <w:sz w:val="24"/>
          <w:szCs w:val="24"/>
        </w:rPr>
      </w:pPr>
    </w:p>
    <w:p w:rsidR="00D54EB1" w:rsidRPr="00C84483" w:rsidRDefault="00D54EB1" w:rsidP="00D54EB1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DF0AE4">
        <w:rPr>
          <w:szCs w:val="24"/>
        </w:rPr>
        <w:t>23. november 2020</w:t>
      </w:r>
    </w:p>
    <w:p w:rsidR="00D54EB1" w:rsidRPr="00C84483" w:rsidRDefault="00D54EB1" w:rsidP="00D54EB1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D54EB1" w:rsidRPr="00C84483" w:rsidRDefault="00D54EB1" w:rsidP="00D54EB1">
      <w:pPr>
        <w:pStyle w:val="Titel"/>
        <w:jc w:val="left"/>
        <w:rPr>
          <w:b w:val="0"/>
          <w:szCs w:val="24"/>
        </w:rPr>
      </w:pPr>
    </w:p>
    <w:p w:rsidR="00D54EB1" w:rsidRPr="00C84483" w:rsidRDefault="00D54EB1" w:rsidP="00D54EB1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D54EB1" w:rsidRPr="00C84483" w:rsidRDefault="00D54EB1" w:rsidP="00D54EB1">
      <w:pPr>
        <w:jc w:val="center"/>
        <w:rPr>
          <w:b/>
          <w:sz w:val="24"/>
          <w:szCs w:val="24"/>
        </w:rPr>
      </w:pPr>
    </w:p>
    <w:p w:rsidR="00D54EB1" w:rsidRDefault="00D54EB1" w:rsidP="00D54EB1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D54EB1" w:rsidRPr="00C84483" w:rsidRDefault="00D54EB1" w:rsidP="00D54EB1">
      <w:pPr>
        <w:jc w:val="center"/>
        <w:rPr>
          <w:b/>
          <w:sz w:val="24"/>
          <w:szCs w:val="24"/>
        </w:rPr>
      </w:pPr>
    </w:p>
    <w:p w:rsidR="00D54EB1" w:rsidRPr="00C84483" w:rsidRDefault="00D54EB1" w:rsidP="00D54EB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Bekuval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kutanopløsning</w:t>
      </w:r>
      <w:proofErr w:type="spellEnd"/>
    </w:p>
    <w:p w:rsidR="00D54EB1" w:rsidRPr="00C84483" w:rsidRDefault="00D54EB1" w:rsidP="00D54EB1">
      <w:pPr>
        <w:jc w:val="both"/>
        <w:rPr>
          <w:sz w:val="24"/>
          <w:szCs w:val="24"/>
        </w:rPr>
      </w:pPr>
    </w:p>
    <w:p w:rsidR="00D54EB1" w:rsidRPr="00C84483" w:rsidRDefault="00D54EB1" w:rsidP="00D54EB1">
      <w:pPr>
        <w:jc w:val="both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30137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Bekuval</w:t>
      </w:r>
      <w:proofErr w:type="spellEnd"/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D54EB1" w:rsidRPr="00685DC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>
        <w:rPr>
          <w:sz w:val="24"/>
          <w:szCs w:val="24"/>
          <w:lang w:bidi="da-DK"/>
        </w:rPr>
        <w:t xml:space="preserve">1 ml indeholder 1 mg </w:t>
      </w:r>
      <w:proofErr w:type="spellStart"/>
      <w:r>
        <w:rPr>
          <w:sz w:val="24"/>
          <w:szCs w:val="24"/>
          <w:lang w:bidi="da-DK"/>
        </w:rPr>
        <w:t>b</w:t>
      </w:r>
      <w:r w:rsidRPr="00685DCC">
        <w:rPr>
          <w:sz w:val="24"/>
          <w:szCs w:val="24"/>
          <w:lang w:bidi="da-DK"/>
        </w:rPr>
        <w:t>etamethason</w:t>
      </w:r>
      <w:proofErr w:type="spellEnd"/>
      <w:r w:rsidRPr="00685DCC">
        <w:rPr>
          <w:sz w:val="24"/>
          <w:szCs w:val="24"/>
          <w:lang w:bidi="da-DK"/>
        </w:rPr>
        <w:t xml:space="preserve"> som </w:t>
      </w:r>
      <w:proofErr w:type="spellStart"/>
      <w:r w:rsidRPr="00685DCC">
        <w:rPr>
          <w:sz w:val="24"/>
          <w:szCs w:val="24"/>
          <w:lang w:bidi="da-DK"/>
        </w:rPr>
        <w:t>betamethasonvalerat</w:t>
      </w:r>
      <w:proofErr w:type="spellEnd"/>
      <w:r w:rsidRPr="00685DCC">
        <w:rPr>
          <w:sz w:val="24"/>
          <w:szCs w:val="24"/>
          <w:lang w:bidi="da-DK"/>
        </w:rPr>
        <w:t>.</w:t>
      </w:r>
    </w:p>
    <w:p w:rsidR="00D54EB1" w:rsidRPr="00685DCC" w:rsidRDefault="00D54EB1" w:rsidP="00D54EB1">
      <w:pPr>
        <w:tabs>
          <w:tab w:val="left" w:pos="851"/>
          <w:tab w:val="left" w:pos="7764"/>
        </w:tabs>
        <w:ind w:left="851"/>
        <w:rPr>
          <w:sz w:val="24"/>
          <w:szCs w:val="24"/>
          <w:lang w:bidi="da-DK"/>
        </w:rPr>
      </w:pPr>
      <w:r>
        <w:rPr>
          <w:sz w:val="24"/>
          <w:szCs w:val="24"/>
          <w:lang w:bidi="da-DK"/>
        </w:rPr>
        <w:tab/>
      </w:r>
    </w:p>
    <w:p w:rsidR="00D54EB1" w:rsidRPr="00685DC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685DCC">
        <w:rPr>
          <w:sz w:val="24"/>
          <w:szCs w:val="24"/>
          <w:lang w:bidi="da-DK"/>
        </w:rPr>
        <w:t>Alle hjælpestoffer er anført under pkt. 6.1.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D54EB1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proofErr w:type="spellStart"/>
      <w:r w:rsidRPr="006E7762">
        <w:rPr>
          <w:sz w:val="24"/>
          <w:szCs w:val="24"/>
          <w:lang w:bidi="da-DK"/>
        </w:rPr>
        <w:t>Kutanopløsning</w:t>
      </w:r>
      <w:proofErr w:type="spellEnd"/>
    </w:p>
    <w:p w:rsidR="00D54EB1" w:rsidRPr="006E7762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6E7762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6E7762">
        <w:rPr>
          <w:sz w:val="24"/>
          <w:szCs w:val="24"/>
          <w:lang w:bidi="da-DK"/>
        </w:rPr>
        <w:t>Farveløs, uklar, let viskøs væske.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D54EB1" w:rsidRPr="00C84483" w:rsidRDefault="00D54EB1" w:rsidP="00D54EB1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D54EB1" w:rsidRPr="00BE58AB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proofErr w:type="spellStart"/>
      <w:r w:rsidRPr="00BE58AB">
        <w:rPr>
          <w:sz w:val="24"/>
          <w:szCs w:val="24"/>
          <w:lang w:bidi="da-DK"/>
        </w:rPr>
        <w:t>Steroidresponsive</w:t>
      </w:r>
      <w:proofErr w:type="spellEnd"/>
      <w:r w:rsidRPr="00BE58AB">
        <w:rPr>
          <w:sz w:val="24"/>
          <w:szCs w:val="24"/>
          <w:lang w:bidi="da-DK"/>
        </w:rPr>
        <w:t xml:space="preserve"> </w:t>
      </w:r>
      <w:proofErr w:type="spellStart"/>
      <w:r w:rsidRPr="00BE58AB">
        <w:rPr>
          <w:sz w:val="24"/>
          <w:szCs w:val="24"/>
          <w:lang w:bidi="da-DK"/>
        </w:rPr>
        <w:t>dermatoser</w:t>
      </w:r>
      <w:proofErr w:type="spellEnd"/>
      <w:r w:rsidRPr="00BE58AB">
        <w:rPr>
          <w:sz w:val="24"/>
          <w:szCs w:val="24"/>
          <w:lang w:bidi="da-DK"/>
        </w:rPr>
        <w:t xml:space="preserve"> såsom psoriasis og </w:t>
      </w:r>
      <w:proofErr w:type="spellStart"/>
      <w:r w:rsidRPr="00BE58AB">
        <w:rPr>
          <w:sz w:val="24"/>
          <w:szCs w:val="24"/>
          <w:lang w:bidi="da-DK"/>
        </w:rPr>
        <w:t>seboroisk</w:t>
      </w:r>
      <w:proofErr w:type="spellEnd"/>
      <w:r w:rsidRPr="00BE58AB">
        <w:rPr>
          <w:sz w:val="24"/>
          <w:szCs w:val="24"/>
          <w:lang w:bidi="da-DK"/>
        </w:rPr>
        <w:t xml:space="preserve"> </w:t>
      </w:r>
      <w:proofErr w:type="spellStart"/>
      <w:r w:rsidRPr="00BE58AB">
        <w:rPr>
          <w:sz w:val="24"/>
          <w:szCs w:val="24"/>
          <w:lang w:bidi="da-DK"/>
        </w:rPr>
        <w:t>dermatitis</w:t>
      </w:r>
      <w:proofErr w:type="spellEnd"/>
      <w:r w:rsidRPr="00BE58AB">
        <w:rPr>
          <w:sz w:val="24"/>
          <w:szCs w:val="24"/>
          <w:lang w:bidi="da-DK"/>
        </w:rPr>
        <w:t xml:space="preserve"> i behårede områder, herunder i</w:t>
      </w:r>
      <w:r>
        <w:rPr>
          <w:sz w:val="24"/>
          <w:szCs w:val="24"/>
          <w:lang w:bidi="da-DK"/>
        </w:rPr>
        <w:t xml:space="preserve"> </w:t>
      </w:r>
      <w:r w:rsidRPr="00BE58AB">
        <w:rPr>
          <w:sz w:val="24"/>
          <w:szCs w:val="24"/>
          <w:lang w:bidi="da-DK"/>
        </w:rPr>
        <w:t xml:space="preserve">hårbunden. 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D54EB1" w:rsidRPr="00F7123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F7123A" w:rsidRDefault="00D54EB1" w:rsidP="00D54EB1">
      <w:pPr>
        <w:tabs>
          <w:tab w:val="left" w:pos="851"/>
        </w:tabs>
        <w:ind w:left="851"/>
        <w:rPr>
          <w:b/>
          <w:bCs/>
          <w:sz w:val="24"/>
          <w:szCs w:val="24"/>
          <w:lang w:bidi="da-DK"/>
        </w:rPr>
      </w:pPr>
      <w:r w:rsidRPr="00F7123A">
        <w:rPr>
          <w:b/>
          <w:bCs/>
          <w:sz w:val="24"/>
          <w:szCs w:val="24"/>
          <w:lang w:bidi="da-DK"/>
        </w:rPr>
        <w:t>Voksne og ældre</w:t>
      </w:r>
    </w:p>
    <w:p w:rsidR="00D54EB1" w:rsidRPr="00F7123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F7123A">
        <w:rPr>
          <w:sz w:val="24"/>
          <w:szCs w:val="24"/>
          <w:lang w:bidi="da-DK"/>
        </w:rPr>
        <w:t xml:space="preserve">En lille mængde </w:t>
      </w:r>
      <w:proofErr w:type="spellStart"/>
      <w:r w:rsidRPr="00F7123A">
        <w:rPr>
          <w:sz w:val="24"/>
          <w:szCs w:val="24"/>
          <w:lang w:bidi="da-DK"/>
        </w:rPr>
        <w:t>betamethasonvalerat</w:t>
      </w:r>
      <w:proofErr w:type="spellEnd"/>
      <w:r w:rsidRPr="00F7123A">
        <w:rPr>
          <w:sz w:val="24"/>
          <w:szCs w:val="24"/>
          <w:lang w:bidi="da-DK"/>
        </w:rPr>
        <w:t xml:space="preserve"> påsmøres hovedbunden om aftenen og om morgenen</w:t>
      </w:r>
      <w:r>
        <w:rPr>
          <w:sz w:val="24"/>
          <w:szCs w:val="24"/>
          <w:lang w:bidi="da-DK"/>
        </w:rPr>
        <w:t>,</w:t>
      </w:r>
      <w:r w:rsidRPr="00F7123A">
        <w:rPr>
          <w:sz w:val="24"/>
          <w:szCs w:val="24"/>
          <w:lang w:bidi="da-DK"/>
        </w:rPr>
        <w:t xml:space="preserve"> indtil</w:t>
      </w:r>
      <w:r>
        <w:rPr>
          <w:sz w:val="24"/>
          <w:szCs w:val="24"/>
          <w:lang w:bidi="da-DK"/>
        </w:rPr>
        <w:t xml:space="preserve"> </w:t>
      </w:r>
      <w:r w:rsidRPr="00F7123A">
        <w:rPr>
          <w:sz w:val="24"/>
          <w:szCs w:val="24"/>
          <w:lang w:bidi="da-DK"/>
        </w:rPr>
        <w:t>forbedring kan ses. Herefter kan det være muligt at vedligeholde forbedringen ved at påsmøre en</w:t>
      </w:r>
      <w:r>
        <w:rPr>
          <w:sz w:val="24"/>
          <w:szCs w:val="24"/>
          <w:lang w:bidi="da-DK"/>
        </w:rPr>
        <w:t xml:space="preserve"> </w:t>
      </w:r>
      <w:r w:rsidRPr="00F7123A">
        <w:rPr>
          <w:sz w:val="24"/>
          <w:szCs w:val="24"/>
          <w:lang w:bidi="da-DK"/>
        </w:rPr>
        <w:t>gang daglig eller mindre hyppigt.</w:t>
      </w:r>
    </w:p>
    <w:p w:rsidR="00D54EB1" w:rsidRPr="00F7123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F7123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proofErr w:type="spellStart"/>
      <w:r w:rsidRPr="00F7123A">
        <w:rPr>
          <w:sz w:val="24"/>
          <w:szCs w:val="24"/>
          <w:lang w:bidi="da-DK"/>
        </w:rPr>
        <w:t>Bekuval</w:t>
      </w:r>
      <w:proofErr w:type="spellEnd"/>
      <w:r w:rsidRPr="00F7123A">
        <w:rPr>
          <w:sz w:val="24"/>
          <w:szCs w:val="24"/>
          <w:lang w:bidi="da-DK"/>
        </w:rPr>
        <w:t xml:space="preserve"> </w:t>
      </w:r>
      <w:proofErr w:type="spellStart"/>
      <w:r w:rsidRPr="00F7123A">
        <w:rPr>
          <w:sz w:val="24"/>
          <w:szCs w:val="24"/>
          <w:lang w:bidi="da-DK"/>
        </w:rPr>
        <w:t>kutanopløsning</w:t>
      </w:r>
      <w:proofErr w:type="spellEnd"/>
      <w:r w:rsidRPr="00F7123A">
        <w:rPr>
          <w:sz w:val="24"/>
          <w:szCs w:val="24"/>
          <w:lang w:bidi="da-DK"/>
        </w:rPr>
        <w:t xml:space="preserve"> er brandfarlig og patienter skal undgå rygning og at opholde sig i nærheden</w:t>
      </w:r>
      <w:r>
        <w:rPr>
          <w:sz w:val="24"/>
          <w:szCs w:val="24"/>
          <w:lang w:bidi="da-DK"/>
        </w:rPr>
        <w:t xml:space="preserve"> </w:t>
      </w:r>
      <w:r w:rsidRPr="00F7123A">
        <w:rPr>
          <w:sz w:val="24"/>
          <w:szCs w:val="24"/>
          <w:lang w:bidi="da-DK"/>
        </w:rPr>
        <w:t>af åben ild under applicering og umiddelbart efter brug.</w:t>
      </w:r>
    </w:p>
    <w:p w:rsidR="00D54EB1" w:rsidRPr="00F7123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F7123A" w:rsidRDefault="00D54EB1" w:rsidP="00D54EB1">
      <w:pPr>
        <w:tabs>
          <w:tab w:val="left" w:pos="851"/>
        </w:tabs>
        <w:ind w:left="851"/>
        <w:rPr>
          <w:b/>
          <w:bCs/>
          <w:sz w:val="24"/>
          <w:szCs w:val="24"/>
          <w:lang w:bidi="da-DK"/>
        </w:rPr>
      </w:pPr>
      <w:r w:rsidRPr="00F7123A">
        <w:rPr>
          <w:b/>
          <w:bCs/>
          <w:sz w:val="24"/>
          <w:szCs w:val="24"/>
          <w:lang w:bidi="da-DK"/>
        </w:rPr>
        <w:t>Pædiatrisk population</w:t>
      </w:r>
    </w:p>
    <w:p w:rsidR="00D54EB1" w:rsidRPr="00F7123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F7123A">
        <w:rPr>
          <w:sz w:val="24"/>
          <w:szCs w:val="24"/>
          <w:lang w:bidi="da-DK"/>
        </w:rPr>
        <w:t xml:space="preserve">Sikkerhed og effekt af </w:t>
      </w:r>
      <w:proofErr w:type="spellStart"/>
      <w:r w:rsidRPr="00F7123A">
        <w:rPr>
          <w:sz w:val="24"/>
          <w:szCs w:val="24"/>
          <w:lang w:bidi="da-DK"/>
        </w:rPr>
        <w:t>betamethasonvalerat</w:t>
      </w:r>
      <w:proofErr w:type="spellEnd"/>
      <w:r w:rsidRPr="00F7123A">
        <w:rPr>
          <w:sz w:val="24"/>
          <w:szCs w:val="24"/>
          <w:lang w:bidi="da-DK"/>
        </w:rPr>
        <w:t xml:space="preserve"> hos børn er endnu ikke klarlagt.</w:t>
      </w:r>
    </w:p>
    <w:p w:rsidR="00D54EB1" w:rsidRPr="00F7123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F7123A" w:rsidRDefault="00D54EB1" w:rsidP="00D54EB1">
      <w:pPr>
        <w:tabs>
          <w:tab w:val="left" w:pos="851"/>
        </w:tabs>
        <w:ind w:left="851"/>
        <w:rPr>
          <w:b/>
          <w:bCs/>
          <w:sz w:val="24"/>
          <w:szCs w:val="24"/>
          <w:lang w:bidi="da-DK"/>
        </w:rPr>
      </w:pPr>
      <w:r w:rsidRPr="00F7123A">
        <w:rPr>
          <w:b/>
          <w:bCs/>
          <w:sz w:val="24"/>
          <w:szCs w:val="24"/>
          <w:lang w:bidi="da-DK"/>
        </w:rPr>
        <w:t>Ældre</w:t>
      </w:r>
    </w:p>
    <w:p w:rsidR="00D54EB1" w:rsidRPr="00F7123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F7123A">
        <w:rPr>
          <w:sz w:val="24"/>
          <w:szCs w:val="24"/>
          <w:lang w:bidi="da-DK"/>
        </w:rPr>
        <w:t>Kliniske studier har ikke identificeret forskelle i respons mellem ældre og yngre patienter. Den</w:t>
      </w:r>
      <w:r>
        <w:rPr>
          <w:sz w:val="24"/>
          <w:szCs w:val="24"/>
          <w:lang w:bidi="da-DK"/>
        </w:rPr>
        <w:t xml:space="preserve"> </w:t>
      </w:r>
      <w:r w:rsidRPr="00F7123A">
        <w:rPr>
          <w:sz w:val="24"/>
          <w:szCs w:val="24"/>
          <w:lang w:bidi="da-DK"/>
        </w:rPr>
        <w:t xml:space="preserve">højere forekomst at nedsat </w:t>
      </w:r>
      <w:proofErr w:type="spellStart"/>
      <w:r w:rsidRPr="00F7123A">
        <w:rPr>
          <w:sz w:val="24"/>
          <w:szCs w:val="24"/>
          <w:lang w:bidi="da-DK"/>
        </w:rPr>
        <w:t>hepatisk</w:t>
      </w:r>
      <w:proofErr w:type="spellEnd"/>
      <w:r w:rsidRPr="00F7123A">
        <w:rPr>
          <w:sz w:val="24"/>
          <w:szCs w:val="24"/>
          <w:lang w:bidi="da-DK"/>
        </w:rPr>
        <w:t xml:space="preserve"> eller </w:t>
      </w:r>
      <w:proofErr w:type="spellStart"/>
      <w:r w:rsidRPr="00F7123A">
        <w:rPr>
          <w:sz w:val="24"/>
          <w:szCs w:val="24"/>
          <w:lang w:bidi="da-DK"/>
        </w:rPr>
        <w:t>renal</w:t>
      </w:r>
      <w:proofErr w:type="spellEnd"/>
      <w:r w:rsidRPr="00F7123A">
        <w:rPr>
          <w:sz w:val="24"/>
          <w:szCs w:val="24"/>
          <w:lang w:bidi="da-DK"/>
        </w:rPr>
        <w:t xml:space="preserve"> funktion hos ældre kan forsinke eliminationen, hvis</w:t>
      </w:r>
      <w:r>
        <w:rPr>
          <w:sz w:val="24"/>
          <w:szCs w:val="24"/>
          <w:lang w:bidi="da-DK"/>
        </w:rPr>
        <w:t xml:space="preserve"> </w:t>
      </w:r>
      <w:r w:rsidRPr="00F7123A">
        <w:rPr>
          <w:sz w:val="24"/>
          <w:szCs w:val="24"/>
          <w:lang w:bidi="da-DK"/>
        </w:rPr>
        <w:t>systemisk absorption forekommer. Derfor skal der anvendes den mindst mulige mængde i den</w:t>
      </w:r>
      <w:r>
        <w:rPr>
          <w:sz w:val="24"/>
          <w:szCs w:val="24"/>
          <w:lang w:bidi="da-DK"/>
        </w:rPr>
        <w:t xml:space="preserve"> </w:t>
      </w:r>
      <w:r w:rsidRPr="00F7123A">
        <w:rPr>
          <w:sz w:val="24"/>
          <w:szCs w:val="24"/>
          <w:lang w:bidi="da-DK"/>
        </w:rPr>
        <w:t>kortest mulige tid for at opnå den ønskede kliniske effekt.</w:t>
      </w:r>
    </w:p>
    <w:p w:rsidR="00D54EB1" w:rsidRPr="00F7123A" w:rsidRDefault="00D54EB1" w:rsidP="00D54EB1">
      <w:pPr>
        <w:tabs>
          <w:tab w:val="left" w:pos="851"/>
        </w:tabs>
        <w:ind w:left="851"/>
        <w:rPr>
          <w:b/>
          <w:bCs/>
          <w:sz w:val="24"/>
          <w:szCs w:val="24"/>
          <w:lang w:bidi="da-DK"/>
        </w:rPr>
      </w:pPr>
    </w:p>
    <w:p w:rsidR="00D54EB1" w:rsidRPr="00F7123A" w:rsidRDefault="00D54EB1" w:rsidP="00D54EB1">
      <w:pPr>
        <w:tabs>
          <w:tab w:val="left" w:pos="851"/>
        </w:tabs>
        <w:ind w:left="851"/>
        <w:rPr>
          <w:b/>
          <w:bCs/>
          <w:sz w:val="24"/>
          <w:szCs w:val="24"/>
          <w:lang w:bidi="da-DK"/>
        </w:rPr>
      </w:pPr>
      <w:r w:rsidRPr="00F7123A">
        <w:rPr>
          <w:b/>
          <w:bCs/>
          <w:sz w:val="24"/>
          <w:szCs w:val="24"/>
          <w:lang w:bidi="da-DK"/>
        </w:rPr>
        <w:t>Nyre-/leverinsufficiens</w:t>
      </w:r>
    </w:p>
    <w:p w:rsidR="00D54EB1" w:rsidRPr="00F7123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F7123A">
        <w:rPr>
          <w:sz w:val="24"/>
          <w:szCs w:val="24"/>
          <w:lang w:bidi="da-DK"/>
        </w:rPr>
        <w:t>I tilfælde af systemisk absorption (hvis et stort område behandles over længere tid), kan metabolisme</w:t>
      </w:r>
      <w:r>
        <w:rPr>
          <w:sz w:val="24"/>
          <w:szCs w:val="24"/>
          <w:lang w:bidi="da-DK"/>
        </w:rPr>
        <w:t xml:space="preserve"> </w:t>
      </w:r>
      <w:r w:rsidRPr="00F7123A">
        <w:rPr>
          <w:sz w:val="24"/>
          <w:szCs w:val="24"/>
          <w:lang w:bidi="da-DK"/>
        </w:rPr>
        <w:t>og elimination være forsinket og dermed øges risikoen systemisk toksicitet. Derfor skal der anvendes</w:t>
      </w:r>
      <w:r>
        <w:rPr>
          <w:sz w:val="24"/>
          <w:szCs w:val="24"/>
          <w:lang w:bidi="da-DK"/>
        </w:rPr>
        <w:t xml:space="preserve"> </w:t>
      </w:r>
      <w:r w:rsidRPr="00F7123A">
        <w:rPr>
          <w:sz w:val="24"/>
          <w:szCs w:val="24"/>
          <w:lang w:bidi="da-DK"/>
        </w:rPr>
        <w:t>den mindst mulige mængde i den kortest mulige tid for at opnå den ønskede kliniske effekt.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D54EB1" w:rsidRPr="005431CD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proofErr w:type="spellStart"/>
      <w:r w:rsidRPr="005431CD">
        <w:rPr>
          <w:sz w:val="24"/>
          <w:szCs w:val="24"/>
          <w:lang w:bidi="da-DK"/>
        </w:rPr>
        <w:t>Betamethasonvalerat</w:t>
      </w:r>
      <w:proofErr w:type="spellEnd"/>
      <w:r w:rsidRPr="005431CD">
        <w:rPr>
          <w:sz w:val="24"/>
          <w:szCs w:val="24"/>
          <w:lang w:bidi="da-DK"/>
        </w:rPr>
        <w:t xml:space="preserve"> er kontraindiceret til hudlidelser hos børn under 1 år, herunder </w:t>
      </w:r>
      <w:proofErr w:type="spellStart"/>
      <w:r w:rsidRPr="005431CD">
        <w:rPr>
          <w:sz w:val="24"/>
          <w:szCs w:val="24"/>
          <w:lang w:bidi="da-DK"/>
        </w:rPr>
        <w:t>dermatit</w:t>
      </w:r>
      <w:proofErr w:type="spellEnd"/>
      <w:r w:rsidRPr="005431CD">
        <w:rPr>
          <w:sz w:val="24"/>
          <w:szCs w:val="24"/>
          <w:lang w:bidi="da-DK"/>
        </w:rPr>
        <w:t>.</w:t>
      </w:r>
    </w:p>
    <w:p w:rsidR="00D54EB1" w:rsidRPr="005431CD" w:rsidRDefault="00D54EB1" w:rsidP="00D54EB1">
      <w:pPr>
        <w:numPr>
          <w:ilvl w:val="0"/>
          <w:numId w:val="6"/>
        </w:numPr>
        <w:tabs>
          <w:tab w:val="left" w:pos="1134"/>
        </w:tabs>
        <w:ind w:left="1134" w:hanging="283"/>
        <w:rPr>
          <w:sz w:val="24"/>
          <w:szCs w:val="24"/>
          <w:lang w:bidi="da-DK"/>
        </w:rPr>
      </w:pPr>
      <w:r w:rsidRPr="005431CD">
        <w:rPr>
          <w:sz w:val="24"/>
          <w:szCs w:val="24"/>
          <w:lang w:bidi="da-DK"/>
        </w:rPr>
        <w:t>Overfølsomhed over for det aktive stof eller over for et eller flere af hjælpestofferne anført i pkt. 6.1.</w:t>
      </w:r>
    </w:p>
    <w:p w:rsidR="00D54EB1" w:rsidRPr="005431CD" w:rsidRDefault="00D54EB1" w:rsidP="00D54EB1">
      <w:pPr>
        <w:numPr>
          <w:ilvl w:val="0"/>
          <w:numId w:val="6"/>
        </w:numPr>
        <w:tabs>
          <w:tab w:val="left" w:pos="1134"/>
        </w:tabs>
        <w:ind w:left="1134" w:hanging="283"/>
        <w:rPr>
          <w:sz w:val="24"/>
          <w:szCs w:val="24"/>
          <w:lang w:bidi="da-DK"/>
        </w:rPr>
      </w:pPr>
      <w:r w:rsidRPr="005431CD">
        <w:rPr>
          <w:sz w:val="24"/>
          <w:szCs w:val="24"/>
          <w:lang w:bidi="da-DK"/>
        </w:rPr>
        <w:t>Infektioner i hovedbunden.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D54EB1" w:rsidRDefault="00D54EB1" w:rsidP="00D54EB1">
      <w:pPr>
        <w:tabs>
          <w:tab w:val="left" w:pos="851"/>
        </w:tabs>
        <w:ind w:left="851"/>
        <w:rPr>
          <w:b/>
          <w:bCs/>
          <w:sz w:val="24"/>
          <w:szCs w:val="24"/>
          <w:lang w:bidi="da-DK"/>
        </w:rPr>
      </w:pPr>
    </w:p>
    <w:p w:rsidR="00D54EB1" w:rsidRPr="005347C0" w:rsidRDefault="00D54EB1" w:rsidP="00D54EB1">
      <w:pPr>
        <w:tabs>
          <w:tab w:val="left" w:pos="851"/>
        </w:tabs>
        <w:ind w:left="851"/>
        <w:rPr>
          <w:bCs/>
          <w:sz w:val="24"/>
          <w:szCs w:val="24"/>
          <w:u w:val="single"/>
          <w:lang w:bidi="da-DK"/>
        </w:rPr>
      </w:pPr>
      <w:r w:rsidRPr="005347C0">
        <w:rPr>
          <w:bCs/>
          <w:sz w:val="24"/>
          <w:szCs w:val="24"/>
          <w:u w:val="single"/>
          <w:lang w:bidi="da-DK"/>
        </w:rPr>
        <w:t>Overfølsomhed</w:t>
      </w:r>
    </w:p>
    <w:p w:rsidR="00D54EB1" w:rsidRPr="00126608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proofErr w:type="spellStart"/>
      <w:r w:rsidRPr="00126608">
        <w:rPr>
          <w:sz w:val="24"/>
          <w:szCs w:val="24"/>
          <w:lang w:bidi="da-DK"/>
        </w:rPr>
        <w:t>Betamethasonvalerat</w:t>
      </w:r>
      <w:proofErr w:type="spellEnd"/>
      <w:r w:rsidRPr="00126608">
        <w:rPr>
          <w:sz w:val="24"/>
          <w:szCs w:val="24"/>
          <w:lang w:bidi="da-DK"/>
        </w:rPr>
        <w:t xml:space="preserve"> skal anvendes med forsigtighed hos patienter, der tidligere har haft lokal</w:t>
      </w:r>
      <w:r>
        <w:rPr>
          <w:sz w:val="24"/>
          <w:szCs w:val="24"/>
          <w:lang w:bidi="da-DK"/>
        </w:rPr>
        <w:t xml:space="preserve"> </w:t>
      </w:r>
      <w:r w:rsidRPr="00126608">
        <w:rPr>
          <w:sz w:val="24"/>
          <w:szCs w:val="24"/>
          <w:lang w:bidi="da-DK"/>
        </w:rPr>
        <w:t xml:space="preserve">overfølsomhed over for </w:t>
      </w:r>
      <w:proofErr w:type="spellStart"/>
      <w:r w:rsidRPr="00126608">
        <w:rPr>
          <w:sz w:val="24"/>
          <w:szCs w:val="24"/>
          <w:lang w:bidi="da-DK"/>
        </w:rPr>
        <w:t>kortikosteroider</w:t>
      </w:r>
      <w:proofErr w:type="spellEnd"/>
      <w:r w:rsidRPr="00126608">
        <w:rPr>
          <w:sz w:val="24"/>
          <w:szCs w:val="24"/>
          <w:lang w:bidi="da-DK"/>
        </w:rPr>
        <w:t>, over for et eller flere af hjælpestofferne i produktet. Lokale</w:t>
      </w:r>
      <w:r>
        <w:rPr>
          <w:sz w:val="24"/>
          <w:szCs w:val="24"/>
          <w:lang w:bidi="da-DK"/>
        </w:rPr>
        <w:t xml:space="preserve"> </w:t>
      </w:r>
      <w:r w:rsidRPr="00126608">
        <w:rPr>
          <w:sz w:val="24"/>
          <w:szCs w:val="24"/>
          <w:lang w:bidi="da-DK"/>
        </w:rPr>
        <w:t>overfølsomhedsreaktioner (se pkt.4.8) kan ligne symptomerne på den tilstand, der behandles.</w:t>
      </w:r>
    </w:p>
    <w:p w:rsidR="00D54EB1" w:rsidRPr="00126608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5347C0" w:rsidRDefault="00D54EB1" w:rsidP="00D54EB1">
      <w:pPr>
        <w:tabs>
          <w:tab w:val="left" w:pos="851"/>
        </w:tabs>
        <w:ind w:left="851"/>
        <w:rPr>
          <w:bCs/>
          <w:sz w:val="24"/>
          <w:szCs w:val="24"/>
          <w:u w:val="single"/>
          <w:lang w:bidi="da-DK"/>
        </w:rPr>
      </w:pPr>
      <w:r w:rsidRPr="005347C0">
        <w:rPr>
          <w:bCs/>
          <w:sz w:val="24"/>
          <w:szCs w:val="24"/>
          <w:u w:val="single"/>
          <w:lang w:bidi="da-DK"/>
        </w:rPr>
        <w:t>Reversibel suppression af HPA-aksen (</w:t>
      </w:r>
      <w:proofErr w:type="spellStart"/>
      <w:r w:rsidRPr="005347C0">
        <w:rPr>
          <w:bCs/>
          <w:sz w:val="24"/>
          <w:szCs w:val="24"/>
          <w:u w:val="single"/>
          <w:lang w:bidi="da-DK"/>
        </w:rPr>
        <w:t>hypothalamus</w:t>
      </w:r>
      <w:proofErr w:type="spellEnd"/>
      <w:r w:rsidRPr="005347C0">
        <w:rPr>
          <w:bCs/>
          <w:sz w:val="24"/>
          <w:szCs w:val="24"/>
          <w:u w:val="single"/>
          <w:lang w:bidi="da-DK"/>
        </w:rPr>
        <w:t>-hypofyse-binyrebark)</w:t>
      </w:r>
    </w:p>
    <w:p w:rsidR="00D54EB1" w:rsidRPr="00126608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26608">
        <w:rPr>
          <w:sz w:val="24"/>
          <w:szCs w:val="24"/>
          <w:lang w:bidi="da-DK"/>
        </w:rPr>
        <w:t xml:space="preserve">Hos nogle personer kan der på grund af en øget systemisk absorption af </w:t>
      </w:r>
      <w:proofErr w:type="spellStart"/>
      <w:r w:rsidRPr="00126608">
        <w:rPr>
          <w:sz w:val="24"/>
          <w:szCs w:val="24"/>
          <w:lang w:bidi="da-DK"/>
        </w:rPr>
        <w:t>topikale</w:t>
      </w:r>
      <w:proofErr w:type="spellEnd"/>
      <w:r w:rsidRPr="00126608">
        <w:rPr>
          <w:sz w:val="24"/>
          <w:szCs w:val="24"/>
          <w:lang w:bidi="da-DK"/>
        </w:rPr>
        <w:t xml:space="preserve"> steroider opstå tegn</w:t>
      </w:r>
      <w:r>
        <w:rPr>
          <w:sz w:val="24"/>
          <w:szCs w:val="24"/>
          <w:lang w:bidi="da-DK"/>
        </w:rPr>
        <w:t xml:space="preserve"> </w:t>
      </w:r>
      <w:r w:rsidRPr="00126608">
        <w:rPr>
          <w:sz w:val="24"/>
          <w:szCs w:val="24"/>
          <w:lang w:bidi="da-DK"/>
        </w:rPr>
        <w:t xml:space="preserve">på </w:t>
      </w:r>
      <w:proofErr w:type="spellStart"/>
      <w:r w:rsidRPr="00126608">
        <w:rPr>
          <w:sz w:val="24"/>
          <w:szCs w:val="24"/>
          <w:lang w:bidi="da-DK"/>
        </w:rPr>
        <w:t>hyperkortisolisme</w:t>
      </w:r>
      <w:proofErr w:type="spellEnd"/>
      <w:r w:rsidRPr="00126608">
        <w:rPr>
          <w:sz w:val="24"/>
          <w:szCs w:val="24"/>
          <w:lang w:bidi="da-DK"/>
        </w:rPr>
        <w:t xml:space="preserve"> (</w:t>
      </w:r>
      <w:proofErr w:type="spellStart"/>
      <w:r w:rsidRPr="00126608">
        <w:rPr>
          <w:sz w:val="24"/>
          <w:szCs w:val="24"/>
          <w:lang w:bidi="da-DK"/>
        </w:rPr>
        <w:t>Cushings</w:t>
      </w:r>
      <w:proofErr w:type="spellEnd"/>
      <w:r w:rsidRPr="00126608">
        <w:rPr>
          <w:sz w:val="24"/>
          <w:szCs w:val="24"/>
          <w:lang w:bidi="da-DK"/>
        </w:rPr>
        <w:t xml:space="preserve"> syndrom) og reversibel suppression af HPA-aksen (</w:t>
      </w:r>
      <w:proofErr w:type="spellStart"/>
      <w:r w:rsidRPr="00126608">
        <w:rPr>
          <w:sz w:val="24"/>
          <w:szCs w:val="24"/>
          <w:lang w:bidi="da-DK"/>
        </w:rPr>
        <w:t>hypothalamus</w:t>
      </w:r>
      <w:proofErr w:type="spellEnd"/>
      <w:r>
        <w:rPr>
          <w:sz w:val="24"/>
          <w:szCs w:val="24"/>
          <w:lang w:bidi="da-DK"/>
        </w:rPr>
        <w:t xml:space="preserve"> </w:t>
      </w:r>
      <w:r w:rsidRPr="00126608">
        <w:rPr>
          <w:sz w:val="24"/>
          <w:szCs w:val="24"/>
          <w:lang w:bidi="da-DK"/>
        </w:rPr>
        <w:t xml:space="preserve">hypofyse-binyrebark), som fører til </w:t>
      </w:r>
      <w:proofErr w:type="spellStart"/>
      <w:r w:rsidRPr="00126608">
        <w:rPr>
          <w:sz w:val="24"/>
          <w:szCs w:val="24"/>
          <w:lang w:bidi="da-DK"/>
        </w:rPr>
        <w:t>glucokortikosteroidmangel</w:t>
      </w:r>
      <w:proofErr w:type="spellEnd"/>
      <w:r w:rsidRPr="00126608">
        <w:rPr>
          <w:sz w:val="24"/>
          <w:szCs w:val="24"/>
          <w:lang w:bidi="da-DK"/>
        </w:rPr>
        <w:t>. Hvis en af ovennævnte tilstande</w:t>
      </w:r>
      <w:r>
        <w:rPr>
          <w:sz w:val="24"/>
          <w:szCs w:val="24"/>
          <w:lang w:bidi="da-DK"/>
        </w:rPr>
        <w:t xml:space="preserve"> </w:t>
      </w:r>
      <w:r w:rsidRPr="00126608">
        <w:rPr>
          <w:sz w:val="24"/>
          <w:szCs w:val="24"/>
          <w:lang w:bidi="da-DK"/>
        </w:rPr>
        <w:t>observeres, skal lægemidlet gradvist seponeres ved at nedsætte hyppigheden af påføring eller ved at</w:t>
      </w:r>
      <w:r>
        <w:rPr>
          <w:sz w:val="24"/>
          <w:szCs w:val="24"/>
          <w:lang w:bidi="da-DK"/>
        </w:rPr>
        <w:t xml:space="preserve"> </w:t>
      </w:r>
      <w:r w:rsidRPr="00126608">
        <w:rPr>
          <w:sz w:val="24"/>
          <w:szCs w:val="24"/>
          <w:lang w:bidi="da-DK"/>
        </w:rPr>
        <w:t xml:space="preserve">skifte over til et mindre stærkt </w:t>
      </w:r>
      <w:proofErr w:type="spellStart"/>
      <w:r w:rsidRPr="00126608">
        <w:rPr>
          <w:sz w:val="24"/>
          <w:szCs w:val="24"/>
          <w:lang w:bidi="da-DK"/>
        </w:rPr>
        <w:t>kortikosteroid</w:t>
      </w:r>
      <w:proofErr w:type="spellEnd"/>
      <w:r w:rsidRPr="00126608">
        <w:rPr>
          <w:sz w:val="24"/>
          <w:szCs w:val="24"/>
          <w:lang w:bidi="da-DK"/>
        </w:rPr>
        <w:t xml:space="preserve">. Brat </w:t>
      </w:r>
      <w:proofErr w:type="spellStart"/>
      <w:r w:rsidRPr="00126608">
        <w:rPr>
          <w:sz w:val="24"/>
          <w:szCs w:val="24"/>
          <w:lang w:bidi="da-DK"/>
        </w:rPr>
        <w:t>seponering</w:t>
      </w:r>
      <w:proofErr w:type="spellEnd"/>
      <w:r w:rsidRPr="00126608">
        <w:rPr>
          <w:sz w:val="24"/>
          <w:szCs w:val="24"/>
          <w:lang w:bidi="da-DK"/>
        </w:rPr>
        <w:t xml:space="preserve"> af behandlingen kan medføre</w:t>
      </w:r>
      <w:r>
        <w:rPr>
          <w:sz w:val="24"/>
          <w:szCs w:val="24"/>
          <w:lang w:bidi="da-DK"/>
        </w:rPr>
        <w:t xml:space="preserve"> </w:t>
      </w:r>
      <w:proofErr w:type="spellStart"/>
      <w:r w:rsidRPr="00126608">
        <w:rPr>
          <w:sz w:val="24"/>
          <w:szCs w:val="24"/>
          <w:lang w:bidi="da-DK"/>
        </w:rPr>
        <w:t>glucokortikosteroidmangel</w:t>
      </w:r>
      <w:proofErr w:type="spellEnd"/>
      <w:r w:rsidRPr="00126608">
        <w:rPr>
          <w:sz w:val="24"/>
          <w:szCs w:val="24"/>
          <w:lang w:bidi="da-DK"/>
        </w:rPr>
        <w:t xml:space="preserve"> (se pkt.4.8).</w:t>
      </w:r>
    </w:p>
    <w:p w:rsidR="00D54EB1" w:rsidRPr="00126608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126608" w:rsidRDefault="00D54EB1" w:rsidP="00D54EB1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 w:rsidRPr="00126608">
        <w:rPr>
          <w:sz w:val="24"/>
          <w:szCs w:val="24"/>
          <w:u w:val="single"/>
          <w:lang w:bidi="da-DK"/>
        </w:rPr>
        <w:t>Risikofaktore</w:t>
      </w:r>
      <w:r>
        <w:rPr>
          <w:sz w:val="24"/>
          <w:szCs w:val="24"/>
          <w:u w:val="single"/>
          <w:lang w:bidi="da-DK"/>
        </w:rPr>
        <w:t>r for øget systemisk påvirkning</w:t>
      </w:r>
    </w:p>
    <w:p w:rsidR="00D54EB1" w:rsidRPr="00126608" w:rsidRDefault="00D54EB1" w:rsidP="00D54EB1">
      <w:pPr>
        <w:numPr>
          <w:ilvl w:val="0"/>
          <w:numId w:val="7"/>
        </w:numPr>
        <w:tabs>
          <w:tab w:val="clear" w:pos="644"/>
          <w:tab w:val="left" w:pos="851"/>
          <w:tab w:val="num" w:pos="1134"/>
        </w:tabs>
        <w:ind w:left="1134" w:hanging="283"/>
        <w:rPr>
          <w:sz w:val="24"/>
          <w:szCs w:val="24"/>
          <w:lang w:bidi="da-DK"/>
        </w:rPr>
      </w:pPr>
      <w:r w:rsidRPr="00126608">
        <w:rPr>
          <w:sz w:val="24"/>
          <w:szCs w:val="24"/>
          <w:lang w:bidi="da-DK"/>
        </w:rPr>
        <w:t xml:space="preserve">Styrke og formulering af det </w:t>
      </w:r>
      <w:proofErr w:type="spellStart"/>
      <w:r w:rsidRPr="00126608">
        <w:rPr>
          <w:sz w:val="24"/>
          <w:szCs w:val="24"/>
          <w:lang w:bidi="da-DK"/>
        </w:rPr>
        <w:t>topikale</w:t>
      </w:r>
      <w:proofErr w:type="spellEnd"/>
      <w:r w:rsidRPr="00126608">
        <w:rPr>
          <w:sz w:val="24"/>
          <w:szCs w:val="24"/>
          <w:lang w:bidi="da-DK"/>
        </w:rPr>
        <w:t xml:space="preserve"> steroid.</w:t>
      </w:r>
    </w:p>
    <w:p w:rsidR="00D54EB1" w:rsidRPr="00126608" w:rsidRDefault="00D54EB1" w:rsidP="00D54EB1">
      <w:pPr>
        <w:numPr>
          <w:ilvl w:val="0"/>
          <w:numId w:val="7"/>
        </w:numPr>
        <w:tabs>
          <w:tab w:val="clear" w:pos="644"/>
          <w:tab w:val="left" w:pos="851"/>
          <w:tab w:val="num" w:pos="1134"/>
        </w:tabs>
        <w:ind w:left="1134" w:hanging="283"/>
        <w:rPr>
          <w:sz w:val="24"/>
          <w:szCs w:val="24"/>
          <w:lang w:bidi="da-DK"/>
        </w:rPr>
      </w:pPr>
      <w:r w:rsidRPr="00126608">
        <w:rPr>
          <w:sz w:val="24"/>
          <w:szCs w:val="24"/>
          <w:lang w:bidi="da-DK"/>
        </w:rPr>
        <w:t>Varighed af eksponeringen.</w:t>
      </w:r>
    </w:p>
    <w:p w:rsidR="00D54EB1" w:rsidRPr="00126608" w:rsidRDefault="00D54EB1" w:rsidP="00D54EB1">
      <w:pPr>
        <w:numPr>
          <w:ilvl w:val="0"/>
          <w:numId w:val="7"/>
        </w:numPr>
        <w:tabs>
          <w:tab w:val="clear" w:pos="644"/>
          <w:tab w:val="left" w:pos="851"/>
          <w:tab w:val="num" w:pos="1134"/>
        </w:tabs>
        <w:ind w:left="1134" w:hanging="283"/>
        <w:rPr>
          <w:sz w:val="24"/>
          <w:szCs w:val="24"/>
          <w:lang w:bidi="da-DK"/>
        </w:rPr>
      </w:pPr>
      <w:r w:rsidRPr="00126608">
        <w:rPr>
          <w:sz w:val="24"/>
          <w:szCs w:val="24"/>
          <w:lang w:bidi="da-DK"/>
        </w:rPr>
        <w:t>Påføring på et stort overfladeareal.</w:t>
      </w:r>
    </w:p>
    <w:p w:rsidR="00D54EB1" w:rsidRPr="00126608" w:rsidRDefault="00D54EB1" w:rsidP="00D54EB1">
      <w:pPr>
        <w:numPr>
          <w:ilvl w:val="0"/>
          <w:numId w:val="7"/>
        </w:numPr>
        <w:tabs>
          <w:tab w:val="clear" w:pos="644"/>
          <w:tab w:val="left" w:pos="851"/>
          <w:tab w:val="num" w:pos="1134"/>
        </w:tabs>
        <w:ind w:left="1134" w:hanging="283"/>
        <w:rPr>
          <w:sz w:val="24"/>
          <w:szCs w:val="24"/>
          <w:lang w:bidi="da-DK"/>
        </w:rPr>
      </w:pPr>
      <w:r w:rsidRPr="00126608">
        <w:rPr>
          <w:sz w:val="24"/>
          <w:szCs w:val="24"/>
          <w:lang w:bidi="da-DK"/>
        </w:rPr>
        <w:t xml:space="preserve">Anvendelse på hudområder under </w:t>
      </w:r>
      <w:proofErr w:type="spellStart"/>
      <w:r w:rsidRPr="00126608">
        <w:rPr>
          <w:sz w:val="24"/>
          <w:szCs w:val="24"/>
          <w:lang w:bidi="da-DK"/>
        </w:rPr>
        <w:t>okklusion</w:t>
      </w:r>
      <w:proofErr w:type="spellEnd"/>
      <w:r w:rsidRPr="00126608">
        <w:rPr>
          <w:sz w:val="24"/>
          <w:szCs w:val="24"/>
          <w:lang w:bidi="da-DK"/>
        </w:rPr>
        <w:t xml:space="preserve">, f.eks. på </w:t>
      </w:r>
      <w:proofErr w:type="spellStart"/>
      <w:r w:rsidRPr="00126608">
        <w:rPr>
          <w:sz w:val="24"/>
          <w:szCs w:val="24"/>
          <w:lang w:bidi="da-DK"/>
        </w:rPr>
        <w:t>intertriginøse</w:t>
      </w:r>
      <w:proofErr w:type="spellEnd"/>
      <w:r w:rsidRPr="00126608">
        <w:rPr>
          <w:sz w:val="24"/>
          <w:szCs w:val="24"/>
          <w:lang w:bidi="da-DK"/>
        </w:rPr>
        <w:t xml:space="preserve"> områder eller områder under </w:t>
      </w:r>
      <w:proofErr w:type="spellStart"/>
      <w:r w:rsidRPr="00126608">
        <w:rPr>
          <w:sz w:val="24"/>
          <w:szCs w:val="24"/>
          <w:lang w:bidi="da-DK"/>
        </w:rPr>
        <w:t>okklusive</w:t>
      </w:r>
      <w:proofErr w:type="spellEnd"/>
      <w:r w:rsidRPr="00126608">
        <w:rPr>
          <w:sz w:val="24"/>
          <w:szCs w:val="24"/>
          <w:lang w:bidi="da-DK"/>
        </w:rPr>
        <w:t xml:space="preserve"> forbindinger.</w:t>
      </w:r>
    </w:p>
    <w:p w:rsidR="00D54EB1" w:rsidRPr="00126608" w:rsidRDefault="00D54EB1" w:rsidP="00D54EB1">
      <w:pPr>
        <w:numPr>
          <w:ilvl w:val="0"/>
          <w:numId w:val="7"/>
        </w:numPr>
        <w:tabs>
          <w:tab w:val="clear" w:pos="644"/>
          <w:tab w:val="left" w:pos="851"/>
          <w:tab w:val="num" w:pos="1134"/>
        </w:tabs>
        <w:ind w:left="1134" w:hanging="283"/>
        <w:rPr>
          <w:sz w:val="24"/>
          <w:szCs w:val="24"/>
          <w:lang w:bidi="da-DK"/>
        </w:rPr>
      </w:pPr>
      <w:r w:rsidRPr="00126608">
        <w:rPr>
          <w:sz w:val="24"/>
          <w:szCs w:val="24"/>
          <w:lang w:bidi="da-DK"/>
        </w:rPr>
        <w:t>Øget hydrering fra hornlaget.</w:t>
      </w:r>
    </w:p>
    <w:p w:rsidR="00D54EB1" w:rsidRPr="00126608" w:rsidRDefault="00D54EB1" w:rsidP="00D54EB1">
      <w:pPr>
        <w:numPr>
          <w:ilvl w:val="0"/>
          <w:numId w:val="7"/>
        </w:numPr>
        <w:tabs>
          <w:tab w:val="clear" w:pos="644"/>
          <w:tab w:val="left" w:pos="851"/>
          <w:tab w:val="num" w:pos="1134"/>
        </w:tabs>
        <w:ind w:left="1134" w:hanging="283"/>
        <w:rPr>
          <w:sz w:val="24"/>
          <w:szCs w:val="24"/>
          <w:lang w:bidi="da-DK"/>
        </w:rPr>
      </w:pPr>
      <w:r w:rsidRPr="00126608">
        <w:rPr>
          <w:sz w:val="24"/>
          <w:szCs w:val="24"/>
          <w:lang w:bidi="da-DK"/>
        </w:rPr>
        <w:t xml:space="preserve">Anvendelse på områder med tynd hud som f.eks. i ansigtet. </w:t>
      </w:r>
    </w:p>
    <w:p w:rsidR="00D54EB1" w:rsidRPr="00126608" w:rsidRDefault="00D54EB1" w:rsidP="00D54EB1">
      <w:pPr>
        <w:numPr>
          <w:ilvl w:val="0"/>
          <w:numId w:val="7"/>
        </w:numPr>
        <w:tabs>
          <w:tab w:val="clear" w:pos="644"/>
          <w:tab w:val="left" w:pos="851"/>
          <w:tab w:val="num" w:pos="1134"/>
        </w:tabs>
        <w:ind w:left="1134" w:hanging="283"/>
        <w:rPr>
          <w:sz w:val="24"/>
          <w:szCs w:val="24"/>
          <w:lang w:bidi="da-DK"/>
        </w:rPr>
      </w:pPr>
      <w:r w:rsidRPr="00126608">
        <w:rPr>
          <w:sz w:val="24"/>
          <w:szCs w:val="24"/>
          <w:lang w:bidi="da-DK"/>
        </w:rPr>
        <w:t>Anvendelse på revnet hud eller ved andre tilstande, hvor hudbarrieren kan være skadet.</w:t>
      </w:r>
    </w:p>
    <w:p w:rsidR="00D54EB1" w:rsidRPr="00126608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5347C0" w:rsidRDefault="00D54EB1" w:rsidP="00D54EB1">
      <w:pPr>
        <w:tabs>
          <w:tab w:val="left" w:pos="851"/>
        </w:tabs>
        <w:ind w:left="851"/>
        <w:rPr>
          <w:bCs/>
          <w:sz w:val="24"/>
          <w:szCs w:val="24"/>
          <w:u w:val="single"/>
          <w:lang w:bidi="da-DK"/>
        </w:rPr>
      </w:pPr>
      <w:r w:rsidRPr="005347C0">
        <w:rPr>
          <w:bCs/>
          <w:sz w:val="24"/>
          <w:szCs w:val="24"/>
          <w:u w:val="single"/>
          <w:lang w:bidi="da-DK"/>
        </w:rPr>
        <w:t>Pædiatrisk population</w:t>
      </w:r>
    </w:p>
    <w:p w:rsidR="00D54EB1" w:rsidRPr="00126608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proofErr w:type="spellStart"/>
      <w:r w:rsidRPr="00126608">
        <w:rPr>
          <w:sz w:val="24"/>
          <w:szCs w:val="24"/>
          <w:lang w:bidi="da-DK"/>
        </w:rPr>
        <w:t>Betamethasonvalerat</w:t>
      </w:r>
      <w:proofErr w:type="spellEnd"/>
      <w:r w:rsidRPr="00126608">
        <w:rPr>
          <w:sz w:val="24"/>
          <w:szCs w:val="24"/>
          <w:lang w:bidi="da-DK"/>
        </w:rPr>
        <w:t xml:space="preserve"> bør ikke anvendes hos børn, da sikkerhed og virkning i den pædiatriske</w:t>
      </w:r>
      <w:r>
        <w:rPr>
          <w:sz w:val="24"/>
          <w:szCs w:val="24"/>
          <w:lang w:bidi="da-DK"/>
        </w:rPr>
        <w:t xml:space="preserve"> </w:t>
      </w:r>
      <w:r w:rsidRPr="00126608">
        <w:rPr>
          <w:sz w:val="24"/>
          <w:szCs w:val="24"/>
          <w:lang w:bidi="da-DK"/>
        </w:rPr>
        <w:t>population ikke er klarlagt.</w:t>
      </w:r>
    </w:p>
    <w:p w:rsidR="00D54EB1" w:rsidRPr="00126608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126608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26608">
        <w:rPr>
          <w:sz w:val="24"/>
          <w:szCs w:val="24"/>
          <w:lang w:bidi="da-DK"/>
        </w:rPr>
        <w:lastRenderedPageBreak/>
        <w:t xml:space="preserve">Børn kan udvise større modtagelighed end voksne over for </w:t>
      </w:r>
      <w:proofErr w:type="spellStart"/>
      <w:r w:rsidRPr="00126608">
        <w:rPr>
          <w:sz w:val="24"/>
          <w:szCs w:val="24"/>
          <w:lang w:bidi="da-DK"/>
        </w:rPr>
        <w:t>topikalt</w:t>
      </w:r>
      <w:proofErr w:type="spellEnd"/>
      <w:r w:rsidRPr="00126608">
        <w:rPr>
          <w:sz w:val="24"/>
          <w:szCs w:val="24"/>
          <w:lang w:bidi="da-DK"/>
        </w:rPr>
        <w:t xml:space="preserve"> </w:t>
      </w:r>
      <w:proofErr w:type="spellStart"/>
      <w:r w:rsidRPr="00126608">
        <w:rPr>
          <w:sz w:val="24"/>
          <w:szCs w:val="24"/>
          <w:lang w:bidi="da-DK"/>
        </w:rPr>
        <w:t>kortikosteroidinduceret</w:t>
      </w:r>
      <w:proofErr w:type="spellEnd"/>
      <w:r w:rsidRPr="00126608">
        <w:rPr>
          <w:sz w:val="24"/>
          <w:szCs w:val="24"/>
          <w:lang w:bidi="da-DK"/>
        </w:rPr>
        <w:t xml:space="preserve"> HPA</w:t>
      </w:r>
      <w:r>
        <w:rPr>
          <w:sz w:val="24"/>
          <w:szCs w:val="24"/>
          <w:lang w:bidi="da-DK"/>
        </w:rPr>
        <w:t xml:space="preserve"> </w:t>
      </w:r>
      <w:r w:rsidRPr="00126608">
        <w:rPr>
          <w:sz w:val="24"/>
          <w:szCs w:val="24"/>
          <w:lang w:bidi="da-DK"/>
        </w:rPr>
        <w:t xml:space="preserve">akse- hæmning og over for eksogene </w:t>
      </w:r>
      <w:proofErr w:type="spellStart"/>
      <w:r w:rsidRPr="00126608">
        <w:rPr>
          <w:sz w:val="24"/>
          <w:szCs w:val="24"/>
          <w:lang w:bidi="da-DK"/>
        </w:rPr>
        <w:t>kortikosteroideffekter</w:t>
      </w:r>
      <w:proofErr w:type="spellEnd"/>
      <w:r w:rsidRPr="00126608">
        <w:rPr>
          <w:sz w:val="24"/>
          <w:szCs w:val="24"/>
          <w:lang w:bidi="da-DK"/>
        </w:rPr>
        <w:t>, på grund af den større hudoverflade i</w:t>
      </w:r>
      <w:r>
        <w:rPr>
          <w:sz w:val="24"/>
          <w:szCs w:val="24"/>
          <w:lang w:bidi="da-DK"/>
        </w:rPr>
        <w:t xml:space="preserve"> </w:t>
      </w:r>
      <w:r w:rsidRPr="00126608">
        <w:rPr>
          <w:sz w:val="24"/>
          <w:szCs w:val="24"/>
          <w:lang w:bidi="da-DK"/>
        </w:rPr>
        <w:t>forhold til kropsvægten.</w:t>
      </w:r>
    </w:p>
    <w:p w:rsidR="00D54EB1" w:rsidRPr="00126608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126608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26608">
        <w:rPr>
          <w:sz w:val="24"/>
          <w:szCs w:val="24"/>
          <w:lang w:bidi="da-DK"/>
        </w:rPr>
        <w:t xml:space="preserve">HPA-akse-hæmning, </w:t>
      </w:r>
      <w:proofErr w:type="spellStart"/>
      <w:r w:rsidRPr="00126608">
        <w:rPr>
          <w:sz w:val="24"/>
          <w:szCs w:val="24"/>
          <w:lang w:bidi="da-DK"/>
        </w:rPr>
        <w:t>Cushing’s</w:t>
      </w:r>
      <w:proofErr w:type="spellEnd"/>
      <w:r w:rsidRPr="00126608">
        <w:rPr>
          <w:sz w:val="24"/>
          <w:szCs w:val="24"/>
          <w:lang w:bidi="da-DK"/>
        </w:rPr>
        <w:t xml:space="preserve"> sygdom, nedsat lineær vækst, nedsat øgning af kropsvægt og</w:t>
      </w:r>
      <w:r>
        <w:rPr>
          <w:sz w:val="24"/>
          <w:szCs w:val="24"/>
          <w:lang w:bidi="da-DK"/>
        </w:rPr>
        <w:t xml:space="preserve"> </w:t>
      </w:r>
      <w:proofErr w:type="spellStart"/>
      <w:r w:rsidRPr="00126608">
        <w:rPr>
          <w:sz w:val="24"/>
          <w:szCs w:val="24"/>
          <w:lang w:bidi="da-DK"/>
        </w:rPr>
        <w:t>intrakraniel</w:t>
      </w:r>
      <w:proofErr w:type="spellEnd"/>
      <w:r w:rsidRPr="00126608">
        <w:rPr>
          <w:sz w:val="24"/>
          <w:szCs w:val="24"/>
          <w:lang w:bidi="da-DK"/>
        </w:rPr>
        <w:t xml:space="preserve"> hypertension er rapporteret hos børn, der modtog </w:t>
      </w:r>
      <w:proofErr w:type="spellStart"/>
      <w:r w:rsidRPr="00126608">
        <w:rPr>
          <w:sz w:val="24"/>
          <w:szCs w:val="24"/>
          <w:lang w:bidi="da-DK"/>
        </w:rPr>
        <w:t>topikale</w:t>
      </w:r>
      <w:proofErr w:type="spellEnd"/>
      <w:r w:rsidRPr="00126608">
        <w:rPr>
          <w:sz w:val="24"/>
          <w:szCs w:val="24"/>
          <w:lang w:bidi="da-DK"/>
        </w:rPr>
        <w:t xml:space="preserve"> </w:t>
      </w:r>
      <w:proofErr w:type="spellStart"/>
      <w:r w:rsidRPr="00126608">
        <w:rPr>
          <w:sz w:val="24"/>
          <w:szCs w:val="24"/>
          <w:lang w:bidi="da-DK"/>
        </w:rPr>
        <w:t>kortikosteroider</w:t>
      </w:r>
      <w:proofErr w:type="spellEnd"/>
      <w:r w:rsidRPr="00126608">
        <w:rPr>
          <w:sz w:val="24"/>
          <w:szCs w:val="24"/>
          <w:lang w:bidi="da-DK"/>
        </w:rPr>
        <w:t>. Symptomer</w:t>
      </w:r>
      <w:r>
        <w:rPr>
          <w:sz w:val="24"/>
          <w:szCs w:val="24"/>
          <w:lang w:bidi="da-DK"/>
        </w:rPr>
        <w:t xml:space="preserve"> </w:t>
      </w:r>
      <w:r w:rsidRPr="00126608">
        <w:rPr>
          <w:sz w:val="24"/>
          <w:szCs w:val="24"/>
          <w:lang w:bidi="da-DK"/>
        </w:rPr>
        <w:t xml:space="preserve">på binyrebarkhæmning hos børn inkluderer lave plasma </w:t>
      </w:r>
      <w:proofErr w:type="spellStart"/>
      <w:r w:rsidRPr="00126608">
        <w:rPr>
          <w:sz w:val="24"/>
          <w:szCs w:val="24"/>
          <w:lang w:bidi="da-DK"/>
        </w:rPr>
        <w:t>cortisolniveauer</w:t>
      </w:r>
      <w:proofErr w:type="spellEnd"/>
      <w:r w:rsidRPr="00126608">
        <w:rPr>
          <w:sz w:val="24"/>
          <w:szCs w:val="24"/>
          <w:lang w:bidi="da-DK"/>
        </w:rPr>
        <w:t xml:space="preserve"> og manglende respons på</w:t>
      </w:r>
      <w:r>
        <w:rPr>
          <w:sz w:val="24"/>
          <w:szCs w:val="24"/>
          <w:lang w:bidi="da-DK"/>
        </w:rPr>
        <w:t xml:space="preserve"> </w:t>
      </w:r>
      <w:proofErr w:type="gramStart"/>
      <w:r w:rsidRPr="00126608">
        <w:rPr>
          <w:sz w:val="24"/>
          <w:szCs w:val="24"/>
          <w:lang w:bidi="da-DK"/>
        </w:rPr>
        <w:t>ACTH stimulering</w:t>
      </w:r>
      <w:proofErr w:type="gramEnd"/>
      <w:r w:rsidRPr="00126608">
        <w:rPr>
          <w:sz w:val="24"/>
          <w:szCs w:val="24"/>
          <w:lang w:bidi="da-DK"/>
        </w:rPr>
        <w:t xml:space="preserve">. Tegn på </w:t>
      </w:r>
      <w:proofErr w:type="spellStart"/>
      <w:r w:rsidRPr="00126608">
        <w:rPr>
          <w:sz w:val="24"/>
          <w:szCs w:val="24"/>
          <w:lang w:bidi="da-DK"/>
        </w:rPr>
        <w:t>intrakraniel</w:t>
      </w:r>
      <w:proofErr w:type="spellEnd"/>
      <w:r w:rsidRPr="00126608">
        <w:rPr>
          <w:sz w:val="24"/>
          <w:szCs w:val="24"/>
          <w:lang w:bidi="da-DK"/>
        </w:rPr>
        <w:t xml:space="preserve"> hypertension inkluderer hævelse af fontaneller, hovedpine</w:t>
      </w:r>
      <w:r>
        <w:rPr>
          <w:sz w:val="24"/>
          <w:szCs w:val="24"/>
          <w:lang w:bidi="da-DK"/>
        </w:rPr>
        <w:t xml:space="preserve"> </w:t>
      </w:r>
      <w:r w:rsidRPr="00126608">
        <w:rPr>
          <w:sz w:val="24"/>
          <w:szCs w:val="24"/>
          <w:lang w:bidi="da-DK"/>
        </w:rPr>
        <w:t xml:space="preserve">og </w:t>
      </w:r>
      <w:proofErr w:type="gramStart"/>
      <w:r w:rsidRPr="00126608">
        <w:rPr>
          <w:sz w:val="24"/>
          <w:szCs w:val="24"/>
          <w:lang w:bidi="da-DK"/>
        </w:rPr>
        <w:t>bilateral papilødem</w:t>
      </w:r>
      <w:proofErr w:type="gramEnd"/>
      <w:r w:rsidRPr="00126608">
        <w:rPr>
          <w:sz w:val="24"/>
          <w:szCs w:val="24"/>
          <w:lang w:bidi="da-DK"/>
        </w:rPr>
        <w:t>.</w:t>
      </w:r>
    </w:p>
    <w:p w:rsidR="00D54EB1" w:rsidRPr="00126608" w:rsidRDefault="00D54EB1" w:rsidP="00D54EB1">
      <w:pPr>
        <w:tabs>
          <w:tab w:val="left" w:pos="851"/>
        </w:tabs>
        <w:ind w:left="851"/>
        <w:rPr>
          <w:b/>
          <w:bCs/>
          <w:sz w:val="24"/>
          <w:szCs w:val="24"/>
          <w:lang w:bidi="da-DK"/>
        </w:rPr>
      </w:pPr>
    </w:p>
    <w:p w:rsidR="00D54EB1" w:rsidRPr="00445103" w:rsidRDefault="00D54EB1" w:rsidP="00D54EB1">
      <w:pPr>
        <w:tabs>
          <w:tab w:val="left" w:pos="851"/>
        </w:tabs>
        <w:ind w:left="851"/>
        <w:rPr>
          <w:bCs/>
          <w:sz w:val="24"/>
          <w:szCs w:val="24"/>
          <w:u w:val="single"/>
          <w:lang w:bidi="da-DK"/>
        </w:rPr>
      </w:pPr>
      <w:r w:rsidRPr="00445103">
        <w:rPr>
          <w:bCs/>
          <w:sz w:val="24"/>
          <w:szCs w:val="24"/>
          <w:u w:val="single"/>
          <w:lang w:bidi="da-DK"/>
        </w:rPr>
        <w:t>Anvendelse i forbindelse med psoriasis</w:t>
      </w:r>
    </w:p>
    <w:p w:rsidR="00D54EB1" w:rsidRPr="00126608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proofErr w:type="spellStart"/>
      <w:r w:rsidRPr="00126608">
        <w:rPr>
          <w:sz w:val="24"/>
          <w:szCs w:val="24"/>
          <w:lang w:bidi="da-DK"/>
        </w:rPr>
        <w:t>Topikale</w:t>
      </w:r>
      <w:proofErr w:type="spellEnd"/>
      <w:r w:rsidRPr="00126608">
        <w:rPr>
          <w:sz w:val="24"/>
          <w:szCs w:val="24"/>
          <w:lang w:bidi="da-DK"/>
        </w:rPr>
        <w:t xml:space="preserve"> </w:t>
      </w:r>
      <w:proofErr w:type="spellStart"/>
      <w:r w:rsidRPr="00126608">
        <w:rPr>
          <w:sz w:val="24"/>
          <w:szCs w:val="24"/>
          <w:lang w:bidi="da-DK"/>
        </w:rPr>
        <w:t>kortikosteroider</w:t>
      </w:r>
      <w:proofErr w:type="spellEnd"/>
      <w:r w:rsidRPr="00126608">
        <w:rPr>
          <w:sz w:val="24"/>
          <w:szCs w:val="24"/>
          <w:lang w:bidi="da-DK"/>
        </w:rPr>
        <w:t xml:space="preserve"> skal anvendes med forsigtighed i forbindelse med psoriasis, da der er set</w:t>
      </w:r>
      <w:r>
        <w:rPr>
          <w:sz w:val="24"/>
          <w:szCs w:val="24"/>
          <w:lang w:bidi="da-DK"/>
        </w:rPr>
        <w:t xml:space="preserve"> </w:t>
      </w:r>
      <w:r w:rsidRPr="00126608">
        <w:rPr>
          <w:sz w:val="24"/>
          <w:szCs w:val="24"/>
          <w:lang w:bidi="da-DK"/>
        </w:rPr>
        <w:t xml:space="preserve">tilfælde af tilbagefald, udvikling af tolerans, risiko for generel </w:t>
      </w:r>
      <w:proofErr w:type="spellStart"/>
      <w:r w:rsidRPr="00126608">
        <w:rPr>
          <w:sz w:val="24"/>
          <w:szCs w:val="24"/>
          <w:lang w:bidi="da-DK"/>
        </w:rPr>
        <w:t>pustuløs</w:t>
      </w:r>
      <w:proofErr w:type="spellEnd"/>
      <w:r w:rsidRPr="00126608">
        <w:rPr>
          <w:sz w:val="24"/>
          <w:szCs w:val="24"/>
          <w:lang w:bidi="da-DK"/>
        </w:rPr>
        <w:t xml:space="preserve"> psoriasis og udvikling af</w:t>
      </w:r>
      <w:r>
        <w:rPr>
          <w:sz w:val="24"/>
          <w:szCs w:val="24"/>
          <w:lang w:bidi="da-DK"/>
        </w:rPr>
        <w:t xml:space="preserve"> </w:t>
      </w:r>
      <w:r w:rsidRPr="00126608">
        <w:rPr>
          <w:sz w:val="24"/>
          <w:szCs w:val="24"/>
          <w:lang w:bidi="da-DK"/>
        </w:rPr>
        <w:t>lokal eller systemisk toksicitet, på grund af hudens nedsatte barrierefunktion (se pkt. 4.8). Patienten</w:t>
      </w:r>
      <w:r>
        <w:rPr>
          <w:sz w:val="24"/>
          <w:szCs w:val="24"/>
          <w:lang w:bidi="da-DK"/>
        </w:rPr>
        <w:t xml:space="preserve"> </w:t>
      </w:r>
      <w:r w:rsidRPr="00126608">
        <w:rPr>
          <w:sz w:val="24"/>
          <w:szCs w:val="24"/>
          <w:lang w:bidi="da-DK"/>
        </w:rPr>
        <w:t xml:space="preserve">bør monitoreres nøje ved anvendelse af </w:t>
      </w:r>
      <w:proofErr w:type="spellStart"/>
      <w:r w:rsidRPr="00126608">
        <w:rPr>
          <w:sz w:val="24"/>
          <w:szCs w:val="24"/>
          <w:lang w:bidi="da-DK"/>
        </w:rPr>
        <w:t>topikale</w:t>
      </w:r>
      <w:proofErr w:type="spellEnd"/>
      <w:r w:rsidRPr="00126608">
        <w:rPr>
          <w:sz w:val="24"/>
          <w:szCs w:val="24"/>
          <w:lang w:bidi="da-DK"/>
        </w:rPr>
        <w:t xml:space="preserve"> steroider i forbindelse med psoriasis.</w:t>
      </w:r>
    </w:p>
    <w:p w:rsidR="00D54EB1" w:rsidRPr="00126608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241D85" w:rsidRDefault="00D54EB1" w:rsidP="00D54EB1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 w:rsidRPr="00241D85">
        <w:rPr>
          <w:sz w:val="24"/>
          <w:szCs w:val="24"/>
          <w:u w:val="single"/>
          <w:lang w:bidi="da-DK"/>
        </w:rPr>
        <w:t xml:space="preserve">Patienter bør rådgives om, at </w:t>
      </w:r>
      <w:r>
        <w:rPr>
          <w:sz w:val="24"/>
          <w:szCs w:val="24"/>
          <w:u w:val="single"/>
          <w:lang w:bidi="da-DK"/>
        </w:rPr>
        <w:t>det er vigtigt at undgå</w:t>
      </w:r>
    </w:p>
    <w:p w:rsidR="00D54EB1" w:rsidRPr="00126608" w:rsidRDefault="00D54EB1" w:rsidP="00D54EB1">
      <w:pPr>
        <w:tabs>
          <w:tab w:val="left" w:pos="1134"/>
        </w:tabs>
        <w:ind w:left="1134" w:hanging="283"/>
        <w:rPr>
          <w:sz w:val="24"/>
          <w:szCs w:val="24"/>
          <w:lang w:bidi="da-DK"/>
        </w:rPr>
      </w:pPr>
      <w:r w:rsidRPr="00126608">
        <w:rPr>
          <w:sz w:val="24"/>
          <w:szCs w:val="24"/>
          <w:lang w:bidi="da-DK"/>
        </w:rPr>
        <w:t>-</w:t>
      </w:r>
      <w:r w:rsidRPr="00126608">
        <w:rPr>
          <w:sz w:val="24"/>
          <w:szCs w:val="24"/>
          <w:lang w:bidi="da-DK"/>
        </w:rPr>
        <w:tab/>
        <w:t xml:space="preserve">Rygning, mens </w:t>
      </w:r>
      <w:proofErr w:type="spellStart"/>
      <w:r w:rsidRPr="00126608">
        <w:rPr>
          <w:sz w:val="24"/>
          <w:szCs w:val="24"/>
          <w:lang w:bidi="da-DK"/>
        </w:rPr>
        <w:t>Bekuval</w:t>
      </w:r>
      <w:proofErr w:type="spellEnd"/>
      <w:r w:rsidRPr="00126608">
        <w:rPr>
          <w:sz w:val="24"/>
          <w:szCs w:val="24"/>
          <w:lang w:bidi="da-DK"/>
        </w:rPr>
        <w:t xml:space="preserve"> </w:t>
      </w:r>
      <w:proofErr w:type="spellStart"/>
      <w:r w:rsidRPr="00126608">
        <w:rPr>
          <w:sz w:val="24"/>
          <w:szCs w:val="24"/>
          <w:lang w:bidi="da-DK"/>
        </w:rPr>
        <w:t>kutanopløsning</w:t>
      </w:r>
      <w:proofErr w:type="spellEnd"/>
      <w:r w:rsidRPr="00126608">
        <w:rPr>
          <w:sz w:val="24"/>
          <w:szCs w:val="24"/>
          <w:lang w:bidi="da-DK"/>
        </w:rPr>
        <w:t xml:space="preserve"> påføres hovedbunden.</w:t>
      </w:r>
    </w:p>
    <w:p w:rsidR="00D54EB1" w:rsidRDefault="00D54EB1" w:rsidP="00D54EB1">
      <w:pPr>
        <w:tabs>
          <w:tab w:val="left" w:pos="1134"/>
        </w:tabs>
        <w:ind w:left="1134" w:hanging="283"/>
        <w:rPr>
          <w:sz w:val="24"/>
          <w:szCs w:val="24"/>
          <w:lang w:bidi="da-DK"/>
        </w:rPr>
      </w:pPr>
      <w:r w:rsidRPr="00126608">
        <w:rPr>
          <w:sz w:val="24"/>
          <w:szCs w:val="24"/>
          <w:lang w:bidi="da-DK"/>
        </w:rPr>
        <w:t>-</w:t>
      </w:r>
      <w:r w:rsidRPr="00126608">
        <w:rPr>
          <w:sz w:val="24"/>
          <w:szCs w:val="24"/>
          <w:lang w:bidi="da-DK"/>
        </w:rPr>
        <w:tab/>
        <w:t>Ild, flammer og varme, herunder brug af hårtørrer umiddelbart efter påføring.</w:t>
      </w:r>
    </w:p>
    <w:p w:rsidR="00DF0AE4" w:rsidRPr="00DF0AE4" w:rsidRDefault="00DF0AE4" w:rsidP="00DF0AE4">
      <w:pPr>
        <w:tabs>
          <w:tab w:val="left" w:pos="851"/>
        </w:tabs>
        <w:ind w:left="851"/>
        <w:rPr>
          <w:sz w:val="24"/>
          <w:szCs w:val="24"/>
        </w:rPr>
      </w:pPr>
    </w:p>
    <w:p w:rsidR="00DF0AE4" w:rsidRPr="00DF0AE4" w:rsidRDefault="00DF0AE4" w:rsidP="00DF0AE4">
      <w:pPr>
        <w:ind w:firstLine="851"/>
        <w:rPr>
          <w:b/>
          <w:color w:val="000000" w:themeColor="text1"/>
          <w:sz w:val="24"/>
          <w:szCs w:val="24"/>
          <w:lang w:eastAsia="da-DK"/>
        </w:rPr>
      </w:pPr>
      <w:r w:rsidRPr="00DF0AE4">
        <w:rPr>
          <w:b/>
          <w:color w:val="000000" w:themeColor="text1"/>
          <w:sz w:val="24"/>
          <w:szCs w:val="24"/>
        </w:rPr>
        <w:t>Synsforstyrrelser</w:t>
      </w:r>
    </w:p>
    <w:p w:rsidR="00DF0AE4" w:rsidRPr="00DF0AE4" w:rsidRDefault="00DF0AE4" w:rsidP="00DF0AE4">
      <w:pPr>
        <w:ind w:left="851"/>
        <w:rPr>
          <w:color w:val="000000" w:themeColor="text1"/>
          <w:sz w:val="24"/>
          <w:szCs w:val="24"/>
        </w:rPr>
      </w:pPr>
      <w:r w:rsidRPr="00DF0AE4">
        <w:rPr>
          <w:color w:val="000000" w:themeColor="text1"/>
          <w:sz w:val="24"/>
          <w:szCs w:val="24"/>
        </w:rPr>
        <w:t xml:space="preserve">Ved brug af systemisk og </w:t>
      </w:r>
      <w:proofErr w:type="spellStart"/>
      <w:r w:rsidRPr="00DF0AE4">
        <w:rPr>
          <w:color w:val="000000" w:themeColor="text1"/>
          <w:sz w:val="24"/>
          <w:szCs w:val="24"/>
        </w:rPr>
        <w:t>topikalt</w:t>
      </w:r>
      <w:proofErr w:type="spellEnd"/>
      <w:r w:rsidRPr="00DF0AE4">
        <w:rPr>
          <w:color w:val="000000" w:themeColor="text1"/>
          <w:sz w:val="24"/>
          <w:szCs w:val="24"/>
        </w:rPr>
        <w:t xml:space="preserve"> </w:t>
      </w:r>
      <w:proofErr w:type="spellStart"/>
      <w:r w:rsidRPr="00DF0AE4">
        <w:rPr>
          <w:color w:val="000000" w:themeColor="text1"/>
          <w:sz w:val="24"/>
          <w:szCs w:val="24"/>
        </w:rPr>
        <w:t>kortikosteroid</w:t>
      </w:r>
      <w:proofErr w:type="spellEnd"/>
      <w:r w:rsidRPr="00DF0AE4">
        <w:rPr>
          <w:color w:val="000000" w:themeColor="text1"/>
          <w:sz w:val="24"/>
          <w:szCs w:val="24"/>
        </w:rPr>
        <w:t xml:space="preserve"> kan der blive indberettet synsforstyrrelser. Ved symptomer som sløret syn eller andre synsforstyrrelser bør det overvejes at henvise patienten til oftalmolog med henblik på vurdering af de mulige årsager; disse kan være grå stær, </w:t>
      </w:r>
      <w:proofErr w:type="spellStart"/>
      <w:r w:rsidRPr="00DF0AE4">
        <w:rPr>
          <w:color w:val="000000" w:themeColor="text1"/>
          <w:sz w:val="24"/>
          <w:szCs w:val="24"/>
        </w:rPr>
        <w:t>glaukom</w:t>
      </w:r>
      <w:proofErr w:type="spellEnd"/>
      <w:r w:rsidRPr="00DF0AE4">
        <w:rPr>
          <w:color w:val="000000" w:themeColor="text1"/>
          <w:sz w:val="24"/>
          <w:szCs w:val="24"/>
        </w:rPr>
        <w:t xml:space="preserve"> eller sjældne sygdomme såsom central serøs </w:t>
      </w:r>
      <w:proofErr w:type="spellStart"/>
      <w:r w:rsidRPr="00DF0AE4">
        <w:rPr>
          <w:color w:val="000000" w:themeColor="text1"/>
          <w:sz w:val="24"/>
          <w:szCs w:val="24"/>
        </w:rPr>
        <w:t>korioretinopati</w:t>
      </w:r>
      <w:proofErr w:type="spellEnd"/>
      <w:r w:rsidRPr="00DF0AE4">
        <w:rPr>
          <w:color w:val="000000" w:themeColor="text1"/>
          <w:sz w:val="24"/>
          <w:szCs w:val="24"/>
        </w:rPr>
        <w:t xml:space="preserve"> (CSCR), som er indberettet efter brug af systemiske og </w:t>
      </w:r>
      <w:proofErr w:type="spellStart"/>
      <w:r w:rsidRPr="00DF0AE4">
        <w:rPr>
          <w:color w:val="000000" w:themeColor="text1"/>
          <w:sz w:val="24"/>
          <w:szCs w:val="24"/>
        </w:rPr>
        <w:t>topikale</w:t>
      </w:r>
      <w:proofErr w:type="spellEnd"/>
      <w:r w:rsidRPr="00DF0AE4">
        <w:rPr>
          <w:color w:val="000000" w:themeColor="text1"/>
          <w:sz w:val="24"/>
          <w:szCs w:val="24"/>
        </w:rPr>
        <w:t xml:space="preserve"> </w:t>
      </w:r>
      <w:proofErr w:type="spellStart"/>
      <w:r w:rsidRPr="00DF0AE4">
        <w:rPr>
          <w:color w:val="000000" w:themeColor="text1"/>
          <w:sz w:val="24"/>
          <w:szCs w:val="24"/>
        </w:rPr>
        <w:t>kortikosteroider</w:t>
      </w:r>
      <w:proofErr w:type="spellEnd"/>
      <w:r w:rsidRPr="00DF0AE4">
        <w:rPr>
          <w:color w:val="000000" w:themeColor="text1"/>
          <w:sz w:val="24"/>
          <w:szCs w:val="24"/>
        </w:rPr>
        <w:t>.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12F6A">
        <w:rPr>
          <w:sz w:val="24"/>
          <w:szCs w:val="24"/>
          <w:lang w:bidi="da-DK"/>
        </w:rPr>
        <w:t xml:space="preserve">Samtidig administration af lægemidler, der kan hæmme CYP3A4 (f.eks. </w:t>
      </w:r>
      <w:proofErr w:type="spellStart"/>
      <w:r w:rsidRPr="00112F6A">
        <w:rPr>
          <w:sz w:val="24"/>
          <w:szCs w:val="24"/>
          <w:lang w:bidi="da-DK"/>
        </w:rPr>
        <w:t>ritonavir</w:t>
      </w:r>
      <w:proofErr w:type="spellEnd"/>
      <w:r w:rsidRPr="00112F6A">
        <w:rPr>
          <w:sz w:val="24"/>
          <w:szCs w:val="24"/>
          <w:lang w:bidi="da-DK"/>
        </w:rPr>
        <w:t xml:space="preserve">, </w:t>
      </w:r>
      <w:proofErr w:type="spellStart"/>
      <w:r w:rsidRPr="00112F6A">
        <w:rPr>
          <w:sz w:val="24"/>
          <w:szCs w:val="24"/>
          <w:lang w:bidi="da-DK"/>
        </w:rPr>
        <w:t>itraconazol</w:t>
      </w:r>
      <w:proofErr w:type="spellEnd"/>
      <w:r w:rsidRPr="00112F6A">
        <w:rPr>
          <w:sz w:val="24"/>
          <w:szCs w:val="24"/>
          <w:lang w:bidi="da-DK"/>
        </w:rPr>
        <w:t>) har</w:t>
      </w:r>
      <w:r>
        <w:rPr>
          <w:sz w:val="24"/>
          <w:szCs w:val="24"/>
          <w:lang w:bidi="da-DK"/>
        </w:rPr>
        <w:t xml:space="preserve"> </w:t>
      </w:r>
      <w:r w:rsidRPr="00112F6A">
        <w:rPr>
          <w:sz w:val="24"/>
          <w:szCs w:val="24"/>
          <w:lang w:bidi="da-DK"/>
        </w:rPr>
        <w:t xml:space="preserve">vist at hæmme metabolismen af </w:t>
      </w:r>
      <w:proofErr w:type="spellStart"/>
      <w:r w:rsidRPr="00112F6A">
        <w:rPr>
          <w:sz w:val="24"/>
          <w:szCs w:val="24"/>
          <w:lang w:bidi="da-DK"/>
        </w:rPr>
        <w:t>kortikosteroider</w:t>
      </w:r>
      <w:proofErr w:type="spellEnd"/>
      <w:r w:rsidRPr="00112F6A">
        <w:rPr>
          <w:sz w:val="24"/>
          <w:szCs w:val="24"/>
          <w:lang w:bidi="da-DK"/>
        </w:rPr>
        <w:t>, hvilket fører til øget systemisk eksponering. Den</w:t>
      </w:r>
      <w:r>
        <w:rPr>
          <w:sz w:val="24"/>
          <w:szCs w:val="24"/>
          <w:lang w:bidi="da-DK"/>
        </w:rPr>
        <w:t xml:space="preserve"> </w:t>
      </w:r>
      <w:r w:rsidRPr="00112F6A">
        <w:rPr>
          <w:sz w:val="24"/>
          <w:szCs w:val="24"/>
          <w:lang w:bidi="da-DK"/>
        </w:rPr>
        <w:t xml:space="preserve">kliniske relevans af denne interaktion afhænger af dosis og administrationsvej for </w:t>
      </w:r>
      <w:proofErr w:type="spellStart"/>
      <w:r w:rsidRPr="00112F6A">
        <w:rPr>
          <w:sz w:val="24"/>
          <w:szCs w:val="24"/>
          <w:lang w:bidi="da-DK"/>
        </w:rPr>
        <w:t>kortikosteroid</w:t>
      </w:r>
      <w:proofErr w:type="spellEnd"/>
      <w:r>
        <w:rPr>
          <w:sz w:val="24"/>
          <w:szCs w:val="24"/>
          <w:lang w:bidi="da-DK"/>
        </w:rPr>
        <w:t xml:space="preserve"> </w:t>
      </w:r>
      <w:r w:rsidRPr="00112F6A">
        <w:rPr>
          <w:sz w:val="24"/>
          <w:szCs w:val="24"/>
          <w:lang w:bidi="da-DK"/>
        </w:rPr>
        <w:t>samt virkningen af CYP3A4-hæmmeren.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 w:rsidRPr="00112F6A">
        <w:rPr>
          <w:sz w:val="24"/>
          <w:szCs w:val="24"/>
          <w:u w:val="single"/>
          <w:lang w:bidi="da-DK"/>
        </w:rPr>
        <w:t>Fertilitet</w:t>
      </w: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12F6A">
        <w:rPr>
          <w:sz w:val="24"/>
          <w:szCs w:val="24"/>
          <w:lang w:bidi="da-DK"/>
        </w:rPr>
        <w:t xml:space="preserve">Der er ikke udført studier i mennesker til at evaluere effekten af </w:t>
      </w:r>
      <w:proofErr w:type="spellStart"/>
      <w:r w:rsidRPr="00112F6A">
        <w:rPr>
          <w:sz w:val="24"/>
          <w:szCs w:val="24"/>
          <w:lang w:bidi="da-DK"/>
        </w:rPr>
        <w:t>topikale</w:t>
      </w:r>
      <w:proofErr w:type="spellEnd"/>
      <w:r w:rsidRPr="00112F6A">
        <w:rPr>
          <w:sz w:val="24"/>
          <w:szCs w:val="24"/>
          <w:lang w:bidi="da-DK"/>
        </w:rPr>
        <w:t xml:space="preserve"> </w:t>
      </w:r>
      <w:proofErr w:type="spellStart"/>
      <w:r w:rsidRPr="00112F6A">
        <w:rPr>
          <w:sz w:val="24"/>
          <w:szCs w:val="24"/>
          <w:lang w:bidi="da-DK"/>
        </w:rPr>
        <w:t>kortikosteroider</w:t>
      </w:r>
      <w:proofErr w:type="spellEnd"/>
      <w:r w:rsidRPr="00112F6A">
        <w:rPr>
          <w:sz w:val="24"/>
          <w:szCs w:val="24"/>
          <w:lang w:bidi="da-DK"/>
        </w:rPr>
        <w:t xml:space="preserve"> på fertilitet. </w:t>
      </w: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 w:rsidRPr="00112F6A">
        <w:rPr>
          <w:sz w:val="24"/>
          <w:szCs w:val="24"/>
          <w:u w:val="single"/>
          <w:lang w:bidi="da-DK"/>
        </w:rPr>
        <w:t>Graviditet</w:t>
      </w: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12F6A">
        <w:rPr>
          <w:sz w:val="24"/>
          <w:szCs w:val="24"/>
          <w:lang w:bidi="da-DK"/>
        </w:rPr>
        <w:t xml:space="preserve">Der foreligger begrænsede data om anvendelse af </w:t>
      </w:r>
      <w:proofErr w:type="spellStart"/>
      <w:r w:rsidRPr="00112F6A">
        <w:rPr>
          <w:sz w:val="24"/>
          <w:szCs w:val="24"/>
          <w:lang w:bidi="da-DK"/>
        </w:rPr>
        <w:t>betamethasonvalerat</w:t>
      </w:r>
      <w:proofErr w:type="spellEnd"/>
      <w:r w:rsidRPr="00112F6A">
        <w:rPr>
          <w:sz w:val="24"/>
          <w:szCs w:val="24"/>
          <w:lang w:bidi="da-DK"/>
        </w:rPr>
        <w:t xml:space="preserve"> hos gravide kvinder. </w:t>
      </w: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proofErr w:type="spellStart"/>
      <w:r w:rsidRPr="00112F6A">
        <w:rPr>
          <w:sz w:val="24"/>
          <w:szCs w:val="24"/>
          <w:lang w:bidi="da-DK"/>
        </w:rPr>
        <w:t>Topikal</w:t>
      </w:r>
      <w:proofErr w:type="spellEnd"/>
      <w:r w:rsidRPr="00112F6A">
        <w:rPr>
          <w:sz w:val="24"/>
          <w:szCs w:val="24"/>
          <w:lang w:bidi="da-DK"/>
        </w:rPr>
        <w:t xml:space="preserve"> administration af </w:t>
      </w:r>
      <w:proofErr w:type="spellStart"/>
      <w:r w:rsidRPr="00112F6A">
        <w:rPr>
          <w:sz w:val="24"/>
          <w:szCs w:val="24"/>
          <w:lang w:bidi="da-DK"/>
        </w:rPr>
        <w:t>kortikosteroider</w:t>
      </w:r>
      <w:proofErr w:type="spellEnd"/>
      <w:r w:rsidRPr="00112F6A">
        <w:rPr>
          <w:sz w:val="24"/>
          <w:szCs w:val="24"/>
          <w:lang w:bidi="da-DK"/>
        </w:rPr>
        <w:t xml:space="preserve"> hos drægtige dyr kan forårsage unormal udvikling af</w:t>
      </w:r>
      <w:r>
        <w:rPr>
          <w:sz w:val="24"/>
          <w:szCs w:val="24"/>
          <w:lang w:bidi="da-DK"/>
        </w:rPr>
        <w:t xml:space="preserve"> </w:t>
      </w:r>
      <w:r w:rsidRPr="00112F6A">
        <w:rPr>
          <w:sz w:val="24"/>
          <w:szCs w:val="24"/>
          <w:lang w:bidi="da-DK"/>
        </w:rPr>
        <w:t>fosteret (se pkt. 5.3). Relevansen af dette fund for mennesker er ikke klarlagt. Administration af</w:t>
      </w:r>
      <w:r>
        <w:rPr>
          <w:sz w:val="24"/>
          <w:szCs w:val="24"/>
          <w:lang w:bidi="da-DK"/>
        </w:rPr>
        <w:t xml:space="preserve"> </w:t>
      </w:r>
      <w:proofErr w:type="spellStart"/>
      <w:r w:rsidRPr="00112F6A">
        <w:rPr>
          <w:sz w:val="24"/>
          <w:szCs w:val="24"/>
          <w:lang w:bidi="da-DK"/>
        </w:rPr>
        <w:t>betamethasonvalerat</w:t>
      </w:r>
      <w:proofErr w:type="spellEnd"/>
      <w:r w:rsidRPr="00112F6A">
        <w:rPr>
          <w:sz w:val="24"/>
          <w:szCs w:val="24"/>
          <w:lang w:bidi="da-DK"/>
        </w:rPr>
        <w:t xml:space="preserve"> under graviditet bør kun overvejes, hvis den forventede fordel for moderen</w:t>
      </w:r>
      <w:r>
        <w:rPr>
          <w:sz w:val="24"/>
          <w:szCs w:val="24"/>
          <w:lang w:bidi="da-DK"/>
        </w:rPr>
        <w:t xml:space="preserve"> </w:t>
      </w:r>
      <w:r w:rsidRPr="00112F6A">
        <w:rPr>
          <w:sz w:val="24"/>
          <w:szCs w:val="24"/>
          <w:lang w:bidi="da-DK"/>
        </w:rPr>
        <w:t>skønnes at opveje risikoen for fosteret. Der skal anvendes den mindst mulige mængde i den kortest</w:t>
      </w:r>
      <w:r>
        <w:rPr>
          <w:sz w:val="24"/>
          <w:szCs w:val="24"/>
          <w:lang w:bidi="da-DK"/>
        </w:rPr>
        <w:t xml:space="preserve"> </w:t>
      </w:r>
      <w:r w:rsidRPr="00112F6A">
        <w:rPr>
          <w:sz w:val="24"/>
          <w:szCs w:val="24"/>
          <w:lang w:bidi="da-DK"/>
        </w:rPr>
        <w:t>mulige tid.</w:t>
      </w: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112F6A" w:rsidRDefault="00D54EB1" w:rsidP="001F1C99">
      <w:pPr>
        <w:keepNext/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 w:rsidRPr="00112F6A">
        <w:rPr>
          <w:sz w:val="24"/>
          <w:szCs w:val="24"/>
          <w:u w:val="single"/>
          <w:lang w:bidi="da-DK"/>
        </w:rPr>
        <w:lastRenderedPageBreak/>
        <w:t>Amning</w:t>
      </w: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12F6A">
        <w:rPr>
          <w:sz w:val="24"/>
          <w:szCs w:val="24"/>
          <w:lang w:bidi="da-DK"/>
        </w:rPr>
        <w:t xml:space="preserve">Sikkerheden ved anvendelse af </w:t>
      </w:r>
      <w:proofErr w:type="spellStart"/>
      <w:r w:rsidRPr="00112F6A">
        <w:rPr>
          <w:sz w:val="24"/>
          <w:szCs w:val="24"/>
          <w:lang w:bidi="da-DK"/>
        </w:rPr>
        <w:t>betamethasonvalerat</w:t>
      </w:r>
      <w:proofErr w:type="spellEnd"/>
      <w:r w:rsidRPr="00112F6A">
        <w:rPr>
          <w:sz w:val="24"/>
          <w:szCs w:val="24"/>
          <w:lang w:bidi="da-DK"/>
        </w:rPr>
        <w:t xml:space="preserve"> under amning er ikke klarlagt.</w:t>
      </w: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12F6A">
        <w:rPr>
          <w:sz w:val="24"/>
          <w:szCs w:val="24"/>
          <w:lang w:bidi="da-DK"/>
        </w:rPr>
        <w:t xml:space="preserve">Det vides endnu ikke, om </w:t>
      </w:r>
      <w:proofErr w:type="spellStart"/>
      <w:r w:rsidRPr="00112F6A">
        <w:rPr>
          <w:sz w:val="24"/>
          <w:szCs w:val="24"/>
          <w:lang w:bidi="da-DK"/>
        </w:rPr>
        <w:t>topikal</w:t>
      </w:r>
      <w:proofErr w:type="spellEnd"/>
      <w:r w:rsidRPr="00112F6A">
        <w:rPr>
          <w:sz w:val="24"/>
          <w:szCs w:val="24"/>
          <w:lang w:bidi="da-DK"/>
        </w:rPr>
        <w:t xml:space="preserve"> administration af </w:t>
      </w:r>
      <w:proofErr w:type="spellStart"/>
      <w:r w:rsidRPr="00112F6A">
        <w:rPr>
          <w:sz w:val="24"/>
          <w:szCs w:val="24"/>
          <w:lang w:bidi="da-DK"/>
        </w:rPr>
        <w:t>kortikosteroider</w:t>
      </w:r>
      <w:proofErr w:type="spellEnd"/>
      <w:r w:rsidRPr="00112F6A">
        <w:rPr>
          <w:sz w:val="24"/>
          <w:szCs w:val="24"/>
          <w:lang w:bidi="da-DK"/>
        </w:rPr>
        <w:t xml:space="preserve"> kan resultere i systemisk</w:t>
      </w:r>
      <w:r>
        <w:rPr>
          <w:sz w:val="24"/>
          <w:szCs w:val="24"/>
          <w:lang w:bidi="da-DK"/>
        </w:rPr>
        <w:t xml:space="preserve"> </w:t>
      </w:r>
      <w:r w:rsidRPr="00112F6A">
        <w:rPr>
          <w:sz w:val="24"/>
          <w:szCs w:val="24"/>
          <w:lang w:bidi="da-DK"/>
        </w:rPr>
        <w:t>absorption i en størrelsesorden, som kan producere målbare mængder i human mælk.</w:t>
      </w: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12F6A">
        <w:rPr>
          <w:sz w:val="24"/>
          <w:szCs w:val="24"/>
          <w:lang w:bidi="da-DK"/>
        </w:rPr>
        <w:t xml:space="preserve">Administration af </w:t>
      </w:r>
      <w:proofErr w:type="spellStart"/>
      <w:r w:rsidRPr="00112F6A">
        <w:rPr>
          <w:sz w:val="24"/>
          <w:szCs w:val="24"/>
          <w:lang w:bidi="da-DK"/>
        </w:rPr>
        <w:t>betamethasonvalerat</w:t>
      </w:r>
      <w:proofErr w:type="spellEnd"/>
      <w:r w:rsidRPr="00112F6A">
        <w:rPr>
          <w:sz w:val="24"/>
          <w:szCs w:val="24"/>
          <w:lang w:bidi="da-DK"/>
        </w:rPr>
        <w:t xml:space="preserve"> under amning bør kun overvejes, hvis den forventede fordel</w:t>
      </w:r>
      <w:r>
        <w:rPr>
          <w:sz w:val="24"/>
          <w:szCs w:val="24"/>
          <w:lang w:bidi="da-DK"/>
        </w:rPr>
        <w:t xml:space="preserve"> </w:t>
      </w:r>
      <w:r w:rsidRPr="00112F6A">
        <w:rPr>
          <w:sz w:val="24"/>
          <w:szCs w:val="24"/>
          <w:lang w:bidi="da-DK"/>
        </w:rPr>
        <w:t>for moderen skønnes at opveje risikoen for spædbarnet.</w:t>
      </w: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12F6A">
        <w:rPr>
          <w:sz w:val="24"/>
          <w:szCs w:val="24"/>
          <w:lang w:bidi="da-DK"/>
        </w:rPr>
        <w:t xml:space="preserve">Hvis </w:t>
      </w:r>
      <w:proofErr w:type="spellStart"/>
      <w:r w:rsidRPr="00112F6A">
        <w:rPr>
          <w:sz w:val="24"/>
          <w:szCs w:val="24"/>
          <w:lang w:bidi="da-DK"/>
        </w:rPr>
        <w:t>betamethasonvalerat</w:t>
      </w:r>
      <w:proofErr w:type="spellEnd"/>
      <w:r w:rsidRPr="00112F6A">
        <w:rPr>
          <w:sz w:val="24"/>
          <w:szCs w:val="24"/>
          <w:lang w:bidi="da-DK"/>
        </w:rPr>
        <w:t xml:space="preserve"> anvendes under amning, må det ikke påføres brystområdet, da det skal</w:t>
      </w:r>
      <w:r>
        <w:rPr>
          <w:sz w:val="24"/>
          <w:szCs w:val="24"/>
          <w:lang w:bidi="da-DK"/>
        </w:rPr>
        <w:t xml:space="preserve"> </w:t>
      </w:r>
      <w:r w:rsidRPr="00112F6A">
        <w:rPr>
          <w:sz w:val="24"/>
          <w:szCs w:val="24"/>
          <w:lang w:bidi="da-DK"/>
        </w:rPr>
        <w:t>undgås, at spædbarnet utilsigtet indtager lægemidlet.</w:t>
      </w:r>
    </w:p>
    <w:p w:rsidR="00D54EB1" w:rsidRPr="00112F6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D54EB1" w:rsidRPr="00E33BA0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E33BA0">
        <w:rPr>
          <w:sz w:val="24"/>
          <w:szCs w:val="24"/>
          <w:lang w:bidi="da-DK"/>
        </w:rPr>
        <w:t>Ikke mærkning.</w:t>
      </w:r>
    </w:p>
    <w:p w:rsidR="00D54EB1" w:rsidRPr="00E33BA0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E33BA0">
        <w:rPr>
          <w:sz w:val="24"/>
          <w:szCs w:val="24"/>
          <w:lang w:bidi="da-DK"/>
        </w:rPr>
        <w:t>Der er ikke foretaget undersøgelser af indflydelsen på evnen til at føre motorkøretøj eller betjene</w:t>
      </w:r>
      <w:r>
        <w:rPr>
          <w:sz w:val="24"/>
          <w:szCs w:val="24"/>
          <w:lang w:bidi="da-DK"/>
        </w:rPr>
        <w:t xml:space="preserve"> </w:t>
      </w:r>
      <w:r w:rsidRPr="00E33BA0">
        <w:rPr>
          <w:sz w:val="24"/>
          <w:szCs w:val="24"/>
          <w:lang w:bidi="da-DK"/>
        </w:rPr>
        <w:t xml:space="preserve">maskiner. Ud fra bivirkningsprofilen forventes </w:t>
      </w:r>
      <w:proofErr w:type="spellStart"/>
      <w:r w:rsidRPr="00E33BA0">
        <w:rPr>
          <w:sz w:val="24"/>
          <w:szCs w:val="24"/>
          <w:lang w:bidi="da-DK"/>
        </w:rPr>
        <w:t>betamethasonvalerat</w:t>
      </w:r>
      <w:proofErr w:type="spellEnd"/>
      <w:r w:rsidRPr="00E33BA0">
        <w:rPr>
          <w:sz w:val="24"/>
          <w:szCs w:val="24"/>
          <w:lang w:bidi="da-DK"/>
        </w:rPr>
        <w:t xml:space="preserve"> ikke eller kun i ubetydelig grad</w:t>
      </w:r>
      <w:r>
        <w:rPr>
          <w:sz w:val="24"/>
          <w:szCs w:val="24"/>
          <w:lang w:bidi="da-DK"/>
        </w:rPr>
        <w:t xml:space="preserve"> </w:t>
      </w:r>
      <w:r w:rsidRPr="00E33BA0">
        <w:rPr>
          <w:sz w:val="24"/>
          <w:szCs w:val="24"/>
          <w:lang w:bidi="da-DK"/>
        </w:rPr>
        <w:t>at påvirke evnen til at føre motorkøretøj eller betjene maskiner.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D54EB1" w:rsidRPr="0048051A" w:rsidRDefault="00D54EB1" w:rsidP="00D54EB1">
      <w:pPr>
        <w:pStyle w:val="Sidehoved"/>
        <w:tabs>
          <w:tab w:val="left" w:pos="851"/>
        </w:tabs>
        <w:ind w:left="851"/>
        <w:rPr>
          <w:szCs w:val="24"/>
          <w:lang w:bidi="da-DK"/>
        </w:rPr>
      </w:pPr>
      <w:r w:rsidRPr="0048051A">
        <w:rPr>
          <w:szCs w:val="24"/>
          <w:lang w:bidi="da-DK"/>
        </w:rPr>
        <w:t>Bivirkningerne er anført nedenfor efter systemorganklasse og hyppighed (</w:t>
      </w:r>
      <w:proofErr w:type="spellStart"/>
      <w:r w:rsidRPr="0048051A">
        <w:rPr>
          <w:szCs w:val="24"/>
          <w:lang w:bidi="da-DK"/>
        </w:rPr>
        <w:t>MedDRA</w:t>
      </w:r>
      <w:proofErr w:type="spellEnd"/>
      <w:r w:rsidRPr="0048051A">
        <w:rPr>
          <w:szCs w:val="24"/>
          <w:lang w:bidi="da-DK"/>
        </w:rPr>
        <w:t>).</w:t>
      </w:r>
    </w:p>
    <w:p w:rsidR="00D54EB1" w:rsidRPr="0048051A" w:rsidRDefault="00D54EB1" w:rsidP="00D54EB1">
      <w:pPr>
        <w:pStyle w:val="Sidehoved"/>
        <w:tabs>
          <w:tab w:val="left" w:pos="851"/>
        </w:tabs>
        <w:ind w:left="851"/>
        <w:rPr>
          <w:szCs w:val="24"/>
          <w:lang w:bidi="da-DK"/>
        </w:rPr>
      </w:pPr>
      <w:r w:rsidRPr="0048051A">
        <w:rPr>
          <w:szCs w:val="24"/>
          <w:lang w:bidi="da-DK"/>
        </w:rPr>
        <w:t>Hyppighederne er defineret som: Meget almindelig (≥1/10), almindelig (≥1/100 og &lt;1/10), ikke</w:t>
      </w:r>
      <w:r>
        <w:rPr>
          <w:szCs w:val="24"/>
          <w:lang w:bidi="da-DK"/>
        </w:rPr>
        <w:t xml:space="preserve"> </w:t>
      </w:r>
      <w:r w:rsidRPr="0048051A">
        <w:rPr>
          <w:szCs w:val="24"/>
          <w:lang w:bidi="da-DK"/>
        </w:rPr>
        <w:t>almindelig (≥1/1.000 og &lt;1/100), sjælden (≥1/10.000 og &lt;1/1.000) eller meget sjælden (&lt; 1/10.000,</w:t>
      </w:r>
      <w:r>
        <w:rPr>
          <w:szCs w:val="24"/>
          <w:lang w:bidi="da-DK"/>
        </w:rPr>
        <w:t xml:space="preserve"> </w:t>
      </w:r>
      <w:r w:rsidRPr="0048051A">
        <w:rPr>
          <w:szCs w:val="24"/>
          <w:lang w:bidi="da-DK"/>
        </w:rPr>
        <w:t>inklusiv</w:t>
      </w:r>
      <w:r>
        <w:rPr>
          <w:szCs w:val="24"/>
          <w:lang w:bidi="da-DK"/>
        </w:rPr>
        <w:t>e</w:t>
      </w:r>
      <w:r w:rsidRPr="0048051A">
        <w:rPr>
          <w:szCs w:val="24"/>
          <w:lang w:bidi="da-DK"/>
        </w:rPr>
        <w:t xml:space="preserve"> enkeltstående tilfælde).</w:t>
      </w:r>
    </w:p>
    <w:p w:rsidR="00D54EB1" w:rsidRPr="0048051A" w:rsidRDefault="00D54EB1" w:rsidP="00D54EB1">
      <w:pPr>
        <w:pStyle w:val="Sidehoved"/>
        <w:tabs>
          <w:tab w:val="left" w:pos="851"/>
        </w:tabs>
        <w:ind w:left="851"/>
        <w:rPr>
          <w:szCs w:val="24"/>
          <w:lang w:bidi="da-DK"/>
        </w:rPr>
      </w:pPr>
    </w:p>
    <w:p w:rsidR="00D54EB1" w:rsidRPr="0048051A" w:rsidRDefault="00D54EB1" w:rsidP="00D54EB1">
      <w:pPr>
        <w:pStyle w:val="Sidehoved"/>
        <w:tabs>
          <w:tab w:val="left" w:pos="851"/>
        </w:tabs>
        <w:ind w:left="851"/>
        <w:rPr>
          <w:b/>
          <w:szCs w:val="24"/>
          <w:lang w:bidi="da-DK"/>
        </w:rPr>
      </w:pPr>
      <w:r w:rsidRPr="0048051A">
        <w:rPr>
          <w:b/>
          <w:szCs w:val="24"/>
          <w:lang w:bidi="da-DK"/>
        </w:rPr>
        <w:t>Kliniske forsøg og data efter markedsføring</w:t>
      </w:r>
    </w:p>
    <w:p w:rsidR="00D54EB1" w:rsidRPr="0048051A" w:rsidRDefault="00D54EB1" w:rsidP="00D54EB1">
      <w:pPr>
        <w:pStyle w:val="Sidehoved"/>
        <w:ind w:left="851"/>
        <w:rPr>
          <w:b/>
          <w:szCs w:val="24"/>
          <w:lang w:bidi="da-DK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465"/>
      </w:tblGrid>
      <w:tr w:rsidR="00D54EB1" w:rsidRPr="0048051A" w:rsidTr="003B4BCE">
        <w:trPr>
          <w:trHeight w:val="340"/>
        </w:trPr>
        <w:tc>
          <w:tcPr>
            <w:tcW w:w="4465" w:type="dxa"/>
            <w:tcBorders>
              <w:bottom w:val="single" w:sz="4" w:space="0" w:color="auto"/>
            </w:tcBorders>
            <w:shd w:val="clear" w:color="auto" w:fill="auto"/>
          </w:tcPr>
          <w:p w:rsidR="00D54EB1" w:rsidRPr="0048051A" w:rsidRDefault="00D54EB1" w:rsidP="003B4BCE">
            <w:pPr>
              <w:pStyle w:val="Sidehoved"/>
              <w:rPr>
                <w:b/>
                <w:szCs w:val="24"/>
                <w:lang w:bidi="da-DK"/>
              </w:rPr>
            </w:pPr>
            <w:r w:rsidRPr="0048051A">
              <w:rPr>
                <w:b/>
                <w:szCs w:val="24"/>
                <w:lang w:bidi="da-DK"/>
              </w:rPr>
              <w:t>Infektioner og parasitære sygdomme</w:t>
            </w: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r w:rsidRPr="0048051A">
              <w:rPr>
                <w:szCs w:val="24"/>
                <w:lang w:bidi="da-DK"/>
              </w:rPr>
              <w:t>Meget sjælden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shd w:val="clear" w:color="auto" w:fill="auto"/>
          </w:tcPr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r w:rsidRPr="0048051A">
              <w:rPr>
                <w:szCs w:val="24"/>
                <w:lang w:bidi="da-DK"/>
              </w:rPr>
              <w:t>Opportunistisk infektion.</w:t>
            </w: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r w:rsidRPr="0048051A" w:rsidDel="00445EC3">
              <w:rPr>
                <w:szCs w:val="24"/>
                <w:lang w:bidi="da-DK"/>
              </w:rPr>
              <w:t xml:space="preserve"> </w:t>
            </w:r>
          </w:p>
        </w:tc>
      </w:tr>
      <w:tr w:rsidR="00D54EB1" w:rsidRPr="0048051A" w:rsidTr="003B4BCE">
        <w:trPr>
          <w:trHeight w:val="340"/>
        </w:trPr>
        <w:tc>
          <w:tcPr>
            <w:tcW w:w="4465" w:type="dxa"/>
          </w:tcPr>
          <w:p w:rsidR="00D54EB1" w:rsidRPr="0048051A" w:rsidRDefault="00D54EB1" w:rsidP="003B4BCE">
            <w:pPr>
              <w:pStyle w:val="Sidehoved"/>
              <w:rPr>
                <w:b/>
                <w:szCs w:val="24"/>
                <w:lang w:bidi="da-DK"/>
              </w:rPr>
            </w:pPr>
            <w:r w:rsidRPr="0048051A">
              <w:rPr>
                <w:b/>
                <w:szCs w:val="24"/>
                <w:lang w:bidi="da-DK"/>
              </w:rPr>
              <w:t>Immunsystemet</w:t>
            </w: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r w:rsidRPr="0048051A">
              <w:rPr>
                <w:szCs w:val="24"/>
                <w:lang w:bidi="da-DK"/>
              </w:rPr>
              <w:t>Meget sjælden</w:t>
            </w: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</w:p>
        </w:tc>
        <w:tc>
          <w:tcPr>
            <w:tcW w:w="4465" w:type="dxa"/>
          </w:tcPr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r w:rsidRPr="0048051A">
              <w:rPr>
                <w:szCs w:val="24"/>
                <w:lang w:bidi="da-DK"/>
              </w:rPr>
              <w:t>Lokal overfølsomhed.</w:t>
            </w:r>
          </w:p>
        </w:tc>
      </w:tr>
      <w:tr w:rsidR="00D54EB1" w:rsidRPr="0048051A" w:rsidTr="003B4BCE">
        <w:trPr>
          <w:trHeight w:val="340"/>
        </w:trPr>
        <w:tc>
          <w:tcPr>
            <w:tcW w:w="4465" w:type="dxa"/>
          </w:tcPr>
          <w:p w:rsidR="00D54EB1" w:rsidRPr="0048051A" w:rsidRDefault="00D54EB1" w:rsidP="003B4BCE">
            <w:pPr>
              <w:pStyle w:val="Sidehoved"/>
              <w:rPr>
                <w:b/>
                <w:szCs w:val="24"/>
                <w:lang w:bidi="da-DK"/>
              </w:rPr>
            </w:pPr>
            <w:r w:rsidRPr="0048051A">
              <w:rPr>
                <w:b/>
                <w:szCs w:val="24"/>
                <w:lang w:bidi="da-DK"/>
              </w:rPr>
              <w:t>Det endokrine system</w:t>
            </w: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r w:rsidRPr="0048051A">
              <w:rPr>
                <w:szCs w:val="24"/>
                <w:lang w:bidi="da-DK"/>
              </w:rPr>
              <w:t>Meget sjælden</w:t>
            </w:r>
          </w:p>
        </w:tc>
        <w:tc>
          <w:tcPr>
            <w:tcW w:w="4465" w:type="dxa"/>
          </w:tcPr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r w:rsidRPr="0048051A">
              <w:rPr>
                <w:szCs w:val="24"/>
                <w:lang w:bidi="da-DK"/>
              </w:rPr>
              <w:t>Suppression af HPA-aksen (</w:t>
            </w:r>
            <w:proofErr w:type="spellStart"/>
            <w:r w:rsidRPr="0048051A">
              <w:rPr>
                <w:szCs w:val="24"/>
                <w:lang w:bidi="da-DK"/>
              </w:rPr>
              <w:t>hypothalamus</w:t>
            </w:r>
            <w:proofErr w:type="spellEnd"/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r w:rsidRPr="0048051A">
              <w:rPr>
                <w:szCs w:val="24"/>
                <w:lang w:bidi="da-DK"/>
              </w:rPr>
              <w:t xml:space="preserve">hypofyse-binyrebark): </w:t>
            </w: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proofErr w:type="spellStart"/>
            <w:r w:rsidRPr="0048051A">
              <w:rPr>
                <w:szCs w:val="24"/>
                <w:lang w:bidi="da-DK"/>
              </w:rPr>
              <w:t>Cushingoide</w:t>
            </w:r>
            <w:proofErr w:type="spellEnd"/>
            <w:r w:rsidRPr="0048051A">
              <w:rPr>
                <w:szCs w:val="24"/>
                <w:lang w:bidi="da-DK"/>
              </w:rPr>
              <w:t xml:space="preserve"> træk (f.eks. måneansigt, </w:t>
            </w:r>
            <w:proofErr w:type="spellStart"/>
            <w:r w:rsidRPr="0048051A">
              <w:rPr>
                <w:szCs w:val="24"/>
                <w:lang w:bidi="da-DK"/>
              </w:rPr>
              <w:t>trunkal</w:t>
            </w:r>
            <w:proofErr w:type="spellEnd"/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proofErr w:type="spellStart"/>
            <w:r w:rsidRPr="0048051A">
              <w:rPr>
                <w:szCs w:val="24"/>
                <w:lang w:bidi="da-DK"/>
              </w:rPr>
              <w:t>obesitet</w:t>
            </w:r>
            <w:proofErr w:type="spellEnd"/>
            <w:r w:rsidRPr="0048051A">
              <w:rPr>
                <w:szCs w:val="24"/>
                <w:lang w:bidi="da-DK"/>
              </w:rPr>
              <w:t xml:space="preserve">), forsinket </w:t>
            </w:r>
            <w:r>
              <w:rPr>
                <w:szCs w:val="24"/>
                <w:lang w:bidi="da-DK"/>
              </w:rPr>
              <w:t>v</w:t>
            </w:r>
            <w:r w:rsidRPr="0048051A">
              <w:rPr>
                <w:szCs w:val="24"/>
                <w:lang w:bidi="da-DK"/>
              </w:rPr>
              <w:t>ægtøgning/væksthæmning</w:t>
            </w: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r w:rsidRPr="0048051A">
              <w:rPr>
                <w:szCs w:val="24"/>
                <w:lang w:bidi="da-DK"/>
              </w:rPr>
              <w:t xml:space="preserve">hos børn, osteoporose, </w:t>
            </w:r>
            <w:proofErr w:type="spellStart"/>
            <w:r w:rsidRPr="0048051A">
              <w:rPr>
                <w:szCs w:val="24"/>
                <w:lang w:bidi="da-DK"/>
              </w:rPr>
              <w:t>glaukom</w:t>
            </w:r>
            <w:proofErr w:type="spellEnd"/>
            <w:r w:rsidRPr="0048051A">
              <w:rPr>
                <w:szCs w:val="24"/>
                <w:lang w:bidi="da-DK"/>
              </w:rPr>
              <w:t>,</w:t>
            </w: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proofErr w:type="spellStart"/>
            <w:r w:rsidRPr="0048051A">
              <w:rPr>
                <w:szCs w:val="24"/>
                <w:lang w:bidi="da-DK"/>
              </w:rPr>
              <w:t>hyperglykæmi</w:t>
            </w:r>
            <w:proofErr w:type="spellEnd"/>
            <w:r w:rsidRPr="0048051A">
              <w:rPr>
                <w:szCs w:val="24"/>
                <w:lang w:bidi="da-DK"/>
              </w:rPr>
              <w:t>/</w:t>
            </w:r>
            <w:proofErr w:type="spellStart"/>
            <w:r w:rsidRPr="0048051A">
              <w:rPr>
                <w:szCs w:val="24"/>
                <w:lang w:bidi="da-DK"/>
              </w:rPr>
              <w:t>glucosuri</w:t>
            </w:r>
            <w:proofErr w:type="spellEnd"/>
            <w:r w:rsidRPr="0048051A">
              <w:rPr>
                <w:szCs w:val="24"/>
                <w:lang w:bidi="da-DK"/>
              </w:rPr>
              <w:t>, katarakt, hypertension,</w:t>
            </w:r>
            <w:r>
              <w:rPr>
                <w:szCs w:val="24"/>
                <w:lang w:bidi="da-DK"/>
              </w:rPr>
              <w:t xml:space="preserve"> </w:t>
            </w:r>
            <w:r w:rsidRPr="0048051A">
              <w:rPr>
                <w:szCs w:val="24"/>
                <w:lang w:bidi="da-DK"/>
              </w:rPr>
              <w:t>vægtøgning/</w:t>
            </w:r>
            <w:proofErr w:type="spellStart"/>
            <w:r w:rsidRPr="0048051A">
              <w:rPr>
                <w:szCs w:val="24"/>
                <w:lang w:bidi="da-DK"/>
              </w:rPr>
              <w:t>obesitet</w:t>
            </w:r>
            <w:proofErr w:type="spellEnd"/>
            <w:r w:rsidRPr="0048051A">
              <w:rPr>
                <w:szCs w:val="24"/>
                <w:lang w:bidi="da-DK"/>
              </w:rPr>
              <w:t>, fald i endogent</w:t>
            </w:r>
            <w:r>
              <w:rPr>
                <w:szCs w:val="24"/>
                <w:lang w:bidi="da-DK"/>
              </w:rPr>
              <w:t xml:space="preserve"> </w:t>
            </w:r>
            <w:r w:rsidRPr="0048051A">
              <w:rPr>
                <w:szCs w:val="24"/>
                <w:lang w:bidi="da-DK"/>
              </w:rPr>
              <w:t>kortisolniveau.</w:t>
            </w: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</w:p>
        </w:tc>
      </w:tr>
      <w:tr w:rsidR="00DF0AE4" w:rsidRPr="0048051A" w:rsidTr="003B4BCE">
        <w:trPr>
          <w:trHeight w:val="340"/>
        </w:trPr>
        <w:tc>
          <w:tcPr>
            <w:tcW w:w="4465" w:type="dxa"/>
          </w:tcPr>
          <w:p w:rsidR="00DF0AE4" w:rsidRDefault="00DF0AE4" w:rsidP="00DF0AE4">
            <w:pPr>
              <w:pStyle w:val="Sidehoved"/>
              <w:rPr>
                <w:b/>
                <w:szCs w:val="24"/>
                <w:lang w:bidi="da-DK"/>
              </w:rPr>
            </w:pPr>
            <w:r>
              <w:rPr>
                <w:b/>
                <w:szCs w:val="24"/>
                <w:lang w:bidi="da-DK"/>
              </w:rPr>
              <w:t>Øjne</w:t>
            </w:r>
          </w:p>
          <w:p w:rsidR="00DF0AE4" w:rsidRDefault="00DF0AE4" w:rsidP="00DF0AE4">
            <w:pPr>
              <w:pStyle w:val="Sidehoved"/>
              <w:rPr>
                <w:bCs/>
                <w:szCs w:val="24"/>
                <w:lang w:bidi="da-DK"/>
              </w:rPr>
            </w:pPr>
            <w:r>
              <w:rPr>
                <w:bCs/>
                <w:szCs w:val="24"/>
                <w:lang w:bidi="da-DK"/>
              </w:rPr>
              <w:t>Ikke kendt</w:t>
            </w:r>
          </w:p>
          <w:p w:rsidR="00DF0AE4" w:rsidRPr="0048051A" w:rsidRDefault="00DF0AE4" w:rsidP="00DF0AE4">
            <w:pPr>
              <w:pStyle w:val="Sidehoved"/>
              <w:rPr>
                <w:b/>
                <w:szCs w:val="24"/>
                <w:lang w:bidi="da-DK"/>
              </w:rPr>
            </w:pPr>
          </w:p>
        </w:tc>
        <w:tc>
          <w:tcPr>
            <w:tcW w:w="4465" w:type="dxa"/>
          </w:tcPr>
          <w:p w:rsidR="00DF0AE4" w:rsidRDefault="00DF0AE4" w:rsidP="003B4BCE">
            <w:pPr>
              <w:pStyle w:val="Sidehoved"/>
              <w:rPr>
                <w:szCs w:val="24"/>
                <w:lang w:bidi="da-DK"/>
              </w:rPr>
            </w:pPr>
          </w:p>
          <w:p w:rsidR="00DF0AE4" w:rsidRPr="0048051A" w:rsidRDefault="00DF0AE4" w:rsidP="003B4BCE">
            <w:pPr>
              <w:pStyle w:val="Sidehoved"/>
              <w:rPr>
                <w:szCs w:val="24"/>
                <w:lang w:bidi="da-DK"/>
              </w:rPr>
            </w:pPr>
            <w:r>
              <w:rPr>
                <w:szCs w:val="24"/>
                <w:lang w:bidi="da-DK"/>
              </w:rPr>
              <w:t>Sløret syn.</w:t>
            </w:r>
          </w:p>
        </w:tc>
      </w:tr>
      <w:tr w:rsidR="00D54EB1" w:rsidRPr="0048051A" w:rsidTr="003B4BCE">
        <w:trPr>
          <w:trHeight w:val="340"/>
        </w:trPr>
        <w:tc>
          <w:tcPr>
            <w:tcW w:w="4465" w:type="dxa"/>
          </w:tcPr>
          <w:p w:rsidR="00D54EB1" w:rsidRPr="0048051A" w:rsidRDefault="00D54EB1" w:rsidP="001F1C99">
            <w:pPr>
              <w:pStyle w:val="Sidehoved"/>
              <w:keepNext/>
              <w:rPr>
                <w:b/>
                <w:szCs w:val="24"/>
                <w:lang w:bidi="da-DK"/>
              </w:rPr>
            </w:pPr>
            <w:r w:rsidRPr="0048051A">
              <w:rPr>
                <w:b/>
                <w:szCs w:val="24"/>
                <w:lang w:bidi="da-DK"/>
              </w:rPr>
              <w:lastRenderedPageBreak/>
              <w:t>Hud og subkutane væv</w:t>
            </w:r>
          </w:p>
          <w:p w:rsidR="00D54EB1" w:rsidRPr="0048051A" w:rsidRDefault="00D54EB1" w:rsidP="001F1C99">
            <w:pPr>
              <w:pStyle w:val="Sidehoved"/>
              <w:keepNext/>
              <w:rPr>
                <w:szCs w:val="24"/>
                <w:lang w:bidi="da-DK"/>
              </w:rPr>
            </w:pPr>
            <w:r w:rsidRPr="0048051A">
              <w:rPr>
                <w:szCs w:val="24"/>
                <w:lang w:bidi="da-DK"/>
              </w:rPr>
              <w:t xml:space="preserve">Almindelig </w:t>
            </w:r>
          </w:p>
          <w:p w:rsidR="00D54EB1" w:rsidRPr="0048051A" w:rsidRDefault="00D54EB1" w:rsidP="001F1C99">
            <w:pPr>
              <w:pStyle w:val="Sidehoved"/>
              <w:keepNext/>
              <w:rPr>
                <w:szCs w:val="24"/>
                <w:lang w:bidi="da-DK"/>
              </w:rPr>
            </w:pPr>
          </w:p>
          <w:p w:rsidR="00D54EB1" w:rsidRPr="0048051A" w:rsidRDefault="00D54EB1" w:rsidP="001F1C99">
            <w:pPr>
              <w:pStyle w:val="Sidehoved"/>
              <w:keepNext/>
              <w:rPr>
                <w:szCs w:val="24"/>
                <w:lang w:bidi="da-DK"/>
              </w:rPr>
            </w:pPr>
          </w:p>
          <w:p w:rsidR="00D54EB1" w:rsidRPr="0048051A" w:rsidRDefault="00D54EB1" w:rsidP="001F1C99">
            <w:pPr>
              <w:pStyle w:val="Sidehoved"/>
              <w:keepNext/>
              <w:rPr>
                <w:b/>
                <w:szCs w:val="24"/>
                <w:lang w:bidi="da-DK"/>
              </w:rPr>
            </w:pPr>
            <w:r w:rsidRPr="0048051A">
              <w:rPr>
                <w:szCs w:val="24"/>
                <w:lang w:bidi="da-DK"/>
              </w:rPr>
              <w:t>Meget sjælden</w:t>
            </w:r>
          </w:p>
          <w:p w:rsidR="00D54EB1" w:rsidRPr="0048051A" w:rsidRDefault="00D54EB1" w:rsidP="001F1C99">
            <w:pPr>
              <w:pStyle w:val="Sidehoved"/>
              <w:keepNext/>
              <w:rPr>
                <w:szCs w:val="24"/>
                <w:lang w:bidi="da-DK"/>
              </w:rPr>
            </w:pPr>
          </w:p>
          <w:p w:rsidR="00D54EB1" w:rsidRPr="0048051A" w:rsidRDefault="00D54EB1" w:rsidP="001F1C99">
            <w:pPr>
              <w:pStyle w:val="Sidehoved"/>
              <w:keepNext/>
              <w:rPr>
                <w:b/>
                <w:szCs w:val="24"/>
                <w:lang w:bidi="da-DK"/>
              </w:rPr>
            </w:pPr>
          </w:p>
        </w:tc>
        <w:tc>
          <w:tcPr>
            <w:tcW w:w="4465" w:type="dxa"/>
          </w:tcPr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proofErr w:type="spellStart"/>
            <w:r w:rsidRPr="0048051A">
              <w:rPr>
                <w:szCs w:val="24"/>
                <w:lang w:bidi="da-DK"/>
              </w:rPr>
              <w:t>Pruritus</w:t>
            </w:r>
            <w:proofErr w:type="spellEnd"/>
            <w:r w:rsidRPr="0048051A">
              <w:rPr>
                <w:szCs w:val="24"/>
                <w:lang w:bidi="da-DK"/>
              </w:rPr>
              <w:t>, lokal brændende fornemmelse eller</w:t>
            </w: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r w:rsidRPr="0048051A">
              <w:rPr>
                <w:szCs w:val="24"/>
                <w:lang w:bidi="da-DK"/>
              </w:rPr>
              <w:t>smerte i huden.</w:t>
            </w: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r w:rsidRPr="0048051A">
              <w:rPr>
                <w:szCs w:val="24"/>
                <w:lang w:bidi="da-DK"/>
              </w:rPr>
              <w:t xml:space="preserve">Allergisk </w:t>
            </w:r>
            <w:proofErr w:type="spellStart"/>
            <w:r w:rsidRPr="0048051A">
              <w:rPr>
                <w:szCs w:val="24"/>
                <w:lang w:bidi="da-DK"/>
              </w:rPr>
              <w:t>kontaktdermatitis</w:t>
            </w:r>
            <w:proofErr w:type="spellEnd"/>
            <w:r w:rsidRPr="0048051A">
              <w:rPr>
                <w:szCs w:val="24"/>
                <w:lang w:bidi="da-DK"/>
              </w:rPr>
              <w:t xml:space="preserve">, </w:t>
            </w:r>
            <w:proofErr w:type="spellStart"/>
            <w:r w:rsidRPr="0048051A">
              <w:rPr>
                <w:szCs w:val="24"/>
                <w:lang w:bidi="da-DK"/>
              </w:rPr>
              <w:t>erythem</w:t>
            </w:r>
            <w:proofErr w:type="spellEnd"/>
            <w:r w:rsidRPr="0048051A">
              <w:rPr>
                <w:szCs w:val="24"/>
                <w:lang w:bidi="da-DK"/>
              </w:rPr>
              <w:t>, udslæt,</w:t>
            </w:r>
            <w:r>
              <w:rPr>
                <w:szCs w:val="24"/>
                <w:lang w:bidi="da-DK"/>
              </w:rPr>
              <w:t xml:space="preserve"> </w:t>
            </w:r>
            <w:proofErr w:type="spellStart"/>
            <w:r w:rsidRPr="0048051A">
              <w:rPr>
                <w:szCs w:val="24"/>
                <w:lang w:bidi="da-DK"/>
              </w:rPr>
              <w:t>urticaria</w:t>
            </w:r>
            <w:proofErr w:type="spellEnd"/>
            <w:r w:rsidRPr="0048051A">
              <w:rPr>
                <w:szCs w:val="24"/>
                <w:lang w:bidi="da-DK"/>
              </w:rPr>
              <w:t xml:space="preserve">, </w:t>
            </w:r>
            <w:proofErr w:type="spellStart"/>
            <w:r w:rsidRPr="0048051A">
              <w:rPr>
                <w:szCs w:val="24"/>
                <w:lang w:bidi="da-DK"/>
              </w:rPr>
              <w:t>pustuløs</w:t>
            </w:r>
            <w:proofErr w:type="spellEnd"/>
            <w:r w:rsidRPr="0048051A">
              <w:rPr>
                <w:szCs w:val="24"/>
                <w:lang w:bidi="da-DK"/>
              </w:rPr>
              <w:t xml:space="preserve"> psoriasis (se pkt. 4.4), tynd</w:t>
            </w:r>
            <w:r>
              <w:rPr>
                <w:szCs w:val="24"/>
                <w:lang w:bidi="da-DK"/>
              </w:rPr>
              <w:t xml:space="preserve"> </w:t>
            </w:r>
            <w:r w:rsidRPr="0048051A">
              <w:rPr>
                <w:szCs w:val="24"/>
                <w:lang w:bidi="da-DK"/>
              </w:rPr>
              <w:t xml:space="preserve">hud*/hudatrofi*, hudrynker*, tør hud*, </w:t>
            </w:r>
            <w:proofErr w:type="spellStart"/>
            <w:r w:rsidRPr="0048051A">
              <w:rPr>
                <w:szCs w:val="24"/>
                <w:lang w:bidi="da-DK"/>
              </w:rPr>
              <w:t>striae</w:t>
            </w:r>
            <w:proofErr w:type="spellEnd"/>
            <w:r w:rsidRPr="0048051A">
              <w:rPr>
                <w:szCs w:val="24"/>
                <w:lang w:bidi="da-DK"/>
              </w:rPr>
              <w:t>*,</w:t>
            </w:r>
            <w:r>
              <w:rPr>
                <w:szCs w:val="24"/>
                <w:lang w:bidi="da-DK"/>
              </w:rPr>
              <w:t xml:space="preserve"> </w:t>
            </w:r>
            <w:proofErr w:type="spellStart"/>
            <w:r w:rsidRPr="0048051A">
              <w:rPr>
                <w:szCs w:val="24"/>
                <w:lang w:bidi="da-DK"/>
              </w:rPr>
              <w:t>teleangiektasi</w:t>
            </w:r>
            <w:proofErr w:type="spellEnd"/>
            <w:r w:rsidRPr="0048051A">
              <w:rPr>
                <w:szCs w:val="24"/>
                <w:lang w:bidi="da-DK"/>
              </w:rPr>
              <w:t>*, pigmentforandringer*,</w:t>
            </w:r>
            <w:r>
              <w:rPr>
                <w:szCs w:val="24"/>
                <w:lang w:bidi="da-DK"/>
              </w:rPr>
              <w:t xml:space="preserve"> </w:t>
            </w:r>
            <w:proofErr w:type="spellStart"/>
            <w:r w:rsidRPr="0048051A">
              <w:rPr>
                <w:szCs w:val="24"/>
                <w:lang w:bidi="da-DK"/>
              </w:rPr>
              <w:t>hypertrikose</w:t>
            </w:r>
            <w:proofErr w:type="spellEnd"/>
            <w:r w:rsidRPr="0048051A">
              <w:rPr>
                <w:szCs w:val="24"/>
                <w:lang w:bidi="da-DK"/>
              </w:rPr>
              <w:t xml:space="preserve">, </w:t>
            </w:r>
            <w:proofErr w:type="spellStart"/>
            <w:r w:rsidRPr="0048051A">
              <w:rPr>
                <w:szCs w:val="24"/>
                <w:lang w:bidi="da-DK"/>
              </w:rPr>
              <w:t>exacerbation</w:t>
            </w:r>
            <w:proofErr w:type="spellEnd"/>
            <w:r w:rsidRPr="0048051A">
              <w:rPr>
                <w:szCs w:val="24"/>
                <w:lang w:bidi="da-DK"/>
              </w:rPr>
              <w:t xml:space="preserve"> af bagvedliggende</w:t>
            </w: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r w:rsidRPr="0048051A">
              <w:rPr>
                <w:szCs w:val="24"/>
                <w:lang w:bidi="da-DK"/>
              </w:rPr>
              <w:t>symptomer.</w:t>
            </w: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</w:p>
        </w:tc>
      </w:tr>
      <w:tr w:rsidR="00D54EB1" w:rsidRPr="0048051A" w:rsidTr="003B4BCE">
        <w:trPr>
          <w:trHeight w:val="340"/>
        </w:trPr>
        <w:tc>
          <w:tcPr>
            <w:tcW w:w="4465" w:type="dxa"/>
          </w:tcPr>
          <w:p w:rsidR="00D54EB1" w:rsidRPr="0048051A" w:rsidRDefault="00D54EB1" w:rsidP="003B4BCE">
            <w:pPr>
              <w:pStyle w:val="Sidehoved"/>
              <w:rPr>
                <w:b/>
                <w:szCs w:val="24"/>
                <w:lang w:bidi="da-DK"/>
              </w:rPr>
            </w:pPr>
            <w:r w:rsidRPr="0048051A">
              <w:rPr>
                <w:b/>
                <w:szCs w:val="24"/>
                <w:lang w:bidi="da-DK"/>
              </w:rPr>
              <w:t>Almene symptomer og reaktioner på</w:t>
            </w:r>
          </w:p>
          <w:p w:rsidR="00D54EB1" w:rsidRPr="0048051A" w:rsidRDefault="00D54EB1" w:rsidP="003B4BCE">
            <w:pPr>
              <w:pStyle w:val="Sidehoved"/>
              <w:rPr>
                <w:b/>
                <w:szCs w:val="24"/>
                <w:lang w:bidi="da-DK"/>
              </w:rPr>
            </w:pPr>
            <w:r w:rsidRPr="0048051A">
              <w:rPr>
                <w:b/>
                <w:szCs w:val="24"/>
                <w:lang w:bidi="da-DK"/>
              </w:rPr>
              <w:t>administrationsstedet</w:t>
            </w: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r w:rsidRPr="0048051A">
              <w:rPr>
                <w:szCs w:val="24"/>
                <w:lang w:bidi="da-DK"/>
              </w:rPr>
              <w:t>Meget sjælden</w:t>
            </w:r>
          </w:p>
          <w:p w:rsidR="00D54EB1" w:rsidRPr="0048051A" w:rsidDel="00995EC3" w:rsidRDefault="00D54EB1" w:rsidP="003B4BCE">
            <w:pPr>
              <w:pStyle w:val="Sidehoved"/>
              <w:rPr>
                <w:szCs w:val="24"/>
                <w:lang w:bidi="da-DK"/>
              </w:rPr>
            </w:pPr>
          </w:p>
        </w:tc>
        <w:tc>
          <w:tcPr>
            <w:tcW w:w="4465" w:type="dxa"/>
          </w:tcPr>
          <w:p w:rsidR="00D54EB1" w:rsidRPr="0048051A" w:rsidRDefault="00D54EB1" w:rsidP="003B4BCE">
            <w:pPr>
              <w:pStyle w:val="Sidehoved"/>
              <w:rPr>
                <w:i/>
                <w:szCs w:val="24"/>
                <w:lang w:bidi="da-DK"/>
              </w:rPr>
            </w:pPr>
          </w:p>
          <w:p w:rsidR="00D54EB1" w:rsidRPr="0048051A" w:rsidRDefault="00D54EB1" w:rsidP="003B4BCE">
            <w:pPr>
              <w:pStyle w:val="Sidehoved"/>
              <w:rPr>
                <w:i/>
                <w:szCs w:val="24"/>
                <w:lang w:bidi="da-DK"/>
              </w:rPr>
            </w:pP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  <w:r w:rsidRPr="0048051A">
              <w:rPr>
                <w:szCs w:val="24"/>
                <w:lang w:bidi="da-DK"/>
              </w:rPr>
              <w:t>Irritation eller smerte på applikationsstedet.</w:t>
            </w:r>
          </w:p>
          <w:p w:rsidR="00D54EB1" w:rsidRPr="0048051A" w:rsidRDefault="00D54EB1" w:rsidP="003B4BCE">
            <w:pPr>
              <w:pStyle w:val="Sidehoved"/>
              <w:rPr>
                <w:szCs w:val="24"/>
                <w:lang w:bidi="da-DK"/>
              </w:rPr>
            </w:pPr>
          </w:p>
        </w:tc>
      </w:tr>
    </w:tbl>
    <w:p w:rsidR="00D54EB1" w:rsidRPr="0048051A" w:rsidRDefault="00D54EB1" w:rsidP="00D54EB1">
      <w:pPr>
        <w:pStyle w:val="Sidehoved"/>
        <w:tabs>
          <w:tab w:val="left" w:pos="851"/>
        </w:tabs>
        <w:ind w:left="851"/>
        <w:rPr>
          <w:bCs/>
          <w:szCs w:val="24"/>
          <w:lang w:bidi="da-DK"/>
        </w:rPr>
      </w:pPr>
      <w:r w:rsidRPr="0048051A">
        <w:rPr>
          <w:bCs/>
          <w:szCs w:val="24"/>
          <w:lang w:bidi="da-DK"/>
        </w:rPr>
        <w:t>*Hudsymptomer sekundært til lokale og/eller systemiske påvirkninger af suppression af HPA-aksen</w:t>
      </w:r>
      <w:r>
        <w:rPr>
          <w:bCs/>
          <w:szCs w:val="24"/>
          <w:lang w:bidi="da-DK"/>
        </w:rPr>
        <w:t xml:space="preserve"> </w:t>
      </w:r>
      <w:r w:rsidRPr="0048051A">
        <w:rPr>
          <w:bCs/>
          <w:szCs w:val="24"/>
          <w:lang w:bidi="da-DK"/>
        </w:rPr>
        <w:t>(</w:t>
      </w:r>
      <w:proofErr w:type="spellStart"/>
      <w:r w:rsidRPr="0048051A">
        <w:rPr>
          <w:bCs/>
          <w:szCs w:val="24"/>
          <w:lang w:bidi="da-DK"/>
        </w:rPr>
        <w:t>hypothalamus</w:t>
      </w:r>
      <w:proofErr w:type="spellEnd"/>
      <w:r w:rsidRPr="0048051A">
        <w:rPr>
          <w:bCs/>
          <w:szCs w:val="24"/>
          <w:lang w:bidi="da-DK"/>
        </w:rPr>
        <w:t>-hypofyse-binyrebark).</w:t>
      </w:r>
    </w:p>
    <w:p w:rsidR="00D54EB1" w:rsidRPr="0048051A" w:rsidRDefault="00D54EB1" w:rsidP="00D54EB1">
      <w:pPr>
        <w:pStyle w:val="Sidehoved"/>
        <w:tabs>
          <w:tab w:val="left" w:pos="851"/>
        </w:tabs>
        <w:ind w:left="851"/>
        <w:rPr>
          <w:bCs/>
          <w:szCs w:val="24"/>
          <w:lang w:bidi="da-DK"/>
        </w:rPr>
      </w:pPr>
    </w:p>
    <w:p w:rsidR="00D54EB1" w:rsidRPr="0048051A" w:rsidRDefault="00D54EB1" w:rsidP="00D54EB1">
      <w:pPr>
        <w:pStyle w:val="Sidehoved"/>
        <w:tabs>
          <w:tab w:val="left" w:pos="851"/>
        </w:tabs>
        <w:ind w:left="851"/>
        <w:rPr>
          <w:szCs w:val="24"/>
          <w:u w:val="single"/>
          <w:lang w:bidi="da-DK"/>
        </w:rPr>
      </w:pPr>
      <w:r w:rsidRPr="0048051A">
        <w:rPr>
          <w:szCs w:val="24"/>
          <w:u w:val="single"/>
          <w:lang w:bidi="da-DK"/>
        </w:rPr>
        <w:t xml:space="preserve">Indberetning af formodede bivirkninger </w:t>
      </w:r>
    </w:p>
    <w:p w:rsidR="00D54EB1" w:rsidRPr="0048051A" w:rsidRDefault="00D54EB1" w:rsidP="00D54EB1">
      <w:pPr>
        <w:pStyle w:val="Sidehoved"/>
        <w:tabs>
          <w:tab w:val="left" w:pos="851"/>
        </w:tabs>
        <w:ind w:left="851"/>
        <w:rPr>
          <w:szCs w:val="24"/>
          <w:lang w:bidi="da-DK"/>
        </w:rPr>
      </w:pPr>
      <w:r w:rsidRPr="0048051A">
        <w:rPr>
          <w:szCs w:val="24"/>
          <w:lang w:bidi="da-DK"/>
        </w:rPr>
        <w:t>Når lægemidlet er godkendt, er indberetning af formodede bivirkninger vigtig. Det muliggør løbende</w:t>
      </w:r>
      <w:r>
        <w:rPr>
          <w:szCs w:val="24"/>
          <w:lang w:bidi="da-DK"/>
        </w:rPr>
        <w:t xml:space="preserve"> </w:t>
      </w:r>
      <w:r w:rsidRPr="0048051A">
        <w:rPr>
          <w:szCs w:val="24"/>
          <w:lang w:bidi="da-DK"/>
        </w:rPr>
        <w:t>overvågning af benefit/</w:t>
      </w:r>
      <w:proofErr w:type="spellStart"/>
      <w:r w:rsidRPr="0048051A">
        <w:rPr>
          <w:szCs w:val="24"/>
          <w:lang w:bidi="da-DK"/>
        </w:rPr>
        <w:t>risk</w:t>
      </w:r>
      <w:proofErr w:type="spellEnd"/>
      <w:r w:rsidRPr="0048051A">
        <w:rPr>
          <w:szCs w:val="24"/>
          <w:lang w:bidi="da-DK"/>
        </w:rPr>
        <w:t xml:space="preserve">-forholdet for lægemidlet. </w:t>
      </w:r>
      <w:r w:rsidR="00DF0AE4">
        <w:rPr>
          <w:szCs w:val="24"/>
          <w:lang w:bidi="da-DK"/>
        </w:rPr>
        <w:t>S</w:t>
      </w:r>
      <w:r w:rsidRPr="0048051A">
        <w:rPr>
          <w:szCs w:val="24"/>
          <w:lang w:bidi="da-DK"/>
        </w:rPr>
        <w:t>undhedsperson</w:t>
      </w:r>
      <w:r w:rsidR="00DF0AE4">
        <w:rPr>
          <w:szCs w:val="24"/>
          <w:lang w:bidi="da-DK"/>
        </w:rPr>
        <w:t>er</w:t>
      </w:r>
      <w:r w:rsidRPr="0048051A">
        <w:rPr>
          <w:szCs w:val="24"/>
          <w:lang w:bidi="da-DK"/>
        </w:rPr>
        <w:t xml:space="preserve"> anmodes om at</w:t>
      </w:r>
      <w:r>
        <w:rPr>
          <w:szCs w:val="24"/>
          <w:lang w:bidi="da-DK"/>
        </w:rPr>
        <w:t xml:space="preserve"> </w:t>
      </w:r>
      <w:r w:rsidRPr="0048051A">
        <w:rPr>
          <w:szCs w:val="24"/>
          <w:lang w:bidi="da-DK"/>
        </w:rPr>
        <w:t xml:space="preserve">indberette alle formodede bivirkninger via: </w:t>
      </w:r>
      <w:r w:rsidRPr="0048051A">
        <w:rPr>
          <w:szCs w:val="24"/>
          <w:lang w:bidi="da-DK"/>
        </w:rPr>
        <w:br/>
      </w:r>
    </w:p>
    <w:p w:rsidR="00D54EB1" w:rsidRPr="0048051A" w:rsidRDefault="00D54EB1" w:rsidP="00D54EB1">
      <w:pPr>
        <w:pStyle w:val="Sidehoved"/>
        <w:tabs>
          <w:tab w:val="left" w:pos="851"/>
        </w:tabs>
        <w:ind w:left="851"/>
        <w:rPr>
          <w:szCs w:val="24"/>
          <w:lang w:bidi="da-DK"/>
        </w:rPr>
      </w:pPr>
      <w:r w:rsidRPr="0048051A">
        <w:rPr>
          <w:szCs w:val="24"/>
          <w:lang w:bidi="da-DK"/>
        </w:rPr>
        <w:t xml:space="preserve">Lægemiddelstyrelsen </w:t>
      </w:r>
    </w:p>
    <w:p w:rsidR="00D54EB1" w:rsidRPr="0048051A" w:rsidRDefault="00D54EB1" w:rsidP="00D54EB1">
      <w:pPr>
        <w:pStyle w:val="Sidehoved"/>
        <w:tabs>
          <w:tab w:val="left" w:pos="851"/>
        </w:tabs>
        <w:ind w:left="851"/>
        <w:rPr>
          <w:szCs w:val="24"/>
          <w:lang w:bidi="da-DK"/>
        </w:rPr>
      </w:pPr>
      <w:r w:rsidRPr="0048051A">
        <w:rPr>
          <w:szCs w:val="24"/>
          <w:lang w:bidi="da-DK"/>
        </w:rPr>
        <w:t xml:space="preserve">Axel Heides Gade 1 </w:t>
      </w:r>
    </w:p>
    <w:p w:rsidR="00D54EB1" w:rsidRPr="0048051A" w:rsidRDefault="00D54EB1" w:rsidP="00D54EB1">
      <w:pPr>
        <w:pStyle w:val="Sidehoved"/>
        <w:tabs>
          <w:tab w:val="left" w:pos="851"/>
        </w:tabs>
        <w:ind w:left="851"/>
        <w:rPr>
          <w:szCs w:val="24"/>
          <w:lang w:bidi="da-DK"/>
        </w:rPr>
      </w:pPr>
      <w:r w:rsidRPr="0048051A">
        <w:rPr>
          <w:szCs w:val="24"/>
          <w:lang w:bidi="da-DK"/>
        </w:rPr>
        <w:t xml:space="preserve">DK-2300 København S </w:t>
      </w:r>
    </w:p>
    <w:p w:rsidR="00D54EB1" w:rsidRPr="002308FE" w:rsidRDefault="00D54EB1" w:rsidP="00D54EB1">
      <w:pPr>
        <w:pStyle w:val="Sidehoved"/>
        <w:tabs>
          <w:tab w:val="left" w:pos="851"/>
        </w:tabs>
        <w:ind w:left="851"/>
        <w:rPr>
          <w:szCs w:val="24"/>
        </w:rPr>
      </w:pPr>
      <w:r w:rsidRPr="002308FE">
        <w:rPr>
          <w:szCs w:val="24"/>
        </w:rPr>
        <w:t xml:space="preserve">Websted: www.meldenbivirkning.dk </w:t>
      </w:r>
    </w:p>
    <w:p w:rsidR="00D54EB1" w:rsidRPr="002308FE" w:rsidRDefault="00D54EB1" w:rsidP="00D54EB1">
      <w:pPr>
        <w:pStyle w:val="Sidehoved"/>
        <w:tabs>
          <w:tab w:val="left" w:pos="851"/>
        </w:tabs>
        <w:ind w:left="851"/>
        <w:rPr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D54EB1" w:rsidRDefault="00D54EB1" w:rsidP="00D54EB1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</w:p>
    <w:p w:rsidR="00D54EB1" w:rsidRPr="00B1147A" w:rsidRDefault="00D54EB1" w:rsidP="00D54EB1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>
        <w:rPr>
          <w:sz w:val="24"/>
          <w:szCs w:val="24"/>
          <w:u w:val="single"/>
          <w:lang w:bidi="da-DK"/>
        </w:rPr>
        <w:t>Symptomer</w:t>
      </w:r>
    </w:p>
    <w:p w:rsidR="00D54EB1" w:rsidRPr="00B1147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proofErr w:type="spellStart"/>
      <w:r w:rsidRPr="00B1147A">
        <w:rPr>
          <w:sz w:val="24"/>
          <w:szCs w:val="24"/>
          <w:lang w:bidi="da-DK"/>
        </w:rPr>
        <w:t>Topikalt</w:t>
      </w:r>
      <w:proofErr w:type="spellEnd"/>
      <w:r w:rsidRPr="00B1147A">
        <w:rPr>
          <w:sz w:val="24"/>
          <w:szCs w:val="24"/>
          <w:lang w:bidi="da-DK"/>
        </w:rPr>
        <w:t xml:space="preserve"> anvendt </w:t>
      </w:r>
      <w:proofErr w:type="spellStart"/>
      <w:r w:rsidRPr="00B1147A">
        <w:rPr>
          <w:sz w:val="24"/>
          <w:szCs w:val="24"/>
          <w:lang w:bidi="da-DK"/>
        </w:rPr>
        <w:t>betamethasonvalerat</w:t>
      </w:r>
      <w:proofErr w:type="spellEnd"/>
      <w:r w:rsidRPr="00B1147A">
        <w:rPr>
          <w:sz w:val="24"/>
          <w:szCs w:val="24"/>
          <w:lang w:bidi="da-DK"/>
        </w:rPr>
        <w:t xml:space="preserve"> kan absorberes i mængder nok til at forårsage systemiske</w:t>
      </w:r>
      <w:r>
        <w:rPr>
          <w:sz w:val="24"/>
          <w:szCs w:val="24"/>
          <w:lang w:bidi="da-DK"/>
        </w:rPr>
        <w:t xml:space="preserve"> </w:t>
      </w:r>
      <w:r w:rsidRPr="00B1147A">
        <w:rPr>
          <w:sz w:val="24"/>
          <w:szCs w:val="24"/>
          <w:lang w:bidi="da-DK"/>
        </w:rPr>
        <w:t>virkninger. Akut overdosering er ikke sandsynlig, men i tilfælde af kronisk overdosering eller</w:t>
      </w:r>
      <w:r>
        <w:rPr>
          <w:sz w:val="24"/>
          <w:szCs w:val="24"/>
          <w:lang w:bidi="da-DK"/>
        </w:rPr>
        <w:t xml:space="preserve"> </w:t>
      </w:r>
      <w:r w:rsidRPr="00B1147A">
        <w:rPr>
          <w:sz w:val="24"/>
          <w:szCs w:val="24"/>
          <w:lang w:bidi="da-DK"/>
        </w:rPr>
        <w:t xml:space="preserve">misbrug kan der opstå tegn på </w:t>
      </w:r>
      <w:proofErr w:type="spellStart"/>
      <w:r w:rsidRPr="00B1147A">
        <w:rPr>
          <w:sz w:val="24"/>
          <w:szCs w:val="24"/>
          <w:lang w:bidi="da-DK"/>
        </w:rPr>
        <w:t>hyperkorticisme</w:t>
      </w:r>
      <w:proofErr w:type="spellEnd"/>
      <w:r w:rsidRPr="00B1147A">
        <w:rPr>
          <w:sz w:val="24"/>
          <w:szCs w:val="24"/>
          <w:lang w:bidi="da-DK"/>
        </w:rPr>
        <w:t xml:space="preserve"> (se pkt. 4.8). </w:t>
      </w:r>
    </w:p>
    <w:p w:rsidR="00D54EB1" w:rsidRPr="00B1147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B1147A" w:rsidRDefault="00D54EB1" w:rsidP="00D54EB1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>
        <w:rPr>
          <w:sz w:val="24"/>
          <w:szCs w:val="24"/>
          <w:u w:val="single"/>
          <w:lang w:bidi="da-DK"/>
        </w:rPr>
        <w:t>Behandling</w:t>
      </w:r>
    </w:p>
    <w:p w:rsidR="00D54EB1" w:rsidRPr="00B1147A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B1147A">
        <w:rPr>
          <w:sz w:val="24"/>
          <w:szCs w:val="24"/>
          <w:lang w:bidi="da-DK"/>
        </w:rPr>
        <w:t xml:space="preserve">I tilfælde af overdosering skal </w:t>
      </w:r>
      <w:proofErr w:type="spellStart"/>
      <w:r w:rsidRPr="00B1147A">
        <w:rPr>
          <w:sz w:val="24"/>
          <w:szCs w:val="24"/>
          <w:lang w:bidi="da-DK"/>
        </w:rPr>
        <w:t>betamethasonvalerat</w:t>
      </w:r>
      <w:proofErr w:type="spellEnd"/>
      <w:r w:rsidRPr="00B1147A">
        <w:rPr>
          <w:sz w:val="24"/>
          <w:szCs w:val="24"/>
          <w:lang w:bidi="da-DK"/>
        </w:rPr>
        <w:t xml:space="preserve"> seponeres gradvist ved at nedsætte hyppigheden</w:t>
      </w:r>
      <w:r>
        <w:rPr>
          <w:sz w:val="24"/>
          <w:szCs w:val="24"/>
          <w:lang w:bidi="da-DK"/>
        </w:rPr>
        <w:t xml:space="preserve"> </w:t>
      </w:r>
      <w:r w:rsidRPr="00B1147A">
        <w:rPr>
          <w:sz w:val="24"/>
          <w:szCs w:val="24"/>
          <w:lang w:bidi="da-DK"/>
        </w:rPr>
        <w:t xml:space="preserve">af påføring eller ved at skifte over til et mindre stærkt virkende </w:t>
      </w:r>
      <w:proofErr w:type="spellStart"/>
      <w:r w:rsidRPr="00B1147A">
        <w:rPr>
          <w:sz w:val="24"/>
          <w:szCs w:val="24"/>
          <w:lang w:bidi="da-DK"/>
        </w:rPr>
        <w:t>kortikosteroid</w:t>
      </w:r>
      <w:proofErr w:type="spellEnd"/>
      <w:r w:rsidRPr="00B1147A">
        <w:rPr>
          <w:sz w:val="24"/>
          <w:szCs w:val="24"/>
          <w:lang w:bidi="da-DK"/>
        </w:rPr>
        <w:t xml:space="preserve"> på grund af risikoen</w:t>
      </w:r>
      <w:r>
        <w:rPr>
          <w:sz w:val="24"/>
          <w:szCs w:val="24"/>
          <w:lang w:bidi="da-DK"/>
        </w:rPr>
        <w:t xml:space="preserve"> </w:t>
      </w:r>
      <w:r w:rsidRPr="00B1147A">
        <w:rPr>
          <w:sz w:val="24"/>
          <w:szCs w:val="24"/>
          <w:lang w:bidi="da-DK"/>
        </w:rPr>
        <w:t xml:space="preserve">for </w:t>
      </w:r>
      <w:proofErr w:type="spellStart"/>
      <w:r w:rsidRPr="00B1147A">
        <w:rPr>
          <w:sz w:val="24"/>
          <w:szCs w:val="24"/>
          <w:lang w:bidi="da-DK"/>
        </w:rPr>
        <w:t>glucokortikosteroidinsufficiens</w:t>
      </w:r>
      <w:proofErr w:type="spellEnd"/>
      <w:r w:rsidRPr="00B1147A">
        <w:rPr>
          <w:sz w:val="24"/>
          <w:szCs w:val="24"/>
          <w:lang w:bidi="da-DK"/>
        </w:rPr>
        <w:t>.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92AB3">
        <w:rPr>
          <w:sz w:val="24"/>
          <w:szCs w:val="24"/>
          <w:lang w:bidi="da-DK"/>
        </w:rPr>
        <w:t>ATC-kode:</w:t>
      </w:r>
      <w:r>
        <w:rPr>
          <w:sz w:val="24"/>
          <w:szCs w:val="24"/>
          <w:lang w:bidi="da-DK"/>
        </w:rPr>
        <w:t xml:space="preserve"> </w:t>
      </w:r>
      <w:r w:rsidRPr="00192AB3">
        <w:rPr>
          <w:sz w:val="24"/>
          <w:szCs w:val="24"/>
          <w:lang w:bidi="da-DK"/>
        </w:rPr>
        <w:t>D</w:t>
      </w:r>
      <w:r>
        <w:rPr>
          <w:sz w:val="24"/>
          <w:szCs w:val="24"/>
          <w:lang w:bidi="da-DK"/>
        </w:rPr>
        <w:t xml:space="preserve"> </w:t>
      </w:r>
      <w:r w:rsidRPr="00192AB3">
        <w:rPr>
          <w:sz w:val="24"/>
          <w:szCs w:val="24"/>
          <w:lang w:bidi="da-DK"/>
        </w:rPr>
        <w:t>07</w:t>
      </w:r>
      <w:r>
        <w:rPr>
          <w:sz w:val="24"/>
          <w:szCs w:val="24"/>
          <w:lang w:bidi="da-DK"/>
        </w:rPr>
        <w:t xml:space="preserve"> </w:t>
      </w:r>
      <w:r w:rsidRPr="00192AB3">
        <w:rPr>
          <w:sz w:val="24"/>
          <w:szCs w:val="24"/>
          <w:lang w:bidi="da-DK"/>
        </w:rPr>
        <w:t>AC</w:t>
      </w:r>
      <w:r>
        <w:rPr>
          <w:sz w:val="24"/>
          <w:szCs w:val="24"/>
          <w:lang w:bidi="da-DK"/>
        </w:rPr>
        <w:t xml:space="preserve"> </w:t>
      </w:r>
      <w:r w:rsidRPr="00192AB3">
        <w:rPr>
          <w:sz w:val="24"/>
          <w:szCs w:val="24"/>
          <w:lang w:bidi="da-DK"/>
        </w:rPr>
        <w:t>01.</w:t>
      </w:r>
      <w:r>
        <w:rPr>
          <w:sz w:val="24"/>
          <w:szCs w:val="24"/>
          <w:lang w:bidi="da-DK"/>
        </w:rPr>
        <w:t xml:space="preserve"> </w:t>
      </w:r>
      <w:proofErr w:type="spellStart"/>
      <w:r>
        <w:rPr>
          <w:sz w:val="24"/>
          <w:szCs w:val="24"/>
          <w:lang w:bidi="da-DK"/>
        </w:rPr>
        <w:t>K</w:t>
      </w:r>
      <w:r w:rsidRPr="00192AB3">
        <w:rPr>
          <w:sz w:val="24"/>
          <w:szCs w:val="24"/>
          <w:lang w:bidi="da-DK"/>
        </w:rPr>
        <w:t>ortikosteroider</w:t>
      </w:r>
      <w:proofErr w:type="spellEnd"/>
      <w:r w:rsidRPr="00192AB3">
        <w:rPr>
          <w:sz w:val="24"/>
          <w:szCs w:val="24"/>
          <w:lang w:bidi="da-DK"/>
        </w:rPr>
        <w:t xml:space="preserve">, stærkt virkende (Gruppe </w:t>
      </w:r>
      <w:r>
        <w:rPr>
          <w:sz w:val="24"/>
          <w:szCs w:val="24"/>
          <w:lang w:bidi="da-DK"/>
        </w:rPr>
        <w:t>III).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1F1C99">
      <w:pPr>
        <w:keepNext/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D54EB1" w:rsidRDefault="00D54EB1" w:rsidP="00D54EB1">
      <w:pPr>
        <w:tabs>
          <w:tab w:val="left" w:pos="851"/>
        </w:tabs>
        <w:ind w:left="851"/>
        <w:rPr>
          <w:b/>
          <w:sz w:val="24"/>
          <w:szCs w:val="24"/>
          <w:lang w:bidi="da-DK"/>
        </w:rPr>
      </w:pPr>
    </w:p>
    <w:p w:rsidR="00D54EB1" w:rsidRPr="005763B4" w:rsidRDefault="00D54EB1" w:rsidP="00D54EB1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 w:rsidRPr="005763B4">
        <w:rPr>
          <w:sz w:val="24"/>
          <w:szCs w:val="24"/>
          <w:u w:val="single"/>
          <w:lang w:bidi="da-DK"/>
        </w:rPr>
        <w:t>Virkningsmekanisme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proofErr w:type="spellStart"/>
      <w:r w:rsidRPr="00192AB3">
        <w:rPr>
          <w:sz w:val="24"/>
          <w:szCs w:val="24"/>
          <w:lang w:bidi="da-DK"/>
        </w:rPr>
        <w:t>Topikale</w:t>
      </w:r>
      <w:proofErr w:type="spellEnd"/>
      <w:r w:rsidRPr="00192AB3">
        <w:rPr>
          <w:sz w:val="24"/>
          <w:szCs w:val="24"/>
          <w:lang w:bidi="da-DK"/>
        </w:rPr>
        <w:t xml:space="preserve"> </w:t>
      </w:r>
      <w:proofErr w:type="spellStart"/>
      <w:r w:rsidRPr="00192AB3">
        <w:rPr>
          <w:sz w:val="24"/>
          <w:szCs w:val="24"/>
          <w:lang w:bidi="da-DK"/>
        </w:rPr>
        <w:t>kortikosteroider</w:t>
      </w:r>
      <w:proofErr w:type="spellEnd"/>
      <w:r w:rsidRPr="00192AB3">
        <w:rPr>
          <w:sz w:val="24"/>
          <w:szCs w:val="24"/>
          <w:lang w:bidi="da-DK"/>
        </w:rPr>
        <w:t xml:space="preserve"> virker som antiinflammatoriske midler via flere mekanismer, som hæmmer</w:t>
      </w:r>
      <w:r>
        <w:rPr>
          <w:sz w:val="24"/>
          <w:szCs w:val="24"/>
          <w:lang w:bidi="da-DK"/>
        </w:rPr>
        <w:t xml:space="preserve"> </w:t>
      </w:r>
      <w:r w:rsidRPr="00192AB3">
        <w:rPr>
          <w:sz w:val="24"/>
          <w:szCs w:val="24"/>
          <w:lang w:bidi="da-DK"/>
        </w:rPr>
        <w:t>den sene fase af allergiske reaktioner, herunder ved at nedsætte densiteten af mastceller, reducere</w:t>
      </w:r>
      <w:r>
        <w:rPr>
          <w:sz w:val="24"/>
          <w:szCs w:val="24"/>
          <w:lang w:bidi="da-DK"/>
        </w:rPr>
        <w:t xml:space="preserve"> </w:t>
      </w:r>
      <w:r w:rsidRPr="00192AB3">
        <w:rPr>
          <w:sz w:val="24"/>
          <w:szCs w:val="24"/>
          <w:lang w:bidi="da-DK"/>
        </w:rPr>
        <w:t xml:space="preserve">kemotaksi og aktivering af </w:t>
      </w:r>
      <w:proofErr w:type="spellStart"/>
      <w:r w:rsidRPr="00192AB3">
        <w:rPr>
          <w:sz w:val="24"/>
          <w:szCs w:val="24"/>
          <w:lang w:bidi="da-DK"/>
        </w:rPr>
        <w:t>eosinofile</w:t>
      </w:r>
      <w:proofErr w:type="spellEnd"/>
      <w:r w:rsidRPr="00192AB3">
        <w:rPr>
          <w:sz w:val="24"/>
          <w:szCs w:val="24"/>
          <w:lang w:bidi="da-DK"/>
        </w:rPr>
        <w:t xml:space="preserve"> granulocytter, nedsætte lymfocytters, </w:t>
      </w:r>
      <w:proofErr w:type="spellStart"/>
      <w:r w:rsidRPr="00192AB3">
        <w:rPr>
          <w:sz w:val="24"/>
          <w:szCs w:val="24"/>
          <w:lang w:bidi="da-DK"/>
        </w:rPr>
        <w:t>monocytters</w:t>
      </w:r>
      <w:proofErr w:type="spellEnd"/>
      <w:r w:rsidRPr="00192AB3">
        <w:rPr>
          <w:sz w:val="24"/>
          <w:szCs w:val="24"/>
          <w:lang w:bidi="da-DK"/>
        </w:rPr>
        <w:t>, mastcellers</w:t>
      </w:r>
      <w:r>
        <w:rPr>
          <w:sz w:val="24"/>
          <w:szCs w:val="24"/>
          <w:lang w:bidi="da-DK"/>
        </w:rPr>
        <w:t xml:space="preserve"> </w:t>
      </w:r>
      <w:r w:rsidRPr="00192AB3">
        <w:rPr>
          <w:sz w:val="24"/>
          <w:szCs w:val="24"/>
          <w:lang w:bidi="da-DK"/>
        </w:rPr>
        <w:t xml:space="preserve">og </w:t>
      </w:r>
      <w:proofErr w:type="spellStart"/>
      <w:r w:rsidRPr="00192AB3">
        <w:rPr>
          <w:sz w:val="24"/>
          <w:szCs w:val="24"/>
          <w:lang w:bidi="da-DK"/>
        </w:rPr>
        <w:t>eosinofile</w:t>
      </w:r>
      <w:proofErr w:type="spellEnd"/>
      <w:r w:rsidRPr="00192AB3">
        <w:rPr>
          <w:sz w:val="24"/>
          <w:szCs w:val="24"/>
          <w:lang w:bidi="da-DK"/>
        </w:rPr>
        <w:t xml:space="preserve"> granulocytters produktion af cytokiner, samt hæmme </w:t>
      </w:r>
      <w:proofErr w:type="spellStart"/>
      <w:r w:rsidRPr="00192AB3">
        <w:rPr>
          <w:sz w:val="24"/>
          <w:szCs w:val="24"/>
          <w:lang w:bidi="da-DK"/>
        </w:rPr>
        <w:t>metaboliseringen</w:t>
      </w:r>
      <w:proofErr w:type="spellEnd"/>
      <w:r w:rsidRPr="00192AB3">
        <w:rPr>
          <w:sz w:val="24"/>
          <w:szCs w:val="24"/>
          <w:lang w:bidi="da-DK"/>
        </w:rPr>
        <w:t xml:space="preserve"> af</w:t>
      </w:r>
      <w:r>
        <w:rPr>
          <w:sz w:val="24"/>
          <w:szCs w:val="24"/>
          <w:lang w:bidi="da-DK"/>
        </w:rPr>
        <w:t xml:space="preserve"> </w:t>
      </w:r>
      <w:proofErr w:type="spellStart"/>
      <w:r w:rsidRPr="00192AB3">
        <w:rPr>
          <w:sz w:val="24"/>
          <w:szCs w:val="24"/>
          <w:lang w:bidi="da-DK"/>
        </w:rPr>
        <w:t>arachidonsyre</w:t>
      </w:r>
      <w:proofErr w:type="spellEnd"/>
      <w:r w:rsidRPr="00192AB3">
        <w:rPr>
          <w:sz w:val="24"/>
          <w:szCs w:val="24"/>
          <w:lang w:bidi="da-DK"/>
        </w:rPr>
        <w:t>.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5763B4" w:rsidRDefault="00D54EB1" w:rsidP="00D54EB1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proofErr w:type="spellStart"/>
      <w:r w:rsidRPr="005763B4">
        <w:rPr>
          <w:sz w:val="24"/>
          <w:szCs w:val="24"/>
          <w:u w:val="single"/>
          <w:lang w:bidi="da-DK"/>
        </w:rPr>
        <w:t>Farmakodynamisk</w:t>
      </w:r>
      <w:proofErr w:type="spellEnd"/>
      <w:r w:rsidRPr="005763B4">
        <w:rPr>
          <w:sz w:val="24"/>
          <w:szCs w:val="24"/>
          <w:u w:val="single"/>
          <w:lang w:bidi="da-DK"/>
        </w:rPr>
        <w:t xml:space="preserve"> virkning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proofErr w:type="spellStart"/>
      <w:r w:rsidRPr="00192AB3">
        <w:rPr>
          <w:sz w:val="24"/>
          <w:szCs w:val="24"/>
          <w:lang w:bidi="da-DK"/>
        </w:rPr>
        <w:t>Topikale</w:t>
      </w:r>
      <w:proofErr w:type="spellEnd"/>
      <w:r w:rsidRPr="00192AB3">
        <w:rPr>
          <w:sz w:val="24"/>
          <w:szCs w:val="24"/>
          <w:lang w:bidi="da-DK"/>
        </w:rPr>
        <w:t xml:space="preserve"> </w:t>
      </w:r>
      <w:proofErr w:type="spellStart"/>
      <w:r w:rsidRPr="00192AB3">
        <w:rPr>
          <w:sz w:val="24"/>
          <w:szCs w:val="24"/>
          <w:lang w:bidi="da-DK"/>
        </w:rPr>
        <w:t>kortikosteroider</w:t>
      </w:r>
      <w:proofErr w:type="spellEnd"/>
      <w:r w:rsidRPr="00192AB3">
        <w:rPr>
          <w:sz w:val="24"/>
          <w:szCs w:val="24"/>
          <w:lang w:bidi="da-DK"/>
        </w:rPr>
        <w:t xml:space="preserve"> har antiinflammatoriske, </w:t>
      </w:r>
      <w:proofErr w:type="spellStart"/>
      <w:r w:rsidRPr="00192AB3">
        <w:rPr>
          <w:sz w:val="24"/>
          <w:szCs w:val="24"/>
          <w:lang w:bidi="da-DK"/>
        </w:rPr>
        <w:t>antipruritiske</w:t>
      </w:r>
      <w:proofErr w:type="spellEnd"/>
      <w:r w:rsidRPr="00192AB3">
        <w:rPr>
          <w:sz w:val="24"/>
          <w:szCs w:val="24"/>
          <w:lang w:bidi="da-DK"/>
        </w:rPr>
        <w:t xml:space="preserve"> og karsammentrækkende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92AB3">
        <w:rPr>
          <w:sz w:val="24"/>
          <w:szCs w:val="24"/>
          <w:lang w:bidi="da-DK"/>
        </w:rPr>
        <w:t>egenskaber.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793C5B" w:rsidRDefault="00D54EB1" w:rsidP="00D54EB1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 w:rsidRPr="00793C5B">
        <w:rPr>
          <w:sz w:val="24"/>
          <w:szCs w:val="24"/>
          <w:u w:val="single"/>
          <w:lang w:bidi="da-DK"/>
        </w:rPr>
        <w:t>Absorption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proofErr w:type="spellStart"/>
      <w:r w:rsidRPr="00192AB3">
        <w:rPr>
          <w:sz w:val="24"/>
          <w:szCs w:val="24"/>
          <w:lang w:bidi="da-DK"/>
        </w:rPr>
        <w:t>Topikale</w:t>
      </w:r>
      <w:proofErr w:type="spellEnd"/>
      <w:r w:rsidRPr="00192AB3">
        <w:rPr>
          <w:sz w:val="24"/>
          <w:szCs w:val="24"/>
          <w:lang w:bidi="da-DK"/>
        </w:rPr>
        <w:t xml:space="preserve"> </w:t>
      </w:r>
      <w:proofErr w:type="spellStart"/>
      <w:r w:rsidRPr="00192AB3">
        <w:rPr>
          <w:sz w:val="24"/>
          <w:szCs w:val="24"/>
          <w:lang w:bidi="da-DK"/>
        </w:rPr>
        <w:t>kortikosteroider</w:t>
      </w:r>
      <w:proofErr w:type="spellEnd"/>
      <w:r w:rsidRPr="00192AB3">
        <w:rPr>
          <w:sz w:val="24"/>
          <w:szCs w:val="24"/>
          <w:lang w:bidi="da-DK"/>
        </w:rPr>
        <w:t xml:space="preserve"> kan absorberes systemisk fra intakt rask hud. Omfanget af </w:t>
      </w:r>
      <w:proofErr w:type="spellStart"/>
      <w:r w:rsidRPr="00192AB3">
        <w:rPr>
          <w:sz w:val="24"/>
          <w:szCs w:val="24"/>
          <w:lang w:bidi="da-DK"/>
        </w:rPr>
        <w:t>kutan</w:t>
      </w:r>
      <w:proofErr w:type="spellEnd"/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92AB3">
        <w:rPr>
          <w:sz w:val="24"/>
          <w:szCs w:val="24"/>
          <w:lang w:bidi="da-DK"/>
        </w:rPr>
        <w:t xml:space="preserve">absorption af </w:t>
      </w:r>
      <w:proofErr w:type="spellStart"/>
      <w:r w:rsidRPr="00192AB3">
        <w:rPr>
          <w:sz w:val="24"/>
          <w:szCs w:val="24"/>
          <w:lang w:bidi="da-DK"/>
        </w:rPr>
        <w:t>topikale</w:t>
      </w:r>
      <w:proofErr w:type="spellEnd"/>
      <w:r w:rsidRPr="00192AB3">
        <w:rPr>
          <w:sz w:val="24"/>
          <w:szCs w:val="24"/>
          <w:lang w:bidi="da-DK"/>
        </w:rPr>
        <w:t xml:space="preserve"> </w:t>
      </w:r>
      <w:proofErr w:type="spellStart"/>
      <w:r w:rsidRPr="00192AB3">
        <w:rPr>
          <w:sz w:val="24"/>
          <w:szCs w:val="24"/>
          <w:lang w:bidi="da-DK"/>
        </w:rPr>
        <w:t>kortikosteroider</w:t>
      </w:r>
      <w:proofErr w:type="spellEnd"/>
      <w:r w:rsidRPr="00192AB3">
        <w:rPr>
          <w:sz w:val="24"/>
          <w:szCs w:val="24"/>
          <w:lang w:bidi="da-DK"/>
        </w:rPr>
        <w:t xml:space="preserve"> bestemmes af mange faktorer, herunder formuleringen og</w:t>
      </w:r>
      <w:r>
        <w:rPr>
          <w:sz w:val="24"/>
          <w:szCs w:val="24"/>
          <w:lang w:bidi="da-DK"/>
        </w:rPr>
        <w:t xml:space="preserve"> </w:t>
      </w:r>
      <w:r w:rsidRPr="00192AB3">
        <w:rPr>
          <w:sz w:val="24"/>
          <w:szCs w:val="24"/>
          <w:lang w:bidi="da-DK"/>
        </w:rPr>
        <w:t xml:space="preserve">hvorvidt den </w:t>
      </w:r>
      <w:proofErr w:type="spellStart"/>
      <w:r w:rsidRPr="00192AB3">
        <w:rPr>
          <w:sz w:val="24"/>
          <w:szCs w:val="24"/>
          <w:lang w:bidi="da-DK"/>
        </w:rPr>
        <w:t>epidermale</w:t>
      </w:r>
      <w:proofErr w:type="spellEnd"/>
      <w:r w:rsidRPr="00192AB3">
        <w:rPr>
          <w:sz w:val="24"/>
          <w:szCs w:val="24"/>
          <w:lang w:bidi="da-DK"/>
        </w:rPr>
        <w:t xml:space="preserve"> barriere er intakt. </w:t>
      </w:r>
      <w:proofErr w:type="spellStart"/>
      <w:r w:rsidRPr="00192AB3">
        <w:rPr>
          <w:sz w:val="24"/>
          <w:szCs w:val="24"/>
          <w:lang w:bidi="da-DK"/>
        </w:rPr>
        <w:t>Okklusion</w:t>
      </w:r>
      <w:proofErr w:type="spellEnd"/>
      <w:r w:rsidRPr="00192AB3">
        <w:rPr>
          <w:sz w:val="24"/>
          <w:szCs w:val="24"/>
          <w:lang w:bidi="da-DK"/>
        </w:rPr>
        <w:t>, inflammation og/eller andre</w:t>
      </w:r>
      <w:r>
        <w:rPr>
          <w:sz w:val="24"/>
          <w:szCs w:val="24"/>
          <w:lang w:bidi="da-DK"/>
        </w:rPr>
        <w:t xml:space="preserve"> </w:t>
      </w:r>
      <w:r w:rsidRPr="00192AB3">
        <w:rPr>
          <w:sz w:val="24"/>
          <w:szCs w:val="24"/>
          <w:lang w:bidi="da-DK"/>
        </w:rPr>
        <w:t xml:space="preserve">sygdomsprocesser i huden kan desuden øge den </w:t>
      </w:r>
      <w:proofErr w:type="spellStart"/>
      <w:r w:rsidRPr="00192AB3">
        <w:rPr>
          <w:sz w:val="24"/>
          <w:szCs w:val="24"/>
          <w:lang w:bidi="da-DK"/>
        </w:rPr>
        <w:t>kutane</w:t>
      </w:r>
      <w:proofErr w:type="spellEnd"/>
      <w:r w:rsidRPr="00192AB3">
        <w:rPr>
          <w:sz w:val="24"/>
          <w:szCs w:val="24"/>
          <w:lang w:bidi="da-DK"/>
        </w:rPr>
        <w:t xml:space="preserve"> absorption.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793C5B" w:rsidRDefault="00D54EB1" w:rsidP="00D54EB1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 w:rsidRPr="00793C5B">
        <w:rPr>
          <w:sz w:val="24"/>
          <w:szCs w:val="24"/>
          <w:u w:val="single"/>
          <w:lang w:bidi="da-DK"/>
        </w:rPr>
        <w:t>Fordeling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92AB3">
        <w:rPr>
          <w:sz w:val="24"/>
          <w:szCs w:val="24"/>
          <w:lang w:bidi="da-DK"/>
        </w:rPr>
        <w:t xml:space="preserve">Det er nødvendigt at benytte </w:t>
      </w:r>
      <w:proofErr w:type="spellStart"/>
      <w:r w:rsidRPr="00192AB3">
        <w:rPr>
          <w:sz w:val="24"/>
          <w:szCs w:val="24"/>
          <w:lang w:bidi="da-DK"/>
        </w:rPr>
        <w:t>farmakodynamiske</w:t>
      </w:r>
      <w:proofErr w:type="spellEnd"/>
      <w:r w:rsidRPr="00192AB3">
        <w:rPr>
          <w:sz w:val="24"/>
          <w:szCs w:val="24"/>
          <w:lang w:bidi="da-DK"/>
        </w:rPr>
        <w:t xml:space="preserve"> endepunkter til bestemmelse af den systemiske</w:t>
      </w:r>
      <w:r>
        <w:rPr>
          <w:sz w:val="24"/>
          <w:szCs w:val="24"/>
          <w:lang w:bidi="da-DK"/>
        </w:rPr>
        <w:t xml:space="preserve"> </w:t>
      </w:r>
      <w:r w:rsidRPr="00192AB3">
        <w:rPr>
          <w:sz w:val="24"/>
          <w:szCs w:val="24"/>
          <w:lang w:bidi="da-DK"/>
        </w:rPr>
        <w:t xml:space="preserve">eksponering af </w:t>
      </w:r>
      <w:proofErr w:type="spellStart"/>
      <w:r w:rsidRPr="00192AB3">
        <w:rPr>
          <w:sz w:val="24"/>
          <w:szCs w:val="24"/>
          <w:lang w:bidi="da-DK"/>
        </w:rPr>
        <w:t>topikale</w:t>
      </w:r>
      <w:proofErr w:type="spellEnd"/>
      <w:r w:rsidRPr="00192AB3">
        <w:rPr>
          <w:sz w:val="24"/>
          <w:szCs w:val="24"/>
          <w:lang w:bidi="da-DK"/>
        </w:rPr>
        <w:t xml:space="preserve"> </w:t>
      </w:r>
      <w:proofErr w:type="spellStart"/>
      <w:r w:rsidRPr="00192AB3">
        <w:rPr>
          <w:sz w:val="24"/>
          <w:szCs w:val="24"/>
          <w:lang w:bidi="da-DK"/>
        </w:rPr>
        <w:t>kortikosteroider</w:t>
      </w:r>
      <w:proofErr w:type="spellEnd"/>
      <w:r w:rsidRPr="00192AB3">
        <w:rPr>
          <w:sz w:val="24"/>
          <w:szCs w:val="24"/>
          <w:lang w:bidi="da-DK"/>
        </w:rPr>
        <w:t>, da de cirkulerende niveauer ligger langt under</w:t>
      </w:r>
      <w:r>
        <w:rPr>
          <w:sz w:val="24"/>
          <w:szCs w:val="24"/>
          <w:lang w:bidi="da-DK"/>
        </w:rPr>
        <w:t xml:space="preserve"> </w:t>
      </w:r>
      <w:r w:rsidRPr="00192AB3">
        <w:rPr>
          <w:sz w:val="24"/>
          <w:szCs w:val="24"/>
          <w:lang w:bidi="da-DK"/>
        </w:rPr>
        <w:t xml:space="preserve">detektionsgrænsen. 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793C5B" w:rsidRDefault="00D54EB1" w:rsidP="00D54EB1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 w:rsidRPr="00793C5B">
        <w:rPr>
          <w:sz w:val="24"/>
          <w:szCs w:val="24"/>
          <w:u w:val="single"/>
          <w:lang w:bidi="da-DK"/>
        </w:rPr>
        <w:t>Biotransformation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92AB3">
        <w:rPr>
          <w:sz w:val="24"/>
          <w:szCs w:val="24"/>
          <w:lang w:bidi="da-DK"/>
        </w:rPr>
        <w:t xml:space="preserve">Når </w:t>
      </w:r>
      <w:proofErr w:type="spellStart"/>
      <w:r w:rsidRPr="00192AB3">
        <w:rPr>
          <w:sz w:val="24"/>
          <w:szCs w:val="24"/>
          <w:lang w:bidi="da-DK"/>
        </w:rPr>
        <w:t>topikale</w:t>
      </w:r>
      <w:proofErr w:type="spellEnd"/>
      <w:r w:rsidRPr="00192AB3">
        <w:rPr>
          <w:sz w:val="24"/>
          <w:szCs w:val="24"/>
          <w:lang w:bidi="da-DK"/>
        </w:rPr>
        <w:t xml:space="preserve"> </w:t>
      </w:r>
      <w:proofErr w:type="spellStart"/>
      <w:r w:rsidRPr="00192AB3">
        <w:rPr>
          <w:sz w:val="24"/>
          <w:szCs w:val="24"/>
          <w:lang w:bidi="da-DK"/>
        </w:rPr>
        <w:t>kortikosteroider</w:t>
      </w:r>
      <w:proofErr w:type="spellEnd"/>
      <w:r w:rsidRPr="00192AB3">
        <w:rPr>
          <w:sz w:val="24"/>
          <w:szCs w:val="24"/>
          <w:lang w:bidi="da-DK"/>
        </w:rPr>
        <w:t xml:space="preserve"> er absorberet gennem huden, omsættes de ad </w:t>
      </w:r>
      <w:proofErr w:type="spellStart"/>
      <w:r w:rsidRPr="00192AB3">
        <w:rPr>
          <w:sz w:val="24"/>
          <w:szCs w:val="24"/>
          <w:lang w:bidi="da-DK"/>
        </w:rPr>
        <w:t>farmakokinetiske</w:t>
      </w:r>
      <w:proofErr w:type="spellEnd"/>
      <w:r w:rsidRPr="00192AB3">
        <w:rPr>
          <w:sz w:val="24"/>
          <w:szCs w:val="24"/>
          <w:lang w:bidi="da-DK"/>
        </w:rPr>
        <w:t xml:space="preserve"> veje,</w:t>
      </w:r>
      <w:r>
        <w:rPr>
          <w:sz w:val="24"/>
          <w:szCs w:val="24"/>
          <w:lang w:bidi="da-DK"/>
        </w:rPr>
        <w:t xml:space="preserve"> </w:t>
      </w:r>
      <w:r w:rsidRPr="00192AB3">
        <w:rPr>
          <w:sz w:val="24"/>
          <w:szCs w:val="24"/>
          <w:lang w:bidi="da-DK"/>
        </w:rPr>
        <w:t xml:space="preserve">der kan sammenlignes med systemisk administrerede </w:t>
      </w:r>
      <w:proofErr w:type="spellStart"/>
      <w:r w:rsidRPr="00192AB3">
        <w:rPr>
          <w:sz w:val="24"/>
          <w:szCs w:val="24"/>
          <w:lang w:bidi="da-DK"/>
        </w:rPr>
        <w:t>kortikosteroider</w:t>
      </w:r>
      <w:proofErr w:type="spellEnd"/>
      <w:r w:rsidRPr="00192AB3">
        <w:rPr>
          <w:sz w:val="24"/>
          <w:szCs w:val="24"/>
          <w:lang w:bidi="da-DK"/>
        </w:rPr>
        <w:t>. Metabolisme sker primært i</w:t>
      </w:r>
      <w:r>
        <w:rPr>
          <w:sz w:val="24"/>
          <w:szCs w:val="24"/>
          <w:lang w:bidi="da-DK"/>
        </w:rPr>
        <w:t xml:space="preserve"> </w:t>
      </w:r>
      <w:r w:rsidRPr="00192AB3">
        <w:rPr>
          <w:sz w:val="24"/>
          <w:szCs w:val="24"/>
          <w:lang w:bidi="da-DK"/>
        </w:rPr>
        <w:t>leveren.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793C5B" w:rsidRDefault="00D54EB1" w:rsidP="00D54EB1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 w:rsidRPr="00793C5B">
        <w:rPr>
          <w:sz w:val="24"/>
          <w:szCs w:val="24"/>
          <w:u w:val="single"/>
          <w:lang w:bidi="da-DK"/>
        </w:rPr>
        <w:t>Elimination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proofErr w:type="spellStart"/>
      <w:r w:rsidRPr="00192AB3">
        <w:rPr>
          <w:sz w:val="24"/>
          <w:szCs w:val="24"/>
          <w:lang w:bidi="da-DK"/>
        </w:rPr>
        <w:t>Topikale</w:t>
      </w:r>
      <w:proofErr w:type="spellEnd"/>
      <w:r w:rsidRPr="00192AB3">
        <w:rPr>
          <w:sz w:val="24"/>
          <w:szCs w:val="24"/>
          <w:lang w:bidi="da-DK"/>
        </w:rPr>
        <w:t xml:space="preserve"> </w:t>
      </w:r>
      <w:proofErr w:type="spellStart"/>
      <w:r w:rsidRPr="00192AB3">
        <w:rPr>
          <w:sz w:val="24"/>
          <w:szCs w:val="24"/>
          <w:lang w:bidi="da-DK"/>
        </w:rPr>
        <w:t>kortikosteroider</w:t>
      </w:r>
      <w:proofErr w:type="spellEnd"/>
      <w:r w:rsidRPr="00192AB3">
        <w:rPr>
          <w:sz w:val="24"/>
          <w:szCs w:val="24"/>
          <w:lang w:bidi="da-DK"/>
        </w:rPr>
        <w:t xml:space="preserve"> udskilles via nyrerne. Derudover udskilles nogle </w:t>
      </w:r>
      <w:proofErr w:type="spellStart"/>
      <w:r w:rsidRPr="00192AB3">
        <w:rPr>
          <w:sz w:val="24"/>
          <w:szCs w:val="24"/>
          <w:lang w:bidi="da-DK"/>
        </w:rPr>
        <w:t>kortikosteroider</w:t>
      </w:r>
      <w:proofErr w:type="spellEnd"/>
      <w:r w:rsidRPr="00192AB3">
        <w:rPr>
          <w:sz w:val="24"/>
          <w:szCs w:val="24"/>
          <w:lang w:bidi="da-DK"/>
        </w:rPr>
        <w:t xml:space="preserve"> og deres</w:t>
      </w:r>
      <w:r>
        <w:rPr>
          <w:sz w:val="24"/>
          <w:szCs w:val="24"/>
          <w:lang w:bidi="da-DK"/>
        </w:rPr>
        <w:t xml:space="preserve"> </w:t>
      </w:r>
      <w:r w:rsidRPr="00192AB3">
        <w:rPr>
          <w:sz w:val="24"/>
          <w:szCs w:val="24"/>
          <w:lang w:bidi="da-DK"/>
        </w:rPr>
        <w:t>metabolitter i galden.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D54EB1" w:rsidRDefault="00D54EB1" w:rsidP="00D54EB1">
      <w:pPr>
        <w:tabs>
          <w:tab w:val="left" w:pos="851"/>
        </w:tabs>
        <w:ind w:left="851"/>
        <w:rPr>
          <w:b/>
          <w:sz w:val="24"/>
          <w:szCs w:val="24"/>
          <w:lang w:bidi="da-DK"/>
        </w:rPr>
      </w:pPr>
    </w:p>
    <w:p w:rsidR="00D54EB1" w:rsidRPr="002A090C" w:rsidRDefault="00D54EB1" w:rsidP="00D54EB1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proofErr w:type="spellStart"/>
      <w:r w:rsidRPr="002A090C">
        <w:rPr>
          <w:sz w:val="24"/>
          <w:szCs w:val="24"/>
          <w:u w:val="single"/>
          <w:lang w:bidi="da-DK"/>
        </w:rPr>
        <w:t>Carcinogenese</w:t>
      </w:r>
      <w:proofErr w:type="spellEnd"/>
      <w:r w:rsidRPr="002A090C">
        <w:rPr>
          <w:sz w:val="24"/>
          <w:szCs w:val="24"/>
          <w:u w:val="single"/>
          <w:lang w:bidi="da-DK"/>
        </w:rPr>
        <w:t>/</w:t>
      </w:r>
      <w:proofErr w:type="spellStart"/>
      <w:r w:rsidRPr="002A090C">
        <w:rPr>
          <w:sz w:val="24"/>
          <w:szCs w:val="24"/>
          <w:u w:val="single"/>
          <w:lang w:bidi="da-DK"/>
        </w:rPr>
        <w:t>mutagenese</w:t>
      </w:r>
      <w:proofErr w:type="spellEnd"/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92AB3">
        <w:rPr>
          <w:sz w:val="24"/>
          <w:szCs w:val="24"/>
          <w:lang w:bidi="da-DK"/>
        </w:rPr>
        <w:t xml:space="preserve">Langtidsstudier i dyr for at evaluere det </w:t>
      </w:r>
      <w:proofErr w:type="spellStart"/>
      <w:r w:rsidRPr="00192AB3">
        <w:rPr>
          <w:sz w:val="24"/>
          <w:szCs w:val="24"/>
          <w:lang w:bidi="da-DK"/>
        </w:rPr>
        <w:t>carcinogene</w:t>
      </w:r>
      <w:proofErr w:type="spellEnd"/>
      <w:r w:rsidRPr="00192AB3">
        <w:rPr>
          <w:sz w:val="24"/>
          <w:szCs w:val="24"/>
          <w:lang w:bidi="da-DK"/>
        </w:rPr>
        <w:t xml:space="preserve"> potentiale af </w:t>
      </w:r>
      <w:proofErr w:type="spellStart"/>
      <w:r w:rsidRPr="00192AB3">
        <w:rPr>
          <w:sz w:val="24"/>
          <w:szCs w:val="24"/>
          <w:lang w:bidi="da-DK"/>
        </w:rPr>
        <w:t>betamethasonvalerat</w:t>
      </w:r>
      <w:proofErr w:type="spellEnd"/>
      <w:r w:rsidRPr="00192AB3">
        <w:rPr>
          <w:sz w:val="24"/>
          <w:szCs w:val="24"/>
          <w:lang w:bidi="da-DK"/>
        </w:rPr>
        <w:t xml:space="preserve"> er ikke</w:t>
      </w:r>
      <w:r>
        <w:rPr>
          <w:sz w:val="24"/>
          <w:szCs w:val="24"/>
          <w:lang w:bidi="da-DK"/>
        </w:rPr>
        <w:t xml:space="preserve"> </w:t>
      </w:r>
      <w:r w:rsidRPr="00192AB3">
        <w:rPr>
          <w:sz w:val="24"/>
          <w:szCs w:val="24"/>
          <w:lang w:bidi="da-DK"/>
        </w:rPr>
        <w:t>foretaget.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2A090C" w:rsidRDefault="00D54EB1" w:rsidP="00D54EB1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 w:rsidRPr="002A090C">
        <w:rPr>
          <w:sz w:val="24"/>
          <w:szCs w:val="24"/>
          <w:u w:val="single"/>
          <w:lang w:bidi="da-DK"/>
        </w:rPr>
        <w:t>Genotoksicitet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92AB3">
        <w:rPr>
          <w:sz w:val="24"/>
          <w:szCs w:val="24"/>
          <w:lang w:bidi="da-DK"/>
        </w:rPr>
        <w:t xml:space="preserve">Der er ikke udført specifikke studier for at undersøge </w:t>
      </w:r>
      <w:proofErr w:type="spellStart"/>
      <w:r w:rsidRPr="00192AB3">
        <w:rPr>
          <w:sz w:val="24"/>
          <w:szCs w:val="24"/>
          <w:lang w:bidi="da-DK"/>
        </w:rPr>
        <w:t>betamethasonvalerats</w:t>
      </w:r>
      <w:proofErr w:type="spellEnd"/>
      <w:r w:rsidRPr="00192AB3">
        <w:rPr>
          <w:sz w:val="24"/>
          <w:szCs w:val="24"/>
          <w:lang w:bidi="da-DK"/>
        </w:rPr>
        <w:t xml:space="preserve"> genotoksiske potentiale.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2A090C" w:rsidRDefault="00D54EB1" w:rsidP="00D54EB1">
      <w:pPr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 w:rsidRPr="002A090C">
        <w:rPr>
          <w:sz w:val="24"/>
          <w:szCs w:val="24"/>
          <w:u w:val="single"/>
          <w:lang w:bidi="da-DK"/>
        </w:rPr>
        <w:t>Fertilitet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proofErr w:type="spellStart"/>
      <w:r w:rsidRPr="00192AB3">
        <w:rPr>
          <w:sz w:val="24"/>
          <w:szCs w:val="24"/>
          <w:lang w:bidi="da-DK"/>
        </w:rPr>
        <w:t>Betamethasonvalerats</w:t>
      </w:r>
      <w:proofErr w:type="spellEnd"/>
      <w:r w:rsidRPr="00192AB3">
        <w:rPr>
          <w:sz w:val="24"/>
          <w:szCs w:val="24"/>
          <w:lang w:bidi="da-DK"/>
        </w:rPr>
        <w:t xml:space="preserve"> effekt på fertiliteten er ikke undersøgt hos dyr.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2A090C" w:rsidRDefault="00D54EB1" w:rsidP="001F1C99">
      <w:pPr>
        <w:keepNext/>
        <w:tabs>
          <w:tab w:val="left" w:pos="851"/>
        </w:tabs>
        <w:ind w:left="851"/>
        <w:rPr>
          <w:sz w:val="24"/>
          <w:szCs w:val="24"/>
          <w:u w:val="single"/>
          <w:lang w:bidi="da-DK"/>
        </w:rPr>
      </w:pPr>
      <w:r w:rsidRPr="002A090C">
        <w:rPr>
          <w:sz w:val="24"/>
          <w:szCs w:val="24"/>
          <w:u w:val="single"/>
          <w:lang w:bidi="da-DK"/>
        </w:rPr>
        <w:lastRenderedPageBreak/>
        <w:t>Graviditet</w:t>
      </w:r>
    </w:p>
    <w:p w:rsidR="00D54EB1" w:rsidRPr="00192AB3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192AB3">
        <w:rPr>
          <w:sz w:val="24"/>
          <w:szCs w:val="24"/>
          <w:lang w:bidi="da-DK"/>
        </w:rPr>
        <w:t xml:space="preserve">Subkutan administration af </w:t>
      </w:r>
      <w:proofErr w:type="spellStart"/>
      <w:r w:rsidRPr="00192AB3">
        <w:rPr>
          <w:sz w:val="24"/>
          <w:szCs w:val="24"/>
          <w:lang w:bidi="da-DK"/>
        </w:rPr>
        <w:t>betamethasonvalerat</w:t>
      </w:r>
      <w:proofErr w:type="spellEnd"/>
      <w:r w:rsidRPr="00192AB3">
        <w:rPr>
          <w:sz w:val="24"/>
          <w:szCs w:val="24"/>
          <w:lang w:bidi="da-DK"/>
        </w:rPr>
        <w:t xml:space="preserve"> til mus eller rotter i doser ≥ 0,1 mg/dag eller kaniner</w:t>
      </w:r>
      <w:r>
        <w:rPr>
          <w:sz w:val="24"/>
          <w:szCs w:val="24"/>
          <w:lang w:bidi="da-DK"/>
        </w:rPr>
        <w:t xml:space="preserve"> </w:t>
      </w:r>
      <w:r w:rsidRPr="00192AB3">
        <w:rPr>
          <w:sz w:val="24"/>
          <w:szCs w:val="24"/>
          <w:lang w:bidi="da-DK"/>
        </w:rPr>
        <w:t xml:space="preserve">i doser ≥ 12 mikrogram/kg/dag under drægtighed resulterede i </w:t>
      </w:r>
      <w:proofErr w:type="spellStart"/>
      <w:r w:rsidRPr="00192AB3">
        <w:rPr>
          <w:sz w:val="24"/>
          <w:szCs w:val="24"/>
          <w:lang w:bidi="da-DK"/>
        </w:rPr>
        <w:t>abnormaliteter</w:t>
      </w:r>
      <w:proofErr w:type="spellEnd"/>
      <w:r w:rsidRPr="00192AB3">
        <w:rPr>
          <w:sz w:val="24"/>
          <w:szCs w:val="24"/>
          <w:lang w:bidi="da-DK"/>
        </w:rPr>
        <w:t xml:space="preserve"> hos fostret, herunder</w:t>
      </w:r>
      <w:r>
        <w:rPr>
          <w:sz w:val="24"/>
          <w:szCs w:val="24"/>
          <w:lang w:bidi="da-DK"/>
        </w:rPr>
        <w:t xml:space="preserve"> </w:t>
      </w:r>
      <w:proofErr w:type="spellStart"/>
      <w:r w:rsidRPr="00192AB3">
        <w:rPr>
          <w:sz w:val="24"/>
          <w:szCs w:val="24"/>
          <w:lang w:bidi="da-DK"/>
        </w:rPr>
        <w:t>læbe-ganespalte</w:t>
      </w:r>
      <w:proofErr w:type="spellEnd"/>
      <w:r w:rsidRPr="00192AB3">
        <w:rPr>
          <w:sz w:val="24"/>
          <w:szCs w:val="24"/>
          <w:lang w:bidi="da-DK"/>
        </w:rPr>
        <w:t>.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D54EB1" w:rsidRPr="00BA09F1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D54EB1" w:rsidRPr="009A233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proofErr w:type="spellStart"/>
      <w:r w:rsidRPr="009A233C">
        <w:rPr>
          <w:sz w:val="24"/>
          <w:szCs w:val="24"/>
          <w:lang w:bidi="da-DK"/>
        </w:rPr>
        <w:t>Carbomer</w:t>
      </w:r>
      <w:proofErr w:type="spellEnd"/>
    </w:p>
    <w:p w:rsidR="00D54EB1" w:rsidRPr="009A233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proofErr w:type="spellStart"/>
      <w:r w:rsidRPr="009A233C">
        <w:rPr>
          <w:sz w:val="24"/>
          <w:szCs w:val="24"/>
          <w:lang w:bidi="da-DK"/>
        </w:rPr>
        <w:t>Isopropylalkohol</w:t>
      </w:r>
      <w:proofErr w:type="spellEnd"/>
    </w:p>
    <w:p w:rsidR="00D54EB1" w:rsidRPr="009A233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9A233C">
        <w:rPr>
          <w:sz w:val="24"/>
          <w:szCs w:val="24"/>
          <w:lang w:bidi="da-DK"/>
        </w:rPr>
        <w:t>Natriumhydroxid (til justering af pH)</w:t>
      </w:r>
    </w:p>
    <w:p w:rsidR="00D54EB1" w:rsidRPr="009A233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9A233C">
        <w:rPr>
          <w:sz w:val="24"/>
          <w:szCs w:val="24"/>
          <w:lang w:bidi="da-DK"/>
        </w:rPr>
        <w:t>Vand, renset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D54EB1" w:rsidRPr="009A233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9A233C">
        <w:rPr>
          <w:sz w:val="24"/>
          <w:szCs w:val="24"/>
          <w:lang w:bidi="da-DK"/>
        </w:rPr>
        <w:t>Ikke relevant.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D54EB1" w:rsidRPr="009A233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9A233C">
        <w:rPr>
          <w:sz w:val="24"/>
          <w:szCs w:val="24"/>
          <w:lang w:bidi="da-DK"/>
        </w:rPr>
        <w:t>2 år</w:t>
      </w:r>
      <w:r>
        <w:rPr>
          <w:sz w:val="24"/>
          <w:szCs w:val="24"/>
          <w:lang w:bidi="da-DK"/>
        </w:rPr>
        <w:t>.</w:t>
      </w:r>
    </w:p>
    <w:p w:rsidR="00D54EB1" w:rsidRPr="009A233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9A233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9A233C">
        <w:rPr>
          <w:sz w:val="24"/>
          <w:szCs w:val="24"/>
          <w:lang w:bidi="da-DK"/>
        </w:rPr>
        <w:t xml:space="preserve">Efter </w:t>
      </w:r>
      <w:r>
        <w:rPr>
          <w:sz w:val="24"/>
          <w:szCs w:val="24"/>
          <w:lang w:bidi="da-DK"/>
        </w:rPr>
        <w:t xml:space="preserve">første </w:t>
      </w:r>
      <w:r w:rsidRPr="009A233C">
        <w:rPr>
          <w:sz w:val="24"/>
          <w:szCs w:val="24"/>
          <w:lang w:bidi="da-DK"/>
        </w:rPr>
        <w:t>åbning: 1 måned</w:t>
      </w:r>
      <w:r>
        <w:rPr>
          <w:sz w:val="24"/>
          <w:szCs w:val="24"/>
          <w:lang w:bidi="da-DK"/>
        </w:rPr>
        <w:t>.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D54EB1" w:rsidRPr="009A233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9A233C">
        <w:rPr>
          <w:sz w:val="24"/>
          <w:szCs w:val="24"/>
          <w:lang w:bidi="da-DK"/>
        </w:rPr>
        <w:t>Må ikke opbevares ved temperaturer over 30 ºC.</w:t>
      </w:r>
    </w:p>
    <w:p w:rsidR="00D54EB1" w:rsidRPr="009A233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9A233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9A233C">
        <w:rPr>
          <w:sz w:val="24"/>
          <w:szCs w:val="24"/>
          <w:lang w:bidi="da-DK"/>
        </w:rPr>
        <w:t>Opbevaringsforhold efter anbrud af lægemidlet, se pkt. 6.3.</w:t>
      </w:r>
    </w:p>
    <w:p w:rsidR="00D54EB1" w:rsidRPr="009A233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9A233C">
        <w:rPr>
          <w:sz w:val="24"/>
          <w:szCs w:val="24"/>
          <w:lang w:bidi="da-DK"/>
        </w:rPr>
        <w:t xml:space="preserve">Hold beholderen tæt </w:t>
      </w:r>
      <w:r>
        <w:rPr>
          <w:sz w:val="24"/>
          <w:szCs w:val="24"/>
          <w:lang w:bidi="da-DK"/>
        </w:rPr>
        <w:t>lukket, når den ikke er i brug.</w:t>
      </w:r>
    </w:p>
    <w:p w:rsidR="00D54EB1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>
        <w:rPr>
          <w:sz w:val="24"/>
          <w:szCs w:val="24"/>
          <w:lang w:bidi="da-DK"/>
        </w:rPr>
        <w:t xml:space="preserve">Indholdet er brandfarligt. </w:t>
      </w:r>
      <w:r w:rsidRPr="009A233C">
        <w:rPr>
          <w:sz w:val="24"/>
          <w:szCs w:val="24"/>
          <w:lang w:bidi="da-DK"/>
        </w:rPr>
        <w:t>Hold beholderen væ</w:t>
      </w:r>
      <w:r>
        <w:rPr>
          <w:sz w:val="24"/>
          <w:szCs w:val="24"/>
          <w:lang w:bidi="da-DK"/>
        </w:rPr>
        <w:t>k fra ild, flammer eller varme.</w:t>
      </w:r>
    </w:p>
    <w:p w:rsidR="00D54EB1" w:rsidRPr="009A233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9A233C">
        <w:rPr>
          <w:sz w:val="24"/>
          <w:szCs w:val="24"/>
          <w:lang w:bidi="da-DK"/>
        </w:rPr>
        <w:t xml:space="preserve">Lad ikke </w:t>
      </w:r>
      <w:proofErr w:type="spellStart"/>
      <w:r w:rsidRPr="009A233C">
        <w:rPr>
          <w:sz w:val="24"/>
          <w:szCs w:val="24"/>
          <w:lang w:bidi="da-DK"/>
        </w:rPr>
        <w:t>Bekuval</w:t>
      </w:r>
      <w:proofErr w:type="spellEnd"/>
      <w:r w:rsidRPr="009A233C">
        <w:rPr>
          <w:sz w:val="24"/>
          <w:szCs w:val="24"/>
          <w:lang w:bidi="da-DK"/>
        </w:rPr>
        <w:t xml:space="preserve"> </w:t>
      </w:r>
      <w:proofErr w:type="spellStart"/>
      <w:r w:rsidRPr="009A233C">
        <w:rPr>
          <w:sz w:val="24"/>
          <w:szCs w:val="24"/>
          <w:lang w:bidi="da-DK"/>
        </w:rPr>
        <w:t>kutanopløsning</w:t>
      </w:r>
      <w:proofErr w:type="spellEnd"/>
      <w:r w:rsidRPr="009A233C">
        <w:rPr>
          <w:sz w:val="24"/>
          <w:szCs w:val="24"/>
          <w:lang w:bidi="da-DK"/>
        </w:rPr>
        <w:t xml:space="preserve"> stå i direkte sollys.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D54EB1" w:rsidRPr="009A233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proofErr w:type="spellStart"/>
      <w:r>
        <w:rPr>
          <w:sz w:val="24"/>
          <w:szCs w:val="24"/>
          <w:lang w:bidi="da-DK"/>
        </w:rPr>
        <w:t>P</w:t>
      </w:r>
      <w:r w:rsidRPr="009A233C">
        <w:rPr>
          <w:sz w:val="24"/>
          <w:szCs w:val="24"/>
          <w:lang w:bidi="da-DK"/>
        </w:rPr>
        <w:t>olyethylenflaske</w:t>
      </w:r>
      <w:proofErr w:type="spellEnd"/>
      <w:r w:rsidRPr="009A233C">
        <w:rPr>
          <w:sz w:val="24"/>
          <w:szCs w:val="24"/>
          <w:lang w:bidi="da-DK"/>
        </w:rPr>
        <w:t xml:space="preserve"> med </w:t>
      </w:r>
      <w:proofErr w:type="spellStart"/>
      <w:r w:rsidRPr="009A233C">
        <w:rPr>
          <w:sz w:val="24"/>
          <w:szCs w:val="24"/>
          <w:lang w:bidi="da-DK"/>
        </w:rPr>
        <w:t>polyethylentud</w:t>
      </w:r>
      <w:proofErr w:type="spellEnd"/>
      <w:r w:rsidRPr="009A233C">
        <w:rPr>
          <w:sz w:val="24"/>
          <w:szCs w:val="24"/>
          <w:lang w:bidi="da-DK"/>
        </w:rPr>
        <w:t xml:space="preserve"> og </w:t>
      </w:r>
      <w:proofErr w:type="spellStart"/>
      <w:r w:rsidRPr="009A233C">
        <w:rPr>
          <w:sz w:val="24"/>
          <w:szCs w:val="24"/>
          <w:lang w:bidi="da-DK"/>
        </w:rPr>
        <w:t>polyethylen</w:t>
      </w:r>
      <w:proofErr w:type="spellEnd"/>
      <w:r w:rsidRPr="009A233C">
        <w:rPr>
          <w:sz w:val="24"/>
          <w:szCs w:val="24"/>
          <w:lang w:bidi="da-DK"/>
        </w:rPr>
        <w:t>- eller</w:t>
      </w:r>
      <w:r>
        <w:rPr>
          <w:sz w:val="24"/>
          <w:szCs w:val="24"/>
          <w:lang w:bidi="da-DK"/>
        </w:rPr>
        <w:t xml:space="preserve"> </w:t>
      </w:r>
      <w:r w:rsidRPr="009A233C">
        <w:rPr>
          <w:sz w:val="24"/>
          <w:szCs w:val="24"/>
          <w:lang w:bidi="da-DK"/>
        </w:rPr>
        <w:t>polystyrenlåg.</w:t>
      </w:r>
    </w:p>
    <w:p w:rsidR="00D54EB1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D54EB1" w:rsidRPr="009A233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>
        <w:rPr>
          <w:sz w:val="24"/>
          <w:szCs w:val="24"/>
          <w:lang w:bidi="da-DK"/>
        </w:rPr>
        <w:t>P</w:t>
      </w:r>
      <w:r w:rsidRPr="009A233C">
        <w:rPr>
          <w:sz w:val="24"/>
          <w:szCs w:val="24"/>
          <w:lang w:bidi="da-DK"/>
        </w:rPr>
        <w:t>akning</w:t>
      </w:r>
      <w:r>
        <w:rPr>
          <w:sz w:val="24"/>
          <w:szCs w:val="24"/>
          <w:lang w:bidi="da-DK"/>
        </w:rPr>
        <w:t>sstørrelser:</w:t>
      </w:r>
      <w:r w:rsidRPr="009A233C">
        <w:rPr>
          <w:sz w:val="24"/>
          <w:szCs w:val="24"/>
          <w:lang w:bidi="da-DK"/>
        </w:rPr>
        <w:t xml:space="preserve"> 30 </w:t>
      </w:r>
      <w:r>
        <w:rPr>
          <w:sz w:val="24"/>
          <w:szCs w:val="24"/>
          <w:lang w:bidi="da-DK"/>
        </w:rPr>
        <w:t>ml</w:t>
      </w:r>
      <w:r w:rsidRPr="009A233C">
        <w:rPr>
          <w:sz w:val="24"/>
          <w:szCs w:val="24"/>
          <w:lang w:bidi="da-DK"/>
        </w:rPr>
        <w:t>, 2</w:t>
      </w:r>
      <w:r>
        <w:rPr>
          <w:sz w:val="24"/>
          <w:szCs w:val="24"/>
          <w:lang w:bidi="da-DK"/>
        </w:rPr>
        <w:t>×30 ml</w:t>
      </w:r>
      <w:r w:rsidRPr="009A233C">
        <w:rPr>
          <w:sz w:val="24"/>
          <w:szCs w:val="24"/>
          <w:lang w:bidi="da-DK"/>
        </w:rPr>
        <w:t>, 3</w:t>
      </w:r>
      <w:r>
        <w:rPr>
          <w:sz w:val="24"/>
          <w:szCs w:val="24"/>
          <w:lang w:bidi="da-DK"/>
        </w:rPr>
        <w:t>×</w:t>
      </w:r>
      <w:r w:rsidRPr="009A233C">
        <w:rPr>
          <w:sz w:val="24"/>
          <w:szCs w:val="24"/>
          <w:lang w:bidi="da-DK"/>
        </w:rPr>
        <w:t xml:space="preserve">30 </w:t>
      </w:r>
      <w:r>
        <w:rPr>
          <w:sz w:val="24"/>
          <w:szCs w:val="24"/>
          <w:lang w:bidi="da-DK"/>
        </w:rPr>
        <w:t>ml</w:t>
      </w:r>
      <w:r w:rsidRPr="009A233C">
        <w:rPr>
          <w:sz w:val="24"/>
          <w:szCs w:val="24"/>
          <w:lang w:bidi="da-DK"/>
        </w:rPr>
        <w:t xml:space="preserve"> og 4</w:t>
      </w:r>
      <w:r>
        <w:rPr>
          <w:sz w:val="24"/>
          <w:szCs w:val="24"/>
          <w:lang w:bidi="da-DK"/>
        </w:rPr>
        <w:t>×30 ml</w:t>
      </w:r>
      <w:r w:rsidRPr="009A233C">
        <w:rPr>
          <w:sz w:val="24"/>
          <w:szCs w:val="24"/>
          <w:lang w:bidi="da-DK"/>
        </w:rPr>
        <w:t>.</w:t>
      </w:r>
    </w:p>
    <w:p w:rsidR="00D54EB1" w:rsidRPr="009A233C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9A233C">
        <w:rPr>
          <w:sz w:val="24"/>
          <w:szCs w:val="24"/>
          <w:lang w:bidi="da-DK"/>
        </w:rPr>
        <w:t>Ikke alle pakningsstørrelser er nødvendigvis markedsført.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D54EB1" w:rsidRDefault="00D54EB1" w:rsidP="00D54EB1">
      <w:pPr>
        <w:tabs>
          <w:tab w:val="left" w:pos="851"/>
        </w:tabs>
        <w:ind w:left="851"/>
        <w:jc w:val="both"/>
        <w:rPr>
          <w:sz w:val="24"/>
          <w:szCs w:val="24"/>
          <w:lang w:bidi="da-DK"/>
        </w:rPr>
      </w:pPr>
      <w:r w:rsidRPr="00D6500D">
        <w:rPr>
          <w:sz w:val="24"/>
          <w:szCs w:val="24"/>
          <w:lang w:bidi="da-DK"/>
        </w:rPr>
        <w:t>Ingen særlige forholdsregler.</w:t>
      </w:r>
    </w:p>
    <w:p w:rsidR="00D54EB1" w:rsidRPr="00D6500D" w:rsidRDefault="00D54EB1" w:rsidP="00D54EB1">
      <w:pPr>
        <w:tabs>
          <w:tab w:val="left" w:pos="851"/>
        </w:tabs>
        <w:ind w:left="851"/>
        <w:jc w:val="both"/>
        <w:rPr>
          <w:sz w:val="24"/>
          <w:szCs w:val="24"/>
          <w:lang w:bidi="da-DK"/>
        </w:rPr>
      </w:pPr>
    </w:p>
    <w:p w:rsidR="00D54EB1" w:rsidRPr="00D6500D" w:rsidRDefault="00D54EB1" w:rsidP="00D54EB1">
      <w:pPr>
        <w:tabs>
          <w:tab w:val="left" w:pos="851"/>
        </w:tabs>
        <w:ind w:left="851"/>
        <w:jc w:val="both"/>
        <w:rPr>
          <w:sz w:val="24"/>
          <w:szCs w:val="24"/>
          <w:lang w:bidi="da-DK"/>
        </w:rPr>
      </w:pPr>
      <w:r w:rsidRPr="00D6500D">
        <w:rPr>
          <w:sz w:val="24"/>
          <w:szCs w:val="24"/>
          <w:lang w:bidi="da-DK"/>
        </w:rPr>
        <w:t>Ikke anvendt lægemiddel samt affald heraf skal bortskaffes i henhold til lokale retningslinjer.</w:t>
      </w:r>
    </w:p>
    <w:p w:rsidR="00D54EB1" w:rsidRPr="00C84483" w:rsidRDefault="00D54EB1" w:rsidP="00D54EB1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D54EB1" w:rsidRPr="00D6500D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D6500D">
        <w:rPr>
          <w:sz w:val="24"/>
          <w:szCs w:val="24"/>
          <w:lang w:bidi="da-DK"/>
        </w:rPr>
        <w:t xml:space="preserve">2care4 </w:t>
      </w:r>
      <w:proofErr w:type="spellStart"/>
      <w:r w:rsidRPr="00D6500D">
        <w:rPr>
          <w:sz w:val="24"/>
          <w:szCs w:val="24"/>
          <w:lang w:bidi="da-DK"/>
        </w:rPr>
        <w:t>Generics</w:t>
      </w:r>
      <w:proofErr w:type="spellEnd"/>
      <w:r w:rsidRPr="00D6500D">
        <w:rPr>
          <w:sz w:val="24"/>
          <w:szCs w:val="24"/>
          <w:lang w:bidi="da-DK"/>
        </w:rPr>
        <w:t xml:space="preserve"> ApS</w:t>
      </w:r>
    </w:p>
    <w:p w:rsidR="002308FE" w:rsidRDefault="002308FE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2308FE">
        <w:rPr>
          <w:sz w:val="24"/>
          <w:szCs w:val="24"/>
          <w:lang w:bidi="da-DK"/>
        </w:rPr>
        <w:t xml:space="preserve">Stenhuggervej 12-14 </w:t>
      </w:r>
    </w:p>
    <w:p w:rsidR="00D54EB1" w:rsidRPr="00D6500D" w:rsidRDefault="00D54EB1" w:rsidP="00D54EB1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D6500D">
        <w:rPr>
          <w:sz w:val="24"/>
          <w:szCs w:val="24"/>
          <w:lang w:bidi="da-DK"/>
        </w:rPr>
        <w:t>6710 Esbjerg V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57196</w:t>
      </w:r>
    </w:p>
    <w:p w:rsidR="00D54EB1" w:rsidRPr="00C84483" w:rsidRDefault="00D54EB1" w:rsidP="00D54EB1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D54EB1" w:rsidRPr="00C84483" w:rsidRDefault="00D54EB1" w:rsidP="001F1C99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16. maj 2017</w:t>
      </w:r>
    </w:p>
    <w:p w:rsidR="00D54EB1" w:rsidRPr="00C84483" w:rsidRDefault="00D54EB1" w:rsidP="00D54EB1">
      <w:pPr>
        <w:tabs>
          <w:tab w:val="left" w:pos="851"/>
        </w:tabs>
        <w:ind w:left="851"/>
        <w:rPr>
          <w:sz w:val="24"/>
          <w:szCs w:val="24"/>
        </w:rPr>
      </w:pPr>
    </w:p>
    <w:p w:rsidR="00D54EB1" w:rsidRPr="00C84483" w:rsidRDefault="00D54EB1" w:rsidP="00D54EB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D54EB1" w:rsidRPr="00C84483" w:rsidRDefault="00DF0AE4" w:rsidP="00D54EB1">
      <w:pPr>
        <w:tabs>
          <w:tab w:val="left" w:pos="851"/>
        </w:tabs>
        <w:ind w:left="851"/>
        <w:rPr>
          <w:sz w:val="24"/>
          <w:szCs w:val="24"/>
        </w:rPr>
      </w:pPr>
      <w:r w:rsidRPr="00DF0AE4">
        <w:rPr>
          <w:sz w:val="24"/>
          <w:szCs w:val="24"/>
        </w:rPr>
        <w:t>23. november 2020</w:t>
      </w:r>
    </w:p>
    <w:p w:rsidR="00D54EB1" w:rsidRPr="00194DF0" w:rsidRDefault="00D54EB1" w:rsidP="00D54EB1"/>
    <w:p w:rsidR="00D54EB1" w:rsidRPr="00455896" w:rsidRDefault="00D54EB1" w:rsidP="00D54EB1"/>
    <w:p w:rsidR="009260DE" w:rsidRPr="00D54EB1" w:rsidRDefault="009260DE" w:rsidP="00D54EB1"/>
    <w:sectPr w:rsidR="009260DE" w:rsidRPr="00D54EB1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EB1" w:rsidRDefault="00D54EB1">
      <w:r>
        <w:separator/>
      </w:r>
    </w:p>
  </w:endnote>
  <w:endnote w:type="continuationSeparator" w:id="0">
    <w:p w:rsidR="00D54EB1" w:rsidRDefault="00D5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DF0AE4">
      <w:rPr>
        <w:i/>
        <w:noProof/>
        <w:sz w:val="18"/>
        <w:szCs w:val="18"/>
      </w:rPr>
      <w:t>Bekuval, kutanopløsning 1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EB1" w:rsidRDefault="00D54EB1">
      <w:r>
        <w:separator/>
      </w:r>
    </w:p>
  </w:footnote>
  <w:footnote w:type="continuationSeparator" w:id="0">
    <w:p w:rsidR="00D54EB1" w:rsidRDefault="00D5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C1546"/>
    <w:multiLevelType w:val="hybridMultilevel"/>
    <w:tmpl w:val="023C010E"/>
    <w:lvl w:ilvl="0" w:tplc="D116F83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1B11CC6"/>
    <w:multiLevelType w:val="hybridMultilevel"/>
    <w:tmpl w:val="3C2008C0"/>
    <w:lvl w:ilvl="0" w:tplc="04060001">
      <w:start w:val="1"/>
      <w:numFmt w:val="bullet"/>
      <w:lvlText w:val=""/>
      <w:lvlJc w:val="left"/>
      <w:pPr>
        <w:ind w:left="266" w:hanging="125"/>
      </w:pPr>
      <w:rPr>
        <w:rFonts w:ascii="Symbol" w:hAnsi="Symbol" w:hint="default"/>
        <w:sz w:val="21"/>
        <w:szCs w:val="21"/>
      </w:rPr>
    </w:lvl>
    <w:lvl w:ilvl="1" w:tplc="6C9AC7A8">
      <w:start w:val="1"/>
      <w:numFmt w:val="bullet"/>
      <w:lvlText w:val="•"/>
      <w:lvlJc w:val="left"/>
      <w:pPr>
        <w:ind w:left="1103" w:hanging="125"/>
      </w:pPr>
      <w:rPr>
        <w:rFonts w:hint="default"/>
      </w:rPr>
    </w:lvl>
    <w:lvl w:ilvl="2" w:tplc="16425A30">
      <w:start w:val="1"/>
      <w:numFmt w:val="bullet"/>
      <w:lvlText w:val="•"/>
      <w:lvlJc w:val="left"/>
      <w:pPr>
        <w:ind w:left="1940" w:hanging="125"/>
      </w:pPr>
      <w:rPr>
        <w:rFonts w:hint="default"/>
      </w:rPr>
    </w:lvl>
    <w:lvl w:ilvl="3" w:tplc="7472DE66">
      <w:start w:val="1"/>
      <w:numFmt w:val="bullet"/>
      <w:lvlText w:val="•"/>
      <w:lvlJc w:val="left"/>
      <w:pPr>
        <w:ind w:left="2778" w:hanging="125"/>
      </w:pPr>
      <w:rPr>
        <w:rFonts w:hint="default"/>
      </w:rPr>
    </w:lvl>
    <w:lvl w:ilvl="4" w:tplc="89CCF0BA">
      <w:start w:val="1"/>
      <w:numFmt w:val="bullet"/>
      <w:lvlText w:val="•"/>
      <w:lvlJc w:val="left"/>
      <w:pPr>
        <w:ind w:left="3615" w:hanging="125"/>
      </w:pPr>
      <w:rPr>
        <w:rFonts w:hint="default"/>
      </w:rPr>
    </w:lvl>
    <w:lvl w:ilvl="5" w:tplc="CA3C017C">
      <w:start w:val="1"/>
      <w:numFmt w:val="bullet"/>
      <w:lvlText w:val="•"/>
      <w:lvlJc w:val="left"/>
      <w:pPr>
        <w:ind w:left="4452" w:hanging="125"/>
      </w:pPr>
      <w:rPr>
        <w:rFonts w:hint="default"/>
      </w:rPr>
    </w:lvl>
    <w:lvl w:ilvl="6" w:tplc="5874D10A">
      <w:start w:val="1"/>
      <w:numFmt w:val="bullet"/>
      <w:lvlText w:val="•"/>
      <w:lvlJc w:val="left"/>
      <w:pPr>
        <w:ind w:left="5290" w:hanging="125"/>
      </w:pPr>
      <w:rPr>
        <w:rFonts w:hint="default"/>
      </w:rPr>
    </w:lvl>
    <w:lvl w:ilvl="7" w:tplc="EBB2AA32">
      <w:start w:val="1"/>
      <w:numFmt w:val="bullet"/>
      <w:lvlText w:val="•"/>
      <w:lvlJc w:val="left"/>
      <w:pPr>
        <w:ind w:left="6127" w:hanging="125"/>
      </w:pPr>
      <w:rPr>
        <w:rFonts w:hint="default"/>
      </w:rPr>
    </w:lvl>
    <w:lvl w:ilvl="8" w:tplc="B9D4707E">
      <w:start w:val="1"/>
      <w:numFmt w:val="bullet"/>
      <w:lvlText w:val="•"/>
      <w:lvlJc w:val="left"/>
      <w:pPr>
        <w:ind w:left="6964" w:hanging="125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EB1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F1C99"/>
    <w:rsid w:val="00206CE8"/>
    <w:rsid w:val="0021526C"/>
    <w:rsid w:val="002308FE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34D84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B56D54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54EB1"/>
    <w:rsid w:val="00DF0AE4"/>
    <w:rsid w:val="00E108AA"/>
    <w:rsid w:val="00E31812"/>
    <w:rsid w:val="00E3749A"/>
    <w:rsid w:val="00E7437F"/>
    <w:rsid w:val="00E865B8"/>
    <w:rsid w:val="00EA27AF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9611B"/>
  <w15:chartTrackingRefBased/>
  <w15:docId w15:val="{8073304E-E52A-4F03-BB4C-5F21C1BA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9</TotalTime>
  <Pages>8</Pages>
  <Words>1652</Words>
  <Characters>11372</Characters>
  <Application>Microsoft Office Word</Application>
  <DocSecurity>0</DocSecurity>
  <Lines>94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Betty Winther Andersen</dc:creator>
  <cp:keywords/>
  <dc:description>2020093166_x000d_
SPC pkt. 4.4, 4.8_x000d_
+ 2020112003 - Ændring af MAH adresse</dc:description>
  <cp:lastModifiedBy>Marianne Ott Jensen</cp:lastModifiedBy>
  <cp:revision>5</cp:revision>
  <cp:lastPrinted>2012-08-22T08:53:00Z</cp:lastPrinted>
  <dcterms:created xsi:type="dcterms:W3CDTF">2020-11-18T08:04:00Z</dcterms:created>
  <dcterms:modified xsi:type="dcterms:W3CDTF">2020-11-24T11:39:00Z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