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E467B1" w:rsidRDefault="006B3847" w:rsidP="006B3847">
      <w:pPr>
        <w:rPr>
          <w:sz w:val="24"/>
          <w:szCs w:val="24"/>
        </w:rPr>
      </w:pPr>
    </w:p>
    <w:p w:rsidR="006B3847" w:rsidRPr="00303008" w:rsidRDefault="006B3847" w:rsidP="006B3847">
      <w:pPr>
        <w:tabs>
          <w:tab w:val="right" w:pos="9356"/>
        </w:tabs>
        <w:rPr>
          <w:b/>
          <w:sz w:val="24"/>
          <w:szCs w:val="24"/>
          <w:lang w:val="en-GB"/>
        </w:rPr>
      </w:pPr>
      <w:bookmarkStart w:id="0" w:name="_GoBack"/>
      <w:bookmarkEnd w:id="0"/>
      <w:r w:rsidRPr="00E467B1">
        <w:rPr>
          <w:b/>
          <w:sz w:val="24"/>
          <w:szCs w:val="24"/>
        </w:rPr>
        <w:tab/>
      </w:r>
      <w:r w:rsidR="00772296">
        <w:rPr>
          <w:b/>
          <w:sz w:val="24"/>
          <w:szCs w:val="24"/>
          <w:lang w:val="en-GB"/>
        </w:rPr>
        <w:t>11 April 2022</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2945CE" w:rsidRDefault="002945CE" w:rsidP="007C5D2A">
      <w:pPr>
        <w:jc w:val="center"/>
        <w:rPr>
          <w:b/>
          <w:sz w:val="24"/>
          <w:szCs w:val="24"/>
          <w:lang w:val="en-GB"/>
        </w:rPr>
      </w:pPr>
      <w:proofErr w:type="spellStart"/>
      <w:r>
        <w:rPr>
          <w:b/>
          <w:sz w:val="24"/>
          <w:szCs w:val="24"/>
          <w:lang w:val="en-GB"/>
        </w:rPr>
        <w:t>Bendamustinhydrochlorid</w:t>
      </w:r>
      <w:proofErr w:type="spellEnd"/>
      <w:r>
        <w:rPr>
          <w:b/>
          <w:sz w:val="24"/>
          <w:szCs w:val="24"/>
          <w:lang w:val="en-GB"/>
        </w:rPr>
        <w:t xml:space="preserve"> "</w:t>
      </w:r>
      <w:proofErr w:type="spellStart"/>
      <w:r>
        <w:rPr>
          <w:b/>
          <w:sz w:val="24"/>
          <w:szCs w:val="24"/>
          <w:lang w:val="en-GB"/>
        </w:rPr>
        <w:t>Hexal</w:t>
      </w:r>
      <w:proofErr w:type="spellEnd"/>
      <w:r>
        <w:rPr>
          <w:b/>
          <w:sz w:val="24"/>
          <w:szCs w:val="24"/>
          <w:lang w:val="en-GB"/>
        </w:rPr>
        <w:t>",</w:t>
      </w:r>
    </w:p>
    <w:p w:rsidR="007C5D2A" w:rsidRPr="00303008" w:rsidRDefault="002945CE" w:rsidP="007C5D2A">
      <w:pPr>
        <w:jc w:val="center"/>
        <w:rPr>
          <w:b/>
          <w:sz w:val="24"/>
          <w:szCs w:val="24"/>
          <w:lang w:val="en-GB"/>
        </w:rPr>
      </w:pPr>
      <w:r>
        <w:rPr>
          <w:b/>
          <w:sz w:val="24"/>
          <w:szCs w:val="24"/>
          <w:lang w:val="en-GB"/>
        </w:rPr>
        <w:t>powder for concentrate for solution for infusion</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917B41" w:rsidP="008F2F8C">
      <w:pPr>
        <w:tabs>
          <w:tab w:val="left" w:pos="8222"/>
        </w:tabs>
        <w:ind w:left="851"/>
        <w:rPr>
          <w:sz w:val="24"/>
          <w:szCs w:val="24"/>
          <w:lang w:val="en-GB"/>
        </w:rPr>
      </w:pPr>
      <w:r>
        <w:rPr>
          <w:sz w:val="24"/>
          <w:szCs w:val="24"/>
          <w:lang w:val="en-GB"/>
        </w:rPr>
        <w:t>30848</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1751EB" w:rsidRDefault="001751EB" w:rsidP="004A3BF4">
      <w:pPr>
        <w:tabs>
          <w:tab w:val="left" w:pos="851"/>
        </w:tabs>
        <w:ind w:left="851"/>
        <w:rPr>
          <w:sz w:val="24"/>
          <w:szCs w:val="24"/>
          <w:lang w:val="en-GB"/>
        </w:rPr>
      </w:pPr>
      <w:proofErr w:type="spellStart"/>
      <w:r w:rsidRPr="001751EB">
        <w:rPr>
          <w:sz w:val="24"/>
          <w:szCs w:val="24"/>
          <w:lang w:val="en-GB"/>
        </w:rPr>
        <w:t>Bendamustinhydrochlorid</w:t>
      </w:r>
      <w:proofErr w:type="spellEnd"/>
      <w:r w:rsidRPr="001751EB">
        <w:rPr>
          <w:sz w:val="24"/>
          <w:szCs w:val="24"/>
          <w:lang w:val="en-GB"/>
        </w:rPr>
        <w:t xml:space="preserve"> "</w:t>
      </w:r>
      <w:proofErr w:type="spellStart"/>
      <w:r w:rsidRPr="001751EB">
        <w:rPr>
          <w:sz w:val="24"/>
          <w:szCs w:val="24"/>
          <w:lang w:val="en-GB"/>
        </w:rPr>
        <w:t>Hexal</w:t>
      </w:r>
      <w:proofErr w:type="spellEnd"/>
      <w:r w:rsidRPr="001751EB">
        <w:rPr>
          <w:sz w:val="24"/>
          <w:szCs w:val="24"/>
          <w:lang w:val="en-GB"/>
        </w:rPr>
        <w:t>"</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1751EB" w:rsidRPr="001751EB" w:rsidRDefault="001751EB" w:rsidP="001751EB">
      <w:pPr>
        <w:tabs>
          <w:tab w:val="left" w:pos="851"/>
        </w:tabs>
        <w:ind w:left="851"/>
        <w:rPr>
          <w:sz w:val="24"/>
          <w:szCs w:val="24"/>
          <w:lang w:val="en-US"/>
        </w:rPr>
      </w:pPr>
      <w:r w:rsidRPr="001751EB">
        <w:rPr>
          <w:sz w:val="24"/>
          <w:szCs w:val="24"/>
          <w:lang w:val="en-US"/>
        </w:rPr>
        <w:t xml:space="preserve">One vial contains 25 mg </w:t>
      </w:r>
      <w:proofErr w:type="spellStart"/>
      <w:r w:rsidRPr="001751EB">
        <w:rPr>
          <w:sz w:val="24"/>
          <w:szCs w:val="24"/>
          <w:lang w:val="en-US"/>
        </w:rPr>
        <w:t>bendamustine</w:t>
      </w:r>
      <w:proofErr w:type="spellEnd"/>
      <w:r w:rsidRPr="001751EB">
        <w:rPr>
          <w:sz w:val="24"/>
          <w:szCs w:val="24"/>
          <w:lang w:val="en-US"/>
        </w:rPr>
        <w:t xml:space="preserve"> hydrochloride (as </w:t>
      </w:r>
      <w:proofErr w:type="spellStart"/>
      <w:r w:rsidRPr="001751EB">
        <w:rPr>
          <w:sz w:val="24"/>
          <w:szCs w:val="24"/>
          <w:lang w:val="en-US"/>
        </w:rPr>
        <w:t>bendamustine</w:t>
      </w:r>
      <w:proofErr w:type="spellEnd"/>
      <w:r w:rsidRPr="001751EB">
        <w:rPr>
          <w:sz w:val="24"/>
          <w:szCs w:val="24"/>
          <w:lang w:val="en-US"/>
        </w:rPr>
        <w:t xml:space="preserve"> hydrochloride monohydrate).</w:t>
      </w:r>
    </w:p>
    <w:p w:rsidR="001751EB" w:rsidRPr="001751EB" w:rsidRDefault="001751EB" w:rsidP="001751EB">
      <w:pPr>
        <w:tabs>
          <w:tab w:val="left" w:pos="851"/>
        </w:tabs>
        <w:ind w:left="851"/>
        <w:rPr>
          <w:sz w:val="24"/>
          <w:szCs w:val="24"/>
          <w:lang w:val="en-US"/>
        </w:rPr>
      </w:pPr>
      <w:r w:rsidRPr="001751EB">
        <w:rPr>
          <w:sz w:val="24"/>
          <w:szCs w:val="24"/>
          <w:lang w:val="en-US"/>
        </w:rPr>
        <w:t xml:space="preserve">One vial contains 100 mg </w:t>
      </w:r>
      <w:proofErr w:type="spellStart"/>
      <w:r w:rsidRPr="001751EB">
        <w:rPr>
          <w:sz w:val="24"/>
          <w:szCs w:val="24"/>
          <w:lang w:val="en-US"/>
        </w:rPr>
        <w:t>bendamustine</w:t>
      </w:r>
      <w:proofErr w:type="spellEnd"/>
      <w:r w:rsidRPr="001751EB">
        <w:rPr>
          <w:sz w:val="24"/>
          <w:szCs w:val="24"/>
          <w:lang w:val="en-US"/>
        </w:rPr>
        <w:t xml:space="preserve"> hydrochloride (as </w:t>
      </w:r>
      <w:proofErr w:type="spellStart"/>
      <w:r w:rsidRPr="001751EB">
        <w:rPr>
          <w:sz w:val="24"/>
          <w:szCs w:val="24"/>
          <w:lang w:val="en-US"/>
        </w:rPr>
        <w:t>bendamustine</w:t>
      </w:r>
      <w:proofErr w:type="spellEnd"/>
      <w:r w:rsidRPr="001751EB">
        <w:rPr>
          <w:sz w:val="24"/>
          <w:szCs w:val="24"/>
          <w:lang w:val="en-US"/>
        </w:rPr>
        <w:t xml:space="preserve"> hydrochloride monohydrate).</w:t>
      </w:r>
    </w:p>
    <w:p w:rsidR="001751EB" w:rsidRPr="001751EB" w:rsidRDefault="001751EB" w:rsidP="001751EB">
      <w:pPr>
        <w:tabs>
          <w:tab w:val="left" w:pos="851"/>
        </w:tabs>
        <w:ind w:left="851"/>
        <w:rPr>
          <w:sz w:val="24"/>
          <w:szCs w:val="24"/>
          <w:lang w:val="en-US"/>
        </w:rPr>
      </w:pPr>
    </w:p>
    <w:p w:rsidR="001751EB" w:rsidRPr="001751EB" w:rsidRDefault="001751EB" w:rsidP="001751EB">
      <w:pPr>
        <w:tabs>
          <w:tab w:val="left" w:pos="851"/>
        </w:tabs>
        <w:ind w:left="851"/>
        <w:rPr>
          <w:sz w:val="24"/>
          <w:szCs w:val="24"/>
          <w:lang w:val="en-US"/>
        </w:rPr>
      </w:pPr>
      <w:r w:rsidRPr="001751EB">
        <w:rPr>
          <w:sz w:val="24"/>
          <w:szCs w:val="24"/>
          <w:lang w:val="en-US"/>
        </w:rPr>
        <w:t xml:space="preserve">Each ml of the concentrate contains 2.5 mg </w:t>
      </w:r>
      <w:proofErr w:type="spellStart"/>
      <w:r w:rsidRPr="001751EB">
        <w:rPr>
          <w:sz w:val="24"/>
          <w:szCs w:val="24"/>
          <w:lang w:val="en-US"/>
        </w:rPr>
        <w:t>bendamustine</w:t>
      </w:r>
      <w:proofErr w:type="spellEnd"/>
      <w:r w:rsidRPr="001751EB">
        <w:rPr>
          <w:sz w:val="24"/>
          <w:szCs w:val="24"/>
          <w:lang w:val="en-US"/>
        </w:rPr>
        <w:t xml:space="preserve"> hydrochloride when reconstituted according to section 6.6.</w:t>
      </w:r>
    </w:p>
    <w:p w:rsidR="001751EB" w:rsidRPr="001751EB" w:rsidRDefault="001751EB" w:rsidP="001751EB">
      <w:pPr>
        <w:tabs>
          <w:tab w:val="left" w:pos="851"/>
        </w:tabs>
        <w:ind w:left="851"/>
        <w:rPr>
          <w:sz w:val="24"/>
          <w:szCs w:val="24"/>
          <w:lang w:val="en-US"/>
        </w:rPr>
      </w:pPr>
    </w:p>
    <w:p w:rsidR="001751EB" w:rsidRPr="001751EB" w:rsidRDefault="001751EB" w:rsidP="001751EB">
      <w:pPr>
        <w:tabs>
          <w:tab w:val="left" w:pos="851"/>
        </w:tabs>
        <w:ind w:left="851"/>
        <w:rPr>
          <w:sz w:val="24"/>
          <w:szCs w:val="24"/>
          <w:lang w:val="en-GB"/>
        </w:rPr>
      </w:pPr>
      <w:r w:rsidRPr="001751EB">
        <w:rPr>
          <w:sz w:val="24"/>
          <w:szCs w:val="24"/>
          <w:lang w:val="en-GB"/>
        </w:rPr>
        <w:t>For the full list of excipients, see section 6.1.</w:t>
      </w:r>
    </w:p>
    <w:p w:rsidR="007C5D2A" w:rsidRPr="00303008"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1751EB" w:rsidRDefault="001751EB" w:rsidP="001751EB">
      <w:pPr>
        <w:tabs>
          <w:tab w:val="left" w:pos="851"/>
        </w:tabs>
        <w:ind w:left="851"/>
        <w:rPr>
          <w:sz w:val="24"/>
          <w:szCs w:val="24"/>
          <w:lang w:val="en-US"/>
        </w:rPr>
      </w:pPr>
      <w:r w:rsidRPr="001751EB">
        <w:rPr>
          <w:sz w:val="24"/>
          <w:szCs w:val="24"/>
          <w:lang w:val="en-US"/>
        </w:rPr>
        <w:t xml:space="preserve">Powder for concentrate for solution for infusion </w:t>
      </w:r>
    </w:p>
    <w:p w:rsidR="001751EB" w:rsidRPr="001751EB" w:rsidRDefault="001751EB" w:rsidP="001751EB">
      <w:pPr>
        <w:tabs>
          <w:tab w:val="left" w:pos="851"/>
        </w:tabs>
        <w:ind w:left="851"/>
        <w:rPr>
          <w:sz w:val="24"/>
          <w:szCs w:val="24"/>
          <w:lang w:val="en-US"/>
        </w:rPr>
      </w:pPr>
    </w:p>
    <w:p w:rsidR="001751EB" w:rsidRPr="001751EB" w:rsidRDefault="001751EB" w:rsidP="001751EB">
      <w:pPr>
        <w:tabs>
          <w:tab w:val="left" w:pos="851"/>
        </w:tabs>
        <w:ind w:left="851"/>
        <w:rPr>
          <w:sz w:val="24"/>
          <w:szCs w:val="24"/>
          <w:lang w:val="en-US"/>
        </w:rPr>
      </w:pPr>
      <w:r w:rsidRPr="001751EB">
        <w:rPr>
          <w:sz w:val="24"/>
          <w:szCs w:val="24"/>
          <w:lang w:val="en-US"/>
        </w:rPr>
        <w:t>White to off-white powder</w:t>
      </w:r>
      <w:r>
        <w:rPr>
          <w:sz w:val="24"/>
          <w:szCs w:val="24"/>
          <w:lang w:val="en-US"/>
        </w:rPr>
        <w:t>.</w:t>
      </w:r>
    </w:p>
    <w:p w:rsidR="007C5D2A" w:rsidRPr="001751EB"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D62D7D" w:rsidRPr="00D62D7D" w:rsidRDefault="00D62D7D" w:rsidP="00D62D7D">
      <w:pPr>
        <w:tabs>
          <w:tab w:val="left" w:pos="851"/>
        </w:tabs>
        <w:ind w:left="851"/>
        <w:rPr>
          <w:sz w:val="24"/>
          <w:szCs w:val="24"/>
          <w:lang w:val="en-US"/>
        </w:rPr>
      </w:pPr>
      <w:r w:rsidRPr="00D62D7D">
        <w:rPr>
          <w:sz w:val="24"/>
          <w:szCs w:val="24"/>
          <w:lang w:val="en-US"/>
        </w:rPr>
        <w:t xml:space="preserve">First-line treatment of chronic lymphocytic </w:t>
      </w:r>
      <w:proofErr w:type="spellStart"/>
      <w:r w:rsidRPr="00D62D7D">
        <w:rPr>
          <w:sz w:val="24"/>
          <w:szCs w:val="24"/>
          <w:lang w:val="en-US"/>
        </w:rPr>
        <w:t>leukaemia</w:t>
      </w:r>
      <w:proofErr w:type="spellEnd"/>
      <w:r w:rsidRPr="00D62D7D">
        <w:rPr>
          <w:sz w:val="24"/>
          <w:szCs w:val="24"/>
          <w:lang w:val="en-US"/>
        </w:rPr>
        <w:t xml:space="preserve"> (Binet stage B or C) in patients for whom fludarabine combination chemotherapy is not appropriate.</w:t>
      </w:r>
    </w:p>
    <w:p w:rsidR="00D62D7D" w:rsidRPr="00D62D7D" w:rsidRDefault="00D62D7D" w:rsidP="00D62D7D">
      <w:pPr>
        <w:tabs>
          <w:tab w:val="left" w:pos="851"/>
        </w:tabs>
        <w:ind w:left="851"/>
        <w:rPr>
          <w:sz w:val="24"/>
          <w:szCs w:val="24"/>
          <w:lang w:val="en-US"/>
        </w:rPr>
      </w:pPr>
    </w:p>
    <w:p w:rsidR="00D62D7D" w:rsidRPr="00D62D7D" w:rsidRDefault="00D62D7D" w:rsidP="00D62D7D">
      <w:pPr>
        <w:tabs>
          <w:tab w:val="left" w:pos="851"/>
        </w:tabs>
        <w:ind w:left="851"/>
        <w:rPr>
          <w:sz w:val="24"/>
          <w:szCs w:val="24"/>
          <w:lang w:val="en-US"/>
        </w:rPr>
      </w:pPr>
      <w:r w:rsidRPr="00D62D7D">
        <w:rPr>
          <w:sz w:val="24"/>
          <w:szCs w:val="24"/>
          <w:lang w:val="en-US"/>
        </w:rPr>
        <w:t>Indolent non-Hodgkin's lymphomas as monotherapy in patients who have progressed during or within 6 months following treatment with rituximab or a rituximab containing regimen.</w:t>
      </w:r>
    </w:p>
    <w:p w:rsidR="00D62D7D" w:rsidRPr="00D62D7D" w:rsidRDefault="00D62D7D" w:rsidP="00D62D7D">
      <w:pPr>
        <w:tabs>
          <w:tab w:val="left" w:pos="851"/>
        </w:tabs>
        <w:ind w:left="851"/>
        <w:rPr>
          <w:sz w:val="24"/>
          <w:szCs w:val="24"/>
          <w:lang w:val="en-US"/>
        </w:rPr>
      </w:pPr>
    </w:p>
    <w:p w:rsidR="00D62D7D" w:rsidRPr="00D62D7D" w:rsidRDefault="00D62D7D" w:rsidP="00D62D7D">
      <w:pPr>
        <w:tabs>
          <w:tab w:val="left" w:pos="851"/>
        </w:tabs>
        <w:ind w:left="851"/>
        <w:rPr>
          <w:sz w:val="24"/>
          <w:szCs w:val="24"/>
          <w:lang w:val="en-US"/>
        </w:rPr>
      </w:pPr>
      <w:r w:rsidRPr="00D62D7D">
        <w:rPr>
          <w:sz w:val="24"/>
          <w:szCs w:val="24"/>
          <w:lang w:val="en-US"/>
        </w:rPr>
        <w:lastRenderedPageBreak/>
        <w:t>Front line treatment of multiple myeloma (Durie-Salmon stage II with progress or stage III) in combination with prednisone for patients older than 65 years who are not eligible for autologous stem cell transplantation and who have clinical neuropathy at time of diagnosis precluding the use of thalidomide or bortezomib containing treatment.</w:t>
      </w:r>
    </w:p>
    <w:p w:rsidR="007C5D2A" w:rsidRPr="00D62D7D" w:rsidRDefault="007C5D2A" w:rsidP="00A85D26">
      <w:pPr>
        <w:tabs>
          <w:tab w:val="left" w:pos="851"/>
        </w:tabs>
        <w:ind w:left="851"/>
        <w:rPr>
          <w:sz w:val="24"/>
          <w:szCs w:val="24"/>
          <w:lang w:val="en-US"/>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F51C65" w:rsidRPr="00F51C65" w:rsidRDefault="00F51C65" w:rsidP="00F51C65">
      <w:pPr>
        <w:tabs>
          <w:tab w:val="left" w:pos="851"/>
        </w:tabs>
        <w:ind w:left="851"/>
        <w:rPr>
          <w:sz w:val="24"/>
          <w:szCs w:val="24"/>
          <w:lang w:val="en-GB"/>
        </w:rPr>
      </w:pPr>
    </w:p>
    <w:p w:rsidR="00F51C65" w:rsidRPr="00F51C65" w:rsidRDefault="00F51C65" w:rsidP="00F51C65">
      <w:pPr>
        <w:tabs>
          <w:tab w:val="left" w:pos="851"/>
        </w:tabs>
        <w:ind w:left="851"/>
        <w:rPr>
          <w:sz w:val="24"/>
          <w:szCs w:val="24"/>
          <w:lang w:val="en-GB"/>
        </w:rPr>
      </w:pPr>
      <w:r w:rsidRPr="00F51C65">
        <w:rPr>
          <w:sz w:val="24"/>
          <w:szCs w:val="24"/>
          <w:u w:val="single"/>
          <w:lang w:val="en-GB"/>
        </w:rPr>
        <w:t xml:space="preserve">Posology </w:t>
      </w:r>
    </w:p>
    <w:p w:rsidR="00F51C65" w:rsidRDefault="00F51C65" w:rsidP="00F51C65">
      <w:pPr>
        <w:tabs>
          <w:tab w:val="left" w:pos="851"/>
        </w:tabs>
        <w:ind w:left="851"/>
        <w:rPr>
          <w:i/>
          <w:iCs/>
          <w:sz w:val="24"/>
          <w:szCs w:val="24"/>
          <w:lang w:val="en-US"/>
        </w:rPr>
      </w:pPr>
    </w:p>
    <w:p w:rsidR="00F51C65" w:rsidRPr="00F51C65" w:rsidRDefault="00F51C65" w:rsidP="00F51C65">
      <w:pPr>
        <w:tabs>
          <w:tab w:val="left" w:pos="851"/>
        </w:tabs>
        <w:ind w:left="851"/>
        <w:rPr>
          <w:sz w:val="24"/>
          <w:szCs w:val="24"/>
          <w:lang w:val="en-US"/>
        </w:rPr>
      </w:pPr>
      <w:r w:rsidRPr="00F51C65">
        <w:rPr>
          <w:i/>
          <w:iCs/>
          <w:sz w:val="24"/>
          <w:szCs w:val="24"/>
          <w:lang w:val="en-US"/>
        </w:rPr>
        <w:t xml:space="preserve">Monotherapy for chronic lymphocytic </w:t>
      </w:r>
      <w:proofErr w:type="spellStart"/>
      <w:r w:rsidRPr="00F51C65">
        <w:rPr>
          <w:i/>
          <w:iCs/>
          <w:sz w:val="24"/>
          <w:szCs w:val="24"/>
          <w:lang w:val="en-US"/>
        </w:rPr>
        <w:t>leukaemia</w:t>
      </w:r>
      <w:proofErr w:type="spellEnd"/>
    </w:p>
    <w:p w:rsidR="00F51C65" w:rsidRPr="00F51C65" w:rsidRDefault="00F51C65" w:rsidP="00F51C65">
      <w:pPr>
        <w:tabs>
          <w:tab w:val="left" w:pos="851"/>
        </w:tabs>
        <w:ind w:left="851"/>
        <w:rPr>
          <w:sz w:val="24"/>
          <w:szCs w:val="24"/>
          <w:lang w:val="en-US"/>
        </w:rPr>
      </w:pPr>
      <w:r w:rsidRPr="00F51C65">
        <w:rPr>
          <w:sz w:val="24"/>
          <w:szCs w:val="24"/>
          <w:lang w:val="en-US"/>
        </w:rPr>
        <w:t xml:space="preserve">100 mg/m² body surface area </w:t>
      </w:r>
      <w:proofErr w:type="spellStart"/>
      <w:r w:rsidRPr="00F51C65">
        <w:rPr>
          <w:sz w:val="24"/>
          <w:szCs w:val="24"/>
          <w:lang w:val="en-US"/>
        </w:rPr>
        <w:t>bendamustine</w:t>
      </w:r>
      <w:proofErr w:type="spellEnd"/>
      <w:r w:rsidRPr="00F51C65">
        <w:rPr>
          <w:sz w:val="24"/>
          <w:szCs w:val="24"/>
          <w:lang w:val="en-US"/>
        </w:rPr>
        <w:t xml:space="preserve"> hydrochloride on days 1 and 2; every 4 weeks up to 6 times.</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i/>
          <w:iCs/>
          <w:sz w:val="24"/>
          <w:szCs w:val="24"/>
          <w:lang w:val="en-US"/>
        </w:rPr>
        <w:t>Monotherapy for indolent non-Hodgkin's lymphomas refractory to rituximab</w:t>
      </w:r>
    </w:p>
    <w:p w:rsidR="00F51C65" w:rsidRPr="00F51C65" w:rsidRDefault="00F51C65" w:rsidP="00F51C65">
      <w:pPr>
        <w:tabs>
          <w:tab w:val="left" w:pos="851"/>
        </w:tabs>
        <w:ind w:left="851"/>
        <w:rPr>
          <w:sz w:val="24"/>
          <w:szCs w:val="24"/>
          <w:lang w:val="en-US"/>
        </w:rPr>
      </w:pPr>
      <w:r w:rsidRPr="00F51C65">
        <w:rPr>
          <w:sz w:val="24"/>
          <w:szCs w:val="24"/>
          <w:lang w:val="en-US"/>
        </w:rPr>
        <w:t xml:space="preserve">120 mg/m² body surface area </w:t>
      </w:r>
      <w:proofErr w:type="spellStart"/>
      <w:r w:rsidRPr="00F51C65">
        <w:rPr>
          <w:sz w:val="24"/>
          <w:szCs w:val="24"/>
          <w:lang w:val="en-US"/>
        </w:rPr>
        <w:t>bendamustine</w:t>
      </w:r>
      <w:proofErr w:type="spellEnd"/>
      <w:r w:rsidRPr="00F51C65">
        <w:rPr>
          <w:sz w:val="24"/>
          <w:szCs w:val="24"/>
          <w:lang w:val="en-US"/>
        </w:rPr>
        <w:t xml:space="preserve"> hydrochloride on days 1 and 2; every 3 weeks for at least 6 times.</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i/>
          <w:iCs/>
          <w:sz w:val="24"/>
          <w:szCs w:val="24"/>
          <w:lang w:val="en-US"/>
        </w:rPr>
        <w:t>Multiple myeloma</w:t>
      </w:r>
    </w:p>
    <w:p w:rsidR="00F51C65" w:rsidRPr="00F51C65" w:rsidRDefault="00F51C65" w:rsidP="00F51C65">
      <w:pPr>
        <w:tabs>
          <w:tab w:val="left" w:pos="851"/>
        </w:tabs>
        <w:ind w:left="851"/>
        <w:rPr>
          <w:sz w:val="24"/>
          <w:szCs w:val="24"/>
          <w:lang w:val="en-US"/>
        </w:rPr>
      </w:pPr>
      <w:r w:rsidRPr="00F51C65">
        <w:rPr>
          <w:sz w:val="24"/>
          <w:szCs w:val="24"/>
          <w:lang w:val="en-US"/>
        </w:rPr>
        <w:t xml:space="preserve">120 - 150 mg/m² body surface area </w:t>
      </w:r>
      <w:proofErr w:type="spellStart"/>
      <w:r w:rsidRPr="00F51C65">
        <w:rPr>
          <w:sz w:val="24"/>
          <w:szCs w:val="24"/>
          <w:lang w:val="en-US"/>
        </w:rPr>
        <w:t>bendamustine</w:t>
      </w:r>
      <w:proofErr w:type="spellEnd"/>
      <w:r w:rsidRPr="00F51C65">
        <w:rPr>
          <w:sz w:val="24"/>
          <w:szCs w:val="24"/>
          <w:lang w:val="en-US"/>
        </w:rPr>
        <w:t xml:space="preserve"> hydrochloride on days 1 and 2, 60 mg/m² body surface area prednisone </w:t>
      </w:r>
      <w:proofErr w:type="spellStart"/>
      <w:r w:rsidRPr="00F51C65">
        <w:rPr>
          <w:sz w:val="24"/>
          <w:szCs w:val="24"/>
          <w:lang w:val="en-US"/>
        </w:rPr>
        <w:t>i.v.</w:t>
      </w:r>
      <w:proofErr w:type="spellEnd"/>
      <w:r w:rsidRPr="00F51C65">
        <w:rPr>
          <w:sz w:val="24"/>
          <w:szCs w:val="24"/>
          <w:lang w:val="en-US"/>
        </w:rPr>
        <w:t xml:space="preserve"> or per </w:t>
      </w:r>
      <w:proofErr w:type="spellStart"/>
      <w:r w:rsidRPr="00F51C65">
        <w:rPr>
          <w:sz w:val="24"/>
          <w:szCs w:val="24"/>
          <w:lang w:val="en-US"/>
        </w:rPr>
        <w:t>os</w:t>
      </w:r>
      <w:proofErr w:type="spellEnd"/>
      <w:r w:rsidRPr="00F51C65">
        <w:rPr>
          <w:sz w:val="24"/>
          <w:szCs w:val="24"/>
          <w:lang w:val="en-US"/>
        </w:rPr>
        <w:t xml:space="preserve"> on days 1 to 4; every 4 weeks for at least 3 times.</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i/>
          <w:sz w:val="24"/>
          <w:szCs w:val="24"/>
          <w:lang w:val="en-US"/>
        </w:rPr>
      </w:pPr>
      <w:r w:rsidRPr="00F51C65">
        <w:rPr>
          <w:i/>
          <w:sz w:val="24"/>
          <w:szCs w:val="24"/>
          <w:lang w:val="en-US"/>
        </w:rPr>
        <w:t>Duration of treatment</w:t>
      </w:r>
    </w:p>
    <w:p w:rsidR="00F51C65" w:rsidRPr="00F51C65" w:rsidRDefault="00F51C65" w:rsidP="00F51C65">
      <w:pPr>
        <w:tabs>
          <w:tab w:val="left" w:pos="851"/>
        </w:tabs>
        <w:ind w:left="851"/>
        <w:rPr>
          <w:sz w:val="24"/>
          <w:szCs w:val="24"/>
          <w:lang w:val="en-US"/>
        </w:rPr>
      </w:pPr>
      <w:r w:rsidRPr="00F51C65">
        <w:rPr>
          <w:sz w:val="24"/>
          <w:szCs w:val="24"/>
          <w:lang w:val="en-US"/>
        </w:rPr>
        <w:t>Duration of treatment depends on the indication and response to treatment (see section 5.1)</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i/>
          <w:iCs/>
          <w:sz w:val="24"/>
          <w:szCs w:val="24"/>
          <w:lang w:val="en-US"/>
        </w:rPr>
        <w:t>Hepatic impairment</w:t>
      </w:r>
    </w:p>
    <w:p w:rsidR="00F51C65" w:rsidRPr="00F51C65" w:rsidRDefault="00F51C65" w:rsidP="00F51C65">
      <w:pPr>
        <w:tabs>
          <w:tab w:val="left" w:pos="851"/>
        </w:tabs>
        <w:ind w:left="851"/>
        <w:rPr>
          <w:sz w:val="24"/>
          <w:szCs w:val="24"/>
          <w:lang w:val="en-US"/>
        </w:rPr>
      </w:pPr>
      <w:r w:rsidRPr="00F51C65">
        <w:rPr>
          <w:sz w:val="24"/>
          <w:szCs w:val="24"/>
          <w:lang w:val="en-US"/>
        </w:rPr>
        <w:t>On the basis of pharmacokinetic data, no dose adjustment is necessary in patients with mild hepatic impairment (serum bilirubin &lt; 1.2 mg/dl). A 30</w:t>
      </w:r>
      <w:r w:rsidR="00E23152">
        <w:rPr>
          <w:sz w:val="24"/>
          <w:szCs w:val="24"/>
          <w:lang w:val="en-US"/>
        </w:rPr>
        <w:t xml:space="preserve"> %</w:t>
      </w:r>
      <w:r w:rsidRPr="00F51C65">
        <w:rPr>
          <w:sz w:val="24"/>
          <w:szCs w:val="24"/>
          <w:lang w:val="en-US"/>
        </w:rPr>
        <w:t xml:space="preserve"> dose reduction is recommended in patients with moderate hepatic impairment (serum bilirubin 1.2 - 3.0 mg/dl).</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sz w:val="24"/>
          <w:szCs w:val="24"/>
          <w:lang w:val="en-US"/>
        </w:rPr>
        <w:t>No data is available in patients with severe hepatic impairment (serum bilirubin values of &gt; 3.0 mg/dl) (see section 4.3).</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i/>
          <w:iCs/>
          <w:sz w:val="24"/>
          <w:szCs w:val="24"/>
          <w:lang w:val="en-US"/>
        </w:rPr>
        <w:t>Renal impairment</w:t>
      </w:r>
    </w:p>
    <w:p w:rsidR="00F51C65" w:rsidRPr="00F51C65" w:rsidRDefault="00F51C65" w:rsidP="00F51C65">
      <w:pPr>
        <w:tabs>
          <w:tab w:val="left" w:pos="851"/>
        </w:tabs>
        <w:ind w:left="851"/>
        <w:rPr>
          <w:sz w:val="24"/>
          <w:szCs w:val="24"/>
          <w:lang w:val="en-US"/>
        </w:rPr>
      </w:pPr>
      <w:r w:rsidRPr="00F51C65">
        <w:rPr>
          <w:sz w:val="24"/>
          <w:szCs w:val="24"/>
          <w:lang w:val="en-US"/>
        </w:rPr>
        <w:t>On the basis of pharmacokinetic data, no dose adjustment is necessary in patients with a creatinine clearance of &gt; 10 ml/min. Experience in patients with severe renal impairment is limited.</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proofErr w:type="spellStart"/>
      <w:r w:rsidRPr="00F51C65">
        <w:rPr>
          <w:i/>
          <w:iCs/>
          <w:sz w:val="24"/>
          <w:szCs w:val="24"/>
          <w:lang w:val="en-US"/>
        </w:rPr>
        <w:t>Paediatric</w:t>
      </w:r>
      <w:proofErr w:type="spellEnd"/>
      <w:r w:rsidRPr="00F51C65">
        <w:rPr>
          <w:i/>
          <w:iCs/>
          <w:sz w:val="24"/>
          <w:szCs w:val="24"/>
          <w:lang w:val="en-US"/>
        </w:rPr>
        <w:t xml:space="preserve"> population</w:t>
      </w:r>
    </w:p>
    <w:p w:rsidR="00F51C65" w:rsidRPr="00F51C65" w:rsidRDefault="00F51C65" w:rsidP="00F51C65">
      <w:pPr>
        <w:tabs>
          <w:tab w:val="left" w:pos="851"/>
        </w:tabs>
        <w:ind w:left="851"/>
        <w:rPr>
          <w:sz w:val="24"/>
          <w:szCs w:val="24"/>
          <w:lang w:val="en-US"/>
        </w:rPr>
      </w:pPr>
      <w:r w:rsidRPr="00F51C65">
        <w:rPr>
          <w:sz w:val="24"/>
          <w:szCs w:val="24"/>
          <w:lang w:val="en-US"/>
        </w:rPr>
        <w:t xml:space="preserve">The safety and efficacy of </w:t>
      </w:r>
      <w:proofErr w:type="spellStart"/>
      <w:r w:rsidRPr="00F51C65">
        <w:rPr>
          <w:sz w:val="24"/>
          <w:szCs w:val="24"/>
          <w:lang w:val="en-US"/>
        </w:rPr>
        <w:t>bendamustine</w:t>
      </w:r>
      <w:proofErr w:type="spellEnd"/>
      <w:r w:rsidRPr="00F51C65">
        <w:rPr>
          <w:sz w:val="24"/>
          <w:szCs w:val="24"/>
          <w:lang w:val="en-US"/>
        </w:rPr>
        <w:t xml:space="preserve"> hydrochloride in children have not yet been established. Current available data is not sufficient to make a recommendation on posology.</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i/>
          <w:iCs/>
          <w:sz w:val="24"/>
          <w:szCs w:val="24"/>
          <w:lang w:val="en-US"/>
        </w:rPr>
        <w:t>Elderly patients</w:t>
      </w:r>
    </w:p>
    <w:p w:rsidR="00F51C65" w:rsidRPr="00F51C65" w:rsidRDefault="00F51C65" w:rsidP="00F51C65">
      <w:pPr>
        <w:tabs>
          <w:tab w:val="left" w:pos="851"/>
        </w:tabs>
        <w:ind w:left="851"/>
        <w:rPr>
          <w:sz w:val="24"/>
          <w:szCs w:val="24"/>
          <w:lang w:val="en-US"/>
        </w:rPr>
      </w:pPr>
      <w:r w:rsidRPr="00F51C65">
        <w:rPr>
          <w:sz w:val="24"/>
          <w:szCs w:val="24"/>
          <w:lang w:val="en-US"/>
        </w:rPr>
        <w:t>There is no evidence that dose adjustments are necessary in elderly patients (see section 5.2).</w:t>
      </w:r>
    </w:p>
    <w:p w:rsidR="00F51C65" w:rsidRPr="00F51C65" w:rsidRDefault="00F51C65" w:rsidP="00F51C65">
      <w:pPr>
        <w:tabs>
          <w:tab w:val="left" w:pos="851"/>
        </w:tabs>
        <w:ind w:left="851"/>
        <w:rPr>
          <w:sz w:val="24"/>
          <w:szCs w:val="24"/>
          <w:u w:val="single"/>
          <w:lang w:val="en-US"/>
        </w:rPr>
      </w:pPr>
    </w:p>
    <w:p w:rsidR="00F51C65" w:rsidRPr="00F51C65" w:rsidRDefault="00F51C65" w:rsidP="00F51C65">
      <w:pPr>
        <w:tabs>
          <w:tab w:val="left" w:pos="851"/>
        </w:tabs>
        <w:ind w:left="851"/>
        <w:rPr>
          <w:sz w:val="24"/>
          <w:szCs w:val="24"/>
          <w:lang w:val="en-GB"/>
        </w:rPr>
      </w:pPr>
      <w:r w:rsidRPr="00F51C65">
        <w:rPr>
          <w:sz w:val="24"/>
          <w:szCs w:val="24"/>
          <w:u w:val="single"/>
          <w:lang w:val="en-GB"/>
        </w:rPr>
        <w:t xml:space="preserve">Method of administration </w:t>
      </w:r>
    </w:p>
    <w:p w:rsidR="00F51C65" w:rsidRPr="00F51C65" w:rsidRDefault="00F51C65" w:rsidP="00F51C65">
      <w:pPr>
        <w:tabs>
          <w:tab w:val="left" w:pos="851"/>
        </w:tabs>
        <w:ind w:left="851"/>
        <w:rPr>
          <w:sz w:val="24"/>
          <w:szCs w:val="24"/>
          <w:lang w:val="en-US"/>
        </w:rPr>
      </w:pPr>
      <w:r w:rsidRPr="00F51C65">
        <w:rPr>
          <w:sz w:val="24"/>
          <w:szCs w:val="24"/>
          <w:lang w:val="en-US"/>
        </w:rPr>
        <w:t>For intravenous infusion over 30 - 60 minutes (see section 6.6).</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sz w:val="24"/>
          <w:szCs w:val="24"/>
          <w:lang w:val="en-US"/>
        </w:rPr>
        <w:lastRenderedPageBreak/>
        <w:t>Infusion must be administered under the supervision of a physician qualified and experienced in the use of chemotherapeutic agents.</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sz w:val="24"/>
          <w:szCs w:val="24"/>
          <w:lang w:val="en-US"/>
        </w:rPr>
        <w:t xml:space="preserve">Poor bone marrow function is related to increased chemotherapy-induced </w:t>
      </w:r>
      <w:proofErr w:type="spellStart"/>
      <w:r w:rsidRPr="00F51C65">
        <w:rPr>
          <w:sz w:val="24"/>
          <w:szCs w:val="24"/>
          <w:lang w:val="en-US"/>
        </w:rPr>
        <w:t>haematological</w:t>
      </w:r>
      <w:proofErr w:type="spellEnd"/>
      <w:r w:rsidRPr="00F51C65">
        <w:rPr>
          <w:sz w:val="24"/>
          <w:szCs w:val="24"/>
          <w:lang w:val="en-US"/>
        </w:rPr>
        <w:t xml:space="preserve"> toxicity. Treatment should not be started if leukocyte and/or platelet values have dropped to &lt; 3,000/µl or &lt; 75,000/µl, respectively (see section 4.3).</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sz w:val="24"/>
          <w:szCs w:val="24"/>
          <w:lang w:val="en-US"/>
        </w:rPr>
        <w:t>Treatment should be terminated or delayed if leukocyte and/or platelet values have dropped to &lt; 3,000/µl or &lt; 75,000/µl, respectively. Treatment can be continued after leukocyte values have increased to &gt; 4,000/µl and platelet values to &gt; 100,000/µl.</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sz w:val="24"/>
          <w:szCs w:val="24"/>
          <w:lang w:val="en-US"/>
        </w:rPr>
        <w:t xml:space="preserve">The leukocyte and platelet Nadir </w:t>
      </w:r>
      <w:proofErr w:type="gramStart"/>
      <w:r w:rsidRPr="00F51C65">
        <w:rPr>
          <w:sz w:val="24"/>
          <w:szCs w:val="24"/>
          <w:lang w:val="en-US"/>
        </w:rPr>
        <w:t>is</w:t>
      </w:r>
      <w:proofErr w:type="gramEnd"/>
      <w:r w:rsidRPr="00F51C65">
        <w:rPr>
          <w:sz w:val="24"/>
          <w:szCs w:val="24"/>
          <w:lang w:val="en-US"/>
        </w:rPr>
        <w:t xml:space="preserve"> reached after 14-20 days with regeneration after 3-5 weeks. During therapy free intervals strict monitoring of the blood count is recommended (see section 4.4). </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sz w:val="24"/>
          <w:szCs w:val="24"/>
          <w:lang w:val="en-US"/>
        </w:rPr>
        <w:t>In case of non-</w:t>
      </w:r>
      <w:proofErr w:type="spellStart"/>
      <w:r w:rsidRPr="00F51C65">
        <w:rPr>
          <w:sz w:val="24"/>
          <w:szCs w:val="24"/>
          <w:lang w:val="en-US"/>
        </w:rPr>
        <w:t>haematological</w:t>
      </w:r>
      <w:proofErr w:type="spellEnd"/>
      <w:r w:rsidRPr="00F51C65">
        <w:rPr>
          <w:sz w:val="24"/>
          <w:szCs w:val="24"/>
          <w:lang w:val="en-US"/>
        </w:rPr>
        <w:t xml:space="preserve"> toxicity dose reductions have to be based on the worst CTC grades in the preceding cycle. A 50</w:t>
      </w:r>
      <w:r w:rsidR="00E23152">
        <w:rPr>
          <w:sz w:val="24"/>
          <w:szCs w:val="24"/>
          <w:lang w:val="en-US"/>
        </w:rPr>
        <w:t xml:space="preserve"> %</w:t>
      </w:r>
      <w:r w:rsidRPr="00F51C65">
        <w:rPr>
          <w:sz w:val="24"/>
          <w:szCs w:val="24"/>
          <w:lang w:val="en-US"/>
        </w:rPr>
        <w:t xml:space="preserve"> dose reduction is recommended in case of CTC grade 3 toxicity. An interruption of treatment is recommended in case of CTC grade 4 toxicity.</w:t>
      </w:r>
    </w:p>
    <w:p w:rsidR="00F51C65" w:rsidRPr="00F51C65" w:rsidRDefault="00F51C65" w:rsidP="00F51C65">
      <w:pPr>
        <w:tabs>
          <w:tab w:val="left" w:pos="851"/>
        </w:tabs>
        <w:ind w:left="851"/>
        <w:rPr>
          <w:sz w:val="24"/>
          <w:szCs w:val="24"/>
          <w:lang w:val="en-US"/>
        </w:rPr>
      </w:pPr>
      <w:r w:rsidRPr="00F51C65">
        <w:rPr>
          <w:sz w:val="24"/>
          <w:szCs w:val="24"/>
          <w:lang w:val="en-US"/>
        </w:rPr>
        <w:t>If a patient requires a dose modification the individually calculated reduced dose must be given on day 1 and 2 of the respective treatment cycle.</w:t>
      </w:r>
    </w:p>
    <w:p w:rsidR="00F51C65" w:rsidRPr="00F51C65" w:rsidRDefault="00F51C65" w:rsidP="00F51C65">
      <w:pPr>
        <w:tabs>
          <w:tab w:val="left" w:pos="851"/>
        </w:tabs>
        <w:ind w:left="851"/>
        <w:rPr>
          <w:sz w:val="24"/>
          <w:szCs w:val="24"/>
          <w:lang w:val="en-US"/>
        </w:rPr>
      </w:pPr>
    </w:p>
    <w:p w:rsidR="00F51C65" w:rsidRPr="00F51C65" w:rsidRDefault="00F51C65" w:rsidP="00F51C65">
      <w:pPr>
        <w:tabs>
          <w:tab w:val="left" w:pos="851"/>
        </w:tabs>
        <w:ind w:left="851"/>
        <w:rPr>
          <w:sz w:val="24"/>
          <w:szCs w:val="24"/>
          <w:lang w:val="en-US"/>
        </w:rPr>
      </w:pPr>
      <w:r w:rsidRPr="00F51C65">
        <w:rPr>
          <w:sz w:val="24"/>
          <w:szCs w:val="24"/>
          <w:lang w:val="en-US"/>
        </w:rPr>
        <w:t xml:space="preserve">For instructions on reconstitution and </w:t>
      </w:r>
      <w:proofErr w:type="gramStart"/>
      <w:r w:rsidRPr="00F51C65">
        <w:rPr>
          <w:sz w:val="24"/>
          <w:szCs w:val="24"/>
          <w:lang w:val="en-US"/>
        </w:rPr>
        <w:t>dilution  of</w:t>
      </w:r>
      <w:proofErr w:type="gramEnd"/>
      <w:r w:rsidRPr="00F51C65">
        <w:rPr>
          <w:sz w:val="24"/>
          <w:szCs w:val="24"/>
          <w:lang w:val="en-US"/>
        </w:rPr>
        <w:t xml:space="preserve"> the medicinal product before administration, see section 6.6.</w:t>
      </w:r>
    </w:p>
    <w:p w:rsidR="00F51C65" w:rsidRPr="00F51C65" w:rsidRDefault="00F51C65" w:rsidP="00F51C65">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517BF5" w:rsidRPr="00517BF5" w:rsidRDefault="00517BF5" w:rsidP="00517BF5">
      <w:pPr>
        <w:numPr>
          <w:ilvl w:val="0"/>
          <w:numId w:val="5"/>
        </w:numPr>
        <w:tabs>
          <w:tab w:val="left" w:pos="1134"/>
        </w:tabs>
        <w:ind w:left="1134" w:hanging="283"/>
        <w:rPr>
          <w:sz w:val="24"/>
          <w:szCs w:val="24"/>
          <w:lang w:val="en-US"/>
        </w:rPr>
      </w:pPr>
      <w:r w:rsidRPr="00517BF5">
        <w:rPr>
          <w:sz w:val="24"/>
          <w:szCs w:val="24"/>
          <w:lang w:val="en-US"/>
        </w:rPr>
        <w:t>Hypersensitivity to the active substance or to any of the excipients listed in section 6.1.</w:t>
      </w:r>
    </w:p>
    <w:p w:rsidR="00517BF5" w:rsidRPr="00517BF5" w:rsidRDefault="00517BF5" w:rsidP="00517BF5">
      <w:pPr>
        <w:numPr>
          <w:ilvl w:val="0"/>
          <w:numId w:val="5"/>
        </w:numPr>
        <w:tabs>
          <w:tab w:val="left" w:pos="1134"/>
        </w:tabs>
        <w:ind w:left="1134" w:hanging="283"/>
        <w:rPr>
          <w:sz w:val="24"/>
          <w:szCs w:val="24"/>
          <w:lang w:val="en-US"/>
        </w:rPr>
      </w:pPr>
      <w:r w:rsidRPr="00517BF5">
        <w:rPr>
          <w:sz w:val="24"/>
          <w:szCs w:val="24"/>
          <w:lang w:val="en-US"/>
        </w:rPr>
        <w:t>During breast-feeding</w:t>
      </w:r>
    </w:p>
    <w:p w:rsidR="00517BF5" w:rsidRPr="00517BF5" w:rsidRDefault="00517BF5" w:rsidP="00517BF5">
      <w:pPr>
        <w:numPr>
          <w:ilvl w:val="0"/>
          <w:numId w:val="5"/>
        </w:numPr>
        <w:tabs>
          <w:tab w:val="left" w:pos="1134"/>
        </w:tabs>
        <w:ind w:left="1134" w:hanging="283"/>
        <w:rPr>
          <w:sz w:val="24"/>
          <w:szCs w:val="24"/>
          <w:lang w:val="en-US"/>
        </w:rPr>
      </w:pPr>
      <w:r w:rsidRPr="00517BF5">
        <w:rPr>
          <w:sz w:val="24"/>
          <w:szCs w:val="24"/>
          <w:lang w:val="en-US"/>
        </w:rPr>
        <w:t>Severe hepatic impairment (serum bilirubin &gt; 3.0 mg/dl)</w:t>
      </w:r>
    </w:p>
    <w:p w:rsidR="00517BF5" w:rsidRPr="00517BF5" w:rsidRDefault="00517BF5" w:rsidP="00517BF5">
      <w:pPr>
        <w:numPr>
          <w:ilvl w:val="0"/>
          <w:numId w:val="5"/>
        </w:numPr>
        <w:tabs>
          <w:tab w:val="left" w:pos="1134"/>
        </w:tabs>
        <w:ind w:left="1134" w:hanging="283"/>
        <w:rPr>
          <w:sz w:val="24"/>
          <w:szCs w:val="24"/>
          <w:lang w:val="en-US"/>
        </w:rPr>
      </w:pPr>
      <w:r w:rsidRPr="00517BF5">
        <w:rPr>
          <w:sz w:val="24"/>
          <w:szCs w:val="24"/>
          <w:lang w:val="en-US"/>
        </w:rPr>
        <w:t>Jaundice</w:t>
      </w:r>
    </w:p>
    <w:p w:rsidR="00517BF5" w:rsidRPr="00517BF5" w:rsidRDefault="00517BF5" w:rsidP="00517BF5">
      <w:pPr>
        <w:numPr>
          <w:ilvl w:val="0"/>
          <w:numId w:val="5"/>
        </w:numPr>
        <w:tabs>
          <w:tab w:val="left" w:pos="1134"/>
        </w:tabs>
        <w:ind w:left="1134" w:hanging="283"/>
        <w:rPr>
          <w:sz w:val="24"/>
          <w:szCs w:val="24"/>
          <w:lang w:val="en-US"/>
        </w:rPr>
      </w:pPr>
      <w:r w:rsidRPr="00517BF5">
        <w:rPr>
          <w:sz w:val="24"/>
          <w:szCs w:val="24"/>
          <w:lang w:val="en-US"/>
        </w:rPr>
        <w:t>Severe bone marrow suppression and severe blood count alterations (leukocyte and/or platelet values dropped to &lt; 3,000/µl or &lt; 75,000/µl, respectively)</w:t>
      </w:r>
    </w:p>
    <w:p w:rsidR="00517BF5" w:rsidRPr="00517BF5" w:rsidRDefault="00517BF5" w:rsidP="00517BF5">
      <w:pPr>
        <w:numPr>
          <w:ilvl w:val="0"/>
          <w:numId w:val="5"/>
        </w:numPr>
        <w:tabs>
          <w:tab w:val="left" w:pos="1134"/>
        </w:tabs>
        <w:ind w:left="1134" w:hanging="283"/>
        <w:rPr>
          <w:sz w:val="24"/>
          <w:szCs w:val="24"/>
          <w:lang w:val="en-US"/>
        </w:rPr>
      </w:pPr>
      <w:r w:rsidRPr="00517BF5">
        <w:rPr>
          <w:sz w:val="24"/>
          <w:szCs w:val="24"/>
          <w:lang w:val="en-US"/>
        </w:rPr>
        <w:t>Major surgery less than 30 days before start of treatment</w:t>
      </w:r>
    </w:p>
    <w:p w:rsidR="00517BF5" w:rsidRPr="00517BF5" w:rsidRDefault="00517BF5" w:rsidP="00517BF5">
      <w:pPr>
        <w:numPr>
          <w:ilvl w:val="0"/>
          <w:numId w:val="5"/>
        </w:numPr>
        <w:tabs>
          <w:tab w:val="left" w:pos="1134"/>
        </w:tabs>
        <w:ind w:left="1134" w:hanging="283"/>
        <w:rPr>
          <w:sz w:val="24"/>
          <w:szCs w:val="24"/>
          <w:lang w:val="en-US"/>
        </w:rPr>
      </w:pPr>
      <w:r w:rsidRPr="00517BF5">
        <w:rPr>
          <w:sz w:val="24"/>
          <w:szCs w:val="24"/>
          <w:lang w:val="en-US"/>
        </w:rPr>
        <w:t>Infections, especially involving leukocytopenia</w:t>
      </w:r>
    </w:p>
    <w:p w:rsidR="00517BF5" w:rsidRPr="00517BF5" w:rsidRDefault="00517BF5" w:rsidP="00517BF5">
      <w:pPr>
        <w:numPr>
          <w:ilvl w:val="0"/>
          <w:numId w:val="5"/>
        </w:numPr>
        <w:tabs>
          <w:tab w:val="left" w:pos="1134"/>
        </w:tabs>
        <w:ind w:left="1134" w:hanging="283"/>
        <w:rPr>
          <w:sz w:val="24"/>
          <w:szCs w:val="24"/>
          <w:lang w:val="en-US"/>
        </w:rPr>
      </w:pPr>
      <w:r w:rsidRPr="00517BF5">
        <w:rPr>
          <w:sz w:val="24"/>
          <w:szCs w:val="24"/>
          <w:lang w:val="en-US"/>
        </w:rPr>
        <w:t>Yellow fever vaccination</w:t>
      </w:r>
    </w:p>
    <w:p w:rsidR="007C5D2A" w:rsidRPr="00303008" w:rsidRDefault="007C5D2A" w:rsidP="00517BF5">
      <w:pPr>
        <w:tabs>
          <w:tab w:val="left" w:pos="1134"/>
        </w:tabs>
        <w:ind w:left="1134" w:hanging="283"/>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517BF5" w:rsidRPr="00517BF5" w:rsidRDefault="00517BF5" w:rsidP="00517BF5">
      <w:pPr>
        <w:tabs>
          <w:tab w:val="left" w:pos="851"/>
        </w:tabs>
        <w:ind w:left="851"/>
        <w:rPr>
          <w:sz w:val="24"/>
          <w:szCs w:val="24"/>
          <w:lang w:val="en-GB"/>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 xml:space="preserve">Myelosuppression </w:t>
      </w:r>
    </w:p>
    <w:p w:rsidR="00517BF5" w:rsidRPr="00517BF5" w:rsidRDefault="00517BF5" w:rsidP="00517BF5">
      <w:pPr>
        <w:tabs>
          <w:tab w:val="left" w:pos="851"/>
        </w:tabs>
        <w:ind w:left="851"/>
        <w:rPr>
          <w:sz w:val="24"/>
          <w:szCs w:val="24"/>
          <w:lang w:val="en-US"/>
        </w:rPr>
      </w:pPr>
      <w:r w:rsidRPr="00517BF5">
        <w:rPr>
          <w:sz w:val="24"/>
          <w:szCs w:val="24"/>
          <w:lang w:val="en-US"/>
        </w:rPr>
        <w:t xml:space="preserve">Patients treated with </w:t>
      </w:r>
      <w:proofErr w:type="spellStart"/>
      <w:r w:rsidRPr="00517BF5">
        <w:rPr>
          <w:sz w:val="24"/>
          <w:szCs w:val="24"/>
          <w:lang w:val="en-US"/>
        </w:rPr>
        <w:t>bendamustine</w:t>
      </w:r>
      <w:proofErr w:type="spellEnd"/>
      <w:r w:rsidRPr="00517BF5">
        <w:rPr>
          <w:sz w:val="24"/>
          <w:szCs w:val="24"/>
          <w:lang w:val="en-US"/>
        </w:rPr>
        <w:t xml:space="preserve"> hydrochloride may experience myelosuppression. In the event of treatment-related myelosuppression, leukocytes, platelets, </w:t>
      </w:r>
      <w:proofErr w:type="spellStart"/>
      <w:r w:rsidRPr="00517BF5">
        <w:rPr>
          <w:sz w:val="24"/>
          <w:szCs w:val="24"/>
          <w:lang w:val="en-US"/>
        </w:rPr>
        <w:t>haemoglobin</w:t>
      </w:r>
      <w:proofErr w:type="spellEnd"/>
      <w:r w:rsidRPr="00517BF5">
        <w:rPr>
          <w:sz w:val="24"/>
          <w:szCs w:val="24"/>
          <w:lang w:val="en-US"/>
        </w:rPr>
        <w:t>, and neutrophils must be monitored at least weekly. Prior to the initiation of the next cycle of therapy, the following parameters are recommended: Leukocyte and/or platelet values &gt; 4,000/µl or &gt; 100,000/µl, respectively.</w:t>
      </w:r>
    </w:p>
    <w:p w:rsidR="00517BF5" w:rsidRPr="00517BF5" w:rsidRDefault="00517BF5" w:rsidP="00517BF5">
      <w:pPr>
        <w:tabs>
          <w:tab w:val="left" w:pos="851"/>
        </w:tabs>
        <w:ind w:left="851"/>
        <w:rPr>
          <w:sz w:val="24"/>
          <w:szCs w:val="24"/>
          <w:lang w:val="en-US"/>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Infections</w:t>
      </w:r>
    </w:p>
    <w:p w:rsidR="00517BF5" w:rsidRPr="00517BF5" w:rsidRDefault="00517BF5" w:rsidP="00517BF5">
      <w:pPr>
        <w:tabs>
          <w:tab w:val="left" w:pos="851"/>
        </w:tabs>
        <w:ind w:left="851"/>
        <w:rPr>
          <w:sz w:val="24"/>
          <w:szCs w:val="24"/>
          <w:lang w:val="en-US"/>
        </w:rPr>
      </w:pPr>
      <w:r w:rsidRPr="00517BF5">
        <w:rPr>
          <w:sz w:val="24"/>
          <w:szCs w:val="24"/>
          <w:lang w:val="en-US"/>
        </w:rPr>
        <w:t xml:space="preserve">Serious and fatal infections have occurred with </w:t>
      </w:r>
      <w:proofErr w:type="spellStart"/>
      <w:r w:rsidRPr="00517BF5">
        <w:rPr>
          <w:sz w:val="24"/>
          <w:szCs w:val="24"/>
          <w:lang w:val="en-US"/>
        </w:rPr>
        <w:t>bendamustine</w:t>
      </w:r>
      <w:proofErr w:type="spellEnd"/>
      <w:r w:rsidRPr="00517BF5">
        <w:rPr>
          <w:sz w:val="24"/>
          <w:szCs w:val="24"/>
          <w:lang w:val="en-US"/>
        </w:rPr>
        <w:t xml:space="preserve"> hydrochloride, including bacterial (sepsis, pneumonia) and opportunistic infections such as Pneumocystis </w:t>
      </w:r>
      <w:proofErr w:type="spellStart"/>
      <w:r w:rsidRPr="00517BF5">
        <w:rPr>
          <w:sz w:val="24"/>
          <w:szCs w:val="24"/>
          <w:lang w:val="en-US"/>
        </w:rPr>
        <w:t>jirovecii</w:t>
      </w:r>
      <w:proofErr w:type="spellEnd"/>
      <w:r w:rsidRPr="00517BF5">
        <w:rPr>
          <w:sz w:val="24"/>
          <w:szCs w:val="24"/>
          <w:lang w:val="en-US"/>
        </w:rPr>
        <w:t xml:space="preserve"> pneumonia (PJP), varicella zoster virus (VZV) and cytomegalovirus (CMV). Cases of progressive multifocal leukoencephalopathy (PML) including fatal ones have been </w:t>
      </w:r>
      <w:r w:rsidRPr="00517BF5">
        <w:rPr>
          <w:sz w:val="24"/>
          <w:szCs w:val="24"/>
          <w:lang w:val="en-US"/>
        </w:rPr>
        <w:lastRenderedPageBreak/>
        <w:t xml:space="preserve">reported following the use of </w:t>
      </w:r>
      <w:proofErr w:type="spellStart"/>
      <w:r w:rsidRPr="00517BF5">
        <w:rPr>
          <w:sz w:val="24"/>
          <w:szCs w:val="24"/>
          <w:lang w:val="en-US"/>
        </w:rPr>
        <w:t>bendamustine</w:t>
      </w:r>
      <w:proofErr w:type="spellEnd"/>
      <w:r w:rsidRPr="00517BF5">
        <w:rPr>
          <w:sz w:val="24"/>
          <w:szCs w:val="24"/>
          <w:lang w:val="en-US"/>
        </w:rPr>
        <w:t xml:space="preserve"> mainly in combination with rituximab or </w:t>
      </w:r>
      <w:proofErr w:type="spellStart"/>
      <w:r w:rsidRPr="00517BF5">
        <w:rPr>
          <w:sz w:val="24"/>
          <w:szCs w:val="24"/>
          <w:lang w:val="en-US"/>
        </w:rPr>
        <w:t>obinutuzumab</w:t>
      </w:r>
      <w:proofErr w:type="spellEnd"/>
      <w:r w:rsidRPr="00517BF5">
        <w:rPr>
          <w:sz w:val="24"/>
          <w:szCs w:val="24"/>
          <w:lang w:val="en-US"/>
        </w:rPr>
        <w:t xml:space="preserve">. Treatment with </w:t>
      </w:r>
      <w:proofErr w:type="spellStart"/>
      <w:r w:rsidRPr="00517BF5">
        <w:rPr>
          <w:sz w:val="24"/>
          <w:szCs w:val="24"/>
          <w:lang w:val="en-US"/>
        </w:rPr>
        <w:t>bendamustine</w:t>
      </w:r>
      <w:proofErr w:type="spellEnd"/>
      <w:r w:rsidRPr="00517BF5">
        <w:rPr>
          <w:sz w:val="24"/>
          <w:szCs w:val="24"/>
          <w:lang w:val="en-US"/>
        </w:rPr>
        <w:t xml:space="preserve"> hydrochloride may cause prolonged lymphocytopenia (&lt; 600/</w:t>
      </w:r>
      <w:proofErr w:type="spellStart"/>
      <w:r w:rsidRPr="00517BF5">
        <w:rPr>
          <w:sz w:val="24"/>
          <w:szCs w:val="24"/>
          <w:lang w:val="en-US"/>
        </w:rPr>
        <w:t>μl</w:t>
      </w:r>
      <w:proofErr w:type="spellEnd"/>
      <w:r w:rsidRPr="00517BF5">
        <w:rPr>
          <w:sz w:val="24"/>
          <w:szCs w:val="24"/>
          <w:lang w:val="en-US"/>
        </w:rPr>
        <w:t>) and low CD4-positive T-cell (T-helper cell) counts (&lt; 200/</w:t>
      </w:r>
      <w:proofErr w:type="spellStart"/>
      <w:r w:rsidRPr="00517BF5">
        <w:rPr>
          <w:sz w:val="24"/>
          <w:szCs w:val="24"/>
          <w:lang w:val="en-US"/>
        </w:rPr>
        <w:t>μl</w:t>
      </w:r>
      <w:proofErr w:type="spellEnd"/>
      <w:r w:rsidRPr="00517BF5">
        <w:rPr>
          <w:sz w:val="24"/>
          <w:szCs w:val="24"/>
          <w:lang w:val="en-US"/>
        </w:rPr>
        <w:t xml:space="preserve">) for at least 7–9 months after the completion of treatment. Lymphocytopenia and CD4-positive T-cell depletion </w:t>
      </w:r>
      <w:proofErr w:type="gramStart"/>
      <w:r w:rsidRPr="00517BF5">
        <w:rPr>
          <w:sz w:val="24"/>
          <w:szCs w:val="24"/>
          <w:lang w:val="en-US"/>
        </w:rPr>
        <w:t>are</w:t>
      </w:r>
      <w:proofErr w:type="gramEnd"/>
      <w:r w:rsidRPr="00517BF5">
        <w:rPr>
          <w:sz w:val="24"/>
          <w:szCs w:val="24"/>
          <w:lang w:val="en-US"/>
        </w:rPr>
        <w:t xml:space="preserve"> more pronounced when </w:t>
      </w:r>
      <w:proofErr w:type="spellStart"/>
      <w:r w:rsidRPr="00517BF5">
        <w:rPr>
          <w:sz w:val="24"/>
          <w:szCs w:val="24"/>
          <w:lang w:val="en-US"/>
        </w:rPr>
        <w:t>bendamustine</w:t>
      </w:r>
      <w:proofErr w:type="spellEnd"/>
      <w:r w:rsidRPr="00517BF5">
        <w:rPr>
          <w:sz w:val="24"/>
          <w:szCs w:val="24"/>
          <w:lang w:val="en-US"/>
        </w:rPr>
        <w:t xml:space="preserve"> is combined with rituximab. Patients with lymphopenia and low CD4-positive T-cell count following treatment with </w:t>
      </w:r>
      <w:proofErr w:type="spellStart"/>
      <w:r w:rsidRPr="00517BF5">
        <w:rPr>
          <w:sz w:val="24"/>
          <w:szCs w:val="24"/>
          <w:lang w:val="en-US"/>
        </w:rPr>
        <w:t>bendamustine</w:t>
      </w:r>
      <w:proofErr w:type="spellEnd"/>
      <w:r w:rsidRPr="00517BF5">
        <w:rPr>
          <w:sz w:val="24"/>
          <w:szCs w:val="24"/>
          <w:lang w:val="en-US"/>
        </w:rPr>
        <w:t xml:space="preserve"> hydrochloride are more susceptible to (opportunistic) infections. In case of low CD4-positive T-cell counts (&lt; 200/</w:t>
      </w:r>
      <w:proofErr w:type="spellStart"/>
      <w:r w:rsidRPr="00517BF5">
        <w:rPr>
          <w:sz w:val="24"/>
          <w:szCs w:val="24"/>
          <w:lang w:val="en-US"/>
        </w:rPr>
        <w:t>μl</w:t>
      </w:r>
      <w:proofErr w:type="spellEnd"/>
      <w:r w:rsidRPr="00517BF5">
        <w:rPr>
          <w:sz w:val="24"/>
          <w:szCs w:val="24"/>
          <w:lang w:val="en-US"/>
        </w:rPr>
        <w:t xml:space="preserve">) Pneumocystis </w:t>
      </w:r>
      <w:proofErr w:type="spellStart"/>
      <w:r w:rsidRPr="00517BF5">
        <w:rPr>
          <w:sz w:val="24"/>
          <w:szCs w:val="24"/>
          <w:lang w:val="en-US"/>
        </w:rPr>
        <w:t>jirovecii</w:t>
      </w:r>
      <w:proofErr w:type="spellEnd"/>
      <w:r w:rsidRPr="00517BF5">
        <w:rPr>
          <w:sz w:val="24"/>
          <w:szCs w:val="24"/>
          <w:lang w:val="en-US"/>
        </w:rPr>
        <w:t xml:space="preserve"> pneumonia (PJP) prophylaxis should be considered. All patients should be monitored for respiratory signs and symptoms throughout treatment. Patients should be advised to report new signs of infection, including fever or respiratory symptoms promptly. Discontinuation of </w:t>
      </w:r>
      <w:proofErr w:type="spellStart"/>
      <w:r w:rsidRPr="00517BF5">
        <w:rPr>
          <w:sz w:val="24"/>
          <w:szCs w:val="24"/>
          <w:lang w:val="en-US"/>
        </w:rPr>
        <w:t>bendamustine</w:t>
      </w:r>
      <w:proofErr w:type="spellEnd"/>
      <w:r w:rsidRPr="00517BF5">
        <w:rPr>
          <w:sz w:val="24"/>
          <w:szCs w:val="24"/>
          <w:lang w:val="en-US"/>
        </w:rPr>
        <w:t xml:space="preserve"> hydrochloride should be considered if there are signs of (opportunistic) infections.</w:t>
      </w:r>
    </w:p>
    <w:p w:rsidR="00517BF5" w:rsidRPr="00517BF5" w:rsidRDefault="00517BF5" w:rsidP="00517BF5">
      <w:pPr>
        <w:tabs>
          <w:tab w:val="left" w:pos="851"/>
        </w:tabs>
        <w:ind w:left="851"/>
        <w:rPr>
          <w:sz w:val="24"/>
          <w:szCs w:val="24"/>
          <w:lang w:val="en-US"/>
        </w:rPr>
      </w:pPr>
      <w:r w:rsidRPr="00517BF5">
        <w:rPr>
          <w:sz w:val="24"/>
          <w:szCs w:val="24"/>
          <w:lang w:val="en-US"/>
        </w:rPr>
        <w:t xml:space="preserve">Consider PML in the differential diagnosis in patients with new or worsening neurological, cognitive or </w:t>
      </w:r>
      <w:proofErr w:type="spellStart"/>
      <w:r w:rsidRPr="00517BF5">
        <w:rPr>
          <w:sz w:val="24"/>
          <w:szCs w:val="24"/>
          <w:lang w:val="en-US"/>
        </w:rPr>
        <w:t>behavioural</w:t>
      </w:r>
      <w:proofErr w:type="spellEnd"/>
      <w:r w:rsidRPr="00517BF5">
        <w:rPr>
          <w:sz w:val="24"/>
          <w:szCs w:val="24"/>
          <w:lang w:val="en-US"/>
        </w:rPr>
        <w:t xml:space="preserve"> signs or symptoms. If PML is suspected then appropriate diagnostic evaluations should be undertaken and treatment suspended until PML is excluded.</w:t>
      </w:r>
    </w:p>
    <w:p w:rsidR="00517BF5" w:rsidRPr="00517BF5" w:rsidRDefault="00517BF5" w:rsidP="00517BF5">
      <w:pPr>
        <w:tabs>
          <w:tab w:val="left" w:pos="851"/>
        </w:tabs>
        <w:ind w:left="851"/>
        <w:rPr>
          <w:sz w:val="24"/>
          <w:szCs w:val="24"/>
          <w:lang w:val="en-US"/>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 xml:space="preserve">Hepatitis B reactivation </w:t>
      </w:r>
    </w:p>
    <w:p w:rsidR="00517BF5" w:rsidRPr="00517BF5" w:rsidRDefault="00517BF5" w:rsidP="00517BF5">
      <w:pPr>
        <w:tabs>
          <w:tab w:val="left" w:pos="851"/>
        </w:tabs>
        <w:ind w:left="851"/>
        <w:rPr>
          <w:sz w:val="24"/>
          <w:szCs w:val="24"/>
          <w:lang w:val="en-US"/>
        </w:rPr>
      </w:pPr>
      <w:r w:rsidRPr="00517BF5">
        <w:rPr>
          <w:sz w:val="24"/>
          <w:szCs w:val="24"/>
          <w:lang w:val="en-US"/>
        </w:rPr>
        <w:t xml:space="preserve">Reactivation of hepatitis B in patients who are chronic carriers of this virus has occurred after these patients received </w:t>
      </w:r>
      <w:proofErr w:type="spellStart"/>
      <w:r w:rsidRPr="00517BF5">
        <w:rPr>
          <w:sz w:val="24"/>
          <w:szCs w:val="24"/>
          <w:lang w:val="en-US"/>
        </w:rPr>
        <w:t>bendamustine</w:t>
      </w:r>
      <w:proofErr w:type="spellEnd"/>
      <w:r w:rsidRPr="00517BF5">
        <w:rPr>
          <w:sz w:val="24"/>
          <w:szCs w:val="24"/>
          <w:lang w:val="en-US"/>
        </w:rPr>
        <w:t xml:space="preserve"> hydrochloride. Some cases resulted in acute hepatic failure or a fatal outcome. Patients should be tested for HBV infection before initiating treatment with </w:t>
      </w:r>
      <w:proofErr w:type="spellStart"/>
      <w:r w:rsidRPr="00517BF5">
        <w:rPr>
          <w:sz w:val="24"/>
          <w:szCs w:val="24"/>
          <w:lang w:val="en-US"/>
        </w:rPr>
        <w:t>bendamustine</w:t>
      </w:r>
      <w:proofErr w:type="spellEnd"/>
      <w:r w:rsidRPr="00517BF5">
        <w:rPr>
          <w:sz w:val="24"/>
          <w:szCs w:val="24"/>
          <w:lang w:val="en-US"/>
        </w:rPr>
        <w:t xml:space="preserve"> hydrochloride. Experts in liver disease and in the treatment of hepatitis B should be consulted before treatment is initiated in patients with positive hepatitis B tests (including those with active disease) and for patients who test positive for HBV infection during treatment. Carriers of HBV who require treatment with </w:t>
      </w:r>
      <w:proofErr w:type="spellStart"/>
      <w:r w:rsidRPr="00517BF5">
        <w:rPr>
          <w:sz w:val="24"/>
          <w:szCs w:val="24"/>
          <w:lang w:val="en-US"/>
        </w:rPr>
        <w:t>bendamustine</w:t>
      </w:r>
      <w:proofErr w:type="spellEnd"/>
      <w:r w:rsidRPr="00517BF5">
        <w:rPr>
          <w:sz w:val="24"/>
          <w:szCs w:val="24"/>
          <w:lang w:val="en-US"/>
        </w:rPr>
        <w:t xml:space="preserve"> hydrochloride should be closely monitored for signs and symptoms of active HBV infection throughout therapy and for several months following termination of therapy (see section 4.8).</w:t>
      </w:r>
    </w:p>
    <w:p w:rsidR="00517BF5" w:rsidRPr="00517BF5" w:rsidRDefault="00517BF5" w:rsidP="00517BF5">
      <w:pPr>
        <w:tabs>
          <w:tab w:val="left" w:pos="851"/>
        </w:tabs>
        <w:ind w:left="851"/>
        <w:rPr>
          <w:sz w:val="24"/>
          <w:szCs w:val="24"/>
          <w:lang w:val="en-US"/>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Skin reactions</w:t>
      </w:r>
    </w:p>
    <w:p w:rsidR="00517BF5" w:rsidRPr="00517BF5" w:rsidRDefault="00517BF5" w:rsidP="00517BF5">
      <w:pPr>
        <w:tabs>
          <w:tab w:val="left" w:pos="851"/>
        </w:tabs>
        <w:ind w:left="851"/>
        <w:rPr>
          <w:sz w:val="24"/>
          <w:szCs w:val="24"/>
          <w:lang w:val="en-US"/>
        </w:rPr>
      </w:pPr>
      <w:r w:rsidRPr="00517BF5">
        <w:rPr>
          <w:sz w:val="24"/>
          <w:szCs w:val="24"/>
          <w:lang w:val="en-US"/>
        </w:rPr>
        <w:t xml:space="preserve">A number of skin reactions have been reported. These events have included rash, severe cutaneous </w:t>
      </w:r>
      <w:proofErr w:type="gramStart"/>
      <w:r w:rsidRPr="00517BF5">
        <w:rPr>
          <w:sz w:val="24"/>
          <w:szCs w:val="24"/>
          <w:lang w:val="en-US"/>
        </w:rPr>
        <w:t>reactions  and</w:t>
      </w:r>
      <w:proofErr w:type="gramEnd"/>
      <w:r w:rsidRPr="00517BF5">
        <w:rPr>
          <w:sz w:val="24"/>
          <w:szCs w:val="24"/>
          <w:lang w:val="en-US"/>
        </w:rPr>
        <w:t xml:space="preserve"> bullous exanthema. Cases of Stevens – Johnson syndrome (SJS), Toxic Epidermal Necrolysis (TEN) and Drug Reaction with Eosinophilia and Systemic Symptoms (DRESS), some fatal, have been reported with the use of </w:t>
      </w:r>
      <w:proofErr w:type="spellStart"/>
      <w:r w:rsidRPr="00517BF5">
        <w:rPr>
          <w:sz w:val="24"/>
          <w:szCs w:val="24"/>
          <w:lang w:val="en-US"/>
        </w:rPr>
        <w:t>bendamustine</w:t>
      </w:r>
      <w:proofErr w:type="spellEnd"/>
      <w:r w:rsidRPr="00517BF5">
        <w:rPr>
          <w:sz w:val="24"/>
          <w:szCs w:val="24"/>
          <w:lang w:val="en-US"/>
        </w:rPr>
        <w:t xml:space="preserve"> hydrochloride. Patients should be advised of the signs and symptoms of these reactions by their prescribers and should be told to seek medical attention immediately if they develop these symptoms.</w:t>
      </w:r>
      <w:r w:rsidRPr="00517BF5">
        <w:rPr>
          <w:b/>
          <w:bCs/>
          <w:sz w:val="24"/>
          <w:szCs w:val="24"/>
          <w:lang w:val="en-US"/>
        </w:rPr>
        <w:t xml:space="preserve">  </w:t>
      </w:r>
      <w:r w:rsidRPr="00517BF5">
        <w:rPr>
          <w:sz w:val="24"/>
          <w:szCs w:val="24"/>
          <w:lang w:val="en-US"/>
        </w:rPr>
        <w:t xml:space="preserve">Some events occurred when </w:t>
      </w:r>
      <w:proofErr w:type="spellStart"/>
      <w:r w:rsidRPr="00517BF5">
        <w:rPr>
          <w:sz w:val="24"/>
          <w:szCs w:val="24"/>
          <w:lang w:val="en-US"/>
        </w:rPr>
        <w:t>bendamustine</w:t>
      </w:r>
      <w:proofErr w:type="spellEnd"/>
      <w:r w:rsidRPr="00517BF5">
        <w:rPr>
          <w:sz w:val="24"/>
          <w:szCs w:val="24"/>
          <w:lang w:val="en-US"/>
        </w:rPr>
        <w:t xml:space="preserve"> hydrochloride was given in combination with other anticancer agents, so the precise relationship is uncertain. When skin reactions occur, they may be progressive and increase in severity with further treatment. If skin reactions are progressive, </w:t>
      </w:r>
      <w:proofErr w:type="spellStart"/>
      <w:r w:rsidR="003F3CD2">
        <w:rPr>
          <w:sz w:val="24"/>
          <w:szCs w:val="24"/>
          <w:lang w:val="en-US"/>
        </w:rPr>
        <w:t>Bendamustinhydrochlorid</w:t>
      </w:r>
      <w:proofErr w:type="spellEnd"/>
      <w:r w:rsidR="003F3CD2">
        <w:rPr>
          <w:sz w:val="24"/>
          <w:szCs w:val="24"/>
          <w:lang w:val="en-US"/>
        </w:rPr>
        <w:t xml:space="preserve"> "</w:t>
      </w:r>
      <w:proofErr w:type="spellStart"/>
      <w:r w:rsidR="003F3CD2">
        <w:rPr>
          <w:sz w:val="24"/>
          <w:szCs w:val="24"/>
          <w:lang w:val="en-US"/>
        </w:rPr>
        <w:t>Hexal</w:t>
      </w:r>
      <w:proofErr w:type="spellEnd"/>
      <w:r w:rsidR="003F3CD2">
        <w:rPr>
          <w:sz w:val="24"/>
          <w:szCs w:val="24"/>
          <w:lang w:val="en-US"/>
        </w:rPr>
        <w:t>"</w:t>
      </w:r>
      <w:r w:rsidRPr="00517BF5">
        <w:rPr>
          <w:sz w:val="24"/>
          <w:szCs w:val="24"/>
          <w:lang w:val="en-US"/>
        </w:rPr>
        <w:t xml:space="preserve"> completed name] should be withheld or discontinued. For severe skin reactions with suspected relationship to </w:t>
      </w:r>
      <w:proofErr w:type="spellStart"/>
      <w:r w:rsidRPr="00517BF5">
        <w:rPr>
          <w:sz w:val="24"/>
          <w:szCs w:val="24"/>
          <w:lang w:val="en-US"/>
        </w:rPr>
        <w:t>bendamustine</w:t>
      </w:r>
      <w:proofErr w:type="spellEnd"/>
      <w:r w:rsidRPr="00517BF5">
        <w:rPr>
          <w:sz w:val="24"/>
          <w:szCs w:val="24"/>
          <w:lang w:val="en-US"/>
        </w:rPr>
        <w:t xml:space="preserve"> hydrochloride, treatment should be discontinued.</w:t>
      </w:r>
    </w:p>
    <w:p w:rsidR="00517BF5" w:rsidRPr="00517BF5" w:rsidRDefault="00517BF5" w:rsidP="00517BF5">
      <w:pPr>
        <w:tabs>
          <w:tab w:val="left" w:pos="851"/>
        </w:tabs>
        <w:ind w:left="851"/>
        <w:rPr>
          <w:i/>
          <w:sz w:val="24"/>
          <w:szCs w:val="24"/>
          <w:lang w:val="en-US"/>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 xml:space="preserve">Non-melanoma skin cancer </w:t>
      </w:r>
    </w:p>
    <w:p w:rsidR="00517BF5" w:rsidRPr="00517BF5" w:rsidRDefault="00517BF5" w:rsidP="00517BF5">
      <w:pPr>
        <w:tabs>
          <w:tab w:val="left" w:pos="851"/>
        </w:tabs>
        <w:ind w:left="851"/>
        <w:rPr>
          <w:sz w:val="24"/>
          <w:szCs w:val="24"/>
          <w:lang w:val="en-US"/>
        </w:rPr>
      </w:pPr>
      <w:r w:rsidRPr="00517BF5">
        <w:rPr>
          <w:sz w:val="24"/>
          <w:szCs w:val="24"/>
          <w:lang w:val="en-US"/>
        </w:rPr>
        <w:t xml:space="preserve">In clinical studies, an increased risk for non-melanoma skin cancers (basal cell carcinoma and squamous cell carcinoma) has been observed in patients treated with </w:t>
      </w:r>
      <w:proofErr w:type="spellStart"/>
      <w:r w:rsidRPr="00517BF5">
        <w:rPr>
          <w:sz w:val="24"/>
          <w:szCs w:val="24"/>
          <w:lang w:val="en-US"/>
        </w:rPr>
        <w:t>bendamustine</w:t>
      </w:r>
      <w:proofErr w:type="spellEnd"/>
      <w:r w:rsidRPr="00517BF5">
        <w:rPr>
          <w:sz w:val="24"/>
          <w:szCs w:val="24"/>
          <w:lang w:val="en-US"/>
        </w:rPr>
        <w:t xml:space="preserve"> containing therapies. Periodic skin examination is recommended for all patients, particularly those with risk factors for skin cancer.</w:t>
      </w:r>
    </w:p>
    <w:p w:rsidR="00517BF5" w:rsidRDefault="00517BF5">
      <w:pPr>
        <w:rPr>
          <w:sz w:val="24"/>
          <w:szCs w:val="24"/>
          <w:lang w:val="en-US"/>
        </w:rPr>
      </w:pPr>
      <w:r>
        <w:rPr>
          <w:sz w:val="24"/>
          <w:szCs w:val="24"/>
          <w:lang w:val="en-US"/>
        </w:rPr>
        <w:br w:type="page"/>
      </w:r>
    </w:p>
    <w:p w:rsidR="00517BF5" w:rsidRPr="00517BF5" w:rsidRDefault="00517BF5" w:rsidP="00517BF5">
      <w:pPr>
        <w:tabs>
          <w:tab w:val="left" w:pos="851"/>
        </w:tabs>
        <w:ind w:left="851"/>
        <w:rPr>
          <w:sz w:val="24"/>
          <w:szCs w:val="24"/>
          <w:lang w:val="en-US"/>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Cardiac disorders</w:t>
      </w:r>
    </w:p>
    <w:p w:rsidR="00517BF5" w:rsidRPr="00517BF5" w:rsidRDefault="00517BF5" w:rsidP="00517BF5">
      <w:pPr>
        <w:tabs>
          <w:tab w:val="left" w:pos="851"/>
        </w:tabs>
        <w:ind w:left="851"/>
        <w:rPr>
          <w:sz w:val="24"/>
          <w:szCs w:val="24"/>
          <w:lang w:val="en-US"/>
        </w:rPr>
      </w:pPr>
      <w:r w:rsidRPr="00517BF5">
        <w:rPr>
          <w:sz w:val="24"/>
          <w:szCs w:val="24"/>
          <w:lang w:val="en-US"/>
        </w:rPr>
        <w:t xml:space="preserve">During treatment with </w:t>
      </w:r>
      <w:proofErr w:type="spellStart"/>
      <w:r w:rsidRPr="00517BF5">
        <w:rPr>
          <w:sz w:val="24"/>
          <w:szCs w:val="24"/>
          <w:lang w:val="en-US"/>
        </w:rPr>
        <w:t>bendamustine</w:t>
      </w:r>
      <w:proofErr w:type="spellEnd"/>
      <w:r w:rsidRPr="00517BF5">
        <w:rPr>
          <w:sz w:val="24"/>
          <w:szCs w:val="24"/>
          <w:lang w:val="en-US"/>
        </w:rPr>
        <w:t xml:space="preserve"> hydrochloride the concentration of potassium in the blood of patients with cardiac disorders must be closely monitored and potassium supplement must be given when K+ &lt;3,5 </w:t>
      </w:r>
      <w:proofErr w:type="spellStart"/>
      <w:r w:rsidRPr="00517BF5">
        <w:rPr>
          <w:sz w:val="24"/>
          <w:szCs w:val="24"/>
          <w:lang w:val="en-US"/>
        </w:rPr>
        <w:t>mEq</w:t>
      </w:r>
      <w:proofErr w:type="spellEnd"/>
      <w:r w:rsidRPr="00517BF5">
        <w:rPr>
          <w:sz w:val="24"/>
          <w:szCs w:val="24"/>
          <w:lang w:val="en-US"/>
        </w:rPr>
        <w:t>/l, and ECG measurement must be performed.</w:t>
      </w:r>
    </w:p>
    <w:p w:rsidR="00517BF5" w:rsidRPr="00517BF5" w:rsidRDefault="00517BF5" w:rsidP="00517BF5">
      <w:pPr>
        <w:tabs>
          <w:tab w:val="left" w:pos="851"/>
        </w:tabs>
        <w:ind w:left="851"/>
        <w:rPr>
          <w:sz w:val="24"/>
          <w:szCs w:val="24"/>
          <w:lang w:val="en-US"/>
        </w:rPr>
      </w:pPr>
      <w:r w:rsidRPr="00517BF5">
        <w:rPr>
          <w:sz w:val="24"/>
          <w:szCs w:val="24"/>
          <w:lang w:val="en-US"/>
        </w:rPr>
        <w:t xml:space="preserve">Fatal cases of myocardial infarction and cardiac failure have been reported with </w:t>
      </w:r>
      <w:proofErr w:type="spellStart"/>
      <w:r w:rsidRPr="00517BF5">
        <w:rPr>
          <w:sz w:val="24"/>
          <w:szCs w:val="24"/>
          <w:lang w:val="en-US"/>
        </w:rPr>
        <w:t>bendamustine</w:t>
      </w:r>
      <w:proofErr w:type="spellEnd"/>
      <w:r w:rsidRPr="00517BF5">
        <w:rPr>
          <w:sz w:val="24"/>
          <w:szCs w:val="24"/>
          <w:lang w:val="en-US"/>
        </w:rPr>
        <w:t xml:space="preserve"> hydrochloride treatment. Patients with concurrent or history of cardiac disease should be observed closely.</w:t>
      </w:r>
    </w:p>
    <w:p w:rsidR="00517BF5" w:rsidRPr="00517BF5" w:rsidRDefault="00517BF5" w:rsidP="00517BF5">
      <w:pPr>
        <w:tabs>
          <w:tab w:val="left" w:pos="851"/>
        </w:tabs>
        <w:ind w:left="851"/>
        <w:rPr>
          <w:sz w:val="24"/>
          <w:szCs w:val="24"/>
          <w:lang w:val="en-US"/>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Nausea, vomiting</w:t>
      </w:r>
    </w:p>
    <w:p w:rsidR="00517BF5" w:rsidRPr="00517BF5" w:rsidRDefault="00517BF5" w:rsidP="00517BF5">
      <w:pPr>
        <w:tabs>
          <w:tab w:val="left" w:pos="851"/>
        </w:tabs>
        <w:ind w:left="851"/>
        <w:rPr>
          <w:sz w:val="24"/>
          <w:szCs w:val="24"/>
          <w:lang w:val="en-US"/>
        </w:rPr>
      </w:pPr>
      <w:r w:rsidRPr="00517BF5">
        <w:rPr>
          <w:sz w:val="24"/>
          <w:szCs w:val="24"/>
          <w:lang w:val="en-US"/>
        </w:rPr>
        <w:t>An antiemetic may be given for the symptomatic treatment of nausea and vomiting.</w:t>
      </w:r>
    </w:p>
    <w:p w:rsidR="00517BF5" w:rsidRPr="00517BF5" w:rsidRDefault="00517BF5" w:rsidP="00517BF5">
      <w:pPr>
        <w:tabs>
          <w:tab w:val="left" w:pos="851"/>
        </w:tabs>
        <w:ind w:left="851"/>
        <w:rPr>
          <w:sz w:val="24"/>
          <w:szCs w:val="24"/>
          <w:lang w:val="en-US"/>
        </w:rPr>
      </w:pPr>
    </w:p>
    <w:p w:rsidR="00517BF5" w:rsidRPr="00517BF5" w:rsidRDefault="00517BF5" w:rsidP="00517BF5">
      <w:pPr>
        <w:tabs>
          <w:tab w:val="left" w:pos="851"/>
        </w:tabs>
        <w:ind w:left="851"/>
        <w:rPr>
          <w:sz w:val="24"/>
          <w:szCs w:val="24"/>
          <w:u w:val="single"/>
          <w:lang w:val="en-US"/>
        </w:rPr>
      </w:pPr>
      <w:proofErr w:type="spellStart"/>
      <w:r w:rsidRPr="00517BF5">
        <w:rPr>
          <w:sz w:val="24"/>
          <w:szCs w:val="24"/>
          <w:u w:val="single"/>
          <w:lang w:val="en-US"/>
        </w:rPr>
        <w:t>Tumour</w:t>
      </w:r>
      <w:proofErr w:type="spellEnd"/>
      <w:r w:rsidRPr="00517BF5">
        <w:rPr>
          <w:sz w:val="24"/>
          <w:szCs w:val="24"/>
          <w:u w:val="single"/>
          <w:lang w:val="en-US"/>
        </w:rPr>
        <w:t xml:space="preserve"> lysis syndrome</w:t>
      </w:r>
    </w:p>
    <w:p w:rsidR="00517BF5" w:rsidRPr="00517BF5" w:rsidRDefault="00517BF5" w:rsidP="00517BF5">
      <w:pPr>
        <w:tabs>
          <w:tab w:val="left" w:pos="851"/>
        </w:tabs>
        <w:ind w:left="851"/>
        <w:rPr>
          <w:sz w:val="24"/>
          <w:szCs w:val="24"/>
          <w:lang w:val="en-US"/>
        </w:rPr>
      </w:pPr>
      <w:proofErr w:type="spellStart"/>
      <w:r w:rsidRPr="00517BF5">
        <w:rPr>
          <w:sz w:val="24"/>
          <w:szCs w:val="24"/>
          <w:lang w:val="en-US"/>
        </w:rPr>
        <w:t>Tumour</w:t>
      </w:r>
      <w:proofErr w:type="spellEnd"/>
      <w:r w:rsidRPr="00517BF5">
        <w:rPr>
          <w:sz w:val="24"/>
          <w:szCs w:val="24"/>
          <w:lang w:val="en-US"/>
        </w:rPr>
        <w:t xml:space="preserve"> lysis syndrome (TLS) associated with </w:t>
      </w:r>
      <w:proofErr w:type="spellStart"/>
      <w:r w:rsidRPr="00517BF5">
        <w:rPr>
          <w:sz w:val="24"/>
          <w:szCs w:val="24"/>
          <w:lang w:val="en-US"/>
        </w:rPr>
        <w:t>bendamustine</w:t>
      </w:r>
      <w:proofErr w:type="spellEnd"/>
      <w:r w:rsidRPr="00517BF5">
        <w:rPr>
          <w:sz w:val="24"/>
          <w:szCs w:val="24"/>
          <w:lang w:val="en-US"/>
        </w:rPr>
        <w:t xml:space="preserve"> hydrochloride treatment has been reported in patients in clinical trials. The onset tends to be within 48 hours of the first dose of </w:t>
      </w:r>
      <w:proofErr w:type="spellStart"/>
      <w:r w:rsidRPr="00517BF5">
        <w:rPr>
          <w:sz w:val="24"/>
          <w:szCs w:val="24"/>
          <w:lang w:val="en-US"/>
        </w:rPr>
        <w:t>bendamustine</w:t>
      </w:r>
      <w:proofErr w:type="spellEnd"/>
      <w:r w:rsidRPr="00517BF5">
        <w:rPr>
          <w:sz w:val="24"/>
          <w:szCs w:val="24"/>
          <w:lang w:val="en-US"/>
        </w:rPr>
        <w:t xml:space="preserve"> hydrochloride and, without intervention, may lead to acute renal failure and death. Preventive measures such as adequate hydration, close monitoring of blood chemistry, particularly potassium and uric acid levels, and the use of hypouricemic agents (allopurinol and </w:t>
      </w:r>
      <w:proofErr w:type="spellStart"/>
      <w:r w:rsidRPr="00517BF5">
        <w:rPr>
          <w:sz w:val="24"/>
          <w:szCs w:val="24"/>
          <w:lang w:val="en-US"/>
        </w:rPr>
        <w:t>rasburicase</w:t>
      </w:r>
      <w:proofErr w:type="spellEnd"/>
      <w:r w:rsidRPr="00517BF5">
        <w:rPr>
          <w:sz w:val="24"/>
          <w:szCs w:val="24"/>
          <w:lang w:val="en-US"/>
        </w:rPr>
        <w:t xml:space="preserve">) should be considered prior to therapy. There have been a few cases of Stevens-Johnson Syndrome and Toxic Epidermal Necrolysis reported when </w:t>
      </w:r>
      <w:proofErr w:type="spellStart"/>
      <w:r w:rsidRPr="00517BF5">
        <w:rPr>
          <w:sz w:val="24"/>
          <w:szCs w:val="24"/>
          <w:lang w:val="en-US"/>
        </w:rPr>
        <w:t>bendamustine</w:t>
      </w:r>
      <w:proofErr w:type="spellEnd"/>
      <w:r w:rsidRPr="00517BF5">
        <w:rPr>
          <w:sz w:val="24"/>
          <w:szCs w:val="24"/>
          <w:lang w:val="en-US"/>
        </w:rPr>
        <w:t xml:space="preserve"> and allopurinol are administered concomitantly.</w:t>
      </w:r>
    </w:p>
    <w:p w:rsidR="00517BF5" w:rsidRPr="00517BF5" w:rsidRDefault="00517BF5" w:rsidP="00517BF5">
      <w:pPr>
        <w:tabs>
          <w:tab w:val="left" w:pos="851"/>
        </w:tabs>
        <w:ind w:left="851"/>
        <w:rPr>
          <w:sz w:val="24"/>
          <w:szCs w:val="24"/>
          <w:lang w:val="en-US"/>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 xml:space="preserve">Anaphylaxis </w:t>
      </w:r>
    </w:p>
    <w:p w:rsidR="00517BF5" w:rsidRPr="00517BF5" w:rsidRDefault="00517BF5" w:rsidP="00517BF5">
      <w:pPr>
        <w:tabs>
          <w:tab w:val="left" w:pos="851"/>
        </w:tabs>
        <w:ind w:left="851"/>
        <w:rPr>
          <w:sz w:val="24"/>
          <w:szCs w:val="24"/>
          <w:lang w:val="en-US"/>
        </w:rPr>
      </w:pPr>
      <w:r w:rsidRPr="00517BF5">
        <w:rPr>
          <w:sz w:val="24"/>
          <w:szCs w:val="24"/>
          <w:lang w:val="en-US"/>
        </w:rPr>
        <w:t xml:space="preserve">Infusion reactions to </w:t>
      </w:r>
      <w:proofErr w:type="spellStart"/>
      <w:r w:rsidRPr="00517BF5">
        <w:rPr>
          <w:sz w:val="24"/>
          <w:szCs w:val="24"/>
          <w:lang w:val="en-US"/>
        </w:rPr>
        <w:t>bendamustine</w:t>
      </w:r>
      <w:proofErr w:type="spellEnd"/>
      <w:r w:rsidRPr="00517BF5">
        <w:rPr>
          <w:sz w:val="24"/>
          <w:szCs w:val="24"/>
          <w:lang w:val="en-US"/>
        </w:rPr>
        <w:t xml:space="preserve"> hydrochloride have occurred commonly in clinical trials. Symptoms are generally mild and include fever, chills, pruritus and rash. In rare instances severe anaphylactic and anaphylactoid reactions have occurred. Patients must be asked about symptoms suggestive of infusion reactions after their first cycle of therapy. Measures to prevent severe reactions, including antihistamines, antipyretics and corticosteroids must be considered in subsequent cycles in patients who have previously experienced infusion reactions.</w:t>
      </w:r>
    </w:p>
    <w:p w:rsidR="00517BF5" w:rsidRPr="00517BF5" w:rsidRDefault="00517BF5" w:rsidP="00517BF5">
      <w:pPr>
        <w:tabs>
          <w:tab w:val="left" w:pos="851"/>
        </w:tabs>
        <w:ind w:left="851"/>
        <w:rPr>
          <w:sz w:val="24"/>
          <w:szCs w:val="24"/>
          <w:lang w:val="en-US"/>
        </w:rPr>
      </w:pPr>
      <w:r w:rsidRPr="00517BF5">
        <w:rPr>
          <w:sz w:val="24"/>
          <w:szCs w:val="24"/>
          <w:lang w:val="en-US"/>
        </w:rPr>
        <w:t>Patients who experienced Grade 3 or worse allergic-type reactions were typically not re-challenged.</w:t>
      </w:r>
    </w:p>
    <w:p w:rsidR="00517BF5" w:rsidRPr="00517BF5" w:rsidRDefault="00517BF5" w:rsidP="00517BF5">
      <w:pPr>
        <w:tabs>
          <w:tab w:val="left" w:pos="851"/>
        </w:tabs>
        <w:ind w:left="851"/>
        <w:rPr>
          <w:sz w:val="24"/>
          <w:szCs w:val="24"/>
          <w:lang w:val="en-US"/>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Contraception</w:t>
      </w:r>
    </w:p>
    <w:p w:rsidR="00517BF5" w:rsidRPr="00517BF5" w:rsidRDefault="00517BF5" w:rsidP="00517BF5">
      <w:pPr>
        <w:tabs>
          <w:tab w:val="left" w:pos="851"/>
        </w:tabs>
        <w:ind w:left="851"/>
        <w:rPr>
          <w:sz w:val="24"/>
          <w:szCs w:val="24"/>
          <w:lang w:val="en-US"/>
        </w:rPr>
      </w:pPr>
      <w:proofErr w:type="spellStart"/>
      <w:r w:rsidRPr="00517BF5">
        <w:rPr>
          <w:sz w:val="24"/>
          <w:szCs w:val="24"/>
          <w:lang w:val="en-US"/>
        </w:rPr>
        <w:t>Bendamustine</w:t>
      </w:r>
      <w:proofErr w:type="spellEnd"/>
      <w:r w:rsidRPr="00517BF5">
        <w:rPr>
          <w:sz w:val="24"/>
          <w:szCs w:val="24"/>
          <w:lang w:val="en-US"/>
        </w:rPr>
        <w:t xml:space="preserve"> hydrochloride is teratogenic and mutagenic. </w:t>
      </w:r>
    </w:p>
    <w:p w:rsidR="00517BF5" w:rsidRPr="00517BF5" w:rsidRDefault="00517BF5" w:rsidP="00517BF5">
      <w:pPr>
        <w:tabs>
          <w:tab w:val="left" w:pos="851"/>
        </w:tabs>
        <w:ind w:left="851"/>
        <w:rPr>
          <w:sz w:val="24"/>
          <w:szCs w:val="24"/>
          <w:lang w:val="en-US"/>
        </w:rPr>
      </w:pPr>
      <w:r w:rsidRPr="00517BF5">
        <w:rPr>
          <w:sz w:val="24"/>
          <w:szCs w:val="24"/>
          <w:lang w:val="en-US"/>
        </w:rPr>
        <w:t xml:space="preserve">Women should not become pregnant during treatment. Male patients should not father a child during and up to 6 months after treatment. They should seek advice about sperm conservation prior to treatment with </w:t>
      </w:r>
      <w:proofErr w:type="spellStart"/>
      <w:r w:rsidRPr="00517BF5">
        <w:rPr>
          <w:sz w:val="24"/>
          <w:szCs w:val="24"/>
          <w:lang w:val="en-US"/>
        </w:rPr>
        <w:t>bendamustine</w:t>
      </w:r>
      <w:proofErr w:type="spellEnd"/>
      <w:r w:rsidRPr="00517BF5">
        <w:rPr>
          <w:sz w:val="24"/>
          <w:szCs w:val="24"/>
          <w:lang w:val="en-US"/>
        </w:rPr>
        <w:t xml:space="preserve"> hydrochloride because of possible irreversible infertility. </w:t>
      </w:r>
    </w:p>
    <w:p w:rsidR="00517BF5" w:rsidRPr="00517BF5" w:rsidRDefault="00517BF5" w:rsidP="00517BF5">
      <w:pPr>
        <w:tabs>
          <w:tab w:val="left" w:pos="851"/>
        </w:tabs>
        <w:ind w:left="851"/>
        <w:rPr>
          <w:sz w:val="24"/>
          <w:szCs w:val="24"/>
          <w:lang w:val="en-US"/>
        </w:rPr>
      </w:pPr>
    </w:p>
    <w:p w:rsidR="00517BF5" w:rsidRPr="00517BF5" w:rsidRDefault="00517BF5" w:rsidP="00517BF5">
      <w:pPr>
        <w:tabs>
          <w:tab w:val="left" w:pos="851"/>
        </w:tabs>
        <w:ind w:left="851"/>
        <w:rPr>
          <w:sz w:val="24"/>
          <w:szCs w:val="24"/>
          <w:u w:val="single"/>
          <w:lang w:val="en-US"/>
        </w:rPr>
      </w:pPr>
      <w:r w:rsidRPr="00517BF5">
        <w:rPr>
          <w:sz w:val="24"/>
          <w:szCs w:val="24"/>
          <w:u w:val="single"/>
          <w:lang w:val="en-US"/>
        </w:rPr>
        <w:t xml:space="preserve">Extravasation </w:t>
      </w:r>
    </w:p>
    <w:p w:rsidR="00517BF5" w:rsidRPr="00517BF5" w:rsidRDefault="00517BF5" w:rsidP="00517BF5">
      <w:pPr>
        <w:tabs>
          <w:tab w:val="left" w:pos="851"/>
        </w:tabs>
        <w:ind w:left="851"/>
        <w:rPr>
          <w:sz w:val="24"/>
          <w:szCs w:val="24"/>
          <w:lang w:val="en-US"/>
        </w:rPr>
      </w:pPr>
      <w:r w:rsidRPr="00517BF5">
        <w:rPr>
          <w:sz w:val="24"/>
          <w:szCs w:val="24"/>
          <w:lang w:val="en-US"/>
        </w:rPr>
        <w:t xml:space="preserve">An </w:t>
      </w:r>
      <w:proofErr w:type="spellStart"/>
      <w:r w:rsidRPr="00517BF5">
        <w:rPr>
          <w:sz w:val="24"/>
          <w:szCs w:val="24"/>
          <w:lang w:val="en-US"/>
        </w:rPr>
        <w:t>extravasal</w:t>
      </w:r>
      <w:proofErr w:type="spellEnd"/>
      <w:r w:rsidRPr="00517BF5">
        <w:rPr>
          <w:sz w:val="24"/>
          <w:szCs w:val="24"/>
          <w:lang w:val="en-US"/>
        </w:rPr>
        <w:t xml:space="preserve"> injection should be stopped immediately. The needle should be removed after a short aspiration. Thereafter the affected area of tissue should be cooled. The arm should be elevated. Additional treatments like the use of corticosteroids are not of clear benefit.</w:t>
      </w:r>
    </w:p>
    <w:p w:rsidR="007C5D2A" w:rsidRPr="00517BF5"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765729" w:rsidRPr="00765729" w:rsidRDefault="00765729" w:rsidP="00765729">
      <w:pPr>
        <w:tabs>
          <w:tab w:val="left" w:pos="851"/>
        </w:tabs>
        <w:ind w:left="851"/>
        <w:rPr>
          <w:sz w:val="24"/>
          <w:szCs w:val="24"/>
          <w:lang w:val="en-US"/>
        </w:rPr>
      </w:pPr>
      <w:r w:rsidRPr="00765729">
        <w:rPr>
          <w:sz w:val="24"/>
          <w:szCs w:val="24"/>
          <w:lang w:val="en-US"/>
        </w:rPr>
        <w:t xml:space="preserve">No </w:t>
      </w:r>
      <w:r w:rsidRPr="00765729">
        <w:rPr>
          <w:i/>
          <w:sz w:val="24"/>
          <w:szCs w:val="24"/>
          <w:lang w:val="en-US"/>
        </w:rPr>
        <w:t>in-vivo</w:t>
      </w:r>
      <w:r w:rsidRPr="00765729">
        <w:rPr>
          <w:sz w:val="24"/>
          <w:szCs w:val="24"/>
          <w:lang w:val="en-US"/>
        </w:rPr>
        <w:t xml:space="preserve"> interaction studies have been performed. </w:t>
      </w:r>
    </w:p>
    <w:p w:rsidR="00765729" w:rsidRPr="00765729" w:rsidRDefault="00765729" w:rsidP="00765729">
      <w:pPr>
        <w:tabs>
          <w:tab w:val="left" w:pos="851"/>
        </w:tabs>
        <w:ind w:left="851"/>
        <w:rPr>
          <w:sz w:val="24"/>
          <w:szCs w:val="24"/>
          <w:lang w:val="en-US"/>
        </w:rPr>
      </w:pPr>
    </w:p>
    <w:p w:rsidR="00765729" w:rsidRPr="00765729" w:rsidRDefault="00765729" w:rsidP="00765729">
      <w:pPr>
        <w:tabs>
          <w:tab w:val="left" w:pos="851"/>
        </w:tabs>
        <w:ind w:left="851"/>
        <w:rPr>
          <w:sz w:val="24"/>
          <w:szCs w:val="24"/>
          <w:lang w:val="en-US"/>
        </w:rPr>
      </w:pPr>
      <w:r w:rsidRPr="00765729">
        <w:rPr>
          <w:sz w:val="24"/>
          <w:szCs w:val="24"/>
          <w:lang w:val="en-US"/>
        </w:rPr>
        <w:lastRenderedPageBreak/>
        <w:t xml:space="preserve">When </w:t>
      </w:r>
      <w:proofErr w:type="spellStart"/>
      <w:r w:rsidRPr="00765729">
        <w:rPr>
          <w:sz w:val="24"/>
          <w:szCs w:val="24"/>
          <w:lang w:val="en-US"/>
        </w:rPr>
        <w:t>Bendamustinhydrochlorid</w:t>
      </w:r>
      <w:proofErr w:type="spellEnd"/>
      <w:r w:rsidRPr="00765729">
        <w:rPr>
          <w:sz w:val="24"/>
          <w:szCs w:val="24"/>
          <w:lang w:val="en-US"/>
        </w:rPr>
        <w:t xml:space="preserve"> "</w:t>
      </w:r>
      <w:proofErr w:type="spellStart"/>
      <w:r w:rsidRPr="00765729">
        <w:rPr>
          <w:sz w:val="24"/>
          <w:szCs w:val="24"/>
          <w:lang w:val="en-US"/>
        </w:rPr>
        <w:t>Hexal</w:t>
      </w:r>
      <w:proofErr w:type="spellEnd"/>
      <w:r w:rsidRPr="00765729">
        <w:rPr>
          <w:sz w:val="24"/>
          <w:szCs w:val="24"/>
          <w:lang w:val="en-US"/>
        </w:rPr>
        <w:t xml:space="preserve">" is combined with myelosuppressive agents, the effect of </w:t>
      </w:r>
      <w:proofErr w:type="spellStart"/>
      <w:r w:rsidRPr="00765729">
        <w:rPr>
          <w:sz w:val="24"/>
          <w:szCs w:val="24"/>
          <w:lang w:val="en-US"/>
        </w:rPr>
        <w:t>Bendamustinhydrochlorid</w:t>
      </w:r>
      <w:proofErr w:type="spellEnd"/>
      <w:r w:rsidRPr="00765729">
        <w:rPr>
          <w:sz w:val="24"/>
          <w:szCs w:val="24"/>
          <w:lang w:val="en-US"/>
        </w:rPr>
        <w:t xml:space="preserve"> "</w:t>
      </w:r>
      <w:proofErr w:type="spellStart"/>
      <w:r w:rsidRPr="00765729">
        <w:rPr>
          <w:sz w:val="24"/>
          <w:szCs w:val="24"/>
          <w:lang w:val="en-US"/>
        </w:rPr>
        <w:t>Hexal</w:t>
      </w:r>
      <w:proofErr w:type="spellEnd"/>
      <w:r w:rsidRPr="00765729">
        <w:rPr>
          <w:sz w:val="24"/>
          <w:szCs w:val="24"/>
          <w:lang w:val="en-US"/>
        </w:rPr>
        <w:t xml:space="preserve">" and/or the co-administered medicinal products on the bone marrow may be potentiated. Any treatment reducing the patient's performance status or impairing bone marrow function can increase the toxicity of </w:t>
      </w:r>
      <w:proofErr w:type="spellStart"/>
      <w:r w:rsidRPr="00765729">
        <w:rPr>
          <w:sz w:val="24"/>
          <w:szCs w:val="24"/>
          <w:lang w:val="en-US"/>
        </w:rPr>
        <w:t>Bendamustinhydrochlorid</w:t>
      </w:r>
      <w:proofErr w:type="spellEnd"/>
      <w:r w:rsidRPr="00765729">
        <w:rPr>
          <w:sz w:val="24"/>
          <w:szCs w:val="24"/>
          <w:lang w:val="en-US"/>
        </w:rPr>
        <w:t xml:space="preserve"> "</w:t>
      </w:r>
      <w:proofErr w:type="spellStart"/>
      <w:r w:rsidRPr="00765729">
        <w:rPr>
          <w:sz w:val="24"/>
          <w:szCs w:val="24"/>
          <w:lang w:val="en-US"/>
        </w:rPr>
        <w:t>Hexal</w:t>
      </w:r>
      <w:proofErr w:type="spellEnd"/>
      <w:r w:rsidRPr="00765729">
        <w:rPr>
          <w:sz w:val="24"/>
          <w:szCs w:val="24"/>
          <w:lang w:val="en-US"/>
        </w:rPr>
        <w:t xml:space="preserve">". </w:t>
      </w:r>
    </w:p>
    <w:p w:rsidR="00765729" w:rsidRPr="00765729" w:rsidRDefault="00765729" w:rsidP="00765729">
      <w:pPr>
        <w:tabs>
          <w:tab w:val="left" w:pos="851"/>
        </w:tabs>
        <w:ind w:left="851"/>
        <w:rPr>
          <w:sz w:val="24"/>
          <w:szCs w:val="24"/>
          <w:lang w:val="en-US"/>
        </w:rPr>
      </w:pPr>
    </w:p>
    <w:p w:rsidR="00765729" w:rsidRPr="00765729" w:rsidRDefault="00765729" w:rsidP="00765729">
      <w:pPr>
        <w:tabs>
          <w:tab w:val="left" w:pos="851"/>
        </w:tabs>
        <w:ind w:left="851"/>
        <w:rPr>
          <w:sz w:val="24"/>
          <w:szCs w:val="24"/>
          <w:lang w:val="en-US"/>
        </w:rPr>
      </w:pPr>
      <w:r w:rsidRPr="00765729">
        <w:rPr>
          <w:sz w:val="24"/>
          <w:szCs w:val="24"/>
          <w:lang w:val="en-US"/>
        </w:rPr>
        <w:t xml:space="preserve">Combination of </w:t>
      </w:r>
      <w:proofErr w:type="spellStart"/>
      <w:r w:rsidRPr="00765729">
        <w:rPr>
          <w:sz w:val="24"/>
          <w:szCs w:val="24"/>
          <w:lang w:val="en-US"/>
        </w:rPr>
        <w:t>Bendamustinhydrochlorid</w:t>
      </w:r>
      <w:proofErr w:type="spellEnd"/>
      <w:r w:rsidRPr="00765729">
        <w:rPr>
          <w:sz w:val="24"/>
          <w:szCs w:val="24"/>
          <w:lang w:val="en-US"/>
        </w:rPr>
        <w:t xml:space="preserve"> "</w:t>
      </w:r>
      <w:proofErr w:type="spellStart"/>
      <w:r w:rsidRPr="00765729">
        <w:rPr>
          <w:sz w:val="24"/>
          <w:szCs w:val="24"/>
          <w:lang w:val="en-US"/>
        </w:rPr>
        <w:t>Hexal</w:t>
      </w:r>
      <w:proofErr w:type="spellEnd"/>
      <w:r w:rsidRPr="00765729">
        <w:rPr>
          <w:sz w:val="24"/>
          <w:szCs w:val="24"/>
          <w:lang w:val="en-US"/>
        </w:rPr>
        <w:t>" with cyclosporine or tacrolimus may result in excessive immunosuppression with risk of lymphoproliferation.</w:t>
      </w:r>
    </w:p>
    <w:p w:rsidR="00765729" w:rsidRPr="00765729" w:rsidRDefault="00765729" w:rsidP="00765729">
      <w:pPr>
        <w:tabs>
          <w:tab w:val="left" w:pos="851"/>
        </w:tabs>
        <w:ind w:left="851"/>
        <w:rPr>
          <w:sz w:val="24"/>
          <w:szCs w:val="24"/>
          <w:lang w:val="en-US"/>
        </w:rPr>
      </w:pPr>
    </w:p>
    <w:p w:rsidR="00765729" w:rsidRPr="00765729" w:rsidRDefault="00765729" w:rsidP="00765729">
      <w:pPr>
        <w:tabs>
          <w:tab w:val="left" w:pos="851"/>
        </w:tabs>
        <w:ind w:left="851"/>
        <w:rPr>
          <w:sz w:val="24"/>
          <w:szCs w:val="24"/>
          <w:lang w:val="en-US"/>
        </w:rPr>
      </w:pPr>
      <w:proofErr w:type="spellStart"/>
      <w:r w:rsidRPr="00765729">
        <w:rPr>
          <w:sz w:val="24"/>
          <w:szCs w:val="24"/>
          <w:lang w:val="en-US"/>
        </w:rPr>
        <w:t>Cytostatics</w:t>
      </w:r>
      <w:proofErr w:type="spellEnd"/>
      <w:r w:rsidRPr="00765729">
        <w:rPr>
          <w:sz w:val="24"/>
          <w:szCs w:val="24"/>
          <w:lang w:val="en-US"/>
        </w:rPr>
        <w:t xml:space="preserve"> can reduce antibody formation following live-virus vaccination and increase the risk of infection which may lead to fatal outcome. This risk is increased in subjects who are already immunosuppressed by their underlying disease. </w:t>
      </w:r>
    </w:p>
    <w:p w:rsidR="00765729" w:rsidRPr="00765729" w:rsidRDefault="00765729" w:rsidP="00765729">
      <w:pPr>
        <w:tabs>
          <w:tab w:val="left" w:pos="851"/>
        </w:tabs>
        <w:ind w:left="851"/>
        <w:rPr>
          <w:sz w:val="24"/>
          <w:szCs w:val="24"/>
          <w:lang w:val="en-US"/>
        </w:rPr>
      </w:pPr>
    </w:p>
    <w:p w:rsidR="00765729" w:rsidRPr="00765729" w:rsidRDefault="00765729" w:rsidP="00765729">
      <w:pPr>
        <w:tabs>
          <w:tab w:val="left" w:pos="851"/>
        </w:tabs>
        <w:ind w:left="851"/>
        <w:rPr>
          <w:sz w:val="24"/>
          <w:szCs w:val="24"/>
          <w:lang w:val="en-US"/>
        </w:rPr>
      </w:pPr>
      <w:proofErr w:type="spellStart"/>
      <w:r w:rsidRPr="00765729">
        <w:rPr>
          <w:sz w:val="24"/>
          <w:szCs w:val="24"/>
          <w:lang w:val="en-US"/>
        </w:rPr>
        <w:t>Bendamustine</w:t>
      </w:r>
      <w:proofErr w:type="spellEnd"/>
      <w:r w:rsidRPr="00765729">
        <w:rPr>
          <w:sz w:val="24"/>
          <w:szCs w:val="24"/>
          <w:lang w:val="en-US"/>
        </w:rPr>
        <w:t xml:space="preserve"> metabolism involves cytochrome P450 (CYP) 1A2 isoenzyme (see section 5.2). Therefore, potential for interaction with CYP1A2 inhibitors such as fluvoxamine, ciprofloxacin, acyclovir or cimetidine exists.</w:t>
      </w:r>
    </w:p>
    <w:p w:rsidR="00765729" w:rsidRPr="00765729" w:rsidRDefault="00765729" w:rsidP="00765729">
      <w:pPr>
        <w:tabs>
          <w:tab w:val="left" w:pos="851"/>
        </w:tabs>
        <w:ind w:left="851"/>
        <w:rPr>
          <w:sz w:val="24"/>
          <w:szCs w:val="24"/>
          <w:lang w:val="en-US"/>
        </w:rPr>
      </w:pPr>
    </w:p>
    <w:p w:rsidR="00765729" w:rsidRPr="00765729" w:rsidRDefault="00765729" w:rsidP="00765729">
      <w:pPr>
        <w:tabs>
          <w:tab w:val="left" w:pos="851"/>
        </w:tabs>
        <w:ind w:left="851"/>
        <w:rPr>
          <w:sz w:val="24"/>
          <w:szCs w:val="24"/>
          <w:u w:val="single"/>
          <w:lang w:val="en-US"/>
        </w:rPr>
      </w:pPr>
      <w:proofErr w:type="spellStart"/>
      <w:r w:rsidRPr="00765729">
        <w:rPr>
          <w:sz w:val="24"/>
          <w:szCs w:val="24"/>
          <w:u w:val="single"/>
          <w:lang w:val="en-US"/>
        </w:rPr>
        <w:t>Paediatric</w:t>
      </w:r>
      <w:proofErr w:type="spellEnd"/>
      <w:r w:rsidRPr="00765729">
        <w:rPr>
          <w:sz w:val="24"/>
          <w:szCs w:val="24"/>
          <w:u w:val="single"/>
          <w:lang w:val="en-US"/>
        </w:rPr>
        <w:t xml:space="preserve"> population</w:t>
      </w:r>
    </w:p>
    <w:p w:rsidR="00765729" w:rsidRPr="00765729" w:rsidRDefault="00765729" w:rsidP="00765729">
      <w:pPr>
        <w:tabs>
          <w:tab w:val="left" w:pos="851"/>
        </w:tabs>
        <w:ind w:left="851"/>
        <w:rPr>
          <w:sz w:val="24"/>
          <w:szCs w:val="24"/>
          <w:lang w:val="en-US"/>
        </w:rPr>
      </w:pPr>
      <w:r w:rsidRPr="00765729">
        <w:rPr>
          <w:sz w:val="24"/>
          <w:szCs w:val="24"/>
          <w:lang w:val="en-US"/>
        </w:rPr>
        <w:t>Interaction studies have only been performed in adults.</w:t>
      </w:r>
    </w:p>
    <w:p w:rsidR="007C5D2A" w:rsidRPr="00765729"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090881" w:rsidRPr="00090881" w:rsidRDefault="00090881" w:rsidP="00090881">
      <w:pPr>
        <w:tabs>
          <w:tab w:val="left" w:pos="851"/>
        </w:tabs>
        <w:ind w:left="851"/>
        <w:rPr>
          <w:sz w:val="24"/>
          <w:szCs w:val="24"/>
          <w:u w:val="single"/>
          <w:lang w:val="en-US"/>
        </w:rPr>
      </w:pPr>
    </w:p>
    <w:p w:rsidR="00090881" w:rsidRPr="00090881" w:rsidRDefault="00090881" w:rsidP="00090881">
      <w:pPr>
        <w:tabs>
          <w:tab w:val="left" w:pos="851"/>
        </w:tabs>
        <w:ind w:left="851"/>
        <w:rPr>
          <w:sz w:val="24"/>
          <w:szCs w:val="24"/>
          <w:u w:val="single"/>
          <w:lang w:val="en-US"/>
        </w:rPr>
      </w:pPr>
      <w:r w:rsidRPr="00090881">
        <w:rPr>
          <w:sz w:val="24"/>
          <w:szCs w:val="24"/>
          <w:u w:val="single"/>
          <w:lang w:val="en-US"/>
        </w:rPr>
        <w:t>Pregnancy</w:t>
      </w:r>
    </w:p>
    <w:p w:rsidR="00090881" w:rsidRPr="00090881" w:rsidRDefault="00090881" w:rsidP="00090881">
      <w:pPr>
        <w:tabs>
          <w:tab w:val="left" w:pos="851"/>
        </w:tabs>
        <w:ind w:left="851"/>
        <w:rPr>
          <w:sz w:val="24"/>
          <w:szCs w:val="24"/>
          <w:lang w:val="en-US"/>
        </w:rPr>
      </w:pPr>
      <w:r w:rsidRPr="00090881">
        <w:rPr>
          <w:sz w:val="24"/>
          <w:szCs w:val="24"/>
          <w:lang w:val="en-US"/>
        </w:rPr>
        <w:t xml:space="preserve">There are insufficient data from the use of </w:t>
      </w:r>
      <w:proofErr w:type="spellStart"/>
      <w:r w:rsidRPr="00090881">
        <w:rPr>
          <w:sz w:val="24"/>
          <w:szCs w:val="24"/>
          <w:lang w:val="en-US"/>
        </w:rPr>
        <w:t>bendamustine</w:t>
      </w:r>
      <w:proofErr w:type="spellEnd"/>
      <w:r w:rsidRPr="00090881">
        <w:rPr>
          <w:sz w:val="24"/>
          <w:szCs w:val="24"/>
          <w:lang w:val="en-US"/>
        </w:rPr>
        <w:t xml:space="preserve"> hydrochloride in pregnant women. In nonclinical studies </w:t>
      </w:r>
      <w:proofErr w:type="spellStart"/>
      <w:r w:rsidRPr="00090881">
        <w:rPr>
          <w:sz w:val="24"/>
          <w:szCs w:val="24"/>
          <w:lang w:val="en-US"/>
        </w:rPr>
        <w:t>bendamustine</w:t>
      </w:r>
      <w:proofErr w:type="spellEnd"/>
      <w:r w:rsidRPr="00090881">
        <w:rPr>
          <w:sz w:val="24"/>
          <w:szCs w:val="24"/>
          <w:lang w:val="en-US"/>
        </w:rPr>
        <w:t xml:space="preserve"> hydrochloride was embryo-/</w:t>
      </w:r>
      <w:proofErr w:type="spellStart"/>
      <w:r w:rsidRPr="00090881">
        <w:rPr>
          <w:sz w:val="24"/>
          <w:szCs w:val="24"/>
          <w:lang w:val="en-US"/>
        </w:rPr>
        <w:t>fetolethal</w:t>
      </w:r>
      <w:proofErr w:type="spellEnd"/>
      <w:r w:rsidRPr="00090881">
        <w:rPr>
          <w:sz w:val="24"/>
          <w:szCs w:val="24"/>
          <w:lang w:val="en-US"/>
        </w:rPr>
        <w:t xml:space="preserve">, teratogenic and genotoxic (see section 5.3). During pregnancy </w:t>
      </w:r>
      <w:proofErr w:type="spellStart"/>
      <w:r w:rsidRPr="00090881">
        <w:rPr>
          <w:sz w:val="24"/>
          <w:szCs w:val="24"/>
          <w:lang w:val="en-US"/>
        </w:rPr>
        <w:t>Bendamustinhydrochlorid</w:t>
      </w:r>
      <w:proofErr w:type="spellEnd"/>
      <w:r w:rsidRPr="00090881">
        <w:rPr>
          <w:sz w:val="24"/>
          <w:szCs w:val="24"/>
          <w:lang w:val="en-US"/>
        </w:rPr>
        <w:t xml:space="preserve"> "</w:t>
      </w:r>
      <w:proofErr w:type="spellStart"/>
      <w:r w:rsidRPr="00090881">
        <w:rPr>
          <w:sz w:val="24"/>
          <w:szCs w:val="24"/>
          <w:lang w:val="en-US"/>
        </w:rPr>
        <w:t>Hexal</w:t>
      </w:r>
      <w:proofErr w:type="spellEnd"/>
      <w:r w:rsidRPr="00090881">
        <w:rPr>
          <w:sz w:val="24"/>
          <w:szCs w:val="24"/>
          <w:lang w:val="en-US"/>
        </w:rPr>
        <w:t xml:space="preserve">" should not be used unless clearly necessary. The mother should be informed about the risk to the </w:t>
      </w:r>
      <w:proofErr w:type="spellStart"/>
      <w:r w:rsidRPr="00090881">
        <w:rPr>
          <w:sz w:val="24"/>
          <w:szCs w:val="24"/>
          <w:lang w:val="en-US"/>
        </w:rPr>
        <w:t>foetus</w:t>
      </w:r>
      <w:proofErr w:type="spellEnd"/>
      <w:r w:rsidRPr="00090881">
        <w:rPr>
          <w:sz w:val="24"/>
          <w:szCs w:val="24"/>
          <w:lang w:val="en-US"/>
        </w:rPr>
        <w:t xml:space="preserve">. If treatment with </w:t>
      </w:r>
      <w:proofErr w:type="spellStart"/>
      <w:r w:rsidRPr="00090881">
        <w:rPr>
          <w:sz w:val="24"/>
          <w:szCs w:val="24"/>
          <w:lang w:val="en-US"/>
        </w:rPr>
        <w:t>Bendamustinhydrochlorid</w:t>
      </w:r>
      <w:proofErr w:type="spellEnd"/>
      <w:r w:rsidRPr="00090881">
        <w:rPr>
          <w:sz w:val="24"/>
          <w:szCs w:val="24"/>
          <w:lang w:val="en-US"/>
        </w:rPr>
        <w:t xml:space="preserve"> "</w:t>
      </w:r>
      <w:proofErr w:type="spellStart"/>
      <w:r w:rsidRPr="00090881">
        <w:rPr>
          <w:sz w:val="24"/>
          <w:szCs w:val="24"/>
          <w:lang w:val="en-US"/>
        </w:rPr>
        <w:t>Hexal</w:t>
      </w:r>
      <w:proofErr w:type="spellEnd"/>
      <w:r w:rsidRPr="00090881">
        <w:rPr>
          <w:sz w:val="24"/>
          <w:szCs w:val="24"/>
          <w:lang w:val="en-US"/>
        </w:rPr>
        <w:t>" is absolutely necessary during pregnancy or if pregnancy occurs during treatment, the patient should be informed about the risks for the unborn child and be monitored carefully. The possibility of genetic counselling should be considered.</w:t>
      </w:r>
    </w:p>
    <w:p w:rsidR="00090881" w:rsidRPr="00090881" w:rsidRDefault="00090881" w:rsidP="00090881">
      <w:pPr>
        <w:tabs>
          <w:tab w:val="left" w:pos="851"/>
        </w:tabs>
        <w:ind w:left="851"/>
        <w:rPr>
          <w:sz w:val="24"/>
          <w:szCs w:val="24"/>
          <w:lang w:val="en-US"/>
        </w:rPr>
      </w:pPr>
    </w:p>
    <w:p w:rsidR="00090881" w:rsidRPr="00090881" w:rsidRDefault="00090881" w:rsidP="00090881">
      <w:pPr>
        <w:tabs>
          <w:tab w:val="left" w:pos="851"/>
        </w:tabs>
        <w:ind w:left="851"/>
        <w:rPr>
          <w:sz w:val="24"/>
          <w:szCs w:val="24"/>
          <w:u w:val="single"/>
          <w:lang w:val="en-US"/>
        </w:rPr>
      </w:pPr>
      <w:r w:rsidRPr="00090881">
        <w:rPr>
          <w:sz w:val="24"/>
          <w:szCs w:val="24"/>
          <w:u w:val="single"/>
          <w:lang w:val="en-US"/>
        </w:rPr>
        <w:t>Breast-feeding</w:t>
      </w:r>
    </w:p>
    <w:p w:rsidR="00090881" w:rsidRPr="00090881" w:rsidRDefault="00090881" w:rsidP="00090881">
      <w:pPr>
        <w:tabs>
          <w:tab w:val="left" w:pos="851"/>
        </w:tabs>
        <w:ind w:left="851"/>
        <w:rPr>
          <w:sz w:val="24"/>
          <w:szCs w:val="24"/>
          <w:lang w:val="en-US"/>
        </w:rPr>
      </w:pPr>
      <w:r w:rsidRPr="00090881">
        <w:rPr>
          <w:sz w:val="24"/>
          <w:szCs w:val="24"/>
          <w:lang w:val="en-US"/>
        </w:rPr>
        <w:t xml:space="preserve">It is not known whether </w:t>
      </w:r>
      <w:proofErr w:type="spellStart"/>
      <w:r w:rsidRPr="00090881">
        <w:rPr>
          <w:sz w:val="24"/>
          <w:szCs w:val="24"/>
          <w:lang w:val="en-US"/>
        </w:rPr>
        <w:t>bendamustine</w:t>
      </w:r>
      <w:proofErr w:type="spellEnd"/>
      <w:r w:rsidRPr="00090881">
        <w:rPr>
          <w:sz w:val="24"/>
          <w:szCs w:val="24"/>
          <w:lang w:val="en-US"/>
        </w:rPr>
        <w:t xml:space="preserve"> passes into the breast milk, therefore, </w:t>
      </w:r>
      <w:proofErr w:type="spellStart"/>
      <w:r w:rsidRPr="00090881">
        <w:rPr>
          <w:sz w:val="24"/>
          <w:szCs w:val="24"/>
          <w:lang w:val="en-US"/>
        </w:rPr>
        <w:t>Bendamustinhydrochlorid</w:t>
      </w:r>
      <w:proofErr w:type="spellEnd"/>
      <w:r w:rsidRPr="00090881">
        <w:rPr>
          <w:sz w:val="24"/>
          <w:szCs w:val="24"/>
          <w:lang w:val="en-US"/>
        </w:rPr>
        <w:t xml:space="preserve"> "</w:t>
      </w:r>
      <w:proofErr w:type="spellStart"/>
      <w:r w:rsidRPr="00090881">
        <w:rPr>
          <w:sz w:val="24"/>
          <w:szCs w:val="24"/>
          <w:lang w:val="en-US"/>
        </w:rPr>
        <w:t>Hexal</w:t>
      </w:r>
      <w:proofErr w:type="spellEnd"/>
      <w:r w:rsidRPr="00090881">
        <w:rPr>
          <w:sz w:val="24"/>
          <w:szCs w:val="24"/>
          <w:lang w:val="en-US"/>
        </w:rPr>
        <w:t xml:space="preserve">" is contraindicated during breast-feeding (see section 4.3). Breast-feeding must be discontinued during treatment with </w:t>
      </w:r>
      <w:proofErr w:type="spellStart"/>
      <w:r w:rsidRPr="00090881">
        <w:rPr>
          <w:sz w:val="24"/>
          <w:szCs w:val="24"/>
          <w:lang w:val="en-US"/>
        </w:rPr>
        <w:t>Bendamustinhydrochlorid</w:t>
      </w:r>
      <w:proofErr w:type="spellEnd"/>
      <w:r w:rsidRPr="00090881">
        <w:rPr>
          <w:sz w:val="24"/>
          <w:szCs w:val="24"/>
          <w:lang w:val="en-US"/>
        </w:rPr>
        <w:t xml:space="preserve"> "</w:t>
      </w:r>
      <w:proofErr w:type="spellStart"/>
      <w:r w:rsidRPr="00090881">
        <w:rPr>
          <w:sz w:val="24"/>
          <w:szCs w:val="24"/>
          <w:lang w:val="en-US"/>
        </w:rPr>
        <w:t>Hexal</w:t>
      </w:r>
      <w:proofErr w:type="spellEnd"/>
      <w:r w:rsidRPr="00090881">
        <w:rPr>
          <w:sz w:val="24"/>
          <w:szCs w:val="24"/>
          <w:lang w:val="en-US"/>
        </w:rPr>
        <w:t>".</w:t>
      </w:r>
    </w:p>
    <w:p w:rsidR="00090881" w:rsidRPr="00090881" w:rsidRDefault="00090881" w:rsidP="00090881">
      <w:pPr>
        <w:tabs>
          <w:tab w:val="left" w:pos="851"/>
        </w:tabs>
        <w:ind w:left="851"/>
        <w:rPr>
          <w:sz w:val="24"/>
          <w:szCs w:val="24"/>
          <w:u w:val="single"/>
          <w:lang w:val="en-US"/>
        </w:rPr>
      </w:pPr>
    </w:p>
    <w:p w:rsidR="00090881" w:rsidRPr="00090881" w:rsidRDefault="00090881" w:rsidP="00090881">
      <w:pPr>
        <w:tabs>
          <w:tab w:val="left" w:pos="851"/>
        </w:tabs>
        <w:ind w:left="851"/>
        <w:rPr>
          <w:sz w:val="24"/>
          <w:szCs w:val="24"/>
          <w:u w:val="single"/>
          <w:lang w:val="en-US"/>
        </w:rPr>
      </w:pPr>
      <w:r w:rsidRPr="00090881">
        <w:rPr>
          <w:sz w:val="24"/>
          <w:szCs w:val="24"/>
          <w:u w:val="single"/>
          <w:lang w:val="en-US"/>
        </w:rPr>
        <w:t>Fertility</w:t>
      </w:r>
    </w:p>
    <w:p w:rsidR="00090881" w:rsidRPr="00090881" w:rsidRDefault="00090881" w:rsidP="00090881">
      <w:pPr>
        <w:tabs>
          <w:tab w:val="left" w:pos="851"/>
        </w:tabs>
        <w:ind w:left="851"/>
        <w:rPr>
          <w:sz w:val="24"/>
          <w:szCs w:val="24"/>
          <w:u w:val="single"/>
          <w:lang w:val="en-US"/>
        </w:rPr>
      </w:pPr>
      <w:r w:rsidRPr="00090881">
        <w:rPr>
          <w:sz w:val="24"/>
          <w:szCs w:val="24"/>
          <w:lang w:val="en-US"/>
        </w:rPr>
        <w:t xml:space="preserve">Women of childbearing potential must use effective methods of contraception both before and during </w:t>
      </w:r>
      <w:proofErr w:type="spellStart"/>
      <w:r w:rsidRPr="00090881">
        <w:rPr>
          <w:sz w:val="24"/>
          <w:szCs w:val="24"/>
          <w:lang w:val="en-US"/>
        </w:rPr>
        <w:t>Bendamustinhydrochlorid</w:t>
      </w:r>
      <w:proofErr w:type="spellEnd"/>
      <w:r w:rsidRPr="00090881">
        <w:rPr>
          <w:sz w:val="24"/>
          <w:szCs w:val="24"/>
          <w:lang w:val="en-US"/>
        </w:rPr>
        <w:t xml:space="preserve"> "</w:t>
      </w:r>
      <w:proofErr w:type="spellStart"/>
      <w:r w:rsidRPr="00090881">
        <w:rPr>
          <w:sz w:val="24"/>
          <w:szCs w:val="24"/>
          <w:lang w:val="en-US"/>
        </w:rPr>
        <w:t>Hexal</w:t>
      </w:r>
      <w:proofErr w:type="spellEnd"/>
      <w:r w:rsidRPr="00090881">
        <w:rPr>
          <w:sz w:val="24"/>
          <w:szCs w:val="24"/>
          <w:lang w:val="en-US"/>
        </w:rPr>
        <w:t>" therapy.</w:t>
      </w:r>
    </w:p>
    <w:p w:rsidR="00090881" w:rsidRPr="00090881" w:rsidRDefault="00090881" w:rsidP="00090881">
      <w:pPr>
        <w:tabs>
          <w:tab w:val="left" w:pos="851"/>
        </w:tabs>
        <w:ind w:left="851"/>
        <w:rPr>
          <w:sz w:val="24"/>
          <w:szCs w:val="24"/>
          <w:lang w:val="en-US"/>
        </w:rPr>
      </w:pPr>
    </w:p>
    <w:p w:rsidR="00090881" w:rsidRPr="00090881" w:rsidRDefault="00090881" w:rsidP="00090881">
      <w:pPr>
        <w:tabs>
          <w:tab w:val="left" w:pos="851"/>
        </w:tabs>
        <w:ind w:left="851"/>
        <w:rPr>
          <w:sz w:val="24"/>
          <w:szCs w:val="24"/>
          <w:lang w:val="en-US"/>
        </w:rPr>
      </w:pPr>
      <w:r w:rsidRPr="00090881">
        <w:rPr>
          <w:sz w:val="24"/>
          <w:szCs w:val="24"/>
          <w:lang w:val="en-US"/>
        </w:rPr>
        <w:t xml:space="preserve">Men being treated with </w:t>
      </w:r>
      <w:proofErr w:type="spellStart"/>
      <w:r w:rsidRPr="00090881">
        <w:rPr>
          <w:sz w:val="24"/>
          <w:szCs w:val="24"/>
          <w:lang w:val="en-US"/>
        </w:rPr>
        <w:t>Bendamustinhydrochlorid</w:t>
      </w:r>
      <w:proofErr w:type="spellEnd"/>
      <w:r w:rsidRPr="00090881">
        <w:rPr>
          <w:sz w:val="24"/>
          <w:szCs w:val="24"/>
          <w:lang w:val="en-US"/>
        </w:rPr>
        <w:t xml:space="preserve"> "</w:t>
      </w:r>
      <w:proofErr w:type="spellStart"/>
      <w:r w:rsidRPr="00090881">
        <w:rPr>
          <w:sz w:val="24"/>
          <w:szCs w:val="24"/>
          <w:lang w:val="en-US"/>
        </w:rPr>
        <w:t>Hexal</w:t>
      </w:r>
      <w:proofErr w:type="spellEnd"/>
      <w:r w:rsidRPr="00090881">
        <w:rPr>
          <w:sz w:val="24"/>
          <w:szCs w:val="24"/>
          <w:lang w:val="en-US"/>
        </w:rPr>
        <w:t xml:space="preserve">" are advised not to father a child during and for up to 6 months following cessation of treatment. Advice on conservation of sperm should be sought prior to treatment because of the possibility of irreversible infertility due to therapy with </w:t>
      </w:r>
      <w:proofErr w:type="spellStart"/>
      <w:r w:rsidRPr="00090881">
        <w:rPr>
          <w:sz w:val="24"/>
          <w:szCs w:val="24"/>
          <w:lang w:val="en-US"/>
        </w:rPr>
        <w:t>Bendamustinhydrochlorid</w:t>
      </w:r>
      <w:proofErr w:type="spellEnd"/>
      <w:r w:rsidRPr="00090881">
        <w:rPr>
          <w:sz w:val="24"/>
          <w:szCs w:val="24"/>
          <w:lang w:val="en-US"/>
        </w:rPr>
        <w:t xml:space="preserve"> "</w:t>
      </w:r>
      <w:proofErr w:type="spellStart"/>
      <w:r w:rsidRPr="00090881">
        <w:rPr>
          <w:sz w:val="24"/>
          <w:szCs w:val="24"/>
          <w:lang w:val="en-US"/>
        </w:rPr>
        <w:t>Hexal</w:t>
      </w:r>
      <w:proofErr w:type="spellEnd"/>
      <w:r w:rsidRPr="00090881">
        <w:rPr>
          <w:sz w:val="24"/>
          <w:szCs w:val="24"/>
          <w:lang w:val="en-US"/>
        </w:rPr>
        <w:t>".</w:t>
      </w:r>
    </w:p>
    <w:p w:rsidR="007C5D2A" w:rsidRPr="00090881"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C745BA" w:rsidRPr="00C745BA" w:rsidRDefault="00C745BA" w:rsidP="00C745BA">
      <w:pPr>
        <w:tabs>
          <w:tab w:val="left" w:pos="851"/>
        </w:tabs>
        <w:ind w:left="851"/>
        <w:rPr>
          <w:sz w:val="24"/>
          <w:szCs w:val="24"/>
          <w:lang w:val="en-US"/>
        </w:rPr>
      </w:pPr>
      <w:proofErr w:type="spellStart"/>
      <w:r w:rsidRPr="00C745BA">
        <w:rPr>
          <w:sz w:val="24"/>
          <w:szCs w:val="24"/>
          <w:lang w:val="en-US"/>
        </w:rPr>
        <w:t>Bendamustinhydrochlorid</w:t>
      </w:r>
      <w:proofErr w:type="spellEnd"/>
      <w:r w:rsidRPr="00C745BA">
        <w:rPr>
          <w:sz w:val="24"/>
          <w:szCs w:val="24"/>
          <w:lang w:val="en-US"/>
        </w:rPr>
        <w:t xml:space="preserve"> "</w:t>
      </w:r>
      <w:proofErr w:type="spellStart"/>
      <w:r w:rsidRPr="00C745BA">
        <w:rPr>
          <w:sz w:val="24"/>
          <w:szCs w:val="24"/>
          <w:lang w:val="en-US"/>
        </w:rPr>
        <w:t>Hexal</w:t>
      </w:r>
      <w:proofErr w:type="spellEnd"/>
      <w:r w:rsidRPr="00C745BA">
        <w:rPr>
          <w:sz w:val="24"/>
          <w:szCs w:val="24"/>
          <w:lang w:val="en-US"/>
        </w:rPr>
        <w:t xml:space="preserve">" has major influence on the ability to drive and use machines. Ataxia, peripheral neuropathy and somnolence have been reported during treatment with </w:t>
      </w:r>
      <w:proofErr w:type="spellStart"/>
      <w:r w:rsidRPr="00C745BA">
        <w:rPr>
          <w:sz w:val="24"/>
          <w:szCs w:val="24"/>
          <w:lang w:val="en-US"/>
        </w:rPr>
        <w:t>bendamustine</w:t>
      </w:r>
      <w:proofErr w:type="spellEnd"/>
      <w:r w:rsidRPr="00C745BA">
        <w:rPr>
          <w:sz w:val="24"/>
          <w:szCs w:val="24"/>
          <w:lang w:val="en-US"/>
        </w:rPr>
        <w:t xml:space="preserve"> hydrochloride (see section 4.8). Patients should be instructed </w:t>
      </w:r>
      <w:r w:rsidRPr="00C745BA">
        <w:rPr>
          <w:sz w:val="24"/>
          <w:szCs w:val="24"/>
          <w:lang w:val="en-US"/>
        </w:rPr>
        <w:lastRenderedPageBreak/>
        <w:t>that if they experience these symptoms they should avoid potentially hazardous tasks such as driving and using machines.</w:t>
      </w:r>
    </w:p>
    <w:p w:rsidR="007C5D2A" w:rsidRPr="00C745BA" w:rsidRDefault="007C5D2A" w:rsidP="00C745BA">
      <w:pPr>
        <w:tabs>
          <w:tab w:val="left" w:pos="851"/>
        </w:tabs>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C745BA" w:rsidRPr="00C745BA" w:rsidRDefault="00C745BA" w:rsidP="00C745BA">
      <w:pPr>
        <w:pStyle w:val="Sidehoved"/>
        <w:tabs>
          <w:tab w:val="left" w:pos="851"/>
        </w:tabs>
        <w:ind w:left="851"/>
        <w:rPr>
          <w:szCs w:val="24"/>
          <w:lang w:val="en-US"/>
        </w:rPr>
      </w:pPr>
      <w:r w:rsidRPr="00C745BA">
        <w:rPr>
          <w:szCs w:val="24"/>
          <w:lang w:val="en-US"/>
        </w:rPr>
        <w:t xml:space="preserve">The most common adverse reactions with </w:t>
      </w:r>
      <w:proofErr w:type="spellStart"/>
      <w:r w:rsidRPr="00C745BA">
        <w:rPr>
          <w:szCs w:val="24"/>
          <w:lang w:val="en-US"/>
        </w:rPr>
        <w:t>bendamustine</w:t>
      </w:r>
      <w:proofErr w:type="spellEnd"/>
      <w:r w:rsidRPr="00C745BA">
        <w:rPr>
          <w:szCs w:val="24"/>
          <w:lang w:val="en-US"/>
        </w:rPr>
        <w:t xml:space="preserve"> hydrochloride are hematological adverse reactions (leukopenia, </w:t>
      </w:r>
      <w:proofErr w:type="spellStart"/>
      <w:r w:rsidRPr="00C745BA">
        <w:rPr>
          <w:szCs w:val="24"/>
          <w:lang w:val="en-US"/>
        </w:rPr>
        <w:t>thrombopenia</w:t>
      </w:r>
      <w:proofErr w:type="spellEnd"/>
      <w:r w:rsidRPr="00C745BA">
        <w:rPr>
          <w:szCs w:val="24"/>
          <w:lang w:val="en-US"/>
        </w:rPr>
        <w:t xml:space="preserve">), dermatologic toxicities (allergic reactions), constitutional symptoms (fever), gastrointestinal symptoms (nausea, vomiting). </w:t>
      </w:r>
    </w:p>
    <w:p w:rsidR="00C745BA" w:rsidRPr="00C745BA" w:rsidRDefault="00C745BA" w:rsidP="00C745BA">
      <w:pPr>
        <w:pStyle w:val="Sidehoved"/>
        <w:tabs>
          <w:tab w:val="left" w:pos="851"/>
        </w:tabs>
        <w:ind w:left="851"/>
        <w:rPr>
          <w:szCs w:val="24"/>
          <w:lang w:val="en-US"/>
        </w:rPr>
      </w:pPr>
    </w:p>
    <w:p w:rsidR="00C745BA" w:rsidRDefault="00C745BA" w:rsidP="00C745BA">
      <w:pPr>
        <w:pStyle w:val="Sidehoved"/>
        <w:tabs>
          <w:tab w:val="left" w:pos="851"/>
        </w:tabs>
        <w:ind w:left="851"/>
        <w:rPr>
          <w:szCs w:val="24"/>
          <w:lang w:val="en-US"/>
        </w:rPr>
      </w:pPr>
      <w:r w:rsidRPr="00C745BA">
        <w:rPr>
          <w:szCs w:val="24"/>
          <w:lang w:val="en-US"/>
        </w:rPr>
        <w:t xml:space="preserve">The table below reflects the data obtained with </w:t>
      </w:r>
      <w:proofErr w:type="spellStart"/>
      <w:r w:rsidRPr="00C745BA">
        <w:rPr>
          <w:szCs w:val="24"/>
          <w:lang w:val="en-US"/>
        </w:rPr>
        <w:t>bendamustine</w:t>
      </w:r>
      <w:proofErr w:type="spellEnd"/>
      <w:r w:rsidRPr="00C745BA">
        <w:rPr>
          <w:szCs w:val="24"/>
          <w:lang w:val="en-US"/>
        </w:rPr>
        <w:t xml:space="preserve"> hydrochloride.</w:t>
      </w:r>
    </w:p>
    <w:p w:rsidR="00C745BA" w:rsidRDefault="00C745BA" w:rsidP="00C745BA">
      <w:pPr>
        <w:pStyle w:val="Sidehoved"/>
        <w:tabs>
          <w:tab w:val="left" w:pos="851"/>
        </w:tabs>
        <w:ind w:left="851"/>
        <w:rPr>
          <w:szCs w:val="24"/>
          <w:lang w:val="en-US"/>
        </w:rPr>
      </w:pPr>
    </w:p>
    <w:tbl>
      <w:tblPr>
        <w:tblW w:w="112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2"/>
        <w:gridCol w:w="1702"/>
        <w:gridCol w:w="1561"/>
        <w:gridCol w:w="1560"/>
        <w:gridCol w:w="1418"/>
        <w:gridCol w:w="1419"/>
      </w:tblGrid>
      <w:tr w:rsidR="00E22DC6" w:rsidRPr="00E467B1" w:rsidTr="00E22DC6">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b/>
                <w:sz w:val="20"/>
                <w:lang w:val="en-US" w:eastAsia="en-US"/>
              </w:rPr>
            </w:pPr>
            <w:r w:rsidRPr="00E22DC6">
              <w:rPr>
                <w:b/>
                <w:sz w:val="20"/>
                <w:lang w:val="en-US" w:eastAsia="en-US"/>
              </w:rPr>
              <w:t xml:space="preserve">MedDRA system organ class </w:t>
            </w:r>
          </w:p>
          <w:p w:rsidR="00E22DC6" w:rsidRPr="00E22DC6" w:rsidRDefault="00E22DC6" w:rsidP="00E22DC6">
            <w:pPr>
              <w:tabs>
                <w:tab w:val="left" w:pos="6521"/>
              </w:tabs>
              <w:rPr>
                <w:b/>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595821" w:rsidRDefault="00E22DC6" w:rsidP="00E22DC6">
            <w:pPr>
              <w:tabs>
                <w:tab w:val="left" w:pos="6521"/>
              </w:tabs>
              <w:rPr>
                <w:b/>
                <w:sz w:val="20"/>
                <w:lang w:val="en-US" w:eastAsia="en-US"/>
              </w:rPr>
            </w:pPr>
            <w:r w:rsidRPr="00E22DC6">
              <w:rPr>
                <w:b/>
                <w:sz w:val="20"/>
                <w:lang w:val="en-US" w:eastAsia="en-US"/>
              </w:rPr>
              <w:t>Very common</w:t>
            </w:r>
          </w:p>
          <w:p w:rsidR="00E22DC6" w:rsidRPr="00595821" w:rsidRDefault="00E22DC6" w:rsidP="00E22DC6">
            <w:pPr>
              <w:tabs>
                <w:tab w:val="left" w:pos="6521"/>
              </w:tabs>
              <w:rPr>
                <w:b/>
                <w:sz w:val="20"/>
                <w:lang w:val="en-US" w:eastAsia="en-US"/>
              </w:rPr>
            </w:pPr>
          </w:p>
          <w:p w:rsidR="00E22DC6" w:rsidRPr="00E22DC6" w:rsidRDefault="00E22DC6" w:rsidP="00E22DC6">
            <w:pPr>
              <w:tabs>
                <w:tab w:val="left" w:pos="6521"/>
              </w:tabs>
              <w:rPr>
                <w:b/>
                <w:sz w:val="20"/>
                <w:lang w:val="en-US" w:eastAsia="en-US"/>
              </w:rPr>
            </w:pPr>
            <w:r w:rsidRPr="00E22DC6">
              <w:rPr>
                <w:b/>
                <w:sz w:val="20"/>
                <w:lang w:val="en-US" w:eastAsia="en-US"/>
              </w:rPr>
              <w:t>≥1/10</w:t>
            </w:r>
          </w:p>
          <w:p w:rsidR="00E22DC6" w:rsidRPr="00E22DC6" w:rsidRDefault="00E22DC6" w:rsidP="00E22DC6">
            <w:pPr>
              <w:tabs>
                <w:tab w:val="left" w:pos="6521"/>
              </w:tabs>
              <w:rPr>
                <w:b/>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b/>
                <w:sz w:val="20"/>
                <w:lang w:val="en-US" w:eastAsia="en-US"/>
              </w:rPr>
            </w:pPr>
            <w:r w:rsidRPr="00E22DC6">
              <w:rPr>
                <w:b/>
                <w:sz w:val="20"/>
                <w:lang w:val="en-US" w:eastAsia="en-US"/>
              </w:rPr>
              <w:t xml:space="preserve">Common </w:t>
            </w:r>
          </w:p>
          <w:p w:rsidR="00E22DC6" w:rsidRPr="00E22DC6" w:rsidRDefault="00E22DC6" w:rsidP="00E22DC6">
            <w:pPr>
              <w:tabs>
                <w:tab w:val="left" w:pos="6521"/>
              </w:tabs>
              <w:rPr>
                <w:b/>
                <w:sz w:val="20"/>
                <w:lang w:val="en-US" w:eastAsia="en-US"/>
              </w:rPr>
            </w:pPr>
          </w:p>
          <w:p w:rsidR="00E22DC6" w:rsidRPr="00E22DC6" w:rsidRDefault="00E22DC6" w:rsidP="00E22DC6">
            <w:pPr>
              <w:tabs>
                <w:tab w:val="left" w:pos="6521"/>
              </w:tabs>
              <w:rPr>
                <w:b/>
                <w:sz w:val="20"/>
                <w:lang w:val="en-US" w:eastAsia="en-US"/>
              </w:rPr>
            </w:pPr>
            <w:r w:rsidRPr="00E22DC6">
              <w:rPr>
                <w:b/>
                <w:sz w:val="20"/>
                <w:lang w:val="en-US" w:eastAsia="en-US"/>
              </w:rPr>
              <w:t xml:space="preserve">≥1/100 to &lt;1/10 </w:t>
            </w:r>
          </w:p>
          <w:p w:rsidR="00E22DC6" w:rsidRPr="00E22DC6" w:rsidRDefault="00E22DC6" w:rsidP="00E22DC6">
            <w:pPr>
              <w:tabs>
                <w:tab w:val="left" w:pos="6521"/>
              </w:tabs>
              <w:rPr>
                <w:b/>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b/>
                <w:sz w:val="20"/>
                <w:lang w:val="en-US" w:eastAsia="en-US"/>
              </w:rPr>
            </w:pPr>
            <w:r w:rsidRPr="00E22DC6">
              <w:rPr>
                <w:b/>
                <w:sz w:val="20"/>
                <w:lang w:val="en-US" w:eastAsia="en-US"/>
              </w:rPr>
              <w:t xml:space="preserve">Uncommon </w:t>
            </w:r>
          </w:p>
          <w:p w:rsidR="00E22DC6" w:rsidRPr="00E22DC6" w:rsidRDefault="00E22DC6" w:rsidP="00E22DC6">
            <w:pPr>
              <w:tabs>
                <w:tab w:val="left" w:pos="6521"/>
              </w:tabs>
              <w:rPr>
                <w:b/>
                <w:sz w:val="20"/>
                <w:lang w:val="en-US" w:eastAsia="en-US"/>
              </w:rPr>
            </w:pPr>
          </w:p>
          <w:p w:rsidR="00E22DC6" w:rsidRPr="00E22DC6" w:rsidRDefault="00E22DC6" w:rsidP="00E22DC6">
            <w:pPr>
              <w:tabs>
                <w:tab w:val="left" w:pos="6521"/>
              </w:tabs>
              <w:rPr>
                <w:b/>
                <w:sz w:val="20"/>
                <w:lang w:val="en-US" w:eastAsia="en-US"/>
              </w:rPr>
            </w:pPr>
            <w:r w:rsidRPr="00E22DC6">
              <w:rPr>
                <w:b/>
                <w:sz w:val="20"/>
                <w:lang w:val="en-US" w:eastAsia="en-US"/>
              </w:rPr>
              <w:t xml:space="preserve">≥1/1,000 to &lt;1/100 </w:t>
            </w:r>
          </w:p>
          <w:p w:rsidR="00E22DC6" w:rsidRPr="00E22DC6" w:rsidRDefault="00E22DC6" w:rsidP="00E22DC6">
            <w:pPr>
              <w:tabs>
                <w:tab w:val="left" w:pos="6521"/>
              </w:tabs>
              <w:rPr>
                <w:b/>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b/>
                <w:sz w:val="20"/>
                <w:lang w:val="en-US" w:eastAsia="en-US"/>
              </w:rPr>
            </w:pPr>
            <w:r w:rsidRPr="00E22DC6">
              <w:rPr>
                <w:b/>
                <w:sz w:val="20"/>
                <w:lang w:val="en-US" w:eastAsia="en-US"/>
              </w:rPr>
              <w:t>Rare</w:t>
            </w:r>
          </w:p>
          <w:p w:rsidR="00E22DC6" w:rsidRPr="00E22DC6" w:rsidRDefault="00E22DC6" w:rsidP="00E22DC6">
            <w:pPr>
              <w:tabs>
                <w:tab w:val="left" w:pos="6521"/>
              </w:tabs>
              <w:rPr>
                <w:b/>
                <w:sz w:val="20"/>
                <w:lang w:val="en-US" w:eastAsia="en-US"/>
              </w:rPr>
            </w:pPr>
          </w:p>
          <w:p w:rsidR="00E22DC6" w:rsidRPr="00E22DC6" w:rsidRDefault="00E22DC6" w:rsidP="00E22DC6">
            <w:pPr>
              <w:tabs>
                <w:tab w:val="left" w:pos="6521"/>
              </w:tabs>
              <w:rPr>
                <w:b/>
                <w:sz w:val="20"/>
                <w:lang w:val="en-US" w:eastAsia="en-US"/>
              </w:rPr>
            </w:pPr>
            <w:r w:rsidRPr="00E22DC6">
              <w:rPr>
                <w:b/>
                <w:sz w:val="20"/>
                <w:lang w:val="en-US" w:eastAsia="en-US"/>
              </w:rPr>
              <w:t xml:space="preserve">≥1/10,000 to &lt;1/1, 000 </w:t>
            </w:r>
          </w:p>
          <w:p w:rsidR="00E22DC6" w:rsidRPr="00E22DC6" w:rsidRDefault="00E22DC6" w:rsidP="00E22DC6">
            <w:pPr>
              <w:tabs>
                <w:tab w:val="left" w:pos="6521"/>
              </w:tabs>
              <w:rPr>
                <w:b/>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b/>
                <w:sz w:val="20"/>
                <w:lang w:val="en-US" w:eastAsia="en-US"/>
              </w:rPr>
            </w:pPr>
            <w:r w:rsidRPr="00E22DC6">
              <w:rPr>
                <w:b/>
                <w:sz w:val="20"/>
                <w:lang w:val="en-US" w:eastAsia="en-US"/>
              </w:rPr>
              <w:t>Very rare</w:t>
            </w:r>
          </w:p>
          <w:p w:rsidR="00E22DC6" w:rsidRPr="00E22DC6" w:rsidRDefault="00E22DC6" w:rsidP="00E22DC6">
            <w:pPr>
              <w:tabs>
                <w:tab w:val="left" w:pos="6521"/>
              </w:tabs>
              <w:rPr>
                <w:b/>
                <w:sz w:val="20"/>
                <w:lang w:val="en-US" w:eastAsia="en-US"/>
              </w:rPr>
            </w:pPr>
          </w:p>
          <w:p w:rsidR="00E22DC6" w:rsidRPr="00E22DC6" w:rsidRDefault="00E22DC6" w:rsidP="00E22DC6">
            <w:pPr>
              <w:tabs>
                <w:tab w:val="left" w:pos="6521"/>
              </w:tabs>
              <w:rPr>
                <w:b/>
                <w:sz w:val="20"/>
                <w:lang w:val="en-US" w:eastAsia="en-US"/>
              </w:rPr>
            </w:pPr>
            <w:r w:rsidRPr="00E22DC6">
              <w:rPr>
                <w:b/>
                <w:sz w:val="20"/>
                <w:lang w:val="en-US" w:eastAsia="en-US"/>
              </w:rPr>
              <w:t>&lt;1/10, 000</w:t>
            </w:r>
          </w:p>
          <w:p w:rsidR="00E22DC6" w:rsidRPr="00E22DC6" w:rsidRDefault="00E22DC6" w:rsidP="00E22DC6">
            <w:pPr>
              <w:tabs>
                <w:tab w:val="left" w:pos="6521"/>
              </w:tabs>
              <w:rPr>
                <w:b/>
                <w:sz w:val="20"/>
                <w:lang w:val="en-US" w:eastAsia="en-US"/>
              </w:rPr>
            </w:pPr>
          </w:p>
        </w:tc>
        <w:tc>
          <w:tcPr>
            <w:tcW w:w="1419"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b/>
                <w:sz w:val="20"/>
                <w:lang w:val="en-US" w:eastAsia="en-US"/>
              </w:rPr>
            </w:pPr>
            <w:r w:rsidRPr="00E22DC6">
              <w:rPr>
                <w:b/>
                <w:sz w:val="20"/>
                <w:lang w:val="en-US" w:eastAsia="en-US"/>
              </w:rPr>
              <w:t>Not known (cannot be estimated from the available data)</w:t>
            </w: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Infections and infestations</w:t>
            </w:r>
          </w:p>
        </w:tc>
        <w:tc>
          <w:tcPr>
            <w:tcW w:w="1702"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Infection NOS*, including opportunistic infection (e.g. Herpes zoster, cytomegalovirus, hepatitis B)</w:t>
            </w: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 xml:space="preserve">Pneumocystis </w:t>
            </w:r>
            <w:proofErr w:type="spellStart"/>
            <w:r w:rsidRPr="00E22DC6">
              <w:rPr>
                <w:sz w:val="20"/>
                <w:lang w:val="en-US" w:eastAsia="en-US"/>
              </w:rPr>
              <w:t>jirovecii</w:t>
            </w:r>
            <w:proofErr w:type="spellEnd"/>
            <w:r w:rsidRPr="00E22DC6">
              <w:rPr>
                <w:sz w:val="20"/>
                <w:lang w:val="en-US" w:eastAsia="en-US"/>
              </w:rPr>
              <w:t xml:space="preserve"> pneumonia</w:t>
            </w:r>
          </w:p>
        </w:tc>
        <w:tc>
          <w:tcPr>
            <w:tcW w:w="1560"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Sepsis</w:t>
            </w:r>
          </w:p>
        </w:tc>
        <w:tc>
          <w:tcPr>
            <w:tcW w:w="1418"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Pneumonia primary atypical</w:t>
            </w: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r w:rsidR="00E22DC6" w:rsidRPr="00E467B1" w:rsidTr="00F57947">
        <w:tc>
          <w:tcPr>
            <w:tcW w:w="1843"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 xml:space="preserve">Neoplasms benign, malignant and unspecified (incl </w:t>
            </w:r>
            <w:proofErr w:type="spellStart"/>
            <w:r w:rsidRPr="00E22DC6">
              <w:rPr>
                <w:sz w:val="20"/>
                <w:lang w:val="en-US" w:eastAsia="en-US"/>
              </w:rPr>
              <w:t>cycsts</w:t>
            </w:r>
            <w:proofErr w:type="spellEnd"/>
            <w:r w:rsidRPr="00E22DC6">
              <w:rPr>
                <w:sz w:val="20"/>
                <w:lang w:val="en-US" w:eastAsia="en-US"/>
              </w:rPr>
              <w:t xml:space="preserve"> and polyps)</w:t>
            </w: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proofErr w:type="spellStart"/>
            <w:r w:rsidRPr="00E22DC6">
              <w:rPr>
                <w:sz w:val="20"/>
                <w:lang w:val="en-US" w:eastAsia="en-US"/>
              </w:rPr>
              <w:t>Tumour</w:t>
            </w:r>
            <w:proofErr w:type="spellEnd"/>
            <w:r w:rsidRPr="00E22DC6">
              <w:rPr>
                <w:sz w:val="20"/>
                <w:lang w:val="en-US" w:eastAsia="en-US"/>
              </w:rPr>
              <w:t xml:space="preserve"> lysis syndrome</w:t>
            </w:r>
          </w:p>
        </w:tc>
        <w:tc>
          <w:tcPr>
            <w:tcW w:w="1561"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Myelodysplastic syndrome, acute myeloid leukemia</w:t>
            </w: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Blood and lymphatic system disorders</w:t>
            </w:r>
          </w:p>
        </w:tc>
        <w:tc>
          <w:tcPr>
            <w:tcW w:w="1702"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Leukopenia NOS*, Thrombocytopenia, Lymphopenia</w:t>
            </w:r>
          </w:p>
        </w:tc>
        <w:tc>
          <w:tcPr>
            <w:tcW w:w="1702"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proofErr w:type="spellStart"/>
            <w:r w:rsidRPr="00E22DC6">
              <w:rPr>
                <w:sz w:val="20"/>
                <w:lang w:val="en-US" w:eastAsia="en-US"/>
              </w:rPr>
              <w:t>Haemorrhage</w:t>
            </w:r>
            <w:proofErr w:type="spellEnd"/>
            <w:r w:rsidRPr="00E22DC6">
              <w:rPr>
                <w:sz w:val="20"/>
                <w:lang w:val="en-US" w:eastAsia="en-US"/>
              </w:rPr>
              <w:t xml:space="preserve">, </w:t>
            </w:r>
            <w:proofErr w:type="spellStart"/>
            <w:r w:rsidRPr="00E22DC6">
              <w:rPr>
                <w:sz w:val="20"/>
                <w:lang w:val="en-US" w:eastAsia="en-US"/>
              </w:rPr>
              <w:t>Anaemia</w:t>
            </w:r>
            <w:proofErr w:type="spellEnd"/>
            <w:r w:rsidRPr="00E22DC6">
              <w:rPr>
                <w:sz w:val="20"/>
                <w:lang w:val="en-US" w:eastAsia="en-US"/>
              </w:rPr>
              <w:t>, Neutropenia</w:t>
            </w:r>
          </w:p>
        </w:tc>
        <w:tc>
          <w:tcPr>
            <w:tcW w:w="1561"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Pancytopenia</w:t>
            </w:r>
          </w:p>
        </w:tc>
        <w:tc>
          <w:tcPr>
            <w:tcW w:w="1560"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Bone marrow failure</w:t>
            </w:r>
          </w:p>
        </w:tc>
        <w:tc>
          <w:tcPr>
            <w:tcW w:w="1418"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proofErr w:type="spellStart"/>
            <w:r w:rsidRPr="00E22DC6">
              <w:rPr>
                <w:sz w:val="20"/>
                <w:lang w:val="en-US" w:eastAsia="en-US"/>
              </w:rPr>
              <w:t>Haemolysis</w:t>
            </w:r>
            <w:proofErr w:type="spellEnd"/>
            <w:r w:rsidRPr="00E22DC6">
              <w:rPr>
                <w:sz w:val="20"/>
                <w:lang w:val="en-US"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Immune system disorders</w:t>
            </w: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Hypersensitivity NOS*</w:t>
            </w: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Anaphylactic reaction, Anaphylactoid reaction</w:t>
            </w:r>
          </w:p>
        </w:tc>
        <w:tc>
          <w:tcPr>
            <w:tcW w:w="1418"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Anaphylactic shock</w:t>
            </w: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r w:rsidR="00E22DC6" w:rsidRPr="00E467B1" w:rsidTr="00F57947">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Nervous system disorders</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Headache</w:t>
            </w:r>
          </w:p>
        </w:tc>
        <w:tc>
          <w:tcPr>
            <w:tcW w:w="1702"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Insomnia, Dizziness</w:t>
            </w: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Somnolence, Aphonia</w:t>
            </w: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 xml:space="preserve">Dysgeusia, </w:t>
            </w:r>
            <w:proofErr w:type="spellStart"/>
            <w:r w:rsidRPr="00E22DC6">
              <w:rPr>
                <w:sz w:val="20"/>
                <w:lang w:val="en-US" w:eastAsia="en-US"/>
              </w:rPr>
              <w:t>Paraesthesia</w:t>
            </w:r>
            <w:proofErr w:type="spellEnd"/>
            <w:r w:rsidRPr="00E22DC6">
              <w:rPr>
                <w:sz w:val="20"/>
                <w:lang w:val="en-US" w:eastAsia="en-US"/>
              </w:rPr>
              <w:t>, Peripheral sensory neuropathy, Anticholinergic syndrome, Neurological disorders, Ataxia, Encephalitis</w:t>
            </w:r>
          </w:p>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Cardiac disorders</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jc w:val="center"/>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Cardiac dysfunction, such as palpitations, angina pectoris, Arrhythmia</w:t>
            </w:r>
          </w:p>
          <w:p w:rsidR="00E22DC6" w:rsidRPr="00E22DC6" w:rsidRDefault="00E22DC6" w:rsidP="00E22DC6">
            <w:pPr>
              <w:tabs>
                <w:tab w:val="left" w:pos="6521"/>
              </w:tabs>
              <w:jc w:val="center"/>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Pericardial effusion, Myocardial</w:t>
            </w:r>
            <w:r w:rsidRPr="00E22DC6">
              <w:rPr>
                <w:w w:val="99"/>
                <w:sz w:val="20"/>
                <w:lang w:val="en-US" w:eastAsia="en-US"/>
              </w:rPr>
              <w:t xml:space="preserve"> </w:t>
            </w:r>
            <w:r w:rsidRPr="00E22DC6">
              <w:rPr>
                <w:spacing w:val="-1"/>
                <w:sz w:val="20"/>
                <w:lang w:val="en-US" w:eastAsia="en-US"/>
              </w:rPr>
              <w:t>infarction,</w:t>
            </w:r>
            <w:r w:rsidRPr="00E22DC6">
              <w:rPr>
                <w:spacing w:val="29"/>
                <w:w w:val="99"/>
                <w:sz w:val="20"/>
                <w:lang w:val="en-US" w:eastAsia="en-US"/>
              </w:rPr>
              <w:t xml:space="preserve"> </w:t>
            </w:r>
            <w:r w:rsidRPr="00E22DC6">
              <w:rPr>
                <w:sz w:val="20"/>
                <w:lang w:val="en-US" w:eastAsia="en-US"/>
              </w:rPr>
              <w:t>Cardiac</w:t>
            </w:r>
            <w:r w:rsidRPr="00E22DC6">
              <w:rPr>
                <w:spacing w:val="-12"/>
                <w:sz w:val="20"/>
                <w:lang w:val="en-US" w:eastAsia="en-US"/>
              </w:rPr>
              <w:t xml:space="preserve"> </w:t>
            </w:r>
            <w:r w:rsidRPr="00E22DC6">
              <w:rPr>
                <w:spacing w:val="-1"/>
                <w:sz w:val="20"/>
                <w:lang w:val="en-US" w:eastAsia="en-US"/>
              </w:rPr>
              <w:t>failure</w:t>
            </w:r>
          </w:p>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Tachycardia</w:t>
            </w:r>
          </w:p>
        </w:tc>
        <w:tc>
          <w:tcPr>
            <w:tcW w:w="1419"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Atrial fibrillation</w:t>
            </w: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Vascular disorders</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Hypotension, hypertension</w:t>
            </w: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Acute circulatory failure</w:t>
            </w:r>
          </w:p>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Phlebitis</w:t>
            </w:r>
          </w:p>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 xml:space="preserve">Respiratory, thoracic and </w:t>
            </w:r>
            <w:r w:rsidRPr="00E22DC6">
              <w:rPr>
                <w:sz w:val="20"/>
                <w:lang w:val="en-US" w:eastAsia="en-US"/>
              </w:rPr>
              <w:lastRenderedPageBreak/>
              <w:t>mediastinal disorders</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Pulmonary dysfunction</w:t>
            </w:r>
          </w:p>
          <w:p w:rsidR="00E22DC6" w:rsidRPr="00E22DC6" w:rsidRDefault="00E22DC6" w:rsidP="00E22DC6">
            <w:pPr>
              <w:tabs>
                <w:tab w:val="left" w:pos="6521"/>
              </w:tabs>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Pulmonary fibrosis</w:t>
            </w:r>
          </w:p>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autoSpaceDE w:val="0"/>
              <w:autoSpaceDN w:val="0"/>
              <w:adjustRightInd w:val="0"/>
              <w:rPr>
                <w:rFonts w:ascii="Verdana" w:hAnsi="Verdana" w:cs="Verdana"/>
                <w:color w:val="000000"/>
                <w:sz w:val="20"/>
                <w:lang w:val="en-US" w:eastAsia="en-US"/>
              </w:rPr>
            </w:pPr>
            <w:r w:rsidRPr="00E22DC6">
              <w:rPr>
                <w:sz w:val="20"/>
                <w:lang w:val="en-US" w:eastAsia="en-US"/>
              </w:rPr>
              <w:lastRenderedPageBreak/>
              <w:t>Pneumonitis</w:t>
            </w:r>
            <w:r w:rsidRPr="00E22DC6">
              <w:rPr>
                <w:color w:val="000000"/>
                <w:sz w:val="20"/>
                <w:lang w:val="en-US" w:eastAsia="en-US"/>
              </w:rPr>
              <w:t xml:space="preserve">, </w:t>
            </w:r>
          </w:p>
          <w:p w:rsidR="00E22DC6" w:rsidRPr="00E22DC6" w:rsidRDefault="00E22DC6" w:rsidP="00E22DC6">
            <w:pPr>
              <w:autoSpaceDE w:val="0"/>
              <w:autoSpaceDN w:val="0"/>
              <w:adjustRightInd w:val="0"/>
              <w:rPr>
                <w:sz w:val="20"/>
                <w:lang w:val="en-US" w:eastAsia="en-US"/>
              </w:rPr>
            </w:pPr>
            <w:r w:rsidRPr="00E22DC6">
              <w:rPr>
                <w:sz w:val="20"/>
                <w:lang w:val="en-US" w:eastAsia="en-US"/>
              </w:rPr>
              <w:lastRenderedPageBreak/>
              <w:t xml:space="preserve">pulmonary alveolar </w:t>
            </w:r>
            <w:proofErr w:type="spellStart"/>
            <w:r w:rsidRPr="00E22DC6">
              <w:rPr>
                <w:sz w:val="20"/>
                <w:lang w:val="en-US" w:eastAsia="en-US"/>
              </w:rPr>
              <w:t>haemorrhage</w:t>
            </w:r>
            <w:proofErr w:type="spellEnd"/>
            <w:r w:rsidRPr="00E22DC6">
              <w:rPr>
                <w:sz w:val="20"/>
                <w:lang w:val="en-US" w:eastAsia="en-US"/>
              </w:rPr>
              <w:t xml:space="preserve"> </w:t>
            </w:r>
          </w:p>
          <w:p w:rsidR="00E22DC6" w:rsidRPr="00E22DC6" w:rsidRDefault="00E22DC6" w:rsidP="00E22DC6">
            <w:pPr>
              <w:tabs>
                <w:tab w:val="left" w:pos="6521"/>
              </w:tabs>
              <w:rPr>
                <w:sz w:val="20"/>
                <w:lang w:val="en-US" w:eastAsia="en-US"/>
              </w:rPr>
            </w:pPr>
            <w:r w:rsidRPr="00E22DC6">
              <w:rPr>
                <w:sz w:val="20"/>
                <w:lang w:val="en-US" w:eastAsia="en-US"/>
              </w:rPr>
              <w:t xml:space="preserve"> </w:t>
            </w:r>
          </w:p>
          <w:p w:rsidR="00E22DC6" w:rsidRPr="00E22DC6" w:rsidRDefault="00E22DC6" w:rsidP="00E22DC6">
            <w:pPr>
              <w:tabs>
                <w:tab w:val="left" w:pos="6521"/>
              </w:tabs>
              <w:rPr>
                <w:sz w:val="20"/>
                <w:lang w:val="en-US" w:eastAsia="en-US"/>
              </w:rPr>
            </w:pP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lastRenderedPageBreak/>
              <w:t>Gastrointestinal disorders</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Nausea, Vomiting</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roofErr w:type="spellStart"/>
            <w:r w:rsidRPr="00E22DC6">
              <w:rPr>
                <w:sz w:val="20"/>
                <w:lang w:val="en-US" w:eastAsia="en-US"/>
              </w:rPr>
              <w:t>Diarrhoea</w:t>
            </w:r>
            <w:proofErr w:type="spellEnd"/>
            <w:r w:rsidRPr="00E22DC6">
              <w:rPr>
                <w:sz w:val="20"/>
                <w:lang w:val="en-US" w:eastAsia="en-US"/>
              </w:rPr>
              <w:t>, Constipation, Stomatitis</w:t>
            </w:r>
          </w:p>
          <w:p w:rsidR="00E22DC6" w:rsidRPr="00E22DC6" w:rsidRDefault="00E22DC6" w:rsidP="00E22DC6">
            <w:pPr>
              <w:tabs>
                <w:tab w:val="left" w:pos="6521"/>
              </w:tabs>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roofErr w:type="spellStart"/>
            <w:r w:rsidRPr="00E22DC6">
              <w:rPr>
                <w:sz w:val="20"/>
                <w:lang w:val="en-US" w:eastAsia="en-US"/>
              </w:rPr>
              <w:t>haemorrhagic</w:t>
            </w:r>
            <w:proofErr w:type="spellEnd"/>
            <w:r w:rsidRPr="00E22DC6">
              <w:rPr>
                <w:sz w:val="20"/>
                <w:lang w:val="en-US" w:eastAsia="en-US"/>
              </w:rPr>
              <w:t xml:space="preserve"> </w:t>
            </w:r>
            <w:proofErr w:type="spellStart"/>
            <w:proofErr w:type="gramStart"/>
            <w:r w:rsidRPr="00E22DC6">
              <w:rPr>
                <w:sz w:val="20"/>
                <w:lang w:val="en-US" w:eastAsia="en-US"/>
              </w:rPr>
              <w:t>oesophagitis</w:t>
            </w:r>
            <w:proofErr w:type="spellEnd"/>
            <w:r w:rsidRPr="00E22DC6">
              <w:rPr>
                <w:sz w:val="20"/>
                <w:lang w:val="en-US" w:eastAsia="en-US"/>
              </w:rPr>
              <w:t>,  Gastrointestinal</w:t>
            </w:r>
            <w:proofErr w:type="gramEnd"/>
            <w:r w:rsidRPr="00E22DC6">
              <w:rPr>
                <w:sz w:val="20"/>
                <w:lang w:val="en-US" w:eastAsia="en-US"/>
              </w:rPr>
              <w:t xml:space="preserve"> </w:t>
            </w:r>
            <w:proofErr w:type="spellStart"/>
            <w:r w:rsidRPr="00E22DC6">
              <w:rPr>
                <w:sz w:val="20"/>
                <w:lang w:val="en-US" w:eastAsia="en-US"/>
              </w:rPr>
              <w:t>haemorrhage</w:t>
            </w:r>
            <w:proofErr w:type="spellEnd"/>
          </w:p>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Hepatobiliary disorders</w:t>
            </w: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Hepatic failure</w:t>
            </w:r>
          </w:p>
        </w:tc>
      </w:tr>
      <w:tr w:rsidR="00E22DC6" w:rsidRPr="00E467B1" w:rsidTr="00F57947">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Skin and subcutaneous tissue disorders</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Alopecia,</w:t>
            </w:r>
          </w:p>
          <w:p w:rsidR="00E22DC6" w:rsidRPr="00E22DC6" w:rsidRDefault="00E22DC6" w:rsidP="00E22DC6">
            <w:pPr>
              <w:autoSpaceDE w:val="0"/>
              <w:autoSpaceDN w:val="0"/>
              <w:adjustRightInd w:val="0"/>
              <w:rPr>
                <w:color w:val="000000"/>
                <w:sz w:val="20"/>
                <w:lang w:val="en-US" w:eastAsia="en-US"/>
              </w:rPr>
            </w:pPr>
            <w:r w:rsidRPr="00E22DC6">
              <w:rPr>
                <w:color w:val="000000"/>
                <w:sz w:val="20"/>
                <w:lang w:val="en-US" w:eastAsia="en-US"/>
              </w:rPr>
              <w:t xml:space="preserve">Skin disorders NOS*, </w:t>
            </w:r>
          </w:p>
          <w:p w:rsidR="00E22DC6" w:rsidRPr="00E22DC6" w:rsidRDefault="00E22DC6" w:rsidP="00E22DC6">
            <w:pPr>
              <w:autoSpaceDE w:val="0"/>
              <w:autoSpaceDN w:val="0"/>
              <w:adjustRightInd w:val="0"/>
              <w:rPr>
                <w:color w:val="000000"/>
                <w:sz w:val="20"/>
                <w:lang w:val="en-US" w:eastAsia="en-US"/>
              </w:rPr>
            </w:pPr>
            <w:r w:rsidRPr="00E22DC6">
              <w:rPr>
                <w:color w:val="000000"/>
                <w:sz w:val="20"/>
                <w:lang w:val="en-US" w:eastAsia="en-US"/>
              </w:rPr>
              <w:t xml:space="preserve">Urticaria </w:t>
            </w:r>
          </w:p>
          <w:p w:rsidR="00E22DC6" w:rsidRPr="00E22DC6" w:rsidRDefault="00E22DC6" w:rsidP="00E22DC6">
            <w:pPr>
              <w:tabs>
                <w:tab w:val="left" w:pos="6521"/>
              </w:tabs>
              <w:rPr>
                <w:sz w:val="20"/>
                <w:lang w:val="en-US" w:eastAsia="en-US"/>
              </w:rPr>
            </w:pPr>
          </w:p>
          <w:p w:rsidR="00E22DC6" w:rsidRPr="00E22DC6" w:rsidRDefault="00E22DC6" w:rsidP="00E22DC6">
            <w:pPr>
              <w:tabs>
                <w:tab w:val="left" w:pos="6521"/>
              </w:tabs>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 xml:space="preserve">Erythema, Dermatitis, Pruritus, </w:t>
            </w:r>
            <w:proofErr w:type="spellStart"/>
            <w:r w:rsidRPr="00E22DC6">
              <w:rPr>
                <w:sz w:val="20"/>
                <w:lang w:val="en-US" w:eastAsia="en-US"/>
              </w:rPr>
              <w:t>makular-papular</w:t>
            </w:r>
            <w:proofErr w:type="spellEnd"/>
            <w:r w:rsidRPr="00E22DC6">
              <w:rPr>
                <w:sz w:val="20"/>
                <w:lang w:val="en-US" w:eastAsia="en-US"/>
              </w:rPr>
              <w:t xml:space="preserve"> rash, Hyperhidrosis</w:t>
            </w:r>
          </w:p>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autoSpaceDE w:val="0"/>
              <w:autoSpaceDN w:val="0"/>
              <w:adjustRightInd w:val="0"/>
              <w:rPr>
                <w:rFonts w:ascii="Verdana" w:hAnsi="Verdana" w:cs="Verdana"/>
                <w:color w:val="000000"/>
                <w:sz w:val="20"/>
                <w:lang w:val="en-US" w:eastAsia="en-US"/>
              </w:rPr>
            </w:pPr>
            <w:r w:rsidRPr="00E22DC6">
              <w:rPr>
                <w:color w:val="000000"/>
                <w:sz w:val="20"/>
                <w:lang w:val="en-US" w:eastAsia="en-US"/>
              </w:rPr>
              <w:t xml:space="preserve">Stevens – Johnson syndrome, Toxic Epidermal Necrolysis (TEN), </w:t>
            </w:r>
          </w:p>
          <w:p w:rsidR="00E22DC6" w:rsidRPr="00E22DC6" w:rsidRDefault="00E22DC6" w:rsidP="00E22DC6">
            <w:pPr>
              <w:autoSpaceDE w:val="0"/>
              <w:autoSpaceDN w:val="0"/>
              <w:adjustRightInd w:val="0"/>
              <w:rPr>
                <w:color w:val="000000"/>
                <w:sz w:val="20"/>
                <w:lang w:val="en-US" w:eastAsia="en-US"/>
              </w:rPr>
            </w:pPr>
            <w:r w:rsidRPr="00E22DC6">
              <w:rPr>
                <w:color w:val="000000"/>
                <w:sz w:val="20"/>
                <w:lang w:val="en-US" w:eastAsia="en-US"/>
              </w:rPr>
              <w:t xml:space="preserve">Drug Reaction with Eosinophilia and Systemic Symptoms (DRESS)* </w:t>
            </w: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Renal and urinary disorders</w:t>
            </w: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hideMark/>
          </w:tcPr>
          <w:p w:rsidR="00E22DC6" w:rsidRPr="00E22DC6" w:rsidRDefault="00E22DC6" w:rsidP="00E22DC6">
            <w:pPr>
              <w:tabs>
                <w:tab w:val="left" w:pos="6521"/>
              </w:tabs>
              <w:rPr>
                <w:sz w:val="20"/>
                <w:lang w:val="en-US" w:eastAsia="en-US"/>
              </w:rPr>
            </w:pPr>
            <w:r w:rsidRPr="00E22DC6">
              <w:rPr>
                <w:sz w:val="20"/>
                <w:lang w:val="en-US" w:eastAsia="en-US"/>
              </w:rPr>
              <w:t>Renal failure</w:t>
            </w: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Reproductive system and breast disorders</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Amenorrhea</w:t>
            </w:r>
          </w:p>
          <w:p w:rsidR="00E22DC6" w:rsidRPr="00E22DC6" w:rsidRDefault="00E22DC6" w:rsidP="00E22DC6">
            <w:pPr>
              <w:tabs>
                <w:tab w:val="left" w:pos="6521"/>
              </w:tabs>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Infertility</w:t>
            </w:r>
          </w:p>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r w:rsidR="00E22DC6" w:rsidRPr="00E22DC6" w:rsidTr="00F57947">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General disorders and administration site conditions</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Mucosal inflammation, Fatigue, Pyrexia</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Pain, Chills, Dehydration, Anorexia</w:t>
            </w:r>
          </w:p>
          <w:p w:rsidR="00E22DC6" w:rsidRPr="00E22DC6" w:rsidRDefault="00E22DC6" w:rsidP="00E22DC6">
            <w:pPr>
              <w:tabs>
                <w:tab w:val="left" w:pos="6521"/>
              </w:tabs>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Multi organ failure</w:t>
            </w:r>
          </w:p>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r w:rsidR="00E22DC6" w:rsidRPr="00E467B1" w:rsidTr="00F57947">
        <w:tc>
          <w:tcPr>
            <w:tcW w:w="1843"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Investigations</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roofErr w:type="spellStart"/>
            <w:r w:rsidRPr="00E22DC6">
              <w:rPr>
                <w:sz w:val="20"/>
                <w:lang w:val="en-US" w:eastAsia="en-US"/>
              </w:rPr>
              <w:t>Haemoglobin</w:t>
            </w:r>
            <w:proofErr w:type="spellEnd"/>
            <w:r w:rsidRPr="00E22DC6">
              <w:rPr>
                <w:sz w:val="20"/>
                <w:lang w:val="en-US" w:eastAsia="en-US"/>
              </w:rPr>
              <w:t xml:space="preserve"> decrease, Creatinine increase, Urea increase</w:t>
            </w:r>
          </w:p>
          <w:p w:rsidR="00E22DC6" w:rsidRPr="00E22DC6" w:rsidRDefault="00E22DC6" w:rsidP="00E22DC6">
            <w:pPr>
              <w:tabs>
                <w:tab w:val="left" w:pos="6521"/>
              </w:tabs>
              <w:rPr>
                <w:sz w:val="20"/>
                <w:lang w:val="en-US" w:eastAsia="en-US"/>
              </w:rPr>
            </w:pPr>
          </w:p>
        </w:tc>
        <w:tc>
          <w:tcPr>
            <w:tcW w:w="1702"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r w:rsidRPr="00E22DC6">
              <w:rPr>
                <w:sz w:val="20"/>
                <w:lang w:val="en-US" w:eastAsia="en-US"/>
              </w:rPr>
              <w:t>AST increase, ALT increase, Alkaline phosphatase increase, Bilirubin increase, Hypokalemia</w:t>
            </w:r>
          </w:p>
          <w:p w:rsidR="00E22DC6" w:rsidRPr="00E22DC6" w:rsidRDefault="00E22DC6" w:rsidP="00E22DC6">
            <w:pPr>
              <w:tabs>
                <w:tab w:val="left" w:pos="6521"/>
              </w:tabs>
              <w:rPr>
                <w:sz w:val="20"/>
                <w:lang w:val="en-US" w:eastAsia="en-US"/>
              </w:rPr>
            </w:pPr>
          </w:p>
        </w:tc>
        <w:tc>
          <w:tcPr>
            <w:tcW w:w="1561"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560"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c>
          <w:tcPr>
            <w:tcW w:w="1419" w:type="dxa"/>
            <w:tcBorders>
              <w:top w:val="single" w:sz="4" w:space="0" w:color="auto"/>
              <w:left w:val="single" w:sz="4" w:space="0" w:color="auto"/>
              <w:bottom w:val="single" w:sz="4" w:space="0" w:color="auto"/>
              <w:right w:val="single" w:sz="4" w:space="0" w:color="auto"/>
            </w:tcBorders>
          </w:tcPr>
          <w:p w:rsidR="00E22DC6" w:rsidRPr="00E22DC6" w:rsidRDefault="00E22DC6" w:rsidP="00E22DC6">
            <w:pPr>
              <w:tabs>
                <w:tab w:val="left" w:pos="6521"/>
              </w:tabs>
              <w:rPr>
                <w:sz w:val="20"/>
                <w:lang w:val="en-US" w:eastAsia="en-US"/>
              </w:rPr>
            </w:pPr>
          </w:p>
        </w:tc>
      </w:tr>
    </w:tbl>
    <w:p w:rsidR="00C745BA" w:rsidRDefault="00C745BA" w:rsidP="00C745BA">
      <w:pPr>
        <w:pStyle w:val="Sidehoved"/>
        <w:tabs>
          <w:tab w:val="left" w:pos="851"/>
        </w:tabs>
        <w:ind w:left="851"/>
        <w:rPr>
          <w:szCs w:val="24"/>
          <w:lang w:val="en-US"/>
        </w:rPr>
      </w:pPr>
    </w:p>
    <w:p w:rsidR="00C745BA" w:rsidRPr="00C745BA" w:rsidRDefault="00C745BA" w:rsidP="00C745BA">
      <w:pPr>
        <w:pStyle w:val="Sidehoved"/>
        <w:tabs>
          <w:tab w:val="left" w:pos="851"/>
        </w:tabs>
        <w:ind w:left="851"/>
        <w:rPr>
          <w:szCs w:val="24"/>
          <w:lang w:val="en-US"/>
        </w:rPr>
      </w:pPr>
      <w:r w:rsidRPr="00C745BA">
        <w:rPr>
          <w:szCs w:val="24"/>
          <w:lang w:val="en-US"/>
        </w:rPr>
        <w:t>*NOS = Not otherwise specified</w:t>
      </w:r>
    </w:p>
    <w:p w:rsidR="00C745BA" w:rsidRPr="00C745BA" w:rsidRDefault="00C745BA" w:rsidP="00C745BA">
      <w:pPr>
        <w:pStyle w:val="Sidehoved"/>
        <w:tabs>
          <w:tab w:val="left" w:pos="851"/>
        </w:tabs>
        <w:ind w:left="851"/>
        <w:rPr>
          <w:szCs w:val="24"/>
          <w:lang w:val="en-US"/>
        </w:rPr>
      </w:pPr>
      <w:r w:rsidRPr="00C745BA">
        <w:rPr>
          <w:szCs w:val="24"/>
          <w:lang w:val="en-US"/>
        </w:rPr>
        <w:t>(*=combination therapy with rituximab)</w:t>
      </w:r>
    </w:p>
    <w:p w:rsidR="00595821" w:rsidRDefault="00595821" w:rsidP="00C745BA">
      <w:pPr>
        <w:pStyle w:val="Sidehoved"/>
        <w:tabs>
          <w:tab w:val="left" w:pos="851"/>
        </w:tabs>
        <w:ind w:left="851"/>
        <w:rPr>
          <w:szCs w:val="24"/>
          <w:u w:val="single"/>
          <w:lang w:val="en-US"/>
        </w:rPr>
      </w:pPr>
    </w:p>
    <w:p w:rsidR="00C745BA" w:rsidRPr="00C745BA" w:rsidRDefault="00C745BA" w:rsidP="00C745BA">
      <w:pPr>
        <w:pStyle w:val="Sidehoved"/>
        <w:tabs>
          <w:tab w:val="left" w:pos="851"/>
        </w:tabs>
        <w:ind w:left="851"/>
        <w:rPr>
          <w:szCs w:val="24"/>
          <w:u w:val="single"/>
          <w:lang w:val="en-US"/>
        </w:rPr>
      </w:pPr>
      <w:r w:rsidRPr="00C745BA">
        <w:rPr>
          <w:szCs w:val="24"/>
          <w:u w:val="single"/>
          <w:lang w:val="en-US"/>
        </w:rPr>
        <w:t xml:space="preserve">Description of selected adverse reactions </w:t>
      </w:r>
    </w:p>
    <w:p w:rsidR="00C745BA" w:rsidRPr="00C745BA" w:rsidRDefault="00C745BA" w:rsidP="00C745BA">
      <w:pPr>
        <w:pStyle w:val="Sidehoved"/>
        <w:tabs>
          <w:tab w:val="left" w:pos="851"/>
        </w:tabs>
        <w:ind w:left="851"/>
        <w:rPr>
          <w:szCs w:val="24"/>
          <w:lang w:val="en-US"/>
        </w:rPr>
      </w:pPr>
      <w:r w:rsidRPr="00C745BA">
        <w:rPr>
          <w:szCs w:val="24"/>
          <w:lang w:val="en-US"/>
        </w:rPr>
        <w:t xml:space="preserve">There have been isolated reports of necrosis after accidental extra-vascular administration and </w:t>
      </w:r>
      <w:proofErr w:type="spellStart"/>
      <w:r w:rsidRPr="00C745BA">
        <w:rPr>
          <w:szCs w:val="24"/>
          <w:lang w:val="en-US"/>
        </w:rPr>
        <w:t>tumour</w:t>
      </w:r>
      <w:proofErr w:type="spellEnd"/>
      <w:r w:rsidRPr="00C745BA">
        <w:rPr>
          <w:szCs w:val="24"/>
          <w:lang w:val="en-US"/>
        </w:rPr>
        <w:t xml:space="preserve"> lysis syndrome, and anaphylaxis. </w:t>
      </w:r>
    </w:p>
    <w:p w:rsidR="00C745BA" w:rsidRPr="00C745BA" w:rsidRDefault="00C745BA" w:rsidP="00C745BA">
      <w:pPr>
        <w:pStyle w:val="Sidehoved"/>
        <w:tabs>
          <w:tab w:val="left" w:pos="851"/>
        </w:tabs>
        <w:ind w:left="851"/>
        <w:rPr>
          <w:szCs w:val="24"/>
          <w:lang w:val="en-US"/>
        </w:rPr>
      </w:pPr>
    </w:p>
    <w:p w:rsidR="00C745BA" w:rsidRPr="00C745BA" w:rsidRDefault="00C745BA" w:rsidP="00C745BA">
      <w:pPr>
        <w:pStyle w:val="Sidehoved"/>
        <w:tabs>
          <w:tab w:val="left" w:pos="851"/>
        </w:tabs>
        <w:ind w:left="851"/>
        <w:rPr>
          <w:szCs w:val="24"/>
          <w:lang w:val="en-US"/>
        </w:rPr>
      </w:pPr>
      <w:r w:rsidRPr="00C745BA">
        <w:rPr>
          <w:szCs w:val="24"/>
          <w:lang w:val="en-US"/>
        </w:rPr>
        <w:t xml:space="preserve">The risk of myelodysplastic syndrome and acute myeloid </w:t>
      </w:r>
      <w:proofErr w:type="spellStart"/>
      <w:r w:rsidRPr="00C745BA">
        <w:rPr>
          <w:szCs w:val="24"/>
          <w:lang w:val="en-US"/>
        </w:rPr>
        <w:t>leukaemias</w:t>
      </w:r>
      <w:proofErr w:type="spellEnd"/>
      <w:r w:rsidRPr="00C745BA">
        <w:rPr>
          <w:szCs w:val="24"/>
          <w:lang w:val="en-US"/>
        </w:rPr>
        <w:t xml:space="preserve"> is increased in patients treated with alkylating agents (including </w:t>
      </w:r>
      <w:proofErr w:type="spellStart"/>
      <w:r w:rsidRPr="00C745BA">
        <w:rPr>
          <w:szCs w:val="24"/>
          <w:lang w:val="en-US"/>
        </w:rPr>
        <w:t>bendamustine</w:t>
      </w:r>
      <w:proofErr w:type="spellEnd"/>
      <w:r w:rsidRPr="00C745BA">
        <w:rPr>
          <w:szCs w:val="24"/>
          <w:lang w:val="en-US"/>
        </w:rPr>
        <w:t>). The secondary malignancy may develop several years after chemotherapy has been discontinued.</w:t>
      </w:r>
    </w:p>
    <w:p w:rsidR="00595821" w:rsidRDefault="00595821">
      <w:pPr>
        <w:rPr>
          <w:sz w:val="24"/>
          <w:szCs w:val="24"/>
          <w:lang w:val="en-US"/>
        </w:rPr>
      </w:pPr>
      <w:r>
        <w:rPr>
          <w:szCs w:val="24"/>
          <w:lang w:val="en-US"/>
        </w:rPr>
        <w:br w:type="page"/>
      </w:r>
    </w:p>
    <w:p w:rsidR="00C745BA" w:rsidRPr="00C745BA" w:rsidRDefault="00C745BA" w:rsidP="00C745BA">
      <w:pPr>
        <w:pStyle w:val="Sidehoved"/>
        <w:tabs>
          <w:tab w:val="left" w:pos="851"/>
        </w:tabs>
        <w:ind w:left="851"/>
        <w:rPr>
          <w:szCs w:val="24"/>
          <w:lang w:val="en-US"/>
        </w:rPr>
      </w:pPr>
    </w:p>
    <w:p w:rsidR="00C745BA" w:rsidRPr="00C745BA" w:rsidRDefault="00C745BA" w:rsidP="00C745BA">
      <w:pPr>
        <w:pStyle w:val="Sidehoved"/>
        <w:tabs>
          <w:tab w:val="left" w:pos="851"/>
        </w:tabs>
        <w:ind w:left="851"/>
        <w:rPr>
          <w:szCs w:val="24"/>
          <w:u w:val="single"/>
          <w:lang w:val="en-GB"/>
        </w:rPr>
      </w:pPr>
      <w:r w:rsidRPr="00C745BA">
        <w:rPr>
          <w:szCs w:val="24"/>
          <w:u w:val="single"/>
          <w:lang w:val="en-GB"/>
        </w:rPr>
        <w:t>Reporting of suspected adverse reactions</w:t>
      </w:r>
    </w:p>
    <w:p w:rsidR="00595821" w:rsidRDefault="00C745BA" w:rsidP="00C745BA">
      <w:pPr>
        <w:pStyle w:val="Sidehoved"/>
        <w:tabs>
          <w:tab w:val="left" w:pos="851"/>
        </w:tabs>
        <w:ind w:left="851"/>
        <w:rPr>
          <w:szCs w:val="24"/>
          <w:lang w:val="en-GB"/>
        </w:rPr>
      </w:pPr>
      <w:r w:rsidRPr="00C745BA">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595821">
        <w:rPr>
          <w:szCs w:val="24"/>
          <w:lang w:val="en-GB"/>
        </w:rPr>
        <w:t>:</w:t>
      </w:r>
    </w:p>
    <w:p w:rsidR="00595821" w:rsidRDefault="00595821" w:rsidP="00C745BA">
      <w:pPr>
        <w:pStyle w:val="Sidehoved"/>
        <w:tabs>
          <w:tab w:val="left" w:pos="851"/>
        </w:tabs>
        <w:ind w:left="851"/>
        <w:rPr>
          <w:szCs w:val="24"/>
          <w:lang w:val="en-GB"/>
        </w:rPr>
      </w:pPr>
    </w:p>
    <w:p w:rsidR="00EC7331" w:rsidRDefault="00EC7331" w:rsidP="00EC7331">
      <w:pPr>
        <w:ind w:left="851"/>
        <w:rPr>
          <w:sz w:val="24"/>
          <w:szCs w:val="24"/>
        </w:rPr>
      </w:pPr>
      <w:r>
        <w:rPr>
          <w:sz w:val="24"/>
          <w:szCs w:val="24"/>
        </w:rPr>
        <w:t>Lægemiddelstyrelsen</w:t>
      </w:r>
    </w:p>
    <w:p w:rsidR="00EC7331" w:rsidRDefault="00EC7331" w:rsidP="00EC7331">
      <w:pPr>
        <w:ind w:left="851"/>
        <w:rPr>
          <w:sz w:val="24"/>
          <w:szCs w:val="24"/>
        </w:rPr>
      </w:pPr>
      <w:r>
        <w:rPr>
          <w:sz w:val="24"/>
          <w:szCs w:val="24"/>
        </w:rPr>
        <w:t>Axel Heides Gade 1</w:t>
      </w:r>
    </w:p>
    <w:p w:rsidR="00EC7331" w:rsidRDefault="00EC7331" w:rsidP="00EC7331">
      <w:pPr>
        <w:ind w:left="851"/>
        <w:rPr>
          <w:sz w:val="24"/>
          <w:szCs w:val="24"/>
        </w:rPr>
      </w:pPr>
      <w:r>
        <w:rPr>
          <w:sz w:val="24"/>
          <w:szCs w:val="24"/>
        </w:rPr>
        <w:t>DK-2300 København S</w:t>
      </w:r>
    </w:p>
    <w:p w:rsidR="00EC7331" w:rsidRPr="00E467B1" w:rsidRDefault="00EC7331" w:rsidP="00EC7331">
      <w:pPr>
        <w:ind w:left="851"/>
        <w:rPr>
          <w:sz w:val="24"/>
          <w:szCs w:val="24"/>
          <w:lang w:val="en-US"/>
        </w:rPr>
      </w:pPr>
      <w:r w:rsidRPr="00E467B1">
        <w:rPr>
          <w:sz w:val="24"/>
          <w:szCs w:val="24"/>
          <w:lang w:val="en-US"/>
        </w:rPr>
        <w:t xml:space="preserve">Website: </w:t>
      </w:r>
      <w:r w:rsidRPr="00E467B1">
        <w:rPr>
          <w:sz w:val="24"/>
          <w:lang w:val="en-US"/>
        </w:rPr>
        <w:t>www.meldenbivirkning.dk</w:t>
      </w:r>
    </w:p>
    <w:p w:rsidR="007C5D2A" w:rsidRPr="00303008" w:rsidRDefault="007C5D2A" w:rsidP="003E0341">
      <w:pPr>
        <w:pStyle w:val="Sidehoved"/>
        <w:tabs>
          <w:tab w:val="clear" w:pos="4819"/>
          <w:tab w:val="clear" w:pos="9638"/>
          <w:tab w:val="left" w:pos="851"/>
        </w:tabs>
        <w:ind w:left="851"/>
        <w:rPr>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EC7331" w:rsidRPr="00EC7331" w:rsidRDefault="00EC7331" w:rsidP="00EC7331">
      <w:pPr>
        <w:tabs>
          <w:tab w:val="left" w:pos="851"/>
        </w:tabs>
        <w:ind w:left="851"/>
        <w:rPr>
          <w:sz w:val="24"/>
          <w:szCs w:val="24"/>
          <w:lang w:val="en-US"/>
        </w:rPr>
      </w:pPr>
      <w:r w:rsidRPr="00EC7331">
        <w:rPr>
          <w:sz w:val="24"/>
          <w:szCs w:val="24"/>
          <w:lang w:val="en-US"/>
        </w:rPr>
        <w:t xml:space="preserve">After application of a 30 min infusion of </w:t>
      </w:r>
      <w:proofErr w:type="spellStart"/>
      <w:r w:rsidRPr="00EC7331">
        <w:rPr>
          <w:sz w:val="24"/>
          <w:szCs w:val="24"/>
          <w:lang w:val="en-US"/>
        </w:rPr>
        <w:t>Bendamustinhydrochlorid</w:t>
      </w:r>
      <w:proofErr w:type="spellEnd"/>
      <w:r w:rsidRPr="00EC7331">
        <w:rPr>
          <w:sz w:val="24"/>
          <w:szCs w:val="24"/>
          <w:lang w:val="en-US"/>
        </w:rPr>
        <w:t xml:space="preserve"> "</w:t>
      </w:r>
      <w:proofErr w:type="spellStart"/>
      <w:r w:rsidRPr="00EC7331">
        <w:rPr>
          <w:sz w:val="24"/>
          <w:szCs w:val="24"/>
          <w:lang w:val="en-US"/>
        </w:rPr>
        <w:t>Hexal</w:t>
      </w:r>
      <w:proofErr w:type="spellEnd"/>
      <w:proofErr w:type="gramStart"/>
      <w:r w:rsidRPr="00EC7331">
        <w:rPr>
          <w:sz w:val="24"/>
          <w:szCs w:val="24"/>
          <w:lang w:val="en-US"/>
        </w:rPr>
        <w:t>"  once</w:t>
      </w:r>
      <w:proofErr w:type="gramEnd"/>
      <w:r w:rsidRPr="00EC7331">
        <w:rPr>
          <w:sz w:val="24"/>
          <w:szCs w:val="24"/>
          <w:lang w:val="en-US"/>
        </w:rPr>
        <w:t xml:space="preserve"> every 3 weeks the maximum tolerated dose (MTD) was 280 mg/m². Cardiac events of CTC grade 2 which were compatible with </w:t>
      </w:r>
      <w:proofErr w:type="spellStart"/>
      <w:r w:rsidRPr="00EC7331">
        <w:rPr>
          <w:sz w:val="24"/>
          <w:szCs w:val="24"/>
          <w:lang w:val="en-US"/>
        </w:rPr>
        <w:t>ischaemic</w:t>
      </w:r>
      <w:proofErr w:type="spellEnd"/>
      <w:r w:rsidRPr="00EC7331">
        <w:rPr>
          <w:sz w:val="24"/>
          <w:szCs w:val="24"/>
          <w:lang w:val="en-US"/>
        </w:rPr>
        <w:t xml:space="preserve"> ECG changes occurred which were regarded as dose limiting.</w:t>
      </w:r>
    </w:p>
    <w:p w:rsidR="00EC7331" w:rsidRPr="00EC7331" w:rsidRDefault="00EC7331" w:rsidP="00EC7331">
      <w:pPr>
        <w:tabs>
          <w:tab w:val="left" w:pos="851"/>
        </w:tabs>
        <w:ind w:left="851"/>
        <w:rPr>
          <w:sz w:val="24"/>
          <w:szCs w:val="24"/>
          <w:lang w:val="en-US"/>
        </w:rPr>
      </w:pPr>
      <w:r w:rsidRPr="00EC7331">
        <w:rPr>
          <w:sz w:val="24"/>
          <w:szCs w:val="24"/>
          <w:lang w:val="en-US"/>
        </w:rPr>
        <w:t xml:space="preserve">In a subsequent study with a 30 min infusion of </w:t>
      </w:r>
      <w:proofErr w:type="spellStart"/>
      <w:r w:rsidRPr="00EC7331">
        <w:rPr>
          <w:sz w:val="24"/>
          <w:szCs w:val="24"/>
          <w:lang w:val="en-US"/>
        </w:rPr>
        <w:t>bendamustine</w:t>
      </w:r>
      <w:proofErr w:type="spellEnd"/>
      <w:r w:rsidRPr="00EC7331">
        <w:rPr>
          <w:sz w:val="24"/>
          <w:szCs w:val="24"/>
          <w:lang w:val="en-US"/>
        </w:rPr>
        <w:t xml:space="preserve"> hydrochloride at day 1 and 2 every 3 weeks the MTD was found to be 180 mg/m</w:t>
      </w:r>
      <w:r w:rsidRPr="00EC7331">
        <w:rPr>
          <w:sz w:val="24"/>
          <w:szCs w:val="24"/>
          <w:vertAlign w:val="superscript"/>
          <w:lang w:val="en-US"/>
        </w:rPr>
        <w:t>2</w:t>
      </w:r>
      <w:r w:rsidRPr="00EC7331">
        <w:rPr>
          <w:sz w:val="24"/>
          <w:szCs w:val="24"/>
          <w:lang w:val="en-US"/>
        </w:rPr>
        <w:t>. The dose limiting toxicity was grade 4 thrombocytopenia. Cardiac toxicity was not dose limiting with this schedule.</w:t>
      </w:r>
    </w:p>
    <w:p w:rsidR="00EC7331" w:rsidRPr="00EC7331" w:rsidRDefault="00EC7331" w:rsidP="00EC7331">
      <w:pPr>
        <w:tabs>
          <w:tab w:val="left" w:pos="851"/>
        </w:tabs>
        <w:ind w:left="851"/>
        <w:rPr>
          <w:sz w:val="24"/>
          <w:szCs w:val="24"/>
          <w:lang w:val="en-US"/>
        </w:rPr>
      </w:pPr>
    </w:p>
    <w:p w:rsidR="00EC7331" w:rsidRPr="00EC7331" w:rsidRDefault="00EC7331" w:rsidP="00EC7331">
      <w:pPr>
        <w:tabs>
          <w:tab w:val="left" w:pos="851"/>
        </w:tabs>
        <w:ind w:left="851"/>
        <w:rPr>
          <w:sz w:val="24"/>
          <w:szCs w:val="24"/>
          <w:u w:val="single"/>
          <w:lang w:val="en-US"/>
        </w:rPr>
      </w:pPr>
      <w:r w:rsidRPr="00EC7331">
        <w:rPr>
          <w:sz w:val="24"/>
          <w:szCs w:val="24"/>
          <w:u w:val="single"/>
          <w:lang w:val="en-US"/>
        </w:rPr>
        <w:t>Counter measures</w:t>
      </w:r>
    </w:p>
    <w:p w:rsidR="00EC7331" w:rsidRPr="00EC7331" w:rsidRDefault="00EC7331" w:rsidP="00EC7331">
      <w:pPr>
        <w:tabs>
          <w:tab w:val="left" w:pos="851"/>
        </w:tabs>
        <w:ind w:left="851"/>
        <w:rPr>
          <w:sz w:val="24"/>
          <w:szCs w:val="24"/>
          <w:lang w:val="en-US"/>
        </w:rPr>
      </w:pPr>
      <w:r w:rsidRPr="00EC7331">
        <w:rPr>
          <w:sz w:val="24"/>
          <w:szCs w:val="24"/>
          <w:lang w:val="en-US"/>
        </w:rPr>
        <w:t xml:space="preserve">There is no specific antidote. Bone marrow transplantation and transfusions (platelets, concentrated erythrocytes) may be made or </w:t>
      </w:r>
      <w:proofErr w:type="spellStart"/>
      <w:r w:rsidRPr="00EC7331">
        <w:rPr>
          <w:sz w:val="24"/>
          <w:szCs w:val="24"/>
          <w:lang w:val="en-US"/>
        </w:rPr>
        <w:t>haematological</w:t>
      </w:r>
      <w:proofErr w:type="spellEnd"/>
      <w:r w:rsidRPr="00EC7331">
        <w:rPr>
          <w:sz w:val="24"/>
          <w:szCs w:val="24"/>
          <w:lang w:val="en-US"/>
        </w:rPr>
        <w:t xml:space="preserve"> growth factors may be given as effective countermeasures to control </w:t>
      </w:r>
      <w:proofErr w:type="spellStart"/>
      <w:r w:rsidRPr="00EC7331">
        <w:rPr>
          <w:sz w:val="24"/>
          <w:szCs w:val="24"/>
          <w:lang w:val="en-US"/>
        </w:rPr>
        <w:t>haematological</w:t>
      </w:r>
      <w:proofErr w:type="spellEnd"/>
      <w:r w:rsidRPr="00EC7331">
        <w:rPr>
          <w:sz w:val="24"/>
          <w:szCs w:val="24"/>
          <w:lang w:val="en-US"/>
        </w:rPr>
        <w:t xml:space="preserve"> side-effects.</w:t>
      </w:r>
    </w:p>
    <w:p w:rsidR="00EC7331" w:rsidRPr="00EC7331" w:rsidRDefault="00EC7331" w:rsidP="00EC7331">
      <w:pPr>
        <w:tabs>
          <w:tab w:val="left" w:pos="851"/>
        </w:tabs>
        <w:ind w:left="851"/>
        <w:rPr>
          <w:sz w:val="24"/>
          <w:szCs w:val="24"/>
          <w:lang w:val="en-US"/>
        </w:rPr>
      </w:pPr>
      <w:proofErr w:type="spellStart"/>
      <w:r w:rsidRPr="00EC7331">
        <w:rPr>
          <w:sz w:val="24"/>
          <w:szCs w:val="24"/>
          <w:lang w:val="en-US"/>
        </w:rPr>
        <w:t>Bendamustine</w:t>
      </w:r>
      <w:proofErr w:type="spellEnd"/>
      <w:r w:rsidRPr="00EC7331">
        <w:rPr>
          <w:sz w:val="24"/>
          <w:szCs w:val="24"/>
          <w:lang w:val="en-US"/>
        </w:rPr>
        <w:t xml:space="preserve"> hydrochloride and its metabolites are dialyzable to a small extent.</w:t>
      </w:r>
    </w:p>
    <w:p w:rsidR="007C5D2A" w:rsidRPr="00EC7331" w:rsidRDefault="007C5D2A" w:rsidP="003E0341">
      <w:pPr>
        <w:tabs>
          <w:tab w:val="left" w:pos="851"/>
        </w:tabs>
        <w:ind w:left="851"/>
        <w:rPr>
          <w:sz w:val="24"/>
          <w:szCs w:val="24"/>
          <w:lang w:val="en-US"/>
        </w:rPr>
      </w:pPr>
    </w:p>
    <w:p w:rsidR="008F2F8C" w:rsidRPr="00BA3968" w:rsidRDefault="0042292D" w:rsidP="0042292D">
      <w:pPr>
        <w:tabs>
          <w:tab w:val="left" w:pos="851"/>
        </w:tabs>
        <w:rPr>
          <w:b/>
          <w:sz w:val="24"/>
          <w:szCs w:val="24"/>
        </w:rPr>
      </w:pPr>
      <w:r w:rsidRPr="00BA3968">
        <w:rPr>
          <w:b/>
          <w:sz w:val="24"/>
          <w:szCs w:val="24"/>
        </w:rPr>
        <w:t>4.10</w:t>
      </w:r>
      <w:r w:rsidRPr="00BA3968">
        <w:rPr>
          <w:b/>
          <w:sz w:val="24"/>
          <w:szCs w:val="24"/>
        </w:rPr>
        <w:tab/>
        <w:t>Legal status</w:t>
      </w:r>
    </w:p>
    <w:p w:rsidR="00BA3968" w:rsidRDefault="00BA3968" w:rsidP="00BA3968">
      <w:pPr>
        <w:tabs>
          <w:tab w:val="left" w:pos="851"/>
        </w:tabs>
        <w:ind w:left="851"/>
        <w:rPr>
          <w:sz w:val="24"/>
          <w:szCs w:val="24"/>
        </w:rPr>
      </w:pPr>
      <w:r>
        <w:rPr>
          <w:sz w:val="24"/>
          <w:szCs w:val="24"/>
        </w:rPr>
        <w:t>BEGR - kun til sygehuse</w:t>
      </w:r>
    </w:p>
    <w:p w:rsidR="007C5D2A" w:rsidRPr="00BA3968" w:rsidRDefault="007C5D2A" w:rsidP="003E0341">
      <w:pPr>
        <w:tabs>
          <w:tab w:val="left" w:pos="851"/>
        </w:tabs>
        <w:ind w:left="851"/>
        <w:rPr>
          <w:sz w:val="24"/>
          <w:szCs w:val="24"/>
        </w:rPr>
      </w:pPr>
    </w:p>
    <w:p w:rsidR="00AD2E36" w:rsidRPr="00BA3968" w:rsidRDefault="00AD2E36" w:rsidP="003E0341">
      <w:pPr>
        <w:tabs>
          <w:tab w:val="left" w:pos="851"/>
        </w:tabs>
        <w:ind w:left="851"/>
        <w:rPr>
          <w:sz w:val="24"/>
          <w:szCs w:val="24"/>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B9107A" w:rsidRPr="003602BC" w:rsidRDefault="00B9107A" w:rsidP="00B9107A">
      <w:pPr>
        <w:ind w:left="851" w:hanging="851"/>
        <w:rPr>
          <w:sz w:val="24"/>
          <w:szCs w:val="24"/>
          <w:lang w:val="en-US"/>
        </w:rPr>
      </w:pPr>
      <w:r w:rsidRPr="00E467B1">
        <w:rPr>
          <w:sz w:val="24"/>
          <w:szCs w:val="24"/>
          <w:lang w:val="en-US"/>
        </w:rPr>
        <w:tab/>
      </w:r>
      <w:r w:rsidRPr="003602BC">
        <w:rPr>
          <w:sz w:val="24"/>
          <w:szCs w:val="24"/>
          <w:lang w:val="en-US"/>
        </w:rPr>
        <w:t xml:space="preserve">ATC-code: L 01 AA 09. </w:t>
      </w:r>
      <w:r w:rsidR="003602BC" w:rsidRPr="003602BC">
        <w:rPr>
          <w:sz w:val="24"/>
          <w:szCs w:val="24"/>
          <w:lang w:val="en-US"/>
        </w:rPr>
        <w:t>Antineoplastic agents, alkylating agents.</w:t>
      </w:r>
    </w:p>
    <w:p w:rsidR="004860D3" w:rsidRPr="003602BC" w:rsidRDefault="004860D3"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705B04" w:rsidRDefault="00705B04" w:rsidP="00705B04">
      <w:pPr>
        <w:tabs>
          <w:tab w:val="left" w:pos="851"/>
        </w:tabs>
        <w:ind w:left="851"/>
        <w:rPr>
          <w:sz w:val="24"/>
          <w:szCs w:val="24"/>
          <w:u w:val="single"/>
          <w:lang w:val="en-US"/>
        </w:rPr>
      </w:pPr>
    </w:p>
    <w:p w:rsidR="00705B04" w:rsidRPr="00705B04" w:rsidRDefault="00705B04" w:rsidP="00705B04">
      <w:pPr>
        <w:tabs>
          <w:tab w:val="left" w:pos="851"/>
        </w:tabs>
        <w:ind w:left="851"/>
        <w:rPr>
          <w:sz w:val="24"/>
          <w:szCs w:val="24"/>
          <w:u w:val="single"/>
          <w:lang w:val="en-US"/>
        </w:rPr>
      </w:pPr>
      <w:r w:rsidRPr="00705B04">
        <w:rPr>
          <w:sz w:val="24"/>
          <w:szCs w:val="24"/>
          <w:u w:val="single"/>
          <w:lang w:val="en-US"/>
        </w:rPr>
        <w:t>Mechanism of action</w:t>
      </w:r>
    </w:p>
    <w:p w:rsidR="00705B04" w:rsidRPr="00705B04" w:rsidRDefault="00705B04" w:rsidP="00705B04">
      <w:pPr>
        <w:tabs>
          <w:tab w:val="left" w:pos="851"/>
        </w:tabs>
        <w:ind w:left="851"/>
        <w:rPr>
          <w:sz w:val="24"/>
          <w:szCs w:val="24"/>
          <w:lang w:val="en-US"/>
        </w:rPr>
      </w:pPr>
      <w:proofErr w:type="spellStart"/>
      <w:r w:rsidRPr="00705B04">
        <w:rPr>
          <w:sz w:val="24"/>
          <w:szCs w:val="24"/>
          <w:lang w:val="en-US"/>
        </w:rPr>
        <w:t>Bendamustine</w:t>
      </w:r>
      <w:proofErr w:type="spellEnd"/>
      <w:r w:rsidRPr="00705B04">
        <w:rPr>
          <w:sz w:val="24"/>
          <w:szCs w:val="24"/>
          <w:lang w:val="en-US"/>
        </w:rPr>
        <w:t xml:space="preserve"> hydrochloride is an alkylating </w:t>
      </w:r>
      <w:proofErr w:type="spellStart"/>
      <w:r w:rsidRPr="00705B04">
        <w:rPr>
          <w:sz w:val="24"/>
          <w:szCs w:val="24"/>
          <w:lang w:val="en-US"/>
        </w:rPr>
        <w:t>antitumour</w:t>
      </w:r>
      <w:proofErr w:type="spellEnd"/>
      <w:r w:rsidRPr="00705B04">
        <w:rPr>
          <w:sz w:val="24"/>
          <w:szCs w:val="24"/>
          <w:lang w:val="en-US"/>
        </w:rPr>
        <w:t xml:space="preserve"> agent with unique activity. The antineoplastic and cytocidal effect of </w:t>
      </w:r>
      <w:proofErr w:type="spellStart"/>
      <w:r w:rsidRPr="00705B04">
        <w:rPr>
          <w:sz w:val="24"/>
          <w:szCs w:val="24"/>
          <w:lang w:val="en-US"/>
        </w:rPr>
        <w:t>bendamustine</w:t>
      </w:r>
      <w:proofErr w:type="spellEnd"/>
      <w:r w:rsidRPr="00705B04">
        <w:rPr>
          <w:sz w:val="24"/>
          <w:szCs w:val="24"/>
          <w:lang w:val="en-US"/>
        </w:rPr>
        <w:t xml:space="preserve"> hydrochloride is based essentially on a cross-linking of DNA single and double strands by alkylation. As a result, DNA matrix functions and DNA synthesis and repair are impaired. </w:t>
      </w:r>
    </w:p>
    <w:p w:rsidR="00705B04" w:rsidRPr="00705B04" w:rsidRDefault="00705B04" w:rsidP="00705B04">
      <w:pPr>
        <w:tabs>
          <w:tab w:val="left" w:pos="851"/>
        </w:tabs>
        <w:ind w:left="851"/>
        <w:rPr>
          <w:sz w:val="24"/>
          <w:szCs w:val="24"/>
          <w:lang w:val="en-US"/>
        </w:rPr>
      </w:pPr>
    </w:p>
    <w:p w:rsidR="00705B04" w:rsidRPr="00705B04" w:rsidRDefault="00705B04" w:rsidP="00705B04">
      <w:pPr>
        <w:tabs>
          <w:tab w:val="left" w:pos="851"/>
        </w:tabs>
        <w:ind w:left="851"/>
        <w:rPr>
          <w:sz w:val="24"/>
          <w:szCs w:val="24"/>
          <w:u w:val="single"/>
          <w:lang w:val="en-US"/>
        </w:rPr>
      </w:pPr>
      <w:r w:rsidRPr="00705B04">
        <w:rPr>
          <w:sz w:val="24"/>
          <w:szCs w:val="24"/>
          <w:u w:val="single"/>
          <w:lang w:val="en-US"/>
        </w:rPr>
        <w:t>Pharmacodynamic effects</w:t>
      </w:r>
    </w:p>
    <w:p w:rsidR="00705B04" w:rsidRPr="00705B04" w:rsidRDefault="00705B04" w:rsidP="00705B04">
      <w:pPr>
        <w:tabs>
          <w:tab w:val="left" w:pos="851"/>
        </w:tabs>
        <w:ind w:left="851"/>
        <w:rPr>
          <w:sz w:val="24"/>
          <w:szCs w:val="24"/>
          <w:lang w:val="en-US"/>
        </w:rPr>
      </w:pPr>
      <w:r w:rsidRPr="00705B04">
        <w:rPr>
          <w:sz w:val="24"/>
          <w:szCs w:val="24"/>
          <w:lang w:val="en-US"/>
        </w:rPr>
        <w:t xml:space="preserve">The </w:t>
      </w:r>
      <w:proofErr w:type="spellStart"/>
      <w:r w:rsidRPr="00705B04">
        <w:rPr>
          <w:sz w:val="24"/>
          <w:szCs w:val="24"/>
          <w:lang w:val="en-US"/>
        </w:rPr>
        <w:t>antitumour</w:t>
      </w:r>
      <w:proofErr w:type="spellEnd"/>
      <w:r w:rsidRPr="00705B04">
        <w:rPr>
          <w:sz w:val="24"/>
          <w:szCs w:val="24"/>
          <w:lang w:val="en-US"/>
        </w:rPr>
        <w:t xml:space="preserve"> effect of </w:t>
      </w:r>
      <w:proofErr w:type="spellStart"/>
      <w:r w:rsidRPr="00705B04">
        <w:rPr>
          <w:sz w:val="24"/>
          <w:szCs w:val="24"/>
          <w:lang w:val="en-US"/>
        </w:rPr>
        <w:t>bendamustine</w:t>
      </w:r>
      <w:proofErr w:type="spellEnd"/>
      <w:r w:rsidRPr="00705B04">
        <w:rPr>
          <w:sz w:val="24"/>
          <w:szCs w:val="24"/>
          <w:lang w:val="en-US"/>
        </w:rPr>
        <w:t xml:space="preserve"> hydrochloride has been demonstrated by several in-vitro studies in different human </w:t>
      </w:r>
      <w:proofErr w:type="spellStart"/>
      <w:r w:rsidRPr="00705B04">
        <w:rPr>
          <w:sz w:val="24"/>
          <w:szCs w:val="24"/>
          <w:lang w:val="en-US"/>
        </w:rPr>
        <w:t>tumour</w:t>
      </w:r>
      <w:proofErr w:type="spellEnd"/>
      <w:r w:rsidRPr="00705B04">
        <w:rPr>
          <w:sz w:val="24"/>
          <w:szCs w:val="24"/>
          <w:lang w:val="en-US"/>
        </w:rPr>
        <w:t xml:space="preserve"> cell lines (breast cancer, non-small cell and small cell lung cancer, ovary carcinoma and different </w:t>
      </w:r>
      <w:proofErr w:type="spellStart"/>
      <w:r w:rsidRPr="00705B04">
        <w:rPr>
          <w:sz w:val="24"/>
          <w:szCs w:val="24"/>
          <w:lang w:val="en-US"/>
        </w:rPr>
        <w:t>leukaemia</w:t>
      </w:r>
      <w:proofErr w:type="spellEnd"/>
      <w:r w:rsidRPr="00705B04">
        <w:rPr>
          <w:sz w:val="24"/>
          <w:szCs w:val="24"/>
          <w:lang w:val="en-US"/>
        </w:rPr>
        <w:t xml:space="preserve">) and </w:t>
      </w:r>
      <w:r w:rsidRPr="00705B04">
        <w:rPr>
          <w:i/>
          <w:sz w:val="24"/>
          <w:szCs w:val="24"/>
          <w:lang w:val="en-US"/>
        </w:rPr>
        <w:t>in-vivo</w:t>
      </w:r>
      <w:r w:rsidRPr="00705B04">
        <w:rPr>
          <w:sz w:val="24"/>
          <w:szCs w:val="24"/>
          <w:lang w:val="en-US"/>
        </w:rPr>
        <w:t xml:space="preserve"> in different experimental </w:t>
      </w:r>
      <w:proofErr w:type="spellStart"/>
      <w:r w:rsidRPr="00705B04">
        <w:rPr>
          <w:sz w:val="24"/>
          <w:szCs w:val="24"/>
          <w:lang w:val="en-US"/>
        </w:rPr>
        <w:t>tumour</w:t>
      </w:r>
      <w:proofErr w:type="spellEnd"/>
      <w:r w:rsidRPr="00705B04">
        <w:rPr>
          <w:sz w:val="24"/>
          <w:szCs w:val="24"/>
          <w:lang w:val="en-US"/>
        </w:rPr>
        <w:t xml:space="preserve"> models with </w:t>
      </w:r>
      <w:proofErr w:type="spellStart"/>
      <w:r w:rsidRPr="00705B04">
        <w:rPr>
          <w:sz w:val="24"/>
          <w:szCs w:val="24"/>
          <w:lang w:val="en-US"/>
        </w:rPr>
        <w:t>tumours</w:t>
      </w:r>
      <w:proofErr w:type="spellEnd"/>
      <w:r w:rsidRPr="00705B04">
        <w:rPr>
          <w:sz w:val="24"/>
          <w:szCs w:val="24"/>
          <w:lang w:val="en-US"/>
        </w:rPr>
        <w:t xml:space="preserve"> of mouse, rat and human origin (melanoma, breast cancer, sarcoma, lymphoma, </w:t>
      </w:r>
      <w:proofErr w:type="spellStart"/>
      <w:r w:rsidRPr="00705B04">
        <w:rPr>
          <w:sz w:val="24"/>
          <w:szCs w:val="24"/>
          <w:lang w:val="en-US"/>
        </w:rPr>
        <w:t>leukaemia</w:t>
      </w:r>
      <w:proofErr w:type="spellEnd"/>
      <w:r w:rsidRPr="00705B04">
        <w:rPr>
          <w:sz w:val="24"/>
          <w:szCs w:val="24"/>
          <w:lang w:val="en-US"/>
        </w:rPr>
        <w:t xml:space="preserve"> and small cell lung cancer).</w:t>
      </w:r>
    </w:p>
    <w:p w:rsidR="00705B04" w:rsidRPr="00705B04" w:rsidRDefault="00705B04" w:rsidP="00705B04">
      <w:pPr>
        <w:tabs>
          <w:tab w:val="left" w:pos="851"/>
        </w:tabs>
        <w:ind w:left="851"/>
        <w:rPr>
          <w:sz w:val="24"/>
          <w:szCs w:val="24"/>
          <w:lang w:val="en-US"/>
        </w:rPr>
      </w:pPr>
      <w:proofErr w:type="spellStart"/>
      <w:r w:rsidRPr="00705B04">
        <w:rPr>
          <w:sz w:val="24"/>
          <w:szCs w:val="24"/>
          <w:lang w:val="en-US"/>
        </w:rPr>
        <w:t>Bendamustine</w:t>
      </w:r>
      <w:proofErr w:type="spellEnd"/>
      <w:r w:rsidRPr="00705B04">
        <w:rPr>
          <w:sz w:val="24"/>
          <w:szCs w:val="24"/>
          <w:lang w:val="en-US"/>
        </w:rPr>
        <w:t xml:space="preserve"> hydrochloride showed an activity profile in human </w:t>
      </w:r>
      <w:proofErr w:type="spellStart"/>
      <w:r w:rsidRPr="00705B04">
        <w:rPr>
          <w:sz w:val="24"/>
          <w:szCs w:val="24"/>
          <w:lang w:val="en-US"/>
        </w:rPr>
        <w:t>tumour</w:t>
      </w:r>
      <w:proofErr w:type="spellEnd"/>
      <w:r w:rsidRPr="00705B04">
        <w:rPr>
          <w:sz w:val="24"/>
          <w:szCs w:val="24"/>
          <w:lang w:val="en-US"/>
        </w:rPr>
        <w:t xml:space="preserve"> cell lines different to that of other alkylating agents. The active substance revealed no or very low </w:t>
      </w:r>
      <w:r w:rsidRPr="00705B04">
        <w:rPr>
          <w:sz w:val="24"/>
          <w:szCs w:val="24"/>
          <w:lang w:val="en-US"/>
        </w:rPr>
        <w:lastRenderedPageBreak/>
        <w:t xml:space="preserve">cross-resistance in human </w:t>
      </w:r>
      <w:proofErr w:type="spellStart"/>
      <w:r w:rsidRPr="00705B04">
        <w:rPr>
          <w:sz w:val="24"/>
          <w:szCs w:val="24"/>
          <w:lang w:val="en-US"/>
        </w:rPr>
        <w:t>tumour</w:t>
      </w:r>
      <w:proofErr w:type="spellEnd"/>
      <w:r w:rsidRPr="00705B04">
        <w:rPr>
          <w:sz w:val="24"/>
          <w:szCs w:val="24"/>
          <w:lang w:val="en-US"/>
        </w:rPr>
        <w:t xml:space="preserve"> cell lines with different resistance mechanisms at least in part due to a comparatively persistent DNA interaction. Additionally, it was shown in clinical studies that there is no complete cross-resistance of </w:t>
      </w:r>
      <w:proofErr w:type="spellStart"/>
      <w:r w:rsidRPr="00705B04">
        <w:rPr>
          <w:sz w:val="24"/>
          <w:szCs w:val="24"/>
          <w:lang w:val="en-US"/>
        </w:rPr>
        <w:t>bendamustine</w:t>
      </w:r>
      <w:proofErr w:type="spellEnd"/>
      <w:r w:rsidRPr="00705B04">
        <w:rPr>
          <w:sz w:val="24"/>
          <w:szCs w:val="24"/>
          <w:lang w:val="en-US"/>
        </w:rPr>
        <w:t xml:space="preserve"> with anthracyclines, alkylating agents or rituximab. However, the number of assessed patients is small.</w:t>
      </w:r>
    </w:p>
    <w:p w:rsidR="00705B04" w:rsidRPr="00705B04" w:rsidRDefault="00705B04" w:rsidP="00705B04">
      <w:pPr>
        <w:tabs>
          <w:tab w:val="left" w:pos="851"/>
        </w:tabs>
        <w:ind w:left="851"/>
        <w:rPr>
          <w:sz w:val="24"/>
          <w:szCs w:val="24"/>
          <w:lang w:val="en-US"/>
        </w:rPr>
      </w:pPr>
    </w:p>
    <w:p w:rsidR="00705B04" w:rsidRPr="00705B04" w:rsidRDefault="00705B04" w:rsidP="00705B04">
      <w:pPr>
        <w:tabs>
          <w:tab w:val="left" w:pos="851"/>
        </w:tabs>
        <w:ind w:left="851"/>
        <w:rPr>
          <w:sz w:val="24"/>
          <w:szCs w:val="24"/>
          <w:u w:val="single"/>
          <w:lang w:val="en-US"/>
        </w:rPr>
      </w:pPr>
      <w:r w:rsidRPr="00705B04">
        <w:rPr>
          <w:sz w:val="24"/>
          <w:szCs w:val="24"/>
          <w:u w:val="single"/>
          <w:lang w:val="en-US"/>
        </w:rPr>
        <w:t>Clinical efficacy and safety</w:t>
      </w:r>
    </w:p>
    <w:p w:rsidR="00705B04" w:rsidRDefault="00705B04" w:rsidP="00705B04">
      <w:pPr>
        <w:tabs>
          <w:tab w:val="left" w:pos="851"/>
        </w:tabs>
        <w:ind w:left="851"/>
        <w:rPr>
          <w:i/>
          <w:sz w:val="24"/>
          <w:szCs w:val="24"/>
          <w:lang w:val="en-US"/>
        </w:rPr>
      </w:pPr>
    </w:p>
    <w:p w:rsidR="00705B04" w:rsidRPr="00705B04" w:rsidRDefault="00705B04" w:rsidP="00705B04">
      <w:pPr>
        <w:tabs>
          <w:tab w:val="left" w:pos="851"/>
        </w:tabs>
        <w:ind w:left="851"/>
        <w:rPr>
          <w:i/>
          <w:sz w:val="24"/>
          <w:szCs w:val="24"/>
          <w:lang w:val="en-US"/>
        </w:rPr>
      </w:pPr>
      <w:r w:rsidRPr="00705B04">
        <w:rPr>
          <w:i/>
          <w:sz w:val="24"/>
          <w:szCs w:val="24"/>
          <w:lang w:val="en-US"/>
        </w:rPr>
        <w:t xml:space="preserve">Chronic lymphocytic </w:t>
      </w:r>
      <w:proofErr w:type="spellStart"/>
      <w:r w:rsidRPr="00705B04">
        <w:rPr>
          <w:i/>
          <w:sz w:val="24"/>
          <w:szCs w:val="24"/>
          <w:lang w:val="en-US"/>
        </w:rPr>
        <w:t>leukaemia</w:t>
      </w:r>
      <w:proofErr w:type="spellEnd"/>
      <w:r w:rsidRPr="00705B04">
        <w:rPr>
          <w:i/>
          <w:sz w:val="24"/>
          <w:szCs w:val="24"/>
          <w:lang w:val="en-US"/>
        </w:rPr>
        <w:t xml:space="preserve"> </w:t>
      </w:r>
    </w:p>
    <w:p w:rsidR="00705B04" w:rsidRPr="00705B04" w:rsidRDefault="00705B04" w:rsidP="00705B04">
      <w:pPr>
        <w:tabs>
          <w:tab w:val="left" w:pos="851"/>
        </w:tabs>
        <w:ind w:left="851"/>
        <w:rPr>
          <w:sz w:val="24"/>
          <w:szCs w:val="24"/>
          <w:lang w:val="en-US"/>
        </w:rPr>
      </w:pPr>
      <w:r w:rsidRPr="00705B04">
        <w:rPr>
          <w:sz w:val="24"/>
          <w:szCs w:val="24"/>
          <w:lang w:val="en-US"/>
        </w:rPr>
        <w:t xml:space="preserve">The indication for use in chronic lymphocytic </w:t>
      </w:r>
      <w:proofErr w:type="spellStart"/>
      <w:r w:rsidRPr="00705B04">
        <w:rPr>
          <w:sz w:val="24"/>
          <w:szCs w:val="24"/>
          <w:lang w:val="en-US"/>
        </w:rPr>
        <w:t>leukaemia</w:t>
      </w:r>
      <w:proofErr w:type="spellEnd"/>
      <w:r w:rsidRPr="00705B04">
        <w:rPr>
          <w:sz w:val="24"/>
          <w:szCs w:val="24"/>
          <w:lang w:val="en-US"/>
        </w:rPr>
        <w:t xml:space="preserve"> is supported by a single open label study comparing </w:t>
      </w:r>
      <w:proofErr w:type="spellStart"/>
      <w:r w:rsidRPr="00705B04">
        <w:rPr>
          <w:sz w:val="24"/>
          <w:szCs w:val="24"/>
          <w:lang w:val="en-US"/>
        </w:rPr>
        <w:t>bendamustine</w:t>
      </w:r>
      <w:proofErr w:type="spellEnd"/>
      <w:r w:rsidRPr="00705B04">
        <w:rPr>
          <w:sz w:val="24"/>
          <w:szCs w:val="24"/>
          <w:lang w:val="en-US"/>
        </w:rPr>
        <w:t xml:space="preserve"> with chlorambucil. In the prospective, multi-</w:t>
      </w:r>
      <w:proofErr w:type="spellStart"/>
      <w:r w:rsidRPr="00705B04">
        <w:rPr>
          <w:sz w:val="24"/>
          <w:szCs w:val="24"/>
          <w:lang w:val="en-US"/>
        </w:rPr>
        <w:t>centre</w:t>
      </w:r>
      <w:proofErr w:type="spellEnd"/>
      <w:r w:rsidRPr="00705B04">
        <w:rPr>
          <w:sz w:val="24"/>
          <w:szCs w:val="24"/>
          <w:lang w:val="en-US"/>
        </w:rPr>
        <w:t xml:space="preserve">, </w:t>
      </w:r>
      <w:proofErr w:type="spellStart"/>
      <w:r w:rsidRPr="00705B04">
        <w:rPr>
          <w:sz w:val="24"/>
          <w:szCs w:val="24"/>
          <w:lang w:val="en-US"/>
        </w:rPr>
        <w:t>randomised</w:t>
      </w:r>
      <w:proofErr w:type="spellEnd"/>
      <w:r w:rsidRPr="00705B04">
        <w:rPr>
          <w:sz w:val="24"/>
          <w:szCs w:val="24"/>
          <w:lang w:val="en-US"/>
        </w:rPr>
        <w:t xml:space="preserve"> study, 319 previously untreated patients with chronic lymphocytic </w:t>
      </w:r>
      <w:proofErr w:type="spellStart"/>
      <w:r w:rsidRPr="00705B04">
        <w:rPr>
          <w:sz w:val="24"/>
          <w:szCs w:val="24"/>
          <w:lang w:val="en-US"/>
        </w:rPr>
        <w:t>leukaemia</w:t>
      </w:r>
      <w:proofErr w:type="spellEnd"/>
      <w:r w:rsidRPr="00705B04">
        <w:rPr>
          <w:sz w:val="24"/>
          <w:szCs w:val="24"/>
          <w:lang w:val="en-US"/>
        </w:rPr>
        <w:t xml:space="preserve"> stage Binet B or C requiring therapy were included. The first line therapy with </w:t>
      </w:r>
      <w:proofErr w:type="spellStart"/>
      <w:r w:rsidRPr="00705B04">
        <w:rPr>
          <w:sz w:val="24"/>
          <w:szCs w:val="24"/>
          <w:lang w:val="en-US"/>
        </w:rPr>
        <w:t>bendamustine</w:t>
      </w:r>
      <w:proofErr w:type="spellEnd"/>
      <w:r w:rsidRPr="00705B04">
        <w:rPr>
          <w:sz w:val="24"/>
          <w:szCs w:val="24"/>
          <w:lang w:val="en-US"/>
        </w:rPr>
        <w:t xml:space="preserve"> hydrochloride 100 mg/m² </w:t>
      </w:r>
      <w:proofErr w:type="spellStart"/>
      <w:r w:rsidRPr="00705B04">
        <w:rPr>
          <w:sz w:val="24"/>
          <w:szCs w:val="24"/>
          <w:lang w:val="en-US"/>
        </w:rPr>
        <w:t>i.v.</w:t>
      </w:r>
      <w:proofErr w:type="spellEnd"/>
      <w:r w:rsidRPr="00705B04">
        <w:rPr>
          <w:sz w:val="24"/>
          <w:szCs w:val="24"/>
          <w:lang w:val="en-US"/>
        </w:rPr>
        <w:t xml:space="preserve"> on days 1 and 2 (BEN) was compared to treatment with chlorambucil 0.8mg/kg days 1 and 15 (CLB) for 6 cycles in both arms. Patients received allopurinol in order to prevent </w:t>
      </w:r>
      <w:proofErr w:type="spellStart"/>
      <w:r w:rsidRPr="00705B04">
        <w:rPr>
          <w:sz w:val="24"/>
          <w:szCs w:val="24"/>
          <w:lang w:val="en-US"/>
        </w:rPr>
        <w:t>tumour</w:t>
      </w:r>
      <w:proofErr w:type="spellEnd"/>
      <w:r w:rsidRPr="00705B04">
        <w:rPr>
          <w:sz w:val="24"/>
          <w:szCs w:val="24"/>
          <w:lang w:val="en-US"/>
        </w:rPr>
        <w:t xml:space="preserve"> lysis syndrome.</w:t>
      </w:r>
    </w:p>
    <w:p w:rsidR="00705B04" w:rsidRPr="00705B04" w:rsidRDefault="00705B04" w:rsidP="00705B04">
      <w:pPr>
        <w:tabs>
          <w:tab w:val="left" w:pos="851"/>
        </w:tabs>
        <w:ind w:left="851"/>
        <w:rPr>
          <w:sz w:val="24"/>
          <w:szCs w:val="24"/>
          <w:lang w:val="en-US"/>
        </w:rPr>
      </w:pPr>
      <w:r w:rsidRPr="00705B04">
        <w:rPr>
          <w:sz w:val="24"/>
          <w:szCs w:val="24"/>
          <w:lang w:val="en-US"/>
        </w:rPr>
        <w:t>Patients with BEN have a significantly longer median progression free survival than patients with CLB treatment (21.5 versus 8.3 months, p &lt; 0.0001 in the latest follow-up). Overall survival was not statistically significantly different (median not reached). The median duration of remission is 19 months with BEN and 6 months with CLB treatment (p &lt; 0.0001). The safety evaluation in both treatment arms did not reveal any unexpected undesirable effects in nature and frequency. The dose of BEN was reduced in 34</w:t>
      </w:r>
      <w:r w:rsidR="00E23152">
        <w:rPr>
          <w:sz w:val="24"/>
          <w:szCs w:val="24"/>
          <w:lang w:val="en-US"/>
        </w:rPr>
        <w:t xml:space="preserve"> %</w:t>
      </w:r>
      <w:r w:rsidRPr="00705B04">
        <w:rPr>
          <w:sz w:val="24"/>
          <w:szCs w:val="24"/>
          <w:lang w:val="en-US"/>
        </w:rPr>
        <w:t xml:space="preserve"> of the patients. Treatment with BEN was discontinued in 3.9</w:t>
      </w:r>
      <w:r w:rsidR="00E23152">
        <w:rPr>
          <w:sz w:val="24"/>
          <w:szCs w:val="24"/>
          <w:lang w:val="en-US"/>
        </w:rPr>
        <w:t xml:space="preserve"> %</w:t>
      </w:r>
      <w:r w:rsidRPr="00705B04">
        <w:rPr>
          <w:sz w:val="24"/>
          <w:szCs w:val="24"/>
          <w:lang w:val="en-US"/>
        </w:rPr>
        <w:t xml:space="preserve"> of patients due to allergic reactions.</w:t>
      </w:r>
    </w:p>
    <w:p w:rsidR="00705B04" w:rsidRPr="00705B04" w:rsidRDefault="00705B04" w:rsidP="00705B04">
      <w:pPr>
        <w:tabs>
          <w:tab w:val="left" w:pos="851"/>
        </w:tabs>
        <w:ind w:left="851"/>
        <w:rPr>
          <w:sz w:val="24"/>
          <w:szCs w:val="24"/>
          <w:lang w:val="en-US"/>
        </w:rPr>
      </w:pPr>
    </w:p>
    <w:p w:rsidR="00705B04" w:rsidRPr="00705B04" w:rsidRDefault="00705B04" w:rsidP="00705B04">
      <w:pPr>
        <w:tabs>
          <w:tab w:val="left" w:pos="851"/>
        </w:tabs>
        <w:ind w:left="851"/>
        <w:rPr>
          <w:i/>
          <w:sz w:val="24"/>
          <w:szCs w:val="24"/>
          <w:lang w:val="en-US"/>
        </w:rPr>
      </w:pPr>
      <w:r w:rsidRPr="00705B04">
        <w:rPr>
          <w:i/>
          <w:sz w:val="24"/>
          <w:szCs w:val="24"/>
          <w:lang w:val="en-US"/>
        </w:rPr>
        <w:t>Indolent non-Hodgkin's lymphomas</w:t>
      </w:r>
    </w:p>
    <w:p w:rsidR="00705B04" w:rsidRPr="00705B04" w:rsidRDefault="00705B04" w:rsidP="00705B04">
      <w:pPr>
        <w:tabs>
          <w:tab w:val="left" w:pos="851"/>
        </w:tabs>
        <w:ind w:left="851"/>
        <w:rPr>
          <w:sz w:val="24"/>
          <w:szCs w:val="24"/>
          <w:lang w:val="en-US"/>
        </w:rPr>
      </w:pPr>
      <w:r w:rsidRPr="00705B04">
        <w:rPr>
          <w:sz w:val="24"/>
          <w:szCs w:val="24"/>
          <w:lang w:val="en-US"/>
        </w:rPr>
        <w:t xml:space="preserve">The indication for indolent non-Hodgkin's lymphomas relied on two uncontrolled phase II trials. </w:t>
      </w:r>
    </w:p>
    <w:p w:rsidR="00705B04" w:rsidRPr="00705B04" w:rsidRDefault="00705B04" w:rsidP="00705B04">
      <w:pPr>
        <w:tabs>
          <w:tab w:val="left" w:pos="851"/>
        </w:tabs>
        <w:ind w:left="851"/>
        <w:rPr>
          <w:sz w:val="24"/>
          <w:szCs w:val="24"/>
          <w:lang w:val="en-US"/>
        </w:rPr>
      </w:pPr>
      <w:r w:rsidRPr="00705B04">
        <w:rPr>
          <w:sz w:val="24"/>
          <w:szCs w:val="24"/>
          <w:lang w:val="en-US"/>
        </w:rPr>
        <w:t>In the pivotal prospective, multi-</w:t>
      </w:r>
      <w:proofErr w:type="spellStart"/>
      <w:r w:rsidRPr="00705B04">
        <w:rPr>
          <w:sz w:val="24"/>
          <w:szCs w:val="24"/>
          <w:lang w:val="en-US"/>
        </w:rPr>
        <w:t>centre</w:t>
      </w:r>
      <w:proofErr w:type="spellEnd"/>
      <w:r w:rsidRPr="00705B04">
        <w:rPr>
          <w:sz w:val="24"/>
          <w:szCs w:val="24"/>
          <w:lang w:val="en-US"/>
        </w:rPr>
        <w:t xml:space="preserve">, open study 100 patients with indolent B-cell non-Hodgkin´s lymphomas refractory to rituximab mono- or combination therapy were treated with BEN single agent. Patients received a median of 3 previous chemotherapy or biologic therapy courses. The median number of previous rituximab-containing courses was 2. The patients had no response or progress within 6 months after rituximab treatment. The dose of BEN was 120 mg/m² </w:t>
      </w:r>
      <w:proofErr w:type="spellStart"/>
      <w:r w:rsidRPr="00705B04">
        <w:rPr>
          <w:sz w:val="24"/>
          <w:szCs w:val="24"/>
          <w:lang w:val="en-US"/>
        </w:rPr>
        <w:t>i.v.</w:t>
      </w:r>
      <w:proofErr w:type="spellEnd"/>
      <w:r w:rsidRPr="00705B04">
        <w:rPr>
          <w:sz w:val="24"/>
          <w:szCs w:val="24"/>
          <w:lang w:val="en-US"/>
        </w:rPr>
        <w:t xml:space="preserve"> on days 1 and 2 planned for at least 6 cycles. Duration of treatment depended on response (6 cycles planned). The overall response rate was 75</w:t>
      </w:r>
      <w:r w:rsidR="00E23152">
        <w:rPr>
          <w:sz w:val="24"/>
          <w:szCs w:val="24"/>
          <w:lang w:val="en-US"/>
        </w:rPr>
        <w:t xml:space="preserve"> %</w:t>
      </w:r>
      <w:r w:rsidRPr="00705B04">
        <w:rPr>
          <w:sz w:val="24"/>
          <w:szCs w:val="24"/>
          <w:lang w:val="en-US"/>
        </w:rPr>
        <w:t xml:space="preserve"> including 17</w:t>
      </w:r>
      <w:r w:rsidR="00E23152">
        <w:rPr>
          <w:sz w:val="24"/>
          <w:szCs w:val="24"/>
          <w:lang w:val="en-US"/>
        </w:rPr>
        <w:t xml:space="preserve"> %</w:t>
      </w:r>
      <w:r w:rsidRPr="00705B04">
        <w:rPr>
          <w:sz w:val="24"/>
          <w:szCs w:val="24"/>
          <w:lang w:val="en-US"/>
        </w:rPr>
        <w:t xml:space="preserve"> complete (CR and </w:t>
      </w:r>
      <w:proofErr w:type="spellStart"/>
      <w:r w:rsidRPr="00705B04">
        <w:rPr>
          <w:sz w:val="24"/>
          <w:szCs w:val="24"/>
          <w:lang w:val="en-US"/>
        </w:rPr>
        <w:t>CRu</w:t>
      </w:r>
      <w:proofErr w:type="spellEnd"/>
      <w:r w:rsidRPr="00705B04">
        <w:rPr>
          <w:sz w:val="24"/>
          <w:szCs w:val="24"/>
          <w:lang w:val="en-US"/>
        </w:rPr>
        <w:t>) and 58</w:t>
      </w:r>
      <w:r w:rsidR="00E23152">
        <w:rPr>
          <w:sz w:val="24"/>
          <w:szCs w:val="24"/>
          <w:lang w:val="en-US"/>
        </w:rPr>
        <w:t xml:space="preserve"> %</w:t>
      </w:r>
      <w:r w:rsidRPr="00705B04">
        <w:rPr>
          <w:sz w:val="24"/>
          <w:szCs w:val="24"/>
          <w:lang w:val="en-US"/>
        </w:rPr>
        <w:t xml:space="preserve"> partial response as assessed by an independent review committee. The median duration of remission was 40 weeks. BEN was generally well tolerated when given in this dose and schedule.</w:t>
      </w:r>
    </w:p>
    <w:p w:rsidR="00705B04" w:rsidRPr="00705B04" w:rsidRDefault="00705B04" w:rsidP="00705B04">
      <w:pPr>
        <w:tabs>
          <w:tab w:val="left" w:pos="851"/>
        </w:tabs>
        <w:ind w:left="851"/>
        <w:rPr>
          <w:sz w:val="24"/>
          <w:szCs w:val="24"/>
          <w:lang w:val="en-US"/>
        </w:rPr>
      </w:pPr>
    </w:p>
    <w:p w:rsidR="00705B04" w:rsidRPr="00705B04" w:rsidRDefault="00705B04" w:rsidP="00705B04">
      <w:pPr>
        <w:tabs>
          <w:tab w:val="left" w:pos="851"/>
        </w:tabs>
        <w:ind w:left="851"/>
        <w:rPr>
          <w:sz w:val="24"/>
          <w:szCs w:val="24"/>
          <w:lang w:val="en-US"/>
        </w:rPr>
      </w:pPr>
      <w:r w:rsidRPr="00705B04">
        <w:rPr>
          <w:sz w:val="24"/>
          <w:szCs w:val="24"/>
          <w:lang w:val="en-US"/>
        </w:rPr>
        <w:t>The indication is further supported by another prospective, multi-</w:t>
      </w:r>
      <w:proofErr w:type="spellStart"/>
      <w:r w:rsidRPr="00705B04">
        <w:rPr>
          <w:sz w:val="24"/>
          <w:szCs w:val="24"/>
          <w:lang w:val="en-US"/>
        </w:rPr>
        <w:t>centre</w:t>
      </w:r>
      <w:proofErr w:type="spellEnd"/>
      <w:r w:rsidRPr="00705B04">
        <w:rPr>
          <w:sz w:val="24"/>
          <w:szCs w:val="24"/>
          <w:lang w:val="en-US"/>
        </w:rPr>
        <w:t>, open study including 77 patients. The patient population was more heterogeneous including: indolent or transformed B-cell non-Hodgkin's lymphomas refractory to rituximab mono- or combination therapy. The patients had no response or progress within 6 months or had an untoward reaction to prior rituximab treatment. Patients received a median of 3 previous chemotherapy or biological therapy courses. The median number of previous rituximab-containing courses was 2. The overall response rate was 76</w:t>
      </w:r>
      <w:r w:rsidR="00E23152">
        <w:rPr>
          <w:sz w:val="24"/>
          <w:szCs w:val="24"/>
          <w:lang w:val="en-US"/>
        </w:rPr>
        <w:t xml:space="preserve"> %</w:t>
      </w:r>
      <w:r w:rsidRPr="00705B04">
        <w:rPr>
          <w:sz w:val="24"/>
          <w:szCs w:val="24"/>
          <w:lang w:val="en-US"/>
        </w:rPr>
        <w:t xml:space="preserve"> with a median duration of response of 5 months (29 [95</w:t>
      </w:r>
      <w:r w:rsidR="00E23152">
        <w:rPr>
          <w:sz w:val="24"/>
          <w:szCs w:val="24"/>
          <w:lang w:val="en-US"/>
        </w:rPr>
        <w:t xml:space="preserve"> %</w:t>
      </w:r>
      <w:r w:rsidRPr="00705B04">
        <w:rPr>
          <w:sz w:val="24"/>
          <w:szCs w:val="24"/>
          <w:lang w:val="en-US"/>
        </w:rPr>
        <w:t xml:space="preserve"> CI 22.1, 43.1] weeks).</w:t>
      </w:r>
    </w:p>
    <w:p w:rsidR="00705B04" w:rsidRPr="00705B04" w:rsidRDefault="00705B04" w:rsidP="00705B04">
      <w:pPr>
        <w:tabs>
          <w:tab w:val="left" w:pos="851"/>
        </w:tabs>
        <w:ind w:left="851"/>
        <w:rPr>
          <w:sz w:val="24"/>
          <w:szCs w:val="24"/>
          <w:lang w:val="en-US"/>
        </w:rPr>
      </w:pPr>
    </w:p>
    <w:p w:rsidR="00705B04" w:rsidRPr="00705B04" w:rsidRDefault="00705B04" w:rsidP="00705B04">
      <w:pPr>
        <w:tabs>
          <w:tab w:val="left" w:pos="851"/>
        </w:tabs>
        <w:ind w:left="851"/>
        <w:rPr>
          <w:i/>
          <w:sz w:val="24"/>
          <w:szCs w:val="24"/>
          <w:lang w:val="en-US"/>
        </w:rPr>
      </w:pPr>
      <w:r w:rsidRPr="00705B04">
        <w:rPr>
          <w:i/>
          <w:sz w:val="24"/>
          <w:szCs w:val="24"/>
          <w:lang w:val="en-US"/>
        </w:rPr>
        <w:t>Multiple myeloma</w:t>
      </w:r>
    </w:p>
    <w:p w:rsidR="00705B04" w:rsidRPr="00705B04" w:rsidRDefault="00705B04" w:rsidP="00705B04">
      <w:pPr>
        <w:tabs>
          <w:tab w:val="left" w:pos="851"/>
        </w:tabs>
        <w:ind w:left="851"/>
        <w:rPr>
          <w:sz w:val="24"/>
          <w:szCs w:val="24"/>
          <w:lang w:val="en-US"/>
        </w:rPr>
      </w:pPr>
      <w:r w:rsidRPr="00705B04">
        <w:rPr>
          <w:sz w:val="24"/>
          <w:szCs w:val="24"/>
          <w:lang w:val="en-US"/>
        </w:rPr>
        <w:t>In a prospective, multi-</w:t>
      </w:r>
      <w:proofErr w:type="spellStart"/>
      <w:r w:rsidRPr="00705B04">
        <w:rPr>
          <w:sz w:val="24"/>
          <w:szCs w:val="24"/>
          <w:lang w:val="en-US"/>
        </w:rPr>
        <w:t>centre</w:t>
      </w:r>
      <w:proofErr w:type="spellEnd"/>
      <w:r w:rsidRPr="00705B04">
        <w:rPr>
          <w:sz w:val="24"/>
          <w:szCs w:val="24"/>
          <w:lang w:val="en-US"/>
        </w:rPr>
        <w:t xml:space="preserve">, </w:t>
      </w:r>
      <w:proofErr w:type="spellStart"/>
      <w:r w:rsidRPr="00705B04">
        <w:rPr>
          <w:sz w:val="24"/>
          <w:szCs w:val="24"/>
          <w:lang w:val="en-US"/>
        </w:rPr>
        <w:t>randomised</w:t>
      </w:r>
      <w:proofErr w:type="spellEnd"/>
      <w:r w:rsidRPr="00705B04">
        <w:rPr>
          <w:sz w:val="24"/>
          <w:szCs w:val="24"/>
          <w:lang w:val="en-US"/>
        </w:rPr>
        <w:t xml:space="preserve">, open study 131 patients with advanced multiple myeloma (Durie-Salmon stage II with progress or stage III) were included. The first line </w:t>
      </w:r>
      <w:r w:rsidRPr="00705B04">
        <w:rPr>
          <w:sz w:val="24"/>
          <w:szCs w:val="24"/>
          <w:lang w:val="en-US"/>
        </w:rPr>
        <w:lastRenderedPageBreak/>
        <w:t xml:space="preserve">therapy with </w:t>
      </w:r>
      <w:proofErr w:type="spellStart"/>
      <w:r w:rsidRPr="00705B04">
        <w:rPr>
          <w:sz w:val="24"/>
          <w:szCs w:val="24"/>
          <w:lang w:val="en-US"/>
        </w:rPr>
        <w:t>bendamustine</w:t>
      </w:r>
      <w:proofErr w:type="spellEnd"/>
      <w:r w:rsidRPr="00705B04">
        <w:rPr>
          <w:sz w:val="24"/>
          <w:szCs w:val="24"/>
          <w:lang w:val="en-US"/>
        </w:rPr>
        <w:t xml:space="preserve"> hydrochloride in combination with prednisone (BP) was compared to treatment with melphalan and prednisone (MP). Tolerability in both treatment arms was in line with the known safety profile of the respective medicinal products with significantly more dose reductions in the BP arm. The dose was </w:t>
      </w:r>
      <w:proofErr w:type="spellStart"/>
      <w:r w:rsidRPr="00705B04">
        <w:rPr>
          <w:sz w:val="24"/>
          <w:szCs w:val="24"/>
          <w:lang w:val="en-US"/>
        </w:rPr>
        <w:t>bendamustine</w:t>
      </w:r>
      <w:proofErr w:type="spellEnd"/>
      <w:r w:rsidRPr="00705B04">
        <w:rPr>
          <w:sz w:val="24"/>
          <w:szCs w:val="24"/>
          <w:lang w:val="en-US"/>
        </w:rPr>
        <w:t xml:space="preserve"> hydrochloride 150 mg/m² </w:t>
      </w:r>
      <w:proofErr w:type="spellStart"/>
      <w:r w:rsidRPr="00705B04">
        <w:rPr>
          <w:sz w:val="24"/>
          <w:szCs w:val="24"/>
          <w:lang w:val="en-US"/>
        </w:rPr>
        <w:t>i.v.</w:t>
      </w:r>
      <w:proofErr w:type="spellEnd"/>
      <w:r w:rsidRPr="00705B04">
        <w:rPr>
          <w:sz w:val="24"/>
          <w:szCs w:val="24"/>
          <w:lang w:val="en-US"/>
        </w:rPr>
        <w:t xml:space="preserve"> on days 1 and 2 or melphalan 15 mg/m² </w:t>
      </w:r>
      <w:proofErr w:type="spellStart"/>
      <w:r w:rsidRPr="00705B04">
        <w:rPr>
          <w:sz w:val="24"/>
          <w:szCs w:val="24"/>
          <w:lang w:val="en-US"/>
        </w:rPr>
        <w:t>i.v.</w:t>
      </w:r>
      <w:proofErr w:type="spellEnd"/>
      <w:r w:rsidRPr="00705B04">
        <w:rPr>
          <w:sz w:val="24"/>
          <w:szCs w:val="24"/>
          <w:lang w:val="en-US"/>
        </w:rPr>
        <w:t xml:space="preserve"> on day 1 each in combination with prednisone. Duration of treatment depended on response and averaged 6.8 in the BP and 8.7 cycles in the MP group.</w:t>
      </w:r>
    </w:p>
    <w:p w:rsidR="00705B04" w:rsidRPr="00705B04" w:rsidRDefault="00705B04" w:rsidP="00705B04">
      <w:pPr>
        <w:tabs>
          <w:tab w:val="left" w:pos="851"/>
        </w:tabs>
        <w:ind w:left="851"/>
        <w:rPr>
          <w:sz w:val="24"/>
          <w:szCs w:val="24"/>
          <w:lang w:val="en-US"/>
        </w:rPr>
      </w:pPr>
      <w:r w:rsidRPr="00705B04">
        <w:rPr>
          <w:sz w:val="24"/>
          <w:szCs w:val="24"/>
          <w:lang w:val="en-US"/>
        </w:rPr>
        <w:t>Patients with BP treatment have a longer median progression free survival than patients with MP (15 [95</w:t>
      </w:r>
      <w:r w:rsidR="00E23152">
        <w:rPr>
          <w:sz w:val="24"/>
          <w:szCs w:val="24"/>
          <w:lang w:val="en-US"/>
        </w:rPr>
        <w:t xml:space="preserve"> %</w:t>
      </w:r>
      <w:r w:rsidRPr="00705B04">
        <w:rPr>
          <w:sz w:val="24"/>
          <w:szCs w:val="24"/>
          <w:lang w:val="en-US"/>
        </w:rPr>
        <w:t>Cl 12-21] versus 12 [95</w:t>
      </w:r>
      <w:r w:rsidR="00E23152">
        <w:rPr>
          <w:sz w:val="24"/>
          <w:szCs w:val="24"/>
          <w:lang w:val="en-US"/>
        </w:rPr>
        <w:t xml:space="preserve"> %</w:t>
      </w:r>
      <w:r w:rsidRPr="00705B04">
        <w:rPr>
          <w:sz w:val="24"/>
          <w:szCs w:val="24"/>
          <w:lang w:val="en-US"/>
        </w:rPr>
        <w:t>Cl 10-14] months) (p=0.0566). The median time to treatment failure is 14 months with BP and 9 months with MP treatment. The duration of remission is 18 months with BP and 12 months with MP treatment. The difference in overall survival is not significantly different (35 months BP versus 33 months MP). Tolerability in both treatment arms was in line with the know safety profile of the respective medicinal products with significantly more dose reductions in the BP arm.</w:t>
      </w:r>
    </w:p>
    <w:p w:rsidR="007C5D2A" w:rsidRPr="00705B04"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075928" w:rsidRPr="00075928" w:rsidRDefault="00075928" w:rsidP="00075928">
      <w:pPr>
        <w:tabs>
          <w:tab w:val="left" w:pos="851"/>
        </w:tabs>
        <w:ind w:left="851"/>
        <w:rPr>
          <w:sz w:val="24"/>
          <w:szCs w:val="24"/>
          <w:lang w:val="en-GB"/>
        </w:rPr>
      </w:pPr>
    </w:p>
    <w:p w:rsidR="00075928" w:rsidRPr="00075928" w:rsidRDefault="00075928" w:rsidP="00075928">
      <w:pPr>
        <w:tabs>
          <w:tab w:val="left" w:pos="851"/>
        </w:tabs>
        <w:ind w:left="851"/>
        <w:rPr>
          <w:sz w:val="24"/>
          <w:szCs w:val="24"/>
          <w:u w:val="single"/>
          <w:lang w:val="en-US"/>
        </w:rPr>
      </w:pPr>
      <w:r w:rsidRPr="00075928">
        <w:rPr>
          <w:sz w:val="24"/>
          <w:szCs w:val="24"/>
          <w:u w:val="single"/>
          <w:lang w:val="en-US"/>
        </w:rPr>
        <w:t>Distribution</w:t>
      </w:r>
    </w:p>
    <w:p w:rsidR="00075928" w:rsidRPr="00075928" w:rsidRDefault="00075928" w:rsidP="00075928">
      <w:pPr>
        <w:tabs>
          <w:tab w:val="left" w:pos="851"/>
        </w:tabs>
        <w:ind w:left="851"/>
        <w:rPr>
          <w:sz w:val="24"/>
          <w:szCs w:val="24"/>
          <w:lang w:val="en-US"/>
        </w:rPr>
      </w:pPr>
      <w:r w:rsidRPr="00075928">
        <w:rPr>
          <w:sz w:val="24"/>
          <w:szCs w:val="24"/>
          <w:lang w:val="en-US"/>
        </w:rPr>
        <w:t>The elimination half-life t</w:t>
      </w:r>
      <w:r w:rsidRPr="00075928">
        <w:rPr>
          <w:sz w:val="24"/>
          <w:szCs w:val="24"/>
          <w:vertAlign w:val="subscript"/>
          <w:lang w:val="en-US"/>
        </w:rPr>
        <w:t>1/2ß</w:t>
      </w:r>
      <w:r w:rsidRPr="00075928">
        <w:rPr>
          <w:sz w:val="24"/>
          <w:szCs w:val="24"/>
          <w:lang w:val="en-US"/>
        </w:rPr>
        <w:t xml:space="preserve"> after 30 min </w:t>
      </w:r>
      <w:proofErr w:type="spellStart"/>
      <w:r w:rsidRPr="00075928">
        <w:rPr>
          <w:sz w:val="24"/>
          <w:szCs w:val="24"/>
          <w:lang w:val="en-US"/>
        </w:rPr>
        <w:t>i.v.</w:t>
      </w:r>
      <w:proofErr w:type="spellEnd"/>
      <w:r w:rsidRPr="00075928">
        <w:rPr>
          <w:sz w:val="24"/>
          <w:szCs w:val="24"/>
          <w:lang w:val="en-US"/>
        </w:rPr>
        <w:t xml:space="preserve"> infusion of 120 mg/m2 area to 12 subjects was 28.2 minutes.</w:t>
      </w:r>
    </w:p>
    <w:p w:rsidR="00075928" w:rsidRPr="00075928" w:rsidRDefault="00075928" w:rsidP="00075928">
      <w:pPr>
        <w:tabs>
          <w:tab w:val="left" w:pos="851"/>
        </w:tabs>
        <w:ind w:left="851"/>
        <w:rPr>
          <w:sz w:val="24"/>
          <w:szCs w:val="24"/>
          <w:lang w:val="en-US"/>
        </w:rPr>
      </w:pPr>
      <w:r w:rsidRPr="00075928">
        <w:rPr>
          <w:sz w:val="24"/>
          <w:szCs w:val="24"/>
          <w:lang w:val="en-US"/>
        </w:rPr>
        <w:t xml:space="preserve">Following 30 min </w:t>
      </w:r>
      <w:proofErr w:type="spellStart"/>
      <w:r w:rsidRPr="00075928">
        <w:rPr>
          <w:sz w:val="24"/>
          <w:szCs w:val="24"/>
          <w:lang w:val="en-US"/>
        </w:rPr>
        <w:t>i.v.</w:t>
      </w:r>
      <w:proofErr w:type="spellEnd"/>
      <w:r w:rsidRPr="00075928">
        <w:rPr>
          <w:sz w:val="24"/>
          <w:szCs w:val="24"/>
          <w:lang w:val="en-US"/>
        </w:rPr>
        <w:t xml:space="preserve"> infusion the central volume of distribution was 19.3 l. Under steady-state conditions following </w:t>
      </w:r>
      <w:proofErr w:type="spellStart"/>
      <w:r w:rsidRPr="00075928">
        <w:rPr>
          <w:sz w:val="24"/>
          <w:szCs w:val="24"/>
          <w:lang w:val="en-US"/>
        </w:rPr>
        <w:t>i.v.</w:t>
      </w:r>
      <w:proofErr w:type="spellEnd"/>
      <w:r w:rsidRPr="00075928">
        <w:rPr>
          <w:sz w:val="24"/>
          <w:szCs w:val="24"/>
          <w:lang w:val="en-US"/>
        </w:rPr>
        <w:t xml:space="preserve"> bolus injection the volume of distribution was 15.8-20.5 l.</w:t>
      </w:r>
    </w:p>
    <w:p w:rsidR="00075928" w:rsidRPr="00075928" w:rsidRDefault="00075928" w:rsidP="00075928">
      <w:pPr>
        <w:tabs>
          <w:tab w:val="left" w:pos="851"/>
        </w:tabs>
        <w:ind w:left="851"/>
        <w:rPr>
          <w:sz w:val="24"/>
          <w:szCs w:val="24"/>
          <w:lang w:val="en-US"/>
        </w:rPr>
      </w:pPr>
      <w:r w:rsidRPr="00075928">
        <w:rPr>
          <w:sz w:val="24"/>
          <w:szCs w:val="24"/>
          <w:lang w:val="en-US"/>
        </w:rPr>
        <w:t>More than 95</w:t>
      </w:r>
      <w:r w:rsidR="00E23152">
        <w:rPr>
          <w:sz w:val="24"/>
          <w:szCs w:val="24"/>
          <w:lang w:val="en-US"/>
        </w:rPr>
        <w:t xml:space="preserve"> %</w:t>
      </w:r>
      <w:r w:rsidRPr="00075928">
        <w:rPr>
          <w:sz w:val="24"/>
          <w:szCs w:val="24"/>
          <w:lang w:val="en-US"/>
        </w:rPr>
        <w:t xml:space="preserve"> of the substance is bound to plasma proteins (primarily albumin). </w:t>
      </w:r>
    </w:p>
    <w:p w:rsidR="00075928" w:rsidRPr="00075928" w:rsidRDefault="00075928" w:rsidP="00075928">
      <w:pPr>
        <w:tabs>
          <w:tab w:val="left" w:pos="851"/>
        </w:tabs>
        <w:ind w:left="851"/>
        <w:rPr>
          <w:sz w:val="24"/>
          <w:szCs w:val="24"/>
          <w:lang w:val="en-US"/>
        </w:rPr>
      </w:pPr>
    </w:p>
    <w:p w:rsidR="00075928" w:rsidRPr="00075928" w:rsidRDefault="00075928" w:rsidP="00075928">
      <w:pPr>
        <w:tabs>
          <w:tab w:val="left" w:pos="851"/>
        </w:tabs>
        <w:ind w:left="851"/>
        <w:rPr>
          <w:sz w:val="24"/>
          <w:szCs w:val="24"/>
          <w:u w:val="single"/>
          <w:lang w:val="en-US"/>
        </w:rPr>
      </w:pPr>
      <w:r w:rsidRPr="00075928">
        <w:rPr>
          <w:sz w:val="24"/>
          <w:szCs w:val="24"/>
          <w:u w:val="single"/>
          <w:lang w:val="en-US"/>
        </w:rPr>
        <w:t xml:space="preserve">Biotransformation </w:t>
      </w:r>
    </w:p>
    <w:p w:rsidR="00075928" w:rsidRPr="00075928" w:rsidRDefault="00075928" w:rsidP="00075928">
      <w:pPr>
        <w:tabs>
          <w:tab w:val="left" w:pos="851"/>
        </w:tabs>
        <w:ind w:left="851"/>
        <w:rPr>
          <w:sz w:val="24"/>
          <w:szCs w:val="24"/>
          <w:lang w:val="en-US"/>
        </w:rPr>
      </w:pPr>
      <w:r w:rsidRPr="00075928">
        <w:rPr>
          <w:sz w:val="24"/>
          <w:szCs w:val="24"/>
          <w:lang w:val="en-US"/>
        </w:rPr>
        <w:t xml:space="preserve">A major route of clearance of </w:t>
      </w:r>
      <w:proofErr w:type="spellStart"/>
      <w:r w:rsidRPr="00075928">
        <w:rPr>
          <w:sz w:val="24"/>
          <w:szCs w:val="24"/>
          <w:lang w:val="en-US"/>
        </w:rPr>
        <w:t>bendamustine</w:t>
      </w:r>
      <w:proofErr w:type="spellEnd"/>
      <w:r w:rsidRPr="00075928">
        <w:rPr>
          <w:sz w:val="24"/>
          <w:szCs w:val="24"/>
          <w:lang w:val="en-US"/>
        </w:rPr>
        <w:t xml:space="preserve"> is the hydrolysis to monohydroxy- and dihydroxy-</w:t>
      </w:r>
      <w:proofErr w:type="spellStart"/>
      <w:r w:rsidRPr="00075928">
        <w:rPr>
          <w:sz w:val="24"/>
          <w:szCs w:val="24"/>
          <w:lang w:val="en-US"/>
        </w:rPr>
        <w:t>bendamustine</w:t>
      </w:r>
      <w:proofErr w:type="spellEnd"/>
      <w:r w:rsidRPr="00075928">
        <w:rPr>
          <w:sz w:val="24"/>
          <w:szCs w:val="24"/>
          <w:lang w:val="en-US"/>
        </w:rPr>
        <w:t>. Formation of N-</w:t>
      </w:r>
      <w:proofErr w:type="spellStart"/>
      <w:r w:rsidRPr="00075928">
        <w:rPr>
          <w:sz w:val="24"/>
          <w:szCs w:val="24"/>
          <w:lang w:val="en-US"/>
        </w:rPr>
        <w:t>desmethyl</w:t>
      </w:r>
      <w:proofErr w:type="spellEnd"/>
      <w:r w:rsidRPr="00075928">
        <w:rPr>
          <w:sz w:val="24"/>
          <w:szCs w:val="24"/>
          <w:lang w:val="en-US"/>
        </w:rPr>
        <w:t>-</w:t>
      </w:r>
      <w:proofErr w:type="spellStart"/>
      <w:r w:rsidRPr="00075928">
        <w:rPr>
          <w:sz w:val="24"/>
          <w:szCs w:val="24"/>
          <w:lang w:val="en-US"/>
        </w:rPr>
        <w:t>bendamustine</w:t>
      </w:r>
      <w:proofErr w:type="spellEnd"/>
      <w:r w:rsidRPr="00075928">
        <w:rPr>
          <w:sz w:val="24"/>
          <w:szCs w:val="24"/>
          <w:lang w:val="en-US"/>
        </w:rPr>
        <w:t xml:space="preserve"> and gamma-hydroxy-</w:t>
      </w:r>
      <w:proofErr w:type="spellStart"/>
      <w:r w:rsidRPr="00075928">
        <w:rPr>
          <w:sz w:val="24"/>
          <w:szCs w:val="24"/>
          <w:lang w:val="en-US"/>
        </w:rPr>
        <w:t>bendamustine</w:t>
      </w:r>
      <w:proofErr w:type="spellEnd"/>
      <w:r w:rsidRPr="00075928">
        <w:rPr>
          <w:sz w:val="24"/>
          <w:szCs w:val="24"/>
          <w:lang w:val="en-US"/>
        </w:rPr>
        <w:t xml:space="preserve"> by hepatic metabolism involves cytochrome P450 (CYP) 1A2 isoenzyme. Another major route of </w:t>
      </w:r>
      <w:proofErr w:type="spellStart"/>
      <w:r w:rsidRPr="00075928">
        <w:rPr>
          <w:sz w:val="24"/>
          <w:szCs w:val="24"/>
          <w:lang w:val="en-US"/>
        </w:rPr>
        <w:t>bendamustine</w:t>
      </w:r>
      <w:proofErr w:type="spellEnd"/>
      <w:r w:rsidRPr="00075928">
        <w:rPr>
          <w:sz w:val="24"/>
          <w:szCs w:val="24"/>
          <w:lang w:val="en-US"/>
        </w:rPr>
        <w:t xml:space="preserve"> metabolism involves conjugation with glutathione.</w:t>
      </w:r>
    </w:p>
    <w:p w:rsidR="00075928" w:rsidRPr="00075928" w:rsidRDefault="00075928" w:rsidP="00075928">
      <w:pPr>
        <w:tabs>
          <w:tab w:val="left" w:pos="851"/>
        </w:tabs>
        <w:ind w:left="851"/>
        <w:rPr>
          <w:sz w:val="24"/>
          <w:szCs w:val="24"/>
          <w:lang w:val="en-US"/>
        </w:rPr>
      </w:pPr>
      <w:r w:rsidRPr="00075928">
        <w:rPr>
          <w:i/>
          <w:sz w:val="24"/>
          <w:szCs w:val="24"/>
          <w:lang w:val="en-US"/>
        </w:rPr>
        <w:t>In-vitro</w:t>
      </w:r>
      <w:r w:rsidRPr="00075928">
        <w:rPr>
          <w:sz w:val="24"/>
          <w:szCs w:val="24"/>
          <w:lang w:val="en-US"/>
        </w:rPr>
        <w:t xml:space="preserve"> </w:t>
      </w:r>
      <w:proofErr w:type="spellStart"/>
      <w:r w:rsidRPr="00075928">
        <w:rPr>
          <w:sz w:val="24"/>
          <w:szCs w:val="24"/>
          <w:lang w:val="en-US"/>
        </w:rPr>
        <w:t>bendamustine</w:t>
      </w:r>
      <w:proofErr w:type="spellEnd"/>
      <w:r w:rsidRPr="00075928">
        <w:rPr>
          <w:sz w:val="24"/>
          <w:szCs w:val="24"/>
          <w:lang w:val="en-US"/>
        </w:rPr>
        <w:t xml:space="preserve"> does not inhibit CYP 1A4, CYP 2C9/10, CYP 2D6, CYP 2E1 and CYP 3A4.</w:t>
      </w:r>
    </w:p>
    <w:p w:rsidR="00075928" w:rsidRPr="00075928" w:rsidRDefault="00075928" w:rsidP="00075928">
      <w:pPr>
        <w:tabs>
          <w:tab w:val="left" w:pos="851"/>
        </w:tabs>
        <w:ind w:left="851"/>
        <w:rPr>
          <w:sz w:val="24"/>
          <w:szCs w:val="24"/>
          <w:lang w:val="en-US"/>
        </w:rPr>
      </w:pPr>
    </w:p>
    <w:p w:rsidR="00075928" w:rsidRPr="00075928" w:rsidRDefault="00075928" w:rsidP="00075928">
      <w:pPr>
        <w:tabs>
          <w:tab w:val="left" w:pos="851"/>
        </w:tabs>
        <w:ind w:left="851"/>
        <w:rPr>
          <w:sz w:val="24"/>
          <w:szCs w:val="24"/>
          <w:u w:val="single"/>
          <w:lang w:val="en-US"/>
        </w:rPr>
      </w:pPr>
      <w:r w:rsidRPr="00075928">
        <w:rPr>
          <w:sz w:val="24"/>
          <w:szCs w:val="24"/>
          <w:u w:val="single"/>
          <w:lang w:val="en-US"/>
        </w:rPr>
        <w:t>Elimination</w:t>
      </w:r>
    </w:p>
    <w:p w:rsidR="00075928" w:rsidRPr="00075928" w:rsidRDefault="00075928" w:rsidP="00075928">
      <w:pPr>
        <w:tabs>
          <w:tab w:val="left" w:pos="851"/>
        </w:tabs>
        <w:ind w:left="851"/>
        <w:rPr>
          <w:sz w:val="24"/>
          <w:szCs w:val="24"/>
          <w:lang w:val="en-US"/>
        </w:rPr>
      </w:pPr>
      <w:r w:rsidRPr="00075928">
        <w:rPr>
          <w:sz w:val="24"/>
          <w:szCs w:val="24"/>
          <w:lang w:val="en-US"/>
        </w:rPr>
        <w:t xml:space="preserve">The mean total clearance after 30 min </w:t>
      </w:r>
      <w:proofErr w:type="spellStart"/>
      <w:r w:rsidRPr="00075928">
        <w:rPr>
          <w:sz w:val="24"/>
          <w:szCs w:val="24"/>
          <w:lang w:val="en-US"/>
        </w:rPr>
        <w:t>i.v.</w:t>
      </w:r>
      <w:proofErr w:type="spellEnd"/>
      <w:r w:rsidRPr="00075928">
        <w:rPr>
          <w:sz w:val="24"/>
          <w:szCs w:val="24"/>
          <w:lang w:val="en-US"/>
        </w:rPr>
        <w:t xml:space="preserve"> infusion of 120 mg/m</w:t>
      </w:r>
      <w:r w:rsidRPr="00075928">
        <w:rPr>
          <w:sz w:val="24"/>
          <w:szCs w:val="24"/>
          <w:vertAlign w:val="superscript"/>
          <w:lang w:val="en-US"/>
        </w:rPr>
        <w:t>2</w:t>
      </w:r>
      <w:r w:rsidRPr="00075928">
        <w:rPr>
          <w:sz w:val="24"/>
          <w:szCs w:val="24"/>
          <w:lang w:val="en-US"/>
        </w:rPr>
        <w:t xml:space="preserve"> body surface area to 12 subjects was 639.4 ml/minute. About 20</w:t>
      </w:r>
      <w:r w:rsidR="00E23152">
        <w:rPr>
          <w:sz w:val="24"/>
          <w:szCs w:val="24"/>
          <w:lang w:val="en-US"/>
        </w:rPr>
        <w:t xml:space="preserve"> %</w:t>
      </w:r>
      <w:r w:rsidRPr="00075928">
        <w:rPr>
          <w:sz w:val="24"/>
          <w:szCs w:val="24"/>
          <w:lang w:val="en-US"/>
        </w:rPr>
        <w:t xml:space="preserve"> of the administered dose was recovered in urine within 24 hours. Amounts excreted in urine were in the order monohydroxy-</w:t>
      </w:r>
      <w:proofErr w:type="spellStart"/>
      <w:r w:rsidRPr="00075928">
        <w:rPr>
          <w:sz w:val="24"/>
          <w:szCs w:val="24"/>
          <w:lang w:val="en-US"/>
        </w:rPr>
        <w:t>bendamustine</w:t>
      </w:r>
      <w:proofErr w:type="spellEnd"/>
      <w:r w:rsidRPr="00075928">
        <w:rPr>
          <w:sz w:val="24"/>
          <w:szCs w:val="24"/>
          <w:lang w:val="en-US"/>
        </w:rPr>
        <w:t xml:space="preserve"> &gt; </w:t>
      </w:r>
      <w:proofErr w:type="spellStart"/>
      <w:r w:rsidRPr="00075928">
        <w:rPr>
          <w:sz w:val="24"/>
          <w:szCs w:val="24"/>
          <w:lang w:val="en-US"/>
        </w:rPr>
        <w:t>bendamustine</w:t>
      </w:r>
      <w:proofErr w:type="spellEnd"/>
      <w:r w:rsidRPr="00075928">
        <w:rPr>
          <w:sz w:val="24"/>
          <w:szCs w:val="24"/>
          <w:lang w:val="en-US"/>
        </w:rPr>
        <w:t xml:space="preserve"> &gt; dihydroxy-</w:t>
      </w:r>
      <w:proofErr w:type="spellStart"/>
      <w:r w:rsidRPr="00075928">
        <w:rPr>
          <w:sz w:val="24"/>
          <w:szCs w:val="24"/>
          <w:lang w:val="en-US"/>
        </w:rPr>
        <w:t>bendamustine</w:t>
      </w:r>
      <w:proofErr w:type="spellEnd"/>
      <w:r w:rsidRPr="00075928">
        <w:rPr>
          <w:sz w:val="24"/>
          <w:szCs w:val="24"/>
          <w:lang w:val="en-US"/>
        </w:rPr>
        <w:t xml:space="preserve"> &gt; </w:t>
      </w:r>
      <w:proofErr w:type="spellStart"/>
      <w:r w:rsidRPr="00075928">
        <w:rPr>
          <w:sz w:val="24"/>
          <w:szCs w:val="24"/>
          <w:lang w:val="en-US"/>
        </w:rPr>
        <w:t>oxidised</w:t>
      </w:r>
      <w:proofErr w:type="spellEnd"/>
      <w:r w:rsidRPr="00075928">
        <w:rPr>
          <w:sz w:val="24"/>
          <w:szCs w:val="24"/>
          <w:lang w:val="en-US"/>
        </w:rPr>
        <w:t xml:space="preserve"> metabolite &gt; N-</w:t>
      </w:r>
      <w:proofErr w:type="spellStart"/>
      <w:r w:rsidRPr="00075928">
        <w:rPr>
          <w:sz w:val="24"/>
          <w:szCs w:val="24"/>
          <w:lang w:val="en-US"/>
        </w:rPr>
        <w:t>desmethyl</w:t>
      </w:r>
      <w:proofErr w:type="spellEnd"/>
      <w:r w:rsidRPr="00075928">
        <w:rPr>
          <w:sz w:val="24"/>
          <w:szCs w:val="24"/>
          <w:lang w:val="en-US"/>
        </w:rPr>
        <w:t xml:space="preserve"> </w:t>
      </w:r>
      <w:proofErr w:type="spellStart"/>
      <w:r w:rsidRPr="00075928">
        <w:rPr>
          <w:sz w:val="24"/>
          <w:szCs w:val="24"/>
          <w:lang w:val="en-US"/>
        </w:rPr>
        <w:t>bendamustine</w:t>
      </w:r>
      <w:proofErr w:type="spellEnd"/>
      <w:r w:rsidRPr="00075928">
        <w:rPr>
          <w:sz w:val="24"/>
          <w:szCs w:val="24"/>
          <w:lang w:val="en-US"/>
        </w:rPr>
        <w:t>. In the bile, primarily polar metabolites are eliminated.</w:t>
      </w:r>
    </w:p>
    <w:p w:rsidR="00075928" w:rsidRPr="00075928" w:rsidRDefault="00075928" w:rsidP="00075928">
      <w:pPr>
        <w:tabs>
          <w:tab w:val="left" w:pos="851"/>
        </w:tabs>
        <w:ind w:left="851"/>
        <w:rPr>
          <w:sz w:val="24"/>
          <w:szCs w:val="24"/>
          <w:lang w:val="en-US"/>
        </w:rPr>
      </w:pPr>
      <w:r w:rsidRPr="00075928">
        <w:rPr>
          <w:sz w:val="24"/>
          <w:szCs w:val="24"/>
          <w:lang w:val="en-US"/>
        </w:rPr>
        <w:t xml:space="preserve"> </w:t>
      </w:r>
    </w:p>
    <w:p w:rsidR="00075928" w:rsidRPr="00075928" w:rsidRDefault="00075928" w:rsidP="00075928">
      <w:pPr>
        <w:tabs>
          <w:tab w:val="left" w:pos="851"/>
        </w:tabs>
        <w:ind w:left="851"/>
        <w:rPr>
          <w:sz w:val="24"/>
          <w:szCs w:val="24"/>
          <w:u w:val="single"/>
          <w:lang w:val="en-US"/>
        </w:rPr>
      </w:pPr>
      <w:r w:rsidRPr="00075928">
        <w:rPr>
          <w:sz w:val="24"/>
          <w:szCs w:val="24"/>
          <w:u w:val="single"/>
          <w:lang w:val="en-US"/>
        </w:rPr>
        <w:t xml:space="preserve">Hepatic impairment </w:t>
      </w:r>
    </w:p>
    <w:p w:rsidR="00075928" w:rsidRPr="00075928" w:rsidRDefault="00075928" w:rsidP="00075928">
      <w:pPr>
        <w:tabs>
          <w:tab w:val="left" w:pos="851"/>
        </w:tabs>
        <w:ind w:left="851"/>
        <w:rPr>
          <w:sz w:val="24"/>
          <w:szCs w:val="24"/>
          <w:lang w:val="en-US"/>
        </w:rPr>
      </w:pPr>
      <w:r w:rsidRPr="00075928">
        <w:rPr>
          <w:sz w:val="24"/>
          <w:szCs w:val="24"/>
          <w:lang w:val="en-US"/>
        </w:rPr>
        <w:t>In patients with 30 - 70</w:t>
      </w:r>
      <w:r w:rsidR="00E23152">
        <w:rPr>
          <w:sz w:val="24"/>
          <w:szCs w:val="24"/>
          <w:lang w:val="en-US"/>
        </w:rPr>
        <w:t xml:space="preserve"> %</w:t>
      </w:r>
      <w:r w:rsidRPr="00075928">
        <w:rPr>
          <w:sz w:val="24"/>
          <w:szCs w:val="24"/>
          <w:lang w:val="en-US"/>
        </w:rPr>
        <w:t xml:space="preserve"> </w:t>
      </w:r>
      <w:proofErr w:type="spellStart"/>
      <w:r w:rsidRPr="00075928">
        <w:rPr>
          <w:sz w:val="24"/>
          <w:szCs w:val="24"/>
          <w:lang w:val="en-US"/>
        </w:rPr>
        <w:t>tumour</w:t>
      </w:r>
      <w:proofErr w:type="spellEnd"/>
      <w:r w:rsidRPr="00075928">
        <w:rPr>
          <w:sz w:val="24"/>
          <w:szCs w:val="24"/>
          <w:lang w:val="en-US"/>
        </w:rPr>
        <w:t xml:space="preserve"> infestation of the liver and mild hepatic impairment (serum bilirubin &lt; 1.2 mg/dl) the pharmacokinetic </w:t>
      </w:r>
      <w:proofErr w:type="spellStart"/>
      <w:r w:rsidRPr="00075928">
        <w:rPr>
          <w:sz w:val="24"/>
          <w:szCs w:val="24"/>
          <w:lang w:val="en-US"/>
        </w:rPr>
        <w:t>behaviour</w:t>
      </w:r>
      <w:proofErr w:type="spellEnd"/>
      <w:r w:rsidRPr="00075928">
        <w:rPr>
          <w:sz w:val="24"/>
          <w:szCs w:val="24"/>
          <w:lang w:val="en-US"/>
        </w:rPr>
        <w:t xml:space="preserve"> was not changed. There was no significant difference to patients with normal liver and kidney function with respect to </w:t>
      </w:r>
      <w:proofErr w:type="spellStart"/>
      <w:r w:rsidRPr="00075928">
        <w:rPr>
          <w:sz w:val="24"/>
          <w:szCs w:val="24"/>
          <w:lang w:val="en-US"/>
        </w:rPr>
        <w:t>C</w:t>
      </w:r>
      <w:r w:rsidRPr="00075928">
        <w:rPr>
          <w:sz w:val="24"/>
          <w:szCs w:val="24"/>
          <w:vertAlign w:val="subscript"/>
          <w:lang w:val="en-US"/>
        </w:rPr>
        <w:t>max</w:t>
      </w:r>
      <w:proofErr w:type="spellEnd"/>
      <w:r w:rsidRPr="00075928">
        <w:rPr>
          <w:sz w:val="24"/>
          <w:szCs w:val="24"/>
          <w:lang w:val="en-US"/>
        </w:rPr>
        <w:t xml:space="preserve">, </w:t>
      </w:r>
      <w:proofErr w:type="spellStart"/>
      <w:r w:rsidRPr="00075928">
        <w:rPr>
          <w:sz w:val="24"/>
          <w:szCs w:val="24"/>
          <w:lang w:val="en-US"/>
        </w:rPr>
        <w:t>t</w:t>
      </w:r>
      <w:r w:rsidRPr="00075928">
        <w:rPr>
          <w:sz w:val="24"/>
          <w:szCs w:val="24"/>
          <w:vertAlign w:val="subscript"/>
          <w:lang w:val="en-US"/>
        </w:rPr>
        <w:t>max</w:t>
      </w:r>
      <w:proofErr w:type="spellEnd"/>
      <w:r w:rsidRPr="00075928">
        <w:rPr>
          <w:sz w:val="24"/>
          <w:szCs w:val="24"/>
          <w:lang w:val="en-US"/>
        </w:rPr>
        <w:t xml:space="preserve">, AUC, </w:t>
      </w:r>
      <w:r w:rsidRPr="00075928">
        <w:rPr>
          <w:sz w:val="24"/>
          <w:szCs w:val="24"/>
          <w:vertAlign w:val="subscript"/>
          <w:lang w:val="en-US"/>
        </w:rPr>
        <w:t>t1/2</w:t>
      </w:r>
      <w:proofErr w:type="gramStart"/>
      <w:r w:rsidRPr="00075928">
        <w:rPr>
          <w:sz w:val="24"/>
          <w:szCs w:val="24"/>
          <w:vertAlign w:val="subscript"/>
          <w:lang w:val="en-US"/>
        </w:rPr>
        <w:t>ß</w:t>
      </w:r>
      <w:r w:rsidRPr="00075928">
        <w:rPr>
          <w:sz w:val="24"/>
          <w:szCs w:val="24"/>
          <w:lang w:val="en-US"/>
        </w:rPr>
        <w:t xml:space="preserve"> ,</w:t>
      </w:r>
      <w:proofErr w:type="gramEnd"/>
      <w:r w:rsidRPr="00075928">
        <w:rPr>
          <w:sz w:val="24"/>
          <w:szCs w:val="24"/>
          <w:lang w:val="en-US"/>
        </w:rPr>
        <w:t xml:space="preserve"> volume of distribution and clearance. AUC and total body clearance of </w:t>
      </w:r>
      <w:proofErr w:type="spellStart"/>
      <w:r w:rsidRPr="00075928">
        <w:rPr>
          <w:sz w:val="24"/>
          <w:szCs w:val="24"/>
          <w:lang w:val="en-US"/>
        </w:rPr>
        <w:t>bendamustine</w:t>
      </w:r>
      <w:proofErr w:type="spellEnd"/>
      <w:r w:rsidRPr="00075928">
        <w:rPr>
          <w:sz w:val="24"/>
          <w:szCs w:val="24"/>
          <w:lang w:val="en-US"/>
        </w:rPr>
        <w:t xml:space="preserve"> correlate inversely with serum bilirubin.</w:t>
      </w:r>
    </w:p>
    <w:p w:rsidR="00075928" w:rsidRPr="00075928" w:rsidRDefault="00075928" w:rsidP="00075928">
      <w:pPr>
        <w:tabs>
          <w:tab w:val="left" w:pos="851"/>
        </w:tabs>
        <w:ind w:left="851"/>
        <w:rPr>
          <w:sz w:val="24"/>
          <w:szCs w:val="24"/>
          <w:lang w:val="en-US"/>
        </w:rPr>
      </w:pPr>
    </w:p>
    <w:p w:rsidR="00075928" w:rsidRPr="00075928" w:rsidRDefault="00075928" w:rsidP="00075928">
      <w:pPr>
        <w:tabs>
          <w:tab w:val="left" w:pos="851"/>
        </w:tabs>
        <w:ind w:left="851"/>
        <w:rPr>
          <w:sz w:val="24"/>
          <w:szCs w:val="24"/>
          <w:u w:val="single"/>
          <w:lang w:val="en-US"/>
        </w:rPr>
      </w:pPr>
      <w:r w:rsidRPr="00075928">
        <w:rPr>
          <w:sz w:val="24"/>
          <w:szCs w:val="24"/>
          <w:u w:val="single"/>
          <w:lang w:val="en-US"/>
        </w:rPr>
        <w:t>Renal impairment</w:t>
      </w:r>
    </w:p>
    <w:p w:rsidR="00075928" w:rsidRPr="00075928" w:rsidRDefault="00075928" w:rsidP="00075928">
      <w:pPr>
        <w:tabs>
          <w:tab w:val="left" w:pos="851"/>
        </w:tabs>
        <w:ind w:left="851"/>
        <w:rPr>
          <w:sz w:val="24"/>
          <w:szCs w:val="24"/>
          <w:lang w:val="en-US"/>
        </w:rPr>
      </w:pPr>
      <w:r w:rsidRPr="00075928">
        <w:rPr>
          <w:sz w:val="24"/>
          <w:szCs w:val="24"/>
          <w:lang w:val="en-US"/>
        </w:rPr>
        <w:t xml:space="preserve">In patients with creatinine clearance &gt;10 ml/min including dialysis dependent patients, no significant difference to patients with normal liver and kidney function was observed with respect to </w:t>
      </w:r>
      <w:proofErr w:type="spellStart"/>
      <w:r w:rsidRPr="00075928">
        <w:rPr>
          <w:sz w:val="24"/>
          <w:szCs w:val="24"/>
          <w:lang w:val="en-US"/>
        </w:rPr>
        <w:t>C</w:t>
      </w:r>
      <w:r w:rsidRPr="00075928">
        <w:rPr>
          <w:sz w:val="24"/>
          <w:szCs w:val="24"/>
          <w:vertAlign w:val="subscript"/>
          <w:lang w:val="en-US"/>
        </w:rPr>
        <w:t>max</w:t>
      </w:r>
      <w:proofErr w:type="spellEnd"/>
      <w:r w:rsidRPr="00075928">
        <w:rPr>
          <w:sz w:val="24"/>
          <w:szCs w:val="24"/>
          <w:lang w:val="en-US"/>
        </w:rPr>
        <w:t xml:space="preserve">, </w:t>
      </w:r>
      <w:proofErr w:type="spellStart"/>
      <w:r w:rsidRPr="00075928">
        <w:rPr>
          <w:sz w:val="24"/>
          <w:szCs w:val="24"/>
          <w:lang w:val="en-US"/>
        </w:rPr>
        <w:t>t</w:t>
      </w:r>
      <w:r w:rsidRPr="00075928">
        <w:rPr>
          <w:sz w:val="24"/>
          <w:szCs w:val="24"/>
          <w:vertAlign w:val="subscript"/>
          <w:lang w:val="en-US"/>
        </w:rPr>
        <w:t>max</w:t>
      </w:r>
      <w:proofErr w:type="spellEnd"/>
      <w:r w:rsidRPr="00075928">
        <w:rPr>
          <w:sz w:val="24"/>
          <w:szCs w:val="24"/>
          <w:lang w:val="en-US"/>
        </w:rPr>
        <w:t>, AUC, t</w:t>
      </w:r>
      <w:r w:rsidRPr="00075928">
        <w:rPr>
          <w:sz w:val="24"/>
          <w:szCs w:val="24"/>
          <w:vertAlign w:val="subscript"/>
          <w:lang w:val="en-US"/>
        </w:rPr>
        <w:t>1/2ß</w:t>
      </w:r>
      <w:r w:rsidRPr="00075928">
        <w:rPr>
          <w:sz w:val="24"/>
          <w:szCs w:val="24"/>
          <w:lang w:val="en-US"/>
        </w:rPr>
        <w:t>, volume of distribution and clearance.</w:t>
      </w:r>
    </w:p>
    <w:p w:rsidR="00075928" w:rsidRPr="00075928" w:rsidRDefault="00075928" w:rsidP="00075928">
      <w:pPr>
        <w:tabs>
          <w:tab w:val="left" w:pos="851"/>
        </w:tabs>
        <w:ind w:left="851"/>
        <w:rPr>
          <w:sz w:val="24"/>
          <w:szCs w:val="24"/>
          <w:lang w:val="en-US"/>
        </w:rPr>
      </w:pPr>
    </w:p>
    <w:p w:rsidR="00075928" w:rsidRPr="00075928" w:rsidRDefault="00075928" w:rsidP="00075928">
      <w:pPr>
        <w:tabs>
          <w:tab w:val="left" w:pos="851"/>
        </w:tabs>
        <w:ind w:left="851"/>
        <w:rPr>
          <w:sz w:val="24"/>
          <w:szCs w:val="24"/>
          <w:u w:val="single"/>
          <w:lang w:val="en-US"/>
        </w:rPr>
      </w:pPr>
      <w:r w:rsidRPr="00075928">
        <w:rPr>
          <w:sz w:val="24"/>
          <w:szCs w:val="24"/>
          <w:u w:val="single"/>
          <w:lang w:val="en-US"/>
        </w:rPr>
        <w:lastRenderedPageBreak/>
        <w:t>Elderly subjects</w:t>
      </w:r>
    </w:p>
    <w:p w:rsidR="00075928" w:rsidRPr="00075928" w:rsidRDefault="00075928" w:rsidP="00075928">
      <w:pPr>
        <w:tabs>
          <w:tab w:val="left" w:pos="851"/>
        </w:tabs>
        <w:ind w:left="851"/>
        <w:rPr>
          <w:sz w:val="24"/>
          <w:szCs w:val="24"/>
          <w:lang w:val="en-US"/>
        </w:rPr>
      </w:pPr>
      <w:r w:rsidRPr="00075928">
        <w:rPr>
          <w:sz w:val="24"/>
          <w:szCs w:val="24"/>
          <w:lang w:val="en-US"/>
        </w:rPr>
        <w:t xml:space="preserve">Subjects up to 84 years of age were included in pharmacokinetic studies. Higher age does not influence the pharmacokinetics of </w:t>
      </w:r>
      <w:proofErr w:type="spellStart"/>
      <w:r w:rsidRPr="00075928">
        <w:rPr>
          <w:sz w:val="24"/>
          <w:szCs w:val="24"/>
          <w:lang w:val="en-US"/>
        </w:rPr>
        <w:t>bendamustine</w:t>
      </w:r>
      <w:proofErr w:type="spellEnd"/>
      <w:r w:rsidRPr="00075928">
        <w:rPr>
          <w:sz w:val="24"/>
          <w:szCs w:val="24"/>
          <w:lang w:val="en-US"/>
        </w:rPr>
        <w:t>.</w:t>
      </w:r>
    </w:p>
    <w:p w:rsidR="007C5D2A" w:rsidRPr="00303008" w:rsidRDefault="007C5D2A" w:rsidP="003E0341">
      <w:pPr>
        <w:tabs>
          <w:tab w:val="left" w:pos="851"/>
        </w:tabs>
        <w:ind w:left="851"/>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F27385" w:rsidRPr="00F27385" w:rsidRDefault="00F27385" w:rsidP="00F27385">
      <w:pPr>
        <w:tabs>
          <w:tab w:val="left" w:pos="851"/>
        </w:tabs>
        <w:ind w:left="851"/>
        <w:rPr>
          <w:sz w:val="24"/>
          <w:szCs w:val="24"/>
          <w:lang w:val="en-US"/>
        </w:rPr>
      </w:pPr>
      <w:r w:rsidRPr="00F27385">
        <w:rPr>
          <w:sz w:val="24"/>
          <w:szCs w:val="24"/>
          <w:lang w:val="en-US"/>
        </w:rPr>
        <w:t>Adverse reactions not observed in clinical studies, but seen in animals at exposure levels similar to clinical exposure levels and with possible relevance to clinical use were as follows:</w:t>
      </w:r>
    </w:p>
    <w:p w:rsidR="00F27385" w:rsidRPr="00F27385" w:rsidRDefault="00F27385" w:rsidP="00F27385">
      <w:pPr>
        <w:tabs>
          <w:tab w:val="left" w:pos="851"/>
        </w:tabs>
        <w:ind w:left="851"/>
        <w:rPr>
          <w:sz w:val="24"/>
          <w:szCs w:val="24"/>
          <w:lang w:val="en-US"/>
        </w:rPr>
      </w:pPr>
      <w:r w:rsidRPr="00F27385">
        <w:rPr>
          <w:sz w:val="24"/>
          <w:szCs w:val="24"/>
          <w:lang w:val="en-US"/>
        </w:rPr>
        <w:t xml:space="preserve">Histological investigations in dogs showed macroscopic visible </w:t>
      </w:r>
      <w:proofErr w:type="spellStart"/>
      <w:r w:rsidRPr="00F27385">
        <w:rPr>
          <w:sz w:val="24"/>
          <w:szCs w:val="24"/>
          <w:lang w:val="en-US"/>
        </w:rPr>
        <w:t>hyperaemia</w:t>
      </w:r>
      <w:proofErr w:type="spellEnd"/>
      <w:r w:rsidRPr="00F27385">
        <w:rPr>
          <w:sz w:val="24"/>
          <w:szCs w:val="24"/>
          <w:lang w:val="en-US"/>
        </w:rPr>
        <w:t xml:space="preserve"> of the mucosa and </w:t>
      </w:r>
      <w:proofErr w:type="spellStart"/>
      <w:r w:rsidRPr="00F27385">
        <w:rPr>
          <w:sz w:val="24"/>
          <w:szCs w:val="24"/>
          <w:lang w:val="en-US"/>
        </w:rPr>
        <w:t>haemorrhagia</w:t>
      </w:r>
      <w:proofErr w:type="spellEnd"/>
      <w:r w:rsidRPr="00F27385">
        <w:rPr>
          <w:sz w:val="24"/>
          <w:szCs w:val="24"/>
          <w:lang w:val="en-US"/>
        </w:rPr>
        <w:t xml:space="preserve"> in the gastrointestinal tract. Microscopic investigations showed extensive changes of the lymphatic tissue indicating an immunosuppression and tubular changes of kidneys and testis, as well as atrophic, necrotic changes of the prostate epithelium. </w:t>
      </w:r>
    </w:p>
    <w:p w:rsidR="00F27385" w:rsidRPr="00F27385" w:rsidRDefault="00F27385" w:rsidP="00F27385">
      <w:pPr>
        <w:tabs>
          <w:tab w:val="left" w:pos="851"/>
        </w:tabs>
        <w:ind w:left="851"/>
        <w:rPr>
          <w:sz w:val="24"/>
          <w:szCs w:val="24"/>
          <w:lang w:val="en-US"/>
        </w:rPr>
      </w:pPr>
      <w:r w:rsidRPr="00F27385">
        <w:rPr>
          <w:sz w:val="24"/>
          <w:szCs w:val="24"/>
          <w:lang w:val="en-US"/>
        </w:rPr>
        <w:t xml:space="preserve">Animal studies showed that </w:t>
      </w:r>
      <w:proofErr w:type="spellStart"/>
      <w:r w:rsidRPr="00F27385">
        <w:rPr>
          <w:sz w:val="24"/>
          <w:szCs w:val="24"/>
          <w:lang w:val="en-US"/>
        </w:rPr>
        <w:t>bendamustine</w:t>
      </w:r>
      <w:proofErr w:type="spellEnd"/>
      <w:r w:rsidRPr="00F27385">
        <w:rPr>
          <w:sz w:val="24"/>
          <w:szCs w:val="24"/>
          <w:lang w:val="en-US"/>
        </w:rPr>
        <w:t xml:space="preserve"> is embryotoxic and teratogenic. </w:t>
      </w:r>
    </w:p>
    <w:p w:rsidR="00F27385" w:rsidRPr="00F27385" w:rsidRDefault="00F27385" w:rsidP="00F27385">
      <w:pPr>
        <w:tabs>
          <w:tab w:val="left" w:pos="851"/>
        </w:tabs>
        <w:ind w:left="851"/>
        <w:rPr>
          <w:sz w:val="24"/>
          <w:szCs w:val="24"/>
          <w:lang w:val="en-US"/>
        </w:rPr>
      </w:pPr>
      <w:proofErr w:type="spellStart"/>
      <w:r w:rsidRPr="00F27385">
        <w:rPr>
          <w:sz w:val="24"/>
          <w:szCs w:val="24"/>
          <w:lang w:val="en-US"/>
        </w:rPr>
        <w:t>Bendamustine</w:t>
      </w:r>
      <w:proofErr w:type="spellEnd"/>
      <w:r w:rsidRPr="00F27385">
        <w:rPr>
          <w:sz w:val="24"/>
          <w:szCs w:val="24"/>
          <w:lang w:val="en-US"/>
        </w:rPr>
        <w:t xml:space="preserve"> induces aberrations of the chromosomes and is mutagenic </w:t>
      </w:r>
      <w:r w:rsidRPr="00F27385">
        <w:rPr>
          <w:i/>
          <w:sz w:val="24"/>
          <w:szCs w:val="24"/>
          <w:lang w:val="en-US"/>
        </w:rPr>
        <w:t>in-vivo</w:t>
      </w:r>
      <w:r w:rsidRPr="00F27385">
        <w:rPr>
          <w:sz w:val="24"/>
          <w:szCs w:val="24"/>
          <w:lang w:val="en-US"/>
        </w:rPr>
        <w:t xml:space="preserve"> as well as in-vitro. In long-term studies in female mice </w:t>
      </w:r>
      <w:proofErr w:type="spellStart"/>
      <w:r w:rsidRPr="00F27385">
        <w:rPr>
          <w:sz w:val="24"/>
          <w:szCs w:val="24"/>
          <w:lang w:val="en-US"/>
        </w:rPr>
        <w:t>bendamustine</w:t>
      </w:r>
      <w:proofErr w:type="spellEnd"/>
      <w:r w:rsidRPr="00F27385">
        <w:rPr>
          <w:sz w:val="24"/>
          <w:szCs w:val="24"/>
          <w:lang w:val="en-US"/>
        </w:rPr>
        <w:t xml:space="preserve"> is carcinogenic. </w:t>
      </w:r>
    </w:p>
    <w:p w:rsidR="007C5D2A" w:rsidRPr="00F27385" w:rsidRDefault="007C5D2A" w:rsidP="003E0341">
      <w:pPr>
        <w:tabs>
          <w:tab w:val="left" w:pos="851"/>
        </w:tabs>
        <w:ind w:left="851"/>
        <w:rPr>
          <w:sz w:val="24"/>
          <w:szCs w:val="24"/>
          <w:lang w:val="en-US"/>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095906" w:rsidRPr="00095906" w:rsidRDefault="00095906" w:rsidP="00095906">
      <w:pPr>
        <w:tabs>
          <w:tab w:val="left" w:pos="851"/>
        </w:tabs>
        <w:ind w:left="851"/>
        <w:rPr>
          <w:sz w:val="24"/>
          <w:szCs w:val="24"/>
          <w:lang w:val="en-GB"/>
        </w:rPr>
      </w:pPr>
      <w:r w:rsidRPr="00095906">
        <w:rPr>
          <w:sz w:val="24"/>
          <w:szCs w:val="24"/>
          <w:lang w:val="en-GB"/>
        </w:rPr>
        <w:t>Mannitol</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095906" w:rsidRPr="00095906" w:rsidRDefault="00095906" w:rsidP="00095906">
      <w:pPr>
        <w:tabs>
          <w:tab w:val="left" w:pos="851"/>
        </w:tabs>
        <w:ind w:left="851"/>
        <w:rPr>
          <w:sz w:val="24"/>
          <w:szCs w:val="24"/>
          <w:lang w:val="en-GB"/>
        </w:rPr>
      </w:pPr>
      <w:r w:rsidRPr="00095906">
        <w:rPr>
          <w:sz w:val="24"/>
          <w:szCs w:val="24"/>
          <w:lang w:val="en-GB"/>
        </w:rPr>
        <w:t>This medicinal product must not be mixed with other medicinal products except those mentioned in section 6.6.</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095906" w:rsidRPr="00095906" w:rsidRDefault="00095906" w:rsidP="00095906">
      <w:pPr>
        <w:tabs>
          <w:tab w:val="left" w:pos="851"/>
        </w:tabs>
        <w:ind w:left="851"/>
        <w:rPr>
          <w:sz w:val="24"/>
          <w:szCs w:val="24"/>
          <w:lang w:val="en-GB"/>
        </w:rPr>
      </w:pPr>
      <w:r w:rsidRPr="00095906">
        <w:rPr>
          <w:sz w:val="24"/>
          <w:szCs w:val="24"/>
          <w:lang w:val="en-GB"/>
        </w:rPr>
        <w:t xml:space="preserve">3 </w:t>
      </w:r>
      <w:proofErr w:type="gramStart"/>
      <w:r w:rsidRPr="00095906">
        <w:rPr>
          <w:sz w:val="24"/>
          <w:szCs w:val="24"/>
          <w:lang w:val="en-GB"/>
        </w:rPr>
        <w:t xml:space="preserve">years </w:t>
      </w:r>
      <w:r>
        <w:rPr>
          <w:sz w:val="24"/>
          <w:szCs w:val="24"/>
          <w:lang w:val="en-GB"/>
        </w:rPr>
        <w:t>.</w:t>
      </w:r>
      <w:proofErr w:type="gramEnd"/>
    </w:p>
    <w:p w:rsidR="00095906" w:rsidRPr="00095906" w:rsidRDefault="00095906" w:rsidP="00095906">
      <w:pPr>
        <w:tabs>
          <w:tab w:val="left" w:pos="851"/>
        </w:tabs>
        <w:ind w:left="851"/>
        <w:rPr>
          <w:sz w:val="24"/>
          <w:szCs w:val="24"/>
          <w:lang w:val="en-GB"/>
        </w:rPr>
      </w:pPr>
    </w:p>
    <w:p w:rsidR="00095906" w:rsidRPr="000750D2" w:rsidRDefault="00095906" w:rsidP="00095906">
      <w:pPr>
        <w:tabs>
          <w:tab w:val="left" w:pos="851"/>
        </w:tabs>
        <w:ind w:left="851"/>
        <w:rPr>
          <w:sz w:val="24"/>
          <w:szCs w:val="24"/>
          <w:u w:val="single"/>
          <w:lang w:val="en-US"/>
        </w:rPr>
      </w:pPr>
      <w:r w:rsidRPr="000750D2">
        <w:rPr>
          <w:sz w:val="24"/>
          <w:szCs w:val="24"/>
          <w:u w:val="single"/>
          <w:lang w:val="en-US"/>
        </w:rPr>
        <w:t xml:space="preserve">Solution for infusion </w:t>
      </w:r>
    </w:p>
    <w:p w:rsidR="00095906" w:rsidRPr="00095906" w:rsidRDefault="00095906" w:rsidP="00095906">
      <w:pPr>
        <w:tabs>
          <w:tab w:val="left" w:pos="851"/>
        </w:tabs>
        <w:ind w:left="851"/>
        <w:rPr>
          <w:b/>
          <w:sz w:val="24"/>
          <w:szCs w:val="24"/>
          <w:lang w:val="en-GB"/>
        </w:rPr>
      </w:pPr>
      <w:r w:rsidRPr="00095906">
        <w:rPr>
          <w:sz w:val="24"/>
          <w:szCs w:val="24"/>
          <w:lang w:val="en-US"/>
        </w:rPr>
        <w:t>After reconstitution and dilution, chemical and physical stability has been demonstrated for 3.5</w:t>
      </w:r>
      <w:r w:rsidR="000750D2">
        <w:rPr>
          <w:sz w:val="24"/>
          <w:szCs w:val="24"/>
          <w:lang w:val="en-US"/>
        </w:rPr>
        <w:t xml:space="preserve"> </w:t>
      </w:r>
      <w:r w:rsidRPr="00095906">
        <w:rPr>
          <w:sz w:val="24"/>
          <w:szCs w:val="24"/>
          <w:lang w:val="en-US"/>
        </w:rPr>
        <w:t>hours at 25 ºC/ 60</w:t>
      </w:r>
      <w:r w:rsidR="00E23152">
        <w:rPr>
          <w:sz w:val="24"/>
          <w:szCs w:val="24"/>
          <w:lang w:val="en-US"/>
        </w:rPr>
        <w:t xml:space="preserve"> %</w:t>
      </w:r>
      <w:r w:rsidRPr="00095906">
        <w:rPr>
          <w:sz w:val="24"/>
          <w:szCs w:val="24"/>
          <w:lang w:val="en-US"/>
        </w:rPr>
        <w:t xml:space="preserve"> RH and 2 days at 2 ºC to 8 ºC in polyethylene bags.</w:t>
      </w:r>
    </w:p>
    <w:p w:rsidR="00095906" w:rsidRPr="00095906" w:rsidRDefault="00095906" w:rsidP="00095906">
      <w:pPr>
        <w:tabs>
          <w:tab w:val="left" w:pos="851"/>
        </w:tabs>
        <w:ind w:left="851"/>
        <w:rPr>
          <w:b/>
          <w:sz w:val="24"/>
          <w:szCs w:val="24"/>
          <w:lang w:val="en-GB"/>
        </w:rPr>
      </w:pPr>
    </w:p>
    <w:p w:rsidR="00095906" w:rsidRPr="00095906" w:rsidRDefault="00095906" w:rsidP="00095906">
      <w:pPr>
        <w:tabs>
          <w:tab w:val="left" w:pos="851"/>
        </w:tabs>
        <w:ind w:left="851"/>
        <w:rPr>
          <w:b/>
          <w:sz w:val="24"/>
          <w:szCs w:val="24"/>
          <w:lang w:val="en-GB"/>
        </w:rPr>
      </w:pPr>
      <w:r w:rsidRPr="00095906">
        <w:rPr>
          <w:sz w:val="24"/>
          <w:szCs w:val="24"/>
          <w:lang w:val="en-US"/>
        </w:rPr>
        <w:t>From a microbiological point of view, the product should be used immediately. If not used immediately, in-use storage times and conditions prior to use are the responsibility of the user and would normally not be longer than 24 hours at 2° to 8°C, unless reconstitution/dilution (</w:t>
      </w:r>
      <w:proofErr w:type="spellStart"/>
      <w:r w:rsidRPr="00095906">
        <w:rPr>
          <w:sz w:val="24"/>
          <w:szCs w:val="24"/>
          <w:lang w:val="en-US"/>
        </w:rPr>
        <w:t>etc</w:t>
      </w:r>
      <w:proofErr w:type="spellEnd"/>
      <w:r w:rsidRPr="00095906">
        <w:rPr>
          <w:sz w:val="24"/>
          <w:szCs w:val="24"/>
          <w:lang w:val="en-US"/>
        </w:rPr>
        <w:t>) has taken place in controlled and validated aseptic conditions.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0750D2" w:rsidRPr="000750D2" w:rsidRDefault="000750D2" w:rsidP="000750D2">
      <w:pPr>
        <w:tabs>
          <w:tab w:val="left" w:pos="851"/>
        </w:tabs>
        <w:ind w:left="851"/>
        <w:rPr>
          <w:sz w:val="24"/>
          <w:szCs w:val="24"/>
          <w:lang w:val="en-US"/>
        </w:rPr>
      </w:pPr>
      <w:r w:rsidRPr="000750D2">
        <w:rPr>
          <w:sz w:val="24"/>
          <w:szCs w:val="24"/>
          <w:lang w:val="en-US"/>
        </w:rPr>
        <w:t xml:space="preserve">Keep the vial in the outer carton in order to protect from light. </w:t>
      </w:r>
    </w:p>
    <w:p w:rsidR="000750D2" w:rsidRPr="000750D2" w:rsidRDefault="000750D2" w:rsidP="000750D2">
      <w:pPr>
        <w:tabs>
          <w:tab w:val="left" w:pos="851"/>
        </w:tabs>
        <w:ind w:left="851"/>
        <w:rPr>
          <w:sz w:val="24"/>
          <w:szCs w:val="24"/>
          <w:lang w:val="en-US"/>
        </w:rPr>
      </w:pPr>
      <w:r w:rsidRPr="000750D2">
        <w:rPr>
          <w:sz w:val="24"/>
          <w:szCs w:val="24"/>
          <w:lang w:val="en-US"/>
        </w:rPr>
        <w:t xml:space="preserve">For storage conditions after reconstitution or dilution of the medicinal product, see section 6.3. </w:t>
      </w:r>
    </w:p>
    <w:p w:rsidR="00915EAA" w:rsidRDefault="00915EAA">
      <w:pPr>
        <w:rPr>
          <w:sz w:val="24"/>
          <w:szCs w:val="24"/>
          <w:lang w:val="en-GB"/>
        </w:rPr>
      </w:pPr>
      <w:r>
        <w:rPr>
          <w:sz w:val="24"/>
          <w:szCs w:val="24"/>
          <w:lang w:val="en-GB"/>
        </w:rPr>
        <w:br w:type="page"/>
      </w:r>
    </w:p>
    <w:p w:rsidR="000750D2" w:rsidRPr="000750D2" w:rsidRDefault="000750D2" w:rsidP="000750D2">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772296" w:rsidRPr="00772296" w:rsidRDefault="00772296" w:rsidP="00772296">
      <w:pPr>
        <w:tabs>
          <w:tab w:val="left" w:pos="851"/>
        </w:tabs>
        <w:ind w:left="851"/>
        <w:rPr>
          <w:sz w:val="24"/>
          <w:szCs w:val="24"/>
          <w:lang w:val="en-US"/>
        </w:rPr>
      </w:pPr>
      <w:r w:rsidRPr="00772296">
        <w:rPr>
          <w:sz w:val="24"/>
          <w:szCs w:val="24"/>
          <w:lang w:val="en-US"/>
        </w:rPr>
        <w:t xml:space="preserve">Type I amber glass vial of 25 ml with </w:t>
      </w:r>
      <w:proofErr w:type="spellStart"/>
      <w:r w:rsidRPr="00772296">
        <w:rPr>
          <w:sz w:val="24"/>
          <w:szCs w:val="24"/>
          <w:lang w:val="en-US"/>
        </w:rPr>
        <w:t>bromobutyl</w:t>
      </w:r>
      <w:proofErr w:type="spellEnd"/>
      <w:r w:rsidRPr="00772296">
        <w:rPr>
          <w:sz w:val="24"/>
          <w:szCs w:val="24"/>
          <w:lang w:val="en-US"/>
        </w:rPr>
        <w:t xml:space="preserve"> rubber stopper and </w:t>
      </w:r>
      <w:proofErr w:type="spellStart"/>
      <w:r w:rsidRPr="00772296">
        <w:rPr>
          <w:sz w:val="24"/>
          <w:szCs w:val="24"/>
          <w:lang w:val="en-US"/>
        </w:rPr>
        <w:t>aluminium</w:t>
      </w:r>
      <w:proofErr w:type="spellEnd"/>
      <w:r w:rsidRPr="00772296">
        <w:rPr>
          <w:sz w:val="24"/>
          <w:szCs w:val="24"/>
          <w:lang w:val="en-US"/>
        </w:rPr>
        <w:t xml:space="preserve"> cap with flip top, with or without a plastic protection (sleeving). Sleeving does not come into contact with the medicinal product and provides additional transport protection, which increases the safety for the medical and pharmaceutical personnel.</w:t>
      </w:r>
    </w:p>
    <w:p w:rsidR="000750D2" w:rsidRDefault="00772296" w:rsidP="00772296">
      <w:pPr>
        <w:tabs>
          <w:tab w:val="left" w:pos="851"/>
        </w:tabs>
        <w:ind w:left="851"/>
        <w:rPr>
          <w:sz w:val="24"/>
          <w:szCs w:val="24"/>
          <w:lang w:val="en-US"/>
        </w:rPr>
      </w:pPr>
      <w:r w:rsidRPr="00772296">
        <w:rPr>
          <w:sz w:val="24"/>
          <w:szCs w:val="24"/>
          <w:lang w:val="en-US"/>
        </w:rPr>
        <w:t xml:space="preserve">Type I amber glass vial of 50 ml with </w:t>
      </w:r>
      <w:proofErr w:type="spellStart"/>
      <w:r w:rsidRPr="00772296">
        <w:rPr>
          <w:sz w:val="24"/>
          <w:szCs w:val="24"/>
          <w:lang w:val="en-US"/>
        </w:rPr>
        <w:t>bromobutyl</w:t>
      </w:r>
      <w:proofErr w:type="spellEnd"/>
      <w:r w:rsidRPr="00772296">
        <w:rPr>
          <w:sz w:val="24"/>
          <w:szCs w:val="24"/>
          <w:lang w:val="en-US"/>
        </w:rPr>
        <w:t xml:space="preserve"> rubber stopper and </w:t>
      </w:r>
      <w:proofErr w:type="spellStart"/>
      <w:r w:rsidRPr="00772296">
        <w:rPr>
          <w:sz w:val="24"/>
          <w:szCs w:val="24"/>
          <w:lang w:val="en-US"/>
        </w:rPr>
        <w:t>aluminium</w:t>
      </w:r>
      <w:proofErr w:type="spellEnd"/>
      <w:r w:rsidRPr="00772296">
        <w:rPr>
          <w:sz w:val="24"/>
          <w:szCs w:val="24"/>
          <w:lang w:val="en-US"/>
        </w:rPr>
        <w:t xml:space="preserve"> cap with flip-top, with or without a plastic protection (sleeving). Sleeving does not come into contact with the medicinal product and provides additional transport protection, which increases the safety for the medical and pharmaceutical personnel.</w:t>
      </w:r>
    </w:p>
    <w:p w:rsidR="000750D2" w:rsidRPr="000750D2" w:rsidRDefault="000750D2" w:rsidP="000750D2">
      <w:pPr>
        <w:tabs>
          <w:tab w:val="left" w:pos="851"/>
        </w:tabs>
        <w:ind w:left="851"/>
        <w:rPr>
          <w:sz w:val="24"/>
          <w:szCs w:val="24"/>
          <w:lang w:val="en-US"/>
        </w:rPr>
      </w:pPr>
    </w:p>
    <w:p w:rsidR="00915EAA" w:rsidRPr="00C51A7B" w:rsidRDefault="000750D2" w:rsidP="000750D2">
      <w:pPr>
        <w:tabs>
          <w:tab w:val="left" w:pos="851"/>
        </w:tabs>
        <w:ind w:left="851"/>
        <w:rPr>
          <w:sz w:val="24"/>
          <w:szCs w:val="24"/>
          <w:u w:val="single"/>
          <w:lang w:val="en-US"/>
        </w:rPr>
      </w:pPr>
      <w:r w:rsidRPr="00C51A7B">
        <w:rPr>
          <w:sz w:val="24"/>
          <w:szCs w:val="24"/>
          <w:u w:val="single"/>
          <w:lang w:val="en-US"/>
        </w:rPr>
        <w:t>Pack sizes</w:t>
      </w:r>
    </w:p>
    <w:p w:rsidR="00915EAA" w:rsidRDefault="000750D2" w:rsidP="000750D2">
      <w:pPr>
        <w:tabs>
          <w:tab w:val="left" w:pos="851"/>
        </w:tabs>
        <w:ind w:left="851"/>
        <w:rPr>
          <w:sz w:val="24"/>
          <w:szCs w:val="24"/>
          <w:lang w:val="en-US"/>
        </w:rPr>
      </w:pPr>
      <w:r w:rsidRPr="000750D2">
        <w:rPr>
          <w:sz w:val="24"/>
          <w:szCs w:val="24"/>
          <w:lang w:val="en-US"/>
        </w:rPr>
        <w:t>1, 5, 10</w:t>
      </w:r>
      <w:r w:rsidR="00915EAA">
        <w:rPr>
          <w:sz w:val="24"/>
          <w:szCs w:val="24"/>
          <w:lang w:val="en-US"/>
        </w:rPr>
        <w:t xml:space="preserve"> and</w:t>
      </w:r>
      <w:r w:rsidRPr="000750D2">
        <w:rPr>
          <w:sz w:val="24"/>
          <w:szCs w:val="24"/>
          <w:lang w:val="en-US"/>
        </w:rPr>
        <w:t xml:space="preserve"> 20 vials with 25 mg </w:t>
      </w:r>
      <w:proofErr w:type="spellStart"/>
      <w:r w:rsidR="00915EAA">
        <w:rPr>
          <w:sz w:val="24"/>
          <w:szCs w:val="24"/>
          <w:lang w:val="en-US"/>
        </w:rPr>
        <w:t>b</w:t>
      </w:r>
      <w:r w:rsidRPr="000750D2">
        <w:rPr>
          <w:sz w:val="24"/>
          <w:szCs w:val="24"/>
          <w:lang w:val="en-US"/>
        </w:rPr>
        <w:t>endamustine</w:t>
      </w:r>
      <w:proofErr w:type="spellEnd"/>
      <w:r w:rsidRPr="000750D2">
        <w:rPr>
          <w:sz w:val="24"/>
          <w:szCs w:val="24"/>
          <w:lang w:val="en-US"/>
        </w:rPr>
        <w:t xml:space="preserve"> hydrochloride</w:t>
      </w:r>
      <w:r w:rsidR="00915EAA">
        <w:rPr>
          <w:sz w:val="24"/>
          <w:szCs w:val="24"/>
          <w:lang w:val="en-US"/>
        </w:rPr>
        <w:t>.</w:t>
      </w:r>
    </w:p>
    <w:p w:rsidR="000750D2" w:rsidRPr="000750D2" w:rsidRDefault="000750D2" w:rsidP="000750D2">
      <w:pPr>
        <w:tabs>
          <w:tab w:val="left" w:pos="851"/>
        </w:tabs>
        <w:ind w:left="851"/>
        <w:rPr>
          <w:sz w:val="24"/>
          <w:szCs w:val="24"/>
          <w:lang w:val="en-US"/>
        </w:rPr>
      </w:pPr>
      <w:r w:rsidRPr="000750D2">
        <w:rPr>
          <w:sz w:val="24"/>
          <w:szCs w:val="24"/>
          <w:lang w:val="en-US"/>
        </w:rPr>
        <w:t>1</w:t>
      </w:r>
      <w:r w:rsidR="00915EAA">
        <w:rPr>
          <w:sz w:val="24"/>
          <w:szCs w:val="24"/>
          <w:lang w:val="en-US"/>
        </w:rPr>
        <w:t xml:space="preserve"> and</w:t>
      </w:r>
      <w:r w:rsidRPr="000750D2">
        <w:rPr>
          <w:sz w:val="24"/>
          <w:szCs w:val="24"/>
          <w:lang w:val="en-US"/>
        </w:rPr>
        <w:t xml:space="preserve"> 5 vials with 100 mg </w:t>
      </w:r>
      <w:proofErr w:type="spellStart"/>
      <w:r w:rsidR="00915EAA">
        <w:rPr>
          <w:sz w:val="24"/>
          <w:szCs w:val="24"/>
          <w:lang w:val="en-US"/>
        </w:rPr>
        <w:t>b</w:t>
      </w:r>
      <w:r w:rsidRPr="000750D2">
        <w:rPr>
          <w:sz w:val="24"/>
          <w:szCs w:val="24"/>
          <w:lang w:val="en-US"/>
        </w:rPr>
        <w:t>endamustine</w:t>
      </w:r>
      <w:proofErr w:type="spellEnd"/>
      <w:r w:rsidRPr="000750D2">
        <w:rPr>
          <w:sz w:val="24"/>
          <w:szCs w:val="24"/>
          <w:lang w:val="en-US"/>
        </w:rPr>
        <w:t xml:space="preserve"> hydrochloride. </w:t>
      </w:r>
    </w:p>
    <w:p w:rsidR="000750D2" w:rsidRPr="000750D2" w:rsidRDefault="000750D2" w:rsidP="000750D2">
      <w:pPr>
        <w:tabs>
          <w:tab w:val="left" w:pos="851"/>
        </w:tabs>
        <w:ind w:left="851"/>
        <w:rPr>
          <w:sz w:val="24"/>
          <w:szCs w:val="24"/>
          <w:lang w:val="en-US"/>
        </w:rPr>
      </w:pPr>
    </w:p>
    <w:p w:rsidR="000750D2" w:rsidRPr="000750D2" w:rsidRDefault="000750D2" w:rsidP="000750D2">
      <w:pPr>
        <w:tabs>
          <w:tab w:val="left" w:pos="851"/>
        </w:tabs>
        <w:ind w:left="851"/>
        <w:rPr>
          <w:sz w:val="24"/>
          <w:szCs w:val="24"/>
          <w:lang w:val="en-GB"/>
        </w:rPr>
      </w:pPr>
      <w:r w:rsidRPr="000750D2">
        <w:rPr>
          <w:sz w:val="24"/>
          <w:szCs w:val="24"/>
          <w:lang w:val="en-GB"/>
        </w:rPr>
        <w:t>Not all pack sizes may be marketed.</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C933F9" w:rsidRPr="00C933F9" w:rsidRDefault="00C933F9" w:rsidP="00C51A7B">
      <w:pPr>
        <w:tabs>
          <w:tab w:val="left" w:pos="851"/>
        </w:tabs>
        <w:ind w:left="851"/>
        <w:rPr>
          <w:sz w:val="24"/>
          <w:szCs w:val="24"/>
          <w:lang w:val="en-US"/>
        </w:rPr>
      </w:pPr>
      <w:r w:rsidRPr="00C933F9">
        <w:rPr>
          <w:sz w:val="24"/>
          <w:szCs w:val="24"/>
          <w:lang w:val="en-US"/>
        </w:rPr>
        <w:t xml:space="preserve">When handling </w:t>
      </w:r>
      <w:proofErr w:type="spellStart"/>
      <w:r w:rsidRPr="00C933F9">
        <w:rPr>
          <w:sz w:val="24"/>
          <w:szCs w:val="24"/>
          <w:lang w:val="en-US"/>
        </w:rPr>
        <w:t>bendamustine</w:t>
      </w:r>
      <w:proofErr w:type="spellEnd"/>
      <w:r w:rsidRPr="00C933F9">
        <w:rPr>
          <w:sz w:val="24"/>
          <w:szCs w:val="24"/>
          <w:lang w:val="en-US"/>
        </w:rPr>
        <w:t xml:space="preserve"> hydrochloride, inhalation, skin contact or contact with mucous membranes should be avoided (wear gloves and protective clothes!). Contaminated body parts should be carefully rinsed with water and soap, the eyes should be rinsed with physiological saline solution. If </w:t>
      </w:r>
      <w:proofErr w:type="gramStart"/>
      <w:r w:rsidRPr="00C933F9">
        <w:rPr>
          <w:sz w:val="24"/>
          <w:szCs w:val="24"/>
          <w:lang w:val="en-US"/>
        </w:rPr>
        <w:t>possible</w:t>
      </w:r>
      <w:proofErr w:type="gramEnd"/>
      <w:r w:rsidRPr="00C933F9">
        <w:rPr>
          <w:sz w:val="24"/>
          <w:szCs w:val="24"/>
          <w:lang w:val="en-US"/>
        </w:rPr>
        <w:t xml:space="preserve"> it is recommended to work on special safety workbenches (laminar flow) with liquid-impermeable, absorbent disposable foil. Pregnant personnel should be excluded from handling </w:t>
      </w:r>
      <w:proofErr w:type="spellStart"/>
      <w:r w:rsidRPr="00C933F9">
        <w:rPr>
          <w:sz w:val="24"/>
          <w:szCs w:val="24"/>
          <w:lang w:val="en-US"/>
        </w:rPr>
        <w:t>cytostatics</w:t>
      </w:r>
      <w:proofErr w:type="spellEnd"/>
      <w:r w:rsidRPr="00C933F9">
        <w:rPr>
          <w:sz w:val="24"/>
          <w:szCs w:val="24"/>
          <w:lang w:val="en-US"/>
        </w:rPr>
        <w:t xml:space="preserve">. </w:t>
      </w:r>
    </w:p>
    <w:p w:rsidR="00C933F9" w:rsidRPr="00C933F9" w:rsidRDefault="00C933F9" w:rsidP="00C51A7B">
      <w:pPr>
        <w:tabs>
          <w:tab w:val="left" w:pos="851"/>
        </w:tabs>
        <w:ind w:left="851"/>
        <w:rPr>
          <w:sz w:val="24"/>
          <w:szCs w:val="24"/>
          <w:lang w:val="en-US"/>
        </w:rPr>
      </w:pPr>
    </w:p>
    <w:p w:rsidR="00C933F9" w:rsidRPr="00C933F9" w:rsidRDefault="00C933F9" w:rsidP="00C51A7B">
      <w:pPr>
        <w:tabs>
          <w:tab w:val="left" w:pos="851"/>
        </w:tabs>
        <w:ind w:left="851"/>
        <w:rPr>
          <w:sz w:val="24"/>
          <w:szCs w:val="24"/>
          <w:lang w:val="en-US"/>
        </w:rPr>
      </w:pPr>
      <w:r w:rsidRPr="00C933F9">
        <w:rPr>
          <w:sz w:val="24"/>
          <w:szCs w:val="24"/>
          <w:lang w:val="en-US"/>
        </w:rPr>
        <w:t>The powder for concentrate for solution for infusion has to be reconstituted with water for injection, diluted with sodium chloride 9 mg/ml (0.9</w:t>
      </w:r>
      <w:r w:rsidR="00E23152">
        <w:rPr>
          <w:sz w:val="24"/>
          <w:szCs w:val="24"/>
          <w:lang w:val="en-US"/>
        </w:rPr>
        <w:t xml:space="preserve"> %</w:t>
      </w:r>
      <w:r w:rsidRPr="00C933F9">
        <w:rPr>
          <w:sz w:val="24"/>
          <w:szCs w:val="24"/>
          <w:lang w:val="en-US"/>
        </w:rPr>
        <w:t xml:space="preserve">) solution for injection and then administered by intravenous infusion. Aseptic technique is to be used. </w:t>
      </w:r>
    </w:p>
    <w:p w:rsidR="00C933F9" w:rsidRPr="00C933F9" w:rsidRDefault="00C933F9" w:rsidP="00C51A7B">
      <w:pPr>
        <w:tabs>
          <w:tab w:val="left" w:pos="851"/>
        </w:tabs>
        <w:ind w:left="851"/>
        <w:rPr>
          <w:sz w:val="24"/>
          <w:szCs w:val="24"/>
          <w:lang w:val="en-US"/>
        </w:rPr>
      </w:pPr>
    </w:p>
    <w:p w:rsidR="00C933F9" w:rsidRPr="00C51A7B" w:rsidRDefault="00C933F9" w:rsidP="00C51A7B">
      <w:pPr>
        <w:tabs>
          <w:tab w:val="left" w:pos="851"/>
        </w:tabs>
        <w:ind w:left="851"/>
        <w:rPr>
          <w:sz w:val="24"/>
          <w:szCs w:val="24"/>
          <w:u w:val="single"/>
          <w:lang w:val="en-US"/>
        </w:rPr>
      </w:pPr>
      <w:r w:rsidRPr="00C51A7B">
        <w:rPr>
          <w:sz w:val="24"/>
          <w:szCs w:val="24"/>
          <w:u w:val="single"/>
          <w:lang w:val="en-US"/>
        </w:rPr>
        <w:t xml:space="preserve">1. Reconstitution </w:t>
      </w:r>
    </w:p>
    <w:p w:rsidR="00C933F9" w:rsidRPr="00C933F9" w:rsidRDefault="00C933F9" w:rsidP="00C51A7B">
      <w:pPr>
        <w:tabs>
          <w:tab w:val="left" w:pos="851"/>
        </w:tabs>
        <w:ind w:left="851"/>
        <w:rPr>
          <w:sz w:val="24"/>
          <w:szCs w:val="24"/>
          <w:lang w:val="en-US"/>
        </w:rPr>
      </w:pPr>
      <w:r w:rsidRPr="00C933F9">
        <w:rPr>
          <w:sz w:val="24"/>
          <w:szCs w:val="24"/>
          <w:lang w:val="en-US"/>
        </w:rPr>
        <w:t xml:space="preserve">The powder should be reconstituted immediately after opening of the vial. </w:t>
      </w:r>
    </w:p>
    <w:p w:rsidR="00C933F9" w:rsidRPr="00C933F9" w:rsidRDefault="00C933F9" w:rsidP="00C51A7B">
      <w:pPr>
        <w:tabs>
          <w:tab w:val="left" w:pos="851"/>
        </w:tabs>
        <w:ind w:left="851"/>
        <w:rPr>
          <w:sz w:val="24"/>
          <w:szCs w:val="24"/>
          <w:lang w:val="en-US"/>
        </w:rPr>
      </w:pPr>
      <w:r w:rsidRPr="00C933F9">
        <w:rPr>
          <w:sz w:val="24"/>
          <w:szCs w:val="24"/>
          <w:lang w:val="en-US"/>
        </w:rPr>
        <w:t xml:space="preserve">Reconstitute each vial of </w:t>
      </w:r>
      <w:proofErr w:type="spellStart"/>
      <w:r w:rsidR="00C51A7B">
        <w:rPr>
          <w:sz w:val="24"/>
          <w:szCs w:val="24"/>
          <w:lang w:val="en-US"/>
        </w:rPr>
        <w:t>B</w:t>
      </w:r>
      <w:r w:rsidRPr="00C933F9">
        <w:rPr>
          <w:sz w:val="24"/>
          <w:szCs w:val="24"/>
          <w:lang w:val="en-US"/>
        </w:rPr>
        <w:t>endamustinhydrochlorid</w:t>
      </w:r>
      <w:proofErr w:type="spellEnd"/>
      <w:r w:rsidRPr="00C933F9">
        <w:rPr>
          <w:sz w:val="24"/>
          <w:szCs w:val="24"/>
          <w:lang w:val="en-US"/>
        </w:rPr>
        <w:t xml:space="preserve"> "</w:t>
      </w:r>
      <w:proofErr w:type="spellStart"/>
      <w:r w:rsidRPr="00C933F9">
        <w:rPr>
          <w:sz w:val="24"/>
          <w:szCs w:val="24"/>
          <w:lang w:val="en-US"/>
        </w:rPr>
        <w:t>Hexal</w:t>
      </w:r>
      <w:proofErr w:type="spellEnd"/>
      <w:r w:rsidRPr="00C933F9">
        <w:rPr>
          <w:sz w:val="24"/>
          <w:szCs w:val="24"/>
          <w:lang w:val="en-US"/>
        </w:rPr>
        <w:t xml:space="preserve">" containing 25 mg </w:t>
      </w:r>
      <w:proofErr w:type="spellStart"/>
      <w:r w:rsidRPr="00C933F9">
        <w:rPr>
          <w:sz w:val="24"/>
          <w:szCs w:val="24"/>
          <w:lang w:val="en-US"/>
        </w:rPr>
        <w:t>bendamustine</w:t>
      </w:r>
      <w:proofErr w:type="spellEnd"/>
      <w:r w:rsidRPr="00C933F9">
        <w:rPr>
          <w:sz w:val="24"/>
          <w:szCs w:val="24"/>
          <w:lang w:val="en-US"/>
        </w:rPr>
        <w:t xml:space="preserve"> hydrochloride in 10 ml water for injection by shaking</w:t>
      </w:r>
    </w:p>
    <w:p w:rsidR="00C933F9" w:rsidRPr="00C933F9" w:rsidRDefault="00C933F9" w:rsidP="00C51A7B">
      <w:pPr>
        <w:tabs>
          <w:tab w:val="left" w:pos="851"/>
        </w:tabs>
        <w:ind w:left="851"/>
        <w:rPr>
          <w:sz w:val="24"/>
          <w:szCs w:val="24"/>
          <w:lang w:val="en-US"/>
        </w:rPr>
      </w:pPr>
      <w:r w:rsidRPr="00C933F9">
        <w:rPr>
          <w:sz w:val="24"/>
          <w:szCs w:val="24"/>
          <w:lang w:val="en-US"/>
        </w:rPr>
        <w:t xml:space="preserve">Reconstitute each vial of </w:t>
      </w:r>
      <w:proofErr w:type="spellStart"/>
      <w:r w:rsidR="00CE4805">
        <w:rPr>
          <w:sz w:val="24"/>
          <w:szCs w:val="24"/>
          <w:lang w:val="en-US"/>
        </w:rPr>
        <w:t>B</w:t>
      </w:r>
      <w:r w:rsidR="00CE4805" w:rsidRPr="00C933F9">
        <w:rPr>
          <w:sz w:val="24"/>
          <w:szCs w:val="24"/>
          <w:lang w:val="en-US"/>
        </w:rPr>
        <w:t>endamustinhydrochlorid</w:t>
      </w:r>
      <w:proofErr w:type="spellEnd"/>
      <w:r w:rsidR="00CE4805" w:rsidRPr="00C933F9">
        <w:rPr>
          <w:sz w:val="24"/>
          <w:szCs w:val="24"/>
          <w:lang w:val="en-US"/>
        </w:rPr>
        <w:t xml:space="preserve"> "</w:t>
      </w:r>
      <w:proofErr w:type="spellStart"/>
      <w:r w:rsidR="00CE4805" w:rsidRPr="00C933F9">
        <w:rPr>
          <w:sz w:val="24"/>
          <w:szCs w:val="24"/>
          <w:lang w:val="en-US"/>
        </w:rPr>
        <w:t>Hexal</w:t>
      </w:r>
      <w:proofErr w:type="spellEnd"/>
      <w:r w:rsidR="00CE4805" w:rsidRPr="00C933F9">
        <w:rPr>
          <w:sz w:val="24"/>
          <w:szCs w:val="24"/>
          <w:lang w:val="en-US"/>
        </w:rPr>
        <w:t xml:space="preserve">" </w:t>
      </w:r>
      <w:r w:rsidRPr="00C933F9">
        <w:rPr>
          <w:sz w:val="24"/>
          <w:szCs w:val="24"/>
          <w:lang w:val="en-US"/>
        </w:rPr>
        <w:t xml:space="preserve">containing 100 mg </w:t>
      </w:r>
      <w:proofErr w:type="spellStart"/>
      <w:r w:rsidRPr="00C933F9">
        <w:rPr>
          <w:sz w:val="24"/>
          <w:szCs w:val="24"/>
          <w:lang w:val="en-US"/>
        </w:rPr>
        <w:t>bendamustine</w:t>
      </w:r>
      <w:proofErr w:type="spellEnd"/>
      <w:r w:rsidRPr="00C933F9">
        <w:rPr>
          <w:sz w:val="24"/>
          <w:szCs w:val="24"/>
          <w:lang w:val="en-US"/>
        </w:rPr>
        <w:t xml:space="preserve"> hydrochloride in 40 ml water for injection by shaking</w:t>
      </w:r>
    </w:p>
    <w:p w:rsidR="00C933F9" w:rsidRPr="00C933F9" w:rsidRDefault="00C933F9" w:rsidP="00C51A7B">
      <w:pPr>
        <w:tabs>
          <w:tab w:val="left" w:pos="851"/>
        </w:tabs>
        <w:ind w:left="851"/>
        <w:rPr>
          <w:sz w:val="24"/>
          <w:szCs w:val="24"/>
          <w:lang w:val="en-US"/>
        </w:rPr>
      </w:pPr>
    </w:p>
    <w:p w:rsidR="00C933F9" w:rsidRPr="00C933F9" w:rsidRDefault="00C933F9" w:rsidP="00C51A7B">
      <w:pPr>
        <w:tabs>
          <w:tab w:val="left" w:pos="851"/>
        </w:tabs>
        <w:ind w:left="851"/>
        <w:rPr>
          <w:i/>
          <w:iCs/>
          <w:sz w:val="24"/>
          <w:szCs w:val="24"/>
          <w:lang w:val="en-GB"/>
        </w:rPr>
      </w:pPr>
      <w:r w:rsidRPr="00C933F9">
        <w:rPr>
          <w:sz w:val="24"/>
          <w:szCs w:val="24"/>
          <w:lang w:val="en-US"/>
        </w:rPr>
        <w:t xml:space="preserve">The reconstituted concentrate contains 2.5 mg </w:t>
      </w:r>
      <w:proofErr w:type="spellStart"/>
      <w:r w:rsidRPr="00C933F9">
        <w:rPr>
          <w:sz w:val="24"/>
          <w:szCs w:val="24"/>
          <w:lang w:val="en-US"/>
        </w:rPr>
        <w:t>bendamustine</w:t>
      </w:r>
      <w:proofErr w:type="spellEnd"/>
      <w:r w:rsidRPr="00C933F9">
        <w:rPr>
          <w:sz w:val="24"/>
          <w:szCs w:val="24"/>
          <w:lang w:val="en-US"/>
        </w:rPr>
        <w:t xml:space="preserve"> hydrochloride per ml and appears as a clear </w:t>
      </w:r>
      <w:proofErr w:type="spellStart"/>
      <w:r w:rsidRPr="00C933F9">
        <w:rPr>
          <w:sz w:val="24"/>
          <w:szCs w:val="24"/>
          <w:lang w:val="en-US"/>
        </w:rPr>
        <w:t>colourless</w:t>
      </w:r>
      <w:proofErr w:type="spellEnd"/>
      <w:r w:rsidRPr="00C933F9">
        <w:rPr>
          <w:sz w:val="24"/>
          <w:szCs w:val="24"/>
          <w:lang w:val="en-US"/>
        </w:rPr>
        <w:t xml:space="preserve"> solution.</w:t>
      </w:r>
    </w:p>
    <w:p w:rsidR="00C933F9" w:rsidRPr="00C933F9" w:rsidRDefault="00C933F9" w:rsidP="00C51A7B">
      <w:pPr>
        <w:tabs>
          <w:tab w:val="left" w:pos="851"/>
        </w:tabs>
        <w:ind w:left="851"/>
        <w:rPr>
          <w:sz w:val="24"/>
          <w:szCs w:val="24"/>
          <w:lang w:val="en-GB"/>
        </w:rPr>
      </w:pPr>
    </w:p>
    <w:p w:rsidR="00C933F9" w:rsidRPr="00C51A7B" w:rsidRDefault="00C933F9" w:rsidP="00C51A7B">
      <w:pPr>
        <w:tabs>
          <w:tab w:val="left" w:pos="851"/>
        </w:tabs>
        <w:ind w:left="851"/>
        <w:rPr>
          <w:sz w:val="24"/>
          <w:szCs w:val="24"/>
          <w:u w:val="single"/>
          <w:lang w:val="en-US"/>
        </w:rPr>
      </w:pPr>
      <w:r w:rsidRPr="00C51A7B">
        <w:rPr>
          <w:sz w:val="24"/>
          <w:szCs w:val="24"/>
          <w:u w:val="single"/>
          <w:lang w:val="en-US"/>
        </w:rPr>
        <w:t xml:space="preserve">2. Dilution </w:t>
      </w:r>
    </w:p>
    <w:p w:rsidR="00C933F9" w:rsidRPr="00C933F9" w:rsidRDefault="00C933F9" w:rsidP="00C51A7B">
      <w:pPr>
        <w:tabs>
          <w:tab w:val="left" w:pos="851"/>
        </w:tabs>
        <w:ind w:left="851"/>
        <w:rPr>
          <w:sz w:val="24"/>
          <w:szCs w:val="24"/>
          <w:lang w:val="en-US"/>
        </w:rPr>
      </w:pPr>
      <w:r w:rsidRPr="00C933F9">
        <w:rPr>
          <w:sz w:val="24"/>
          <w:szCs w:val="24"/>
          <w:lang w:val="en-US"/>
        </w:rPr>
        <w:t xml:space="preserve">As soon as a clear solution is obtained (usually after 5-10 minutes) dilute the total recommended dose of </w:t>
      </w:r>
      <w:proofErr w:type="spellStart"/>
      <w:r w:rsidR="00CE4805">
        <w:rPr>
          <w:sz w:val="24"/>
          <w:szCs w:val="24"/>
          <w:lang w:val="en-US"/>
        </w:rPr>
        <w:t>B</w:t>
      </w:r>
      <w:r w:rsidR="00CE4805" w:rsidRPr="00C933F9">
        <w:rPr>
          <w:sz w:val="24"/>
          <w:szCs w:val="24"/>
          <w:lang w:val="en-US"/>
        </w:rPr>
        <w:t>endamustinhydrochlorid</w:t>
      </w:r>
      <w:proofErr w:type="spellEnd"/>
      <w:r w:rsidR="00CE4805" w:rsidRPr="00C933F9">
        <w:rPr>
          <w:sz w:val="24"/>
          <w:szCs w:val="24"/>
          <w:lang w:val="en-US"/>
        </w:rPr>
        <w:t xml:space="preserve"> "</w:t>
      </w:r>
      <w:proofErr w:type="spellStart"/>
      <w:r w:rsidR="00CE4805" w:rsidRPr="00C933F9">
        <w:rPr>
          <w:sz w:val="24"/>
          <w:szCs w:val="24"/>
          <w:lang w:val="en-US"/>
        </w:rPr>
        <w:t>Hexal</w:t>
      </w:r>
      <w:proofErr w:type="spellEnd"/>
      <w:r w:rsidR="00CE4805" w:rsidRPr="00C933F9">
        <w:rPr>
          <w:sz w:val="24"/>
          <w:szCs w:val="24"/>
          <w:lang w:val="en-US"/>
        </w:rPr>
        <w:t xml:space="preserve">" </w:t>
      </w:r>
      <w:r w:rsidRPr="00C933F9">
        <w:rPr>
          <w:sz w:val="24"/>
          <w:szCs w:val="24"/>
          <w:lang w:val="en-US"/>
        </w:rPr>
        <w:t>immediately with 0.9</w:t>
      </w:r>
      <w:r w:rsidR="00E23152">
        <w:rPr>
          <w:sz w:val="24"/>
          <w:szCs w:val="24"/>
          <w:lang w:val="en-US"/>
        </w:rPr>
        <w:t xml:space="preserve"> %</w:t>
      </w:r>
      <w:r w:rsidRPr="00C933F9">
        <w:rPr>
          <w:sz w:val="24"/>
          <w:szCs w:val="24"/>
          <w:lang w:val="en-US"/>
        </w:rPr>
        <w:t xml:space="preserve"> NaCl solution to produce a final volume of about 500 ml. </w:t>
      </w:r>
    </w:p>
    <w:p w:rsidR="00C933F9" w:rsidRPr="00C933F9" w:rsidRDefault="00CE4805" w:rsidP="00C51A7B">
      <w:pPr>
        <w:tabs>
          <w:tab w:val="left" w:pos="851"/>
        </w:tabs>
        <w:ind w:left="851"/>
        <w:rPr>
          <w:sz w:val="24"/>
          <w:szCs w:val="24"/>
          <w:lang w:val="en-US"/>
        </w:rPr>
      </w:pPr>
      <w:proofErr w:type="spellStart"/>
      <w:r>
        <w:rPr>
          <w:sz w:val="24"/>
          <w:szCs w:val="24"/>
          <w:lang w:val="en-US"/>
        </w:rPr>
        <w:t>B</w:t>
      </w:r>
      <w:r w:rsidRPr="00C933F9">
        <w:rPr>
          <w:sz w:val="24"/>
          <w:szCs w:val="24"/>
          <w:lang w:val="en-US"/>
        </w:rPr>
        <w:t>endamustinhydrochlorid</w:t>
      </w:r>
      <w:proofErr w:type="spellEnd"/>
      <w:r w:rsidRPr="00C933F9">
        <w:rPr>
          <w:sz w:val="24"/>
          <w:szCs w:val="24"/>
          <w:lang w:val="en-US"/>
        </w:rPr>
        <w:t xml:space="preserve"> "</w:t>
      </w:r>
      <w:proofErr w:type="spellStart"/>
      <w:r w:rsidRPr="00C933F9">
        <w:rPr>
          <w:sz w:val="24"/>
          <w:szCs w:val="24"/>
          <w:lang w:val="en-US"/>
        </w:rPr>
        <w:t>Hexal</w:t>
      </w:r>
      <w:proofErr w:type="spellEnd"/>
      <w:r w:rsidRPr="00C933F9">
        <w:rPr>
          <w:sz w:val="24"/>
          <w:szCs w:val="24"/>
          <w:lang w:val="en-US"/>
        </w:rPr>
        <w:t xml:space="preserve">" </w:t>
      </w:r>
      <w:r w:rsidR="00C933F9" w:rsidRPr="00C933F9">
        <w:rPr>
          <w:sz w:val="24"/>
          <w:szCs w:val="24"/>
          <w:lang w:val="en-US"/>
        </w:rPr>
        <w:t>must be diluted with 0.9</w:t>
      </w:r>
      <w:r w:rsidR="00E23152">
        <w:rPr>
          <w:sz w:val="24"/>
          <w:szCs w:val="24"/>
          <w:lang w:val="en-US"/>
        </w:rPr>
        <w:t xml:space="preserve"> %</w:t>
      </w:r>
      <w:r w:rsidR="00C933F9" w:rsidRPr="00C933F9">
        <w:rPr>
          <w:sz w:val="24"/>
          <w:szCs w:val="24"/>
          <w:lang w:val="en-US"/>
        </w:rPr>
        <w:t xml:space="preserve"> NaCl solution and not with any other injectable solution. </w:t>
      </w:r>
    </w:p>
    <w:p w:rsidR="00C933F9" w:rsidRPr="00C933F9" w:rsidRDefault="00C933F9" w:rsidP="00C51A7B">
      <w:pPr>
        <w:tabs>
          <w:tab w:val="left" w:pos="851"/>
        </w:tabs>
        <w:ind w:left="851"/>
        <w:rPr>
          <w:sz w:val="24"/>
          <w:szCs w:val="24"/>
          <w:lang w:val="en-US"/>
        </w:rPr>
      </w:pPr>
    </w:p>
    <w:p w:rsidR="00C933F9" w:rsidRPr="00C51A7B" w:rsidRDefault="00C933F9" w:rsidP="00C51A7B">
      <w:pPr>
        <w:tabs>
          <w:tab w:val="left" w:pos="851"/>
        </w:tabs>
        <w:ind w:left="851"/>
        <w:rPr>
          <w:sz w:val="24"/>
          <w:szCs w:val="24"/>
          <w:u w:val="single"/>
          <w:lang w:val="en-US"/>
        </w:rPr>
      </w:pPr>
      <w:r w:rsidRPr="00C51A7B">
        <w:rPr>
          <w:sz w:val="24"/>
          <w:szCs w:val="24"/>
          <w:u w:val="single"/>
          <w:lang w:val="en-US"/>
        </w:rPr>
        <w:t xml:space="preserve">3. Administration </w:t>
      </w:r>
    </w:p>
    <w:p w:rsidR="00C933F9" w:rsidRPr="00C933F9" w:rsidRDefault="00C933F9" w:rsidP="00C51A7B">
      <w:pPr>
        <w:tabs>
          <w:tab w:val="left" w:pos="851"/>
        </w:tabs>
        <w:ind w:left="851"/>
        <w:rPr>
          <w:sz w:val="24"/>
          <w:szCs w:val="24"/>
          <w:lang w:val="en-US"/>
        </w:rPr>
      </w:pPr>
      <w:r w:rsidRPr="00C933F9">
        <w:rPr>
          <w:sz w:val="24"/>
          <w:szCs w:val="24"/>
          <w:lang w:val="en-US"/>
        </w:rPr>
        <w:t xml:space="preserve">The solution is administered by intravenous infusion over 30-60 min. </w:t>
      </w:r>
    </w:p>
    <w:p w:rsidR="00C933F9" w:rsidRPr="00C933F9" w:rsidRDefault="00C933F9" w:rsidP="00C51A7B">
      <w:pPr>
        <w:tabs>
          <w:tab w:val="left" w:pos="851"/>
        </w:tabs>
        <w:ind w:left="851"/>
        <w:rPr>
          <w:sz w:val="24"/>
          <w:szCs w:val="24"/>
          <w:lang w:val="en-US"/>
        </w:rPr>
      </w:pPr>
      <w:r w:rsidRPr="00C933F9">
        <w:rPr>
          <w:sz w:val="24"/>
          <w:szCs w:val="24"/>
          <w:lang w:val="en-US"/>
        </w:rPr>
        <w:t xml:space="preserve">The vials are for single use only. </w:t>
      </w:r>
    </w:p>
    <w:p w:rsidR="00C933F9" w:rsidRPr="00C933F9" w:rsidRDefault="00C933F9" w:rsidP="00C51A7B">
      <w:pPr>
        <w:tabs>
          <w:tab w:val="left" w:pos="851"/>
        </w:tabs>
        <w:ind w:left="851"/>
        <w:rPr>
          <w:sz w:val="24"/>
          <w:szCs w:val="24"/>
          <w:lang w:val="en-GB"/>
        </w:rPr>
      </w:pPr>
    </w:p>
    <w:p w:rsidR="00C933F9" w:rsidRDefault="00C933F9" w:rsidP="00C51A7B">
      <w:pPr>
        <w:tabs>
          <w:tab w:val="left" w:pos="851"/>
        </w:tabs>
        <w:ind w:left="851"/>
        <w:rPr>
          <w:sz w:val="24"/>
          <w:szCs w:val="24"/>
          <w:lang w:val="en-GB"/>
        </w:rPr>
      </w:pPr>
      <w:r w:rsidRPr="00C933F9">
        <w:rPr>
          <w:sz w:val="24"/>
          <w:szCs w:val="24"/>
          <w:lang w:val="en-GB"/>
        </w:rPr>
        <w:lastRenderedPageBreak/>
        <w:t>Any unused medicinal product or waste material should be disposed of in accordance with local requirements.</w:t>
      </w:r>
    </w:p>
    <w:p w:rsidR="00772296" w:rsidRDefault="00772296" w:rsidP="00C51A7B">
      <w:pPr>
        <w:tabs>
          <w:tab w:val="left" w:pos="851"/>
        </w:tabs>
        <w:ind w:left="851"/>
        <w:rPr>
          <w:sz w:val="24"/>
          <w:szCs w:val="24"/>
          <w:lang w:val="en-GB"/>
        </w:rPr>
      </w:pP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5F69B2" w:rsidRPr="005F69B2" w:rsidRDefault="005F69B2" w:rsidP="005F69B2">
      <w:pPr>
        <w:tabs>
          <w:tab w:val="left" w:pos="851"/>
        </w:tabs>
        <w:ind w:left="851"/>
        <w:jc w:val="both"/>
        <w:rPr>
          <w:sz w:val="24"/>
          <w:szCs w:val="24"/>
          <w:lang w:val="en-US"/>
        </w:rPr>
      </w:pPr>
      <w:proofErr w:type="spellStart"/>
      <w:r w:rsidRPr="005F69B2">
        <w:rPr>
          <w:sz w:val="24"/>
          <w:szCs w:val="24"/>
          <w:lang w:val="en-US"/>
        </w:rPr>
        <w:t>Hexal</w:t>
      </w:r>
      <w:proofErr w:type="spellEnd"/>
      <w:r w:rsidRPr="005F69B2">
        <w:rPr>
          <w:sz w:val="24"/>
          <w:szCs w:val="24"/>
          <w:lang w:val="en-US"/>
        </w:rPr>
        <w:t xml:space="preserve"> A/S</w:t>
      </w:r>
    </w:p>
    <w:p w:rsidR="005F69B2" w:rsidRPr="005F69B2" w:rsidRDefault="005F69B2" w:rsidP="005F69B2">
      <w:pPr>
        <w:tabs>
          <w:tab w:val="left" w:pos="851"/>
        </w:tabs>
        <w:ind w:left="851"/>
        <w:jc w:val="both"/>
        <w:rPr>
          <w:sz w:val="24"/>
          <w:szCs w:val="24"/>
          <w:lang w:val="en-US"/>
        </w:rPr>
      </w:pPr>
      <w:r w:rsidRPr="005F69B2">
        <w:rPr>
          <w:sz w:val="24"/>
          <w:szCs w:val="24"/>
          <w:lang w:val="en-US"/>
        </w:rPr>
        <w:t xml:space="preserve">Edvard </w:t>
      </w:r>
      <w:proofErr w:type="spellStart"/>
      <w:r w:rsidRPr="005F69B2">
        <w:rPr>
          <w:sz w:val="24"/>
          <w:szCs w:val="24"/>
          <w:lang w:val="en-US"/>
        </w:rPr>
        <w:t>Thomsens</w:t>
      </w:r>
      <w:proofErr w:type="spellEnd"/>
      <w:r w:rsidRPr="005F69B2">
        <w:rPr>
          <w:sz w:val="24"/>
          <w:szCs w:val="24"/>
          <w:lang w:val="en-US"/>
        </w:rPr>
        <w:t xml:space="preserve"> </w:t>
      </w:r>
      <w:proofErr w:type="spellStart"/>
      <w:r w:rsidRPr="005F69B2">
        <w:rPr>
          <w:sz w:val="24"/>
          <w:szCs w:val="24"/>
          <w:lang w:val="en-US"/>
        </w:rPr>
        <w:t>Vej</w:t>
      </w:r>
      <w:proofErr w:type="spellEnd"/>
      <w:r w:rsidRPr="005F69B2">
        <w:rPr>
          <w:sz w:val="24"/>
          <w:szCs w:val="24"/>
          <w:lang w:val="en-US"/>
        </w:rPr>
        <w:t xml:space="preserve"> 14</w:t>
      </w:r>
    </w:p>
    <w:p w:rsidR="005F69B2" w:rsidRPr="005F69B2" w:rsidRDefault="005F69B2" w:rsidP="005F69B2">
      <w:pPr>
        <w:tabs>
          <w:tab w:val="left" w:pos="851"/>
        </w:tabs>
        <w:ind w:left="851"/>
        <w:jc w:val="both"/>
        <w:rPr>
          <w:sz w:val="24"/>
          <w:szCs w:val="24"/>
          <w:lang w:val="en-US"/>
        </w:rPr>
      </w:pPr>
      <w:r w:rsidRPr="005F69B2">
        <w:rPr>
          <w:sz w:val="24"/>
          <w:szCs w:val="24"/>
          <w:lang w:val="en-US"/>
        </w:rPr>
        <w:t xml:space="preserve">2300 </w:t>
      </w:r>
      <w:proofErr w:type="spellStart"/>
      <w:r w:rsidRPr="005F69B2">
        <w:rPr>
          <w:sz w:val="24"/>
          <w:szCs w:val="24"/>
          <w:lang w:val="en-US"/>
        </w:rPr>
        <w:t>København</w:t>
      </w:r>
      <w:proofErr w:type="spellEnd"/>
      <w:r w:rsidRPr="005F69B2">
        <w:rPr>
          <w:sz w:val="24"/>
          <w:szCs w:val="24"/>
          <w:lang w:val="en-US"/>
        </w:rPr>
        <w:t xml:space="preserve"> S</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5F69B2" w:rsidP="00A85D26">
      <w:pPr>
        <w:tabs>
          <w:tab w:val="left" w:pos="851"/>
        </w:tabs>
        <w:ind w:left="851"/>
        <w:jc w:val="both"/>
        <w:rPr>
          <w:sz w:val="24"/>
          <w:szCs w:val="24"/>
          <w:lang w:val="en-GB"/>
        </w:rPr>
      </w:pPr>
      <w:r w:rsidRPr="005F69B2">
        <w:rPr>
          <w:sz w:val="24"/>
          <w:szCs w:val="24"/>
          <w:lang w:val="en-US"/>
        </w:rPr>
        <w:t>59899</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5F69B2" w:rsidP="00A85D26">
      <w:pPr>
        <w:ind w:left="851"/>
        <w:jc w:val="both"/>
        <w:rPr>
          <w:sz w:val="24"/>
          <w:szCs w:val="24"/>
          <w:lang w:val="en-GB"/>
        </w:rPr>
      </w:pPr>
      <w:r w:rsidRPr="005F69B2">
        <w:rPr>
          <w:sz w:val="24"/>
          <w:szCs w:val="24"/>
          <w:lang w:val="en-US"/>
        </w:rPr>
        <w:t>28</w:t>
      </w:r>
      <w:r>
        <w:rPr>
          <w:sz w:val="24"/>
          <w:szCs w:val="24"/>
          <w:lang w:val="en-US"/>
        </w:rPr>
        <w:t xml:space="preserve"> A</w:t>
      </w:r>
      <w:r w:rsidRPr="005F69B2">
        <w:rPr>
          <w:sz w:val="24"/>
          <w:szCs w:val="24"/>
          <w:lang w:val="en-US"/>
        </w:rPr>
        <w:t>ugust 2018</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772296" w:rsidP="003E0341">
      <w:pPr>
        <w:tabs>
          <w:tab w:val="left" w:pos="851"/>
        </w:tabs>
        <w:ind w:left="851"/>
        <w:jc w:val="both"/>
        <w:rPr>
          <w:sz w:val="24"/>
          <w:szCs w:val="24"/>
          <w:lang w:val="en-GB"/>
        </w:rPr>
      </w:pPr>
      <w:r>
        <w:rPr>
          <w:sz w:val="24"/>
          <w:szCs w:val="24"/>
          <w:lang w:val="en-GB"/>
        </w:rPr>
        <w:t>11 April 2022</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5CE" w:rsidRDefault="002945CE">
      <w:r>
        <w:separator/>
      </w:r>
    </w:p>
  </w:endnote>
  <w:endnote w:type="continuationSeparator" w:id="0">
    <w:p w:rsidR="002945CE" w:rsidRDefault="0029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5F69B2">
      <w:rPr>
        <w:i/>
        <w:noProof/>
        <w:snapToGrid w:val="0"/>
        <w:sz w:val="18"/>
      </w:rPr>
      <w:t>Bendamustinhydrochlorid Hexal, pulver til koncentrat til infusionsvæske, opløsning 2,5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5F69B2">
      <w:rPr>
        <w:i/>
        <w:noProof/>
        <w:snapToGrid w:val="0"/>
        <w:sz w:val="18"/>
      </w:rPr>
      <w:t>Bendamustinhydrochlorid Hexal, pulver til koncentrat til infusionsvæske, opløsning 2,5 mg-ml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5CE" w:rsidRDefault="002945CE">
      <w:r>
        <w:separator/>
      </w:r>
    </w:p>
  </w:footnote>
  <w:footnote w:type="continuationSeparator" w:id="0">
    <w:p w:rsidR="002945CE" w:rsidRDefault="0029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592505"/>
    <w:multiLevelType w:val="hybridMultilevel"/>
    <w:tmpl w:val="D0840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CE"/>
    <w:rsid w:val="00056601"/>
    <w:rsid w:val="000750D2"/>
    <w:rsid w:val="00075928"/>
    <w:rsid w:val="00090881"/>
    <w:rsid w:val="00095906"/>
    <w:rsid w:val="000C3846"/>
    <w:rsid w:val="000C6218"/>
    <w:rsid w:val="000D3C9D"/>
    <w:rsid w:val="000F0D47"/>
    <w:rsid w:val="001242DE"/>
    <w:rsid w:val="001751EB"/>
    <w:rsid w:val="00180A12"/>
    <w:rsid w:val="001C26F1"/>
    <w:rsid w:val="00214331"/>
    <w:rsid w:val="00214CF4"/>
    <w:rsid w:val="00281F03"/>
    <w:rsid w:val="0029458A"/>
    <w:rsid w:val="002945CE"/>
    <w:rsid w:val="002A1587"/>
    <w:rsid w:val="002B27C5"/>
    <w:rsid w:val="00303008"/>
    <w:rsid w:val="003602BC"/>
    <w:rsid w:val="00373B55"/>
    <w:rsid w:val="003D727E"/>
    <w:rsid w:val="003E0341"/>
    <w:rsid w:val="003E3402"/>
    <w:rsid w:val="003F3CD2"/>
    <w:rsid w:val="003F4736"/>
    <w:rsid w:val="00401B49"/>
    <w:rsid w:val="004068ED"/>
    <w:rsid w:val="0042292D"/>
    <w:rsid w:val="00440254"/>
    <w:rsid w:val="004860D3"/>
    <w:rsid w:val="004A3BF4"/>
    <w:rsid w:val="004A5DB3"/>
    <w:rsid w:val="005152D9"/>
    <w:rsid w:val="00517BF5"/>
    <w:rsid w:val="00533AD4"/>
    <w:rsid w:val="00534849"/>
    <w:rsid w:val="00560102"/>
    <w:rsid w:val="00562EA1"/>
    <w:rsid w:val="00595821"/>
    <w:rsid w:val="005F69B2"/>
    <w:rsid w:val="00617BB8"/>
    <w:rsid w:val="00680052"/>
    <w:rsid w:val="00683267"/>
    <w:rsid w:val="006844E9"/>
    <w:rsid w:val="006B3847"/>
    <w:rsid w:val="00705B04"/>
    <w:rsid w:val="0075453D"/>
    <w:rsid w:val="00765729"/>
    <w:rsid w:val="00772296"/>
    <w:rsid w:val="007A0848"/>
    <w:rsid w:val="007C3623"/>
    <w:rsid w:val="007C5D2A"/>
    <w:rsid w:val="007F1E00"/>
    <w:rsid w:val="008400E3"/>
    <w:rsid w:val="00864538"/>
    <w:rsid w:val="00873B4F"/>
    <w:rsid w:val="008E51AE"/>
    <w:rsid w:val="008F2F8C"/>
    <w:rsid w:val="00915EAA"/>
    <w:rsid w:val="00917B41"/>
    <w:rsid w:val="009925C9"/>
    <w:rsid w:val="00A179D0"/>
    <w:rsid w:val="00A358A3"/>
    <w:rsid w:val="00A46747"/>
    <w:rsid w:val="00A80446"/>
    <w:rsid w:val="00A85D26"/>
    <w:rsid w:val="00A9153A"/>
    <w:rsid w:val="00AC033C"/>
    <w:rsid w:val="00AD2E36"/>
    <w:rsid w:val="00B06436"/>
    <w:rsid w:val="00B9107A"/>
    <w:rsid w:val="00BA3968"/>
    <w:rsid w:val="00BD3490"/>
    <w:rsid w:val="00C26226"/>
    <w:rsid w:val="00C3571D"/>
    <w:rsid w:val="00C51A7B"/>
    <w:rsid w:val="00C54F0B"/>
    <w:rsid w:val="00C745BA"/>
    <w:rsid w:val="00C82621"/>
    <w:rsid w:val="00C933F9"/>
    <w:rsid w:val="00CB1423"/>
    <w:rsid w:val="00CC5BE4"/>
    <w:rsid w:val="00CE4805"/>
    <w:rsid w:val="00D02508"/>
    <w:rsid w:val="00D62D7D"/>
    <w:rsid w:val="00D778CC"/>
    <w:rsid w:val="00D82FE9"/>
    <w:rsid w:val="00D97B77"/>
    <w:rsid w:val="00DB6A85"/>
    <w:rsid w:val="00E06B32"/>
    <w:rsid w:val="00E1290F"/>
    <w:rsid w:val="00E22DC6"/>
    <w:rsid w:val="00E23152"/>
    <w:rsid w:val="00E36A80"/>
    <w:rsid w:val="00E467B1"/>
    <w:rsid w:val="00EB21D7"/>
    <w:rsid w:val="00EC7331"/>
    <w:rsid w:val="00EE3EB7"/>
    <w:rsid w:val="00F27385"/>
    <w:rsid w:val="00F51C65"/>
    <w:rsid w:val="00F5794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09A15"/>
  <w15:chartTrackingRefBased/>
  <w15:docId w15:val="{C50ED1CB-998D-41DF-AC5F-297B9111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C745BA"/>
    <w:rPr>
      <w:color w:val="0563C1" w:themeColor="hyperlink"/>
      <w:u w:val="single"/>
    </w:rPr>
  </w:style>
  <w:style w:type="character" w:styleId="Ulstomtale">
    <w:name w:val="Unresolved Mention"/>
    <w:basedOn w:val="Standardskrifttypeiafsnit"/>
    <w:uiPriority w:val="99"/>
    <w:semiHidden/>
    <w:unhideWhenUsed/>
    <w:rsid w:val="00C74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3213">
      <w:bodyDiv w:val="1"/>
      <w:marLeft w:val="0"/>
      <w:marRight w:val="0"/>
      <w:marTop w:val="0"/>
      <w:marBottom w:val="0"/>
      <w:divBdr>
        <w:top w:val="none" w:sz="0" w:space="0" w:color="auto"/>
        <w:left w:val="none" w:sz="0" w:space="0" w:color="auto"/>
        <w:bottom w:val="none" w:sz="0" w:space="0" w:color="auto"/>
        <w:right w:val="none" w:sz="0" w:space="0" w:color="auto"/>
      </w:divBdr>
    </w:div>
    <w:div w:id="113987153">
      <w:bodyDiv w:val="1"/>
      <w:marLeft w:val="0"/>
      <w:marRight w:val="0"/>
      <w:marTop w:val="0"/>
      <w:marBottom w:val="0"/>
      <w:divBdr>
        <w:top w:val="none" w:sz="0" w:space="0" w:color="auto"/>
        <w:left w:val="none" w:sz="0" w:space="0" w:color="auto"/>
        <w:bottom w:val="none" w:sz="0" w:space="0" w:color="auto"/>
        <w:right w:val="none" w:sz="0" w:space="0" w:color="auto"/>
      </w:divBdr>
    </w:div>
    <w:div w:id="122162984">
      <w:bodyDiv w:val="1"/>
      <w:marLeft w:val="0"/>
      <w:marRight w:val="0"/>
      <w:marTop w:val="0"/>
      <w:marBottom w:val="0"/>
      <w:divBdr>
        <w:top w:val="none" w:sz="0" w:space="0" w:color="auto"/>
        <w:left w:val="none" w:sz="0" w:space="0" w:color="auto"/>
        <w:bottom w:val="none" w:sz="0" w:space="0" w:color="auto"/>
        <w:right w:val="none" w:sz="0" w:space="0" w:color="auto"/>
      </w:divBdr>
    </w:div>
    <w:div w:id="164394829">
      <w:bodyDiv w:val="1"/>
      <w:marLeft w:val="0"/>
      <w:marRight w:val="0"/>
      <w:marTop w:val="0"/>
      <w:marBottom w:val="0"/>
      <w:divBdr>
        <w:top w:val="none" w:sz="0" w:space="0" w:color="auto"/>
        <w:left w:val="none" w:sz="0" w:space="0" w:color="auto"/>
        <w:bottom w:val="none" w:sz="0" w:space="0" w:color="auto"/>
        <w:right w:val="none" w:sz="0" w:space="0" w:color="auto"/>
      </w:divBdr>
    </w:div>
    <w:div w:id="205532636">
      <w:bodyDiv w:val="1"/>
      <w:marLeft w:val="0"/>
      <w:marRight w:val="0"/>
      <w:marTop w:val="0"/>
      <w:marBottom w:val="0"/>
      <w:divBdr>
        <w:top w:val="none" w:sz="0" w:space="0" w:color="auto"/>
        <w:left w:val="none" w:sz="0" w:space="0" w:color="auto"/>
        <w:bottom w:val="none" w:sz="0" w:space="0" w:color="auto"/>
        <w:right w:val="none" w:sz="0" w:space="0" w:color="auto"/>
      </w:divBdr>
    </w:div>
    <w:div w:id="218446745">
      <w:bodyDiv w:val="1"/>
      <w:marLeft w:val="0"/>
      <w:marRight w:val="0"/>
      <w:marTop w:val="0"/>
      <w:marBottom w:val="0"/>
      <w:divBdr>
        <w:top w:val="none" w:sz="0" w:space="0" w:color="auto"/>
        <w:left w:val="none" w:sz="0" w:space="0" w:color="auto"/>
        <w:bottom w:val="none" w:sz="0" w:space="0" w:color="auto"/>
        <w:right w:val="none" w:sz="0" w:space="0" w:color="auto"/>
      </w:divBdr>
    </w:div>
    <w:div w:id="269168262">
      <w:bodyDiv w:val="1"/>
      <w:marLeft w:val="0"/>
      <w:marRight w:val="0"/>
      <w:marTop w:val="0"/>
      <w:marBottom w:val="0"/>
      <w:divBdr>
        <w:top w:val="none" w:sz="0" w:space="0" w:color="auto"/>
        <w:left w:val="none" w:sz="0" w:space="0" w:color="auto"/>
        <w:bottom w:val="none" w:sz="0" w:space="0" w:color="auto"/>
        <w:right w:val="none" w:sz="0" w:space="0" w:color="auto"/>
      </w:divBdr>
    </w:div>
    <w:div w:id="281156301">
      <w:bodyDiv w:val="1"/>
      <w:marLeft w:val="0"/>
      <w:marRight w:val="0"/>
      <w:marTop w:val="0"/>
      <w:marBottom w:val="0"/>
      <w:divBdr>
        <w:top w:val="none" w:sz="0" w:space="0" w:color="auto"/>
        <w:left w:val="none" w:sz="0" w:space="0" w:color="auto"/>
        <w:bottom w:val="none" w:sz="0" w:space="0" w:color="auto"/>
        <w:right w:val="none" w:sz="0" w:space="0" w:color="auto"/>
      </w:divBdr>
    </w:div>
    <w:div w:id="291448109">
      <w:bodyDiv w:val="1"/>
      <w:marLeft w:val="0"/>
      <w:marRight w:val="0"/>
      <w:marTop w:val="0"/>
      <w:marBottom w:val="0"/>
      <w:divBdr>
        <w:top w:val="none" w:sz="0" w:space="0" w:color="auto"/>
        <w:left w:val="none" w:sz="0" w:space="0" w:color="auto"/>
        <w:bottom w:val="none" w:sz="0" w:space="0" w:color="auto"/>
        <w:right w:val="none" w:sz="0" w:space="0" w:color="auto"/>
      </w:divBdr>
    </w:div>
    <w:div w:id="318703156">
      <w:bodyDiv w:val="1"/>
      <w:marLeft w:val="0"/>
      <w:marRight w:val="0"/>
      <w:marTop w:val="0"/>
      <w:marBottom w:val="0"/>
      <w:divBdr>
        <w:top w:val="none" w:sz="0" w:space="0" w:color="auto"/>
        <w:left w:val="none" w:sz="0" w:space="0" w:color="auto"/>
        <w:bottom w:val="none" w:sz="0" w:space="0" w:color="auto"/>
        <w:right w:val="none" w:sz="0" w:space="0" w:color="auto"/>
      </w:divBdr>
    </w:div>
    <w:div w:id="338119441">
      <w:bodyDiv w:val="1"/>
      <w:marLeft w:val="0"/>
      <w:marRight w:val="0"/>
      <w:marTop w:val="0"/>
      <w:marBottom w:val="0"/>
      <w:divBdr>
        <w:top w:val="none" w:sz="0" w:space="0" w:color="auto"/>
        <w:left w:val="none" w:sz="0" w:space="0" w:color="auto"/>
        <w:bottom w:val="none" w:sz="0" w:space="0" w:color="auto"/>
        <w:right w:val="none" w:sz="0" w:space="0" w:color="auto"/>
      </w:divBdr>
    </w:div>
    <w:div w:id="374429601">
      <w:bodyDiv w:val="1"/>
      <w:marLeft w:val="0"/>
      <w:marRight w:val="0"/>
      <w:marTop w:val="0"/>
      <w:marBottom w:val="0"/>
      <w:divBdr>
        <w:top w:val="none" w:sz="0" w:space="0" w:color="auto"/>
        <w:left w:val="none" w:sz="0" w:space="0" w:color="auto"/>
        <w:bottom w:val="none" w:sz="0" w:space="0" w:color="auto"/>
        <w:right w:val="none" w:sz="0" w:space="0" w:color="auto"/>
      </w:divBdr>
    </w:div>
    <w:div w:id="433671283">
      <w:bodyDiv w:val="1"/>
      <w:marLeft w:val="0"/>
      <w:marRight w:val="0"/>
      <w:marTop w:val="0"/>
      <w:marBottom w:val="0"/>
      <w:divBdr>
        <w:top w:val="none" w:sz="0" w:space="0" w:color="auto"/>
        <w:left w:val="none" w:sz="0" w:space="0" w:color="auto"/>
        <w:bottom w:val="none" w:sz="0" w:space="0" w:color="auto"/>
        <w:right w:val="none" w:sz="0" w:space="0" w:color="auto"/>
      </w:divBdr>
    </w:div>
    <w:div w:id="440682396">
      <w:bodyDiv w:val="1"/>
      <w:marLeft w:val="0"/>
      <w:marRight w:val="0"/>
      <w:marTop w:val="0"/>
      <w:marBottom w:val="0"/>
      <w:divBdr>
        <w:top w:val="none" w:sz="0" w:space="0" w:color="auto"/>
        <w:left w:val="none" w:sz="0" w:space="0" w:color="auto"/>
        <w:bottom w:val="none" w:sz="0" w:space="0" w:color="auto"/>
        <w:right w:val="none" w:sz="0" w:space="0" w:color="auto"/>
      </w:divBdr>
    </w:div>
    <w:div w:id="463356545">
      <w:bodyDiv w:val="1"/>
      <w:marLeft w:val="0"/>
      <w:marRight w:val="0"/>
      <w:marTop w:val="0"/>
      <w:marBottom w:val="0"/>
      <w:divBdr>
        <w:top w:val="none" w:sz="0" w:space="0" w:color="auto"/>
        <w:left w:val="none" w:sz="0" w:space="0" w:color="auto"/>
        <w:bottom w:val="none" w:sz="0" w:space="0" w:color="auto"/>
        <w:right w:val="none" w:sz="0" w:space="0" w:color="auto"/>
      </w:divBdr>
    </w:div>
    <w:div w:id="463813284">
      <w:bodyDiv w:val="1"/>
      <w:marLeft w:val="0"/>
      <w:marRight w:val="0"/>
      <w:marTop w:val="0"/>
      <w:marBottom w:val="0"/>
      <w:divBdr>
        <w:top w:val="none" w:sz="0" w:space="0" w:color="auto"/>
        <w:left w:val="none" w:sz="0" w:space="0" w:color="auto"/>
        <w:bottom w:val="none" w:sz="0" w:space="0" w:color="auto"/>
        <w:right w:val="none" w:sz="0" w:space="0" w:color="auto"/>
      </w:divBdr>
    </w:div>
    <w:div w:id="492720679">
      <w:bodyDiv w:val="1"/>
      <w:marLeft w:val="0"/>
      <w:marRight w:val="0"/>
      <w:marTop w:val="0"/>
      <w:marBottom w:val="0"/>
      <w:divBdr>
        <w:top w:val="none" w:sz="0" w:space="0" w:color="auto"/>
        <w:left w:val="none" w:sz="0" w:space="0" w:color="auto"/>
        <w:bottom w:val="none" w:sz="0" w:space="0" w:color="auto"/>
        <w:right w:val="none" w:sz="0" w:space="0" w:color="auto"/>
      </w:divBdr>
    </w:div>
    <w:div w:id="611666212">
      <w:bodyDiv w:val="1"/>
      <w:marLeft w:val="0"/>
      <w:marRight w:val="0"/>
      <w:marTop w:val="0"/>
      <w:marBottom w:val="0"/>
      <w:divBdr>
        <w:top w:val="none" w:sz="0" w:space="0" w:color="auto"/>
        <w:left w:val="none" w:sz="0" w:space="0" w:color="auto"/>
        <w:bottom w:val="none" w:sz="0" w:space="0" w:color="auto"/>
        <w:right w:val="none" w:sz="0" w:space="0" w:color="auto"/>
      </w:divBdr>
    </w:div>
    <w:div w:id="678239242">
      <w:bodyDiv w:val="1"/>
      <w:marLeft w:val="0"/>
      <w:marRight w:val="0"/>
      <w:marTop w:val="0"/>
      <w:marBottom w:val="0"/>
      <w:divBdr>
        <w:top w:val="none" w:sz="0" w:space="0" w:color="auto"/>
        <w:left w:val="none" w:sz="0" w:space="0" w:color="auto"/>
        <w:bottom w:val="none" w:sz="0" w:space="0" w:color="auto"/>
        <w:right w:val="none" w:sz="0" w:space="0" w:color="auto"/>
      </w:divBdr>
    </w:div>
    <w:div w:id="825439487">
      <w:bodyDiv w:val="1"/>
      <w:marLeft w:val="0"/>
      <w:marRight w:val="0"/>
      <w:marTop w:val="0"/>
      <w:marBottom w:val="0"/>
      <w:divBdr>
        <w:top w:val="none" w:sz="0" w:space="0" w:color="auto"/>
        <w:left w:val="none" w:sz="0" w:space="0" w:color="auto"/>
        <w:bottom w:val="none" w:sz="0" w:space="0" w:color="auto"/>
        <w:right w:val="none" w:sz="0" w:space="0" w:color="auto"/>
      </w:divBdr>
    </w:div>
    <w:div w:id="876356393">
      <w:bodyDiv w:val="1"/>
      <w:marLeft w:val="0"/>
      <w:marRight w:val="0"/>
      <w:marTop w:val="0"/>
      <w:marBottom w:val="0"/>
      <w:divBdr>
        <w:top w:val="none" w:sz="0" w:space="0" w:color="auto"/>
        <w:left w:val="none" w:sz="0" w:space="0" w:color="auto"/>
        <w:bottom w:val="none" w:sz="0" w:space="0" w:color="auto"/>
        <w:right w:val="none" w:sz="0" w:space="0" w:color="auto"/>
      </w:divBdr>
    </w:div>
    <w:div w:id="900870452">
      <w:bodyDiv w:val="1"/>
      <w:marLeft w:val="0"/>
      <w:marRight w:val="0"/>
      <w:marTop w:val="0"/>
      <w:marBottom w:val="0"/>
      <w:divBdr>
        <w:top w:val="none" w:sz="0" w:space="0" w:color="auto"/>
        <w:left w:val="none" w:sz="0" w:space="0" w:color="auto"/>
        <w:bottom w:val="none" w:sz="0" w:space="0" w:color="auto"/>
        <w:right w:val="none" w:sz="0" w:space="0" w:color="auto"/>
      </w:divBdr>
    </w:div>
    <w:div w:id="901217954">
      <w:bodyDiv w:val="1"/>
      <w:marLeft w:val="0"/>
      <w:marRight w:val="0"/>
      <w:marTop w:val="0"/>
      <w:marBottom w:val="0"/>
      <w:divBdr>
        <w:top w:val="none" w:sz="0" w:space="0" w:color="auto"/>
        <w:left w:val="none" w:sz="0" w:space="0" w:color="auto"/>
        <w:bottom w:val="none" w:sz="0" w:space="0" w:color="auto"/>
        <w:right w:val="none" w:sz="0" w:space="0" w:color="auto"/>
      </w:divBdr>
    </w:div>
    <w:div w:id="975911171">
      <w:bodyDiv w:val="1"/>
      <w:marLeft w:val="0"/>
      <w:marRight w:val="0"/>
      <w:marTop w:val="0"/>
      <w:marBottom w:val="0"/>
      <w:divBdr>
        <w:top w:val="none" w:sz="0" w:space="0" w:color="auto"/>
        <w:left w:val="none" w:sz="0" w:space="0" w:color="auto"/>
        <w:bottom w:val="none" w:sz="0" w:space="0" w:color="auto"/>
        <w:right w:val="none" w:sz="0" w:space="0" w:color="auto"/>
      </w:divBdr>
    </w:div>
    <w:div w:id="1012759659">
      <w:bodyDiv w:val="1"/>
      <w:marLeft w:val="0"/>
      <w:marRight w:val="0"/>
      <w:marTop w:val="0"/>
      <w:marBottom w:val="0"/>
      <w:divBdr>
        <w:top w:val="none" w:sz="0" w:space="0" w:color="auto"/>
        <w:left w:val="none" w:sz="0" w:space="0" w:color="auto"/>
        <w:bottom w:val="none" w:sz="0" w:space="0" w:color="auto"/>
        <w:right w:val="none" w:sz="0" w:space="0" w:color="auto"/>
      </w:divBdr>
    </w:div>
    <w:div w:id="1061564601">
      <w:bodyDiv w:val="1"/>
      <w:marLeft w:val="0"/>
      <w:marRight w:val="0"/>
      <w:marTop w:val="0"/>
      <w:marBottom w:val="0"/>
      <w:divBdr>
        <w:top w:val="none" w:sz="0" w:space="0" w:color="auto"/>
        <w:left w:val="none" w:sz="0" w:space="0" w:color="auto"/>
        <w:bottom w:val="none" w:sz="0" w:space="0" w:color="auto"/>
        <w:right w:val="none" w:sz="0" w:space="0" w:color="auto"/>
      </w:divBdr>
    </w:div>
    <w:div w:id="1068917907">
      <w:bodyDiv w:val="1"/>
      <w:marLeft w:val="0"/>
      <w:marRight w:val="0"/>
      <w:marTop w:val="0"/>
      <w:marBottom w:val="0"/>
      <w:divBdr>
        <w:top w:val="none" w:sz="0" w:space="0" w:color="auto"/>
        <w:left w:val="none" w:sz="0" w:space="0" w:color="auto"/>
        <w:bottom w:val="none" w:sz="0" w:space="0" w:color="auto"/>
        <w:right w:val="none" w:sz="0" w:space="0" w:color="auto"/>
      </w:divBdr>
    </w:div>
    <w:div w:id="1089623541">
      <w:bodyDiv w:val="1"/>
      <w:marLeft w:val="0"/>
      <w:marRight w:val="0"/>
      <w:marTop w:val="0"/>
      <w:marBottom w:val="0"/>
      <w:divBdr>
        <w:top w:val="none" w:sz="0" w:space="0" w:color="auto"/>
        <w:left w:val="none" w:sz="0" w:space="0" w:color="auto"/>
        <w:bottom w:val="none" w:sz="0" w:space="0" w:color="auto"/>
        <w:right w:val="none" w:sz="0" w:space="0" w:color="auto"/>
      </w:divBdr>
    </w:div>
    <w:div w:id="1097940032">
      <w:bodyDiv w:val="1"/>
      <w:marLeft w:val="0"/>
      <w:marRight w:val="0"/>
      <w:marTop w:val="0"/>
      <w:marBottom w:val="0"/>
      <w:divBdr>
        <w:top w:val="none" w:sz="0" w:space="0" w:color="auto"/>
        <w:left w:val="none" w:sz="0" w:space="0" w:color="auto"/>
        <w:bottom w:val="none" w:sz="0" w:space="0" w:color="auto"/>
        <w:right w:val="none" w:sz="0" w:space="0" w:color="auto"/>
      </w:divBdr>
    </w:div>
    <w:div w:id="1152912398">
      <w:bodyDiv w:val="1"/>
      <w:marLeft w:val="0"/>
      <w:marRight w:val="0"/>
      <w:marTop w:val="0"/>
      <w:marBottom w:val="0"/>
      <w:divBdr>
        <w:top w:val="none" w:sz="0" w:space="0" w:color="auto"/>
        <w:left w:val="none" w:sz="0" w:space="0" w:color="auto"/>
        <w:bottom w:val="none" w:sz="0" w:space="0" w:color="auto"/>
        <w:right w:val="none" w:sz="0" w:space="0" w:color="auto"/>
      </w:divBdr>
    </w:div>
    <w:div w:id="1183863441">
      <w:bodyDiv w:val="1"/>
      <w:marLeft w:val="0"/>
      <w:marRight w:val="0"/>
      <w:marTop w:val="0"/>
      <w:marBottom w:val="0"/>
      <w:divBdr>
        <w:top w:val="none" w:sz="0" w:space="0" w:color="auto"/>
        <w:left w:val="none" w:sz="0" w:space="0" w:color="auto"/>
        <w:bottom w:val="none" w:sz="0" w:space="0" w:color="auto"/>
        <w:right w:val="none" w:sz="0" w:space="0" w:color="auto"/>
      </w:divBdr>
    </w:div>
    <w:div w:id="1204754270">
      <w:bodyDiv w:val="1"/>
      <w:marLeft w:val="0"/>
      <w:marRight w:val="0"/>
      <w:marTop w:val="0"/>
      <w:marBottom w:val="0"/>
      <w:divBdr>
        <w:top w:val="none" w:sz="0" w:space="0" w:color="auto"/>
        <w:left w:val="none" w:sz="0" w:space="0" w:color="auto"/>
        <w:bottom w:val="none" w:sz="0" w:space="0" w:color="auto"/>
        <w:right w:val="none" w:sz="0" w:space="0" w:color="auto"/>
      </w:divBdr>
    </w:div>
    <w:div w:id="1290353965">
      <w:bodyDiv w:val="1"/>
      <w:marLeft w:val="0"/>
      <w:marRight w:val="0"/>
      <w:marTop w:val="0"/>
      <w:marBottom w:val="0"/>
      <w:divBdr>
        <w:top w:val="none" w:sz="0" w:space="0" w:color="auto"/>
        <w:left w:val="none" w:sz="0" w:space="0" w:color="auto"/>
        <w:bottom w:val="none" w:sz="0" w:space="0" w:color="auto"/>
        <w:right w:val="none" w:sz="0" w:space="0" w:color="auto"/>
      </w:divBdr>
    </w:div>
    <w:div w:id="1292637554">
      <w:bodyDiv w:val="1"/>
      <w:marLeft w:val="0"/>
      <w:marRight w:val="0"/>
      <w:marTop w:val="0"/>
      <w:marBottom w:val="0"/>
      <w:divBdr>
        <w:top w:val="none" w:sz="0" w:space="0" w:color="auto"/>
        <w:left w:val="none" w:sz="0" w:space="0" w:color="auto"/>
        <w:bottom w:val="none" w:sz="0" w:space="0" w:color="auto"/>
        <w:right w:val="none" w:sz="0" w:space="0" w:color="auto"/>
      </w:divBdr>
    </w:div>
    <w:div w:id="1306591600">
      <w:bodyDiv w:val="1"/>
      <w:marLeft w:val="0"/>
      <w:marRight w:val="0"/>
      <w:marTop w:val="0"/>
      <w:marBottom w:val="0"/>
      <w:divBdr>
        <w:top w:val="none" w:sz="0" w:space="0" w:color="auto"/>
        <w:left w:val="none" w:sz="0" w:space="0" w:color="auto"/>
        <w:bottom w:val="none" w:sz="0" w:space="0" w:color="auto"/>
        <w:right w:val="none" w:sz="0" w:space="0" w:color="auto"/>
      </w:divBdr>
    </w:div>
    <w:div w:id="1328944821">
      <w:bodyDiv w:val="1"/>
      <w:marLeft w:val="0"/>
      <w:marRight w:val="0"/>
      <w:marTop w:val="0"/>
      <w:marBottom w:val="0"/>
      <w:divBdr>
        <w:top w:val="none" w:sz="0" w:space="0" w:color="auto"/>
        <w:left w:val="none" w:sz="0" w:space="0" w:color="auto"/>
        <w:bottom w:val="none" w:sz="0" w:space="0" w:color="auto"/>
        <w:right w:val="none" w:sz="0" w:space="0" w:color="auto"/>
      </w:divBdr>
    </w:div>
    <w:div w:id="1346319967">
      <w:bodyDiv w:val="1"/>
      <w:marLeft w:val="0"/>
      <w:marRight w:val="0"/>
      <w:marTop w:val="0"/>
      <w:marBottom w:val="0"/>
      <w:divBdr>
        <w:top w:val="none" w:sz="0" w:space="0" w:color="auto"/>
        <w:left w:val="none" w:sz="0" w:space="0" w:color="auto"/>
        <w:bottom w:val="none" w:sz="0" w:space="0" w:color="auto"/>
        <w:right w:val="none" w:sz="0" w:space="0" w:color="auto"/>
      </w:divBdr>
    </w:div>
    <w:div w:id="1378818503">
      <w:bodyDiv w:val="1"/>
      <w:marLeft w:val="0"/>
      <w:marRight w:val="0"/>
      <w:marTop w:val="0"/>
      <w:marBottom w:val="0"/>
      <w:divBdr>
        <w:top w:val="none" w:sz="0" w:space="0" w:color="auto"/>
        <w:left w:val="none" w:sz="0" w:space="0" w:color="auto"/>
        <w:bottom w:val="none" w:sz="0" w:space="0" w:color="auto"/>
        <w:right w:val="none" w:sz="0" w:space="0" w:color="auto"/>
      </w:divBdr>
    </w:div>
    <w:div w:id="1441341341">
      <w:bodyDiv w:val="1"/>
      <w:marLeft w:val="0"/>
      <w:marRight w:val="0"/>
      <w:marTop w:val="0"/>
      <w:marBottom w:val="0"/>
      <w:divBdr>
        <w:top w:val="none" w:sz="0" w:space="0" w:color="auto"/>
        <w:left w:val="none" w:sz="0" w:space="0" w:color="auto"/>
        <w:bottom w:val="none" w:sz="0" w:space="0" w:color="auto"/>
        <w:right w:val="none" w:sz="0" w:space="0" w:color="auto"/>
      </w:divBdr>
    </w:div>
    <w:div w:id="1496192069">
      <w:bodyDiv w:val="1"/>
      <w:marLeft w:val="0"/>
      <w:marRight w:val="0"/>
      <w:marTop w:val="0"/>
      <w:marBottom w:val="0"/>
      <w:divBdr>
        <w:top w:val="none" w:sz="0" w:space="0" w:color="auto"/>
        <w:left w:val="none" w:sz="0" w:space="0" w:color="auto"/>
        <w:bottom w:val="none" w:sz="0" w:space="0" w:color="auto"/>
        <w:right w:val="none" w:sz="0" w:space="0" w:color="auto"/>
      </w:divBdr>
    </w:div>
    <w:div w:id="1644039425">
      <w:bodyDiv w:val="1"/>
      <w:marLeft w:val="0"/>
      <w:marRight w:val="0"/>
      <w:marTop w:val="0"/>
      <w:marBottom w:val="0"/>
      <w:divBdr>
        <w:top w:val="none" w:sz="0" w:space="0" w:color="auto"/>
        <w:left w:val="none" w:sz="0" w:space="0" w:color="auto"/>
        <w:bottom w:val="none" w:sz="0" w:space="0" w:color="auto"/>
        <w:right w:val="none" w:sz="0" w:space="0" w:color="auto"/>
      </w:divBdr>
    </w:div>
    <w:div w:id="1672950108">
      <w:bodyDiv w:val="1"/>
      <w:marLeft w:val="0"/>
      <w:marRight w:val="0"/>
      <w:marTop w:val="0"/>
      <w:marBottom w:val="0"/>
      <w:divBdr>
        <w:top w:val="none" w:sz="0" w:space="0" w:color="auto"/>
        <w:left w:val="none" w:sz="0" w:space="0" w:color="auto"/>
        <w:bottom w:val="none" w:sz="0" w:space="0" w:color="auto"/>
        <w:right w:val="none" w:sz="0" w:space="0" w:color="auto"/>
      </w:divBdr>
    </w:div>
    <w:div w:id="1727141489">
      <w:bodyDiv w:val="1"/>
      <w:marLeft w:val="0"/>
      <w:marRight w:val="0"/>
      <w:marTop w:val="0"/>
      <w:marBottom w:val="0"/>
      <w:divBdr>
        <w:top w:val="none" w:sz="0" w:space="0" w:color="auto"/>
        <w:left w:val="none" w:sz="0" w:space="0" w:color="auto"/>
        <w:bottom w:val="none" w:sz="0" w:space="0" w:color="auto"/>
        <w:right w:val="none" w:sz="0" w:space="0" w:color="auto"/>
      </w:divBdr>
    </w:div>
    <w:div w:id="1775706028">
      <w:bodyDiv w:val="1"/>
      <w:marLeft w:val="0"/>
      <w:marRight w:val="0"/>
      <w:marTop w:val="0"/>
      <w:marBottom w:val="0"/>
      <w:divBdr>
        <w:top w:val="none" w:sz="0" w:space="0" w:color="auto"/>
        <w:left w:val="none" w:sz="0" w:space="0" w:color="auto"/>
        <w:bottom w:val="none" w:sz="0" w:space="0" w:color="auto"/>
        <w:right w:val="none" w:sz="0" w:space="0" w:color="auto"/>
      </w:divBdr>
    </w:div>
    <w:div w:id="1844008341">
      <w:bodyDiv w:val="1"/>
      <w:marLeft w:val="0"/>
      <w:marRight w:val="0"/>
      <w:marTop w:val="0"/>
      <w:marBottom w:val="0"/>
      <w:divBdr>
        <w:top w:val="none" w:sz="0" w:space="0" w:color="auto"/>
        <w:left w:val="none" w:sz="0" w:space="0" w:color="auto"/>
        <w:bottom w:val="none" w:sz="0" w:space="0" w:color="auto"/>
        <w:right w:val="none" w:sz="0" w:space="0" w:color="auto"/>
      </w:divBdr>
    </w:div>
    <w:div w:id="1965187524">
      <w:bodyDiv w:val="1"/>
      <w:marLeft w:val="0"/>
      <w:marRight w:val="0"/>
      <w:marTop w:val="0"/>
      <w:marBottom w:val="0"/>
      <w:divBdr>
        <w:top w:val="none" w:sz="0" w:space="0" w:color="auto"/>
        <w:left w:val="none" w:sz="0" w:space="0" w:color="auto"/>
        <w:bottom w:val="none" w:sz="0" w:space="0" w:color="auto"/>
        <w:right w:val="none" w:sz="0" w:space="0" w:color="auto"/>
      </w:divBdr>
    </w:div>
    <w:div w:id="2124226629">
      <w:bodyDiv w:val="1"/>
      <w:marLeft w:val="0"/>
      <w:marRight w:val="0"/>
      <w:marTop w:val="0"/>
      <w:marBottom w:val="0"/>
      <w:divBdr>
        <w:top w:val="none" w:sz="0" w:space="0" w:color="auto"/>
        <w:left w:val="none" w:sz="0" w:space="0" w:color="auto"/>
        <w:bottom w:val="none" w:sz="0" w:space="0" w:color="auto"/>
        <w:right w:val="none" w:sz="0" w:space="0" w:color="auto"/>
      </w:divBdr>
    </w:div>
    <w:div w:id="21468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4</TotalTime>
  <Pages>14</Pages>
  <Words>4497</Words>
  <Characters>27716</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2022031781 var 5, pkt. 6.5</dc:description>
  <cp:lastModifiedBy>Helle Venn</cp:lastModifiedBy>
  <cp:revision>3</cp:revision>
  <cp:lastPrinted>2006-02-24T09:31:00Z</cp:lastPrinted>
  <dcterms:created xsi:type="dcterms:W3CDTF">2022-04-11T08:03:00Z</dcterms:created>
  <dcterms:modified xsi:type="dcterms:W3CDTF">2022-04-11T08:07:00Z</dcterms:modified>
</cp:coreProperties>
</file>