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F4" w:rsidRPr="008F49E1" w:rsidRDefault="00CD2EF4" w:rsidP="00CD2EF4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338199FF" wp14:editId="0DFDA74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CD2EF4" w:rsidRPr="00CA0294" w:rsidRDefault="00CD2EF4" w:rsidP="00CD2EF4">
      <w:pPr>
        <w:pStyle w:val="Titel"/>
        <w:tabs>
          <w:tab w:val="right" w:pos="9356"/>
        </w:tabs>
        <w:jc w:val="left"/>
        <w:rPr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CA0294" w:rsidRPr="00CA0294">
        <w:rPr>
          <w:szCs w:val="24"/>
          <w:lang w:eastAsia="en-US"/>
        </w:rPr>
        <w:t>1</w:t>
      </w:r>
      <w:r w:rsidR="00AA2827">
        <w:rPr>
          <w:szCs w:val="24"/>
          <w:lang w:eastAsia="en-US"/>
        </w:rPr>
        <w:t>9</w:t>
      </w:r>
      <w:r w:rsidR="00CA0294" w:rsidRPr="00CA0294">
        <w:rPr>
          <w:szCs w:val="24"/>
          <w:lang w:eastAsia="en-US"/>
        </w:rPr>
        <w:t>. november 2024</w:t>
      </w:r>
    </w:p>
    <w:p w:rsidR="00CD2EF4" w:rsidRPr="00C84483" w:rsidRDefault="00CD2EF4" w:rsidP="00CD2EF4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CD2EF4" w:rsidRPr="00C84483" w:rsidRDefault="00CD2EF4" w:rsidP="00CD2EF4">
      <w:pPr>
        <w:pStyle w:val="Titel"/>
        <w:jc w:val="left"/>
        <w:rPr>
          <w:b w:val="0"/>
          <w:szCs w:val="24"/>
        </w:rPr>
      </w:pPr>
    </w:p>
    <w:p w:rsidR="00CD2EF4" w:rsidRPr="00C84483" w:rsidRDefault="00CD2EF4" w:rsidP="00CD2EF4">
      <w:pPr>
        <w:pStyle w:val="Titel"/>
        <w:jc w:val="left"/>
        <w:rPr>
          <w:b w:val="0"/>
          <w:szCs w:val="24"/>
        </w:rPr>
      </w:pPr>
    </w:p>
    <w:p w:rsidR="00CD2EF4" w:rsidRPr="00C84483" w:rsidRDefault="00CD2EF4" w:rsidP="00CD2EF4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CD2EF4" w:rsidRPr="00C84483" w:rsidRDefault="00CD2EF4" w:rsidP="00CD2EF4">
      <w:pPr>
        <w:jc w:val="center"/>
        <w:rPr>
          <w:b/>
          <w:sz w:val="24"/>
          <w:szCs w:val="24"/>
        </w:rPr>
      </w:pPr>
    </w:p>
    <w:p w:rsidR="00CD2EF4" w:rsidRDefault="00A6590C" w:rsidP="00A6590C">
      <w:pPr>
        <w:tabs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D2EF4" w:rsidRPr="00C84483">
        <w:rPr>
          <w:b/>
          <w:sz w:val="24"/>
          <w:szCs w:val="24"/>
        </w:rPr>
        <w:t>for</w:t>
      </w:r>
    </w:p>
    <w:p w:rsidR="00CD2EF4" w:rsidRPr="00C84483" w:rsidRDefault="00CD2EF4" w:rsidP="00CD2EF4">
      <w:pPr>
        <w:jc w:val="center"/>
        <w:rPr>
          <w:b/>
          <w:sz w:val="24"/>
          <w:szCs w:val="24"/>
        </w:rPr>
      </w:pPr>
    </w:p>
    <w:p w:rsidR="00CD2EF4" w:rsidRPr="00C84483" w:rsidRDefault="00CD2EF4" w:rsidP="00CD2EF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Bendroza</w:t>
      </w:r>
      <w:proofErr w:type="spellEnd"/>
      <w:r>
        <w:rPr>
          <w:b/>
          <w:sz w:val="24"/>
          <w:szCs w:val="24"/>
        </w:rPr>
        <w:t>, filmovertrukne tabletter 1,25 mg+573 mg</w:t>
      </w:r>
    </w:p>
    <w:p w:rsidR="00CD2EF4" w:rsidRPr="00C84483" w:rsidRDefault="00CD2EF4" w:rsidP="00CD2EF4">
      <w:pPr>
        <w:jc w:val="both"/>
        <w:rPr>
          <w:sz w:val="24"/>
          <w:szCs w:val="24"/>
        </w:rPr>
      </w:pPr>
    </w:p>
    <w:p w:rsidR="00CD2EF4" w:rsidRPr="00052D27" w:rsidRDefault="00CD2EF4" w:rsidP="00CD2EF4">
      <w:pPr>
        <w:ind w:left="851" w:hanging="851"/>
        <w:jc w:val="both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0.</w:t>
      </w:r>
      <w:r w:rsidRPr="00052D27">
        <w:rPr>
          <w:b/>
          <w:sz w:val="24"/>
          <w:szCs w:val="24"/>
        </w:rPr>
        <w:tab/>
        <w:t>D.SP.NR.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  <w:r w:rsidRPr="00052D27">
        <w:rPr>
          <w:sz w:val="24"/>
          <w:szCs w:val="24"/>
        </w:rPr>
        <w:tab/>
        <w:t>28987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1.</w:t>
      </w:r>
      <w:r w:rsidRPr="00052D27">
        <w:rPr>
          <w:b/>
          <w:sz w:val="24"/>
          <w:szCs w:val="24"/>
        </w:rPr>
        <w:tab/>
        <w:t>LÆGEMIDLETS NAVN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  <w:r w:rsidRPr="00052D27">
        <w:rPr>
          <w:sz w:val="24"/>
          <w:szCs w:val="24"/>
        </w:rPr>
        <w:tab/>
      </w:r>
      <w:proofErr w:type="spellStart"/>
      <w:r w:rsidRPr="00052D27">
        <w:rPr>
          <w:sz w:val="24"/>
          <w:szCs w:val="24"/>
        </w:rPr>
        <w:t>Bendroza</w:t>
      </w:r>
      <w:proofErr w:type="spellEnd"/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2.</w:t>
      </w:r>
      <w:r w:rsidRPr="00052D27">
        <w:rPr>
          <w:b/>
          <w:sz w:val="24"/>
          <w:szCs w:val="24"/>
        </w:rPr>
        <w:tab/>
        <w:t>KVALITATIV OG KVANTITATIV SAMMENSÆTNING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lang w:eastAsia="da-DK"/>
        </w:rPr>
      </w:pPr>
      <w:r w:rsidRPr="00052D27">
        <w:rPr>
          <w:spacing w:val="-3"/>
          <w:sz w:val="24"/>
          <w:szCs w:val="24"/>
        </w:rPr>
        <w:tab/>
      </w:r>
      <w:proofErr w:type="spellStart"/>
      <w:r w:rsidRPr="00052D27">
        <w:rPr>
          <w:spacing w:val="-3"/>
          <w:sz w:val="24"/>
          <w:szCs w:val="24"/>
        </w:rPr>
        <w:t>Bendroflumethiazid</w:t>
      </w:r>
      <w:proofErr w:type="spellEnd"/>
      <w:r w:rsidRPr="00052D27">
        <w:rPr>
          <w:spacing w:val="-3"/>
          <w:sz w:val="24"/>
          <w:szCs w:val="24"/>
        </w:rPr>
        <w:t xml:space="preserve"> 1,25 mg og </w:t>
      </w:r>
      <w:proofErr w:type="spellStart"/>
      <w:r w:rsidRPr="00052D27">
        <w:rPr>
          <w:spacing w:val="-3"/>
          <w:sz w:val="24"/>
          <w:szCs w:val="24"/>
        </w:rPr>
        <w:t>kaliumchlorid</w:t>
      </w:r>
      <w:proofErr w:type="spellEnd"/>
      <w:r w:rsidRPr="00052D27">
        <w:rPr>
          <w:spacing w:val="-3"/>
          <w:sz w:val="24"/>
          <w:szCs w:val="24"/>
        </w:rPr>
        <w:t xml:space="preserve"> 573 mg.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</w:r>
    </w:p>
    <w:p w:rsidR="00CD2EF4" w:rsidRPr="00052D27" w:rsidRDefault="00CD2EF4" w:rsidP="00CD2EF4">
      <w:pPr>
        <w:ind w:left="851"/>
        <w:rPr>
          <w:spacing w:val="-3"/>
          <w:sz w:val="24"/>
          <w:szCs w:val="24"/>
        </w:rPr>
      </w:pPr>
      <w:r w:rsidRPr="00052D27">
        <w:rPr>
          <w:sz w:val="24"/>
          <w:szCs w:val="24"/>
          <w:u w:val="single"/>
        </w:rPr>
        <w:t>Hjælpestof, som behandleren skal være opmærksom på</w:t>
      </w:r>
      <w:r w:rsidRPr="00052D27">
        <w:rPr>
          <w:sz w:val="24"/>
          <w:szCs w:val="24"/>
        </w:rPr>
        <w:t>:</w:t>
      </w:r>
    </w:p>
    <w:p w:rsidR="00CD2EF4" w:rsidRPr="00052D27" w:rsidRDefault="00CD2EF4" w:rsidP="00CD2EF4">
      <w:pPr>
        <w:ind w:left="851" w:hanging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  <w:t xml:space="preserve">Hver filmovertrukket tablet indeholder 2,5 mg </w:t>
      </w:r>
      <w:proofErr w:type="spellStart"/>
      <w:r w:rsidRPr="00052D27">
        <w:rPr>
          <w:spacing w:val="-3"/>
          <w:sz w:val="24"/>
          <w:szCs w:val="24"/>
        </w:rPr>
        <w:t>saccharose</w:t>
      </w:r>
      <w:proofErr w:type="spellEnd"/>
      <w:r w:rsidRPr="00052D27">
        <w:rPr>
          <w:spacing w:val="-3"/>
          <w:sz w:val="24"/>
          <w:szCs w:val="24"/>
        </w:rPr>
        <w:t>.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  <w:t>Alle hjælpestoffer er anført under pkt. 6.1.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3.</w:t>
      </w:r>
      <w:r w:rsidRPr="00052D27">
        <w:rPr>
          <w:b/>
          <w:sz w:val="24"/>
          <w:szCs w:val="24"/>
        </w:rPr>
        <w:tab/>
        <w:t>LÆGEMIDDELFORM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lang w:eastAsia="da-DK"/>
        </w:rPr>
      </w:pPr>
      <w:r w:rsidRPr="00052D27">
        <w:rPr>
          <w:spacing w:val="-3"/>
          <w:sz w:val="24"/>
          <w:szCs w:val="24"/>
        </w:rPr>
        <w:tab/>
        <w:t>Filmovertrukne tabletter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052D27">
        <w:rPr>
          <w:b/>
          <w:spacing w:val="-3"/>
          <w:sz w:val="24"/>
          <w:szCs w:val="24"/>
        </w:rPr>
        <w:tab/>
      </w:r>
      <w:r w:rsidRPr="00052D27">
        <w:rPr>
          <w:spacing w:val="-3"/>
          <w:sz w:val="24"/>
          <w:szCs w:val="24"/>
        </w:rPr>
        <w:t>Hvid til råhvid, oval filmovertrukket tablet (cirka 18,4 mm x 9,0 mm).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4.</w:t>
      </w:r>
      <w:r w:rsidRPr="00052D27">
        <w:rPr>
          <w:b/>
          <w:sz w:val="24"/>
          <w:szCs w:val="24"/>
        </w:rPr>
        <w:tab/>
        <w:t>KLINISKE OPLYSNINGER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052D27">
        <w:rPr>
          <w:b/>
          <w:sz w:val="24"/>
          <w:szCs w:val="24"/>
        </w:rPr>
        <w:t>4.1</w:t>
      </w:r>
      <w:r w:rsidRPr="00052D27">
        <w:rPr>
          <w:b/>
          <w:sz w:val="24"/>
          <w:szCs w:val="24"/>
        </w:rPr>
        <w:tab/>
        <w:t>Terapeutiske indikationer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lang w:eastAsia="da-DK"/>
        </w:rPr>
      </w:pPr>
      <w:r w:rsidRPr="00052D27">
        <w:rPr>
          <w:spacing w:val="-3"/>
          <w:sz w:val="24"/>
          <w:szCs w:val="24"/>
        </w:rPr>
        <w:tab/>
        <w:t xml:space="preserve">Behandling af ødemer, arteriel hypertension, diabetes </w:t>
      </w:r>
      <w:proofErr w:type="spellStart"/>
      <w:r w:rsidRPr="00052D27">
        <w:rPr>
          <w:spacing w:val="-3"/>
          <w:sz w:val="24"/>
          <w:szCs w:val="24"/>
        </w:rPr>
        <w:t>insipidues</w:t>
      </w:r>
      <w:proofErr w:type="spellEnd"/>
      <w:r w:rsidRPr="00052D27">
        <w:rPr>
          <w:spacing w:val="-3"/>
          <w:sz w:val="24"/>
          <w:szCs w:val="24"/>
        </w:rPr>
        <w:t xml:space="preserve">. 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  <w:t>Forebyggelse af recidiverende calciumholdige nyresten.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4.2</w:t>
      </w:r>
      <w:r w:rsidRPr="00052D27">
        <w:rPr>
          <w:b/>
          <w:sz w:val="24"/>
          <w:szCs w:val="24"/>
        </w:rPr>
        <w:tab/>
        <w:t xml:space="preserve">Dosering og </w:t>
      </w:r>
      <w:r w:rsidR="00B82F8F">
        <w:rPr>
          <w:b/>
          <w:sz w:val="24"/>
          <w:szCs w:val="24"/>
        </w:rPr>
        <w:t>administration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u w:val="single"/>
          <w:lang w:eastAsia="da-DK"/>
        </w:rPr>
      </w:pPr>
      <w:r w:rsidRPr="00052D27">
        <w:rPr>
          <w:spacing w:val="-3"/>
          <w:sz w:val="24"/>
          <w:szCs w:val="24"/>
        </w:rPr>
        <w:tab/>
      </w:r>
      <w:r w:rsidRPr="00052D27">
        <w:rPr>
          <w:spacing w:val="-3"/>
          <w:sz w:val="24"/>
          <w:szCs w:val="24"/>
          <w:u w:val="single"/>
        </w:rPr>
        <w:t>Dosering</w:t>
      </w:r>
    </w:p>
    <w:p w:rsidR="009F6675" w:rsidRPr="009F6675" w:rsidRDefault="00CD2EF4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</w:r>
      <w:r w:rsidR="009F6675" w:rsidRPr="009F6675">
        <w:rPr>
          <w:spacing w:val="-3"/>
          <w:sz w:val="24"/>
          <w:szCs w:val="24"/>
          <w:u w:val="single"/>
        </w:rPr>
        <w:t>Arteriel hypertension</w:t>
      </w:r>
      <w:r w:rsidR="009F6675" w:rsidRPr="009F6675">
        <w:rPr>
          <w:spacing w:val="-3"/>
          <w:sz w:val="24"/>
          <w:szCs w:val="24"/>
        </w:rPr>
        <w:t xml:space="preserve"> </w:t>
      </w:r>
    </w:p>
    <w:p w:rsidR="009F6675" w:rsidRPr="009F6675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9F6675">
        <w:rPr>
          <w:spacing w:val="-3"/>
          <w:sz w:val="24"/>
          <w:szCs w:val="24"/>
        </w:rPr>
        <w:tab/>
        <w:t xml:space="preserve">Voksne: 1,25-2,5 mg </w:t>
      </w:r>
      <w:proofErr w:type="spellStart"/>
      <w:r w:rsidRPr="009F6675">
        <w:rPr>
          <w:spacing w:val="-3"/>
          <w:sz w:val="24"/>
          <w:szCs w:val="24"/>
        </w:rPr>
        <w:t>bendroflumethiazid</w:t>
      </w:r>
      <w:proofErr w:type="spellEnd"/>
      <w:r w:rsidRPr="009F6675">
        <w:rPr>
          <w:spacing w:val="-3"/>
          <w:sz w:val="24"/>
          <w:szCs w:val="24"/>
        </w:rPr>
        <w:t xml:space="preserve"> (1-2 tabletter) 1-2 gange daglig.</w:t>
      </w:r>
    </w:p>
    <w:p w:rsidR="009F6675" w:rsidRPr="009F6675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9F6675">
        <w:rPr>
          <w:spacing w:val="-3"/>
          <w:sz w:val="24"/>
          <w:szCs w:val="24"/>
        </w:rPr>
        <w:tab/>
      </w:r>
    </w:p>
    <w:p w:rsidR="009F6675" w:rsidRPr="009F6675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  <w:u w:val="single"/>
        </w:rPr>
      </w:pPr>
      <w:r w:rsidRPr="009F6675">
        <w:rPr>
          <w:spacing w:val="-3"/>
          <w:sz w:val="24"/>
          <w:szCs w:val="24"/>
        </w:rPr>
        <w:tab/>
      </w:r>
      <w:r w:rsidRPr="009F6675">
        <w:rPr>
          <w:spacing w:val="-3"/>
          <w:sz w:val="24"/>
          <w:szCs w:val="24"/>
          <w:u w:val="single"/>
        </w:rPr>
        <w:t xml:space="preserve">Alle øvrige indikationer </w:t>
      </w:r>
    </w:p>
    <w:p w:rsidR="009F6675" w:rsidRPr="009F6675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9F6675">
        <w:rPr>
          <w:spacing w:val="-3"/>
          <w:sz w:val="24"/>
          <w:szCs w:val="24"/>
        </w:rPr>
        <w:tab/>
        <w:t xml:space="preserve">Voksne: 2,5-5 mg </w:t>
      </w:r>
      <w:proofErr w:type="spellStart"/>
      <w:r w:rsidRPr="009F6675">
        <w:rPr>
          <w:spacing w:val="-3"/>
          <w:sz w:val="24"/>
          <w:szCs w:val="24"/>
        </w:rPr>
        <w:t>bendroflumethiazid</w:t>
      </w:r>
      <w:proofErr w:type="spellEnd"/>
      <w:r w:rsidRPr="009F6675">
        <w:rPr>
          <w:spacing w:val="-3"/>
          <w:sz w:val="24"/>
          <w:szCs w:val="24"/>
        </w:rPr>
        <w:t xml:space="preserve"> (2-4 tabletter) 1-2 gange daglig.</w:t>
      </w:r>
    </w:p>
    <w:p w:rsidR="009F6675" w:rsidRPr="009F6675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</w:p>
    <w:p w:rsidR="009F6675" w:rsidRPr="009F6675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b/>
          <w:spacing w:val="-3"/>
          <w:sz w:val="24"/>
          <w:szCs w:val="24"/>
        </w:rPr>
      </w:pPr>
      <w:r w:rsidRPr="009F6675">
        <w:rPr>
          <w:spacing w:val="-3"/>
          <w:sz w:val="24"/>
          <w:szCs w:val="24"/>
        </w:rPr>
        <w:tab/>
      </w:r>
      <w:r w:rsidRPr="009F6675">
        <w:rPr>
          <w:b/>
          <w:spacing w:val="-3"/>
          <w:sz w:val="24"/>
          <w:szCs w:val="24"/>
        </w:rPr>
        <w:t>Administration</w:t>
      </w:r>
    </w:p>
    <w:p w:rsidR="009F6675" w:rsidRPr="009F6675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ab/>
      </w:r>
      <w:r w:rsidRPr="009F6675">
        <w:rPr>
          <w:spacing w:val="-3"/>
          <w:sz w:val="24"/>
          <w:szCs w:val="24"/>
        </w:rPr>
        <w:t>Tabletterne skal synkes hele under eller efter et måltid med mindst et stort glas vand eller anden væske.</w:t>
      </w:r>
    </w:p>
    <w:p w:rsidR="009F6675" w:rsidRPr="009F6675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</w:p>
    <w:p w:rsidR="009F6675" w:rsidRPr="009F6675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9F6675">
        <w:rPr>
          <w:i/>
          <w:spacing w:val="-3"/>
          <w:sz w:val="24"/>
          <w:szCs w:val="24"/>
        </w:rPr>
        <w:tab/>
        <w:t>Pædiatrisk population</w:t>
      </w:r>
      <w:r w:rsidRPr="009F6675">
        <w:rPr>
          <w:spacing w:val="-3"/>
          <w:sz w:val="24"/>
          <w:szCs w:val="24"/>
        </w:rPr>
        <w:t xml:space="preserve">: </w:t>
      </w:r>
    </w:p>
    <w:p w:rsidR="009F6675" w:rsidRPr="009F6675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i/>
          <w:spacing w:val="-3"/>
          <w:sz w:val="24"/>
          <w:szCs w:val="24"/>
        </w:rPr>
      </w:pPr>
      <w:r w:rsidRPr="009F6675">
        <w:rPr>
          <w:spacing w:val="-3"/>
          <w:sz w:val="24"/>
          <w:szCs w:val="24"/>
        </w:rPr>
        <w:tab/>
        <w:t xml:space="preserve">Sikkerhed og virkning af </w:t>
      </w:r>
      <w:proofErr w:type="spellStart"/>
      <w:r w:rsidRPr="009F6675">
        <w:rPr>
          <w:spacing w:val="-3"/>
          <w:sz w:val="24"/>
          <w:szCs w:val="24"/>
        </w:rPr>
        <w:t>Bendroza</w:t>
      </w:r>
      <w:proofErr w:type="spellEnd"/>
      <w:r w:rsidRPr="009F6675">
        <w:rPr>
          <w:spacing w:val="-3"/>
          <w:sz w:val="24"/>
          <w:szCs w:val="24"/>
        </w:rPr>
        <w:t xml:space="preserve"> hos børn og unge under 18 år er ikke klarlagt. Der foreligger ingen data.</w:t>
      </w:r>
    </w:p>
    <w:p w:rsidR="009F6675" w:rsidRPr="009F6675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</w:p>
    <w:p w:rsidR="009F6675" w:rsidRPr="009F6675" w:rsidRDefault="009F6675" w:rsidP="009F6675">
      <w:pPr>
        <w:tabs>
          <w:tab w:val="left" w:pos="0"/>
          <w:tab w:val="left" w:pos="851"/>
        </w:tabs>
        <w:ind w:left="851"/>
        <w:jc w:val="both"/>
        <w:rPr>
          <w:i/>
          <w:spacing w:val="-3"/>
          <w:sz w:val="24"/>
          <w:szCs w:val="24"/>
        </w:rPr>
      </w:pPr>
      <w:r w:rsidRPr="009F6675">
        <w:rPr>
          <w:i/>
          <w:spacing w:val="-3"/>
          <w:sz w:val="24"/>
          <w:szCs w:val="24"/>
        </w:rPr>
        <w:t>Ældre</w:t>
      </w:r>
    </w:p>
    <w:p w:rsidR="009F6675" w:rsidRPr="009F6675" w:rsidRDefault="009F6675" w:rsidP="009F6675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  <w:r w:rsidRPr="009F6675">
        <w:rPr>
          <w:spacing w:val="-3"/>
          <w:sz w:val="24"/>
          <w:szCs w:val="24"/>
        </w:rPr>
        <w:t>Ingen reduktion af dosis.</w:t>
      </w:r>
    </w:p>
    <w:p w:rsidR="009F6675" w:rsidRPr="009F6675" w:rsidRDefault="009F6675" w:rsidP="009F6675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  <w:r w:rsidRPr="009F6675">
        <w:rPr>
          <w:spacing w:val="-3"/>
          <w:sz w:val="24"/>
          <w:szCs w:val="24"/>
        </w:rPr>
        <w:t>Se pkt. 4.4 angående særlige forholdsregler ved andre sygdomme eller tilstedeværende risikofaktorer.</w:t>
      </w:r>
    </w:p>
    <w:p w:rsidR="009F6675" w:rsidRPr="009F6675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  <w:u w:val="single"/>
        </w:rPr>
      </w:pPr>
    </w:p>
    <w:p w:rsidR="009F6675" w:rsidRPr="009F6675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9F6675">
        <w:rPr>
          <w:spacing w:val="-3"/>
          <w:sz w:val="24"/>
          <w:szCs w:val="24"/>
        </w:rPr>
        <w:tab/>
      </w:r>
      <w:r w:rsidRPr="009F6675">
        <w:rPr>
          <w:spacing w:val="-3"/>
          <w:sz w:val="24"/>
          <w:szCs w:val="24"/>
          <w:u w:val="single"/>
        </w:rPr>
        <w:t>Nedsat nyrefunktion</w:t>
      </w:r>
    </w:p>
    <w:p w:rsidR="009F6675" w:rsidRPr="009F6675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9F6675">
        <w:rPr>
          <w:spacing w:val="-3"/>
          <w:sz w:val="24"/>
          <w:szCs w:val="24"/>
        </w:rPr>
        <w:tab/>
        <w:t xml:space="preserve">Afhængig af graden af nyrefunktionsnedsættelse må dosis justeres under observation af effekt og bivirkninger. Bør ikke anvendes ved </w:t>
      </w:r>
      <w:proofErr w:type="spellStart"/>
      <w:r w:rsidRPr="009F6675">
        <w:rPr>
          <w:spacing w:val="-3"/>
          <w:sz w:val="24"/>
          <w:szCs w:val="24"/>
        </w:rPr>
        <w:t>kreatininclearance</w:t>
      </w:r>
      <w:proofErr w:type="spellEnd"/>
      <w:r w:rsidRPr="009F6675">
        <w:rPr>
          <w:spacing w:val="-3"/>
          <w:sz w:val="24"/>
          <w:szCs w:val="24"/>
        </w:rPr>
        <w:t xml:space="preserve"> mindre end 30 ml/min.</w:t>
      </w:r>
    </w:p>
    <w:p w:rsidR="009F6675" w:rsidRPr="009F6675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</w:p>
    <w:p w:rsidR="009F6675" w:rsidRPr="009F6675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9F6675">
        <w:rPr>
          <w:spacing w:val="-3"/>
          <w:sz w:val="24"/>
          <w:szCs w:val="24"/>
        </w:rPr>
        <w:tab/>
      </w:r>
      <w:r w:rsidRPr="009F6675">
        <w:rPr>
          <w:spacing w:val="-3"/>
          <w:sz w:val="24"/>
          <w:szCs w:val="24"/>
          <w:u w:val="single"/>
        </w:rPr>
        <w:t>Nedsat leverfunktion</w:t>
      </w:r>
    </w:p>
    <w:p w:rsidR="009F6675" w:rsidRPr="009F6675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9F6675">
        <w:rPr>
          <w:spacing w:val="-3"/>
          <w:sz w:val="24"/>
          <w:szCs w:val="24"/>
        </w:rPr>
        <w:tab/>
        <w:t>Afhængig af graden af leverfunktionsnedsættelse må dosis justeres under observation af effekt og bivirkninger.</w:t>
      </w:r>
    </w:p>
    <w:p w:rsidR="00CD2EF4" w:rsidRPr="00052D27" w:rsidRDefault="00CD2EF4" w:rsidP="009F6675">
      <w:pPr>
        <w:tabs>
          <w:tab w:val="left" w:pos="0"/>
          <w:tab w:val="left" w:pos="851"/>
        </w:tabs>
        <w:ind w:left="851" w:hanging="851"/>
        <w:jc w:val="both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4.3</w:t>
      </w:r>
      <w:r w:rsidRPr="00052D27">
        <w:rPr>
          <w:b/>
          <w:sz w:val="24"/>
          <w:szCs w:val="24"/>
        </w:rPr>
        <w:tab/>
        <w:t>Kontraindikationer</w:t>
      </w:r>
    </w:p>
    <w:p w:rsidR="009F6675" w:rsidRPr="00052D27" w:rsidRDefault="009F6675" w:rsidP="009F6675">
      <w:pPr>
        <w:numPr>
          <w:ilvl w:val="0"/>
          <w:numId w:val="6"/>
        </w:numPr>
        <w:ind w:left="1276" w:hanging="425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 xml:space="preserve">Addisons sygdom. </w:t>
      </w:r>
    </w:p>
    <w:p w:rsidR="009F6675" w:rsidRPr="00052D27" w:rsidRDefault="009F6675" w:rsidP="009F6675">
      <w:pPr>
        <w:numPr>
          <w:ilvl w:val="0"/>
          <w:numId w:val="6"/>
        </w:numPr>
        <w:ind w:left="1276" w:hanging="425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Svært nedsat nyrefunktion </w:t>
      </w:r>
      <w:r w:rsidRPr="00052D27">
        <w:rPr>
          <w:spacing w:val="-3"/>
          <w:sz w:val="24"/>
          <w:szCs w:val="24"/>
        </w:rPr>
        <w:t xml:space="preserve">eller </w:t>
      </w:r>
      <w:proofErr w:type="spellStart"/>
      <w:r>
        <w:rPr>
          <w:spacing w:val="-3"/>
          <w:sz w:val="24"/>
          <w:szCs w:val="24"/>
        </w:rPr>
        <w:t>anuri</w:t>
      </w:r>
      <w:proofErr w:type="spellEnd"/>
      <w:r w:rsidRPr="00052D27">
        <w:rPr>
          <w:spacing w:val="-3"/>
          <w:sz w:val="24"/>
          <w:szCs w:val="24"/>
        </w:rPr>
        <w:t>.</w:t>
      </w:r>
    </w:p>
    <w:p w:rsidR="009F6675" w:rsidRDefault="009F6675" w:rsidP="009F6675">
      <w:pPr>
        <w:numPr>
          <w:ilvl w:val="0"/>
          <w:numId w:val="6"/>
        </w:numPr>
        <w:ind w:left="1276" w:hanging="425"/>
        <w:rPr>
          <w:spacing w:val="-3"/>
          <w:sz w:val="24"/>
          <w:szCs w:val="24"/>
          <w:lang w:eastAsia="da-DK"/>
        </w:rPr>
      </w:pPr>
      <w:r>
        <w:rPr>
          <w:spacing w:val="-3"/>
          <w:sz w:val="24"/>
          <w:szCs w:val="24"/>
        </w:rPr>
        <w:t>S</w:t>
      </w:r>
      <w:r w:rsidRPr="00052D27">
        <w:rPr>
          <w:spacing w:val="-3"/>
          <w:sz w:val="24"/>
          <w:szCs w:val="24"/>
        </w:rPr>
        <w:t>vært nedsat leverfunktion.</w:t>
      </w:r>
    </w:p>
    <w:p w:rsidR="009F6675" w:rsidRPr="00052D27" w:rsidRDefault="009F6675" w:rsidP="009F6675">
      <w:pPr>
        <w:numPr>
          <w:ilvl w:val="0"/>
          <w:numId w:val="6"/>
        </w:numPr>
        <w:ind w:left="1276" w:hanging="425"/>
        <w:rPr>
          <w:spacing w:val="-3"/>
          <w:sz w:val="24"/>
          <w:szCs w:val="24"/>
        </w:rPr>
      </w:pPr>
      <w:proofErr w:type="spellStart"/>
      <w:r w:rsidRPr="00052D27">
        <w:rPr>
          <w:spacing w:val="-3"/>
          <w:sz w:val="24"/>
          <w:szCs w:val="24"/>
        </w:rPr>
        <w:t>Arthritis</w:t>
      </w:r>
      <w:proofErr w:type="spellEnd"/>
      <w:r w:rsidRPr="00052D27">
        <w:rPr>
          <w:spacing w:val="-3"/>
          <w:sz w:val="24"/>
          <w:szCs w:val="24"/>
        </w:rPr>
        <w:t xml:space="preserve"> </w:t>
      </w:r>
      <w:proofErr w:type="spellStart"/>
      <w:r w:rsidRPr="00052D27">
        <w:rPr>
          <w:spacing w:val="-3"/>
          <w:sz w:val="24"/>
          <w:szCs w:val="24"/>
        </w:rPr>
        <w:t>urica</w:t>
      </w:r>
      <w:proofErr w:type="spellEnd"/>
      <w:r w:rsidRPr="00052D27">
        <w:rPr>
          <w:spacing w:val="-3"/>
          <w:sz w:val="24"/>
          <w:szCs w:val="24"/>
        </w:rPr>
        <w:t>.</w:t>
      </w:r>
    </w:p>
    <w:p w:rsidR="009F6675" w:rsidRPr="00052D27" w:rsidRDefault="009F6675" w:rsidP="009F6675">
      <w:pPr>
        <w:numPr>
          <w:ilvl w:val="0"/>
          <w:numId w:val="6"/>
        </w:numPr>
        <w:ind w:left="1276" w:hanging="425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>Alvorlig</w:t>
      </w:r>
      <w:r>
        <w:rPr>
          <w:spacing w:val="-3"/>
          <w:sz w:val="24"/>
          <w:szCs w:val="24"/>
        </w:rPr>
        <w:t xml:space="preserve"> dehydrering og alvorlige</w:t>
      </w:r>
      <w:r w:rsidRPr="00052D27">
        <w:rPr>
          <w:spacing w:val="-3"/>
          <w:sz w:val="24"/>
          <w:szCs w:val="24"/>
        </w:rPr>
        <w:t xml:space="preserve"> elektrolytforstyrrelser</w:t>
      </w:r>
      <w:r>
        <w:rPr>
          <w:spacing w:val="-3"/>
          <w:sz w:val="24"/>
          <w:szCs w:val="24"/>
        </w:rPr>
        <w:t>,</w:t>
      </w:r>
      <w:r w:rsidRPr="00052D27">
        <w:rPr>
          <w:spacing w:val="-3"/>
          <w:sz w:val="24"/>
          <w:szCs w:val="24"/>
        </w:rPr>
        <w:t xml:space="preserve"> herunder </w:t>
      </w:r>
      <w:proofErr w:type="spellStart"/>
      <w:r w:rsidRPr="00052D27">
        <w:rPr>
          <w:spacing w:val="-3"/>
          <w:sz w:val="24"/>
          <w:szCs w:val="24"/>
        </w:rPr>
        <w:t>hyponatriæmi</w:t>
      </w:r>
      <w:proofErr w:type="spellEnd"/>
      <w:r w:rsidRPr="00052D27">
        <w:rPr>
          <w:spacing w:val="-3"/>
          <w:sz w:val="24"/>
          <w:szCs w:val="24"/>
        </w:rPr>
        <w:t xml:space="preserve">, </w:t>
      </w:r>
      <w:proofErr w:type="spellStart"/>
      <w:r w:rsidRPr="00052D27">
        <w:rPr>
          <w:spacing w:val="-3"/>
          <w:sz w:val="24"/>
          <w:szCs w:val="24"/>
        </w:rPr>
        <w:t>hypercalcæmi</w:t>
      </w:r>
      <w:proofErr w:type="spellEnd"/>
      <w:r w:rsidRPr="00052D27">
        <w:rPr>
          <w:spacing w:val="-3"/>
          <w:sz w:val="24"/>
          <w:szCs w:val="24"/>
        </w:rPr>
        <w:t xml:space="preserve">, </w:t>
      </w:r>
      <w:proofErr w:type="spellStart"/>
      <w:r w:rsidRPr="00052D27">
        <w:rPr>
          <w:spacing w:val="-3"/>
          <w:sz w:val="24"/>
          <w:szCs w:val="24"/>
        </w:rPr>
        <w:t>hyperkloræmi</w:t>
      </w:r>
      <w:proofErr w:type="spellEnd"/>
      <w:r w:rsidRPr="00052D27">
        <w:rPr>
          <w:spacing w:val="-3"/>
          <w:sz w:val="24"/>
          <w:szCs w:val="24"/>
        </w:rPr>
        <w:t xml:space="preserve">, </w:t>
      </w:r>
      <w:proofErr w:type="spellStart"/>
      <w:r w:rsidRPr="00052D27">
        <w:rPr>
          <w:spacing w:val="-3"/>
          <w:sz w:val="24"/>
          <w:szCs w:val="24"/>
        </w:rPr>
        <w:t>hyperkaliæmi</w:t>
      </w:r>
      <w:proofErr w:type="spellEnd"/>
      <w:r w:rsidRPr="00052D27">
        <w:rPr>
          <w:spacing w:val="-3"/>
          <w:sz w:val="24"/>
          <w:szCs w:val="24"/>
        </w:rPr>
        <w:t xml:space="preserve"> eller andre tilstande som kan føre til </w:t>
      </w:r>
      <w:proofErr w:type="spellStart"/>
      <w:r w:rsidRPr="00052D27">
        <w:rPr>
          <w:spacing w:val="-3"/>
          <w:sz w:val="24"/>
          <w:szCs w:val="24"/>
        </w:rPr>
        <w:t>hyperkaliæmi</w:t>
      </w:r>
      <w:proofErr w:type="spellEnd"/>
      <w:r w:rsidRPr="00052D27">
        <w:rPr>
          <w:spacing w:val="-3"/>
          <w:sz w:val="24"/>
          <w:szCs w:val="24"/>
        </w:rPr>
        <w:t>.</w:t>
      </w:r>
    </w:p>
    <w:p w:rsidR="009F6675" w:rsidRPr="00052D27" w:rsidRDefault="009F6675" w:rsidP="009F6675">
      <w:pPr>
        <w:numPr>
          <w:ilvl w:val="0"/>
          <w:numId w:val="6"/>
        </w:numPr>
        <w:ind w:left="1276" w:hanging="425"/>
        <w:rPr>
          <w:spacing w:val="-3"/>
          <w:sz w:val="24"/>
          <w:szCs w:val="24"/>
        </w:rPr>
      </w:pPr>
      <w:proofErr w:type="spellStart"/>
      <w:r w:rsidRPr="00052D27">
        <w:rPr>
          <w:spacing w:val="-3"/>
          <w:sz w:val="24"/>
          <w:szCs w:val="24"/>
        </w:rPr>
        <w:t>Ulcerationer</w:t>
      </w:r>
      <w:proofErr w:type="spellEnd"/>
      <w:r w:rsidRPr="00052D27">
        <w:rPr>
          <w:spacing w:val="-3"/>
          <w:sz w:val="24"/>
          <w:szCs w:val="24"/>
        </w:rPr>
        <w:t xml:space="preserve"> i eller obstruktion af mavetarmkanalen.</w:t>
      </w:r>
    </w:p>
    <w:p w:rsidR="009F6675" w:rsidRPr="00052D27" w:rsidRDefault="009F6675" w:rsidP="009F6675">
      <w:pPr>
        <w:numPr>
          <w:ilvl w:val="0"/>
          <w:numId w:val="6"/>
        </w:numPr>
        <w:ind w:left="1276" w:hanging="425"/>
        <w:rPr>
          <w:spacing w:val="-3"/>
          <w:sz w:val="24"/>
          <w:szCs w:val="24"/>
          <w:lang w:eastAsia="da-DK"/>
        </w:rPr>
      </w:pPr>
      <w:r w:rsidRPr="00052D27">
        <w:rPr>
          <w:spacing w:val="-3"/>
          <w:sz w:val="24"/>
          <w:szCs w:val="24"/>
        </w:rPr>
        <w:t xml:space="preserve">Overfølsomhed over for </w:t>
      </w:r>
      <w:r>
        <w:rPr>
          <w:spacing w:val="-3"/>
          <w:sz w:val="24"/>
          <w:szCs w:val="24"/>
        </w:rPr>
        <w:t>de aktive stoffer</w:t>
      </w:r>
      <w:r w:rsidRPr="00052D27">
        <w:rPr>
          <w:spacing w:val="-3"/>
          <w:sz w:val="24"/>
          <w:szCs w:val="24"/>
        </w:rPr>
        <w:t xml:space="preserve">, andre </w:t>
      </w:r>
      <w:proofErr w:type="spellStart"/>
      <w:r w:rsidRPr="00052D27">
        <w:rPr>
          <w:spacing w:val="-3"/>
          <w:sz w:val="24"/>
          <w:szCs w:val="24"/>
        </w:rPr>
        <w:t>thiazider</w:t>
      </w:r>
      <w:proofErr w:type="spellEnd"/>
      <w:r w:rsidRPr="00052D27">
        <w:rPr>
          <w:spacing w:val="-3"/>
          <w:sz w:val="24"/>
          <w:szCs w:val="24"/>
        </w:rPr>
        <w:t xml:space="preserve"> og </w:t>
      </w:r>
      <w:proofErr w:type="spellStart"/>
      <w:r w:rsidRPr="00052D27">
        <w:rPr>
          <w:spacing w:val="-3"/>
          <w:sz w:val="24"/>
          <w:szCs w:val="24"/>
        </w:rPr>
        <w:t>antidiabetika</w:t>
      </w:r>
      <w:proofErr w:type="spellEnd"/>
      <w:r w:rsidRPr="00052D27">
        <w:rPr>
          <w:spacing w:val="-3"/>
          <w:sz w:val="24"/>
          <w:szCs w:val="24"/>
        </w:rPr>
        <w:t xml:space="preserve"> af </w:t>
      </w:r>
      <w:proofErr w:type="spellStart"/>
      <w:r w:rsidRPr="00052D27">
        <w:rPr>
          <w:spacing w:val="-3"/>
          <w:sz w:val="24"/>
          <w:szCs w:val="24"/>
        </w:rPr>
        <w:t>sulfonyl</w:t>
      </w:r>
      <w:proofErr w:type="spellEnd"/>
      <w:r w:rsidRPr="00052D27">
        <w:rPr>
          <w:spacing w:val="-3"/>
          <w:sz w:val="24"/>
          <w:szCs w:val="24"/>
        </w:rPr>
        <w:t>-urinstofgruppen samt andre tæt beslægtede sulfonamider eller over for et eller flere af hjælpestofferne anført i pkt. 6.1.</w:t>
      </w:r>
    </w:p>
    <w:p w:rsidR="009F6675" w:rsidRPr="00052D27" w:rsidRDefault="009F6675" w:rsidP="009F6675">
      <w:pPr>
        <w:ind w:left="1276"/>
        <w:rPr>
          <w:spacing w:val="-3"/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4.4</w:t>
      </w:r>
      <w:r w:rsidRPr="00052D27">
        <w:rPr>
          <w:b/>
          <w:sz w:val="24"/>
          <w:szCs w:val="24"/>
        </w:rPr>
        <w:tab/>
        <w:t>Særlige advarsler og forsigtighedsregler vedrørende brugen</w:t>
      </w:r>
    </w:p>
    <w:p w:rsidR="009F6675" w:rsidRPr="00052D27" w:rsidRDefault="00CD2EF4" w:rsidP="009F6675">
      <w:pPr>
        <w:tabs>
          <w:tab w:val="left" w:pos="0"/>
        </w:tabs>
        <w:ind w:left="851" w:hanging="851"/>
        <w:rPr>
          <w:spacing w:val="-3"/>
          <w:sz w:val="24"/>
          <w:szCs w:val="24"/>
          <w:lang w:eastAsia="da-DK"/>
        </w:rPr>
      </w:pPr>
      <w:r>
        <w:rPr>
          <w:spacing w:val="-3"/>
          <w:sz w:val="24"/>
          <w:szCs w:val="24"/>
        </w:rPr>
        <w:tab/>
      </w:r>
      <w:proofErr w:type="spellStart"/>
      <w:r w:rsidR="009F6675" w:rsidRPr="00052D27">
        <w:rPr>
          <w:spacing w:val="-3"/>
          <w:sz w:val="24"/>
          <w:szCs w:val="24"/>
        </w:rPr>
        <w:t>Thiaziddiuretika</w:t>
      </w:r>
      <w:proofErr w:type="spellEnd"/>
      <w:r w:rsidR="009F6675" w:rsidRPr="00052D27">
        <w:rPr>
          <w:spacing w:val="-3"/>
          <w:sz w:val="24"/>
          <w:szCs w:val="24"/>
        </w:rPr>
        <w:t xml:space="preserve"> bør anvendes med forsigtighed hos patienter med </w:t>
      </w:r>
      <w:r w:rsidR="009F6675">
        <w:rPr>
          <w:spacing w:val="-3"/>
          <w:sz w:val="24"/>
          <w:szCs w:val="24"/>
        </w:rPr>
        <w:t xml:space="preserve">let eller moderat </w:t>
      </w:r>
      <w:r w:rsidR="009F6675" w:rsidRPr="00052D27">
        <w:rPr>
          <w:spacing w:val="-3"/>
          <w:sz w:val="24"/>
          <w:szCs w:val="24"/>
        </w:rPr>
        <w:t xml:space="preserve">nedsat nyre- eller leverfunktion og hos patienter med potentiel obstruktion af urinvejene. </w:t>
      </w:r>
    </w:p>
    <w:p w:rsidR="00CD2EF4" w:rsidRPr="00052D27" w:rsidRDefault="00CD2EF4" w:rsidP="00CD2EF4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</w:p>
    <w:p w:rsidR="00CD2EF4" w:rsidRPr="00052D27" w:rsidRDefault="00CD2EF4" w:rsidP="00CD2EF4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052D27">
        <w:rPr>
          <w:spacing w:val="-3"/>
          <w:sz w:val="24"/>
          <w:szCs w:val="24"/>
        </w:rPr>
        <w:t>Dosering hos patienter med nedsat nyre- eller leverfunktion, se pkt. 4.2.</w:t>
      </w:r>
    </w:p>
    <w:p w:rsidR="00CD2EF4" w:rsidRPr="00052D27" w:rsidRDefault="00CD2EF4" w:rsidP="00CD2EF4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</w:p>
    <w:p w:rsidR="009F6675" w:rsidRDefault="009F6675" w:rsidP="009F6675">
      <w:pPr>
        <w:tabs>
          <w:tab w:val="left" w:pos="0"/>
        </w:tabs>
        <w:ind w:left="851"/>
        <w:rPr>
          <w:spacing w:val="-3"/>
        </w:rPr>
      </w:pPr>
      <w:r>
        <w:rPr>
          <w:spacing w:val="-3"/>
          <w:sz w:val="24"/>
          <w:szCs w:val="24"/>
        </w:rPr>
        <w:t>Ved langtidsbehandling bør e</w:t>
      </w:r>
      <w:r w:rsidRPr="00052D27">
        <w:rPr>
          <w:spacing w:val="-3"/>
          <w:sz w:val="24"/>
          <w:szCs w:val="24"/>
        </w:rPr>
        <w:t>lektrolytstatus, specielt serum</w:t>
      </w:r>
      <w:r>
        <w:rPr>
          <w:spacing w:val="-3"/>
          <w:sz w:val="24"/>
          <w:szCs w:val="24"/>
        </w:rPr>
        <w:t xml:space="preserve"> </w:t>
      </w:r>
      <w:r w:rsidRPr="00052D27">
        <w:rPr>
          <w:spacing w:val="-3"/>
          <w:sz w:val="24"/>
          <w:szCs w:val="24"/>
        </w:rPr>
        <w:t>kalium og –natrium, kontrolleres jævnligt</w:t>
      </w:r>
      <w:r w:rsidRPr="00A9485D">
        <w:rPr>
          <w:spacing w:val="-3"/>
        </w:rPr>
        <w:t xml:space="preserve"> </w:t>
      </w:r>
      <w:r>
        <w:rPr>
          <w:spacing w:val="-3"/>
        </w:rPr>
        <w:t>og man bør være opmærksom på væske- og elektrolytbalancen særligt ved ældre patienter. Hvis påkrævet bør kaliumholdig kost eller ekstra kaliumtilskud overvejes.</w:t>
      </w:r>
    </w:p>
    <w:p w:rsidR="009F6675" w:rsidRDefault="009F6675" w:rsidP="009F6675">
      <w:pPr>
        <w:tabs>
          <w:tab w:val="left" w:pos="0"/>
        </w:tabs>
        <w:ind w:left="851"/>
        <w:rPr>
          <w:spacing w:val="-3"/>
        </w:rPr>
      </w:pPr>
    </w:p>
    <w:p w:rsidR="009F6675" w:rsidRPr="00052D27" w:rsidRDefault="009F6675" w:rsidP="009F6675">
      <w:pPr>
        <w:tabs>
          <w:tab w:val="left" w:pos="851"/>
        </w:tabs>
        <w:ind w:left="851"/>
        <w:rPr>
          <w:spacing w:val="-3"/>
          <w:sz w:val="24"/>
          <w:szCs w:val="24"/>
        </w:rPr>
      </w:pPr>
      <w:r w:rsidRPr="009F6675">
        <w:rPr>
          <w:spacing w:val="-3"/>
          <w:sz w:val="24"/>
          <w:szCs w:val="22"/>
        </w:rPr>
        <w:t xml:space="preserve">Ældre patienter kan være særligt modtagelige for </w:t>
      </w:r>
      <w:proofErr w:type="spellStart"/>
      <w:r w:rsidRPr="009F6675">
        <w:rPr>
          <w:spacing w:val="-3"/>
          <w:sz w:val="24"/>
          <w:szCs w:val="22"/>
        </w:rPr>
        <w:t>hyponatriæmi</w:t>
      </w:r>
      <w:proofErr w:type="spellEnd"/>
      <w:r w:rsidRPr="009F6675">
        <w:rPr>
          <w:spacing w:val="-3"/>
          <w:sz w:val="24"/>
          <w:szCs w:val="22"/>
        </w:rPr>
        <w:t xml:space="preserve"> under behandling med </w:t>
      </w:r>
      <w:proofErr w:type="spellStart"/>
      <w:r w:rsidRPr="009F6675">
        <w:rPr>
          <w:spacing w:val="-3"/>
          <w:sz w:val="24"/>
          <w:szCs w:val="22"/>
        </w:rPr>
        <w:t>bendroflumethiazid</w:t>
      </w:r>
      <w:proofErr w:type="spellEnd"/>
      <w:r w:rsidRPr="009F6675">
        <w:rPr>
          <w:spacing w:val="-3"/>
          <w:sz w:val="24"/>
          <w:szCs w:val="22"/>
        </w:rPr>
        <w:t xml:space="preserve">. Der bør udføres regelmæssige og kontinuerlige blodtest samt overvågning i denne patientgruppe. Risikoen for </w:t>
      </w:r>
      <w:proofErr w:type="spellStart"/>
      <w:r w:rsidRPr="009F6675">
        <w:rPr>
          <w:spacing w:val="-3"/>
          <w:sz w:val="24"/>
          <w:szCs w:val="22"/>
        </w:rPr>
        <w:t>hyponatriæmi</w:t>
      </w:r>
      <w:proofErr w:type="spellEnd"/>
      <w:r w:rsidRPr="009F6675">
        <w:rPr>
          <w:spacing w:val="-3"/>
          <w:sz w:val="24"/>
          <w:szCs w:val="22"/>
        </w:rPr>
        <w:t xml:space="preserve"> bør også overvejes hos patienter, der samtidig behandles med andre lægemidler forbundet med reducerede natriumniveauer, se pkt. 4.5.</w:t>
      </w:r>
    </w:p>
    <w:p w:rsidR="009F6675" w:rsidRDefault="009F6675" w:rsidP="009F6675">
      <w:pPr>
        <w:ind w:left="851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Thiazider</w:t>
      </w:r>
      <w:proofErr w:type="spellEnd"/>
      <w:r>
        <w:rPr>
          <w:bCs/>
          <w:sz w:val="24"/>
          <w:szCs w:val="24"/>
        </w:rPr>
        <w:t xml:space="preserve"> kan nedsætte calciumudskillelsen i urinen og kan forårsage sporadisk og let forøget calcium i serum. Udtalt </w:t>
      </w:r>
      <w:proofErr w:type="spellStart"/>
      <w:r>
        <w:rPr>
          <w:bCs/>
          <w:sz w:val="24"/>
          <w:szCs w:val="24"/>
        </w:rPr>
        <w:t>hypercalcæmi</w:t>
      </w:r>
      <w:proofErr w:type="spellEnd"/>
      <w:r>
        <w:rPr>
          <w:bCs/>
          <w:sz w:val="24"/>
          <w:szCs w:val="24"/>
        </w:rPr>
        <w:t xml:space="preserve"> kan være tegn på skjult </w:t>
      </w:r>
      <w:proofErr w:type="spellStart"/>
      <w:r>
        <w:rPr>
          <w:bCs/>
          <w:sz w:val="24"/>
          <w:szCs w:val="24"/>
        </w:rPr>
        <w:lastRenderedPageBreak/>
        <w:t>hyperparatyroidisme</w:t>
      </w:r>
      <w:proofErr w:type="spellEnd"/>
      <w:r>
        <w:rPr>
          <w:bCs/>
          <w:sz w:val="24"/>
          <w:szCs w:val="24"/>
        </w:rPr>
        <w:t xml:space="preserve">. Behandling med </w:t>
      </w:r>
      <w:proofErr w:type="spellStart"/>
      <w:r>
        <w:rPr>
          <w:bCs/>
          <w:sz w:val="24"/>
          <w:szCs w:val="24"/>
        </w:rPr>
        <w:t>thiazider</w:t>
      </w:r>
      <w:proofErr w:type="spellEnd"/>
      <w:r>
        <w:rPr>
          <w:bCs/>
          <w:sz w:val="24"/>
          <w:szCs w:val="24"/>
        </w:rPr>
        <w:t xml:space="preserve"> skal seponeres, før test af </w:t>
      </w:r>
      <w:proofErr w:type="spellStart"/>
      <w:r>
        <w:rPr>
          <w:bCs/>
          <w:sz w:val="24"/>
          <w:szCs w:val="24"/>
        </w:rPr>
        <w:t>paratyroideafunktion</w:t>
      </w:r>
      <w:proofErr w:type="spellEnd"/>
      <w:r>
        <w:rPr>
          <w:bCs/>
          <w:sz w:val="24"/>
          <w:szCs w:val="24"/>
        </w:rPr>
        <w:t xml:space="preserve"> udføres. </w:t>
      </w:r>
    </w:p>
    <w:p w:rsidR="009F6675" w:rsidRDefault="00CD2EF4" w:rsidP="00CD2EF4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</w:p>
    <w:p w:rsidR="009F6675" w:rsidRPr="00052D27" w:rsidRDefault="009F6675" w:rsidP="009F6675">
      <w:pPr>
        <w:tabs>
          <w:tab w:val="left" w:pos="0"/>
        </w:tabs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proofErr w:type="spellStart"/>
      <w:r w:rsidRPr="00052D27">
        <w:rPr>
          <w:spacing w:val="-3"/>
          <w:sz w:val="24"/>
          <w:szCs w:val="24"/>
        </w:rPr>
        <w:t>Thiazider</w:t>
      </w:r>
      <w:proofErr w:type="spellEnd"/>
      <w:r w:rsidRPr="00052D27">
        <w:rPr>
          <w:spacing w:val="-3"/>
          <w:sz w:val="24"/>
          <w:szCs w:val="24"/>
        </w:rPr>
        <w:t xml:space="preserve"> kan inducere </w:t>
      </w:r>
      <w:proofErr w:type="spellStart"/>
      <w:r w:rsidRPr="00052D27">
        <w:rPr>
          <w:spacing w:val="-3"/>
          <w:sz w:val="24"/>
          <w:szCs w:val="24"/>
        </w:rPr>
        <w:t>hyperglykæmi</w:t>
      </w:r>
      <w:proofErr w:type="spellEnd"/>
      <w:r w:rsidRPr="00052D27">
        <w:rPr>
          <w:spacing w:val="-3"/>
          <w:sz w:val="24"/>
          <w:szCs w:val="24"/>
        </w:rPr>
        <w:t xml:space="preserve"> og </w:t>
      </w:r>
      <w:proofErr w:type="spellStart"/>
      <w:r w:rsidRPr="00052D27">
        <w:rPr>
          <w:spacing w:val="-3"/>
          <w:sz w:val="24"/>
          <w:szCs w:val="24"/>
        </w:rPr>
        <w:t>glu</w:t>
      </w:r>
      <w:r>
        <w:rPr>
          <w:spacing w:val="-3"/>
          <w:sz w:val="24"/>
          <w:szCs w:val="24"/>
        </w:rPr>
        <w:t>c</w:t>
      </w:r>
      <w:r w:rsidRPr="00052D27">
        <w:rPr>
          <w:spacing w:val="-3"/>
          <w:sz w:val="24"/>
          <w:szCs w:val="24"/>
        </w:rPr>
        <w:t>osuri</w:t>
      </w:r>
      <w:proofErr w:type="spellEnd"/>
      <w:r w:rsidRPr="00052D27">
        <w:rPr>
          <w:spacing w:val="-3"/>
          <w:sz w:val="24"/>
          <w:szCs w:val="24"/>
        </w:rPr>
        <w:t xml:space="preserve"> hos diabetikere og patienter med nedsat </w:t>
      </w:r>
      <w:proofErr w:type="spellStart"/>
      <w:r w:rsidRPr="00052D27">
        <w:rPr>
          <w:spacing w:val="-3"/>
          <w:sz w:val="24"/>
          <w:szCs w:val="24"/>
        </w:rPr>
        <w:t>glucosetolerance</w:t>
      </w:r>
      <w:proofErr w:type="spellEnd"/>
      <w:r w:rsidRPr="00052D27">
        <w:rPr>
          <w:spacing w:val="-3"/>
          <w:sz w:val="24"/>
          <w:szCs w:val="24"/>
        </w:rPr>
        <w:t>. Det kan her være nødvendigt at justere den antidiabetiske behandling, se pkt. 4.5.</w:t>
      </w:r>
    </w:p>
    <w:p w:rsidR="009F6675" w:rsidRPr="00052D27" w:rsidRDefault="009F6675" w:rsidP="009F6675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</w:p>
    <w:p w:rsidR="009F6675" w:rsidRDefault="009F6675" w:rsidP="009F6675">
      <w:pPr>
        <w:tabs>
          <w:tab w:val="left" w:pos="0"/>
          <w:tab w:val="left" w:pos="824"/>
        </w:tabs>
        <w:ind w:left="851"/>
      </w:pPr>
      <w:proofErr w:type="spellStart"/>
      <w:r>
        <w:t>Thiaziddiuretika</w:t>
      </w:r>
      <w:proofErr w:type="spellEnd"/>
      <w:r>
        <w:t xml:space="preserve"> bør anvendes med forsigtighed hos </w:t>
      </w:r>
      <w:proofErr w:type="spellStart"/>
      <w:r>
        <w:t>hypotensive</w:t>
      </w:r>
      <w:proofErr w:type="spellEnd"/>
      <w:r>
        <w:t xml:space="preserve"> patienter.</w:t>
      </w:r>
    </w:p>
    <w:p w:rsidR="009F6675" w:rsidRDefault="009F6675" w:rsidP="009F6675">
      <w:pPr>
        <w:tabs>
          <w:tab w:val="left" w:pos="0"/>
        </w:tabs>
        <w:ind w:left="851"/>
        <w:rPr>
          <w:spacing w:val="-3"/>
          <w:sz w:val="24"/>
          <w:szCs w:val="24"/>
        </w:rPr>
      </w:pPr>
    </w:p>
    <w:p w:rsidR="009F6675" w:rsidRPr="00052D27" w:rsidRDefault="009F6675" w:rsidP="009F6675">
      <w:pPr>
        <w:tabs>
          <w:tab w:val="left" w:pos="0"/>
        </w:tabs>
        <w:ind w:left="851"/>
        <w:rPr>
          <w:spacing w:val="-3"/>
          <w:sz w:val="24"/>
          <w:szCs w:val="24"/>
        </w:rPr>
      </w:pPr>
      <w:proofErr w:type="spellStart"/>
      <w:r w:rsidRPr="00052D27">
        <w:rPr>
          <w:spacing w:val="-3"/>
          <w:sz w:val="24"/>
          <w:szCs w:val="24"/>
        </w:rPr>
        <w:t>Thiazider</w:t>
      </w:r>
      <w:proofErr w:type="spellEnd"/>
      <w:r w:rsidRPr="00052D27">
        <w:rPr>
          <w:spacing w:val="-3"/>
          <w:sz w:val="24"/>
          <w:szCs w:val="24"/>
        </w:rPr>
        <w:t xml:space="preserve"> kan medføre </w:t>
      </w:r>
      <w:proofErr w:type="spellStart"/>
      <w:r w:rsidRPr="00052D27">
        <w:rPr>
          <w:spacing w:val="-3"/>
          <w:sz w:val="24"/>
          <w:szCs w:val="24"/>
        </w:rPr>
        <w:t>hyperurikæmi</w:t>
      </w:r>
      <w:proofErr w:type="spellEnd"/>
      <w:r w:rsidRPr="00052D27">
        <w:rPr>
          <w:spacing w:val="-3"/>
          <w:sz w:val="24"/>
          <w:szCs w:val="24"/>
        </w:rPr>
        <w:t xml:space="preserve"> og inducere eller forværre anfald af </w:t>
      </w:r>
      <w:proofErr w:type="spellStart"/>
      <w:r w:rsidRPr="00052D27">
        <w:rPr>
          <w:spacing w:val="-3"/>
          <w:sz w:val="24"/>
          <w:szCs w:val="24"/>
        </w:rPr>
        <w:t>arthritis</w:t>
      </w:r>
      <w:proofErr w:type="spellEnd"/>
      <w:r w:rsidRPr="00052D27">
        <w:rPr>
          <w:spacing w:val="-3"/>
          <w:sz w:val="24"/>
          <w:szCs w:val="24"/>
        </w:rPr>
        <w:t xml:space="preserve"> </w:t>
      </w:r>
      <w:proofErr w:type="spellStart"/>
      <w:r w:rsidRPr="00052D27">
        <w:rPr>
          <w:spacing w:val="-3"/>
          <w:sz w:val="24"/>
          <w:szCs w:val="24"/>
        </w:rPr>
        <w:t>urica</w:t>
      </w:r>
      <w:proofErr w:type="spellEnd"/>
      <w:r w:rsidRPr="00052D27">
        <w:rPr>
          <w:spacing w:val="-3"/>
          <w:sz w:val="24"/>
          <w:szCs w:val="24"/>
        </w:rPr>
        <w:t>.</w:t>
      </w:r>
    </w:p>
    <w:p w:rsidR="009F6675" w:rsidRPr="00052D27" w:rsidRDefault="009F6675" w:rsidP="009F6675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</w:p>
    <w:p w:rsidR="009F6675" w:rsidRPr="00052D27" w:rsidRDefault="009F6675" w:rsidP="009F6675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proofErr w:type="spellStart"/>
      <w:r>
        <w:rPr>
          <w:spacing w:val="-3"/>
          <w:sz w:val="24"/>
          <w:szCs w:val="24"/>
        </w:rPr>
        <w:t>T</w:t>
      </w:r>
      <w:r w:rsidRPr="00052D27">
        <w:rPr>
          <w:spacing w:val="-3"/>
          <w:sz w:val="24"/>
          <w:szCs w:val="24"/>
        </w:rPr>
        <w:t>hiazid</w:t>
      </w:r>
      <w:r>
        <w:rPr>
          <w:spacing w:val="-3"/>
          <w:sz w:val="24"/>
          <w:szCs w:val="24"/>
        </w:rPr>
        <w:t>er</w:t>
      </w:r>
      <w:proofErr w:type="spellEnd"/>
      <w:r w:rsidRPr="00052D27">
        <w:rPr>
          <w:spacing w:val="-3"/>
          <w:sz w:val="24"/>
          <w:szCs w:val="24"/>
        </w:rPr>
        <w:t xml:space="preserve"> kan forværre eller aktivere systemisk lupus </w:t>
      </w:r>
      <w:proofErr w:type="spellStart"/>
      <w:r w:rsidRPr="00052D27">
        <w:rPr>
          <w:spacing w:val="-3"/>
          <w:sz w:val="24"/>
          <w:szCs w:val="24"/>
        </w:rPr>
        <w:t>erythematosus</w:t>
      </w:r>
      <w:proofErr w:type="spellEnd"/>
      <w:r w:rsidRPr="00052D27">
        <w:rPr>
          <w:spacing w:val="-3"/>
          <w:sz w:val="24"/>
          <w:szCs w:val="24"/>
        </w:rPr>
        <w:t>.</w:t>
      </w:r>
    </w:p>
    <w:p w:rsidR="009F6675" w:rsidRPr="00052D27" w:rsidRDefault="009F6675" w:rsidP="009F6675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</w:p>
    <w:p w:rsidR="009F6675" w:rsidRDefault="009F6675" w:rsidP="009F6675">
      <w:pPr>
        <w:tabs>
          <w:tab w:val="left" w:pos="0"/>
        </w:tabs>
        <w:ind w:left="851"/>
      </w:pPr>
      <w:proofErr w:type="spellStart"/>
      <w:r w:rsidRPr="00052D27">
        <w:rPr>
          <w:sz w:val="24"/>
          <w:szCs w:val="24"/>
        </w:rPr>
        <w:t>Bendroflumethiazid</w:t>
      </w:r>
      <w:proofErr w:type="spellEnd"/>
      <w:r w:rsidRPr="00052D27">
        <w:rPr>
          <w:sz w:val="24"/>
          <w:szCs w:val="24"/>
        </w:rPr>
        <w:t xml:space="preserve"> bør ikke anvendes i kombination med </w:t>
      </w:r>
      <w:proofErr w:type="spellStart"/>
      <w:r w:rsidRPr="00052D27">
        <w:rPr>
          <w:sz w:val="24"/>
          <w:szCs w:val="24"/>
        </w:rPr>
        <w:t>lithium</w:t>
      </w:r>
      <w:proofErr w:type="spellEnd"/>
      <w:r w:rsidRPr="00052D27">
        <w:rPr>
          <w:sz w:val="24"/>
          <w:szCs w:val="24"/>
        </w:rPr>
        <w:t>, se pkt. 4.5.</w:t>
      </w:r>
      <w:r w:rsidRPr="001C5F4D">
        <w:t xml:space="preserve"> </w:t>
      </w:r>
      <w:r>
        <w:t xml:space="preserve">Samtidig behandling kræver tæt monitorering af serum </w:t>
      </w:r>
      <w:proofErr w:type="spellStart"/>
      <w:r>
        <w:t>lithium</w:t>
      </w:r>
      <w:proofErr w:type="spellEnd"/>
      <w:r>
        <w:t xml:space="preserve"> niveauet. Lavere dosis af </w:t>
      </w:r>
      <w:proofErr w:type="spellStart"/>
      <w:r>
        <w:t>lithium</w:t>
      </w:r>
      <w:proofErr w:type="spellEnd"/>
      <w:r>
        <w:t xml:space="preserve"> kan være nødvendig.</w:t>
      </w:r>
    </w:p>
    <w:p w:rsidR="009F6675" w:rsidRDefault="009F6675" w:rsidP="009F6675">
      <w:pPr>
        <w:tabs>
          <w:tab w:val="left" w:pos="0"/>
        </w:tabs>
        <w:ind w:left="851"/>
        <w:rPr>
          <w:spacing w:val="-3"/>
          <w:sz w:val="24"/>
          <w:szCs w:val="24"/>
        </w:rPr>
      </w:pPr>
    </w:p>
    <w:p w:rsidR="009F6675" w:rsidRDefault="009F6675" w:rsidP="009F6675">
      <w:pPr>
        <w:tabs>
          <w:tab w:val="left" w:pos="0"/>
        </w:tabs>
        <w:ind w:left="851"/>
        <w:rPr>
          <w:spacing w:val="-3"/>
        </w:rPr>
      </w:pPr>
      <w:proofErr w:type="spellStart"/>
      <w:r w:rsidRPr="00052D27">
        <w:rPr>
          <w:spacing w:val="-3"/>
          <w:sz w:val="24"/>
          <w:szCs w:val="24"/>
        </w:rPr>
        <w:t>Kaliumchlorid</w:t>
      </w:r>
      <w:proofErr w:type="spellEnd"/>
      <w:r w:rsidRPr="00052D27">
        <w:rPr>
          <w:spacing w:val="-3"/>
          <w:sz w:val="24"/>
          <w:szCs w:val="24"/>
        </w:rPr>
        <w:t xml:space="preserve"> bør administreres med stor forsigtighed til patienter med hjertesygdomme eller tilstande, der kan føre til </w:t>
      </w:r>
      <w:proofErr w:type="spellStart"/>
      <w:r w:rsidRPr="00052D27">
        <w:rPr>
          <w:spacing w:val="-3"/>
          <w:sz w:val="24"/>
          <w:szCs w:val="24"/>
        </w:rPr>
        <w:t>hyperkaliæmi</w:t>
      </w:r>
      <w:proofErr w:type="spellEnd"/>
      <w:r w:rsidRPr="00052D27">
        <w:rPr>
          <w:spacing w:val="-3"/>
          <w:sz w:val="24"/>
          <w:szCs w:val="24"/>
        </w:rPr>
        <w:t>, som f.eks. nyre- eller binyrebarkinsufficiens, akut dehydrering eller omfattende vævsbeskadigelse, som optræder ved svære forbrændinger.</w:t>
      </w:r>
      <w:r w:rsidRPr="008D434C">
        <w:rPr>
          <w:spacing w:val="-3"/>
        </w:rPr>
        <w:t xml:space="preserve"> </w:t>
      </w:r>
      <w:proofErr w:type="gramStart"/>
      <w:r>
        <w:rPr>
          <w:spacing w:val="-3"/>
        </w:rPr>
        <w:t>Serum kaliumniveauet</w:t>
      </w:r>
      <w:proofErr w:type="gramEnd"/>
      <w:r>
        <w:rPr>
          <w:spacing w:val="-3"/>
        </w:rPr>
        <w:t xml:space="preserve"> bør monitoreres i patienter med nedsat hjerte- eller nyrefunktion.</w:t>
      </w:r>
    </w:p>
    <w:p w:rsidR="009F6675" w:rsidRPr="00052D27" w:rsidRDefault="009F6675" w:rsidP="009F6675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</w:p>
    <w:p w:rsidR="009F6675" w:rsidRPr="00052D27" w:rsidRDefault="009F6675" w:rsidP="009F6675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proofErr w:type="spellStart"/>
      <w:r w:rsidRPr="00052D27">
        <w:rPr>
          <w:spacing w:val="-3"/>
          <w:sz w:val="24"/>
          <w:szCs w:val="24"/>
        </w:rPr>
        <w:t>Kaliumchlorid</w:t>
      </w:r>
      <w:proofErr w:type="spellEnd"/>
      <w:r w:rsidRPr="00052D27">
        <w:rPr>
          <w:spacing w:val="-3"/>
          <w:sz w:val="24"/>
          <w:szCs w:val="24"/>
        </w:rPr>
        <w:t xml:space="preserve"> kan medføre </w:t>
      </w:r>
      <w:proofErr w:type="spellStart"/>
      <w:r w:rsidRPr="00052D27">
        <w:rPr>
          <w:spacing w:val="-3"/>
          <w:sz w:val="24"/>
          <w:szCs w:val="24"/>
        </w:rPr>
        <w:t>ulcerationer</w:t>
      </w:r>
      <w:proofErr w:type="spellEnd"/>
      <w:r w:rsidRPr="00052D27">
        <w:rPr>
          <w:spacing w:val="-3"/>
          <w:sz w:val="24"/>
          <w:szCs w:val="24"/>
        </w:rPr>
        <w:t xml:space="preserve"> i mavetarmkanalen, især i tyndtarmen. </w:t>
      </w:r>
      <w:proofErr w:type="spellStart"/>
      <w:r w:rsidRPr="00052D27">
        <w:rPr>
          <w:spacing w:val="-3"/>
          <w:sz w:val="24"/>
          <w:szCs w:val="24"/>
        </w:rPr>
        <w:t>Kaliumchlorid</w:t>
      </w:r>
      <w:proofErr w:type="spellEnd"/>
      <w:r w:rsidRPr="00052D27">
        <w:rPr>
          <w:spacing w:val="-3"/>
          <w:sz w:val="24"/>
          <w:szCs w:val="24"/>
        </w:rPr>
        <w:t xml:space="preserve"> bør administreres med forsigtighed til patienter, hvor passagen gennem </w:t>
      </w:r>
      <w:proofErr w:type="spellStart"/>
      <w:r w:rsidRPr="00052D27">
        <w:rPr>
          <w:spacing w:val="-3"/>
          <w:sz w:val="24"/>
          <w:szCs w:val="24"/>
        </w:rPr>
        <w:t>mave-tarmkanalen</w:t>
      </w:r>
      <w:proofErr w:type="spellEnd"/>
      <w:r w:rsidRPr="00052D27">
        <w:rPr>
          <w:spacing w:val="-3"/>
          <w:sz w:val="24"/>
          <w:szCs w:val="24"/>
        </w:rPr>
        <w:t xml:space="preserve"> er forsinket. Behandlingen skal seponeres, hvis der optræder kraftig kvalme, opkastning eller mavesmerter.</w:t>
      </w:r>
    </w:p>
    <w:p w:rsidR="009F6675" w:rsidRDefault="009F6675" w:rsidP="009F6675">
      <w:pPr>
        <w:ind w:left="851" w:hanging="851"/>
        <w:rPr>
          <w:i/>
          <w:spacing w:val="-3"/>
          <w:sz w:val="24"/>
          <w:szCs w:val="24"/>
        </w:rPr>
      </w:pPr>
    </w:p>
    <w:p w:rsidR="009F6675" w:rsidRDefault="009F6675" w:rsidP="009F6675">
      <w:pPr>
        <w:ind w:left="851"/>
        <w:rPr>
          <w:bCs/>
          <w:sz w:val="24"/>
          <w:szCs w:val="24"/>
        </w:rPr>
      </w:pPr>
      <w:proofErr w:type="spellStart"/>
      <w:r w:rsidRPr="00092E85">
        <w:rPr>
          <w:bCs/>
          <w:sz w:val="24"/>
          <w:szCs w:val="24"/>
          <w:u w:val="single"/>
        </w:rPr>
        <w:t>Choroidal</w:t>
      </w:r>
      <w:proofErr w:type="spellEnd"/>
      <w:r w:rsidRPr="00092E85">
        <w:rPr>
          <w:bCs/>
          <w:sz w:val="24"/>
          <w:szCs w:val="24"/>
          <w:u w:val="single"/>
        </w:rPr>
        <w:t xml:space="preserve"> </w:t>
      </w:r>
      <w:proofErr w:type="spellStart"/>
      <w:r w:rsidRPr="00092E85">
        <w:rPr>
          <w:bCs/>
          <w:sz w:val="24"/>
          <w:szCs w:val="24"/>
          <w:u w:val="single"/>
        </w:rPr>
        <w:t>effusion</w:t>
      </w:r>
      <w:proofErr w:type="spellEnd"/>
      <w:r w:rsidRPr="00092E85">
        <w:rPr>
          <w:bCs/>
          <w:sz w:val="24"/>
          <w:szCs w:val="24"/>
          <w:u w:val="single"/>
        </w:rPr>
        <w:t xml:space="preserve">, akut </w:t>
      </w:r>
      <w:proofErr w:type="spellStart"/>
      <w:r w:rsidRPr="00092E85">
        <w:rPr>
          <w:bCs/>
          <w:sz w:val="24"/>
          <w:szCs w:val="24"/>
          <w:u w:val="single"/>
        </w:rPr>
        <w:t>myopi</w:t>
      </w:r>
      <w:proofErr w:type="spellEnd"/>
      <w:r w:rsidRPr="00092E85">
        <w:rPr>
          <w:bCs/>
          <w:sz w:val="24"/>
          <w:szCs w:val="24"/>
          <w:u w:val="single"/>
        </w:rPr>
        <w:t xml:space="preserve"> og sekundært snævervinklet </w:t>
      </w:r>
      <w:proofErr w:type="spellStart"/>
      <w:r w:rsidRPr="00092E85">
        <w:rPr>
          <w:bCs/>
          <w:sz w:val="24"/>
          <w:szCs w:val="24"/>
          <w:u w:val="single"/>
        </w:rPr>
        <w:t>glaukom</w:t>
      </w:r>
      <w:proofErr w:type="spellEnd"/>
      <w:r w:rsidRPr="00F938D3">
        <w:rPr>
          <w:bCs/>
          <w:sz w:val="24"/>
          <w:szCs w:val="24"/>
        </w:rPr>
        <w:t>:</w:t>
      </w:r>
    </w:p>
    <w:p w:rsidR="009F6675" w:rsidRPr="00D16313" w:rsidRDefault="009F6675" w:rsidP="009F6675">
      <w:pPr>
        <w:ind w:left="851"/>
        <w:rPr>
          <w:spacing w:val="-3"/>
          <w:sz w:val="24"/>
          <w:szCs w:val="24"/>
        </w:rPr>
      </w:pPr>
      <w:r w:rsidRPr="00D16313">
        <w:rPr>
          <w:spacing w:val="-3"/>
          <w:sz w:val="24"/>
          <w:szCs w:val="24"/>
        </w:rPr>
        <w:t xml:space="preserve">Sulfonamid eller sulfonamid-afledte lægemidler kan forårsage en idiosynkratisk reaktion, der medfører </w:t>
      </w:r>
      <w:proofErr w:type="spellStart"/>
      <w:r w:rsidRPr="00D16313">
        <w:rPr>
          <w:spacing w:val="-3"/>
          <w:sz w:val="24"/>
          <w:szCs w:val="24"/>
        </w:rPr>
        <w:t>choroidal</w:t>
      </w:r>
      <w:proofErr w:type="spellEnd"/>
      <w:r w:rsidRPr="00D16313">
        <w:rPr>
          <w:spacing w:val="-3"/>
          <w:sz w:val="24"/>
          <w:szCs w:val="24"/>
        </w:rPr>
        <w:t xml:space="preserve"> </w:t>
      </w:r>
      <w:proofErr w:type="spellStart"/>
      <w:r w:rsidRPr="00D16313">
        <w:rPr>
          <w:spacing w:val="-3"/>
          <w:sz w:val="24"/>
          <w:szCs w:val="24"/>
        </w:rPr>
        <w:t>effusion</w:t>
      </w:r>
      <w:proofErr w:type="spellEnd"/>
      <w:r w:rsidRPr="00D16313">
        <w:rPr>
          <w:spacing w:val="-3"/>
          <w:sz w:val="24"/>
          <w:szCs w:val="24"/>
        </w:rPr>
        <w:t xml:space="preserve"> med synsfeltsdefekt, forbigående </w:t>
      </w:r>
      <w:proofErr w:type="spellStart"/>
      <w:r w:rsidRPr="00D16313">
        <w:rPr>
          <w:spacing w:val="-3"/>
          <w:sz w:val="24"/>
          <w:szCs w:val="24"/>
        </w:rPr>
        <w:t>myopi</w:t>
      </w:r>
      <w:proofErr w:type="spellEnd"/>
      <w:r w:rsidRPr="00D16313">
        <w:rPr>
          <w:spacing w:val="-3"/>
          <w:sz w:val="24"/>
          <w:szCs w:val="24"/>
        </w:rPr>
        <w:t xml:space="preserve"> og akut snævervinklet </w:t>
      </w:r>
      <w:proofErr w:type="spellStart"/>
      <w:r w:rsidRPr="00D16313">
        <w:rPr>
          <w:spacing w:val="-3"/>
          <w:sz w:val="24"/>
          <w:szCs w:val="24"/>
        </w:rPr>
        <w:t>glaukom</w:t>
      </w:r>
      <w:proofErr w:type="spellEnd"/>
      <w:r>
        <w:rPr>
          <w:spacing w:val="-3"/>
          <w:sz w:val="24"/>
          <w:szCs w:val="24"/>
        </w:rPr>
        <w:t>. Symptomer inkluderer akut</w:t>
      </w:r>
      <w:r w:rsidRPr="00B45E20">
        <w:rPr>
          <w:rFonts w:ascii="Arial" w:hAnsi="Arial" w:cs="Arial"/>
          <w:sz w:val="29"/>
          <w:szCs w:val="29"/>
          <w:lang w:eastAsia="da-DK"/>
        </w:rPr>
        <w:t xml:space="preserve"> </w:t>
      </w:r>
      <w:r w:rsidRPr="00D16313">
        <w:rPr>
          <w:spacing w:val="-3"/>
          <w:sz w:val="24"/>
          <w:szCs w:val="24"/>
        </w:rPr>
        <w:t xml:space="preserve">synsnedsættelse eller øjensmerter og opstår typisk inden for timer til uger efter behandlingsstart. Ubehandlet akut snævervinklet </w:t>
      </w:r>
      <w:proofErr w:type="spellStart"/>
      <w:r w:rsidRPr="00D16313">
        <w:rPr>
          <w:spacing w:val="-3"/>
          <w:sz w:val="24"/>
          <w:szCs w:val="24"/>
        </w:rPr>
        <w:t>glaukom</w:t>
      </w:r>
      <w:proofErr w:type="spellEnd"/>
      <w:r w:rsidRPr="00D16313">
        <w:rPr>
          <w:spacing w:val="-3"/>
          <w:sz w:val="24"/>
          <w:szCs w:val="24"/>
        </w:rPr>
        <w:t xml:space="preserve"> kan føre til permanent synstab.</w:t>
      </w:r>
    </w:p>
    <w:p w:rsidR="009F6675" w:rsidRPr="00D16313" w:rsidRDefault="009F6675" w:rsidP="009F6675">
      <w:pPr>
        <w:ind w:left="851"/>
        <w:rPr>
          <w:spacing w:val="-3"/>
          <w:sz w:val="24"/>
          <w:szCs w:val="24"/>
        </w:rPr>
      </w:pPr>
      <w:r w:rsidRPr="00D16313">
        <w:rPr>
          <w:spacing w:val="-3"/>
          <w:sz w:val="24"/>
          <w:szCs w:val="24"/>
        </w:rPr>
        <w:t xml:space="preserve">Primær behandling er </w:t>
      </w:r>
      <w:proofErr w:type="spellStart"/>
      <w:r w:rsidRPr="00D16313">
        <w:rPr>
          <w:spacing w:val="-3"/>
          <w:sz w:val="24"/>
          <w:szCs w:val="24"/>
        </w:rPr>
        <w:t>seponering</w:t>
      </w:r>
      <w:proofErr w:type="spellEnd"/>
      <w:r w:rsidRPr="00D16313">
        <w:rPr>
          <w:spacing w:val="-3"/>
          <w:sz w:val="24"/>
          <w:szCs w:val="24"/>
        </w:rPr>
        <w:t xml:space="preserve"> af </w:t>
      </w:r>
      <w:r>
        <w:rPr>
          <w:spacing w:val="-3"/>
          <w:sz w:val="24"/>
          <w:szCs w:val="24"/>
        </w:rPr>
        <w:t xml:space="preserve">lægemidlet </w:t>
      </w:r>
      <w:r w:rsidRPr="00D16313">
        <w:rPr>
          <w:spacing w:val="-3"/>
          <w:sz w:val="24"/>
          <w:szCs w:val="24"/>
        </w:rPr>
        <w:t xml:space="preserve">så hurtigt som muligt. Det kan være nødvendigt at overveje øjeblikkelig medicinsk eller kirurgisk behandling, hvis det </w:t>
      </w:r>
      <w:proofErr w:type="spellStart"/>
      <w:r w:rsidRPr="00D16313">
        <w:rPr>
          <w:spacing w:val="-3"/>
          <w:sz w:val="24"/>
          <w:szCs w:val="24"/>
        </w:rPr>
        <w:t>intraokulære</w:t>
      </w:r>
      <w:proofErr w:type="spellEnd"/>
      <w:r w:rsidRPr="00D16313">
        <w:rPr>
          <w:spacing w:val="-3"/>
          <w:sz w:val="24"/>
          <w:szCs w:val="24"/>
        </w:rPr>
        <w:t xml:space="preserve"> tryk ikke kommer under kontrol. Risikofaktorer for at udvikle akut snævervinklet </w:t>
      </w:r>
      <w:proofErr w:type="spellStart"/>
      <w:r w:rsidRPr="00D16313">
        <w:rPr>
          <w:spacing w:val="-3"/>
          <w:sz w:val="24"/>
          <w:szCs w:val="24"/>
        </w:rPr>
        <w:t>glaukom</w:t>
      </w:r>
      <w:proofErr w:type="spellEnd"/>
      <w:r w:rsidRPr="00D16313">
        <w:rPr>
          <w:spacing w:val="-3"/>
          <w:sz w:val="24"/>
          <w:szCs w:val="24"/>
        </w:rPr>
        <w:t xml:space="preserve"> kan inkludere sulfonamid- eller penicillinallergi i anamnesen.</w:t>
      </w:r>
    </w:p>
    <w:p w:rsidR="009F6675" w:rsidRPr="00052D27" w:rsidRDefault="009F6675" w:rsidP="009F6675">
      <w:pPr>
        <w:ind w:left="851" w:hanging="851"/>
        <w:rPr>
          <w:i/>
          <w:spacing w:val="-3"/>
          <w:sz w:val="24"/>
          <w:szCs w:val="24"/>
        </w:rPr>
      </w:pPr>
    </w:p>
    <w:p w:rsidR="009F6675" w:rsidRPr="00052D27" w:rsidRDefault="009F6675" w:rsidP="009F6675">
      <w:pPr>
        <w:ind w:left="851"/>
        <w:rPr>
          <w:spacing w:val="-3"/>
          <w:sz w:val="24"/>
          <w:szCs w:val="24"/>
        </w:rPr>
      </w:pPr>
      <w:proofErr w:type="spellStart"/>
      <w:r w:rsidRPr="00052D27">
        <w:rPr>
          <w:sz w:val="24"/>
          <w:szCs w:val="24"/>
        </w:rPr>
        <w:t>Bendroza</w:t>
      </w:r>
      <w:proofErr w:type="spellEnd"/>
      <w:r w:rsidRPr="00052D27">
        <w:rPr>
          <w:sz w:val="24"/>
          <w:szCs w:val="24"/>
        </w:rPr>
        <w:t xml:space="preserve"> indeholder </w:t>
      </w:r>
      <w:proofErr w:type="spellStart"/>
      <w:r w:rsidRPr="00052D27">
        <w:rPr>
          <w:sz w:val="24"/>
          <w:szCs w:val="24"/>
        </w:rPr>
        <w:t>saccharose</w:t>
      </w:r>
      <w:proofErr w:type="spellEnd"/>
      <w:r w:rsidRPr="00052D27">
        <w:rPr>
          <w:sz w:val="24"/>
          <w:szCs w:val="24"/>
        </w:rPr>
        <w:t xml:space="preserve"> og bø</w:t>
      </w:r>
      <w:r w:rsidRPr="00052D27">
        <w:rPr>
          <w:spacing w:val="-3"/>
          <w:sz w:val="24"/>
          <w:szCs w:val="24"/>
        </w:rPr>
        <w:t xml:space="preserve">r ikke anvendes til patienter med </w:t>
      </w:r>
      <w:r>
        <w:rPr>
          <w:spacing w:val="-3"/>
          <w:sz w:val="24"/>
          <w:szCs w:val="24"/>
        </w:rPr>
        <w:t>hereditær</w:t>
      </w:r>
      <w:r w:rsidRPr="00052D27">
        <w:rPr>
          <w:spacing w:val="-3"/>
          <w:sz w:val="24"/>
          <w:szCs w:val="24"/>
        </w:rPr>
        <w:t xml:space="preserve"> </w:t>
      </w:r>
      <w:proofErr w:type="spellStart"/>
      <w:r w:rsidRPr="00052D27">
        <w:rPr>
          <w:spacing w:val="-3"/>
          <w:sz w:val="24"/>
          <w:szCs w:val="24"/>
        </w:rPr>
        <w:t>fructoseintolerans</w:t>
      </w:r>
      <w:proofErr w:type="spellEnd"/>
      <w:r w:rsidRPr="00052D27">
        <w:rPr>
          <w:spacing w:val="-3"/>
          <w:sz w:val="24"/>
          <w:szCs w:val="24"/>
        </w:rPr>
        <w:t xml:space="preserve">, </w:t>
      </w:r>
      <w:proofErr w:type="spellStart"/>
      <w:r w:rsidRPr="00052D27">
        <w:rPr>
          <w:spacing w:val="-3"/>
          <w:sz w:val="24"/>
          <w:szCs w:val="24"/>
        </w:rPr>
        <w:t>glucose</w:t>
      </w:r>
      <w:proofErr w:type="spellEnd"/>
      <w:r w:rsidRPr="00052D27">
        <w:rPr>
          <w:spacing w:val="-3"/>
          <w:sz w:val="24"/>
          <w:szCs w:val="24"/>
        </w:rPr>
        <w:t>/</w:t>
      </w:r>
      <w:proofErr w:type="spellStart"/>
      <w:r w:rsidRPr="00052D27">
        <w:rPr>
          <w:spacing w:val="-3"/>
          <w:sz w:val="24"/>
          <w:szCs w:val="24"/>
        </w:rPr>
        <w:t>galactosemalabsorption</w:t>
      </w:r>
      <w:proofErr w:type="spellEnd"/>
      <w:r w:rsidRPr="00052D27">
        <w:rPr>
          <w:spacing w:val="-3"/>
          <w:sz w:val="24"/>
          <w:szCs w:val="24"/>
        </w:rPr>
        <w:t xml:space="preserve"> og </w:t>
      </w:r>
      <w:proofErr w:type="spellStart"/>
      <w:r w:rsidRPr="00052D27">
        <w:rPr>
          <w:spacing w:val="-3"/>
          <w:sz w:val="24"/>
          <w:szCs w:val="24"/>
        </w:rPr>
        <w:t>sucrase-isomaltasemangel</w:t>
      </w:r>
      <w:proofErr w:type="spellEnd"/>
      <w:r w:rsidRPr="00052D27">
        <w:rPr>
          <w:spacing w:val="-3"/>
          <w:sz w:val="24"/>
          <w:szCs w:val="24"/>
        </w:rPr>
        <w:t>.</w:t>
      </w:r>
    </w:p>
    <w:p w:rsidR="00CD2EF4" w:rsidRPr="00052D27" w:rsidRDefault="00CD2EF4" w:rsidP="009F6675">
      <w:pPr>
        <w:tabs>
          <w:tab w:val="left" w:pos="0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4.5</w:t>
      </w:r>
      <w:r w:rsidRPr="00052D27">
        <w:rPr>
          <w:b/>
          <w:sz w:val="24"/>
          <w:szCs w:val="24"/>
        </w:rPr>
        <w:tab/>
        <w:t>Interaktion med andre lægemidler og andre former for interaktion</w:t>
      </w:r>
    </w:p>
    <w:p w:rsidR="009F6675" w:rsidRPr="00092E85" w:rsidRDefault="009F6675" w:rsidP="009F6675">
      <w:pPr>
        <w:tabs>
          <w:tab w:val="left" w:pos="0"/>
        </w:tabs>
        <w:ind w:left="851"/>
        <w:rPr>
          <w:spacing w:val="-3"/>
          <w:sz w:val="24"/>
          <w:szCs w:val="24"/>
          <w:u w:val="single"/>
        </w:rPr>
      </w:pPr>
      <w:proofErr w:type="spellStart"/>
      <w:r w:rsidRPr="00092E85">
        <w:rPr>
          <w:spacing w:val="-3"/>
          <w:sz w:val="24"/>
          <w:szCs w:val="24"/>
          <w:u w:val="single"/>
        </w:rPr>
        <w:t>Lithium</w:t>
      </w:r>
      <w:proofErr w:type="spellEnd"/>
    </w:p>
    <w:p w:rsidR="009F6675" w:rsidRDefault="009F6675" w:rsidP="009F6675">
      <w:pPr>
        <w:tabs>
          <w:tab w:val="left" w:pos="0"/>
        </w:tabs>
        <w:ind w:left="851"/>
        <w:rPr>
          <w:spacing w:val="-3"/>
        </w:rPr>
      </w:pPr>
      <w:proofErr w:type="spellStart"/>
      <w:r w:rsidRPr="00052D27">
        <w:rPr>
          <w:spacing w:val="-3"/>
          <w:sz w:val="24"/>
          <w:szCs w:val="24"/>
        </w:rPr>
        <w:t>Bendroflumethiazid</w:t>
      </w:r>
      <w:proofErr w:type="spellEnd"/>
      <w:r w:rsidRPr="00052D27">
        <w:rPr>
          <w:spacing w:val="-3"/>
          <w:sz w:val="24"/>
          <w:szCs w:val="24"/>
        </w:rPr>
        <w:t xml:space="preserve"> hæmmer eliminationen af </w:t>
      </w:r>
      <w:proofErr w:type="spellStart"/>
      <w:r w:rsidRPr="00052D27">
        <w:rPr>
          <w:spacing w:val="-3"/>
          <w:sz w:val="24"/>
          <w:szCs w:val="24"/>
        </w:rPr>
        <w:t>lithium</w:t>
      </w:r>
      <w:proofErr w:type="spellEnd"/>
      <w:r w:rsidRPr="00052D27">
        <w:rPr>
          <w:spacing w:val="-3"/>
          <w:sz w:val="24"/>
          <w:szCs w:val="24"/>
        </w:rPr>
        <w:t xml:space="preserve">, hvilket resulterer i høje serumniveauer af </w:t>
      </w:r>
      <w:proofErr w:type="spellStart"/>
      <w:r w:rsidRPr="00052D27">
        <w:rPr>
          <w:spacing w:val="-3"/>
          <w:sz w:val="24"/>
          <w:szCs w:val="24"/>
        </w:rPr>
        <w:t>lithium</w:t>
      </w:r>
      <w:proofErr w:type="spellEnd"/>
      <w:r>
        <w:rPr>
          <w:spacing w:val="-3"/>
          <w:sz w:val="24"/>
          <w:szCs w:val="24"/>
        </w:rPr>
        <w:t xml:space="preserve"> og risiko for </w:t>
      </w:r>
      <w:proofErr w:type="spellStart"/>
      <w:r>
        <w:rPr>
          <w:spacing w:val="-3"/>
          <w:sz w:val="24"/>
          <w:szCs w:val="24"/>
        </w:rPr>
        <w:t>lithium</w:t>
      </w:r>
      <w:proofErr w:type="spellEnd"/>
      <w:r>
        <w:rPr>
          <w:spacing w:val="-3"/>
          <w:sz w:val="24"/>
          <w:szCs w:val="24"/>
        </w:rPr>
        <w:t xml:space="preserve"> toksicitet (svaghed, </w:t>
      </w:r>
      <w:proofErr w:type="spellStart"/>
      <w:r>
        <w:rPr>
          <w:spacing w:val="-3"/>
          <w:sz w:val="24"/>
          <w:szCs w:val="24"/>
        </w:rPr>
        <w:t>tremor</w:t>
      </w:r>
      <w:proofErr w:type="spellEnd"/>
      <w:r>
        <w:rPr>
          <w:spacing w:val="-3"/>
          <w:sz w:val="24"/>
          <w:szCs w:val="24"/>
        </w:rPr>
        <w:t>, udtalt tørst og konfusion) (se pkt. 4.4)</w:t>
      </w:r>
      <w:r w:rsidRPr="00052D27">
        <w:rPr>
          <w:spacing w:val="-3"/>
          <w:sz w:val="24"/>
          <w:szCs w:val="24"/>
        </w:rPr>
        <w:t xml:space="preserve">. </w:t>
      </w:r>
      <w:r>
        <w:t>Samtidig behandling kræver tæt monitorering af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lithium</w:t>
      </w:r>
      <w:proofErr w:type="spellEnd"/>
      <w:r>
        <w:rPr>
          <w:spacing w:val="-3"/>
        </w:rPr>
        <w:t xml:space="preserve">-niveauet i serum. </w:t>
      </w:r>
      <w:r>
        <w:t xml:space="preserve">Lavere dosis af </w:t>
      </w:r>
      <w:proofErr w:type="spellStart"/>
      <w:r>
        <w:t>lithium</w:t>
      </w:r>
      <w:proofErr w:type="spellEnd"/>
      <w:r>
        <w:t xml:space="preserve"> kan være nødvendig.</w:t>
      </w:r>
    </w:p>
    <w:p w:rsidR="009F6675" w:rsidRPr="00052D27" w:rsidRDefault="009F6675" w:rsidP="009F6675">
      <w:pPr>
        <w:tabs>
          <w:tab w:val="left" w:pos="0"/>
        </w:tabs>
        <w:ind w:left="851"/>
        <w:rPr>
          <w:spacing w:val="-3"/>
          <w:sz w:val="24"/>
          <w:szCs w:val="24"/>
        </w:rPr>
      </w:pPr>
    </w:p>
    <w:p w:rsidR="009F6675" w:rsidRPr="00092E85" w:rsidRDefault="009F6675" w:rsidP="009F6675">
      <w:pPr>
        <w:tabs>
          <w:tab w:val="left" w:pos="0"/>
        </w:tabs>
        <w:ind w:left="851"/>
        <w:rPr>
          <w:spacing w:val="-3"/>
          <w:sz w:val="24"/>
          <w:szCs w:val="24"/>
          <w:u w:val="single"/>
        </w:rPr>
      </w:pPr>
      <w:r w:rsidRPr="00092E85">
        <w:rPr>
          <w:spacing w:val="-3"/>
          <w:sz w:val="24"/>
          <w:szCs w:val="24"/>
          <w:u w:val="single"/>
        </w:rPr>
        <w:t>NSAID</w:t>
      </w:r>
    </w:p>
    <w:p w:rsidR="009F6675" w:rsidRPr="00052D27" w:rsidRDefault="009F6675" w:rsidP="009F6675">
      <w:pPr>
        <w:tabs>
          <w:tab w:val="left" w:pos="0"/>
        </w:tabs>
        <w:ind w:left="851"/>
        <w:rPr>
          <w:spacing w:val="-3"/>
          <w:sz w:val="24"/>
          <w:szCs w:val="24"/>
        </w:rPr>
      </w:pPr>
      <w:r w:rsidRPr="004F098E">
        <w:rPr>
          <w:spacing w:val="-3"/>
          <w:sz w:val="24"/>
          <w:szCs w:val="24"/>
        </w:rPr>
        <w:t>Non-</w:t>
      </w:r>
      <w:proofErr w:type="spellStart"/>
      <w:r w:rsidRPr="004F098E">
        <w:rPr>
          <w:spacing w:val="-3"/>
          <w:sz w:val="24"/>
          <w:szCs w:val="24"/>
        </w:rPr>
        <w:t>steroide</w:t>
      </w:r>
      <w:proofErr w:type="spellEnd"/>
      <w:r w:rsidRPr="004F098E">
        <w:rPr>
          <w:spacing w:val="-3"/>
          <w:sz w:val="24"/>
          <w:szCs w:val="24"/>
        </w:rPr>
        <w:t xml:space="preserve"> anti-inflammatoriske lægemidler (NSAID) </w:t>
      </w:r>
      <w:proofErr w:type="spellStart"/>
      <w:r w:rsidRPr="004F098E">
        <w:rPr>
          <w:spacing w:val="-3"/>
          <w:sz w:val="24"/>
          <w:szCs w:val="24"/>
        </w:rPr>
        <w:t>antagoniserer</w:t>
      </w:r>
      <w:proofErr w:type="spellEnd"/>
      <w:r w:rsidRPr="004F098E">
        <w:rPr>
          <w:spacing w:val="-3"/>
          <w:sz w:val="24"/>
          <w:szCs w:val="24"/>
        </w:rPr>
        <w:t xml:space="preserve"> den diuretiske effekt af </w:t>
      </w:r>
      <w:proofErr w:type="spellStart"/>
      <w:r w:rsidRPr="004F098E">
        <w:rPr>
          <w:spacing w:val="-3"/>
          <w:sz w:val="24"/>
          <w:szCs w:val="24"/>
        </w:rPr>
        <w:t>bendroflumethiazid</w:t>
      </w:r>
      <w:proofErr w:type="spellEnd"/>
      <w:r w:rsidRPr="004F098E">
        <w:rPr>
          <w:spacing w:val="-3"/>
          <w:sz w:val="24"/>
          <w:szCs w:val="24"/>
        </w:rPr>
        <w:t xml:space="preserve"> ved at nedsætte den </w:t>
      </w:r>
      <w:proofErr w:type="spellStart"/>
      <w:r w:rsidRPr="004F098E">
        <w:rPr>
          <w:spacing w:val="-3"/>
          <w:sz w:val="24"/>
          <w:szCs w:val="24"/>
        </w:rPr>
        <w:t>renale</w:t>
      </w:r>
      <w:proofErr w:type="spellEnd"/>
      <w:r w:rsidRPr="004F098E">
        <w:rPr>
          <w:spacing w:val="-3"/>
          <w:sz w:val="24"/>
          <w:szCs w:val="24"/>
        </w:rPr>
        <w:t xml:space="preserve"> </w:t>
      </w:r>
      <w:proofErr w:type="spellStart"/>
      <w:r w:rsidRPr="004F098E">
        <w:rPr>
          <w:spacing w:val="-3"/>
          <w:sz w:val="24"/>
          <w:szCs w:val="24"/>
        </w:rPr>
        <w:t>prostaglandin</w:t>
      </w:r>
      <w:proofErr w:type="spellEnd"/>
      <w:r w:rsidRPr="004F098E">
        <w:rPr>
          <w:spacing w:val="-3"/>
          <w:sz w:val="24"/>
          <w:szCs w:val="24"/>
        </w:rPr>
        <w:t xml:space="preserve"> produktion. Effekten af samtidig </w:t>
      </w:r>
      <w:r w:rsidRPr="004F098E">
        <w:rPr>
          <w:spacing w:val="-3"/>
          <w:sz w:val="24"/>
          <w:szCs w:val="24"/>
        </w:rPr>
        <w:lastRenderedPageBreak/>
        <w:t xml:space="preserve">behandling bør monitoreres (fx blodtryk, tegn på nyresvigt) og </w:t>
      </w:r>
      <w:proofErr w:type="spellStart"/>
      <w:r w:rsidRPr="004F098E">
        <w:rPr>
          <w:spacing w:val="-3"/>
          <w:sz w:val="24"/>
          <w:szCs w:val="24"/>
        </w:rPr>
        <w:t>bendroflumethiazid</w:t>
      </w:r>
      <w:proofErr w:type="spellEnd"/>
      <w:r w:rsidRPr="004F098E">
        <w:rPr>
          <w:spacing w:val="-3"/>
          <w:sz w:val="24"/>
          <w:szCs w:val="24"/>
        </w:rPr>
        <w:t xml:space="preserve"> dosis justeres om nødvendigt.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Diuretika</w:t>
      </w:r>
      <w:proofErr w:type="spellEnd"/>
      <w:r w:rsidRPr="00052D27">
        <w:rPr>
          <w:spacing w:val="-3"/>
          <w:sz w:val="24"/>
          <w:szCs w:val="24"/>
        </w:rPr>
        <w:t xml:space="preserve"> kan øge </w:t>
      </w:r>
      <w:proofErr w:type="spellStart"/>
      <w:r w:rsidRPr="00052D27">
        <w:rPr>
          <w:spacing w:val="-3"/>
          <w:sz w:val="24"/>
          <w:szCs w:val="24"/>
        </w:rPr>
        <w:t>nefrotoksi</w:t>
      </w:r>
      <w:r>
        <w:rPr>
          <w:spacing w:val="-3"/>
          <w:sz w:val="24"/>
          <w:szCs w:val="24"/>
        </w:rPr>
        <w:t>c</w:t>
      </w:r>
      <w:r w:rsidRPr="00052D27">
        <w:rPr>
          <w:spacing w:val="-3"/>
          <w:sz w:val="24"/>
          <w:szCs w:val="24"/>
        </w:rPr>
        <w:t>iteten</w:t>
      </w:r>
      <w:proofErr w:type="spellEnd"/>
      <w:r w:rsidRPr="00052D27">
        <w:rPr>
          <w:spacing w:val="-3"/>
          <w:sz w:val="24"/>
          <w:szCs w:val="24"/>
        </w:rPr>
        <w:t xml:space="preserve"> af NSAID.</w:t>
      </w:r>
    </w:p>
    <w:p w:rsidR="009F6675" w:rsidRPr="00052D27" w:rsidRDefault="009F6675" w:rsidP="009F6675">
      <w:pPr>
        <w:tabs>
          <w:tab w:val="left" w:pos="0"/>
        </w:tabs>
        <w:ind w:left="851"/>
        <w:rPr>
          <w:spacing w:val="-3"/>
          <w:sz w:val="24"/>
          <w:szCs w:val="24"/>
        </w:rPr>
      </w:pPr>
    </w:p>
    <w:p w:rsidR="009F6675" w:rsidRPr="00052D27" w:rsidRDefault="009F6675" w:rsidP="009F6675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proofErr w:type="spellStart"/>
      <w:r w:rsidRPr="00052D27">
        <w:rPr>
          <w:spacing w:val="-3"/>
          <w:sz w:val="24"/>
          <w:szCs w:val="24"/>
        </w:rPr>
        <w:t>Probenecid</w:t>
      </w:r>
      <w:proofErr w:type="spellEnd"/>
      <w:r w:rsidRPr="00052D27">
        <w:rPr>
          <w:spacing w:val="-3"/>
          <w:sz w:val="24"/>
          <w:szCs w:val="24"/>
        </w:rPr>
        <w:t xml:space="preserve"> hæmmer den </w:t>
      </w:r>
      <w:proofErr w:type="spellStart"/>
      <w:r w:rsidRPr="00052D27">
        <w:rPr>
          <w:spacing w:val="-3"/>
          <w:sz w:val="24"/>
          <w:szCs w:val="24"/>
        </w:rPr>
        <w:t>renale</w:t>
      </w:r>
      <w:proofErr w:type="spellEnd"/>
      <w:r w:rsidRPr="00052D27">
        <w:rPr>
          <w:spacing w:val="-3"/>
          <w:sz w:val="24"/>
          <w:szCs w:val="24"/>
        </w:rPr>
        <w:t xml:space="preserve"> </w:t>
      </w:r>
      <w:proofErr w:type="spellStart"/>
      <w:r w:rsidRPr="00052D27">
        <w:rPr>
          <w:spacing w:val="-3"/>
          <w:sz w:val="24"/>
          <w:szCs w:val="24"/>
        </w:rPr>
        <w:t>tubulære</w:t>
      </w:r>
      <w:proofErr w:type="spellEnd"/>
      <w:r w:rsidRPr="00052D27">
        <w:rPr>
          <w:spacing w:val="-3"/>
          <w:sz w:val="24"/>
          <w:szCs w:val="24"/>
        </w:rPr>
        <w:t xml:space="preserve"> sekretion af </w:t>
      </w:r>
      <w:proofErr w:type="spellStart"/>
      <w:r w:rsidRPr="00052D27">
        <w:rPr>
          <w:spacing w:val="-3"/>
          <w:sz w:val="24"/>
          <w:szCs w:val="24"/>
        </w:rPr>
        <w:t>bendroflumethiazid</w:t>
      </w:r>
      <w:proofErr w:type="spellEnd"/>
      <w:r w:rsidRPr="00052D27">
        <w:rPr>
          <w:spacing w:val="-3"/>
          <w:sz w:val="24"/>
          <w:szCs w:val="24"/>
        </w:rPr>
        <w:t>, hvilket kan have en moderat indflydelse på diuresen.</w:t>
      </w:r>
    </w:p>
    <w:p w:rsidR="009F6675" w:rsidRPr="00052D27" w:rsidRDefault="009F6675" w:rsidP="009F6675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</w:p>
    <w:p w:rsidR="009F6675" w:rsidRDefault="009F6675" w:rsidP="009F6675">
      <w:pPr>
        <w:autoSpaceDE w:val="0"/>
        <w:autoSpaceDN w:val="0"/>
        <w:adjustRightInd w:val="0"/>
        <w:ind w:left="851"/>
        <w:rPr>
          <w:rFonts w:ascii="TimesNewRoman" w:hAnsi="TimesNewRoman" w:cs="TimesNewRoman"/>
          <w:u w:val="single"/>
        </w:rPr>
      </w:pPr>
      <w:proofErr w:type="spellStart"/>
      <w:r>
        <w:rPr>
          <w:rFonts w:ascii="TimesNewRoman" w:hAnsi="TimesNewRoman" w:cs="TimesNewRoman"/>
          <w:u w:val="single"/>
        </w:rPr>
        <w:t>Antiarytmika</w:t>
      </w:r>
      <w:proofErr w:type="spellEnd"/>
    </w:p>
    <w:p w:rsidR="009F6675" w:rsidRDefault="009F6675" w:rsidP="009F6675">
      <w:pPr>
        <w:autoSpaceDE w:val="0"/>
        <w:autoSpaceDN w:val="0"/>
        <w:adjustRightInd w:val="0"/>
        <w:ind w:left="851"/>
        <w:rPr>
          <w:rFonts w:ascii="TimesNewRoman" w:hAnsi="TimesNewRoman" w:cs="TimesNewRoman"/>
        </w:rPr>
      </w:pPr>
      <w:r w:rsidRPr="00092E85">
        <w:rPr>
          <w:rFonts w:ascii="TimesNewRoman" w:hAnsi="TimesNewRoman" w:cs="TimesNewRoman"/>
        </w:rPr>
        <w:t xml:space="preserve">Samtidig brug af </w:t>
      </w:r>
      <w:proofErr w:type="spellStart"/>
      <w:r w:rsidRPr="00092E85">
        <w:rPr>
          <w:rFonts w:ascii="TimesNewRoman" w:hAnsi="TimesNewRoman" w:cs="TimesNewRoman"/>
        </w:rPr>
        <w:t>bendroflumethiazid</w:t>
      </w:r>
      <w:proofErr w:type="spellEnd"/>
      <w:r w:rsidRPr="00092E85">
        <w:rPr>
          <w:rFonts w:ascii="TimesNewRoman" w:hAnsi="TimesNewRoman" w:cs="TimesNewRoman"/>
        </w:rPr>
        <w:t xml:space="preserve"> og klasse Ic og III </w:t>
      </w:r>
      <w:proofErr w:type="spellStart"/>
      <w:r w:rsidRPr="00092E85">
        <w:rPr>
          <w:rFonts w:ascii="TimesNewRoman" w:hAnsi="TimesNewRoman" w:cs="TimesNewRoman"/>
        </w:rPr>
        <w:t>antiarytmiske</w:t>
      </w:r>
      <w:proofErr w:type="spellEnd"/>
      <w:r w:rsidRPr="00092E85">
        <w:rPr>
          <w:rFonts w:ascii="TimesNewRoman" w:hAnsi="TimesNewRoman" w:cs="TimesNewRoman"/>
        </w:rPr>
        <w:t xml:space="preserve"> lægemidler kan resultere i en øget risiko for elektrolytforstyrrelser og efterfølgende </w:t>
      </w:r>
      <w:proofErr w:type="spellStart"/>
      <w:r w:rsidRPr="00092E85">
        <w:rPr>
          <w:rFonts w:ascii="TimesNewRoman" w:hAnsi="TimesNewRoman" w:cs="TimesNewRoman"/>
        </w:rPr>
        <w:t>kardiotoksicitet</w:t>
      </w:r>
      <w:proofErr w:type="spellEnd"/>
      <w:r w:rsidRPr="00092E85">
        <w:rPr>
          <w:rFonts w:ascii="TimesNewRoman" w:hAnsi="TimesNewRoman" w:cs="TimesNewRoman"/>
        </w:rPr>
        <w:t xml:space="preserve"> (QT-forlængelse, </w:t>
      </w:r>
      <w:proofErr w:type="spellStart"/>
      <w:r w:rsidRPr="00092E85">
        <w:rPr>
          <w:rFonts w:ascii="TimesNewRoman" w:hAnsi="TimesNewRoman" w:cs="TimesNewRoman"/>
        </w:rPr>
        <w:t>torsades</w:t>
      </w:r>
      <w:proofErr w:type="spellEnd"/>
      <w:r w:rsidRPr="00092E85">
        <w:rPr>
          <w:rFonts w:ascii="TimesNewRoman" w:hAnsi="TimesNewRoman" w:cs="TimesNewRoman"/>
        </w:rPr>
        <w:t xml:space="preserve"> de pointes, hjertestop). Patienters elektrolytniveauer og symptomer på </w:t>
      </w:r>
      <w:proofErr w:type="spellStart"/>
      <w:r w:rsidRPr="00092E85">
        <w:rPr>
          <w:rFonts w:ascii="TimesNewRoman" w:hAnsi="TimesNewRoman" w:cs="TimesNewRoman"/>
        </w:rPr>
        <w:t>arytmier</w:t>
      </w:r>
      <w:proofErr w:type="spellEnd"/>
      <w:r w:rsidRPr="00092E85">
        <w:rPr>
          <w:rFonts w:ascii="TimesNewRoman" w:hAnsi="TimesNewRoman" w:cs="TimesNewRoman"/>
        </w:rPr>
        <w:t xml:space="preserve"> bør monitoreres.</w:t>
      </w:r>
    </w:p>
    <w:p w:rsidR="009F6675" w:rsidRDefault="009F6675" w:rsidP="009F6675">
      <w:pPr>
        <w:tabs>
          <w:tab w:val="left" w:pos="0"/>
        </w:tabs>
        <w:ind w:left="851"/>
        <w:rPr>
          <w:spacing w:val="-3"/>
          <w:sz w:val="24"/>
          <w:szCs w:val="24"/>
        </w:rPr>
      </w:pPr>
    </w:p>
    <w:p w:rsidR="009F6675" w:rsidRDefault="009F6675" w:rsidP="009F6675">
      <w:pPr>
        <w:keepNext/>
        <w:autoSpaceDE w:val="0"/>
        <w:autoSpaceDN w:val="0"/>
        <w:adjustRightInd w:val="0"/>
        <w:ind w:left="851"/>
        <w:rPr>
          <w:rFonts w:ascii="TimesNewRoman" w:hAnsi="TimesNewRoman" w:cs="TimesNewRoman"/>
          <w:u w:val="single"/>
        </w:rPr>
      </w:pPr>
      <w:proofErr w:type="spellStart"/>
      <w:r>
        <w:rPr>
          <w:rFonts w:ascii="TimesNewRoman" w:hAnsi="TimesNewRoman" w:cs="TimesNewRoman"/>
          <w:u w:val="single"/>
        </w:rPr>
        <w:t>Digitalisglycosider</w:t>
      </w:r>
      <w:proofErr w:type="spellEnd"/>
    </w:p>
    <w:p w:rsidR="009F6675" w:rsidRDefault="009F6675" w:rsidP="009F6675">
      <w:pPr>
        <w:autoSpaceDE w:val="0"/>
        <w:autoSpaceDN w:val="0"/>
        <w:adjustRightInd w:val="0"/>
        <w:ind w:left="851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Den </w:t>
      </w:r>
      <w:proofErr w:type="spellStart"/>
      <w:r>
        <w:rPr>
          <w:rFonts w:ascii="TimesNewRoman" w:hAnsi="TimesNewRoman" w:cs="TimesNewRoman"/>
        </w:rPr>
        <w:t>hypokaliæmiske</w:t>
      </w:r>
      <w:proofErr w:type="spellEnd"/>
      <w:r>
        <w:rPr>
          <w:rFonts w:ascii="TimesNewRoman" w:hAnsi="TimesNewRoman" w:cs="TimesNewRoman"/>
        </w:rPr>
        <w:t xml:space="preserve"> effekt af </w:t>
      </w:r>
      <w:proofErr w:type="spellStart"/>
      <w:r>
        <w:rPr>
          <w:rFonts w:ascii="TimesNewRoman" w:hAnsi="TimesNewRoman" w:cs="TimesNewRoman"/>
        </w:rPr>
        <w:t>bendroflumethiazid</w:t>
      </w:r>
      <w:proofErr w:type="spellEnd"/>
      <w:r>
        <w:rPr>
          <w:rFonts w:ascii="TimesNewRoman" w:hAnsi="TimesNewRoman" w:cs="TimesNewRoman"/>
        </w:rPr>
        <w:t xml:space="preserve"> kan øge Na+-K+-</w:t>
      </w:r>
      <w:proofErr w:type="spellStart"/>
      <w:r>
        <w:rPr>
          <w:rFonts w:ascii="TimesNewRoman" w:hAnsi="TimesNewRoman" w:cs="TimesNewRoman"/>
        </w:rPr>
        <w:t>ATPase</w:t>
      </w:r>
      <w:proofErr w:type="spellEnd"/>
      <w:r>
        <w:rPr>
          <w:rFonts w:ascii="TimesNewRoman" w:hAnsi="TimesNewRoman" w:cs="TimesNewRoman"/>
        </w:rPr>
        <w:t xml:space="preserve"> hæmningen forårsaget af </w:t>
      </w:r>
      <w:proofErr w:type="spellStart"/>
      <w:r>
        <w:rPr>
          <w:rFonts w:ascii="TimesNewRoman" w:hAnsi="TimesNewRoman" w:cs="TimesNewRoman"/>
        </w:rPr>
        <w:t>digitalisglycosider</w:t>
      </w:r>
      <w:proofErr w:type="spellEnd"/>
      <w:r>
        <w:rPr>
          <w:rFonts w:ascii="TimesNewRoman" w:hAnsi="TimesNewRoman" w:cs="TimesNewRoman"/>
        </w:rPr>
        <w:t xml:space="preserve">. Samtidig behandling kan resultere i </w:t>
      </w:r>
      <w:proofErr w:type="spellStart"/>
      <w:r>
        <w:rPr>
          <w:rFonts w:ascii="TimesNewRoman" w:hAnsi="TimesNewRoman" w:cs="TimesNewRoman"/>
        </w:rPr>
        <w:t>digoxintoksicitet</w:t>
      </w:r>
      <w:proofErr w:type="spellEnd"/>
      <w:r>
        <w:rPr>
          <w:rFonts w:ascii="TimesNewRoman" w:hAnsi="TimesNewRoman" w:cs="TimesNewRoman"/>
        </w:rPr>
        <w:t xml:space="preserve"> (kvalme, opkastning, </w:t>
      </w:r>
      <w:proofErr w:type="spellStart"/>
      <w:r>
        <w:rPr>
          <w:rFonts w:ascii="TimesNewRoman" w:hAnsi="TimesNewRoman" w:cs="TimesNewRoman"/>
        </w:rPr>
        <w:t>arytmi</w:t>
      </w:r>
      <w:proofErr w:type="spellEnd"/>
      <w:r>
        <w:rPr>
          <w:rFonts w:ascii="TimesNewRoman" w:hAnsi="TimesNewRoman" w:cs="TimesNewRoman"/>
        </w:rPr>
        <w:t xml:space="preserve">). Patienter bør monitoreres for tegn på kaliummangel. Kaliumtilskud og lavere dosis af digitalis </w:t>
      </w:r>
      <w:proofErr w:type="spellStart"/>
      <w:r>
        <w:rPr>
          <w:rFonts w:ascii="TimesNewRoman" w:hAnsi="TimesNewRoman" w:cs="TimesNewRoman"/>
        </w:rPr>
        <w:t>glycosider</w:t>
      </w:r>
      <w:proofErr w:type="spellEnd"/>
      <w:r>
        <w:rPr>
          <w:rFonts w:ascii="TimesNewRoman" w:hAnsi="TimesNewRoman" w:cs="TimesNewRoman"/>
        </w:rPr>
        <w:t xml:space="preserve"> bør overvejes.</w:t>
      </w:r>
    </w:p>
    <w:p w:rsidR="009F6675" w:rsidRDefault="009F6675" w:rsidP="009F6675">
      <w:pPr>
        <w:tabs>
          <w:tab w:val="left" w:pos="0"/>
        </w:tabs>
        <w:ind w:left="851"/>
        <w:rPr>
          <w:spacing w:val="-3"/>
          <w:sz w:val="24"/>
          <w:szCs w:val="24"/>
        </w:rPr>
      </w:pPr>
    </w:p>
    <w:p w:rsidR="009F6675" w:rsidRPr="00092E85" w:rsidRDefault="009F6675" w:rsidP="009F6675">
      <w:pPr>
        <w:ind w:left="851"/>
        <w:rPr>
          <w:u w:val="single"/>
        </w:rPr>
      </w:pPr>
      <w:r w:rsidRPr="00092E85">
        <w:rPr>
          <w:u w:val="single"/>
        </w:rPr>
        <w:t>Ikke-</w:t>
      </w:r>
      <w:proofErr w:type="spellStart"/>
      <w:r w:rsidRPr="00092E85">
        <w:rPr>
          <w:u w:val="single"/>
        </w:rPr>
        <w:t>depolariserende</w:t>
      </w:r>
      <w:proofErr w:type="spellEnd"/>
      <w:r w:rsidRPr="00092E85">
        <w:rPr>
          <w:u w:val="single"/>
        </w:rPr>
        <w:t xml:space="preserve"> </w:t>
      </w:r>
      <w:proofErr w:type="spellStart"/>
      <w:r w:rsidRPr="00092E85">
        <w:rPr>
          <w:u w:val="single"/>
        </w:rPr>
        <w:t>neuromuskulære</w:t>
      </w:r>
      <w:proofErr w:type="spellEnd"/>
      <w:r w:rsidRPr="00092E85">
        <w:rPr>
          <w:u w:val="single"/>
        </w:rPr>
        <w:t xml:space="preserve"> </w:t>
      </w:r>
      <w:proofErr w:type="spellStart"/>
      <w:r w:rsidRPr="00092E85">
        <w:rPr>
          <w:u w:val="single"/>
        </w:rPr>
        <w:t>blokkere</w:t>
      </w:r>
      <w:proofErr w:type="spellEnd"/>
    </w:p>
    <w:p w:rsidR="009F6675" w:rsidRDefault="009F6675" w:rsidP="009F6675">
      <w:pPr>
        <w:tabs>
          <w:tab w:val="left" w:pos="0"/>
        </w:tabs>
        <w:ind w:left="851"/>
        <w:rPr>
          <w:spacing w:val="-3"/>
        </w:rPr>
      </w:pPr>
      <w:r w:rsidRPr="00092E85">
        <w:t xml:space="preserve">Den </w:t>
      </w:r>
      <w:proofErr w:type="spellStart"/>
      <w:r w:rsidRPr="00092E85">
        <w:t>hypokaliæmiske</w:t>
      </w:r>
      <w:proofErr w:type="spellEnd"/>
      <w:r w:rsidRPr="00092E85">
        <w:t xml:space="preserve"> effekt af </w:t>
      </w:r>
      <w:proofErr w:type="spellStart"/>
      <w:r w:rsidRPr="00092E85">
        <w:t>bendroflumethiazid</w:t>
      </w:r>
      <w:proofErr w:type="spellEnd"/>
      <w:r w:rsidRPr="00092E85">
        <w:t xml:space="preserve"> kan øge den </w:t>
      </w:r>
      <w:proofErr w:type="spellStart"/>
      <w:r w:rsidRPr="00092E85">
        <w:t>neuromuskulært</w:t>
      </w:r>
      <w:proofErr w:type="spellEnd"/>
      <w:r w:rsidRPr="00092E85">
        <w:t xml:space="preserve"> </w:t>
      </w:r>
      <w:proofErr w:type="spellStart"/>
      <w:r w:rsidRPr="00092E85">
        <w:t>blokkerende</w:t>
      </w:r>
      <w:proofErr w:type="spellEnd"/>
      <w:r w:rsidRPr="00092E85">
        <w:t xml:space="preserve"> aktivitet af ikke-</w:t>
      </w:r>
      <w:proofErr w:type="spellStart"/>
      <w:r w:rsidRPr="00092E85">
        <w:t>depolariserende</w:t>
      </w:r>
      <w:proofErr w:type="spellEnd"/>
      <w:r w:rsidRPr="00092E85">
        <w:t xml:space="preserve"> muskelafslappende midler.</w:t>
      </w:r>
    </w:p>
    <w:p w:rsidR="009F6675" w:rsidRDefault="009F6675" w:rsidP="009F6675">
      <w:pPr>
        <w:autoSpaceDE w:val="0"/>
        <w:autoSpaceDN w:val="0"/>
        <w:adjustRightInd w:val="0"/>
        <w:ind w:left="851"/>
        <w:rPr>
          <w:rFonts w:ascii="TimesNewRoman" w:hAnsi="TimesNewRoman" w:cs="TimesNewRoman"/>
          <w:u w:val="single"/>
        </w:rPr>
      </w:pPr>
    </w:p>
    <w:p w:rsidR="009F6675" w:rsidRDefault="009F6675" w:rsidP="009F6675">
      <w:pPr>
        <w:autoSpaceDE w:val="0"/>
        <w:autoSpaceDN w:val="0"/>
        <w:adjustRightInd w:val="0"/>
        <w:ind w:left="851"/>
        <w:rPr>
          <w:spacing w:val="-3"/>
          <w:u w:val="single"/>
        </w:rPr>
      </w:pPr>
      <w:r>
        <w:rPr>
          <w:spacing w:val="-3"/>
          <w:u w:val="single"/>
        </w:rPr>
        <w:t xml:space="preserve">Beta-2 </w:t>
      </w:r>
      <w:proofErr w:type="spellStart"/>
      <w:r>
        <w:rPr>
          <w:spacing w:val="-3"/>
          <w:u w:val="single"/>
        </w:rPr>
        <w:t>adrenerg</w:t>
      </w:r>
      <w:proofErr w:type="spellEnd"/>
      <w:r>
        <w:rPr>
          <w:spacing w:val="-3"/>
          <w:u w:val="single"/>
        </w:rPr>
        <w:t xml:space="preserve"> agonister</w:t>
      </w:r>
    </w:p>
    <w:p w:rsidR="009F6675" w:rsidRDefault="009F6675" w:rsidP="009F6675">
      <w:pPr>
        <w:tabs>
          <w:tab w:val="left" w:pos="0"/>
        </w:tabs>
        <w:ind w:left="851"/>
      </w:pPr>
      <w:r>
        <w:rPr>
          <w:spacing w:val="-3"/>
        </w:rPr>
        <w:t xml:space="preserve">Den kaliumsænkende effekt af </w:t>
      </w:r>
      <w:proofErr w:type="spellStart"/>
      <w:r>
        <w:rPr>
          <w:spacing w:val="-3"/>
        </w:rPr>
        <w:t>bendroflumethiazid</w:t>
      </w:r>
      <w:proofErr w:type="spellEnd"/>
      <w:r>
        <w:rPr>
          <w:spacing w:val="-3"/>
        </w:rPr>
        <w:t xml:space="preserve"> kan øges af </w:t>
      </w:r>
      <w:r>
        <w:t>beta-2-adrenerg agonister.</w:t>
      </w:r>
    </w:p>
    <w:p w:rsidR="009F6675" w:rsidRDefault="009F6675" w:rsidP="009F6675">
      <w:pPr>
        <w:autoSpaceDE w:val="0"/>
        <w:autoSpaceDN w:val="0"/>
        <w:adjustRightInd w:val="0"/>
        <w:ind w:left="851"/>
        <w:rPr>
          <w:rFonts w:ascii="TimesNewRoman" w:hAnsi="TimesNewRoman" w:cs="TimesNewRoman"/>
          <w:u w:val="single"/>
        </w:rPr>
      </w:pPr>
    </w:p>
    <w:p w:rsidR="009F6675" w:rsidRDefault="009F6675" w:rsidP="009F6675">
      <w:pPr>
        <w:autoSpaceDE w:val="0"/>
        <w:autoSpaceDN w:val="0"/>
        <w:adjustRightInd w:val="0"/>
        <w:ind w:left="851"/>
        <w:rPr>
          <w:rFonts w:ascii="TimesNewRoman" w:hAnsi="TimesNewRoman" w:cs="TimesNewRoman"/>
          <w:u w:val="single"/>
        </w:rPr>
      </w:pPr>
      <w:proofErr w:type="spellStart"/>
      <w:r>
        <w:rPr>
          <w:rFonts w:ascii="TimesNewRoman" w:hAnsi="TimesNewRoman" w:cs="TimesNewRoman"/>
          <w:u w:val="single"/>
        </w:rPr>
        <w:t>Antihypertensive</w:t>
      </w:r>
      <w:proofErr w:type="spellEnd"/>
      <w:r>
        <w:rPr>
          <w:rFonts w:ascii="TimesNewRoman" w:hAnsi="TimesNewRoman" w:cs="TimesNewRoman"/>
          <w:u w:val="single"/>
        </w:rPr>
        <w:t xml:space="preserve"> midler og lægemidler, som fremkalder </w:t>
      </w:r>
      <w:proofErr w:type="spellStart"/>
      <w:r>
        <w:rPr>
          <w:rFonts w:ascii="TimesNewRoman" w:hAnsi="TimesNewRoman" w:cs="TimesNewRoman"/>
          <w:u w:val="single"/>
        </w:rPr>
        <w:t>postural</w:t>
      </w:r>
      <w:proofErr w:type="spellEnd"/>
      <w:r>
        <w:rPr>
          <w:rFonts w:ascii="TimesNewRoman" w:hAnsi="TimesNewRoman" w:cs="TimesNewRoman"/>
          <w:u w:val="single"/>
        </w:rPr>
        <w:t xml:space="preserve"> hypotension </w:t>
      </w:r>
    </w:p>
    <w:p w:rsidR="009F6675" w:rsidRPr="00052D27" w:rsidRDefault="009F6675" w:rsidP="009F6675">
      <w:pPr>
        <w:tabs>
          <w:tab w:val="left" w:pos="0"/>
        </w:tabs>
        <w:ind w:left="851"/>
        <w:rPr>
          <w:spacing w:val="-3"/>
          <w:sz w:val="24"/>
          <w:szCs w:val="24"/>
        </w:rPr>
      </w:pPr>
      <w:proofErr w:type="spellStart"/>
      <w:r>
        <w:rPr>
          <w:spacing w:val="-3"/>
        </w:rPr>
        <w:t>Bendroflumethiazid</w:t>
      </w:r>
      <w:proofErr w:type="spellEnd"/>
      <w:r>
        <w:rPr>
          <w:spacing w:val="-3"/>
        </w:rPr>
        <w:t xml:space="preserve"> forøger effekten af </w:t>
      </w:r>
      <w:proofErr w:type="spellStart"/>
      <w:r>
        <w:rPr>
          <w:spacing w:val="-3"/>
        </w:rPr>
        <w:t>antihypertensiva</w:t>
      </w:r>
      <w:proofErr w:type="spellEnd"/>
      <w:r>
        <w:rPr>
          <w:spacing w:val="-3"/>
        </w:rPr>
        <w:t xml:space="preserve"> samt lægemidler der inducerer </w:t>
      </w:r>
      <w:proofErr w:type="spellStart"/>
      <w:r>
        <w:rPr>
          <w:spacing w:val="-3"/>
        </w:rPr>
        <w:t>postural</w:t>
      </w:r>
      <w:proofErr w:type="spellEnd"/>
      <w:r>
        <w:rPr>
          <w:spacing w:val="-3"/>
        </w:rPr>
        <w:t xml:space="preserve"> hypotension f.eks. tricykliske </w:t>
      </w:r>
      <w:proofErr w:type="spellStart"/>
      <w:r>
        <w:rPr>
          <w:spacing w:val="-3"/>
        </w:rPr>
        <w:t>antidepressiva</w:t>
      </w:r>
      <w:proofErr w:type="spellEnd"/>
      <w:r>
        <w:rPr>
          <w:spacing w:val="-3"/>
        </w:rPr>
        <w:t xml:space="preserve">. </w:t>
      </w:r>
    </w:p>
    <w:p w:rsidR="009F6675" w:rsidRPr="00052D27" w:rsidRDefault="009F6675" w:rsidP="009F6675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</w:p>
    <w:p w:rsidR="009F6675" w:rsidRDefault="009F6675" w:rsidP="009F6675">
      <w:pPr>
        <w:autoSpaceDE w:val="0"/>
        <w:autoSpaceDN w:val="0"/>
        <w:adjustRightInd w:val="0"/>
        <w:ind w:left="851"/>
        <w:rPr>
          <w:rFonts w:ascii="TimesNewRoman" w:hAnsi="TimesNewRoman" w:cs="TimesNewRoman"/>
          <w:u w:val="single"/>
        </w:rPr>
      </w:pPr>
      <w:r>
        <w:rPr>
          <w:rFonts w:ascii="TimesNewRoman" w:hAnsi="TimesNewRoman" w:cs="TimesNewRoman"/>
          <w:u w:val="single"/>
        </w:rPr>
        <w:t>Lægemidler der øger kaliumniveauer</w:t>
      </w:r>
    </w:p>
    <w:p w:rsidR="009F6675" w:rsidRPr="00052D27" w:rsidRDefault="009F6675" w:rsidP="009F6675">
      <w:pPr>
        <w:tabs>
          <w:tab w:val="left" w:pos="0"/>
        </w:tabs>
        <w:ind w:left="851"/>
        <w:rPr>
          <w:spacing w:val="-3"/>
          <w:sz w:val="24"/>
          <w:szCs w:val="24"/>
        </w:rPr>
      </w:pPr>
      <w:proofErr w:type="spellStart"/>
      <w:r w:rsidRPr="00052D27">
        <w:rPr>
          <w:spacing w:val="-3"/>
          <w:sz w:val="24"/>
          <w:szCs w:val="24"/>
        </w:rPr>
        <w:t>Kaliumchloridindholdet</w:t>
      </w:r>
      <w:proofErr w:type="spellEnd"/>
      <w:r w:rsidRPr="00052D27">
        <w:rPr>
          <w:spacing w:val="-3"/>
          <w:sz w:val="24"/>
          <w:szCs w:val="24"/>
        </w:rPr>
        <w:t xml:space="preserve"> øger risikoen for </w:t>
      </w:r>
      <w:proofErr w:type="spellStart"/>
      <w:r w:rsidRPr="00052D27">
        <w:rPr>
          <w:spacing w:val="-3"/>
          <w:sz w:val="24"/>
          <w:szCs w:val="24"/>
        </w:rPr>
        <w:t>hyperkaliæmi</w:t>
      </w:r>
      <w:proofErr w:type="spellEnd"/>
      <w:r w:rsidRPr="00052D27">
        <w:rPr>
          <w:spacing w:val="-3"/>
          <w:sz w:val="24"/>
          <w:szCs w:val="24"/>
        </w:rPr>
        <w:t xml:space="preserve"> ved samtidig behandling med kalium-besparende </w:t>
      </w:r>
      <w:proofErr w:type="spellStart"/>
      <w:r w:rsidRPr="00052D27">
        <w:rPr>
          <w:spacing w:val="-3"/>
          <w:sz w:val="24"/>
          <w:szCs w:val="24"/>
        </w:rPr>
        <w:t>diuretika</w:t>
      </w:r>
      <w:proofErr w:type="spellEnd"/>
      <w:r w:rsidRPr="00052D27">
        <w:rPr>
          <w:spacing w:val="-3"/>
          <w:sz w:val="24"/>
          <w:szCs w:val="24"/>
        </w:rPr>
        <w:t>, ACE-</w:t>
      </w:r>
      <w:proofErr w:type="spellStart"/>
      <w:r w:rsidRPr="00052D27">
        <w:rPr>
          <w:spacing w:val="-3"/>
          <w:sz w:val="24"/>
          <w:szCs w:val="24"/>
        </w:rPr>
        <w:t>hæmmere</w:t>
      </w:r>
      <w:proofErr w:type="spellEnd"/>
      <w:r w:rsidRPr="00052D27">
        <w:rPr>
          <w:spacing w:val="-3"/>
          <w:sz w:val="24"/>
          <w:szCs w:val="24"/>
        </w:rPr>
        <w:t xml:space="preserve"> eller </w:t>
      </w:r>
      <w:proofErr w:type="spellStart"/>
      <w:r w:rsidRPr="00052D27">
        <w:rPr>
          <w:spacing w:val="-3"/>
          <w:sz w:val="24"/>
          <w:szCs w:val="24"/>
        </w:rPr>
        <w:t>angiotensin</w:t>
      </w:r>
      <w:proofErr w:type="spellEnd"/>
      <w:r w:rsidRPr="00052D27">
        <w:rPr>
          <w:spacing w:val="-3"/>
          <w:sz w:val="24"/>
          <w:szCs w:val="24"/>
        </w:rPr>
        <w:t xml:space="preserve"> II-receptorantagonister.</w:t>
      </w:r>
    </w:p>
    <w:p w:rsidR="009F6675" w:rsidRPr="00052D27" w:rsidRDefault="009F6675" w:rsidP="009F6675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</w:p>
    <w:p w:rsidR="009F6675" w:rsidRDefault="009F6675" w:rsidP="009F6675">
      <w:pPr>
        <w:autoSpaceDE w:val="0"/>
        <w:autoSpaceDN w:val="0"/>
        <w:adjustRightInd w:val="0"/>
        <w:ind w:left="851"/>
        <w:rPr>
          <w:spacing w:val="-3"/>
        </w:rPr>
      </w:pPr>
      <w:proofErr w:type="spellStart"/>
      <w:r>
        <w:rPr>
          <w:rFonts w:ascii="TimesNewRoman" w:hAnsi="TimesNewRoman" w:cs="TimesNewRoman"/>
          <w:u w:val="single"/>
        </w:rPr>
        <w:t>Antidiabetika</w:t>
      </w:r>
      <w:proofErr w:type="spellEnd"/>
    </w:p>
    <w:p w:rsidR="009F6675" w:rsidRDefault="009F6675" w:rsidP="009F6675">
      <w:pPr>
        <w:tabs>
          <w:tab w:val="left" w:pos="0"/>
        </w:tabs>
        <w:ind w:left="851"/>
        <w:rPr>
          <w:spacing w:val="-3"/>
          <w:sz w:val="24"/>
          <w:szCs w:val="24"/>
        </w:rPr>
      </w:pPr>
      <w:proofErr w:type="spellStart"/>
      <w:r w:rsidRPr="00052D27">
        <w:rPr>
          <w:spacing w:val="-3"/>
          <w:sz w:val="24"/>
          <w:szCs w:val="24"/>
        </w:rPr>
        <w:t>Bendroflumethiazid</w:t>
      </w:r>
      <w:proofErr w:type="spellEnd"/>
      <w:r w:rsidRPr="00052D2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kan reducere</w:t>
      </w:r>
      <w:r w:rsidRPr="00052D27">
        <w:rPr>
          <w:spacing w:val="-3"/>
          <w:sz w:val="24"/>
          <w:szCs w:val="24"/>
        </w:rPr>
        <w:t xml:space="preserve"> effekt</w:t>
      </w:r>
      <w:r>
        <w:rPr>
          <w:spacing w:val="-3"/>
          <w:sz w:val="24"/>
          <w:szCs w:val="24"/>
        </w:rPr>
        <w:t>en af antidiabetisk behandling og hindre reguleringen af diabetes ved at øge blodsukkerniveauet, se pkt. 4.4. Denne effekt synes at være dosisafhængig</w:t>
      </w:r>
      <w:r w:rsidRPr="00052D27">
        <w:rPr>
          <w:spacing w:val="-3"/>
          <w:sz w:val="24"/>
          <w:szCs w:val="24"/>
        </w:rPr>
        <w:t xml:space="preserve">. </w:t>
      </w:r>
    </w:p>
    <w:p w:rsidR="009F6675" w:rsidRDefault="009F6675" w:rsidP="009F6675">
      <w:pPr>
        <w:tabs>
          <w:tab w:val="left" w:pos="0"/>
        </w:tabs>
        <w:ind w:left="851"/>
        <w:rPr>
          <w:spacing w:val="-3"/>
          <w:sz w:val="24"/>
          <w:szCs w:val="24"/>
        </w:rPr>
      </w:pPr>
    </w:p>
    <w:p w:rsidR="009F6675" w:rsidRPr="009F6675" w:rsidRDefault="009F6675" w:rsidP="009F6675">
      <w:pPr>
        <w:tabs>
          <w:tab w:val="left" w:pos="0"/>
        </w:tabs>
        <w:ind w:left="851"/>
        <w:rPr>
          <w:spacing w:val="-3"/>
          <w:sz w:val="24"/>
          <w:szCs w:val="24"/>
          <w:u w:val="single"/>
        </w:rPr>
      </w:pPr>
      <w:r w:rsidRPr="009F6675">
        <w:rPr>
          <w:spacing w:val="-3"/>
          <w:sz w:val="24"/>
          <w:szCs w:val="24"/>
          <w:u w:val="single"/>
        </w:rPr>
        <w:t>Lægemidler der sænker natriumniveauet</w:t>
      </w:r>
    </w:p>
    <w:p w:rsidR="009F6675" w:rsidRPr="00976E5A" w:rsidRDefault="009F6675" w:rsidP="009F6675">
      <w:pPr>
        <w:tabs>
          <w:tab w:val="left" w:pos="0"/>
        </w:tabs>
        <w:ind w:left="851"/>
        <w:rPr>
          <w:spacing w:val="-3"/>
          <w:sz w:val="24"/>
          <w:szCs w:val="24"/>
        </w:rPr>
      </w:pPr>
      <w:r w:rsidRPr="009F6675">
        <w:rPr>
          <w:spacing w:val="-3"/>
          <w:sz w:val="24"/>
          <w:szCs w:val="24"/>
        </w:rPr>
        <w:t xml:space="preserve">Samtidig administration af lægemidler der sænker niveauet af natrium i blodet kan øge risikoen for </w:t>
      </w:r>
      <w:proofErr w:type="spellStart"/>
      <w:r w:rsidRPr="009F6675">
        <w:rPr>
          <w:spacing w:val="-3"/>
          <w:sz w:val="24"/>
          <w:szCs w:val="24"/>
        </w:rPr>
        <w:t>hyponatriæmi</w:t>
      </w:r>
      <w:proofErr w:type="spellEnd"/>
      <w:r w:rsidRPr="009F6675">
        <w:rPr>
          <w:spacing w:val="-3"/>
          <w:sz w:val="24"/>
          <w:szCs w:val="24"/>
        </w:rPr>
        <w:t>.</w:t>
      </w:r>
    </w:p>
    <w:p w:rsidR="009F6675" w:rsidRPr="00052D27" w:rsidRDefault="009F6675" w:rsidP="009F6675">
      <w:pPr>
        <w:ind w:left="851" w:hanging="851"/>
        <w:rPr>
          <w:i/>
          <w:sz w:val="24"/>
          <w:szCs w:val="24"/>
        </w:rPr>
      </w:pPr>
    </w:p>
    <w:p w:rsidR="009F6675" w:rsidRDefault="009F6675" w:rsidP="009F6675">
      <w:pPr>
        <w:ind w:left="851"/>
        <w:rPr>
          <w:u w:val="single"/>
        </w:rPr>
      </w:pPr>
      <w:r>
        <w:rPr>
          <w:u w:val="single"/>
        </w:rPr>
        <w:t xml:space="preserve">Calciumsalte og </w:t>
      </w:r>
      <w:r w:rsidRPr="00092E85">
        <w:rPr>
          <w:u w:val="single"/>
        </w:rPr>
        <w:t xml:space="preserve">lægemidler </w:t>
      </w:r>
      <w:r>
        <w:rPr>
          <w:u w:val="single"/>
        </w:rPr>
        <w:t>som giver forhøjet calcium</w:t>
      </w:r>
    </w:p>
    <w:p w:rsidR="009F6675" w:rsidRPr="00052D27" w:rsidRDefault="009F6675" w:rsidP="009F6675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proofErr w:type="spellStart"/>
      <w:proofErr w:type="gramStart"/>
      <w:r w:rsidRPr="00052D27">
        <w:rPr>
          <w:spacing w:val="-3"/>
          <w:sz w:val="24"/>
          <w:szCs w:val="24"/>
        </w:rPr>
        <w:t>Bendroflumethiazid</w:t>
      </w:r>
      <w:proofErr w:type="spellEnd"/>
      <w:r w:rsidRPr="00052D2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kan</w:t>
      </w:r>
      <w:proofErr w:type="gramEnd"/>
      <w:r>
        <w:rPr>
          <w:spacing w:val="-3"/>
          <w:sz w:val="24"/>
          <w:szCs w:val="24"/>
        </w:rPr>
        <w:t xml:space="preserve"> forårsage retention </w:t>
      </w:r>
      <w:r w:rsidRPr="00052D27">
        <w:rPr>
          <w:spacing w:val="-3"/>
          <w:sz w:val="24"/>
          <w:szCs w:val="24"/>
        </w:rPr>
        <w:t xml:space="preserve">af </w:t>
      </w:r>
      <w:r>
        <w:rPr>
          <w:spacing w:val="-3"/>
          <w:sz w:val="24"/>
          <w:szCs w:val="24"/>
        </w:rPr>
        <w:t xml:space="preserve">calcium ved at </w:t>
      </w:r>
      <w:r w:rsidRPr="00052D27">
        <w:rPr>
          <w:spacing w:val="-3"/>
          <w:sz w:val="24"/>
          <w:szCs w:val="24"/>
        </w:rPr>
        <w:t xml:space="preserve"> reducere udskillelsen af calcium i urinen</w:t>
      </w:r>
      <w:r>
        <w:rPr>
          <w:spacing w:val="-3"/>
          <w:sz w:val="24"/>
          <w:szCs w:val="24"/>
        </w:rPr>
        <w:t xml:space="preserve">. </w:t>
      </w:r>
      <w:r w:rsidRPr="00052D27">
        <w:rPr>
          <w:spacing w:val="-3"/>
          <w:sz w:val="24"/>
          <w:szCs w:val="24"/>
        </w:rPr>
        <w:t xml:space="preserve"> </w:t>
      </w:r>
      <w:r>
        <w:rPr>
          <w:spacing w:val="-3"/>
          <w:szCs w:val="24"/>
        </w:rPr>
        <w:t>Samtidig indtagelse af calcium,</w:t>
      </w:r>
      <w:r>
        <w:t xml:space="preserve"> eller indgift af andre lægemidler som forøger plasma </w:t>
      </w:r>
      <w:proofErr w:type="gramStart"/>
      <w:r>
        <w:t>calcium niveauet</w:t>
      </w:r>
      <w:proofErr w:type="gramEnd"/>
      <w:r w:rsidRPr="00052D27">
        <w:rPr>
          <w:spacing w:val="-3"/>
          <w:sz w:val="24"/>
          <w:szCs w:val="24"/>
        </w:rPr>
        <w:t xml:space="preserve"> kan medføre </w:t>
      </w:r>
      <w:proofErr w:type="spellStart"/>
      <w:r w:rsidRPr="00052D27">
        <w:rPr>
          <w:spacing w:val="-3"/>
          <w:sz w:val="24"/>
          <w:szCs w:val="24"/>
        </w:rPr>
        <w:t>hypercalcæmi</w:t>
      </w:r>
      <w:proofErr w:type="spellEnd"/>
      <w:r w:rsidRPr="00052D27">
        <w:rPr>
          <w:spacing w:val="-3"/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ab/>
      </w:r>
    </w:p>
    <w:p w:rsidR="009F6675" w:rsidRDefault="009F6675" w:rsidP="009F667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</w:r>
      <w:r>
        <w:rPr>
          <w:rFonts w:ascii="TimesNewRoman" w:hAnsi="TimesNewRoman" w:cs="TimesNewRoman"/>
          <w:u w:val="single"/>
        </w:rPr>
        <w:t>Fotosensibiliserende lægemidler</w:t>
      </w:r>
      <w:r w:rsidRPr="00052D27">
        <w:rPr>
          <w:spacing w:val="-3"/>
          <w:sz w:val="24"/>
          <w:szCs w:val="24"/>
        </w:rPr>
        <w:t xml:space="preserve"> </w:t>
      </w:r>
    </w:p>
    <w:p w:rsidR="009F6675" w:rsidRPr="00052D27" w:rsidRDefault="009F6675" w:rsidP="009F6675">
      <w:pPr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052D27">
        <w:rPr>
          <w:spacing w:val="-3"/>
          <w:sz w:val="24"/>
          <w:szCs w:val="24"/>
        </w:rPr>
        <w:t>Bendroflumethiazid</w:t>
      </w:r>
      <w:proofErr w:type="spellEnd"/>
      <w:r w:rsidRPr="00052D27">
        <w:rPr>
          <w:spacing w:val="-3"/>
          <w:sz w:val="24"/>
          <w:szCs w:val="24"/>
        </w:rPr>
        <w:t xml:space="preserve"> administreret sammen med andre lægemidler, som kan medføre fotosensibilitet, kan forstærke sådanne reaktioner.  </w:t>
      </w:r>
    </w:p>
    <w:p w:rsidR="009F6675" w:rsidRDefault="009F6675" w:rsidP="009F667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F6675" w:rsidRDefault="009F6675" w:rsidP="009F6675">
      <w:pPr>
        <w:autoSpaceDE w:val="0"/>
        <w:autoSpaceDN w:val="0"/>
        <w:adjustRightInd w:val="0"/>
        <w:ind w:left="851"/>
        <w:rPr>
          <w:rFonts w:ascii="TimesNewRoman" w:hAnsi="TimesNewRoman" w:cs="TimesNewRoman"/>
          <w:u w:val="single"/>
        </w:rPr>
      </w:pPr>
      <w:r>
        <w:rPr>
          <w:rFonts w:ascii="TimesNewRoman" w:hAnsi="TimesNewRoman" w:cs="TimesNewRoman"/>
          <w:u w:val="single"/>
        </w:rPr>
        <w:t xml:space="preserve">Galdesyrebindende </w:t>
      </w:r>
      <w:proofErr w:type="spellStart"/>
      <w:r>
        <w:rPr>
          <w:rFonts w:ascii="TimesNewRoman" w:hAnsi="TimesNewRoman" w:cs="TimesNewRoman"/>
          <w:u w:val="single"/>
        </w:rPr>
        <w:t>resiner</w:t>
      </w:r>
      <w:proofErr w:type="spellEnd"/>
    </w:p>
    <w:p w:rsidR="009F6675" w:rsidRDefault="009F6675" w:rsidP="009F6675">
      <w:pPr>
        <w:tabs>
          <w:tab w:val="left" w:pos="0"/>
        </w:tabs>
        <w:ind w:left="851"/>
        <w:rPr>
          <w:spacing w:val="-3"/>
          <w:szCs w:val="24"/>
        </w:rPr>
      </w:pPr>
      <w:proofErr w:type="spellStart"/>
      <w:r>
        <w:rPr>
          <w:spacing w:val="-3"/>
          <w:szCs w:val="24"/>
        </w:rPr>
        <w:t>Kolestyramin</w:t>
      </w:r>
      <w:proofErr w:type="spellEnd"/>
      <w:r>
        <w:rPr>
          <w:spacing w:val="-3"/>
          <w:szCs w:val="24"/>
        </w:rPr>
        <w:t xml:space="preserve"> og lignende lægemidler reducerer absorptionen af </w:t>
      </w:r>
      <w:proofErr w:type="spellStart"/>
      <w:r>
        <w:rPr>
          <w:spacing w:val="-3"/>
          <w:szCs w:val="24"/>
        </w:rPr>
        <w:t>bendroflumethiazid</w:t>
      </w:r>
      <w:proofErr w:type="spellEnd"/>
      <w:r>
        <w:rPr>
          <w:spacing w:val="-3"/>
          <w:szCs w:val="24"/>
        </w:rPr>
        <w:t>.</w:t>
      </w:r>
    </w:p>
    <w:p w:rsidR="00CD2EF4" w:rsidRPr="00052D27" w:rsidRDefault="00CD2EF4" w:rsidP="009F6675">
      <w:pPr>
        <w:tabs>
          <w:tab w:val="left" w:pos="0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4.6</w:t>
      </w:r>
      <w:r w:rsidRPr="00052D27">
        <w:rPr>
          <w:b/>
          <w:sz w:val="24"/>
          <w:szCs w:val="24"/>
        </w:rPr>
        <w:tab/>
      </w:r>
      <w:r w:rsidR="009F6675">
        <w:rPr>
          <w:b/>
          <w:sz w:val="24"/>
          <w:szCs w:val="24"/>
        </w:rPr>
        <w:t>Fertilitet, g</w:t>
      </w:r>
      <w:r w:rsidRPr="00052D27">
        <w:rPr>
          <w:b/>
          <w:sz w:val="24"/>
          <w:szCs w:val="24"/>
        </w:rPr>
        <w:t>raviditet og amning</w:t>
      </w:r>
    </w:p>
    <w:p w:rsidR="009F6675" w:rsidRDefault="009F6675" w:rsidP="009F6675">
      <w:pPr>
        <w:ind w:left="851"/>
        <w:rPr>
          <w:u w:val="single"/>
        </w:rPr>
      </w:pPr>
      <w:r>
        <w:rPr>
          <w:u w:val="single"/>
        </w:rPr>
        <w:t>Fertilitet</w:t>
      </w:r>
    </w:p>
    <w:p w:rsidR="009F6675" w:rsidRDefault="009F6675" w:rsidP="009F6675">
      <w:pPr>
        <w:ind w:left="851"/>
      </w:pPr>
      <w:r>
        <w:t xml:space="preserve">Der er ingen klinisk information tilgængelig vedrørende effekten af </w:t>
      </w:r>
      <w:proofErr w:type="spellStart"/>
      <w:r>
        <w:t>bendroflumethiazid</w:t>
      </w:r>
      <w:proofErr w:type="spellEnd"/>
      <w:r>
        <w:t xml:space="preserve"> </w:t>
      </w:r>
      <w:r w:rsidRPr="00092E85">
        <w:t xml:space="preserve">på </w:t>
      </w:r>
      <w:r>
        <w:t>fertilitet.</w:t>
      </w:r>
    </w:p>
    <w:p w:rsidR="009F6675" w:rsidRPr="00092E85" w:rsidRDefault="009F6675" w:rsidP="009F6675">
      <w:pPr>
        <w:widowControl w:val="0"/>
        <w:ind w:left="851"/>
        <w:rPr>
          <w:color w:val="000000"/>
          <w:sz w:val="24"/>
          <w:szCs w:val="24"/>
        </w:rPr>
      </w:pPr>
      <w:r w:rsidRPr="00092E85">
        <w:rPr>
          <w:color w:val="000000"/>
          <w:sz w:val="24"/>
          <w:szCs w:val="24"/>
        </w:rPr>
        <w:t>Dyreforsøg er utilstrækkelige med hensyn til effekten på graviditet.</w:t>
      </w:r>
    </w:p>
    <w:p w:rsidR="009F6675" w:rsidRDefault="009F6675" w:rsidP="009F6675">
      <w:pPr>
        <w:ind w:left="851" w:hanging="851"/>
        <w:rPr>
          <w:sz w:val="24"/>
          <w:szCs w:val="24"/>
          <w:u w:val="single"/>
        </w:rPr>
      </w:pPr>
    </w:p>
    <w:p w:rsidR="009F6675" w:rsidRPr="00052D27" w:rsidRDefault="009F6675" w:rsidP="009F6675">
      <w:pPr>
        <w:ind w:left="851"/>
        <w:rPr>
          <w:sz w:val="24"/>
          <w:szCs w:val="24"/>
          <w:u w:val="single"/>
          <w:lang w:eastAsia="da-DK"/>
        </w:rPr>
      </w:pPr>
      <w:r w:rsidRPr="00052D27">
        <w:rPr>
          <w:sz w:val="24"/>
          <w:szCs w:val="24"/>
          <w:u w:val="single"/>
        </w:rPr>
        <w:t>Graviditet</w:t>
      </w:r>
    </w:p>
    <w:p w:rsidR="009F6675" w:rsidRPr="00052D27" w:rsidRDefault="009F6675" w:rsidP="009F667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Der er ingen eller utilstrækkelige data fra</w:t>
      </w:r>
      <w:r w:rsidRPr="00052D27">
        <w:rPr>
          <w:spacing w:val="-3"/>
          <w:sz w:val="24"/>
          <w:szCs w:val="24"/>
        </w:rPr>
        <w:t xml:space="preserve"> anvendelse af </w:t>
      </w:r>
      <w:proofErr w:type="spellStart"/>
      <w:r w:rsidRPr="00052D27">
        <w:rPr>
          <w:spacing w:val="-3"/>
          <w:sz w:val="24"/>
          <w:szCs w:val="24"/>
        </w:rPr>
        <w:t>bendroflumethiazid</w:t>
      </w:r>
      <w:proofErr w:type="spellEnd"/>
      <w:r w:rsidRPr="00052D27">
        <w:rPr>
          <w:spacing w:val="-3"/>
          <w:sz w:val="24"/>
          <w:szCs w:val="24"/>
        </w:rPr>
        <w:t xml:space="preserve"> med </w:t>
      </w:r>
      <w:proofErr w:type="spellStart"/>
      <w:r w:rsidRPr="00052D27">
        <w:rPr>
          <w:spacing w:val="-3"/>
          <w:sz w:val="24"/>
          <w:szCs w:val="24"/>
        </w:rPr>
        <w:t>kaliumchlorid</w:t>
      </w:r>
      <w:proofErr w:type="spellEnd"/>
      <w:r w:rsidRPr="00052D27">
        <w:rPr>
          <w:spacing w:val="-3"/>
          <w:sz w:val="24"/>
          <w:szCs w:val="24"/>
        </w:rPr>
        <w:t xml:space="preserve"> til gravide</w:t>
      </w:r>
      <w:r>
        <w:rPr>
          <w:spacing w:val="-3"/>
          <w:sz w:val="24"/>
          <w:szCs w:val="24"/>
        </w:rPr>
        <w:t xml:space="preserve"> kvinder</w:t>
      </w:r>
      <w:r w:rsidRPr="00052D27">
        <w:rPr>
          <w:spacing w:val="-3"/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Data </w:t>
      </w:r>
      <w:r w:rsidRPr="00052D27">
        <w:rPr>
          <w:spacing w:val="-3"/>
          <w:sz w:val="24"/>
          <w:szCs w:val="24"/>
        </w:rPr>
        <w:t>fra dyreforsøg er utilstrækkelig</w:t>
      </w:r>
      <w:r>
        <w:rPr>
          <w:spacing w:val="-3"/>
          <w:sz w:val="24"/>
          <w:szCs w:val="24"/>
        </w:rPr>
        <w:t>e</w:t>
      </w:r>
      <w:r w:rsidRPr="00052D27">
        <w:rPr>
          <w:spacing w:val="-3"/>
          <w:sz w:val="24"/>
          <w:szCs w:val="24"/>
        </w:rPr>
        <w:t xml:space="preserve"> hvad angår virkningerne på svangerskab (se pkt. 5.3). </w:t>
      </w:r>
    </w:p>
    <w:p w:rsidR="009F6675" w:rsidRDefault="009F6675" w:rsidP="009F6675">
      <w:pPr>
        <w:ind w:left="851"/>
        <w:rPr>
          <w:spacing w:val="-3"/>
          <w:sz w:val="24"/>
          <w:szCs w:val="24"/>
        </w:rPr>
      </w:pPr>
    </w:p>
    <w:p w:rsidR="009F6675" w:rsidRDefault="009F6675" w:rsidP="009F6675">
      <w:pPr>
        <w:ind w:left="851"/>
        <w:rPr>
          <w:spacing w:val="-3"/>
          <w:sz w:val="24"/>
          <w:szCs w:val="24"/>
        </w:rPr>
      </w:pPr>
      <w:proofErr w:type="spellStart"/>
      <w:r w:rsidRPr="00663244">
        <w:rPr>
          <w:spacing w:val="-3"/>
          <w:sz w:val="24"/>
          <w:szCs w:val="24"/>
        </w:rPr>
        <w:t>Thiazider</w:t>
      </w:r>
      <w:proofErr w:type="spellEnd"/>
      <w:r w:rsidRPr="00663244">
        <w:rPr>
          <w:spacing w:val="-3"/>
          <w:sz w:val="24"/>
          <w:szCs w:val="24"/>
        </w:rPr>
        <w:t xml:space="preserve"> krydser placenta, og baseret på humane data medfører </w:t>
      </w:r>
      <w:proofErr w:type="spellStart"/>
      <w:r w:rsidRPr="00663244">
        <w:rPr>
          <w:spacing w:val="-3"/>
          <w:sz w:val="24"/>
          <w:szCs w:val="24"/>
        </w:rPr>
        <w:t>thiazider</w:t>
      </w:r>
      <w:proofErr w:type="spellEnd"/>
      <w:r w:rsidRPr="00663244">
        <w:rPr>
          <w:spacing w:val="-3"/>
          <w:sz w:val="24"/>
          <w:szCs w:val="24"/>
        </w:rPr>
        <w:t xml:space="preserve"> neonatal gulsot, </w:t>
      </w:r>
      <w:proofErr w:type="spellStart"/>
      <w:r w:rsidRPr="00663244">
        <w:rPr>
          <w:spacing w:val="-3"/>
          <w:sz w:val="24"/>
          <w:szCs w:val="24"/>
        </w:rPr>
        <w:t>trombocytopeni</w:t>
      </w:r>
      <w:proofErr w:type="spellEnd"/>
      <w:r w:rsidRPr="00663244">
        <w:rPr>
          <w:spacing w:val="-3"/>
          <w:sz w:val="24"/>
          <w:szCs w:val="24"/>
        </w:rPr>
        <w:t xml:space="preserve"> og elektrolytforstyrrelser hos det nyfødte barn efter </w:t>
      </w:r>
      <w:proofErr w:type="spellStart"/>
      <w:r w:rsidRPr="00663244">
        <w:rPr>
          <w:spacing w:val="-3"/>
          <w:sz w:val="24"/>
          <w:szCs w:val="24"/>
        </w:rPr>
        <w:t>thiazidbehandling</w:t>
      </w:r>
      <w:proofErr w:type="spellEnd"/>
      <w:r w:rsidRPr="00663244">
        <w:rPr>
          <w:spacing w:val="-3"/>
          <w:sz w:val="24"/>
          <w:szCs w:val="24"/>
        </w:rPr>
        <w:t xml:space="preserve"> af moderen. Reduktion i moderens blodvolumen kan også påvirke perfusionen af placenta negativt.</w:t>
      </w:r>
    </w:p>
    <w:p w:rsidR="009F6675" w:rsidRDefault="009F6675" w:rsidP="009F6675">
      <w:pPr>
        <w:ind w:left="851"/>
        <w:rPr>
          <w:spacing w:val="-3"/>
          <w:sz w:val="24"/>
          <w:szCs w:val="24"/>
        </w:rPr>
      </w:pPr>
    </w:p>
    <w:p w:rsidR="009F6675" w:rsidRPr="0028415F" w:rsidRDefault="009F6675" w:rsidP="009F6675">
      <w:pPr>
        <w:ind w:left="851"/>
        <w:rPr>
          <w:spacing w:val="-3"/>
          <w:sz w:val="24"/>
          <w:szCs w:val="24"/>
        </w:rPr>
      </w:pPr>
      <w:proofErr w:type="spellStart"/>
      <w:r w:rsidRPr="0028415F">
        <w:rPr>
          <w:spacing w:val="-3"/>
          <w:sz w:val="24"/>
          <w:szCs w:val="24"/>
        </w:rPr>
        <w:t>Bendroflumethiazid</w:t>
      </w:r>
      <w:proofErr w:type="spellEnd"/>
      <w:r w:rsidRPr="0028415F">
        <w:rPr>
          <w:spacing w:val="-3"/>
          <w:sz w:val="24"/>
          <w:szCs w:val="24"/>
        </w:rPr>
        <w:t xml:space="preserve"> med </w:t>
      </w:r>
      <w:proofErr w:type="spellStart"/>
      <w:r w:rsidRPr="0028415F">
        <w:rPr>
          <w:spacing w:val="-3"/>
          <w:sz w:val="24"/>
          <w:szCs w:val="24"/>
        </w:rPr>
        <w:t>kalium</w:t>
      </w:r>
      <w:r>
        <w:rPr>
          <w:spacing w:val="-3"/>
          <w:sz w:val="24"/>
          <w:szCs w:val="24"/>
        </w:rPr>
        <w:t>chl</w:t>
      </w:r>
      <w:r w:rsidRPr="0028415F">
        <w:rPr>
          <w:spacing w:val="-3"/>
          <w:sz w:val="24"/>
          <w:szCs w:val="24"/>
        </w:rPr>
        <w:t>orid</w:t>
      </w:r>
      <w:proofErr w:type="spellEnd"/>
      <w:r w:rsidRPr="0028415F">
        <w:rPr>
          <w:spacing w:val="-3"/>
          <w:sz w:val="24"/>
          <w:szCs w:val="24"/>
        </w:rPr>
        <w:t xml:space="preserve"> bør ikke anvendes under graviditeten, medmindre kvindens kliniske tilstand kræver behandling med </w:t>
      </w:r>
      <w:proofErr w:type="spellStart"/>
      <w:r w:rsidRPr="0028415F">
        <w:rPr>
          <w:spacing w:val="-3"/>
          <w:sz w:val="24"/>
          <w:szCs w:val="24"/>
        </w:rPr>
        <w:t>Bendroflumethiazid</w:t>
      </w:r>
      <w:proofErr w:type="spellEnd"/>
      <w:r w:rsidRPr="0028415F">
        <w:rPr>
          <w:spacing w:val="-3"/>
          <w:sz w:val="24"/>
          <w:szCs w:val="24"/>
        </w:rPr>
        <w:t xml:space="preserve"> med </w:t>
      </w:r>
      <w:proofErr w:type="spellStart"/>
      <w:r w:rsidRPr="0028415F">
        <w:rPr>
          <w:spacing w:val="-3"/>
          <w:sz w:val="24"/>
          <w:szCs w:val="24"/>
        </w:rPr>
        <w:t>kalium</w:t>
      </w:r>
      <w:r>
        <w:rPr>
          <w:spacing w:val="-3"/>
          <w:sz w:val="24"/>
          <w:szCs w:val="24"/>
        </w:rPr>
        <w:t>chl</w:t>
      </w:r>
      <w:r w:rsidRPr="0028415F">
        <w:rPr>
          <w:spacing w:val="-3"/>
          <w:sz w:val="24"/>
          <w:szCs w:val="24"/>
        </w:rPr>
        <w:t>orid</w:t>
      </w:r>
      <w:proofErr w:type="spellEnd"/>
      <w:r w:rsidRPr="0028415F">
        <w:rPr>
          <w:spacing w:val="-3"/>
          <w:sz w:val="24"/>
          <w:szCs w:val="24"/>
        </w:rPr>
        <w:t>.</w:t>
      </w:r>
    </w:p>
    <w:p w:rsidR="009F6675" w:rsidRPr="00052D27" w:rsidRDefault="009F6675" w:rsidP="009F6675">
      <w:pPr>
        <w:ind w:left="851" w:hanging="851"/>
        <w:rPr>
          <w:spacing w:val="-3"/>
          <w:sz w:val="24"/>
          <w:szCs w:val="24"/>
        </w:rPr>
      </w:pPr>
    </w:p>
    <w:p w:rsidR="009F6675" w:rsidRPr="00052D27" w:rsidRDefault="009F6675" w:rsidP="009F6675">
      <w:pPr>
        <w:ind w:left="851"/>
        <w:rPr>
          <w:color w:val="000000"/>
          <w:spacing w:val="-3"/>
          <w:sz w:val="24"/>
          <w:szCs w:val="24"/>
          <w:u w:val="single"/>
        </w:rPr>
      </w:pPr>
      <w:r w:rsidRPr="00052D27">
        <w:rPr>
          <w:color w:val="000000"/>
          <w:spacing w:val="-3"/>
          <w:sz w:val="24"/>
          <w:szCs w:val="24"/>
          <w:u w:val="single"/>
        </w:rPr>
        <w:t>Amning</w:t>
      </w:r>
    </w:p>
    <w:p w:rsidR="009F6675" w:rsidRPr="00052D27" w:rsidRDefault="009F6675" w:rsidP="009F6675">
      <w:pPr>
        <w:tabs>
          <w:tab w:val="left" w:pos="0"/>
          <w:tab w:val="left" w:pos="851"/>
        </w:tabs>
        <w:ind w:left="851" w:hanging="851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ab/>
      </w:r>
      <w:proofErr w:type="spellStart"/>
      <w:r w:rsidRPr="00052D27">
        <w:rPr>
          <w:color w:val="000000"/>
          <w:spacing w:val="-3"/>
          <w:sz w:val="24"/>
          <w:szCs w:val="24"/>
        </w:rPr>
        <w:t>Bendroflumethiazid</w:t>
      </w:r>
      <w:proofErr w:type="spellEnd"/>
      <w:r w:rsidRPr="00052D27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udskilles i modermælk og </w:t>
      </w:r>
      <w:r w:rsidRPr="00052D27">
        <w:rPr>
          <w:color w:val="000000"/>
          <w:spacing w:val="-3"/>
          <w:sz w:val="24"/>
          <w:szCs w:val="24"/>
        </w:rPr>
        <w:t xml:space="preserve">bør ikke anvendes i </w:t>
      </w:r>
      <w:proofErr w:type="spellStart"/>
      <w:r w:rsidRPr="00052D27">
        <w:rPr>
          <w:color w:val="000000"/>
          <w:spacing w:val="-3"/>
          <w:sz w:val="24"/>
          <w:szCs w:val="24"/>
        </w:rPr>
        <w:t>ammeperioden</w:t>
      </w:r>
      <w:proofErr w:type="spellEnd"/>
      <w:r w:rsidRPr="00052D27">
        <w:rPr>
          <w:color w:val="000000"/>
          <w:spacing w:val="-3"/>
          <w:sz w:val="24"/>
          <w:szCs w:val="24"/>
        </w:rPr>
        <w:t>.</w:t>
      </w:r>
    </w:p>
    <w:p w:rsidR="009F6675" w:rsidRDefault="009F6675" w:rsidP="009F6675">
      <w:pPr>
        <w:tabs>
          <w:tab w:val="left" w:pos="0"/>
          <w:tab w:val="left" w:pos="761"/>
          <w:tab w:val="left" w:pos="851"/>
        </w:tabs>
        <w:ind w:left="851" w:hanging="851"/>
        <w:rPr>
          <w:color w:val="000000"/>
          <w:spacing w:val="-3"/>
          <w:sz w:val="24"/>
          <w:szCs w:val="24"/>
        </w:rPr>
      </w:pPr>
      <w:r w:rsidRPr="00052D27"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ab/>
      </w:r>
    </w:p>
    <w:p w:rsidR="009F6675" w:rsidRPr="00052D27" w:rsidRDefault="009F6675" w:rsidP="009F6675">
      <w:pPr>
        <w:tabs>
          <w:tab w:val="left" w:pos="0"/>
          <w:tab w:val="left" w:pos="761"/>
          <w:tab w:val="left" w:pos="851"/>
        </w:tabs>
        <w:ind w:left="851"/>
        <w:rPr>
          <w:i/>
          <w:color w:val="000000"/>
          <w:spacing w:val="-3"/>
          <w:sz w:val="24"/>
          <w:szCs w:val="24"/>
        </w:rPr>
      </w:pPr>
      <w:r w:rsidRPr="00052D27">
        <w:rPr>
          <w:color w:val="000000"/>
          <w:spacing w:val="-3"/>
          <w:sz w:val="24"/>
          <w:szCs w:val="24"/>
        </w:rPr>
        <w:t xml:space="preserve">Mælk/plasma- koncentrationsratio er </w:t>
      </w:r>
      <w:r>
        <w:rPr>
          <w:color w:val="000000"/>
          <w:spacing w:val="-3"/>
          <w:sz w:val="24"/>
          <w:szCs w:val="24"/>
        </w:rPr>
        <w:t>&lt;</w:t>
      </w:r>
      <w:r w:rsidRPr="00052D27">
        <w:rPr>
          <w:color w:val="000000"/>
          <w:spacing w:val="-3"/>
          <w:sz w:val="24"/>
          <w:szCs w:val="24"/>
        </w:rPr>
        <w:t xml:space="preserve"> 0,5. Mælkemængden nedsættes.   </w:t>
      </w:r>
    </w:p>
    <w:p w:rsidR="009F6675" w:rsidRPr="00052D27" w:rsidRDefault="009F6675" w:rsidP="009F6675">
      <w:pPr>
        <w:tabs>
          <w:tab w:val="left" w:pos="0"/>
          <w:tab w:val="left" w:pos="851"/>
        </w:tabs>
        <w:ind w:left="851" w:hanging="851"/>
        <w:rPr>
          <w:color w:val="000000"/>
          <w:spacing w:val="-3"/>
          <w:sz w:val="24"/>
          <w:szCs w:val="24"/>
        </w:rPr>
      </w:pPr>
    </w:p>
    <w:p w:rsidR="009F6675" w:rsidRPr="00052D27" w:rsidRDefault="009F6675" w:rsidP="009F667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u w:val="single"/>
        </w:rPr>
      </w:pPr>
      <w:r w:rsidRPr="0073252F">
        <w:rPr>
          <w:spacing w:val="-3"/>
          <w:sz w:val="24"/>
          <w:szCs w:val="24"/>
        </w:rPr>
        <w:tab/>
      </w:r>
      <w:r w:rsidRPr="00052D27">
        <w:rPr>
          <w:spacing w:val="-3"/>
          <w:sz w:val="24"/>
          <w:szCs w:val="24"/>
          <w:u w:val="single"/>
        </w:rPr>
        <w:t>Antikonception</w:t>
      </w:r>
    </w:p>
    <w:p w:rsidR="009F6675" w:rsidRPr="00052D27" w:rsidRDefault="009F6675" w:rsidP="009F667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052D27">
        <w:rPr>
          <w:spacing w:val="-3"/>
          <w:sz w:val="24"/>
          <w:szCs w:val="24"/>
        </w:rPr>
        <w:t xml:space="preserve">Graviditet bør undgås under behandling med </w:t>
      </w:r>
      <w:proofErr w:type="spellStart"/>
      <w:r w:rsidRPr="00052D27">
        <w:rPr>
          <w:spacing w:val="-3"/>
          <w:sz w:val="24"/>
          <w:szCs w:val="24"/>
        </w:rPr>
        <w:t>bendroflumethiazid</w:t>
      </w:r>
      <w:proofErr w:type="spellEnd"/>
      <w:r w:rsidRPr="00052D27">
        <w:rPr>
          <w:spacing w:val="-3"/>
          <w:sz w:val="24"/>
          <w:szCs w:val="24"/>
        </w:rPr>
        <w:t xml:space="preserve"> med </w:t>
      </w:r>
      <w:proofErr w:type="spellStart"/>
      <w:r w:rsidRPr="00052D27">
        <w:rPr>
          <w:spacing w:val="-3"/>
          <w:sz w:val="24"/>
          <w:szCs w:val="24"/>
        </w:rPr>
        <w:t>kaliumchlorid</w:t>
      </w:r>
      <w:proofErr w:type="spellEnd"/>
      <w:r w:rsidRPr="00052D27">
        <w:rPr>
          <w:spacing w:val="-3"/>
          <w:sz w:val="24"/>
          <w:szCs w:val="24"/>
        </w:rPr>
        <w:t>.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4.7</w:t>
      </w:r>
      <w:r w:rsidRPr="00052D27">
        <w:rPr>
          <w:b/>
          <w:sz w:val="24"/>
          <w:szCs w:val="24"/>
        </w:rPr>
        <w:tab/>
        <w:t xml:space="preserve">Virkning på evnen til at føre motorkøretøj </w:t>
      </w:r>
      <w:r w:rsidR="008A752E">
        <w:rPr>
          <w:b/>
          <w:sz w:val="24"/>
          <w:szCs w:val="24"/>
        </w:rPr>
        <w:t>og</w:t>
      </w:r>
      <w:r w:rsidRPr="00052D27">
        <w:rPr>
          <w:b/>
          <w:sz w:val="24"/>
          <w:szCs w:val="24"/>
        </w:rPr>
        <w:t xml:space="preserve"> betjene maskiner</w:t>
      </w:r>
    </w:p>
    <w:p w:rsidR="00C37903" w:rsidRDefault="00C37903" w:rsidP="009F6675">
      <w:pPr>
        <w:ind w:left="851"/>
        <w:rPr>
          <w:sz w:val="24"/>
          <w:szCs w:val="24"/>
        </w:rPr>
      </w:pPr>
      <w:r w:rsidRPr="00D24DE5">
        <w:rPr>
          <w:sz w:val="24"/>
          <w:szCs w:val="24"/>
        </w:rPr>
        <w:t>Ikke mærkning.</w:t>
      </w:r>
    </w:p>
    <w:p w:rsidR="009F6675" w:rsidRPr="00773E2B" w:rsidRDefault="009F6675" w:rsidP="009F6675">
      <w:pPr>
        <w:ind w:left="851"/>
        <w:rPr>
          <w:color w:val="000000"/>
          <w:spacing w:val="-3"/>
          <w:sz w:val="24"/>
          <w:szCs w:val="24"/>
        </w:rPr>
      </w:pPr>
      <w:proofErr w:type="spellStart"/>
      <w:r w:rsidRPr="00052D27">
        <w:rPr>
          <w:color w:val="000000"/>
          <w:spacing w:val="-3"/>
          <w:sz w:val="24"/>
          <w:szCs w:val="24"/>
        </w:rPr>
        <w:t>Bendro</w:t>
      </w:r>
      <w:r>
        <w:rPr>
          <w:color w:val="000000"/>
          <w:spacing w:val="-3"/>
          <w:sz w:val="24"/>
          <w:szCs w:val="24"/>
        </w:rPr>
        <w:t>za</w:t>
      </w:r>
      <w:proofErr w:type="spellEnd"/>
      <w:r w:rsidRPr="00052D27">
        <w:rPr>
          <w:color w:val="000000"/>
          <w:spacing w:val="-3"/>
          <w:sz w:val="24"/>
          <w:szCs w:val="24"/>
        </w:rPr>
        <w:t xml:space="preserve"> påvirker ikke eller kun i ubetydelig grad </w:t>
      </w:r>
      <w:r>
        <w:rPr>
          <w:color w:val="000000"/>
          <w:spacing w:val="-3"/>
          <w:sz w:val="24"/>
          <w:szCs w:val="24"/>
        </w:rPr>
        <w:t xml:space="preserve">direkte </w:t>
      </w:r>
      <w:r w:rsidRPr="00052D27">
        <w:rPr>
          <w:color w:val="000000"/>
          <w:spacing w:val="-3"/>
          <w:sz w:val="24"/>
          <w:szCs w:val="24"/>
        </w:rPr>
        <w:t>evnen til at føre motorkøretøj eller betjene maskiner.</w:t>
      </w:r>
      <w:r w:rsidRPr="00773E2B">
        <w:rPr>
          <w:sz w:val="24"/>
          <w:lang w:eastAsia="da-DK"/>
        </w:rPr>
        <w:t xml:space="preserve"> </w:t>
      </w:r>
      <w:r w:rsidRPr="00773E2B">
        <w:rPr>
          <w:color w:val="000000"/>
          <w:spacing w:val="-3"/>
          <w:sz w:val="24"/>
          <w:szCs w:val="24"/>
        </w:rPr>
        <w:t>Dog skal patienten informeres om, at der kan forekomme svimmelhed under behandlingen og tage de nødvendige forholdsregler under kørsel og ved betjening af maskiner.</w:t>
      </w:r>
    </w:p>
    <w:p w:rsidR="00EF0437" w:rsidRDefault="00EF0437">
      <w:pPr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4.8</w:t>
      </w:r>
      <w:r w:rsidRPr="00052D27">
        <w:rPr>
          <w:b/>
          <w:sz w:val="24"/>
          <w:szCs w:val="24"/>
        </w:rPr>
        <w:tab/>
        <w:t>Bivirkninger</w:t>
      </w:r>
    </w:p>
    <w:p w:rsidR="009F6675" w:rsidRPr="00052D27" w:rsidRDefault="009F6675" w:rsidP="009F6675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Beregningen</w:t>
      </w:r>
      <w:r w:rsidRPr="00052D27">
        <w:rPr>
          <w:sz w:val="24"/>
          <w:szCs w:val="24"/>
        </w:rPr>
        <w:t xml:space="preserve"> af </w:t>
      </w:r>
      <w:r>
        <w:rPr>
          <w:sz w:val="24"/>
          <w:szCs w:val="24"/>
        </w:rPr>
        <w:t>hyppigheden af</w:t>
      </w:r>
      <w:r w:rsidRPr="00052D27">
        <w:rPr>
          <w:sz w:val="24"/>
          <w:szCs w:val="24"/>
        </w:rPr>
        <w:t xml:space="preserve"> bivirkninger</w:t>
      </w:r>
      <w:r>
        <w:rPr>
          <w:sz w:val="24"/>
          <w:szCs w:val="24"/>
        </w:rPr>
        <w:t xml:space="preserve"> er baseret på en samlet analyse af data fra kliniske studier og spontane rapporter</w:t>
      </w:r>
      <w:r w:rsidRPr="00052D27">
        <w:rPr>
          <w:sz w:val="24"/>
          <w:szCs w:val="24"/>
        </w:rPr>
        <w:t>.</w:t>
      </w:r>
    </w:p>
    <w:p w:rsidR="009F6675" w:rsidRPr="00773E2B" w:rsidRDefault="009F6675" w:rsidP="009F667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773E2B">
        <w:rPr>
          <w:spacing w:val="-3"/>
          <w:sz w:val="24"/>
          <w:szCs w:val="24"/>
        </w:rPr>
        <w:t xml:space="preserve">På baggrund af en samlet analyse af data fra kliniske studier med mere end 250 patienter forventes 12 % af patienter, som har indtaget </w:t>
      </w:r>
      <w:proofErr w:type="spellStart"/>
      <w:r w:rsidRPr="00773E2B">
        <w:rPr>
          <w:spacing w:val="-3"/>
          <w:sz w:val="24"/>
          <w:szCs w:val="24"/>
        </w:rPr>
        <w:t>bendroflumethiazid</w:t>
      </w:r>
      <w:proofErr w:type="spellEnd"/>
      <w:r w:rsidRPr="00773E2B">
        <w:rPr>
          <w:spacing w:val="-3"/>
          <w:sz w:val="24"/>
          <w:szCs w:val="24"/>
        </w:rPr>
        <w:t>, at opleve bivirkninger.</w:t>
      </w:r>
    </w:p>
    <w:p w:rsidR="009F6675" w:rsidRDefault="009F6675" w:rsidP="009F6675">
      <w:pPr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9F6675" w:rsidRPr="00052D27" w:rsidRDefault="009F6675" w:rsidP="009F6675">
      <w:pPr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 xml:space="preserve">De mest almindelige bivirkninger er </w:t>
      </w:r>
      <w:proofErr w:type="gramStart"/>
      <w:r w:rsidRPr="00052D27">
        <w:rPr>
          <w:spacing w:val="-3"/>
          <w:sz w:val="24"/>
          <w:szCs w:val="24"/>
        </w:rPr>
        <w:t>svimmelhed</w:t>
      </w:r>
      <w:r>
        <w:rPr>
          <w:spacing w:val="-3"/>
          <w:sz w:val="24"/>
          <w:szCs w:val="24"/>
        </w:rPr>
        <w:t>(</w:t>
      </w:r>
      <w:proofErr w:type="gramEnd"/>
      <w:r>
        <w:rPr>
          <w:spacing w:val="-3"/>
          <w:sz w:val="24"/>
          <w:szCs w:val="24"/>
        </w:rPr>
        <w:t>inkl.</w:t>
      </w:r>
      <w:r w:rsidRPr="00052D27">
        <w:rPr>
          <w:spacing w:val="-3"/>
          <w:sz w:val="24"/>
          <w:szCs w:val="24"/>
        </w:rPr>
        <w:t xml:space="preserve"> </w:t>
      </w:r>
      <w:proofErr w:type="spellStart"/>
      <w:r w:rsidRPr="00052D27">
        <w:rPr>
          <w:spacing w:val="-3"/>
          <w:sz w:val="24"/>
          <w:szCs w:val="24"/>
        </w:rPr>
        <w:t>ortostatisk</w:t>
      </w:r>
      <w:proofErr w:type="spellEnd"/>
      <w:r w:rsidRPr="00052D27"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hypotention</w:t>
      </w:r>
      <w:proofErr w:type="spellEnd"/>
      <w:r>
        <w:rPr>
          <w:spacing w:val="-3"/>
          <w:sz w:val="24"/>
          <w:szCs w:val="24"/>
        </w:rPr>
        <w:t xml:space="preserve"> og </w:t>
      </w:r>
      <w:proofErr w:type="spellStart"/>
      <w:r>
        <w:rPr>
          <w:spacing w:val="-3"/>
          <w:sz w:val="24"/>
          <w:szCs w:val="24"/>
        </w:rPr>
        <w:t>vertigo</w:t>
      </w:r>
      <w:proofErr w:type="spellEnd"/>
      <w:r>
        <w:rPr>
          <w:spacing w:val="-3"/>
          <w:sz w:val="24"/>
          <w:szCs w:val="24"/>
        </w:rPr>
        <w:t xml:space="preserve">) samt hovedpine. </w:t>
      </w:r>
      <w:r w:rsidRPr="00773E2B">
        <w:rPr>
          <w:sz w:val="24"/>
          <w:lang w:val="nb-NO" w:eastAsia="da-DK"/>
        </w:rPr>
        <w:t xml:space="preserve"> </w:t>
      </w:r>
      <w:r w:rsidRPr="00773E2B">
        <w:rPr>
          <w:spacing w:val="-3"/>
          <w:sz w:val="24"/>
          <w:szCs w:val="24"/>
          <w:lang w:val="nb-NO"/>
        </w:rPr>
        <w:t>Hver af disse bivirkninger opleves af ca. 5% af de behandlede patienter. Træthed opleves af ca. 4% af de behandlede patienter. Hypokaliæmi og elektrolytforstyrrelser kan forekomme især ved langtidsbehandling</w:t>
      </w:r>
      <w:r w:rsidRPr="00092E85">
        <w:rPr>
          <w:spacing w:val="-3"/>
          <w:sz w:val="24"/>
          <w:szCs w:val="24"/>
          <w:lang w:val="nb-NO"/>
        </w:rPr>
        <w:t>.</w:t>
      </w:r>
    </w:p>
    <w:p w:rsidR="009F6675" w:rsidRPr="00773E2B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</w:r>
      <w:r w:rsidRPr="00773E2B">
        <w:rPr>
          <w:spacing w:val="-3"/>
          <w:sz w:val="24"/>
          <w:szCs w:val="24"/>
        </w:rPr>
        <w:t>Nyresvigt er rapporteret i post-marketing sikkerhedsovervågning.</w:t>
      </w:r>
    </w:p>
    <w:p w:rsidR="009F6675" w:rsidRPr="00773E2B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</w:p>
    <w:p w:rsidR="009F6675" w:rsidRPr="00773E2B" w:rsidRDefault="009F6675" w:rsidP="009F6675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  <w:r w:rsidRPr="00773E2B">
        <w:rPr>
          <w:spacing w:val="-3"/>
          <w:sz w:val="24"/>
          <w:szCs w:val="24"/>
        </w:rPr>
        <w:t xml:space="preserve">Bivirkninger er listet efter </w:t>
      </w:r>
      <w:proofErr w:type="spellStart"/>
      <w:r w:rsidRPr="00773E2B">
        <w:rPr>
          <w:spacing w:val="-3"/>
          <w:sz w:val="24"/>
          <w:szCs w:val="24"/>
        </w:rPr>
        <w:t>MedDRA</w:t>
      </w:r>
      <w:proofErr w:type="spellEnd"/>
      <w:r w:rsidRPr="00773E2B">
        <w:rPr>
          <w:spacing w:val="-3"/>
          <w:sz w:val="24"/>
          <w:szCs w:val="24"/>
        </w:rPr>
        <w:t>-systemorganklasse (SOC), og de enkelte bivirkninger er listet startende med den hyppigst rapporterede først. Inden for hver enkelt frekvensgruppe er bivirkningerne opstillet i rækkefølge efter faldende grad af alvorlighed.</w:t>
      </w:r>
    </w:p>
    <w:p w:rsidR="009F6675" w:rsidRPr="00773E2B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</w:p>
    <w:p w:rsidR="009F6675" w:rsidRPr="00773E2B" w:rsidRDefault="009F6675" w:rsidP="009F6675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  <w:r w:rsidRPr="00773E2B">
        <w:rPr>
          <w:spacing w:val="-3"/>
          <w:sz w:val="24"/>
          <w:szCs w:val="24"/>
        </w:rPr>
        <w:lastRenderedPageBreak/>
        <w:t>Meget almindelig (≥ 1/10)</w:t>
      </w:r>
    </w:p>
    <w:p w:rsidR="009F6675" w:rsidRPr="00773E2B" w:rsidRDefault="009F6675" w:rsidP="009F6675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  <w:r w:rsidRPr="00773E2B">
        <w:rPr>
          <w:spacing w:val="-3"/>
          <w:sz w:val="24"/>
          <w:szCs w:val="24"/>
        </w:rPr>
        <w:t>Almindelig (≥ 1/100 til &lt;1/10)</w:t>
      </w:r>
    </w:p>
    <w:p w:rsidR="009F6675" w:rsidRPr="00773E2B" w:rsidRDefault="009F6675" w:rsidP="009F6675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  <w:r w:rsidRPr="00773E2B">
        <w:rPr>
          <w:spacing w:val="-3"/>
          <w:sz w:val="24"/>
          <w:szCs w:val="24"/>
        </w:rPr>
        <w:t>Ikke almindelig (≥ 1/1.000 til &lt;1/100)</w:t>
      </w:r>
    </w:p>
    <w:p w:rsidR="009F6675" w:rsidRPr="00773E2B" w:rsidRDefault="009F6675" w:rsidP="009F6675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  <w:r w:rsidRPr="00773E2B">
        <w:rPr>
          <w:spacing w:val="-3"/>
          <w:sz w:val="24"/>
          <w:szCs w:val="24"/>
        </w:rPr>
        <w:t>Sjælden (≥ 1/10.000 til &lt;1/1.000)</w:t>
      </w:r>
    </w:p>
    <w:p w:rsidR="009F6675" w:rsidRPr="00773E2B" w:rsidRDefault="009F6675" w:rsidP="009F6675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  <w:r w:rsidRPr="00773E2B">
        <w:rPr>
          <w:spacing w:val="-3"/>
          <w:sz w:val="24"/>
          <w:szCs w:val="24"/>
        </w:rPr>
        <w:t>Meget sjælden (&lt;1/10.000)</w:t>
      </w:r>
    </w:p>
    <w:p w:rsidR="009F6675" w:rsidRPr="00773E2B" w:rsidRDefault="009F6675" w:rsidP="009F6675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  <w:r w:rsidRPr="00773E2B">
        <w:rPr>
          <w:spacing w:val="-3"/>
          <w:sz w:val="24"/>
          <w:szCs w:val="24"/>
        </w:rPr>
        <w:t>Ikke kendt (kan ikke estimeres ud fra forhåndenværende data)</w:t>
      </w:r>
    </w:p>
    <w:p w:rsidR="009F6675" w:rsidRPr="00052D27" w:rsidRDefault="009F6675" w:rsidP="009F667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</w:r>
    </w:p>
    <w:tbl>
      <w:tblPr>
        <w:tblW w:w="885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8"/>
        <w:gridCol w:w="4429"/>
      </w:tblGrid>
      <w:tr w:rsidR="009F6675" w:rsidRPr="00052D27" w:rsidTr="00092E85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052D27" w:rsidRDefault="009F6675" w:rsidP="00092E85">
            <w:pPr>
              <w:keepNext/>
              <w:ind w:hanging="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 endokrine system</w:t>
            </w:r>
          </w:p>
        </w:tc>
      </w:tr>
      <w:tr w:rsidR="009F6675" w:rsidRPr="00052D27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CC79F5" w:rsidRDefault="009F6675" w:rsidP="00092E85">
            <w:pPr>
              <w:keepNext/>
              <w:ind w:hanging="6"/>
              <w:rPr>
                <w:b/>
                <w:sz w:val="24"/>
                <w:szCs w:val="24"/>
              </w:rPr>
            </w:pPr>
            <w:r w:rsidRPr="00092E85">
              <w:rPr>
                <w:rFonts w:eastAsia="Calibri"/>
                <w:sz w:val="24"/>
                <w:szCs w:val="24"/>
              </w:rPr>
              <w:t>Ikke almindelig (≥1/1.000 til &lt;1/100)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092E85" w:rsidRDefault="009F6675" w:rsidP="00092E8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092E85">
              <w:rPr>
                <w:rFonts w:eastAsia="Calibri"/>
                <w:sz w:val="24"/>
                <w:szCs w:val="24"/>
              </w:rPr>
              <w:t>Hyperparathyreoidisme</w:t>
            </w:r>
            <w:proofErr w:type="spellEnd"/>
          </w:p>
          <w:p w:rsidR="009F6675" w:rsidRPr="00FD3698" w:rsidRDefault="009F6675" w:rsidP="00092E85">
            <w:pPr>
              <w:keepNext/>
              <w:ind w:hanging="6"/>
              <w:rPr>
                <w:sz w:val="24"/>
                <w:szCs w:val="24"/>
              </w:rPr>
            </w:pPr>
          </w:p>
        </w:tc>
      </w:tr>
      <w:tr w:rsidR="009F6675" w:rsidRPr="00052D27" w:rsidTr="00092E85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keepNext/>
              <w:ind w:hanging="6"/>
              <w:rPr>
                <w:sz w:val="24"/>
                <w:szCs w:val="24"/>
              </w:rPr>
            </w:pPr>
            <w:r w:rsidRPr="00FD3698">
              <w:rPr>
                <w:b/>
                <w:sz w:val="24"/>
                <w:szCs w:val="24"/>
              </w:rPr>
              <w:t>Metabolisme og ernæring</w:t>
            </w:r>
          </w:p>
        </w:tc>
      </w:tr>
      <w:tr w:rsidR="009F6675" w:rsidRPr="00052D27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052D27" w:rsidRDefault="009F6675" w:rsidP="00092E85">
            <w:pPr>
              <w:keepNext/>
              <w:ind w:hanging="6"/>
              <w:rPr>
                <w:sz w:val="24"/>
                <w:szCs w:val="24"/>
              </w:rPr>
            </w:pPr>
            <w:r w:rsidRPr="00CC79F5">
              <w:rPr>
                <w:sz w:val="24"/>
                <w:szCs w:val="24"/>
              </w:rPr>
              <w:t>Almindelig (≥1/100 til &lt;1/10)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keepNext/>
              <w:ind w:hanging="6"/>
              <w:rPr>
                <w:sz w:val="24"/>
                <w:szCs w:val="24"/>
              </w:rPr>
            </w:pPr>
            <w:proofErr w:type="spellStart"/>
            <w:r w:rsidRPr="00FD3698">
              <w:rPr>
                <w:sz w:val="24"/>
                <w:szCs w:val="24"/>
              </w:rPr>
              <w:t>Hypokaliæmi</w:t>
            </w:r>
            <w:proofErr w:type="spellEnd"/>
          </w:p>
          <w:p w:rsidR="009F6675" w:rsidRDefault="009F6675" w:rsidP="00092E85">
            <w:pPr>
              <w:keepNext/>
              <w:ind w:hanging="6"/>
              <w:rPr>
                <w:sz w:val="24"/>
                <w:szCs w:val="24"/>
              </w:rPr>
            </w:pPr>
            <w:proofErr w:type="spellStart"/>
            <w:r w:rsidRPr="00FD3698">
              <w:rPr>
                <w:sz w:val="24"/>
                <w:szCs w:val="24"/>
              </w:rPr>
              <w:t>Hyperurikæmi</w:t>
            </w:r>
            <w:proofErr w:type="spellEnd"/>
            <w:r w:rsidRPr="00FD3698">
              <w:rPr>
                <w:sz w:val="24"/>
                <w:szCs w:val="24"/>
              </w:rPr>
              <w:t xml:space="preserve"> og </w:t>
            </w:r>
            <w:proofErr w:type="spellStart"/>
            <w:r w:rsidRPr="00FD3698">
              <w:rPr>
                <w:sz w:val="24"/>
                <w:szCs w:val="24"/>
              </w:rPr>
              <w:t>arthritis</w:t>
            </w:r>
            <w:proofErr w:type="spellEnd"/>
            <w:r w:rsidRPr="00FD3698">
              <w:rPr>
                <w:sz w:val="24"/>
                <w:szCs w:val="24"/>
              </w:rPr>
              <w:t xml:space="preserve"> </w:t>
            </w:r>
            <w:proofErr w:type="spellStart"/>
            <w:r w:rsidRPr="00FD3698">
              <w:rPr>
                <w:sz w:val="24"/>
                <w:szCs w:val="24"/>
              </w:rPr>
              <w:t>urica</w:t>
            </w:r>
            <w:proofErr w:type="spellEnd"/>
            <w:r w:rsidRPr="00FD3698" w:rsidDel="00CC79F5">
              <w:rPr>
                <w:sz w:val="24"/>
                <w:szCs w:val="24"/>
              </w:rPr>
              <w:t xml:space="preserve"> </w:t>
            </w:r>
          </w:p>
          <w:p w:rsidR="009F6675" w:rsidRPr="00FD3698" w:rsidRDefault="009F6675" w:rsidP="00092E85">
            <w:pPr>
              <w:keepNext/>
              <w:ind w:hanging="6"/>
              <w:rPr>
                <w:i/>
                <w:sz w:val="24"/>
                <w:szCs w:val="24"/>
              </w:rPr>
            </w:pPr>
          </w:p>
        </w:tc>
      </w:tr>
      <w:tr w:rsidR="009F6675" w:rsidRPr="00052D27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052D27" w:rsidRDefault="009F6675" w:rsidP="00092E85">
            <w:pPr>
              <w:keepNext/>
              <w:ind w:hanging="6"/>
              <w:rPr>
                <w:sz w:val="24"/>
                <w:szCs w:val="24"/>
              </w:rPr>
            </w:pPr>
            <w:r w:rsidRPr="00052D27">
              <w:rPr>
                <w:sz w:val="24"/>
                <w:szCs w:val="24"/>
              </w:rPr>
              <w:t>Ikke almindelig (</w:t>
            </w:r>
            <w:r w:rsidRPr="00CC79F5">
              <w:rPr>
                <w:sz w:val="24"/>
                <w:szCs w:val="24"/>
              </w:rPr>
              <w:t>≥</w:t>
            </w:r>
            <w:r w:rsidRPr="00052D27">
              <w:rPr>
                <w:sz w:val="24"/>
                <w:szCs w:val="24"/>
              </w:rPr>
              <w:t>1/1</w:t>
            </w:r>
            <w:r>
              <w:rPr>
                <w:sz w:val="24"/>
                <w:szCs w:val="24"/>
              </w:rPr>
              <w:t>.</w:t>
            </w:r>
            <w:r w:rsidRPr="00052D27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til</w:t>
            </w:r>
            <w:r w:rsidRPr="00052D27">
              <w:rPr>
                <w:sz w:val="24"/>
                <w:szCs w:val="24"/>
              </w:rPr>
              <w:t xml:space="preserve"> &lt;1/100)</w:t>
            </w:r>
          </w:p>
          <w:p w:rsidR="009F6675" w:rsidRPr="00052D27" w:rsidRDefault="009F6675" w:rsidP="00092E85">
            <w:pPr>
              <w:keepNext/>
              <w:ind w:hanging="6"/>
              <w:rPr>
                <w:i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keepNext/>
              <w:ind w:hanging="6"/>
              <w:rPr>
                <w:sz w:val="24"/>
                <w:szCs w:val="24"/>
              </w:rPr>
            </w:pPr>
            <w:r w:rsidRPr="00FD3698">
              <w:rPr>
                <w:sz w:val="24"/>
                <w:szCs w:val="24"/>
              </w:rPr>
              <w:t>Diabetes mellitus</w:t>
            </w:r>
          </w:p>
          <w:p w:rsidR="009F6675" w:rsidRPr="00FD3698" w:rsidRDefault="009F6675" w:rsidP="00092E85">
            <w:pPr>
              <w:keepNext/>
              <w:ind w:hanging="6"/>
              <w:rPr>
                <w:sz w:val="24"/>
                <w:szCs w:val="24"/>
              </w:rPr>
            </w:pPr>
            <w:r w:rsidRPr="00FD3698">
              <w:rPr>
                <w:sz w:val="24"/>
                <w:szCs w:val="24"/>
              </w:rPr>
              <w:t>Forstyrrelser i syre-base balancen</w:t>
            </w:r>
          </w:p>
          <w:p w:rsidR="009F6675" w:rsidRPr="00FD3698" w:rsidRDefault="009F6675" w:rsidP="00092E85">
            <w:pPr>
              <w:keepNext/>
              <w:rPr>
                <w:sz w:val="24"/>
                <w:szCs w:val="24"/>
              </w:rPr>
            </w:pPr>
            <w:r w:rsidRPr="00FD3698">
              <w:rPr>
                <w:sz w:val="24"/>
                <w:szCs w:val="24"/>
              </w:rPr>
              <w:t>Dehydrering</w:t>
            </w:r>
          </w:p>
          <w:p w:rsidR="009F6675" w:rsidRPr="00FD3698" w:rsidRDefault="009F6675" w:rsidP="00092E85">
            <w:pPr>
              <w:keepNext/>
              <w:ind w:hanging="6"/>
              <w:rPr>
                <w:sz w:val="24"/>
                <w:szCs w:val="24"/>
              </w:rPr>
            </w:pPr>
            <w:proofErr w:type="spellStart"/>
            <w:r w:rsidRPr="00FD3698">
              <w:rPr>
                <w:sz w:val="24"/>
                <w:szCs w:val="24"/>
              </w:rPr>
              <w:t>Hypokloræmi</w:t>
            </w:r>
            <w:proofErr w:type="spellEnd"/>
          </w:p>
          <w:p w:rsidR="009F6675" w:rsidRPr="00FD3698" w:rsidRDefault="009F6675" w:rsidP="00092E85">
            <w:pPr>
              <w:keepNext/>
              <w:ind w:hanging="6"/>
              <w:rPr>
                <w:sz w:val="24"/>
                <w:szCs w:val="24"/>
              </w:rPr>
            </w:pPr>
            <w:proofErr w:type="spellStart"/>
            <w:r w:rsidRPr="00FD3698">
              <w:rPr>
                <w:sz w:val="24"/>
                <w:szCs w:val="24"/>
              </w:rPr>
              <w:t>Hyponatriæmi</w:t>
            </w:r>
            <w:proofErr w:type="spellEnd"/>
            <w:r w:rsidRPr="00FD3698" w:rsidDel="00C05727">
              <w:rPr>
                <w:sz w:val="24"/>
                <w:szCs w:val="24"/>
              </w:rPr>
              <w:t xml:space="preserve"> </w:t>
            </w:r>
          </w:p>
          <w:p w:rsidR="009F6675" w:rsidRPr="00092E85" w:rsidRDefault="009F6675" w:rsidP="00092E85">
            <w:pPr>
              <w:keepNext/>
              <w:ind w:hanging="6"/>
              <w:rPr>
                <w:sz w:val="24"/>
                <w:szCs w:val="24"/>
              </w:rPr>
            </w:pPr>
            <w:proofErr w:type="spellStart"/>
            <w:r w:rsidRPr="00092E85">
              <w:rPr>
                <w:sz w:val="24"/>
                <w:szCs w:val="24"/>
              </w:rPr>
              <w:t>Hypocalcæmi</w:t>
            </w:r>
            <w:proofErr w:type="spellEnd"/>
          </w:p>
          <w:p w:rsidR="009F6675" w:rsidRPr="00092E85" w:rsidRDefault="009F6675" w:rsidP="00092E85">
            <w:pPr>
              <w:keepNext/>
              <w:ind w:hanging="6"/>
              <w:rPr>
                <w:sz w:val="24"/>
                <w:szCs w:val="24"/>
              </w:rPr>
            </w:pPr>
            <w:proofErr w:type="spellStart"/>
            <w:r w:rsidRPr="00092E85">
              <w:rPr>
                <w:sz w:val="24"/>
                <w:szCs w:val="24"/>
              </w:rPr>
              <w:t>Hypomagnesæmi</w:t>
            </w:r>
            <w:proofErr w:type="spellEnd"/>
          </w:p>
          <w:p w:rsidR="009F6675" w:rsidRPr="00092E85" w:rsidRDefault="009F6675" w:rsidP="00092E85">
            <w:pPr>
              <w:keepNext/>
              <w:ind w:hanging="6"/>
              <w:rPr>
                <w:sz w:val="24"/>
                <w:szCs w:val="24"/>
              </w:rPr>
            </w:pPr>
            <w:r w:rsidRPr="00092E85">
              <w:rPr>
                <w:sz w:val="24"/>
                <w:szCs w:val="24"/>
              </w:rPr>
              <w:t>Øget vægt</w:t>
            </w:r>
          </w:p>
          <w:p w:rsidR="009F6675" w:rsidRPr="00FD3698" w:rsidRDefault="009F6675" w:rsidP="00092E85">
            <w:pPr>
              <w:keepNext/>
              <w:ind w:hanging="6"/>
              <w:rPr>
                <w:sz w:val="24"/>
                <w:szCs w:val="24"/>
              </w:rPr>
            </w:pPr>
          </w:p>
        </w:tc>
      </w:tr>
      <w:tr w:rsidR="009F6675" w:rsidRPr="00052D27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C05727" w:rsidDel="00CC79F5" w:rsidRDefault="009F6675" w:rsidP="00092E85">
            <w:pPr>
              <w:keepNext/>
              <w:ind w:hanging="6"/>
              <w:rPr>
                <w:b/>
                <w:sz w:val="24"/>
                <w:szCs w:val="24"/>
              </w:rPr>
            </w:pPr>
            <w:r w:rsidRPr="00092E85">
              <w:rPr>
                <w:rFonts w:eastAsia="Calibri"/>
                <w:sz w:val="24"/>
                <w:szCs w:val="24"/>
              </w:rPr>
              <w:t>Ikke kendt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keepNext/>
              <w:ind w:hanging="6"/>
              <w:rPr>
                <w:sz w:val="24"/>
                <w:szCs w:val="24"/>
              </w:rPr>
            </w:pPr>
            <w:proofErr w:type="spellStart"/>
            <w:r w:rsidRPr="00092E85">
              <w:rPr>
                <w:rFonts w:eastAsia="Calibri"/>
                <w:sz w:val="24"/>
                <w:szCs w:val="24"/>
              </w:rPr>
              <w:t>Hypercalcæmi</w:t>
            </w:r>
            <w:proofErr w:type="spellEnd"/>
          </w:p>
        </w:tc>
      </w:tr>
      <w:tr w:rsidR="009F6675" w:rsidRPr="00052D27" w:rsidTr="00092E85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C05727" w:rsidRDefault="009F6675" w:rsidP="00092E85">
            <w:pPr>
              <w:ind w:hanging="4"/>
              <w:rPr>
                <w:rFonts w:eastAsia="Calibri"/>
                <w:sz w:val="24"/>
                <w:szCs w:val="24"/>
              </w:rPr>
            </w:pPr>
            <w:r w:rsidRPr="00052D27">
              <w:rPr>
                <w:b/>
                <w:sz w:val="24"/>
                <w:szCs w:val="24"/>
                <w:lang w:val="nb-NO"/>
              </w:rPr>
              <w:t>Nervesystemet</w:t>
            </w:r>
          </w:p>
        </w:tc>
      </w:tr>
      <w:tr w:rsidR="009F6675" w:rsidRPr="00052D27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Del="00C05727" w:rsidRDefault="009F6675" w:rsidP="00092E85">
            <w:pPr>
              <w:ind w:hanging="4"/>
              <w:rPr>
                <w:b/>
                <w:sz w:val="24"/>
                <w:szCs w:val="24"/>
                <w:lang w:val="nb-NO"/>
              </w:rPr>
            </w:pPr>
            <w:r w:rsidRPr="00092E85">
              <w:rPr>
                <w:rFonts w:eastAsia="Calibri"/>
                <w:sz w:val="24"/>
                <w:szCs w:val="24"/>
              </w:rPr>
              <w:t>Almindelig (≥1/100 til &lt;1/10)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r w:rsidRPr="00FD3698">
              <w:rPr>
                <w:sz w:val="24"/>
                <w:szCs w:val="24"/>
              </w:rPr>
              <w:t>Svimmelhed (</w:t>
            </w:r>
            <w:proofErr w:type="spellStart"/>
            <w:r w:rsidRPr="00FD3698">
              <w:rPr>
                <w:sz w:val="24"/>
                <w:szCs w:val="24"/>
              </w:rPr>
              <w:t>incl</w:t>
            </w:r>
            <w:proofErr w:type="spellEnd"/>
            <w:r w:rsidRPr="00FD3698">
              <w:rPr>
                <w:sz w:val="24"/>
                <w:szCs w:val="24"/>
              </w:rPr>
              <w:t xml:space="preserve">. </w:t>
            </w:r>
            <w:proofErr w:type="spellStart"/>
            <w:r w:rsidRPr="00FD3698">
              <w:rPr>
                <w:sz w:val="24"/>
                <w:szCs w:val="24"/>
              </w:rPr>
              <w:t>ortostatisk</w:t>
            </w:r>
            <w:proofErr w:type="spellEnd"/>
            <w:r w:rsidRPr="00FD3698">
              <w:rPr>
                <w:sz w:val="24"/>
                <w:szCs w:val="24"/>
              </w:rPr>
              <w:t xml:space="preserve"> hypotension og </w:t>
            </w:r>
            <w:proofErr w:type="spellStart"/>
            <w:r w:rsidRPr="00FD3698">
              <w:rPr>
                <w:sz w:val="24"/>
                <w:szCs w:val="24"/>
              </w:rPr>
              <w:t>vertigo</w:t>
            </w:r>
            <w:proofErr w:type="spellEnd"/>
            <w:r w:rsidRPr="00FD3698">
              <w:rPr>
                <w:sz w:val="24"/>
                <w:szCs w:val="24"/>
              </w:rPr>
              <w:t>)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r w:rsidRPr="00FD3698">
              <w:rPr>
                <w:sz w:val="24"/>
                <w:szCs w:val="24"/>
              </w:rPr>
              <w:t>Hovedpine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r w:rsidRPr="00FD3698">
              <w:rPr>
                <w:sz w:val="24"/>
                <w:szCs w:val="24"/>
              </w:rPr>
              <w:t>Træthed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</w:p>
        </w:tc>
      </w:tr>
      <w:tr w:rsidR="009F6675" w:rsidRPr="00052D27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r w:rsidRPr="00FD3698">
              <w:rPr>
                <w:sz w:val="24"/>
                <w:szCs w:val="24"/>
              </w:rPr>
              <w:t>Ikke almindelig (</w:t>
            </w:r>
            <w:r w:rsidRPr="00FD3698">
              <w:rPr>
                <w:rFonts w:eastAsia="Calibri"/>
                <w:sz w:val="22"/>
                <w:szCs w:val="22"/>
              </w:rPr>
              <w:t>≥</w:t>
            </w:r>
            <w:r w:rsidRPr="00FD3698">
              <w:rPr>
                <w:sz w:val="24"/>
                <w:szCs w:val="24"/>
              </w:rPr>
              <w:t>1/1.000 til &lt;1/100)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r w:rsidRPr="00FD3698">
              <w:rPr>
                <w:sz w:val="24"/>
                <w:szCs w:val="24"/>
              </w:rPr>
              <w:t>Synkope</w:t>
            </w:r>
          </w:p>
          <w:p w:rsidR="009F6675" w:rsidRPr="00092E85" w:rsidRDefault="009F6675" w:rsidP="00092E85">
            <w:pPr>
              <w:ind w:hanging="4"/>
              <w:rPr>
                <w:sz w:val="24"/>
                <w:szCs w:val="24"/>
              </w:rPr>
            </w:pPr>
            <w:proofErr w:type="spellStart"/>
            <w:r w:rsidRPr="00FD3698">
              <w:rPr>
                <w:sz w:val="24"/>
                <w:szCs w:val="24"/>
              </w:rPr>
              <w:t>Ataksi</w:t>
            </w:r>
            <w:proofErr w:type="spellEnd"/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proofErr w:type="spellStart"/>
            <w:r w:rsidRPr="00FD3698">
              <w:rPr>
                <w:sz w:val="24"/>
                <w:szCs w:val="24"/>
              </w:rPr>
              <w:t>Paræstesi</w:t>
            </w:r>
            <w:proofErr w:type="spellEnd"/>
          </w:p>
          <w:p w:rsidR="009F6675" w:rsidRPr="00092E85" w:rsidRDefault="009F6675" w:rsidP="00092E85">
            <w:pPr>
              <w:ind w:hanging="4"/>
              <w:rPr>
                <w:sz w:val="24"/>
                <w:szCs w:val="24"/>
              </w:rPr>
            </w:pPr>
            <w:proofErr w:type="spellStart"/>
            <w:r w:rsidRPr="00FD3698">
              <w:rPr>
                <w:sz w:val="24"/>
                <w:szCs w:val="24"/>
              </w:rPr>
              <w:t>Dysgeusi</w:t>
            </w:r>
            <w:proofErr w:type="spellEnd"/>
          </w:p>
          <w:p w:rsidR="009F6675" w:rsidRPr="00FD3698" w:rsidRDefault="009F6675" w:rsidP="00092E85">
            <w:pPr>
              <w:ind w:hanging="4"/>
              <w:rPr>
                <w:i/>
                <w:sz w:val="24"/>
                <w:szCs w:val="24"/>
              </w:rPr>
            </w:pPr>
          </w:p>
        </w:tc>
      </w:tr>
      <w:tr w:rsidR="009F6675" w:rsidRPr="00052D27" w:rsidTr="00092E85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r w:rsidRPr="00FD3698">
              <w:rPr>
                <w:b/>
                <w:sz w:val="24"/>
                <w:szCs w:val="24"/>
                <w:lang w:val="nb-NO"/>
              </w:rPr>
              <w:t>Psykiske forstyrrelser</w:t>
            </w:r>
          </w:p>
        </w:tc>
      </w:tr>
      <w:tr w:rsidR="009F6675" w:rsidRPr="00680F31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ind w:hanging="4"/>
              <w:rPr>
                <w:b/>
                <w:sz w:val="24"/>
                <w:szCs w:val="24"/>
                <w:lang w:val="nb-NO"/>
              </w:rPr>
            </w:pPr>
            <w:r w:rsidRPr="00092E85">
              <w:rPr>
                <w:rFonts w:eastAsia="Calibri"/>
                <w:sz w:val="24"/>
                <w:szCs w:val="24"/>
              </w:rPr>
              <w:t>Ikke almindelig (≥1/1.000 til &lt;1/100)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092E85" w:rsidRDefault="009F6675" w:rsidP="00092E85">
            <w:pPr>
              <w:rPr>
                <w:rFonts w:eastAsia="Calibri"/>
                <w:sz w:val="24"/>
                <w:szCs w:val="24"/>
              </w:rPr>
            </w:pPr>
            <w:r w:rsidRPr="00092E85">
              <w:rPr>
                <w:rFonts w:eastAsia="Calibri"/>
                <w:sz w:val="24"/>
                <w:szCs w:val="24"/>
              </w:rPr>
              <w:t>Depression</w:t>
            </w:r>
          </w:p>
          <w:p w:rsidR="009F6675" w:rsidRPr="00092E85" w:rsidRDefault="009F6675" w:rsidP="00092E85">
            <w:pPr>
              <w:rPr>
                <w:rFonts w:eastAsia="Calibri"/>
                <w:sz w:val="24"/>
                <w:szCs w:val="24"/>
              </w:rPr>
            </w:pPr>
            <w:r w:rsidRPr="00092E85">
              <w:rPr>
                <w:rFonts w:eastAsia="Calibri"/>
                <w:sz w:val="24"/>
                <w:szCs w:val="24"/>
              </w:rPr>
              <w:t>Konfusion</w:t>
            </w:r>
          </w:p>
          <w:p w:rsidR="009F6675" w:rsidRPr="00FD3698" w:rsidRDefault="009F6675" w:rsidP="00092E85">
            <w:pPr>
              <w:rPr>
                <w:sz w:val="24"/>
                <w:szCs w:val="24"/>
              </w:rPr>
            </w:pPr>
            <w:r w:rsidRPr="00092E85">
              <w:rPr>
                <w:rFonts w:eastAsia="Calibri"/>
                <w:sz w:val="24"/>
                <w:szCs w:val="24"/>
              </w:rPr>
              <w:t>Søvnforstyrrelser</w:t>
            </w:r>
          </w:p>
        </w:tc>
      </w:tr>
      <w:tr w:rsidR="009F6675" w:rsidRPr="00052D27" w:rsidTr="00092E85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r w:rsidRPr="00FD3698">
              <w:rPr>
                <w:b/>
                <w:sz w:val="24"/>
                <w:szCs w:val="24"/>
                <w:lang w:val="nb-NO"/>
              </w:rPr>
              <w:t>Øjne</w:t>
            </w:r>
          </w:p>
        </w:tc>
      </w:tr>
      <w:tr w:rsidR="009F6675" w:rsidRPr="00052D27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ind w:hanging="4"/>
              <w:rPr>
                <w:sz w:val="24"/>
                <w:szCs w:val="24"/>
                <w:lang w:val="nb-NO"/>
              </w:rPr>
            </w:pPr>
            <w:r w:rsidRPr="00092E85">
              <w:rPr>
                <w:rFonts w:eastAsia="Calibri"/>
                <w:sz w:val="24"/>
                <w:szCs w:val="24"/>
              </w:rPr>
              <w:t>Ikke almindelig (≥1/1.000 til &lt;1/100)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ind w:hanging="4"/>
              <w:rPr>
                <w:szCs w:val="24"/>
              </w:rPr>
            </w:pPr>
            <w:r w:rsidRPr="00FD3698">
              <w:rPr>
                <w:szCs w:val="24"/>
              </w:rPr>
              <w:t>Øjensygdom og sløret syn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</w:p>
        </w:tc>
      </w:tr>
      <w:tr w:rsidR="009F6675" w:rsidRPr="00052D27" w:rsidTr="00092E85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092E85" w:rsidRDefault="009F6675" w:rsidP="00092E85">
            <w:pPr>
              <w:ind w:hanging="4"/>
              <w:rPr>
                <w:b/>
                <w:sz w:val="24"/>
                <w:szCs w:val="24"/>
              </w:rPr>
            </w:pPr>
            <w:r w:rsidRPr="00092E85">
              <w:rPr>
                <w:b/>
                <w:sz w:val="24"/>
                <w:szCs w:val="24"/>
              </w:rPr>
              <w:t>Hjerte</w:t>
            </w:r>
          </w:p>
        </w:tc>
      </w:tr>
      <w:tr w:rsidR="009F6675" w:rsidRPr="00052D27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ind w:hanging="4"/>
              <w:rPr>
                <w:b/>
                <w:sz w:val="24"/>
                <w:szCs w:val="24"/>
              </w:rPr>
            </w:pPr>
            <w:r w:rsidRPr="00092E85">
              <w:rPr>
                <w:rFonts w:eastAsia="Calibri"/>
                <w:sz w:val="24"/>
                <w:szCs w:val="24"/>
              </w:rPr>
              <w:t>Ikke almindelig (≥1/1.000 til &lt;1/100)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092E85" w:rsidRDefault="009F6675" w:rsidP="00092E85">
            <w:pPr>
              <w:rPr>
                <w:rFonts w:eastAsia="Calibri"/>
                <w:spacing w:val="-3"/>
                <w:sz w:val="24"/>
                <w:szCs w:val="24"/>
              </w:rPr>
            </w:pPr>
            <w:r w:rsidRPr="00092E85">
              <w:rPr>
                <w:rFonts w:eastAsia="Calibri"/>
                <w:spacing w:val="-3"/>
                <w:sz w:val="24"/>
                <w:szCs w:val="24"/>
              </w:rPr>
              <w:t xml:space="preserve">Hjertebanken og </w:t>
            </w:r>
            <w:proofErr w:type="spellStart"/>
            <w:r w:rsidRPr="00092E85">
              <w:rPr>
                <w:rFonts w:eastAsia="Calibri"/>
                <w:spacing w:val="-3"/>
                <w:sz w:val="24"/>
                <w:szCs w:val="24"/>
              </w:rPr>
              <w:t>kardiovaskulære</w:t>
            </w:r>
            <w:proofErr w:type="spellEnd"/>
            <w:r w:rsidRPr="00092E85">
              <w:rPr>
                <w:rFonts w:eastAsia="Calibri"/>
                <w:spacing w:val="-3"/>
                <w:sz w:val="24"/>
                <w:szCs w:val="24"/>
              </w:rPr>
              <w:t xml:space="preserve"> forstyrrelser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</w:p>
        </w:tc>
      </w:tr>
      <w:tr w:rsidR="009F6675" w:rsidRPr="00052D27" w:rsidTr="00092E85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proofErr w:type="spellStart"/>
            <w:r w:rsidRPr="00FD3698">
              <w:rPr>
                <w:b/>
                <w:sz w:val="24"/>
                <w:szCs w:val="24"/>
              </w:rPr>
              <w:t>Vaskulære</w:t>
            </w:r>
            <w:proofErr w:type="spellEnd"/>
            <w:r w:rsidRPr="00FD3698">
              <w:rPr>
                <w:b/>
                <w:sz w:val="24"/>
                <w:szCs w:val="24"/>
              </w:rPr>
              <w:t xml:space="preserve"> sygdomme</w:t>
            </w:r>
          </w:p>
        </w:tc>
      </w:tr>
      <w:tr w:rsidR="009F6675" w:rsidRPr="00052D27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r w:rsidRPr="00FD3698">
              <w:rPr>
                <w:sz w:val="24"/>
                <w:szCs w:val="24"/>
              </w:rPr>
              <w:t>Ikke almindelig (</w:t>
            </w:r>
            <w:r w:rsidRPr="00FD3698">
              <w:rPr>
                <w:rFonts w:eastAsia="Calibri"/>
                <w:sz w:val="22"/>
                <w:szCs w:val="22"/>
              </w:rPr>
              <w:t>≥</w:t>
            </w:r>
            <w:r w:rsidRPr="00FD3698">
              <w:rPr>
                <w:sz w:val="24"/>
                <w:szCs w:val="24"/>
              </w:rPr>
              <w:t xml:space="preserve">1/1.000 </w:t>
            </w:r>
            <w:r>
              <w:rPr>
                <w:sz w:val="24"/>
                <w:szCs w:val="24"/>
              </w:rPr>
              <w:t>til</w:t>
            </w:r>
            <w:r w:rsidRPr="00FD3698">
              <w:rPr>
                <w:sz w:val="24"/>
                <w:szCs w:val="24"/>
              </w:rPr>
              <w:t xml:space="preserve"> &lt;1/100)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ind w:hanging="4"/>
              <w:rPr>
                <w:i/>
                <w:sz w:val="24"/>
                <w:szCs w:val="24"/>
              </w:rPr>
            </w:pPr>
            <w:r w:rsidRPr="00FD3698">
              <w:rPr>
                <w:sz w:val="24"/>
                <w:szCs w:val="24"/>
              </w:rPr>
              <w:t>Hypotension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r w:rsidRPr="00FD3698">
              <w:rPr>
                <w:sz w:val="24"/>
                <w:szCs w:val="24"/>
              </w:rPr>
              <w:t>Rødme</w:t>
            </w:r>
          </w:p>
          <w:p w:rsidR="009F6675" w:rsidRPr="00092E85" w:rsidRDefault="009F6675" w:rsidP="00092E85">
            <w:pPr>
              <w:rPr>
                <w:rFonts w:eastAsia="Calibri"/>
                <w:sz w:val="24"/>
                <w:szCs w:val="24"/>
              </w:rPr>
            </w:pPr>
            <w:r w:rsidRPr="00092E85">
              <w:rPr>
                <w:rFonts w:eastAsia="Calibri"/>
                <w:sz w:val="24"/>
                <w:szCs w:val="24"/>
              </w:rPr>
              <w:t>Perifer kuldefølelse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</w:p>
        </w:tc>
      </w:tr>
      <w:tr w:rsidR="009F6675" w:rsidRPr="00052D27" w:rsidTr="00092E85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052D27" w:rsidDel="004115EB" w:rsidRDefault="009F6675" w:rsidP="00092E85">
            <w:pPr>
              <w:ind w:hanging="4"/>
              <w:rPr>
                <w:sz w:val="24"/>
                <w:szCs w:val="24"/>
              </w:rPr>
            </w:pPr>
            <w:r w:rsidRPr="004115EB">
              <w:rPr>
                <w:b/>
                <w:sz w:val="24"/>
                <w:szCs w:val="24"/>
              </w:rPr>
              <w:lastRenderedPageBreak/>
              <w:t xml:space="preserve">Luftveje, thorax og </w:t>
            </w:r>
            <w:proofErr w:type="spellStart"/>
            <w:r w:rsidRPr="004115EB">
              <w:rPr>
                <w:b/>
                <w:sz w:val="24"/>
                <w:szCs w:val="24"/>
              </w:rPr>
              <w:t>mediastinum</w:t>
            </w:r>
            <w:proofErr w:type="spellEnd"/>
            <w:r w:rsidRPr="004115EB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F6675" w:rsidRPr="00052D27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4115EB" w:rsidDel="00680F31" w:rsidRDefault="009F6675" w:rsidP="00092E85">
            <w:pPr>
              <w:ind w:hanging="4"/>
              <w:rPr>
                <w:b/>
                <w:sz w:val="24"/>
                <w:szCs w:val="24"/>
              </w:rPr>
            </w:pPr>
            <w:r w:rsidRPr="00092E85">
              <w:rPr>
                <w:rFonts w:eastAsia="Calibri"/>
                <w:sz w:val="24"/>
                <w:szCs w:val="24"/>
              </w:rPr>
              <w:t>Ikke almindelig (≥1/1.000 til &lt;1/100)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092E85" w:rsidRDefault="009F6675" w:rsidP="00092E85">
            <w:pPr>
              <w:rPr>
                <w:rFonts w:eastAsia="Calibri"/>
                <w:sz w:val="24"/>
                <w:szCs w:val="24"/>
              </w:rPr>
            </w:pPr>
            <w:r w:rsidRPr="00092E85">
              <w:rPr>
                <w:rFonts w:eastAsia="Calibri"/>
                <w:sz w:val="24"/>
                <w:szCs w:val="24"/>
              </w:rPr>
              <w:t>Respirationsforstyrrelser</w:t>
            </w:r>
          </w:p>
          <w:p w:rsidR="009F6675" w:rsidRPr="00092E85" w:rsidRDefault="009F6675" w:rsidP="00092E85">
            <w:pPr>
              <w:rPr>
                <w:rFonts w:eastAsia="Calibri"/>
                <w:sz w:val="24"/>
                <w:szCs w:val="24"/>
              </w:rPr>
            </w:pPr>
            <w:r w:rsidRPr="00092E85">
              <w:rPr>
                <w:rFonts w:eastAsia="Calibri"/>
                <w:sz w:val="24"/>
                <w:szCs w:val="24"/>
              </w:rPr>
              <w:t>Dyspnø og hvæsende vejrtrækning</w:t>
            </w:r>
          </w:p>
          <w:p w:rsidR="009F6675" w:rsidRPr="00FD3698" w:rsidDel="004115EB" w:rsidRDefault="009F6675" w:rsidP="00092E85">
            <w:pPr>
              <w:ind w:hanging="4"/>
              <w:rPr>
                <w:sz w:val="24"/>
                <w:szCs w:val="24"/>
              </w:rPr>
            </w:pPr>
          </w:p>
        </w:tc>
      </w:tr>
      <w:tr w:rsidR="009F6675" w:rsidRPr="00052D27" w:rsidTr="00092E85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r w:rsidRPr="00FD3698">
              <w:rPr>
                <w:b/>
                <w:sz w:val="24"/>
                <w:szCs w:val="24"/>
              </w:rPr>
              <w:t>Mave-tarm-kanalen</w:t>
            </w:r>
          </w:p>
        </w:tc>
      </w:tr>
      <w:tr w:rsidR="009F6675" w:rsidRPr="00052D27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052D27" w:rsidRDefault="009F6675" w:rsidP="00092E85">
            <w:pPr>
              <w:ind w:hanging="4"/>
              <w:rPr>
                <w:sz w:val="24"/>
                <w:szCs w:val="24"/>
              </w:rPr>
            </w:pPr>
            <w:r w:rsidRPr="00052D27">
              <w:rPr>
                <w:sz w:val="24"/>
                <w:szCs w:val="24"/>
              </w:rPr>
              <w:t xml:space="preserve">Almindelig </w:t>
            </w:r>
            <w:r w:rsidRPr="0017696E">
              <w:rPr>
                <w:rFonts w:eastAsia="Calibri"/>
                <w:sz w:val="24"/>
                <w:szCs w:val="24"/>
              </w:rPr>
              <w:t>(≥1/100 til &lt;1/10)</w:t>
            </w:r>
            <w:r w:rsidRPr="00052D27">
              <w:rPr>
                <w:sz w:val="24"/>
                <w:szCs w:val="24"/>
              </w:rPr>
              <w:t xml:space="preserve"> </w:t>
            </w:r>
          </w:p>
          <w:p w:rsidR="009F6675" w:rsidRPr="00052D27" w:rsidRDefault="009F6675" w:rsidP="00092E85">
            <w:pPr>
              <w:ind w:hanging="4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proofErr w:type="spellStart"/>
            <w:r w:rsidRPr="00FD3698">
              <w:rPr>
                <w:sz w:val="24"/>
                <w:szCs w:val="24"/>
              </w:rPr>
              <w:t>Gastrointestinale</w:t>
            </w:r>
            <w:proofErr w:type="spellEnd"/>
            <w:r w:rsidRPr="00FD3698">
              <w:rPr>
                <w:sz w:val="24"/>
                <w:szCs w:val="24"/>
              </w:rPr>
              <w:t xml:space="preserve"> gener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r w:rsidRPr="00FD3698">
              <w:rPr>
                <w:sz w:val="24"/>
                <w:szCs w:val="24"/>
              </w:rPr>
              <w:t>Kvalme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r w:rsidRPr="00FD3698">
              <w:rPr>
                <w:sz w:val="24"/>
                <w:szCs w:val="24"/>
              </w:rPr>
              <w:t>Mundtørhed og tørst.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</w:p>
        </w:tc>
      </w:tr>
      <w:tr w:rsidR="009F6675" w:rsidRPr="00052D27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5F55B1" w:rsidDel="00680F31" w:rsidRDefault="009F6675" w:rsidP="00092E85">
            <w:pPr>
              <w:ind w:hanging="4"/>
              <w:rPr>
                <w:b/>
                <w:sz w:val="24"/>
                <w:szCs w:val="24"/>
              </w:rPr>
            </w:pPr>
            <w:r w:rsidRPr="00092E85">
              <w:rPr>
                <w:rFonts w:eastAsia="Calibri"/>
                <w:sz w:val="24"/>
                <w:szCs w:val="24"/>
              </w:rPr>
              <w:t>Ikke almindelig (≥1/1.000 til &lt;1/100)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092E85" w:rsidRDefault="009F6675" w:rsidP="00092E85">
            <w:pPr>
              <w:rPr>
                <w:rFonts w:eastAsia="Calibri"/>
                <w:spacing w:val="-3"/>
                <w:sz w:val="24"/>
                <w:szCs w:val="24"/>
              </w:rPr>
            </w:pPr>
            <w:r w:rsidRPr="00092E85">
              <w:rPr>
                <w:rFonts w:eastAsia="Calibri"/>
                <w:spacing w:val="-3"/>
                <w:sz w:val="24"/>
                <w:szCs w:val="24"/>
              </w:rPr>
              <w:t>Diarré</w:t>
            </w:r>
          </w:p>
          <w:p w:rsidR="009F6675" w:rsidRPr="00092E85" w:rsidRDefault="009F6675" w:rsidP="00092E85">
            <w:pPr>
              <w:rPr>
                <w:rFonts w:eastAsia="Calibri"/>
                <w:spacing w:val="-3"/>
                <w:sz w:val="24"/>
                <w:szCs w:val="24"/>
              </w:rPr>
            </w:pPr>
            <w:r w:rsidRPr="00092E85">
              <w:rPr>
                <w:rFonts w:eastAsia="Calibri"/>
                <w:spacing w:val="-3"/>
                <w:sz w:val="24"/>
                <w:szCs w:val="24"/>
              </w:rPr>
              <w:t>Opkastning</w:t>
            </w:r>
          </w:p>
          <w:p w:rsidR="009F6675" w:rsidRPr="00092E85" w:rsidRDefault="009F6675" w:rsidP="00092E85">
            <w:pPr>
              <w:rPr>
                <w:rFonts w:eastAsia="Calibri"/>
                <w:spacing w:val="-3"/>
                <w:sz w:val="24"/>
                <w:szCs w:val="24"/>
              </w:rPr>
            </w:pPr>
            <w:r w:rsidRPr="00092E85">
              <w:rPr>
                <w:rFonts w:eastAsia="Calibri"/>
                <w:spacing w:val="-3"/>
                <w:sz w:val="24"/>
                <w:szCs w:val="24"/>
              </w:rPr>
              <w:t>Obstipation</w:t>
            </w:r>
          </w:p>
          <w:p w:rsidR="009F6675" w:rsidRPr="00FD3698" w:rsidRDefault="009F6675" w:rsidP="00092E85">
            <w:pPr>
              <w:rPr>
                <w:rFonts w:eastAsia="Calibri"/>
                <w:spacing w:val="-3"/>
                <w:sz w:val="24"/>
                <w:szCs w:val="24"/>
              </w:rPr>
            </w:pPr>
            <w:proofErr w:type="spellStart"/>
            <w:r w:rsidRPr="00092E85">
              <w:rPr>
                <w:rFonts w:eastAsia="Calibri"/>
                <w:spacing w:val="-3"/>
                <w:sz w:val="24"/>
                <w:szCs w:val="24"/>
              </w:rPr>
              <w:t>Abdominalsmerter</w:t>
            </w:r>
            <w:proofErr w:type="spellEnd"/>
            <w:r w:rsidRPr="00092E85">
              <w:rPr>
                <w:rFonts w:eastAsia="Calibri"/>
                <w:spacing w:val="-3"/>
                <w:sz w:val="24"/>
                <w:szCs w:val="24"/>
              </w:rPr>
              <w:t xml:space="preserve"> og ubehag</w:t>
            </w:r>
          </w:p>
          <w:p w:rsidR="009F6675" w:rsidRPr="00FD3698" w:rsidRDefault="009F6675" w:rsidP="00092E85">
            <w:pPr>
              <w:rPr>
                <w:sz w:val="24"/>
                <w:szCs w:val="24"/>
              </w:rPr>
            </w:pPr>
          </w:p>
        </w:tc>
      </w:tr>
      <w:tr w:rsidR="009F6675" w:rsidRPr="00052D27" w:rsidTr="00092E85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r w:rsidRPr="00FD3698">
              <w:rPr>
                <w:b/>
                <w:sz w:val="24"/>
                <w:szCs w:val="24"/>
              </w:rPr>
              <w:t>Hud og subkutane væv</w:t>
            </w:r>
          </w:p>
        </w:tc>
      </w:tr>
      <w:tr w:rsidR="009F6675" w:rsidRPr="00C128F6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5F55B1" w:rsidDel="005F55B1" w:rsidRDefault="009F6675" w:rsidP="00092E85">
            <w:pPr>
              <w:ind w:hanging="4"/>
              <w:rPr>
                <w:b/>
                <w:sz w:val="24"/>
                <w:szCs w:val="24"/>
              </w:rPr>
            </w:pPr>
            <w:r w:rsidRPr="00092E85">
              <w:rPr>
                <w:rFonts w:eastAsia="Calibri"/>
                <w:sz w:val="24"/>
                <w:szCs w:val="24"/>
              </w:rPr>
              <w:t>Almindelig (≥1/100 til &lt;1/10)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rPr>
                <w:rFonts w:eastAsia="Calibri"/>
                <w:sz w:val="24"/>
                <w:szCs w:val="24"/>
                <w:lang w:val="nn-NO"/>
              </w:rPr>
            </w:pPr>
            <w:r w:rsidRPr="00092E85">
              <w:rPr>
                <w:rFonts w:eastAsia="Calibri"/>
                <w:sz w:val="24"/>
                <w:szCs w:val="24"/>
                <w:lang w:val="nn-NO"/>
              </w:rPr>
              <w:t>Hudsygdom (inklusive udslæt, urticaria og eksem)</w:t>
            </w:r>
          </w:p>
          <w:p w:rsidR="009F6675" w:rsidRPr="00092E85" w:rsidRDefault="009F6675" w:rsidP="00092E85">
            <w:pPr>
              <w:rPr>
                <w:sz w:val="24"/>
                <w:szCs w:val="24"/>
                <w:lang w:val="nn-NO"/>
              </w:rPr>
            </w:pPr>
          </w:p>
        </w:tc>
      </w:tr>
      <w:tr w:rsidR="009F6675" w:rsidRPr="00052D27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052D27" w:rsidRDefault="009F6675" w:rsidP="00092E85">
            <w:pPr>
              <w:suppressAutoHyphens/>
              <w:ind w:hanging="4"/>
              <w:rPr>
                <w:sz w:val="24"/>
                <w:szCs w:val="24"/>
              </w:rPr>
            </w:pPr>
            <w:r w:rsidRPr="00052D27">
              <w:rPr>
                <w:sz w:val="24"/>
                <w:szCs w:val="24"/>
              </w:rPr>
              <w:t>Ikke almindelig (</w:t>
            </w:r>
            <w:r w:rsidRPr="00414873">
              <w:rPr>
                <w:rFonts w:eastAsia="Calibri"/>
                <w:sz w:val="22"/>
                <w:szCs w:val="22"/>
              </w:rPr>
              <w:t>≥</w:t>
            </w:r>
            <w:r w:rsidRPr="00052D27">
              <w:rPr>
                <w:sz w:val="24"/>
                <w:szCs w:val="24"/>
              </w:rPr>
              <w:t>1/1</w:t>
            </w:r>
            <w:r>
              <w:rPr>
                <w:sz w:val="24"/>
                <w:szCs w:val="24"/>
              </w:rPr>
              <w:t>.</w:t>
            </w:r>
            <w:r w:rsidRPr="00052D2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til</w:t>
            </w:r>
            <w:r w:rsidRPr="00052D27">
              <w:rPr>
                <w:sz w:val="24"/>
                <w:szCs w:val="24"/>
              </w:rPr>
              <w:t xml:space="preserve"> &lt;1/100)</w:t>
            </w:r>
          </w:p>
          <w:p w:rsidR="009F6675" w:rsidRPr="00052D27" w:rsidRDefault="009F6675" w:rsidP="00092E85">
            <w:pPr>
              <w:ind w:hanging="4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r w:rsidRPr="00FD3698">
              <w:rPr>
                <w:sz w:val="24"/>
                <w:szCs w:val="24"/>
              </w:rPr>
              <w:t xml:space="preserve">Fotosensibilisering 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proofErr w:type="spellStart"/>
            <w:r w:rsidRPr="00FD3698">
              <w:rPr>
                <w:sz w:val="24"/>
                <w:szCs w:val="24"/>
              </w:rPr>
              <w:t>Pruritus</w:t>
            </w:r>
            <w:proofErr w:type="spellEnd"/>
            <w:r w:rsidRPr="00FD3698">
              <w:rPr>
                <w:sz w:val="24"/>
                <w:szCs w:val="24"/>
              </w:rPr>
              <w:t>.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proofErr w:type="spellStart"/>
            <w:r w:rsidRPr="00FD3698">
              <w:rPr>
                <w:sz w:val="24"/>
                <w:szCs w:val="24"/>
              </w:rPr>
              <w:t>Hyperhidrose</w:t>
            </w:r>
            <w:proofErr w:type="spellEnd"/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</w:p>
        </w:tc>
      </w:tr>
      <w:tr w:rsidR="009F6675" w:rsidRPr="00052D27" w:rsidTr="00092E85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ind w:hanging="4"/>
              <w:rPr>
                <w:b/>
                <w:sz w:val="24"/>
                <w:szCs w:val="24"/>
              </w:rPr>
            </w:pPr>
            <w:r w:rsidRPr="00FD3698">
              <w:rPr>
                <w:b/>
                <w:sz w:val="24"/>
                <w:szCs w:val="24"/>
              </w:rPr>
              <w:t>Knogler, led, muskler og bindevæv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</w:p>
        </w:tc>
      </w:tr>
      <w:tr w:rsidR="009F6675" w:rsidRPr="00052D27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5F55B1" w:rsidDel="005F55B1" w:rsidRDefault="009F6675" w:rsidP="00092E85">
            <w:pPr>
              <w:ind w:hanging="4"/>
              <w:rPr>
                <w:b/>
                <w:sz w:val="24"/>
                <w:szCs w:val="24"/>
              </w:rPr>
            </w:pPr>
            <w:r w:rsidRPr="00092E85">
              <w:rPr>
                <w:rFonts w:eastAsia="Calibri"/>
                <w:sz w:val="24"/>
                <w:szCs w:val="24"/>
              </w:rPr>
              <w:t>Almindelig (≥1/100 til &lt;1/10)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092E85" w:rsidRDefault="009F6675" w:rsidP="00092E85">
            <w:pPr>
              <w:rPr>
                <w:rFonts w:eastAsia="Calibri"/>
                <w:sz w:val="24"/>
                <w:szCs w:val="24"/>
              </w:rPr>
            </w:pPr>
            <w:r w:rsidRPr="00092E85">
              <w:rPr>
                <w:rFonts w:eastAsia="Calibri"/>
                <w:sz w:val="24"/>
                <w:szCs w:val="24"/>
              </w:rPr>
              <w:t xml:space="preserve">Smerte (inklusiv </w:t>
            </w:r>
            <w:proofErr w:type="spellStart"/>
            <w:r w:rsidRPr="00092E85">
              <w:rPr>
                <w:rFonts w:eastAsia="Calibri"/>
                <w:sz w:val="24"/>
                <w:szCs w:val="24"/>
              </w:rPr>
              <w:t>arthralgi</w:t>
            </w:r>
            <w:proofErr w:type="spellEnd"/>
            <w:r w:rsidRPr="00092E85">
              <w:rPr>
                <w:rFonts w:eastAsia="Calibri"/>
                <w:sz w:val="24"/>
                <w:szCs w:val="24"/>
              </w:rPr>
              <w:t xml:space="preserve"> og myalgi)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</w:p>
        </w:tc>
      </w:tr>
      <w:tr w:rsidR="009F6675" w:rsidRPr="00052D27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052D27" w:rsidRDefault="009F6675" w:rsidP="00092E85">
            <w:pPr>
              <w:suppressAutoHyphens/>
              <w:ind w:hanging="4"/>
              <w:rPr>
                <w:sz w:val="24"/>
                <w:szCs w:val="24"/>
              </w:rPr>
            </w:pPr>
            <w:r w:rsidRPr="00052D27">
              <w:rPr>
                <w:sz w:val="24"/>
                <w:szCs w:val="24"/>
              </w:rPr>
              <w:t>Ikke almindelig (</w:t>
            </w:r>
            <w:r w:rsidRPr="0017696E">
              <w:rPr>
                <w:rFonts w:eastAsia="Calibri"/>
                <w:sz w:val="24"/>
                <w:szCs w:val="24"/>
              </w:rPr>
              <w:t>≥</w:t>
            </w:r>
            <w:r w:rsidRPr="00052D27">
              <w:rPr>
                <w:sz w:val="24"/>
                <w:szCs w:val="24"/>
              </w:rPr>
              <w:t>1/1</w:t>
            </w:r>
            <w:r>
              <w:rPr>
                <w:sz w:val="24"/>
                <w:szCs w:val="24"/>
              </w:rPr>
              <w:t>.</w:t>
            </w:r>
            <w:r w:rsidRPr="00052D27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til</w:t>
            </w:r>
            <w:r w:rsidRPr="00052D27">
              <w:rPr>
                <w:sz w:val="24"/>
                <w:szCs w:val="24"/>
              </w:rPr>
              <w:t xml:space="preserve"> &lt;1/100)</w:t>
            </w:r>
          </w:p>
          <w:p w:rsidR="009F6675" w:rsidRPr="00052D27" w:rsidRDefault="009F6675" w:rsidP="00092E85">
            <w:pPr>
              <w:ind w:hanging="4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r w:rsidRPr="00FD3698">
              <w:rPr>
                <w:sz w:val="24"/>
                <w:szCs w:val="24"/>
              </w:rPr>
              <w:t>Muskelkramper og trækninger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</w:p>
        </w:tc>
      </w:tr>
      <w:tr w:rsidR="009F6675" w:rsidRPr="00052D27" w:rsidTr="00092E85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7812B0" w:rsidRDefault="009F6675" w:rsidP="00092E85">
            <w:pPr>
              <w:ind w:hanging="4"/>
              <w:rPr>
                <w:sz w:val="24"/>
                <w:szCs w:val="24"/>
              </w:rPr>
            </w:pPr>
            <w:r w:rsidRPr="00092E85">
              <w:rPr>
                <w:rFonts w:eastAsia="Calibri"/>
                <w:b/>
                <w:noProof/>
                <w:sz w:val="24"/>
                <w:szCs w:val="24"/>
              </w:rPr>
              <w:t>Nyrer og urinveje</w:t>
            </w:r>
          </w:p>
        </w:tc>
      </w:tr>
      <w:tr w:rsidR="009F6675" w:rsidRPr="00052D27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052D27" w:rsidRDefault="009F6675" w:rsidP="00092E85">
            <w:pPr>
              <w:suppressAutoHyphens/>
              <w:ind w:hanging="4"/>
              <w:rPr>
                <w:sz w:val="24"/>
                <w:szCs w:val="24"/>
              </w:rPr>
            </w:pPr>
            <w:r w:rsidRPr="00052D27">
              <w:rPr>
                <w:sz w:val="24"/>
                <w:szCs w:val="24"/>
              </w:rPr>
              <w:t>Ikke almindelig (</w:t>
            </w:r>
            <w:r w:rsidRPr="0017696E">
              <w:rPr>
                <w:rFonts w:eastAsia="Calibri"/>
                <w:sz w:val="24"/>
                <w:szCs w:val="24"/>
              </w:rPr>
              <w:t>≥</w:t>
            </w:r>
            <w:r w:rsidRPr="00052D27">
              <w:rPr>
                <w:sz w:val="24"/>
                <w:szCs w:val="24"/>
              </w:rPr>
              <w:t>1/1</w:t>
            </w:r>
            <w:r>
              <w:rPr>
                <w:sz w:val="24"/>
                <w:szCs w:val="24"/>
              </w:rPr>
              <w:t>.</w:t>
            </w:r>
            <w:r w:rsidRPr="00052D27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til</w:t>
            </w:r>
            <w:r w:rsidRPr="00052D27">
              <w:rPr>
                <w:sz w:val="24"/>
                <w:szCs w:val="24"/>
              </w:rPr>
              <w:t xml:space="preserve"> &lt;1/100)</w:t>
            </w:r>
          </w:p>
          <w:p w:rsidR="009F6675" w:rsidRPr="00052D27" w:rsidRDefault="009F6675" w:rsidP="00092E85">
            <w:pPr>
              <w:ind w:hanging="4"/>
              <w:rPr>
                <w:i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r w:rsidRPr="00FD3698">
              <w:rPr>
                <w:sz w:val="24"/>
                <w:szCs w:val="24"/>
              </w:rPr>
              <w:t>Nedsat nyrefunktion (inklusiv</w:t>
            </w:r>
            <w:r>
              <w:rPr>
                <w:sz w:val="24"/>
                <w:szCs w:val="24"/>
              </w:rPr>
              <w:t>e</w:t>
            </w:r>
            <w:r w:rsidRPr="00FD3698">
              <w:rPr>
                <w:sz w:val="24"/>
                <w:szCs w:val="24"/>
              </w:rPr>
              <w:t xml:space="preserve"> nyresvigt)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r w:rsidRPr="00FD3698">
              <w:rPr>
                <w:sz w:val="24"/>
                <w:szCs w:val="24"/>
              </w:rPr>
              <w:t xml:space="preserve">Øgning af </w:t>
            </w:r>
            <w:proofErr w:type="spellStart"/>
            <w:r w:rsidRPr="00FD3698">
              <w:rPr>
                <w:sz w:val="24"/>
                <w:szCs w:val="24"/>
              </w:rPr>
              <w:t>kreatinin</w:t>
            </w:r>
            <w:proofErr w:type="spellEnd"/>
            <w:r w:rsidRPr="00FD3698">
              <w:rPr>
                <w:sz w:val="24"/>
                <w:szCs w:val="24"/>
              </w:rPr>
              <w:t xml:space="preserve"> i urin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  <w:proofErr w:type="spellStart"/>
            <w:r w:rsidRPr="00FD3698">
              <w:rPr>
                <w:sz w:val="24"/>
                <w:szCs w:val="24"/>
              </w:rPr>
              <w:t>Polyuri</w:t>
            </w:r>
            <w:proofErr w:type="spellEnd"/>
            <w:r w:rsidRPr="00FD3698">
              <w:rPr>
                <w:sz w:val="24"/>
                <w:szCs w:val="24"/>
              </w:rPr>
              <w:t xml:space="preserve"> og </w:t>
            </w:r>
            <w:proofErr w:type="spellStart"/>
            <w:r w:rsidRPr="00FD3698">
              <w:rPr>
                <w:sz w:val="24"/>
                <w:szCs w:val="24"/>
              </w:rPr>
              <w:t>nokturi</w:t>
            </w:r>
            <w:proofErr w:type="spellEnd"/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</w:p>
        </w:tc>
      </w:tr>
      <w:tr w:rsidR="009F6675" w:rsidRPr="00052D27" w:rsidTr="00092E85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FD3698" w:rsidRDefault="009F6675" w:rsidP="00092E85">
            <w:pPr>
              <w:keepNext/>
              <w:ind w:hanging="6"/>
              <w:rPr>
                <w:sz w:val="24"/>
                <w:szCs w:val="24"/>
              </w:rPr>
            </w:pPr>
            <w:r w:rsidRPr="00FD3698">
              <w:rPr>
                <w:b/>
                <w:sz w:val="24"/>
                <w:szCs w:val="24"/>
              </w:rPr>
              <w:t>Det reproduktive system og mammae</w:t>
            </w:r>
          </w:p>
        </w:tc>
      </w:tr>
      <w:tr w:rsidR="009F6675" w:rsidRPr="00052D27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7812B0" w:rsidRDefault="009F6675" w:rsidP="00092E85">
            <w:pPr>
              <w:ind w:hanging="4"/>
              <w:rPr>
                <w:b/>
                <w:sz w:val="24"/>
                <w:szCs w:val="24"/>
              </w:rPr>
            </w:pPr>
            <w:r w:rsidRPr="00092E85">
              <w:rPr>
                <w:rFonts w:eastAsia="Calibri"/>
                <w:sz w:val="24"/>
                <w:szCs w:val="24"/>
              </w:rPr>
              <w:t>Ikke almindelig (≥1/1.000 til &lt;1/100)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092E85" w:rsidRDefault="009F6675" w:rsidP="00092E8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092E85">
              <w:rPr>
                <w:rFonts w:eastAsia="Calibri"/>
                <w:sz w:val="24"/>
                <w:szCs w:val="24"/>
              </w:rPr>
              <w:t>Erektil</w:t>
            </w:r>
            <w:proofErr w:type="spellEnd"/>
            <w:r w:rsidRPr="00092E85">
              <w:rPr>
                <w:rFonts w:eastAsia="Calibri"/>
                <w:sz w:val="24"/>
                <w:szCs w:val="24"/>
              </w:rPr>
              <w:t xml:space="preserve"> dysfunktion</w:t>
            </w:r>
          </w:p>
          <w:p w:rsidR="009F6675" w:rsidRPr="00FD3698" w:rsidRDefault="009F6675" w:rsidP="00092E85">
            <w:pPr>
              <w:ind w:hanging="4"/>
              <w:rPr>
                <w:sz w:val="24"/>
                <w:szCs w:val="24"/>
              </w:rPr>
            </w:pPr>
          </w:p>
        </w:tc>
      </w:tr>
      <w:tr w:rsidR="009F6675" w:rsidRPr="00052D27" w:rsidTr="00092E85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052D27" w:rsidRDefault="009F6675" w:rsidP="00092E85">
            <w:pPr>
              <w:ind w:hanging="4"/>
              <w:rPr>
                <w:sz w:val="24"/>
                <w:szCs w:val="24"/>
              </w:rPr>
            </w:pPr>
            <w:r w:rsidRPr="00052D27">
              <w:rPr>
                <w:b/>
                <w:sz w:val="24"/>
                <w:szCs w:val="24"/>
              </w:rPr>
              <w:t>Almene symptomer og reaktioner på administrationsstedet</w:t>
            </w:r>
          </w:p>
        </w:tc>
      </w:tr>
      <w:tr w:rsidR="009F6675" w:rsidRPr="00052D27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052D27" w:rsidRDefault="009F6675" w:rsidP="00092E85">
            <w:pPr>
              <w:ind w:hanging="4"/>
              <w:rPr>
                <w:sz w:val="24"/>
                <w:szCs w:val="24"/>
              </w:rPr>
            </w:pPr>
            <w:r w:rsidRPr="00052D27">
              <w:rPr>
                <w:sz w:val="24"/>
                <w:szCs w:val="24"/>
              </w:rPr>
              <w:t>Almindelig (</w:t>
            </w:r>
            <w:r w:rsidRPr="00D70731">
              <w:rPr>
                <w:rFonts w:eastAsia="Calibri"/>
                <w:sz w:val="24"/>
                <w:szCs w:val="24"/>
              </w:rPr>
              <w:t>(≥</w:t>
            </w:r>
            <w:r w:rsidRPr="00052D27">
              <w:rPr>
                <w:sz w:val="24"/>
                <w:szCs w:val="24"/>
              </w:rPr>
              <w:t>1/100</w:t>
            </w:r>
            <w:r>
              <w:rPr>
                <w:sz w:val="24"/>
                <w:szCs w:val="24"/>
              </w:rPr>
              <w:t xml:space="preserve"> til </w:t>
            </w:r>
            <w:r w:rsidRPr="00414873">
              <w:rPr>
                <w:rFonts w:eastAsia="Calibri"/>
                <w:sz w:val="22"/>
                <w:szCs w:val="22"/>
              </w:rPr>
              <w:t>&lt;1/10</w:t>
            </w:r>
            <w:r w:rsidRPr="00052D27">
              <w:rPr>
                <w:sz w:val="24"/>
                <w:szCs w:val="24"/>
              </w:rPr>
              <w:t xml:space="preserve">)  </w:t>
            </w:r>
          </w:p>
          <w:p w:rsidR="009F6675" w:rsidRPr="00052D27" w:rsidRDefault="009F6675" w:rsidP="00092E85">
            <w:pPr>
              <w:ind w:hanging="4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052D27" w:rsidRDefault="009F6675" w:rsidP="00092E85">
            <w:pPr>
              <w:ind w:hanging="4"/>
              <w:rPr>
                <w:sz w:val="24"/>
                <w:szCs w:val="24"/>
              </w:rPr>
            </w:pPr>
            <w:r w:rsidRPr="00FD3698">
              <w:rPr>
                <w:sz w:val="24"/>
                <w:szCs w:val="24"/>
              </w:rPr>
              <w:t>Influenzalignende symptomer (inklusiv</w:t>
            </w:r>
            <w:r>
              <w:rPr>
                <w:sz w:val="24"/>
                <w:szCs w:val="24"/>
              </w:rPr>
              <w:t>e</w:t>
            </w:r>
            <w:r w:rsidRPr="00FD3698">
              <w:rPr>
                <w:sz w:val="24"/>
                <w:szCs w:val="24"/>
              </w:rPr>
              <w:t xml:space="preserve"> hoste og snue)</w:t>
            </w:r>
          </w:p>
          <w:p w:rsidR="009F6675" w:rsidRPr="00052D27" w:rsidRDefault="009F6675" w:rsidP="00092E85">
            <w:pPr>
              <w:ind w:hanging="4"/>
              <w:rPr>
                <w:sz w:val="24"/>
                <w:szCs w:val="24"/>
              </w:rPr>
            </w:pPr>
          </w:p>
        </w:tc>
      </w:tr>
      <w:tr w:rsidR="009F6675" w:rsidRPr="00052D27" w:rsidTr="00092E8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5" w:rsidRPr="0028415F" w:rsidDel="0028415F" w:rsidRDefault="009F6675" w:rsidP="00092E85">
            <w:pPr>
              <w:ind w:hanging="4"/>
              <w:rPr>
                <w:b/>
                <w:sz w:val="24"/>
                <w:szCs w:val="24"/>
              </w:rPr>
            </w:pPr>
            <w:r w:rsidRPr="00092E85">
              <w:rPr>
                <w:rFonts w:eastAsia="Calibri"/>
                <w:sz w:val="24"/>
                <w:szCs w:val="24"/>
              </w:rPr>
              <w:t>Ikke almindelig (≥1/1.000 til &lt;1/100)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75" w:rsidRPr="00092E85" w:rsidRDefault="009F6675" w:rsidP="00092E85">
            <w:pPr>
              <w:rPr>
                <w:rFonts w:eastAsia="Calibri"/>
                <w:sz w:val="24"/>
                <w:szCs w:val="24"/>
              </w:rPr>
            </w:pPr>
            <w:r w:rsidRPr="00092E85">
              <w:rPr>
                <w:rFonts w:eastAsia="Calibri"/>
                <w:sz w:val="24"/>
                <w:szCs w:val="24"/>
              </w:rPr>
              <w:t>Ødem (inklusivt perifert ødem og ansigtsødem)</w:t>
            </w:r>
          </w:p>
          <w:p w:rsidR="009F6675" w:rsidRPr="0028415F" w:rsidRDefault="009F6675" w:rsidP="00092E85">
            <w:pPr>
              <w:ind w:hanging="4"/>
              <w:rPr>
                <w:sz w:val="24"/>
                <w:szCs w:val="24"/>
              </w:rPr>
            </w:pPr>
          </w:p>
        </w:tc>
      </w:tr>
    </w:tbl>
    <w:p w:rsidR="009F6675" w:rsidRPr="00C6102B" w:rsidRDefault="009F6675" w:rsidP="009F6675">
      <w:pPr>
        <w:tabs>
          <w:tab w:val="left" w:pos="851"/>
        </w:tabs>
        <w:ind w:left="851"/>
        <w:rPr>
          <w:szCs w:val="22"/>
          <w:lang w:val="nn-NO"/>
        </w:rPr>
      </w:pPr>
      <w:r w:rsidRPr="00C6102B">
        <w:rPr>
          <w:szCs w:val="22"/>
          <w:lang w:val="nn-NO"/>
        </w:rPr>
        <w:t>Bloddyskrasi inklusiv trombocytopeni, leukopeni og granulocytopeni er observeret som klasse effekter for thiazider.</w:t>
      </w:r>
    </w:p>
    <w:p w:rsidR="009F6675" w:rsidRPr="00C6102B" w:rsidRDefault="009F6675" w:rsidP="009F6675">
      <w:pPr>
        <w:tabs>
          <w:tab w:val="left" w:pos="851"/>
        </w:tabs>
        <w:suppressAutoHyphens/>
        <w:ind w:left="851"/>
        <w:rPr>
          <w:szCs w:val="22"/>
          <w:lang w:val="nn-NO"/>
        </w:rPr>
      </w:pPr>
    </w:p>
    <w:p w:rsidR="009F6675" w:rsidRPr="005679F3" w:rsidRDefault="009F6675" w:rsidP="009F6675">
      <w:pPr>
        <w:tabs>
          <w:tab w:val="left" w:pos="851"/>
        </w:tabs>
        <w:suppressAutoHyphens/>
        <w:ind w:left="851"/>
        <w:rPr>
          <w:szCs w:val="22"/>
        </w:rPr>
      </w:pPr>
      <w:r w:rsidRPr="00FD3698">
        <w:rPr>
          <w:szCs w:val="22"/>
        </w:rPr>
        <w:t xml:space="preserve">Der er indberettet tilfælde af </w:t>
      </w:r>
      <w:proofErr w:type="spellStart"/>
      <w:r w:rsidRPr="00FD3698">
        <w:rPr>
          <w:szCs w:val="22"/>
        </w:rPr>
        <w:t>choroidal</w:t>
      </w:r>
      <w:proofErr w:type="spellEnd"/>
      <w:r w:rsidRPr="00FD3698">
        <w:rPr>
          <w:szCs w:val="22"/>
        </w:rPr>
        <w:t xml:space="preserve"> </w:t>
      </w:r>
      <w:proofErr w:type="spellStart"/>
      <w:r w:rsidRPr="00FD3698">
        <w:rPr>
          <w:szCs w:val="22"/>
        </w:rPr>
        <w:t>effusion</w:t>
      </w:r>
      <w:proofErr w:type="spellEnd"/>
      <w:r w:rsidRPr="00FD3698">
        <w:rPr>
          <w:szCs w:val="22"/>
        </w:rPr>
        <w:t xml:space="preserve"> med synsfeltsdefekt efter brug af </w:t>
      </w:r>
      <w:proofErr w:type="spellStart"/>
      <w:r w:rsidRPr="00FD3698">
        <w:rPr>
          <w:szCs w:val="22"/>
        </w:rPr>
        <w:t>thiazid</w:t>
      </w:r>
      <w:proofErr w:type="spellEnd"/>
      <w:r w:rsidRPr="00FD3698">
        <w:rPr>
          <w:szCs w:val="22"/>
        </w:rPr>
        <w:t xml:space="preserve"> og </w:t>
      </w:r>
      <w:proofErr w:type="spellStart"/>
      <w:r w:rsidRPr="00FD3698">
        <w:rPr>
          <w:szCs w:val="22"/>
        </w:rPr>
        <w:t>thiazid</w:t>
      </w:r>
      <w:proofErr w:type="spellEnd"/>
      <w:r w:rsidRPr="00FD3698">
        <w:rPr>
          <w:szCs w:val="22"/>
        </w:rPr>
        <w:t xml:space="preserve">-lignende </w:t>
      </w:r>
      <w:proofErr w:type="spellStart"/>
      <w:r w:rsidRPr="00FD3698">
        <w:rPr>
          <w:szCs w:val="22"/>
        </w:rPr>
        <w:t>diuretika</w:t>
      </w:r>
      <w:proofErr w:type="spellEnd"/>
      <w:r w:rsidRPr="00FD3698">
        <w:rPr>
          <w:szCs w:val="22"/>
        </w:rPr>
        <w:t>.</w:t>
      </w:r>
    </w:p>
    <w:p w:rsidR="00E714F5" w:rsidRPr="00052D27" w:rsidRDefault="00E714F5" w:rsidP="00CD2EF4">
      <w:pPr>
        <w:autoSpaceDE w:val="0"/>
        <w:autoSpaceDN w:val="0"/>
        <w:ind w:left="851" w:hanging="851"/>
        <w:rPr>
          <w:sz w:val="24"/>
          <w:szCs w:val="24"/>
          <w:u w:val="single"/>
        </w:rPr>
      </w:pPr>
    </w:p>
    <w:p w:rsidR="00E714F5" w:rsidRPr="00E714F5" w:rsidRDefault="00E714F5" w:rsidP="00E714F5">
      <w:pPr>
        <w:ind w:left="851" w:right="440"/>
        <w:rPr>
          <w:spacing w:val="-3"/>
          <w:sz w:val="24"/>
          <w:u w:val="single"/>
        </w:rPr>
      </w:pPr>
      <w:r w:rsidRPr="00E714F5">
        <w:rPr>
          <w:spacing w:val="-3"/>
          <w:sz w:val="24"/>
          <w:u w:val="single"/>
        </w:rPr>
        <w:t>Indberetning af formodede bivirkninger</w:t>
      </w:r>
    </w:p>
    <w:p w:rsidR="00E714F5" w:rsidRPr="00E714F5" w:rsidRDefault="00E714F5" w:rsidP="00E714F5">
      <w:pPr>
        <w:ind w:left="851" w:right="440"/>
        <w:rPr>
          <w:spacing w:val="-3"/>
          <w:sz w:val="24"/>
        </w:rPr>
      </w:pPr>
      <w:r w:rsidRPr="00E714F5">
        <w:rPr>
          <w:spacing w:val="-3"/>
          <w:sz w:val="24"/>
        </w:rPr>
        <w:lastRenderedPageBreak/>
        <w:t xml:space="preserve">Når lægemidlet er godkendt, er indberetning af formodede bivirkninger vigtig. Det </w:t>
      </w:r>
      <w:r w:rsidRPr="00E714F5">
        <w:rPr>
          <w:spacing w:val="-3"/>
          <w:sz w:val="24"/>
        </w:rPr>
        <w:br/>
        <w:t>muliggør løbende overvågning af benefit/</w:t>
      </w:r>
      <w:proofErr w:type="spellStart"/>
      <w:r w:rsidRPr="00E714F5">
        <w:rPr>
          <w:spacing w:val="-3"/>
          <w:sz w:val="24"/>
        </w:rPr>
        <w:t>risk</w:t>
      </w:r>
      <w:proofErr w:type="spellEnd"/>
      <w:r w:rsidRPr="00E714F5">
        <w:rPr>
          <w:spacing w:val="-3"/>
          <w:sz w:val="24"/>
        </w:rPr>
        <w:t>-forholdet for lægemidlet. Sundhedspersoner anmodes om at indberette alle formodede bivirkninger via:</w:t>
      </w:r>
    </w:p>
    <w:p w:rsidR="00E714F5" w:rsidRPr="00E714F5" w:rsidRDefault="00E714F5" w:rsidP="00E714F5">
      <w:pPr>
        <w:ind w:left="851"/>
        <w:rPr>
          <w:sz w:val="24"/>
          <w:szCs w:val="24"/>
        </w:rPr>
      </w:pPr>
    </w:p>
    <w:p w:rsidR="00E714F5" w:rsidRPr="00E714F5" w:rsidRDefault="00E714F5" w:rsidP="00E714F5">
      <w:pPr>
        <w:ind w:left="851"/>
        <w:rPr>
          <w:sz w:val="24"/>
          <w:szCs w:val="24"/>
        </w:rPr>
      </w:pPr>
      <w:r w:rsidRPr="00E714F5">
        <w:rPr>
          <w:sz w:val="24"/>
          <w:szCs w:val="24"/>
        </w:rPr>
        <w:t>Lægemiddelstyrelsen</w:t>
      </w:r>
    </w:p>
    <w:p w:rsidR="00E714F5" w:rsidRPr="00E714F5" w:rsidRDefault="00E714F5" w:rsidP="00E714F5">
      <w:pPr>
        <w:ind w:left="851"/>
        <w:rPr>
          <w:sz w:val="24"/>
          <w:szCs w:val="24"/>
        </w:rPr>
      </w:pPr>
      <w:r w:rsidRPr="00E714F5">
        <w:rPr>
          <w:sz w:val="24"/>
          <w:szCs w:val="24"/>
        </w:rPr>
        <w:t>Axel Heides Gade 1</w:t>
      </w:r>
    </w:p>
    <w:p w:rsidR="00E714F5" w:rsidRPr="00E714F5" w:rsidRDefault="00E714F5" w:rsidP="00E714F5">
      <w:pPr>
        <w:ind w:left="851"/>
        <w:rPr>
          <w:sz w:val="24"/>
          <w:szCs w:val="24"/>
        </w:rPr>
      </w:pPr>
      <w:r w:rsidRPr="00E714F5">
        <w:rPr>
          <w:sz w:val="24"/>
          <w:szCs w:val="24"/>
        </w:rPr>
        <w:t>DK-2300 København S</w:t>
      </w:r>
    </w:p>
    <w:p w:rsidR="00E714F5" w:rsidRPr="00E714F5" w:rsidRDefault="00E714F5" w:rsidP="00E714F5">
      <w:pPr>
        <w:ind w:left="851"/>
        <w:rPr>
          <w:sz w:val="24"/>
          <w:szCs w:val="24"/>
        </w:rPr>
      </w:pPr>
      <w:r w:rsidRPr="00E714F5">
        <w:rPr>
          <w:sz w:val="24"/>
          <w:szCs w:val="24"/>
        </w:rPr>
        <w:t xml:space="preserve">Websted: </w:t>
      </w:r>
      <w:hyperlink r:id="rId8" w:history="1">
        <w:r w:rsidRPr="00E714F5">
          <w:rPr>
            <w:rStyle w:val="Hyperlink"/>
            <w:sz w:val="24"/>
            <w:szCs w:val="24"/>
          </w:rPr>
          <w:t>www.meldenbivirkning.dk</w:t>
        </w:r>
      </w:hyperlink>
    </w:p>
    <w:p w:rsidR="00E714F5" w:rsidRDefault="00E714F5" w:rsidP="00E714F5"/>
    <w:p w:rsidR="00CD2EF4" w:rsidRPr="00E714F5" w:rsidRDefault="00CD2EF4" w:rsidP="00CD2EF4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4.9</w:t>
      </w:r>
      <w:r w:rsidRPr="00052D27">
        <w:rPr>
          <w:b/>
          <w:sz w:val="24"/>
          <w:szCs w:val="24"/>
        </w:rPr>
        <w:tab/>
        <w:t>Overdosering</w:t>
      </w:r>
    </w:p>
    <w:p w:rsidR="009F6675" w:rsidRPr="00052D27" w:rsidRDefault="009F6675" w:rsidP="009F6675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proofErr w:type="spellStart"/>
      <w:r w:rsidRPr="00052D27">
        <w:rPr>
          <w:spacing w:val="-3"/>
          <w:sz w:val="24"/>
          <w:szCs w:val="24"/>
        </w:rPr>
        <w:t>Thiaziddiuretika</w:t>
      </w:r>
      <w:proofErr w:type="spellEnd"/>
      <w:r w:rsidRPr="00052D27">
        <w:rPr>
          <w:spacing w:val="-3"/>
          <w:sz w:val="24"/>
          <w:szCs w:val="24"/>
        </w:rPr>
        <w:t xml:space="preserve"> kan i høje doser medføre elektrolytforstyrrelser, dehydrering og </w:t>
      </w:r>
      <w:proofErr w:type="spellStart"/>
      <w:r w:rsidRPr="00052D27">
        <w:rPr>
          <w:spacing w:val="-3"/>
          <w:sz w:val="24"/>
          <w:szCs w:val="24"/>
        </w:rPr>
        <w:t>polyuri</w:t>
      </w:r>
      <w:proofErr w:type="spellEnd"/>
      <w:r w:rsidRPr="00052D27">
        <w:rPr>
          <w:spacing w:val="-3"/>
          <w:sz w:val="24"/>
          <w:szCs w:val="24"/>
        </w:rPr>
        <w:t>.</w:t>
      </w:r>
    </w:p>
    <w:p w:rsidR="009F6675" w:rsidRPr="00052D27" w:rsidRDefault="009F6675" w:rsidP="009F6675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</w:p>
    <w:p w:rsidR="009F6675" w:rsidRDefault="009F6675" w:rsidP="009F6675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052D27">
        <w:rPr>
          <w:spacing w:val="-3"/>
          <w:sz w:val="24"/>
          <w:szCs w:val="24"/>
        </w:rPr>
        <w:t xml:space="preserve">Symptomer på elektrolytforstyrrelser inkluderer mundtørhed, tørst, kraftløshed, letargi, sløvhed, </w:t>
      </w:r>
      <w:proofErr w:type="spellStart"/>
      <w:r w:rsidRPr="00052D27">
        <w:rPr>
          <w:spacing w:val="-3"/>
          <w:sz w:val="24"/>
          <w:szCs w:val="24"/>
        </w:rPr>
        <w:t>gastrointestinale</w:t>
      </w:r>
      <w:proofErr w:type="spellEnd"/>
      <w:r w:rsidRPr="00052D27">
        <w:rPr>
          <w:spacing w:val="-3"/>
          <w:sz w:val="24"/>
          <w:szCs w:val="24"/>
        </w:rPr>
        <w:t xml:space="preserve"> gener, rastløshed, muskelsmerter og krampeanfald. Se også bivirkninger pkt. 4.8.</w:t>
      </w:r>
    </w:p>
    <w:p w:rsidR="009F6675" w:rsidRDefault="009F6675" w:rsidP="009F6675">
      <w:pPr>
        <w:tabs>
          <w:tab w:val="left" w:pos="0"/>
          <w:tab w:val="left" w:pos="851"/>
        </w:tabs>
        <w:ind w:left="850"/>
      </w:pPr>
    </w:p>
    <w:p w:rsidR="009F6675" w:rsidRPr="00052D27" w:rsidRDefault="009F6675" w:rsidP="009F6675">
      <w:pPr>
        <w:tabs>
          <w:tab w:val="left" w:pos="0"/>
          <w:tab w:val="left" w:pos="851"/>
        </w:tabs>
        <w:ind w:left="850"/>
        <w:rPr>
          <w:spacing w:val="-3"/>
          <w:sz w:val="24"/>
          <w:szCs w:val="24"/>
        </w:rPr>
      </w:pPr>
      <w:r w:rsidRPr="00092E85">
        <w:rPr>
          <w:sz w:val="24"/>
          <w:szCs w:val="24"/>
        </w:rPr>
        <w:t xml:space="preserve">Høje doser af kalium kan føre til udvikling af symptomer på </w:t>
      </w:r>
      <w:proofErr w:type="spellStart"/>
      <w:r w:rsidRPr="00092E85">
        <w:rPr>
          <w:sz w:val="24"/>
          <w:szCs w:val="24"/>
        </w:rPr>
        <w:t>hyperkaliæmi</w:t>
      </w:r>
      <w:proofErr w:type="spellEnd"/>
      <w:r w:rsidRPr="00092E85">
        <w:rPr>
          <w:sz w:val="24"/>
          <w:szCs w:val="24"/>
        </w:rPr>
        <w:t xml:space="preserve"> samt have effekt på hjertet. Symptomerne er hypotension, </w:t>
      </w:r>
      <w:proofErr w:type="spellStart"/>
      <w:r w:rsidRPr="00092E85">
        <w:rPr>
          <w:sz w:val="24"/>
          <w:szCs w:val="24"/>
        </w:rPr>
        <w:t>bradycardi</w:t>
      </w:r>
      <w:proofErr w:type="spellEnd"/>
      <w:r w:rsidRPr="00092E85">
        <w:rPr>
          <w:sz w:val="24"/>
          <w:szCs w:val="24"/>
        </w:rPr>
        <w:t xml:space="preserve">, hjerteblok og </w:t>
      </w:r>
      <w:proofErr w:type="spellStart"/>
      <w:r w:rsidRPr="00092E85">
        <w:rPr>
          <w:sz w:val="24"/>
          <w:szCs w:val="24"/>
        </w:rPr>
        <w:t>hjertearytmier</w:t>
      </w:r>
      <w:proofErr w:type="spellEnd"/>
      <w:r w:rsidRPr="00092E85">
        <w:rPr>
          <w:sz w:val="24"/>
          <w:szCs w:val="24"/>
        </w:rPr>
        <w:t xml:space="preserve">. Respiratorisk depression og gastriske symptomer forårsaget af korrosion og </w:t>
      </w:r>
      <w:proofErr w:type="spellStart"/>
      <w:r w:rsidRPr="00092E85">
        <w:rPr>
          <w:sz w:val="24"/>
          <w:szCs w:val="24"/>
        </w:rPr>
        <w:t>acidose</w:t>
      </w:r>
      <w:proofErr w:type="spellEnd"/>
      <w:r w:rsidRPr="00092E85">
        <w:rPr>
          <w:sz w:val="24"/>
          <w:szCs w:val="24"/>
        </w:rPr>
        <w:t xml:space="preserve"> kan udvikle sig.</w:t>
      </w:r>
    </w:p>
    <w:p w:rsidR="009F6675" w:rsidRPr="00052D27" w:rsidRDefault="009F6675" w:rsidP="009F6675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</w:p>
    <w:p w:rsidR="00063A92" w:rsidRDefault="009F6675" w:rsidP="009F6675">
      <w:pPr>
        <w:tabs>
          <w:tab w:val="left" w:pos="0"/>
          <w:tab w:val="left" w:pos="851"/>
        </w:tabs>
        <w:ind w:left="851" w:hanging="851"/>
        <w:rPr>
          <w:sz w:val="24"/>
          <w:szCs w:val="24"/>
        </w:rPr>
      </w:pPr>
      <w:r w:rsidRPr="007071A6">
        <w:rPr>
          <w:spacing w:val="-3"/>
          <w:sz w:val="24"/>
          <w:szCs w:val="24"/>
        </w:rPr>
        <w:tab/>
      </w:r>
      <w:r w:rsidRPr="00092E85">
        <w:rPr>
          <w:spacing w:val="-3"/>
          <w:sz w:val="24"/>
          <w:szCs w:val="24"/>
        </w:rPr>
        <w:t>Behandling</w:t>
      </w:r>
      <w:r w:rsidRPr="00052D27">
        <w:rPr>
          <w:spacing w:val="-3"/>
          <w:sz w:val="24"/>
          <w:szCs w:val="24"/>
          <w:u w:val="single"/>
        </w:rPr>
        <w:t>:</w:t>
      </w:r>
      <w:r>
        <w:rPr>
          <w:spacing w:val="-3"/>
          <w:sz w:val="24"/>
          <w:szCs w:val="24"/>
          <w:u w:val="single"/>
        </w:rPr>
        <w:t xml:space="preserve"> </w:t>
      </w:r>
      <w:r w:rsidRPr="00052D27">
        <w:rPr>
          <w:spacing w:val="-3"/>
          <w:sz w:val="24"/>
          <w:szCs w:val="24"/>
        </w:rPr>
        <w:t>Korrektion af væske- og elektrolytbalance.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4.10</w:t>
      </w:r>
      <w:r w:rsidRPr="00052D27">
        <w:rPr>
          <w:b/>
          <w:sz w:val="24"/>
          <w:szCs w:val="24"/>
        </w:rPr>
        <w:tab/>
        <w:t>Udlevering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052D27">
        <w:rPr>
          <w:sz w:val="24"/>
          <w:szCs w:val="24"/>
        </w:rPr>
        <w:t>B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5.</w:t>
      </w:r>
      <w:r w:rsidRPr="00052D27">
        <w:rPr>
          <w:b/>
          <w:sz w:val="24"/>
          <w:szCs w:val="24"/>
        </w:rPr>
        <w:tab/>
        <w:t>FARMAKOLOGISKE EGENSKABER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Default="00CD2EF4" w:rsidP="00CD2EF4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5.1</w:t>
      </w:r>
      <w:r w:rsidRPr="00052D27">
        <w:rPr>
          <w:b/>
          <w:sz w:val="24"/>
          <w:szCs w:val="24"/>
        </w:rPr>
        <w:tab/>
      </w:r>
      <w:proofErr w:type="spellStart"/>
      <w:r w:rsidRPr="00052D27">
        <w:rPr>
          <w:b/>
          <w:sz w:val="24"/>
          <w:szCs w:val="24"/>
        </w:rPr>
        <w:t>Farmakodynamiske</w:t>
      </w:r>
      <w:proofErr w:type="spellEnd"/>
      <w:r w:rsidRPr="00052D27">
        <w:rPr>
          <w:b/>
          <w:sz w:val="24"/>
          <w:szCs w:val="24"/>
        </w:rPr>
        <w:t xml:space="preserve"> egenskaber</w:t>
      </w:r>
    </w:p>
    <w:p w:rsidR="009F6675" w:rsidRPr="009F6675" w:rsidRDefault="009F6675" w:rsidP="009F6675">
      <w:pPr>
        <w:tabs>
          <w:tab w:val="num" w:pos="851"/>
        </w:tabs>
        <w:ind w:left="851" w:hanging="851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Pr="009F6675">
        <w:rPr>
          <w:sz w:val="24"/>
          <w:szCs w:val="24"/>
        </w:rPr>
        <w:t>Farmakoterapeutisk</w:t>
      </w:r>
      <w:proofErr w:type="spellEnd"/>
      <w:r w:rsidRPr="009F6675">
        <w:rPr>
          <w:sz w:val="24"/>
          <w:szCs w:val="24"/>
        </w:rPr>
        <w:t xml:space="preserve"> klassifikation: </w:t>
      </w:r>
      <w:proofErr w:type="spellStart"/>
      <w:r w:rsidRPr="009F6675">
        <w:rPr>
          <w:sz w:val="24"/>
          <w:szCs w:val="24"/>
        </w:rPr>
        <w:t>Diuretika</w:t>
      </w:r>
      <w:proofErr w:type="spellEnd"/>
      <w:r w:rsidRPr="009F6675">
        <w:rPr>
          <w:sz w:val="24"/>
          <w:szCs w:val="24"/>
        </w:rPr>
        <w:t xml:space="preserve">, </w:t>
      </w:r>
      <w:proofErr w:type="spellStart"/>
      <w:r w:rsidRPr="009F6675">
        <w:rPr>
          <w:sz w:val="24"/>
          <w:szCs w:val="24"/>
        </w:rPr>
        <w:t>thiazider</w:t>
      </w:r>
      <w:proofErr w:type="spellEnd"/>
      <w:r w:rsidRPr="009F6675">
        <w:rPr>
          <w:sz w:val="24"/>
          <w:szCs w:val="24"/>
        </w:rPr>
        <w:t xml:space="preserve"> og kalium i kombination. ATC-kode: C 03 AB 01.</w:t>
      </w:r>
    </w:p>
    <w:p w:rsidR="009F6675" w:rsidRPr="00052D27" w:rsidRDefault="009F6675" w:rsidP="00CD2EF4">
      <w:pPr>
        <w:tabs>
          <w:tab w:val="num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lang w:eastAsia="da-DK"/>
        </w:rPr>
      </w:pPr>
      <w:r w:rsidRPr="00052D27">
        <w:rPr>
          <w:spacing w:val="-3"/>
          <w:sz w:val="24"/>
          <w:szCs w:val="24"/>
        </w:rPr>
        <w:tab/>
      </w:r>
      <w:proofErr w:type="spellStart"/>
      <w:r w:rsidRPr="00052D27">
        <w:rPr>
          <w:spacing w:val="-3"/>
          <w:sz w:val="24"/>
          <w:szCs w:val="24"/>
        </w:rPr>
        <w:t>Bendrozas</w:t>
      </w:r>
      <w:proofErr w:type="spellEnd"/>
      <w:r w:rsidRPr="00052D27">
        <w:rPr>
          <w:spacing w:val="-3"/>
          <w:sz w:val="24"/>
          <w:szCs w:val="24"/>
        </w:rPr>
        <w:t xml:space="preserve"> diuretiske effekt fremkommer ved hæmning af </w:t>
      </w:r>
      <w:proofErr w:type="spellStart"/>
      <w:r w:rsidRPr="00052D27">
        <w:rPr>
          <w:spacing w:val="-3"/>
          <w:sz w:val="24"/>
          <w:szCs w:val="24"/>
        </w:rPr>
        <w:t>natriumreabsorp</w:t>
      </w:r>
      <w:r w:rsidRPr="00052D27">
        <w:rPr>
          <w:spacing w:val="-3"/>
          <w:sz w:val="24"/>
          <w:szCs w:val="24"/>
        </w:rPr>
        <w:softHyphen/>
        <w:t>tionen</w:t>
      </w:r>
      <w:proofErr w:type="spellEnd"/>
      <w:r w:rsidRPr="00052D27">
        <w:rPr>
          <w:spacing w:val="-3"/>
          <w:sz w:val="24"/>
          <w:szCs w:val="24"/>
        </w:rPr>
        <w:t xml:space="preserve"> i de </w:t>
      </w:r>
      <w:proofErr w:type="spellStart"/>
      <w:r w:rsidRPr="00052D27">
        <w:rPr>
          <w:spacing w:val="-3"/>
          <w:sz w:val="24"/>
          <w:szCs w:val="24"/>
        </w:rPr>
        <w:t>distale</w:t>
      </w:r>
      <w:proofErr w:type="spellEnd"/>
      <w:r w:rsidRPr="00052D27">
        <w:rPr>
          <w:spacing w:val="-3"/>
          <w:sz w:val="24"/>
          <w:szCs w:val="24"/>
        </w:rPr>
        <w:t xml:space="preserve"> </w:t>
      </w:r>
      <w:proofErr w:type="spellStart"/>
      <w:r w:rsidRPr="00052D27">
        <w:rPr>
          <w:spacing w:val="-3"/>
          <w:sz w:val="24"/>
          <w:szCs w:val="24"/>
        </w:rPr>
        <w:t>tubuli</w:t>
      </w:r>
      <w:proofErr w:type="spellEnd"/>
      <w:r w:rsidRPr="00052D27">
        <w:rPr>
          <w:spacing w:val="-3"/>
          <w:sz w:val="24"/>
          <w:szCs w:val="24"/>
        </w:rPr>
        <w:t xml:space="preserve">. For at kompensere for kaliumtab under diuresen indgår </w:t>
      </w:r>
      <w:proofErr w:type="spellStart"/>
      <w:r w:rsidRPr="00052D27">
        <w:rPr>
          <w:spacing w:val="-3"/>
          <w:sz w:val="24"/>
          <w:szCs w:val="24"/>
        </w:rPr>
        <w:t>kaliumchlorid</w:t>
      </w:r>
      <w:proofErr w:type="spellEnd"/>
      <w:r w:rsidRPr="00052D27">
        <w:rPr>
          <w:spacing w:val="-3"/>
          <w:sz w:val="24"/>
          <w:szCs w:val="24"/>
        </w:rPr>
        <w:t xml:space="preserve"> i præparatet.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5.2</w:t>
      </w:r>
      <w:r w:rsidRPr="00052D27">
        <w:rPr>
          <w:b/>
          <w:sz w:val="24"/>
          <w:szCs w:val="24"/>
        </w:rPr>
        <w:tab/>
      </w:r>
      <w:proofErr w:type="spellStart"/>
      <w:r w:rsidRPr="00052D27">
        <w:rPr>
          <w:b/>
          <w:sz w:val="24"/>
          <w:szCs w:val="24"/>
        </w:rPr>
        <w:t>Farmakokinetiske</w:t>
      </w:r>
      <w:proofErr w:type="spellEnd"/>
      <w:r w:rsidRPr="00052D27">
        <w:rPr>
          <w:b/>
          <w:sz w:val="24"/>
          <w:szCs w:val="24"/>
        </w:rPr>
        <w:t xml:space="preserve"> egenskaber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lang w:eastAsia="da-DK"/>
        </w:rPr>
      </w:pPr>
      <w:r w:rsidRPr="00052D27">
        <w:rPr>
          <w:spacing w:val="-3"/>
          <w:sz w:val="24"/>
          <w:szCs w:val="24"/>
        </w:rPr>
        <w:tab/>
      </w:r>
      <w:proofErr w:type="spellStart"/>
      <w:r w:rsidRPr="00052D27">
        <w:rPr>
          <w:spacing w:val="-3"/>
          <w:sz w:val="24"/>
          <w:szCs w:val="24"/>
        </w:rPr>
        <w:t>Bendroflumethiazid</w:t>
      </w:r>
      <w:proofErr w:type="spellEnd"/>
      <w:r w:rsidRPr="00052D27">
        <w:rPr>
          <w:spacing w:val="-3"/>
          <w:sz w:val="24"/>
          <w:szCs w:val="24"/>
        </w:rPr>
        <w:t xml:space="preserve"> absorberes næsten fuldstændigt fra mave-/tarmkanalen. Virkningen indtræder efter 1-2 timer og er maksimal efter ca. 4 timer. Virknings</w:t>
      </w:r>
      <w:r w:rsidRPr="00052D27">
        <w:rPr>
          <w:spacing w:val="-3"/>
          <w:sz w:val="24"/>
          <w:szCs w:val="24"/>
        </w:rPr>
        <w:softHyphen/>
        <w:t xml:space="preserve">varighed 12-18 timer. Tabletter (monodepot) er fremstillet således, at </w:t>
      </w:r>
      <w:proofErr w:type="spellStart"/>
      <w:r w:rsidRPr="00052D27">
        <w:rPr>
          <w:spacing w:val="-3"/>
          <w:sz w:val="24"/>
          <w:szCs w:val="24"/>
        </w:rPr>
        <w:t>kaliumchlorid</w:t>
      </w:r>
      <w:proofErr w:type="spellEnd"/>
      <w:r w:rsidRPr="00052D27">
        <w:rPr>
          <w:spacing w:val="-3"/>
          <w:sz w:val="24"/>
          <w:szCs w:val="24"/>
        </w:rPr>
        <w:t xml:space="preserve"> frigøres langsomt.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5.3</w:t>
      </w:r>
      <w:r w:rsidRPr="00052D27">
        <w:rPr>
          <w:b/>
          <w:sz w:val="24"/>
          <w:szCs w:val="24"/>
        </w:rPr>
        <w:tab/>
      </w:r>
      <w:r w:rsidR="00063A92">
        <w:rPr>
          <w:b/>
          <w:sz w:val="24"/>
          <w:szCs w:val="24"/>
        </w:rPr>
        <w:t>Non-</w:t>
      </w:r>
      <w:r w:rsidR="00063A92" w:rsidRPr="00052D27">
        <w:rPr>
          <w:b/>
          <w:sz w:val="24"/>
          <w:szCs w:val="24"/>
        </w:rPr>
        <w:t>kliniske sikkerhedsdata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lang w:eastAsia="da-DK"/>
        </w:rPr>
      </w:pPr>
      <w:r w:rsidRPr="00052D27">
        <w:rPr>
          <w:spacing w:val="-3"/>
          <w:sz w:val="24"/>
          <w:szCs w:val="24"/>
        </w:rPr>
        <w:tab/>
      </w:r>
      <w:proofErr w:type="spellStart"/>
      <w:r w:rsidRPr="00052D27">
        <w:rPr>
          <w:spacing w:val="-3"/>
          <w:sz w:val="24"/>
          <w:szCs w:val="24"/>
        </w:rPr>
        <w:t>Bendroza</w:t>
      </w:r>
      <w:proofErr w:type="spellEnd"/>
      <w:r w:rsidRPr="00052D27">
        <w:rPr>
          <w:spacing w:val="-3"/>
          <w:sz w:val="24"/>
          <w:szCs w:val="24"/>
        </w:rPr>
        <w:t xml:space="preserve"> er i terapeutiske doser meget lidt toksisk. Akutte og kroniske toks</w:t>
      </w:r>
      <w:r>
        <w:rPr>
          <w:spacing w:val="-3"/>
          <w:sz w:val="24"/>
          <w:szCs w:val="24"/>
        </w:rPr>
        <w:t>i</w:t>
      </w:r>
      <w:r w:rsidRPr="00052D27">
        <w:rPr>
          <w:spacing w:val="-3"/>
          <w:sz w:val="24"/>
          <w:szCs w:val="24"/>
        </w:rPr>
        <w:t xml:space="preserve">kologiske dyrestudier har ikke vist nogle klinisk signifikante </w:t>
      </w:r>
      <w:proofErr w:type="spellStart"/>
      <w:r w:rsidRPr="00052D27">
        <w:rPr>
          <w:spacing w:val="-3"/>
          <w:sz w:val="24"/>
          <w:szCs w:val="24"/>
        </w:rPr>
        <w:t>hæmotologiske</w:t>
      </w:r>
      <w:proofErr w:type="spellEnd"/>
      <w:r w:rsidRPr="00052D27">
        <w:rPr>
          <w:spacing w:val="-3"/>
          <w:sz w:val="24"/>
          <w:szCs w:val="24"/>
        </w:rPr>
        <w:t xml:space="preserve"> eller patologiske forandringer.</w:t>
      </w:r>
    </w:p>
    <w:p w:rsidR="00CD2EF4" w:rsidRDefault="00CD2EF4" w:rsidP="00CD2EF4">
      <w:pPr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6.</w:t>
      </w:r>
      <w:r w:rsidRPr="00052D27">
        <w:rPr>
          <w:b/>
          <w:sz w:val="24"/>
          <w:szCs w:val="24"/>
        </w:rPr>
        <w:tab/>
        <w:t>FARMACEUTISKE OPLYSNINGER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6.1</w:t>
      </w:r>
      <w:r w:rsidRPr="00052D27">
        <w:rPr>
          <w:b/>
          <w:sz w:val="24"/>
          <w:szCs w:val="24"/>
        </w:rPr>
        <w:tab/>
        <w:t>Hjælpestoffer</w:t>
      </w:r>
    </w:p>
    <w:p w:rsidR="00CD2EF4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u w:val="single"/>
        </w:rPr>
      </w:pP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u w:val="single"/>
          <w:lang w:eastAsia="da-DK"/>
        </w:rPr>
      </w:pPr>
      <w:r w:rsidRPr="007071A6">
        <w:rPr>
          <w:spacing w:val="-3"/>
          <w:sz w:val="24"/>
          <w:szCs w:val="24"/>
        </w:rPr>
        <w:tab/>
      </w:r>
      <w:r w:rsidRPr="00052D27">
        <w:rPr>
          <w:spacing w:val="-3"/>
          <w:sz w:val="24"/>
          <w:szCs w:val="24"/>
          <w:u w:val="single"/>
        </w:rPr>
        <w:t>Tabletkerne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</w:r>
      <w:proofErr w:type="spellStart"/>
      <w:r w:rsidRPr="00052D27">
        <w:rPr>
          <w:spacing w:val="-3"/>
          <w:sz w:val="24"/>
          <w:szCs w:val="24"/>
        </w:rPr>
        <w:t>Talcum</w:t>
      </w:r>
      <w:proofErr w:type="spellEnd"/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</w:r>
      <w:proofErr w:type="spellStart"/>
      <w:r w:rsidRPr="00052D27">
        <w:rPr>
          <w:spacing w:val="-3"/>
          <w:sz w:val="24"/>
          <w:szCs w:val="24"/>
        </w:rPr>
        <w:t>Eudragit</w:t>
      </w:r>
      <w:proofErr w:type="spellEnd"/>
      <w:r w:rsidRPr="00052D27">
        <w:rPr>
          <w:spacing w:val="-3"/>
          <w:sz w:val="24"/>
          <w:szCs w:val="24"/>
        </w:rPr>
        <w:t xml:space="preserve"> 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</w:r>
      <w:proofErr w:type="spellStart"/>
      <w:r w:rsidRPr="00052D27">
        <w:rPr>
          <w:spacing w:val="-3"/>
          <w:sz w:val="24"/>
          <w:szCs w:val="24"/>
        </w:rPr>
        <w:t>Hypromellose</w:t>
      </w:r>
      <w:proofErr w:type="spellEnd"/>
      <w:r w:rsidRPr="00052D27">
        <w:rPr>
          <w:spacing w:val="-3"/>
          <w:sz w:val="24"/>
          <w:szCs w:val="24"/>
        </w:rPr>
        <w:t xml:space="preserve"> 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</w:r>
      <w:proofErr w:type="spellStart"/>
      <w:r w:rsidRPr="00052D27">
        <w:rPr>
          <w:spacing w:val="-3"/>
          <w:sz w:val="24"/>
          <w:szCs w:val="24"/>
        </w:rPr>
        <w:t>Silica</w:t>
      </w:r>
      <w:proofErr w:type="spellEnd"/>
      <w:r w:rsidRPr="00052D27">
        <w:rPr>
          <w:spacing w:val="-3"/>
          <w:sz w:val="24"/>
          <w:szCs w:val="24"/>
        </w:rPr>
        <w:t>, kolloid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</w:r>
      <w:proofErr w:type="spellStart"/>
      <w:r w:rsidRPr="00052D27">
        <w:rPr>
          <w:spacing w:val="-3"/>
          <w:sz w:val="24"/>
          <w:szCs w:val="24"/>
        </w:rPr>
        <w:t>Magnesiumstearat</w:t>
      </w:r>
      <w:proofErr w:type="spellEnd"/>
      <w:r w:rsidRPr="00052D27">
        <w:rPr>
          <w:spacing w:val="-3"/>
          <w:sz w:val="24"/>
          <w:szCs w:val="24"/>
        </w:rPr>
        <w:tab/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  <w:t>Majsstivelse (prægelatineret)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u w:val="single"/>
        </w:rPr>
      </w:pPr>
      <w:r w:rsidRPr="00052D27">
        <w:rPr>
          <w:spacing w:val="-3"/>
          <w:sz w:val="24"/>
          <w:szCs w:val="24"/>
        </w:rPr>
        <w:tab/>
      </w:r>
      <w:r w:rsidRPr="00052D27">
        <w:rPr>
          <w:spacing w:val="-3"/>
          <w:sz w:val="24"/>
          <w:szCs w:val="24"/>
          <w:u w:val="single"/>
        </w:rPr>
        <w:t>Filmovertræk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</w:r>
      <w:proofErr w:type="spellStart"/>
      <w:r w:rsidRPr="00052D27">
        <w:rPr>
          <w:spacing w:val="-3"/>
          <w:sz w:val="24"/>
          <w:szCs w:val="24"/>
        </w:rPr>
        <w:t>Opadry</w:t>
      </w:r>
      <w:proofErr w:type="spellEnd"/>
      <w:r w:rsidRPr="00052D27">
        <w:rPr>
          <w:spacing w:val="-3"/>
          <w:sz w:val="24"/>
          <w:szCs w:val="24"/>
        </w:rPr>
        <w:t xml:space="preserve"> II hvid (bestående af </w:t>
      </w:r>
      <w:proofErr w:type="spellStart"/>
      <w:r w:rsidRPr="00052D27">
        <w:rPr>
          <w:spacing w:val="-3"/>
          <w:sz w:val="24"/>
          <w:szCs w:val="24"/>
        </w:rPr>
        <w:t>hyppromellose</w:t>
      </w:r>
      <w:proofErr w:type="spellEnd"/>
      <w:r w:rsidRPr="00052D27">
        <w:rPr>
          <w:spacing w:val="-3"/>
          <w:sz w:val="24"/>
          <w:szCs w:val="24"/>
        </w:rPr>
        <w:t xml:space="preserve">, </w:t>
      </w:r>
      <w:proofErr w:type="spellStart"/>
      <w:r w:rsidRPr="00052D27">
        <w:rPr>
          <w:spacing w:val="-3"/>
          <w:sz w:val="24"/>
          <w:szCs w:val="24"/>
        </w:rPr>
        <w:t>polydextrose</w:t>
      </w:r>
      <w:proofErr w:type="spellEnd"/>
      <w:r w:rsidRPr="00052D27">
        <w:rPr>
          <w:spacing w:val="-3"/>
          <w:sz w:val="24"/>
          <w:szCs w:val="24"/>
        </w:rPr>
        <w:t xml:space="preserve">, titandioxid (E171), </w:t>
      </w:r>
      <w:proofErr w:type="spellStart"/>
      <w:r w:rsidRPr="00052D27">
        <w:rPr>
          <w:spacing w:val="-3"/>
          <w:sz w:val="24"/>
          <w:szCs w:val="24"/>
        </w:rPr>
        <w:t>talcum</w:t>
      </w:r>
      <w:proofErr w:type="spellEnd"/>
      <w:r w:rsidRPr="00052D27">
        <w:rPr>
          <w:spacing w:val="-3"/>
          <w:sz w:val="24"/>
          <w:szCs w:val="24"/>
        </w:rPr>
        <w:t xml:space="preserve">, </w:t>
      </w:r>
      <w:proofErr w:type="spellStart"/>
      <w:r w:rsidRPr="00052D27">
        <w:rPr>
          <w:spacing w:val="-3"/>
          <w:sz w:val="24"/>
          <w:szCs w:val="24"/>
        </w:rPr>
        <w:t>maltodextrin</w:t>
      </w:r>
      <w:proofErr w:type="spellEnd"/>
      <w:r w:rsidRPr="00052D27">
        <w:rPr>
          <w:spacing w:val="-3"/>
          <w:sz w:val="24"/>
          <w:szCs w:val="24"/>
        </w:rPr>
        <w:t>, triglycerider).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</w:r>
      <w:proofErr w:type="spellStart"/>
      <w:r w:rsidRPr="00052D27">
        <w:rPr>
          <w:spacing w:val="-3"/>
          <w:sz w:val="24"/>
          <w:szCs w:val="24"/>
        </w:rPr>
        <w:t>Eudragit</w:t>
      </w:r>
      <w:proofErr w:type="spellEnd"/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  <w:t xml:space="preserve">Citronsyre, vandfri 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</w:r>
      <w:proofErr w:type="spellStart"/>
      <w:r w:rsidRPr="00052D27">
        <w:rPr>
          <w:spacing w:val="-3"/>
          <w:sz w:val="24"/>
          <w:szCs w:val="24"/>
        </w:rPr>
        <w:t>Talcum</w:t>
      </w:r>
      <w:proofErr w:type="spellEnd"/>
      <w:r w:rsidRPr="00052D27">
        <w:rPr>
          <w:spacing w:val="-3"/>
          <w:sz w:val="24"/>
          <w:szCs w:val="24"/>
        </w:rPr>
        <w:t xml:space="preserve"> 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</w:r>
      <w:proofErr w:type="spellStart"/>
      <w:r w:rsidRPr="00052D27">
        <w:rPr>
          <w:spacing w:val="-3"/>
          <w:sz w:val="24"/>
          <w:szCs w:val="24"/>
        </w:rPr>
        <w:t>Triethylcitrat</w:t>
      </w:r>
      <w:proofErr w:type="spellEnd"/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</w:r>
      <w:proofErr w:type="spellStart"/>
      <w:r w:rsidRPr="00052D27">
        <w:rPr>
          <w:spacing w:val="-3"/>
          <w:sz w:val="24"/>
          <w:szCs w:val="24"/>
        </w:rPr>
        <w:t>Saccharosemonopalmitat</w:t>
      </w:r>
      <w:proofErr w:type="spellEnd"/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6.2</w:t>
      </w:r>
      <w:r w:rsidRPr="00052D27">
        <w:rPr>
          <w:b/>
          <w:sz w:val="24"/>
          <w:szCs w:val="24"/>
        </w:rPr>
        <w:tab/>
        <w:t>Uforligeligheder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  <w:lang w:eastAsia="da-DK"/>
        </w:rPr>
      </w:pPr>
      <w:r w:rsidRPr="00052D27">
        <w:rPr>
          <w:spacing w:val="-3"/>
          <w:sz w:val="24"/>
          <w:szCs w:val="24"/>
        </w:rPr>
        <w:tab/>
        <w:t>Ikke relevant.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6.3</w:t>
      </w:r>
      <w:r w:rsidRPr="00052D27">
        <w:rPr>
          <w:b/>
          <w:sz w:val="24"/>
          <w:szCs w:val="24"/>
        </w:rPr>
        <w:tab/>
        <w:t>Opbevaringstid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  <w:lang w:eastAsia="da-DK"/>
        </w:rPr>
      </w:pPr>
      <w:r>
        <w:rPr>
          <w:spacing w:val="-3"/>
          <w:sz w:val="24"/>
          <w:szCs w:val="24"/>
        </w:rPr>
        <w:tab/>
        <w:t>2 å</w:t>
      </w:r>
      <w:r w:rsidRPr="00052D27">
        <w:rPr>
          <w:spacing w:val="-3"/>
          <w:sz w:val="24"/>
          <w:szCs w:val="24"/>
        </w:rPr>
        <w:t>r.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6.4</w:t>
      </w:r>
      <w:r w:rsidRPr="00052D27">
        <w:rPr>
          <w:b/>
          <w:sz w:val="24"/>
          <w:szCs w:val="24"/>
        </w:rPr>
        <w:tab/>
        <w:t>Særlige opbevaringsforhold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  <w:lang w:eastAsia="da-DK"/>
        </w:rPr>
      </w:pPr>
      <w:r w:rsidRPr="00052D27">
        <w:rPr>
          <w:spacing w:val="-3"/>
          <w:sz w:val="24"/>
          <w:szCs w:val="24"/>
        </w:rPr>
        <w:tab/>
      </w:r>
      <w:r w:rsidR="009E519B" w:rsidRPr="00052D27">
        <w:rPr>
          <w:spacing w:val="-3"/>
          <w:sz w:val="24"/>
          <w:szCs w:val="24"/>
        </w:rPr>
        <w:t xml:space="preserve">Må ikke opbevares </w:t>
      </w:r>
      <w:r w:rsidR="009E519B">
        <w:rPr>
          <w:spacing w:val="-3"/>
          <w:sz w:val="24"/>
          <w:szCs w:val="24"/>
        </w:rPr>
        <w:t>ved temperaturer over</w:t>
      </w:r>
      <w:r w:rsidR="009E519B" w:rsidRPr="00052D27">
        <w:rPr>
          <w:spacing w:val="-3"/>
          <w:sz w:val="24"/>
          <w:szCs w:val="24"/>
        </w:rPr>
        <w:t xml:space="preserve"> 30 °C</w:t>
      </w:r>
      <w:r w:rsidRPr="00052D27">
        <w:rPr>
          <w:spacing w:val="-3"/>
          <w:sz w:val="24"/>
          <w:szCs w:val="24"/>
        </w:rPr>
        <w:t>.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6.5</w:t>
      </w:r>
      <w:r w:rsidRPr="00052D27">
        <w:rPr>
          <w:b/>
          <w:sz w:val="24"/>
          <w:szCs w:val="24"/>
        </w:rPr>
        <w:tab/>
        <w:t>Emballagetype og pakningsstørrelser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  <w:lang w:eastAsia="da-DK"/>
        </w:rPr>
      </w:pPr>
      <w:r w:rsidRPr="00052D27">
        <w:rPr>
          <w:spacing w:val="-3"/>
          <w:sz w:val="24"/>
          <w:szCs w:val="24"/>
        </w:rPr>
        <w:tab/>
        <w:t>HDPE beholder med tørrekapsel integreret i låget.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  <w:t>Pakningsstørrelser: 100 og 250 filmovertrukne tabletter.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052D27">
        <w:rPr>
          <w:spacing w:val="-3"/>
          <w:sz w:val="24"/>
          <w:szCs w:val="24"/>
        </w:rPr>
        <w:tab/>
        <w:t>Ikke alle pakningsstørrelser er nødvendigvis markedsført.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61202" w:rsidRPr="00052D27" w:rsidRDefault="00CD2EF4" w:rsidP="0036120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6.6</w:t>
      </w:r>
      <w:r w:rsidRPr="00052D27">
        <w:rPr>
          <w:b/>
          <w:sz w:val="24"/>
          <w:szCs w:val="24"/>
        </w:rPr>
        <w:tab/>
      </w:r>
      <w:r w:rsidR="00361202" w:rsidRPr="00052D27">
        <w:rPr>
          <w:b/>
          <w:sz w:val="24"/>
          <w:szCs w:val="24"/>
        </w:rPr>
        <w:t xml:space="preserve">Regler for </w:t>
      </w:r>
      <w:r w:rsidR="00361202">
        <w:rPr>
          <w:b/>
          <w:sz w:val="24"/>
          <w:szCs w:val="24"/>
        </w:rPr>
        <w:t>bortskaffelse</w:t>
      </w:r>
      <w:r w:rsidR="00361202" w:rsidRPr="00052D27">
        <w:rPr>
          <w:b/>
          <w:sz w:val="24"/>
          <w:szCs w:val="24"/>
        </w:rPr>
        <w:t xml:space="preserve"> og anden håndtering</w:t>
      </w:r>
    </w:p>
    <w:p w:rsidR="00CD2EF4" w:rsidRPr="00052D27" w:rsidRDefault="00CD2EF4" w:rsidP="00CD2EF4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  <w:lang w:eastAsia="da-DK"/>
        </w:rPr>
      </w:pPr>
      <w:r w:rsidRPr="00052D27">
        <w:rPr>
          <w:spacing w:val="-3"/>
          <w:sz w:val="24"/>
          <w:szCs w:val="24"/>
        </w:rPr>
        <w:tab/>
        <w:t>Ingen særlige forholdsregler.</w:t>
      </w:r>
    </w:p>
    <w:p w:rsidR="00CD2EF4" w:rsidRPr="00052D27" w:rsidRDefault="00CD2EF4" w:rsidP="00CD2EF4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7.</w:t>
      </w:r>
      <w:r w:rsidRPr="00052D27">
        <w:rPr>
          <w:b/>
          <w:sz w:val="24"/>
          <w:szCs w:val="24"/>
        </w:rPr>
        <w:tab/>
        <w:t>INDEHAVER AF MARKEDSFØRINGSTILLADELSEN</w:t>
      </w:r>
    </w:p>
    <w:p w:rsidR="00CD2EF4" w:rsidRPr="00AA2827" w:rsidRDefault="00CD2EF4" w:rsidP="00CD2EF4">
      <w:pPr>
        <w:ind w:left="851"/>
        <w:rPr>
          <w:spacing w:val="-3"/>
          <w:sz w:val="24"/>
          <w:szCs w:val="24"/>
        </w:rPr>
      </w:pPr>
      <w:proofErr w:type="spellStart"/>
      <w:r w:rsidRPr="00AA2827">
        <w:rPr>
          <w:spacing w:val="-3"/>
          <w:sz w:val="24"/>
          <w:szCs w:val="24"/>
        </w:rPr>
        <w:t>Teva</w:t>
      </w:r>
      <w:proofErr w:type="spellEnd"/>
      <w:r w:rsidRPr="00AA2827">
        <w:rPr>
          <w:spacing w:val="-3"/>
          <w:sz w:val="24"/>
          <w:szCs w:val="24"/>
        </w:rPr>
        <w:t xml:space="preserve"> B.V.</w:t>
      </w:r>
    </w:p>
    <w:p w:rsidR="00CD2EF4" w:rsidRPr="00AA2827" w:rsidRDefault="00CD2EF4" w:rsidP="00CD2EF4">
      <w:pPr>
        <w:ind w:left="851"/>
        <w:rPr>
          <w:spacing w:val="-3"/>
          <w:sz w:val="24"/>
          <w:szCs w:val="24"/>
        </w:rPr>
      </w:pPr>
      <w:proofErr w:type="spellStart"/>
      <w:r w:rsidRPr="00AA2827">
        <w:rPr>
          <w:spacing w:val="-3"/>
          <w:sz w:val="24"/>
          <w:szCs w:val="24"/>
        </w:rPr>
        <w:t>Swensweg</w:t>
      </w:r>
      <w:proofErr w:type="spellEnd"/>
      <w:r w:rsidRPr="00AA2827">
        <w:rPr>
          <w:spacing w:val="-3"/>
          <w:sz w:val="24"/>
          <w:szCs w:val="24"/>
        </w:rPr>
        <w:t xml:space="preserve"> 5</w:t>
      </w:r>
    </w:p>
    <w:p w:rsidR="00CD2EF4" w:rsidRPr="00AA2827" w:rsidRDefault="00CD2EF4" w:rsidP="00CD2EF4">
      <w:pPr>
        <w:ind w:left="851"/>
        <w:rPr>
          <w:spacing w:val="-3"/>
          <w:sz w:val="24"/>
          <w:szCs w:val="24"/>
        </w:rPr>
      </w:pPr>
      <w:r w:rsidRPr="00AA2827">
        <w:rPr>
          <w:spacing w:val="-3"/>
          <w:sz w:val="24"/>
          <w:szCs w:val="24"/>
        </w:rPr>
        <w:t xml:space="preserve">2031 GA </w:t>
      </w:r>
      <w:proofErr w:type="spellStart"/>
      <w:r w:rsidRPr="00AA2827">
        <w:rPr>
          <w:spacing w:val="-3"/>
          <w:sz w:val="24"/>
          <w:szCs w:val="24"/>
        </w:rPr>
        <w:t>Haarlem</w:t>
      </w:r>
      <w:proofErr w:type="spellEnd"/>
    </w:p>
    <w:p w:rsidR="00CD2EF4" w:rsidRPr="00ED39DA" w:rsidRDefault="00CD2EF4" w:rsidP="00CD2EF4">
      <w:pPr>
        <w:ind w:left="851"/>
        <w:rPr>
          <w:spacing w:val="-3"/>
          <w:sz w:val="24"/>
          <w:szCs w:val="24"/>
          <w:lang w:val="en-US"/>
        </w:rPr>
      </w:pPr>
      <w:r w:rsidRPr="00ED39DA">
        <w:rPr>
          <w:spacing w:val="-3"/>
          <w:sz w:val="24"/>
          <w:szCs w:val="24"/>
          <w:lang w:val="en-US"/>
        </w:rPr>
        <w:t>Holland</w:t>
      </w:r>
    </w:p>
    <w:p w:rsidR="00CD2EF4" w:rsidRPr="00ED39DA" w:rsidRDefault="00CD2EF4" w:rsidP="00CD2EF4">
      <w:pPr>
        <w:ind w:left="851"/>
        <w:rPr>
          <w:spacing w:val="-3"/>
          <w:sz w:val="24"/>
          <w:szCs w:val="24"/>
          <w:lang w:val="en-US"/>
        </w:rPr>
      </w:pPr>
    </w:p>
    <w:p w:rsidR="00CD2EF4" w:rsidRDefault="00CD2EF4" w:rsidP="00CD2EF4">
      <w:pPr>
        <w:ind w:left="851"/>
        <w:rPr>
          <w:spacing w:val="-3"/>
          <w:sz w:val="24"/>
          <w:szCs w:val="24"/>
          <w:lang w:val="en-US"/>
        </w:rPr>
      </w:pPr>
      <w:proofErr w:type="spellStart"/>
      <w:r>
        <w:rPr>
          <w:b/>
          <w:spacing w:val="-3"/>
          <w:sz w:val="24"/>
          <w:szCs w:val="24"/>
          <w:lang w:val="en-US"/>
        </w:rPr>
        <w:t>Repræsentant</w:t>
      </w:r>
      <w:proofErr w:type="spellEnd"/>
    </w:p>
    <w:p w:rsidR="00CD2EF4" w:rsidRDefault="00CD2EF4" w:rsidP="00CD2EF4">
      <w:pPr>
        <w:ind w:left="851"/>
        <w:rPr>
          <w:spacing w:val="-3"/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>Teva Denmark A/S</w:t>
      </w:r>
    </w:p>
    <w:p w:rsidR="00CD2EF4" w:rsidRPr="00C36203" w:rsidRDefault="00CD2EF4" w:rsidP="00CD2EF4">
      <w:pPr>
        <w:ind w:left="851"/>
        <w:rPr>
          <w:spacing w:val="-3"/>
          <w:sz w:val="24"/>
          <w:szCs w:val="24"/>
        </w:rPr>
      </w:pPr>
      <w:r w:rsidRPr="00C36203">
        <w:rPr>
          <w:spacing w:val="-3"/>
          <w:sz w:val="24"/>
          <w:szCs w:val="24"/>
        </w:rPr>
        <w:t>Vandtårnsvej 83a</w:t>
      </w:r>
    </w:p>
    <w:p w:rsidR="00CD2EF4" w:rsidRDefault="00CD2EF4" w:rsidP="00CD2EF4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2860 Søborg</w:t>
      </w:r>
    </w:p>
    <w:p w:rsidR="00CD2EF4" w:rsidRPr="00052D27" w:rsidRDefault="00CD2EF4" w:rsidP="00CD2EF4">
      <w:pPr>
        <w:ind w:left="851" w:hanging="851"/>
        <w:jc w:val="both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8.</w:t>
      </w:r>
      <w:r w:rsidRPr="00052D27">
        <w:rPr>
          <w:b/>
          <w:sz w:val="24"/>
          <w:szCs w:val="24"/>
        </w:rPr>
        <w:tab/>
        <w:t>MARKEDSFØRINGSTILLADELSESNUMMER (NUMRE)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052D27">
        <w:rPr>
          <w:sz w:val="24"/>
          <w:szCs w:val="24"/>
        </w:rPr>
        <w:t>56871</w:t>
      </w:r>
    </w:p>
    <w:p w:rsidR="00CD2EF4" w:rsidRPr="00052D27" w:rsidRDefault="00CD2EF4" w:rsidP="00CD2EF4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lastRenderedPageBreak/>
        <w:t>9.</w:t>
      </w:r>
      <w:r w:rsidRPr="00052D27">
        <w:rPr>
          <w:b/>
          <w:sz w:val="24"/>
          <w:szCs w:val="24"/>
        </w:rPr>
        <w:tab/>
        <w:t>DATO FOR FØRSTE MARKEDSFØRINGSTILLADELSE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052D27">
        <w:rPr>
          <w:sz w:val="24"/>
          <w:szCs w:val="24"/>
        </w:rPr>
        <w:t>24. november 2014</w:t>
      </w:r>
    </w:p>
    <w:p w:rsidR="00CD2EF4" w:rsidRPr="00052D27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D2EF4" w:rsidRPr="00052D27" w:rsidRDefault="00CD2EF4" w:rsidP="00CD2EF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52D27">
        <w:rPr>
          <w:b/>
          <w:sz w:val="24"/>
          <w:szCs w:val="24"/>
        </w:rPr>
        <w:t>10.</w:t>
      </w:r>
      <w:r w:rsidRPr="00052D27">
        <w:rPr>
          <w:b/>
          <w:sz w:val="24"/>
          <w:szCs w:val="24"/>
        </w:rPr>
        <w:tab/>
        <w:t>DATO FOR ÆNDRING AF TEKSTEN</w:t>
      </w:r>
    </w:p>
    <w:p w:rsidR="00CD2EF4" w:rsidRPr="00633886" w:rsidRDefault="00CD2EF4" w:rsidP="00CD2EF4">
      <w:pPr>
        <w:tabs>
          <w:tab w:val="left" w:pos="851"/>
        </w:tabs>
        <w:ind w:left="851" w:hanging="851"/>
        <w:rPr>
          <w:sz w:val="24"/>
          <w:szCs w:val="24"/>
        </w:rPr>
      </w:pPr>
      <w:r w:rsidRPr="00633886">
        <w:rPr>
          <w:sz w:val="24"/>
          <w:szCs w:val="24"/>
        </w:rPr>
        <w:tab/>
      </w:r>
      <w:r w:rsidR="00CA0294">
        <w:rPr>
          <w:sz w:val="24"/>
          <w:szCs w:val="24"/>
        </w:rPr>
        <w:t>1</w:t>
      </w:r>
      <w:r w:rsidR="00AA2827">
        <w:rPr>
          <w:sz w:val="24"/>
          <w:szCs w:val="24"/>
        </w:rPr>
        <w:t>9</w:t>
      </w:r>
      <w:bookmarkStart w:id="0" w:name="_GoBack"/>
      <w:bookmarkEnd w:id="0"/>
      <w:r w:rsidR="00CA0294">
        <w:rPr>
          <w:sz w:val="24"/>
          <w:szCs w:val="24"/>
        </w:rPr>
        <w:t>. november 2024</w:t>
      </w:r>
    </w:p>
    <w:p w:rsidR="00CD2EF4" w:rsidRPr="001E77B5" w:rsidRDefault="00CD2EF4" w:rsidP="00CD2EF4"/>
    <w:p w:rsidR="00CD2EF4" w:rsidRPr="007158C2" w:rsidRDefault="00CD2EF4" w:rsidP="00CD2EF4"/>
    <w:p w:rsidR="009260DE" w:rsidRPr="00CD2EF4" w:rsidRDefault="009260DE" w:rsidP="00CD2EF4"/>
    <w:sectPr w:rsidR="009260DE" w:rsidRPr="00CD2EF4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871" w:rsidRDefault="000D2871">
      <w:r>
        <w:separator/>
      </w:r>
    </w:p>
  </w:endnote>
  <w:endnote w:type="continuationSeparator" w:id="0">
    <w:p w:rsidR="000D2871" w:rsidRDefault="000D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9976AB">
      <w:rPr>
        <w:i/>
        <w:noProof/>
        <w:sz w:val="18"/>
        <w:szCs w:val="18"/>
      </w:rPr>
      <w:t>Bendroza, filmovertrukne tabletter 1,25 mg+573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871" w:rsidRDefault="000D2871">
      <w:r>
        <w:separator/>
      </w:r>
    </w:p>
  </w:footnote>
  <w:footnote w:type="continuationSeparator" w:id="0">
    <w:p w:rsidR="000D2871" w:rsidRDefault="000D2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411C"/>
    <w:multiLevelType w:val="hybridMultilevel"/>
    <w:tmpl w:val="175213E6"/>
    <w:lvl w:ilvl="0" w:tplc="040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4"/>
    <w:rsid w:val="000259B9"/>
    <w:rsid w:val="00041491"/>
    <w:rsid w:val="00050D16"/>
    <w:rsid w:val="000515EE"/>
    <w:rsid w:val="00063A92"/>
    <w:rsid w:val="00074F2A"/>
    <w:rsid w:val="000A1CA8"/>
    <w:rsid w:val="000A466B"/>
    <w:rsid w:val="000B058C"/>
    <w:rsid w:val="000B350B"/>
    <w:rsid w:val="000D2871"/>
    <w:rsid w:val="000E4EE6"/>
    <w:rsid w:val="000F1E30"/>
    <w:rsid w:val="001029D1"/>
    <w:rsid w:val="001454E2"/>
    <w:rsid w:val="001C1FE4"/>
    <w:rsid w:val="00206CE8"/>
    <w:rsid w:val="0021526C"/>
    <w:rsid w:val="00283A2B"/>
    <w:rsid w:val="002A7C38"/>
    <w:rsid w:val="002B30AD"/>
    <w:rsid w:val="002C2C01"/>
    <w:rsid w:val="00361202"/>
    <w:rsid w:val="003A29AE"/>
    <w:rsid w:val="003A32D7"/>
    <w:rsid w:val="003A7007"/>
    <w:rsid w:val="003B4074"/>
    <w:rsid w:val="003C769A"/>
    <w:rsid w:val="003F1838"/>
    <w:rsid w:val="00427AA2"/>
    <w:rsid w:val="00427C17"/>
    <w:rsid w:val="0045746C"/>
    <w:rsid w:val="0049104B"/>
    <w:rsid w:val="004D7401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00505"/>
    <w:rsid w:val="0081546F"/>
    <w:rsid w:val="0082576E"/>
    <w:rsid w:val="008A752E"/>
    <w:rsid w:val="008E0B98"/>
    <w:rsid w:val="00907F75"/>
    <w:rsid w:val="009260DE"/>
    <w:rsid w:val="0093258A"/>
    <w:rsid w:val="009976AB"/>
    <w:rsid w:val="009A143E"/>
    <w:rsid w:val="009C7BA3"/>
    <w:rsid w:val="009D1F5A"/>
    <w:rsid w:val="009E519B"/>
    <w:rsid w:val="009F6675"/>
    <w:rsid w:val="00A6590C"/>
    <w:rsid w:val="00AA2827"/>
    <w:rsid w:val="00AB4AB6"/>
    <w:rsid w:val="00B003BF"/>
    <w:rsid w:val="00B373D7"/>
    <w:rsid w:val="00B82F8F"/>
    <w:rsid w:val="00BA7828"/>
    <w:rsid w:val="00C36276"/>
    <w:rsid w:val="00C37903"/>
    <w:rsid w:val="00C42586"/>
    <w:rsid w:val="00C60CCD"/>
    <w:rsid w:val="00C84483"/>
    <w:rsid w:val="00C95551"/>
    <w:rsid w:val="00CA0294"/>
    <w:rsid w:val="00CB20D7"/>
    <w:rsid w:val="00CD2EF4"/>
    <w:rsid w:val="00D020B0"/>
    <w:rsid w:val="00D11748"/>
    <w:rsid w:val="00D27F47"/>
    <w:rsid w:val="00D366CF"/>
    <w:rsid w:val="00D84E0E"/>
    <w:rsid w:val="00E108AA"/>
    <w:rsid w:val="00E31812"/>
    <w:rsid w:val="00E3749A"/>
    <w:rsid w:val="00E714F5"/>
    <w:rsid w:val="00E7437F"/>
    <w:rsid w:val="00E865B8"/>
    <w:rsid w:val="00EA4C7C"/>
    <w:rsid w:val="00EC0B9B"/>
    <w:rsid w:val="00ED5E9F"/>
    <w:rsid w:val="00EF0437"/>
    <w:rsid w:val="00F61E39"/>
    <w:rsid w:val="00F66D4F"/>
    <w:rsid w:val="00F67E44"/>
    <w:rsid w:val="00FB6D01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34814"/>
  <w15:chartTrackingRefBased/>
  <w15:docId w15:val="{C1C36E21-F0AB-48DB-A8B4-3F252098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nhideWhenUsed/>
    <w:rsid w:val="00CD2EF4"/>
    <w:rPr>
      <w:color w:val="0000FF"/>
      <w:u w:val="single"/>
    </w:rPr>
  </w:style>
  <w:style w:type="paragraph" w:customStyle="1" w:styleId="Default">
    <w:name w:val="Default"/>
    <w:rsid w:val="00E714F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2035</Words>
  <Characters>14907</Characters>
  <Application>Microsoft Office Word</Application>
  <DocSecurity>4</DocSecurity>
  <Lines>124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Ronnovius</dc:creator>
  <cp:keywords/>
  <dc:description>2021050270 + 2024033631 pkt. 4.2, 4.3, 4.4, 4.5, 4.6, 4.7, 4.8, 4.9, 5.1, QRD</dc:description>
  <cp:lastModifiedBy>Gitte Ronnovius</cp:lastModifiedBy>
  <cp:revision>2</cp:revision>
  <cp:lastPrinted>2012-08-22T08:53:00Z</cp:lastPrinted>
  <dcterms:created xsi:type="dcterms:W3CDTF">2024-11-19T13:41:00Z</dcterms:created>
  <dcterms:modified xsi:type="dcterms:W3CDTF">2024-11-19T13:41:00Z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