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FBA" w:rsidRPr="008F49E1" w:rsidRDefault="00253FBA" w:rsidP="00253FBA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91B2421" wp14:editId="3145F13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253FBA" w:rsidRPr="00C84483" w:rsidRDefault="00253FBA" w:rsidP="00253FBA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E85D45">
        <w:rPr>
          <w:szCs w:val="24"/>
        </w:rPr>
        <w:t>2</w:t>
      </w:r>
      <w:r>
        <w:rPr>
          <w:szCs w:val="24"/>
        </w:rPr>
        <w:t xml:space="preserve">. </w:t>
      </w:r>
      <w:r w:rsidR="00E85D45">
        <w:rPr>
          <w:szCs w:val="24"/>
        </w:rPr>
        <w:t>april</w:t>
      </w:r>
      <w:r>
        <w:rPr>
          <w:szCs w:val="24"/>
        </w:rPr>
        <w:t xml:space="preserve"> 20</w:t>
      </w:r>
      <w:r w:rsidR="00007ABA">
        <w:rPr>
          <w:szCs w:val="24"/>
        </w:rPr>
        <w:t>2</w:t>
      </w:r>
      <w:r w:rsidR="0024129F">
        <w:rPr>
          <w:szCs w:val="24"/>
        </w:rPr>
        <w:t>4</w:t>
      </w:r>
    </w:p>
    <w:p w:rsidR="00253FBA" w:rsidRPr="00C84483" w:rsidRDefault="00253FBA" w:rsidP="00253FBA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253FBA" w:rsidRPr="00C84483" w:rsidRDefault="00253FBA" w:rsidP="00253FBA">
      <w:pPr>
        <w:pStyle w:val="Titel"/>
        <w:jc w:val="left"/>
        <w:rPr>
          <w:b w:val="0"/>
          <w:szCs w:val="24"/>
        </w:rPr>
      </w:pPr>
    </w:p>
    <w:p w:rsidR="00253FBA" w:rsidRPr="00C84483" w:rsidRDefault="00253FBA" w:rsidP="00253FBA">
      <w:pPr>
        <w:pStyle w:val="Titel"/>
        <w:jc w:val="left"/>
        <w:rPr>
          <w:b w:val="0"/>
          <w:szCs w:val="24"/>
        </w:rPr>
      </w:pPr>
    </w:p>
    <w:p w:rsidR="00253FBA" w:rsidRPr="00C84483" w:rsidRDefault="00253FBA" w:rsidP="00253FB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53FBA" w:rsidRPr="00C84483" w:rsidRDefault="00253FBA" w:rsidP="00253FBA">
      <w:pPr>
        <w:jc w:val="center"/>
        <w:rPr>
          <w:b/>
          <w:sz w:val="24"/>
          <w:szCs w:val="24"/>
        </w:rPr>
      </w:pPr>
    </w:p>
    <w:p w:rsidR="00253FBA" w:rsidRDefault="00253FBA" w:rsidP="00253FB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253FBA" w:rsidRPr="00C84483" w:rsidRDefault="00253FBA" w:rsidP="00253FBA">
      <w:pPr>
        <w:jc w:val="center"/>
        <w:rPr>
          <w:b/>
          <w:sz w:val="24"/>
          <w:szCs w:val="24"/>
        </w:rPr>
      </w:pPr>
    </w:p>
    <w:p w:rsidR="00253FBA" w:rsidRPr="00C84483" w:rsidRDefault="00253FBA" w:rsidP="00253FB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Benferol</w:t>
      </w:r>
      <w:proofErr w:type="spellEnd"/>
      <w:r>
        <w:rPr>
          <w:b/>
          <w:sz w:val="24"/>
          <w:szCs w:val="24"/>
        </w:rPr>
        <w:t>, bløde kapsler 10 mikrogram</w:t>
      </w:r>
    </w:p>
    <w:p w:rsidR="00253FBA" w:rsidRPr="00C84483" w:rsidRDefault="00253FBA" w:rsidP="00253FBA">
      <w:pPr>
        <w:jc w:val="both"/>
        <w:rPr>
          <w:sz w:val="24"/>
          <w:szCs w:val="24"/>
        </w:rPr>
      </w:pPr>
    </w:p>
    <w:p w:rsidR="00253FBA" w:rsidRPr="003C003B" w:rsidRDefault="00253FBA" w:rsidP="00253FBA">
      <w:pPr>
        <w:ind w:left="851" w:hanging="851"/>
        <w:jc w:val="both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0.</w:t>
      </w:r>
      <w:r w:rsidRPr="003C003B">
        <w:rPr>
          <w:b/>
          <w:sz w:val="24"/>
          <w:szCs w:val="24"/>
        </w:rPr>
        <w:tab/>
        <w:t>D.SP.NR.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C003B">
        <w:rPr>
          <w:sz w:val="24"/>
          <w:szCs w:val="24"/>
        </w:rPr>
        <w:t>29694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1.</w:t>
      </w:r>
      <w:r w:rsidRPr="003C003B">
        <w:rPr>
          <w:b/>
          <w:sz w:val="24"/>
          <w:szCs w:val="24"/>
        </w:rPr>
        <w:tab/>
        <w:t>LÆGEMIDLETS NAVN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3C003B">
        <w:rPr>
          <w:sz w:val="24"/>
          <w:szCs w:val="24"/>
        </w:rPr>
        <w:t>Benferol</w:t>
      </w:r>
      <w:proofErr w:type="spellEnd"/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2.</w:t>
      </w:r>
      <w:r w:rsidRPr="003C003B">
        <w:rPr>
          <w:b/>
          <w:sz w:val="24"/>
          <w:szCs w:val="24"/>
        </w:rPr>
        <w:tab/>
        <w:t>KVALITATIV OG KVANTITATIV SAMMENSÆTNING</w:t>
      </w:r>
    </w:p>
    <w:p w:rsidR="00253FBA" w:rsidRPr="003C003B" w:rsidRDefault="00253FBA" w:rsidP="00253FBA">
      <w:pPr>
        <w:ind w:left="851"/>
        <w:rPr>
          <w:spacing w:val="-1"/>
          <w:sz w:val="24"/>
          <w:szCs w:val="24"/>
          <w:lang w:eastAsia="da-DK"/>
        </w:rPr>
      </w:pPr>
      <w:r w:rsidRPr="003C003B">
        <w:rPr>
          <w:sz w:val="24"/>
          <w:szCs w:val="24"/>
        </w:rPr>
        <w:t xml:space="preserve">Hver kapsel indeholder </w:t>
      </w:r>
      <w:proofErr w:type="spellStart"/>
      <w:r>
        <w:rPr>
          <w:sz w:val="24"/>
          <w:szCs w:val="24"/>
        </w:rPr>
        <w:t>cholecalciferol</w:t>
      </w:r>
      <w:proofErr w:type="spellEnd"/>
      <w:r w:rsidRPr="003C003B">
        <w:rPr>
          <w:sz w:val="24"/>
          <w:szCs w:val="24"/>
        </w:rPr>
        <w:t xml:space="preserve"> (vitamin D3) 40</w:t>
      </w:r>
      <w:r>
        <w:rPr>
          <w:sz w:val="24"/>
          <w:szCs w:val="24"/>
        </w:rPr>
        <w:t>0</w:t>
      </w:r>
      <w:r w:rsidRPr="003C003B">
        <w:rPr>
          <w:sz w:val="24"/>
          <w:szCs w:val="24"/>
        </w:rPr>
        <w:t xml:space="preserve"> IE (svarende til </w:t>
      </w:r>
      <w:r>
        <w:rPr>
          <w:sz w:val="24"/>
          <w:szCs w:val="24"/>
        </w:rPr>
        <w:t>10 mikrogram</w:t>
      </w:r>
      <w:r w:rsidRPr="003C003B">
        <w:rPr>
          <w:sz w:val="24"/>
          <w:szCs w:val="24"/>
        </w:rPr>
        <w:t xml:space="preserve"> vitamin D3).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Alle hjælpestoffer er anført under pkt. 6.1.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3.</w:t>
      </w:r>
      <w:r w:rsidRPr="003C003B">
        <w:rPr>
          <w:b/>
          <w:sz w:val="24"/>
          <w:szCs w:val="24"/>
        </w:rPr>
        <w:tab/>
        <w:t>LÆGEMIDDELFORM</w:t>
      </w:r>
    </w:p>
    <w:p w:rsidR="00253FBA" w:rsidRPr="003C003B" w:rsidRDefault="00253FBA" w:rsidP="00253FBA">
      <w:pPr>
        <w:ind w:left="851"/>
        <w:rPr>
          <w:spacing w:val="-1"/>
          <w:sz w:val="24"/>
          <w:szCs w:val="24"/>
          <w:lang w:eastAsia="da-DK"/>
        </w:rPr>
      </w:pPr>
      <w:r w:rsidRPr="003C003B">
        <w:rPr>
          <w:sz w:val="24"/>
          <w:szCs w:val="24"/>
        </w:rPr>
        <w:t>Blød</w:t>
      </w:r>
      <w:r>
        <w:rPr>
          <w:sz w:val="24"/>
          <w:szCs w:val="24"/>
        </w:rPr>
        <w:t>e</w:t>
      </w:r>
      <w:r w:rsidRPr="003C003B">
        <w:rPr>
          <w:sz w:val="24"/>
          <w:szCs w:val="24"/>
        </w:rPr>
        <w:t xml:space="preserve"> kapsl</w:t>
      </w:r>
      <w:r>
        <w:rPr>
          <w:sz w:val="24"/>
          <w:szCs w:val="24"/>
        </w:rPr>
        <w:t>er.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Klar, ovalformet, blød kapsel. Den indeholder en let gul, olieagtig væske. Hver kapsel er påtrykt "0.4" i hvidt blæk. Kapselstørrelse: 10,</w:t>
      </w:r>
      <w:r w:rsidR="001973F6">
        <w:rPr>
          <w:sz w:val="24"/>
          <w:szCs w:val="24"/>
        </w:rPr>
        <w:t>6</w:t>
      </w:r>
      <w:r w:rsidRPr="003C003B">
        <w:rPr>
          <w:sz w:val="24"/>
          <w:szCs w:val="24"/>
        </w:rPr>
        <w:t xml:space="preserve"> mm x 7 mm.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</w:t>
      </w:r>
      <w:r w:rsidRPr="003C003B">
        <w:rPr>
          <w:b/>
          <w:sz w:val="24"/>
          <w:szCs w:val="24"/>
        </w:rPr>
        <w:tab/>
        <w:t>KLINISKE OPLYSNINGER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C003B">
        <w:rPr>
          <w:b/>
          <w:sz w:val="24"/>
          <w:szCs w:val="24"/>
        </w:rPr>
        <w:t>4.1</w:t>
      </w:r>
      <w:r w:rsidRPr="003C003B">
        <w:rPr>
          <w:b/>
          <w:sz w:val="24"/>
          <w:szCs w:val="24"/>
        </w:rPr>
        <w:tab/>
        <w:t>Terapeutiske indikationer</w:t>
      </w: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r w:rsidRPr="003C003B">
        <w:rPr>
          <w:sz w:val="24"/>
          <w:szCs w:val="24"/>
        </w:rPr>
        <w:t xml:space="preserve">Profylakse og behandling af </w:t>
      </w:r>
      <w:r>
        <w:rPr>
          <w:sz w:val="24"/>
          <w:szCs w:val="24"/>
        </w:rPr>
        <w:t>D-</w:t>
      </w:r>
      <w:r w:rsidRPr="003C003B">
        <w:rPr>
          <w:sz w:val="24"/>
          <w:szCs w:val="24"/>
        </w:rPr>
        <w:t>vitamin</w:t>
      </w:r>
      <w:r>
        <w:rPr>
          <w:sz w:val="24"/>
          <w:szCs w:val="24"/>
        </w:rPr>
        <w:t>m</w:t>
      </w:r>
      <w:r w:rsidRPr="003C003B">
        <w:rPr>
          <w:sz w:val="24"/>
          <w:szCs w:val="24"/>
        </w:rPr>
        <w:t>angel.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I tillæg til specifik osteoporosebehandling hos patienter med risiko for </w:t>
      </w:r>
      <w:r>
        <w:rPr>
          <w:sz w:val="24"/>
          <w:szCs w:val="24"/>
        </w:rPr>
        <w:t>D-</w:t>
      </w:r>
      <w:r w:rsidRPr="003C003B">
        <w:rPr>
          <w:sz w:val="24"/>
          <w:szCs w:val="24"/>
        </w:rPr>
        <w:t>vitamin</w:t>
      </w:r>
      <w:r>
        <w:rPr>
          <w:sz w:val="24"/>
          <w:szCs w:val="24"/>
        </w:rPr>
        <w:t>m</w:t>
      </w:r>
      <w:r w:rsidRPr="003C003B">
        <w:rPr>
          <w:sz w:val="24"/>
          <w:szCs w:val="24"/>
        </w:rPr>
        <w:t>angel, h</w:t>
      </w:r>
      <w:r>
        <w:rPr>
          <w:sz w:val="24"/>
          <w:szCs w:val="24"/>
        </w:rPr>
        <w:t>elst i kombination med calcium.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4.2</w:t>
      </w:r>
      <w:r w:rsidRPr="003C003B">
        <w:rPr>
          <w:b/>
          <w:sz w:val="24"/>
          <w:szCs w:val="24"/>
        </w:rPr>
        <w:tab/>
        <w:t xml:space="preserve">Dosering og </w:t>
      </w:r>
      <w:r w:rsidR="0024129F">
        <w:rPr>
          <w:b/>
          <w:sz w:val="24"/>
          <w:szCs w:val="24"/>
        </w:rPr>
        <w:t>administration</w:t>
      </w:r>
    </w:p>
    <w:p w:rsidR="00253FBA" w:rsidRDefault="00253FBA" w:rsidP="00253FBA">
      <w:pPr>
        <w:ind w:left="851" w:hanging="851"/>
        <w:rPr>
          <w:sz w:val="24"/>
          <w:szCs w:val="24"/>
        </w:rPr>
      </w:pPr>
    </w:p>
    <w:p w:rsidR="00253FBA" w:rsidRPr="00800DFC" w:rsidRDefault="00253FBA" w:rsidP="00253FBA">
      <w:pPr>
        <w:ind w:left="851"/>
        <w:rPr>
          <w:sz w:val="24"/>
          <w:szCs w:val="24"/>
          <w:u w:val="single"/>
          <w:lang w:eastAsia="da-DK"/>
        </w:rPr>
      </w:pPr>
      <w:r w:rsidRPr="00800DFC">
        <w:rPr>
          <w:sz w:val="24"/>
          <w:szCs w:val="24"/>
          <w:u w:val="single"/>
        </w:rPr>
        <w:t>Dosering</w:t>
      </w:r>
    </w:p>
    <w:p w:rsidR="00253FBA" w:rsidRDefault="00253FBA" w:rsidP="00253FBA">
      <w:pPr>
        <w:ind w:left="851"/>
        <w:rPr>
          <w:i/>
          <w:sz w:val="24"/>
          <w:szCs w:val="24"/>
        </w:rPr>
      </w:pPr>
    </w:p>
    <w:p w:rsidR="00253FBA" w:rsidRPr="003C003B" w:rsidRDefault="00253FBA" w:rsidP="00253FBA">
      <w:pPr>
        <w:ind w:left="851"/>
        <w:rPr>
          <w:i/>
          <w:sz w:val="24"/>
          <w:szCs w:val="24"/>
        </w:rPr>
      </w:pPr>
      <w:r w:rsidRPr="003C003B">
        <w:rPr>
          <w:i/>
          <w:sz w:val="24"/>
          <w:szCs w:val="24"/>
        </w:rPr>
        <w:t>Voksne og unge</w:t>
      </w:r>
    </w:p>
    <w:p w:rsidR="00253FBA" w:rsidRDefault="00253FBA" w:rsidP="00253FBA">
      <w:pPr>
        <w:ind w:left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pacing w:val="1"/>
          <w:sz w:val="24"/>
          <w:szCs w:val="24"/>
        </w:rPr>
      </w:pPr>
      <w:r w:rsidRPr="003C003B">
        <w:rPr>
          <w:sz w:val="24"/>
          <w:szCs w:val="24"/>
        </w:rPr>
        <w:t xml:space="preserve">Anbefalet dosis: </w:t>
      </w:r>
    </w:p>
    <w:p w:rsidR="00253FBA" w:rsidRPr="003C003B" w:rsidRDefault="00253FBA" w:rsidP="00253FBA">
      <w:pPr>
        <w:ind w:left="851"/>
        <w:rPr>
          <w:spacing w:val="1"/>
          <w:sz w:val="24"/>
          <w:szCs w:val="24"/>
        </w:rPr>
      </w:pPr>
      <w:r w:rsidRPr="003C003B">
        <w:rPr>
          <w:sz w:val="24"/>
          <w:szCs w:val="24"/>
        </w:rPr>
        <w:t xml:space="preserve">Profylakse og behandling af </w:t>
      </w:r>
      <w:r>
        <w:rPr>
          <w:sz w:val="24"/>
          <w:szCs w:val="24"/>
        </w:rPr>
        <w:t>D-</w:t>
      </w:r>
      <w:r w:rsidRPr="003C003B">
        <w:rPr>
          <w:sz w:val="24"/>
          <w:szCs w:val="24"/>
        </w:rPr>
        <w:t>vitamin</w:t>
      </w:r>
      <w:r>
        <w:rPr>
          <w:sz w:val="24"/>
          <w:szCs w:val="24"/>
        </w:rPr>
        <w:t>m</w:t>
      </w:r>
      <w:r w:rsidRPr="003C003B">
        <w:rPr>
          <w:sz w:val="24"/>
          <w:szCs w:val="24"/>
        </w:rPr>
        <w:t>angel: 1-2 kapsler om dagen</w:t>
      </w:r>
    </w:p>
    <w:p w:rsidR="00253FBA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Osteoporose: 2 kapsler om dagen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i/>
          <w:sz w:val="24"/>
          <w:szCs w:val="24"/>
        </w:rPr>
        <w:t>Pædiatrisk population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proofErr w:type="spellStart"/>
      <w:r w:rsidRPr="003C003B">
        <w:rPr>
          <w:sz w:val="24"/>
          <w:szCs w:val="24"/>
        </w:rPr>
        <w:t>Benferol</w:t>
      </w:r>
      <w:proofErr w:type="spellEnd"/>
      <w:r w:rsidRPr="003C003B">
        <w:rPr>
          <w:sz w:val="24"/>
          <w:szCs w:val="24"/>
        </w:rPr>
        <w:t xml:space="preserve"> bør ikke anvendes til børn under 6 år og bør anvendes med forsigtighed til børn i alderen 6-12 år, da de måske ikke er i stand til at synke kapslerne og kan blive kvalt i dem.</w:t>
      </w:r>
      <w:r>
        <w:rPr>
          <w:sz w:val="24"/>
          <w:szCs w:val="24"/>
        </w:rPr>
        <w:t xml:space="preserve"> Andre lægemiddelformer vil være mere egnede ved administration til denne population.</w:t>
      </w:r>
    </w:p>
    <w:p w:rsidR="00253FBA" w:rsidRDefault="00253FBA" w:rsidP="00253FBA">
      <w:pPr>
        <w:ind w:left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Anbefalet dosis: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Profylakse og behandling af </w:t>
      </w:r>
      <w:r>
        <w:rPr>
          <w:sz w:val="24"/>
          <w:szCs w:val="24"/>
        </w:rPr>
        <w:t>D-</w:t>
      </w:r>
      <w:r w:rsidRPr="003C003B">
        <w:rPr>
          <w:sz w:val="24"/>
          <w:szCs w:val="24"/>
        </w:rPr>
        <w:t>vitaminmangel: 1 kapsel om dagen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Højere doser kan være nødvendige for at nå de ønskede serumniveauer af 25-hydroxycholecalciferol (25(OH)D).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Den daglige dosis bør ikke overstige 10 kapsler.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i/>
          <w:sz w:val="24"/>
          <w:szCs w:val="24"/>
        </w:rPr>
        <w:t>Nedsat leverfunktion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Dosisjustering er ikke nødvendig.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i/>
          <w:sz w:val="24"/>
          <w:szCs w:val="24"/>
        </w:rPr>
        <w:t>Nedsat nyrefunktion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proofErr w:type="spellStart"/>
      <w:r w:rsidRPr="003C003B">
        <w:rPr>
          <w:sz w:val="24"/>
          <w:szCs w:val="24"/>
        </w:rPr>
        <w:t>Benferol</w:t>
      </w:r>
      <w:proofErr w:type="spellEnd"/>
      <w:r w:rsidRPr="003C003B">
        <w:rPr>
          <w:sz w:val="24"/>
          <w:szCs w:val="24"/>
        </w:rPr>
        <w:t xml:space="preserve"> bør ikke anvendes til patienter med svært nedsat nyrefunktion (se pkt. 4.3).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800DFC" w:rsidRDefault="00253FBA" w:rsidP="00253FBA">
      <w:pPr>
        <w:ind w:left="851"/>
        <w:rPr>
          <w:sz w:val="24"/>
          <w:szCs w:val="24"/>
          <w:u w:val="single"/>
        </w:rPr>
      </w:pPr>
      <w:r w:rsidRPr="00800DFC">
        <w:rPr>
          <w:sz w:val="24"/>
          <w:szCs w:val="24"/>
          <w:u w:val="single"/>
        </w:rPr>
        <w:t>Administration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Kapslerne skal synkes hele med vand.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4.3</w:t>
      </w:r>
      <w:r w:rsidRPr="003C003B">
        <w:rPr>
          <w:b/>
          <w:sz w:val="24"/>
          <w:szCs w:val="24"/>
        </w:rPr>
        <w:tab/>
        <w:t>Kontraindikationer</w:t>
      </w:r>
    </w:p>
    <w:p w:rsidR="00253FBA" w:rsidRPr="00800DFC" w:rsidRDefault="00253FBA" w:rsidP="00253FB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eastAsia="da-DK"/>
        </w:rPr>
      </w:pPr>
      <w:r w:rsidRPr="00800DFC">
        <w:rPr>
          <w:sz w:val="24"/>
          <w:szCs w:val="24"/>
        </w:rPr>
        <w:t xml:space="preserve">Sygdomme og/eller tilstande, der resulterer i </w:t>
      </w:r>
      <w:proofErr w:type="spellStart"/>
      <w:r w:rsidRPr="00800DFC">
        <w:rPr>
          <w:sz w:val="24"/>
          <w:szCs w:val="24"/>
        </w:rPr>
        <w:t>hypercalcæmi</w:t>
      </w:r>
      <w:proofErr w:type="spellEnd"/>
      <w:r w:rsidRPr="00800DFC">
        <w:rPr>
          <w:sz w:val="24"/>
          <w:szCs w:val="24"/>
        </w:rPr>
        <w:t xml:space="preserve"> eller </w:t>
      </w:r>
      <w:proofErr w:type="spellStart"/>
      <w:r w:rsidRPr="00800DFC">
        <w:rPr>
          <w:sz w:val="24"/>
          <w:szCs w:val="24"/>
        </w:rPr>
        <w:t>hypercalciuri</w:t>
      </w:r>
      <w:proofErr w:type="spellEnd"/>
      <w:r w:rsidRPr="00800DFC">
        <w:rPr>
          <w:sz w:val="24"/>
          <w:szCs w:val="24"/>
        </w:rPr>
        <w:t>.</w:t>
      </w:r>
    </w:p>
    <w:p w:rsidR="00253FBA" w:rsidRPr="00800DFC" w:rsidRDefault="00253FBA" w:rsidP="00253FB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800DFC">
        <w:rPr>
          <w:sz w:val="24"/>
          <w:szCs w:val="24"/>
        </w:rPr>
        <w:t>Nefrolitiasis</w:t>
      </w:r>
      <w:proofErr w:type="spellEnd"/>
    </w:p>
    <w:p w:rsidR="00253FBA" w:rsidRPr="00800DFC" w:rsidRDefault="00253FBA" w:rsidP="00253FB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800DFC">
        <w:rPr>
          <w:sz w:val="24"/>
          <w:szCs w:val="24"/>
        </w:rPr>
        <w:t>Nefrokalcinose</w:t>
      </w:r>
      <w:proofErr w:type="spellEnd"/>
    </w:p>
    <w:p w:rsidR="00253FBA" w:rsidRPr="00800DFC" w:rsidRDefault="00253FBA" w:rsidP="00253FB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800DFC">
        <w:rPr>
          <w:sz w:val="24"/>
          <w:szCs w:val="24"/>
        </w:rPr>
        <w:t>Hypervitaminosis</w:t>
      </w:r>
      <w:proofErr w:type="spellEnd"/>
      <w:r w:rsidRPr="00800DFC">
        <w:rPr>
          <w:sz w:val="24"/>
          <w:szCs w:val="24"/>
        </w:rPr>
        <w:t xml:space="preserve"> D.</w:t>
      </w:r>
    </w:p>
    <w:p w:rsidR="00253FBA" w:rsidRPr="00800DFC" w:rsidRDefault="00253FBA" w:rsidP="00253FB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800DFC">
        <w:rPr>
          <w:sz w:val="24"/>
          <w:szCs w:val="24"/>
        </w:rPr>
        <w:t>Overfølsomhed over for det aktive stof eller over for et eller flere af hjælpestofferne anført i pkt. 6.1.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4.4</w:t>
      </w:r>
      <w:r w:rsidRPr="003C003B">
        <w:rPr>
          <w:b/>
          <w:sz w:val="24"/>
          <w:szCs w:val="24"/>
        </w:rPr>
        <w:tab/>
        <w:t>Særlige advarsler og forsigtighedsregler vedrørende brugen</w:t>
      </w: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proofErr w:type="spellStart"/>
      <w:r w:rsidRPr="003C003B">
        <w:rPr>
          <w:sz w:val="24"/>
          <w:szCs w:val="24"/>
        </w:rPr>
        <w:t>Benferol</w:t>
      </w:r>
      <w:proofErr w:type="spellEnd"/>
      <w:r w:rsidRPr="003C003B">
        <w:rPr>
          <w:sz w:val="24"/>
          <w:szCs w:val="24"/>
        </w:rPr>
        <w:t xml:space="preserve"> bør ordineres med forsigtighed til patienter, der lider af </w:t>
      </w:r>
      <w:proofErr w:type="spellStart"/>
      <w:r w:rsidRPr="003C003B">
        <w:rPr>
          <w:sz w:val="24"/>
          <w:szCs w:val="24"/>
        </w:rPr>
        <w:t>sarcoidosis</w:t>
      </w:r>
      <w:proofErr w:type="spellEnd"/>
      <w:r w:rsidRPr="003C003B">
        <w:rPr>
          <w:sz w:val="24"/>
          <w:szCs w:val="24"/>
        </w:rPr>
        <w:t>, på grund af risikoen for øget metabolisme af vitamin D til dets aktive form. Calciumindholdet i serum og urin bør monitoreres hos sådanne patienter.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Under langvarig behandling bør serumcalcium følges, og nyrefunktionen bør monitoreres via målinger af </w:t>
      </w:r>
      <w:proofErr w:type="spellStart"/>
      <w:r w:rsidRPr="003C003B">
        <w:rPr>
          <w:sz w:val="24"/>
          <w:szCs w:val="24"/>
        </w:rPr>
        <w:t>serumkreatinin</w:t>
      </w:r>
      <w:proofErr w:type="spellEnd"/>
      <w:r w:rsidRPr="003C003B">
        <w:rPr>
          <w:sz w:val="24"/>
          <w:szCs w:val="24"/>
        </w:rPr>
        <w:t xml:space="preserve">. Monitorering er særligt vigtig hos ældre patienter i samtidig behandling med hjerteglykosider eller </w:t>
      </w:r>
      <w:proofErr w:type="spellStart"/>
      <w:r w:rsidRPr="003C003B">
        <w:rPr>
          <w:sz w:val="24"/>
          <w:szCs w:val="24"/>
        </w:rPr>
        <w:t>diuretika</w:t>
      </w:r>
      <w:proofErr w:type="spellEnd"/>
      <w:r w:rsidRPr="003C003B">
        <w:rPr>
          <w:sz w:val="24"/>
          <w:szCs w:val="24"/>
        </w:rPr>
        <w:t xml:space="preserve"> (se pkt. 4.5) og hos patienter med høj tilbøjelighed til dannelse af </w:t>
      </w:r>
      <w:proofErr w:type="spellStart"/>
      <w:r w:rsidRPr="003C003B">
        <w:rPr>
          <w:sz w:val="24"/>
          <w:szCs w:val="24"/>
        </w:rPr>
        <w:t>calculus</w:t>
      </w:r>
      <w:proofErr w:type="spellEnd"/>
      <w:r w:rsidRPr="003C003B">
        <w:rPr>
          <w:sz w:val="24"/>
          <w:szCs w:val="24"/>
        </w:rPr>
        <w:t xml:space="preserve">. I tilfælde af </w:t>
      </w:r>
      <w:proofErr w:type="spellStart"/>
      <w:r w:rsidRPr="003C003B">
        <w:rPr>
          <w:sz w:val="24"/>
          <w:szCs w:val="24"/>
        </w:rPr>
        <w:t>hypercalciuri</w:t>
      </w:r>
      <w:proofErr w:type="spellEnd"/>
      <w:r w:rsidRPr="003C003B">
        <w:rPr>
          <w:sz w:val="24"/>
          <w:szCs w:val="24"/>
        </w:rPr>
        <w:t xml:space="preserve"> (der overstiger 300 mg (7,5 </w:t>
      </w:r>
      <w:proofErr w:type="gramStart"/>
      <w:r w:rsidRPr="003C003B">
        <w:rPr>
          <w:sz w:val="24"/>
          <w:szCs w:val="24"/>
        </w:rPr>
        <w:t>mmol)/</w:t>
      </w:r>
      <w:proofErr w:type="gramEnd"/>
      <w:r w:rsidRPr="003C003B">
        <w:rPr>
          <w:sz w:val="24"/>
          <w:szCs w:val="24"/>
        </w:rPr>
        <w:t>24 timer) eller tegn på nedsat nyrefunktion bør dosen reduceres, eller behandlingen seponeres.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proofErr w:type="spellStart"/>
      <w:r w:rsidRPr="003C003B">
        <w:rPr>
          <w:sz w:val="24"/>
          <w:szCs w:val="24"/>
        </w:rPr>
        <w:t>Benferol</w:t>
      </w:r>
      <w:proofErr w:type="spellEnd"/>
      <w:r w:rsidRPr="003C003B">
        <w:rPr>
          <w:sz w:val="24"/>
          <w:szCs w:val="24"/>
        </w:rPr>
        <w:t xml:space="preserve"> bør anvendes med forsigtighed hos patienter med nedsat nyrefunktion, og virkningen på calcium- og fosfatniveauerne bør monitoreres. Der bør tages højde for risikoen for forkalkning af bløddele. Hos patienter med svært nedsat nyrefunktion </w:t>
      </w:r>
      <w:proofErr w:type="spellStart"/>
      <w:r w:rsidRPr="003C003B">
        <w:rPr>
          <w:sz w:val="24"/>
          <w:szCs w:val="24"/>
        </w:rPr>
        <w:t>metaboliseres</w:t>
      </w:r>
      <w:proofErr w:type="spellEnd"/>
      <w:r w:rsidRPr="003C003B">
        <w:rPr>
          <w:sz w:val="24"/>
          <w:szCs w:val="24"/>
        </w:rPr>
        <w:t xml:space="preserve"> vitamin D i form af </w:t>
      </w:r>
      <w:proofErr w:type="spellStart"/>
      <w:r>
        <w:rPr>
          <w:sz w:val="24"/>
          <w:szCs w:val="24"/>
        </w:rPr>
        <w:t>cholecalciferol</w:t>
      </w:r>
      <w:proofErr w:type="spellEnd"/>
      <w:r w:rsidRPr="003C003B">
        <w:rPr>
          <w:sz w:val="24"/>
          <w:szCs w:val="24"/>
        </w:rPr>
        <w:t xml:space="preserve"> ikke normalt, og der bør anvendes andre former for vitamin D.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Indholdet af vitamin D (400 IE) i </w:t>
      </w:r>
      <w:proofErr w:type="spellStart"/>
      <w:r w:rsidRPr="003C003B">
        <w:rPr>
          <w:sz w:val="24"/>
          <w:szCs w:val="24"/>
        </w:rPr>
        <w:t>Benferol</w:t>
      </w:r>
      <w:proofErr w:type="spellEnd"/>
      <w:r w:rsidRPr="003C003B">
        <w:rPr>
          <w:sz w:val="24"/>
          <w:szCs w:val="24"/>
        </w:rPr>
        <w:t xml:space="preserve"> bør tages i betragtning ved ordination af andre lægemidler indeholdende vitamin D. Yderligere doser af vitamin D bør tages under tæt </w:t>
      </w:r>
      <w:r w:rsidRPr="003C003B">
        <w:rPr>
          <w:sz w:val="24"/>
          <w:szCs w:val="24"/>
        </w:rPr>
        <w:lastRenderedPageBreak/>
        <w:t>lægelig overvågning. I så tilfælde skal serumcalciumniveauerne og calciumudskillelsen i urin kontrolleres hyppigt.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4.5</w:t>
      </w:r>
      <w:r w:rsidRPr="003C003B">
        <w:rPr>
          <w:b/>
          <w:sz w:val="24"/>
          <w:szCs w:val="24"/>
        </w:rPr>
        <w:tab/>
        <w:t>Interaktion med andre lægemidler og andre former for interaktion</w:t>
      </w: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proofErr w:type="spellStart"/>
      <w:r w:rsidRPr="003C003B">
        <w:rPr>
          <w:sz w:val="24"/>
          <w:szCs w:val="24"/>
        </w:rPr>
        <w:t>Thiaziddiuretika</w:t>
      </w:r>
      <w:proofErr w:type="spellEnd"/>
      <w:r w:rsidRPr="003C003B">
        <w:rPr>
          <w:sz w:val="24"/>
          <w:szCs w:val="24"/>
        </w:rPr>
        <w:t xml:space="preserve"> reducerer udskillelsen af calcium i urinen. På grund af den øgede risiko for </w:t>
      </w:r>
      <w:proofErr w:type="spellStart"/>
      <w:r w:rsidRPr="003C003B">
        <w:rPr>
          <w:sz w:val="24"/>
          <w:szCs w:val="24"/>
        </w:rPr>
        <w:t>hypercalcæmi</w:t>
      </w:r>
      <w:proofErr w:type="spellEnd"/>
      <w:r w:rsidRPr="003C003B">
        <w:rPr>
          <w:sz w:val="24"/>
          <w:szCs w:val="24"/>
        </w:rPr>
        <w:t xml:space="preserve"> bør serumcalcium kontrolleres regelmæssigt under samtidig brug af </w:t>
      </w:r>
      <w:proofErr w:type="spellStart"/>
      <w:r w:rsidRPr="003C003B">
        <w:rPr>
          <w:sz w:val="24"/>
          <w:szCs w:val="24"/>
        </w:rPr>
        <w:t>thiaziddiuretika</w:t>
      </w:r>
      <w:proofErr w:type="spellEnd"/>
      <w:r w:rsidRPr="003C003B">
        <w:rPr>
          <w:sz w:val="24"/>
          <w:szCs w:val="24"/>
        </w:rPr>
        <w:t>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Samtidig brug af </w:t>
      </w:r>
      <w:proofErr w:type="spellStart"/>
      <w:r w:rsidRPr="003C003B">
        <w:rPr>
          <w:sz w:val="24"/>
          <w:szCs w:val="24"/>
        </w:rPr>
        <w:t>phenytoin</w:t>
      </w:r>
      <w:proofErr w:type="spellEnd"/>
      <w:r w:rsidRPr="003C003B">
        <w:rPr>
          <w:sz w:val="24"/>
          <w:szCs w:val="24"/>
        </w:rPr>
        <w:t xml:space="preserve"> eller barbiturater kan nedsætte virkningen af vitamin D, idet metabolismen forøges.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Overdreven dosering af vitamin D kan forårsage </w:t>
      </w:r>
      <w:proofErr w:type="spellStart"/>
      <w:r w:rsidRPr="003C003B">
        <w:rPr>
          <w:sz w:val="24"/>
          <w:szCs w:val="24"/>
        </w:rPr>
        <w:t>hypercalcæmi</w:t>
      </w:r>
      <w:proofErr w:type="spellEnd"/>
      <w:r w:rsidRPr="003C003B">
        <w:rPr>
          <w:sz w:val="24"/>
          <w:szCs w:val="24"/>
        </w:rPr>
        <w:t xml:space="preserve">, hvilket kan øge risikoen for digitalistoksicitet og alvorlige </w:t>
      </w:r>
      <w:proofErr w:type="spellStart"/>
      <w:r w:rsidRPr="003C003B">
        <w:rPr>
          <w:sz w:val="24"/>
          <w:szCs w:val="24"/>
        </w:rPr>
        <w:t>arytmier</w:t>
      </w:r>
      <w:proofErr w:type="spellEnd"/>
      <w:r w:rsidRPr="003C003B">
        <w:rPr>
          <w:sz w:val="24"/>
          <w:szCs w:val="24"/>
        </w:rPr>
        <w:t xml:space="preserve"> på grund af </w:t>
      </w:r>
      <w:proofErr w:type="spellStart"/>
      <w:r w:rsidRPr="003C003B">
        <w:rPr>
          <w:sz w:val="24"/>
          <w:szCs w:val="24"/>
        </w:rPr>
        <w:t>additive</w:t>
      </w:r>
      <w:proofErr w:type="spellEnd"/>
      <w:r w:rsidRPr="003C003B">
        <w:rPr>
          <w:sz w:val="24"/>
          <w:szCs w:val="24"/>
        </w:rPr>
        <w:t xml:space="preserve"> inotrope virkninger. Patientens elektrokardiogram (EKG) og serumcalciumniveau bør monitoreres nøje.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proofErr w:type="spellStart"/>
      <w:r w:rsidRPr="003C003B">
        <w:rPr>
          <w:sz w:val="24"/>
          <w:szCs w:val="24"/>
        </w:rPr>
        <w:t>Glukokortikosteroider</w:t>
      </w:r>
      <w:proofErr w:type="spellEnd"/>
      <w:r w:rsidRPr="003C003B">
        <w:rPr>
          <w:sz w:val="24"/>
          <w:szCs w:val="24"/>
        </w:rPr>
        <w:t xml:space="preserve"> kan øge metabolismen og eliminationen af vitamin D. Under samtidig brug kan det være nødvendigt at øge dosen af </w:t>
      </w:r>
      <w:proofErr w:type="spellStart"/>
      <w:r w:rsidRPr="003C003B">
        <w:rPr>
          <w:sz w:val="24"/>
          <w:szCs w:val="24"/>
        </w:rPr>
        <w:t>Benferol</w:t>
      </w:r>
      <w:proofErr w:type="spellEnd"/>
      <w:r w:rsidRPr="003C003B">
        <w:rPr>
          <w:sz w:val="24"/>
          <w:szCs w:val="24"/>
        </w:rPr>
        <w:t xml:space="preserve"> tabletter.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Samtidig behandling med </w:t>
      </w:r>
      <w:proofErr w:type="spellStart"/>
      <w:r w:rsidRPr="003C003B">
        <w:rPr>
          <w:sz w:val="24"/>
          <w:szCs w:val="24"/>
        </w:rPr>
        <w:t>ionbytterresiner</w:t>
      </w:r>
      <w:proofErr w:type="spellEnd"/>
      <w:r w:rsidRPr="003C003B">
        <w:rPr>
          <w:sz w:val="24"/>
          <w:szCs w:val="24"/>
        </w:rPr>
        <w:t xml:space="preserve">, såsom </w:t>
      </w:r>
      <w:proofErr w:type="spellStart"/>
      <w:r w:rsidRPr="003C003B">
        <w:rPr>
          <w:sz w:val="24"/>
          <w:szCs w:val="24"/>
        </w:rPr>
        <w:t>cholestyramin</w:t>
      </w:r>
      <w:proofErr w:type="spellEnd"/>
      <w:r w:rsidRPr="003C003B">
        <w:rPr>
          <w:sz w:val="24"/>
          <w:szCs w:val="24"/>
        </w:rPr>
        <w:t xml:space="preserve">, eller </w:t>
      </w:r>
      <w:proofErr w:type="spellStart"/>
      <w:r w:rsidRPr="003C003B">
        <w:rPr>
          <w:sz w:val="24"/>
          <w:szCs w:val="24"/>
        </w:rPr>
        <w:t>laksantia</w:t>
      </w:r>
      <w:proofErr w:type="spellEnd"/>
      <w:r w:rsidRPr="003C003B">
        <w:rPr>
          <w:sz w:val="24"/>
          <w:szCs w:val="24"/>
        </w:rPr>
        <w:t xml:space="preserve">, såsom paraffinolie, kan reducere absorptionen af vitamin D i mave-tarm-kanalen. </w:t>
      </w:r>
      <w:proofErr w:type="spellStart"/>
      <w:r w:rsidRPr="003C003B">
        <w:rPr>
          <w:sz w:val="24"/>
          <w:szCs w:val="24"/>
        </w:rPr>
        <w:t>Orlistat</w:t>
      </w:r>
      <w:proofErr w:type="spellEnd"/>
      <w:r w:rsidRPr="003C003B">
        <w:rPr>
          <w:sz w:val="24"/>
          <w:szCs w:val="24"/>
        </w:rPr>
        <w:t xml:space="preserve"> kan potentielt nedsætte absorptionen af </w:t>
      </w:r>
      <w:proofErr w:type="spellStart"/>
      <w:r>
        <w:rPr>
          <w:sz w:val="24"/>
          <w:szCs w:val="24"/>
        </w:rPr>
        <w:t>cholecalciferol</w:t>
      </w:r>
      <w:proofErr w:type="spellEnd"/>
      <w:r w:rsidRPr="003C003B">
        <w:rPr>
          <w:sz w:val="24"/>
          <w:szCs w:val="24"/>
        </w:rPr>
        <w:t>, da det er fedopløseligt.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color w:val="000000"/>
          <w:sz w:val="24"/>
          <w:szCs w:val="24"/>
          <w:shd w:val="clear" w:color="auto" w:fill="FFFFFF"/>
        </w:rPr>
      </w:pPr>
      <w:r w:rsidRPr="003C003B">
        <w:rPr>
          <w:color w:val="000000"/>
          <w:sz w:val="24"/>
          <w:szCs w:val="24"/>
          <w:shd w:val="clear" w:color="auto" w:fill="FFFFFF"/>
        </w:rPr>
        <w:t xml:space="preserve">Det </w:t>
      </w:r>
      <w:proofErr w:type="spellStart"/>
      <w:r w:rsidRPr="003C003B">
        <w:rPr>
          <w:color w:val="000000"/>
          <w:sz w:val="24"/>
          <w:szCs w:val="24"/>
          <w:shd w:val="clear" w:color="auto" w:fill="FFFFFF"/>
        </w:rPr>
        <w:t>cytotoksiske</w:t>
      </w:r>
      <w:proofErr w:type="spellEnd"/>
      <w:r w:rsidRPr="003C003B">
        <w:rPr>
          <w:color w:val="000000"/>
          <w:sz w:val="24"/>
          <w:szCs w:val="24"/>
          <w:shd w:val="clear" w:color="auto" w:fill="FFFFFF"/>
        </w:rPr>
        <w:t xml:space="preserve"> middel </w:t>
      </w:r>
      <w:proofErr w:type="spellStart"/>
      <w:r w:rsidRPr="003C003B">
        <w:rPr>
          <w:color w:val="000000"/>
          <w:sz w:val="24"/>
          <w:szCs w:val="24"/>
          <w:shd w:val="clear" w:color="auto" w:fill="FFFFFF"/>
        </w:rPr>
        <w:t>actinomycin</w:t>
      </w:r>
      <w:proofErr w:type="spellEnd"/>
      <w:r w:rsidRPr="003C003B">
        <w:rPr>
          <w:color w:val="000000"/>
          <w:sz w:val="24"/>
          <w:szCs w:val="24"/>
          <w:shd w:val="clear" w:color="auto" w:fill="FFFFFF"/>
        </w:rPr>
        <w:t xml:space="preserve"> og </w:t>
      </w:r>
      <w:proofErr w:type="spellStart"/>
      <w:r w:rsidRPr="003C003B">
        <w:rPr>
          <w:color w:val="000000"/>
          <w:sz w:val="24"/>
          <w:szCs w:val="24"/>
          <w:shd w:val="clear" w:color="auto" w:fill="FFFFFF"/>
        </w:rPr>
        <w:t>antimykotika</w:t>
      </w:r>
      <w:proofErr w:type="spellEnd"/>
      <w:r w:rsidRPr="003C003B">
        <w:rPr>
          <w:color w:val="000000"/>
          <w:sz w:val="24"/>
          <w:szCs w:val="24"/>
          <w:shd w:val="clear" w:color="auto" w:fill="FFFFFF"/>
        </w:rPr>
        <w:t xml:space="preserve"> af </w:t>
      </w:r>
      <w:proofErr w:type="spellStart"/>
      <w:r w:rsidRPr="003C003B">
        <w:rPr>
          <w:color w:val="000000"/>
          <w:sz w:val="24"/>
          <w:szCs w:val="24"/>
          <w:shd w:val="clear" w:color="auto" w:fill="FFFFFF"/>
        </w:rPr>
        <w:t>imidazoltypen</w:t>
      </w:r>
      <w:proofErr w:type="spellEnd"/>
      <w:r w:rsidRPr="003C003B">
        <w:rPr>
          <w:color w:val="000000"/>
          <w:sz w:val="24"/>
          <w:szCs w:val="24"/>
          <w:shd w:val="clear" w:color="auto" w:fill="FFFFFF"/>
        </w:rPr>
        <w:t xml:space="preserve"> interferer med aktiviteten af vitamin D via hæmning af omdannelsen af 25-hydroxyvitamin D til 1,25-dihydroxyvvitamin D via nyreenzymet 25-hydroxyvittamin D-1-hydroxylase.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4.6</w:t>
      </w:r>
      <w:r w:rsidRPr="003C003B">
        <w:rPr>
          <w:b/>
          <w:sz w:val="24"/>
          <w:szCs w:val="24"/>
        </w:rPr>
        <w:tab/>
      </w:r>
      <w:r w:rsidR="0024129F">
        <w:rPr>
          <w:b/>
          <w:sz w:val="24"/>
          <w:szCs w:val="24"/>
        </w:rPr>
        <w:t>Fertilitet, g</w:t>
      </w:r>
      <w:r w:rsidRPr="003C003B">
        <w:rPr>
          <w:b/>
          <w:sz w:val="24"/>
          <w:szCs w:val="24"/>
        </w:rPr>
        <w:t>raviditet og amning</w:t>
      </w:r>
    </w:p>
    <w:p w:rsidR="00253FBA" w:rsidRDefault="00253FBA" w:rsidP="00253FBA">
      <w:pPr>
        <w:ind w:left="851" w:hanging="851"/>
        <w:rPr>
          <w:sz w:val="24"/>
          <w:szCs w:val="24"/>
        </w:rPr>
      </w:pPr>
    </w:p>
    <w:p w:rsidR="00253FBA" w:rsidRPr="00800DFC" w:rsidRDefault="00253FBA" w:rsidP="00253FBA">
      <w:pPr>
        <w:ind w:left="851"/>
        <w:rPr>
          <w:i/>
          <w:sz w:val="24"/>
          <w:szCs w:val="24"/>
        </w:rPr>
      </w:pPr>
      <w:r w:rsidRPr="00800DFC">
        <w:rPr>
          <w:i/>
          <w:sz w:val="24"/>
          <w:szCs w:val="24"/>
        </w:rPr>
        <w:t>Fertilitet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Normale endogene niveauer af vitamin D forventes ikke at have negativ indvirkning på fertiliteten.</w:t>
      </w:r>
    </w:p>
    <w:p w:rsidR="00253FBA" w:rsidRDefault="00253FBA" w:rsidP="00253FBA">
      <w:pPr>
        <w:ind w:left="851" w:hanging="851"/>
        <w:rPr>
          <w:sz w:val="24"/>
          <w:szCs w:val="24"/>
        </w:rPr>
      </w:pPr>
    </w:p>
    <w:p w:rsidR="00253FBA" w:rsidRPr="00800DFC" w:rsidRDefault="00253FBA" w:rsidP="00253FBA">
      <w:pPr>
        <w:ind w:left="851"/>
        <w:rPr>
          <w:i/>
          <w:sz w:val="24"/>
          <w:szCs w:val="24"/>
          <w:lang w:eastAsia="da-DK"/>
        </w:rPr>
      </w:pPr>
      <w:r w:rsidRPr="00800DFC">
        <w:rPr>
          <w:i/>
          <w:sz w:val="24"/>
          <w:szCs w:val="24"/>
        </w:rPr>
        <w:t>Graviditet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Vitamin D-mangel er skadelig for moder og barn. Der er ingen tegn på, at anbefalede doser af vitamin D3 er skadelige for embryoet/fostret. Høje doser af vitamin D er påvist at have </w:t>
      </w:r>
      <w:proofErr w:type="spellStart"/>
      <w:r w:rsidRPr="003C003B">
        <w:rPr>
          <w:sz w:val="24"/>
          <w:szCs w:val="24"/>
        </w:rPr>
        <w:t>teratogene</w:t>
      </w:r>
      <w:proofErr w:type="spellEnd"/>
      <w:r w:rsidRPr="003C003B">
        <w:rPr>
          <w:sz w:val="24"/>
          <w:szCs w:val="24"/>
        </w:rPr>
        <w:t xml:space="preserve"> virkninger i dyreforsøg. Overdosering af vitamin D må undgås under graviditeten, idet langvarig </w:t>
      </w:r>
      <w:proofErr w:type="spellStart"/>
      <w:r w:rsidRPr="003C003B">
        <w:rPr>
          <w:sz w:val="24"/>
          <w:szCs w:val="24"/>
        </w:rPr>
        <w:t>hypercalcæmi</w:t>
      </w:r>
      <w:proofErr w:type="spellEnd"/>
      <w:r w:rsidRPr="003C003B">
        <w:rPr>
          <w:sz w:val="24"/>
          <w:szCs w:val="24"/>
        </w:rPr>
        <w:t xml:space="preserve"> kan føre til hæmmet fysisk og mental udvikling, </w:t>
      </w:r>
      <w:proofErr w:type="spellStart"/>
      <w:r w:rsidRPr="003C003B">
        <w:rPr>
          <w:sz w:val="24"/>
          <w:szCs w:val="24"/>
        </w:rPr>
        <w:t>supravalvulær</w:t>
      </w:r>
      <w:proofErr w:type="spellEnd"/>
      <w:r w:rsidRPr="003C003B">
        <w:rPr>
          <w:sz w:val="24"/>
          <w:szCs w:val="24"/>
        </w:rPr>
        <w:t xml:space="preserve"> aortastenose og </w:t>
      </w:r>
      <w:proofErr w:type="spellStart"/>
      <w:r w:rsidRPr="003C003B">
        <w:rPr>
          <w:sz w:val="24"/>
          <w:szCs w:val="24"/>
        </w:rPr>
        <w:t>retinopati</w:t>
      </w:r>
      <w:proofErr w:type="spellEnd"/>
      <w:r w:rsidRPr="003C003B">
        <w:rPr>
          <w:sz w:val="24"/>
          <w:szCs w:val="24"/>
        </w:rPr>
        <w:t xml:space="preserve"> hos barnet. </w:t>
      </w:r>
      <w:proofErr w:type="spellStart"/>
      <w:r w:rsidRPr="003C003B">
        <w:rPr>
          <w:sz w:val="24"/>
          <w:szCs w:val="24"/>
        </w:rPr>
        <w:t>Benferol</w:t>
      </w:r>
      <w:proofErr w:type="spellEnd"/>
      <w:r w:rsidRPr="003C003B">
        <w:rPr>
          <w:sz w:val="24"/>
          <w:szCs w:val="24"/>
        </w:rPr>
        <w:t xml:space="preserve"> bløde kapsler kan anvendes i de anbefalede doser under graviditet i tilfælde af vitamin D-mangel.</w:t>
      </w:r>
    </w:p>
    <w:p w:rsidR="00253FBA" w:rsidRDefault="00253FBA" w:rsidP="00253FBA">
      <w:pPr>
        <w:ind w:left="851" w:hanging="851"/>
        <w:rPr>
          <w:sz w:val="24"/>
          <w:szCs w:val="24"/>
        </w:rPr>
      </w:pPr>
    </w:p>
    <w:p w:rsidR="00253FBA" w:rsidRPr="00800DFC" w:rsidRDefault="00253FBA" w:rsidP="00253FBA">
      <w:pPr>
        <w:ind w:left="851"/>
        <w:rPr>
          <w:i/>
          <w:sz w:val="24"/>
          <w:szCs w:val="24"/>
        </w:rPr>
      </w:pPr>
      <w:r w:rsidRPr="00800DFC">
        <w:rPr>
          <w:i/>
          <w:sz w:val="24"/>
          <w:szCs w:val="24"/>
        </w:rPr>
        <w:t>Amning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Vitamin D3 og dets metabolitter går over i modermælken. Der er ikke set nogen bivirkninger hos spædbørn. </w:t>
      </w:r>
      <w:proofErr w:type="spellStart"/>
      <w:r w:rsidRPr="003C003B">
        <w:rPr>
          <w:sz w:val="24"/>
          <w:szCs w:val="24"/>
        </w:rPr>
        <w:t>Benferol</w:t>
      </w:r>
      <w:proofErr w:type="spellEnd"/>
      <w:r w:rsidRPr="003C003B">
        <w:rPr>
          <w:sz w:val="24"/>
          <w:szCs w:val="24"/>
        </w:rPr>
        <w:t xml:space="preserve"> kan anvendes i de anbefalede doser under amning i tilfælde af vitamin D-mangel.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4.7</w:t>
      </w:r>
      <w:r w:rsidRPr="003C003B">
        <w:rPr>
          <w:b/>
          <w:sz w:val="24"/>
          <w:szCs w:val="24"/>
        </w:rPr>
        <w:tab/>
        <w:t xml:space="preserve">Virkning på evnen til at føre motorkøretøj </w:t>
      </w:r>
      <w:r w:rsidR="0024129F">
        <w:rPr>
          <w:b/>
          <w:sz w:val="24"/>
          <w:szCs w:val="24"/>
        </w:rPr>
        <w:t>og</w:t>
      </w:r>
      <w:r w:rsidRPr="003C003B">
        <w:rPr>
          <w:b/>
          <w:sz w:val="24"/>
          <w:szCs w:val="24"/>
        </w:rPr>
        <w:t xml:space="preserve"> betjene maskiner</w:t>
      </w:r>
    </w:p>
    <w:p w:rsidR="00253FBA" w:rsidRDefault="00253FBA" w:rsidP="00253FBA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r w:rsidRPr="003C003B">
        <w:rPr>
          <w:sz w:val="24"/>
          <w:szCs w:val="24"/>
        </w:rPr>
        <w:t>Der foreligger ingen data vedrørende lægemidlets indvirkning på evnen til at føre motorkøretøj og betjene maskiner. Det er dog usandsynligt, at det vil påvirke denne evne.</w:t>
      </w:r>
    </w:p>
    <w:p w:rsidR="00253FBA" w:rsidRDefault="00253FBA" w:rsidP="00253F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4.8</w:t>
      </w:r>
      <w:r w:rsidRPr="003C003B">
        <w:rPr>
          <w:b/>
          <w:sz w:val="24"/>
          <w:szCs w:val="24"/>
        </w:rPr>
        <w:tab/>
        <w:t>Bivirkninger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Bivirkningshyppigheder er defineret som: ikke almindelig ≥ 1/1.000 til &lt;1/100), sjælden</w:t>
      </w:r>
      <w:r>
        <w:rPr>
          <w:sz w:val="24"/>
          <w:szCs w:val="24"/>
        </w:rPr>
        <w:t xml:space="preserve"> </w:t>
      </w:r>
      <w:r w:rsidRPr="003C003B">
        <w:rPr>
          <w:sz w:val="24"/>
          <w:szCs w:val="24"/>
        </w:rPr>
        <w:t>≥1/10.000 til &lt;1/1.000) eller ikke kendt (kan ikke estimeres ud fra forhåndenværende data)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i/>
          <w:sz w:val="24"/>
          <w:szCs w:val="24"/>
        </w:rPr>
        <w:t>Immunsystemet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Ikke kendt (kan ikke estimeres ud fra forhåndenværende data): Overfølsomhedsreaktioner såsom </w:t>
      </w:r>
      <w:proofErr w:type="spellStart"/>
      <w:r w:rsidRPr="003C003B">
        <w:rPr>
          <w:sz w:val="24"/>
          <w:szCs w:val="24"/>
        </w:rPr>
        <w:t>angioødem</w:t>
      </w:r>
      <w:proofErr w:type="spellEnd"/>
      <w:r w:rsidRPr="003C003B">
        <w:rPr>
          <w:sz w:val="24"/>
          <w:szCs w:val="24"/>
        </w:rPr>
        <w:t xml:space="preserve"> eller </w:t>
      </w:r>
      <w:proofErr w:type="spellStart"/>
      <w:r w:rsidRPr="003C003B">
        <w:rPr>
          <w:sz w:val="24"/>
          <w:szCs w:val="24"/>
        </w:rPr>
        <w:t>larynxødem</w:t>
      </w:r>
      <w:proofErr w:type="spellEnd"/>
      <w:r w:rsidRPr="003C003B">
        <w:rPr>
          <w:sz w:val="24"/>
          <w:szCs w:val="24"/>
        </w:rPr>
        <w:t>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i/>
          <w:spacing w:val="-1"/>
          <w:sz w:val="24"/>
          <w:szCs w:val="24"/>
        </w:rPr>
        <w:t>Metabolisme og ernæring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Ikke almindelig: </w:t>
      </w:r>
      <w:proofErr w:type="spellStart"/>
      <w:r w:rsidRPr="003C003B">
        <w:rPr>
          <w:sz w:val="24"/>
          <w:szCs w:val="24"/>
        </w:rPr>
        <w:t>Hypercalcæmi</w:t>
      </w:r>
      <w:proofErr w:type="spellEnd"/>
      <w:r w:rsidRPr="003C003B">
        <w:rPr>
          <w:sz w:val="24"/>
          <w:szCs w:val="24"/>
        </w:rPr>
        <w:t xml:space="preserve"> og </w:t>
      </w:r>
      <w:proofErr w:type="spellStart"/>
      <w:r w:rsidRPr="003C003B">
        <w:rPr>
          <w:sz w:val="24"/>
          <w:szCs w:val="24"/>
        </w:rPr>
        <w:t>hypercalciuri</w:t>
      </w:r>
      <w:proofErr w:type="spellEnd"/>
      <w:r w:rsidRPr="003C003B">
        <w:rPr>
          <w:sz w:val="24"/>
          <w:szCs w:val="24"/>
        </w:rPr>
        <w:t>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i/>
          <w:sz w:val="24"/>
          <w:szCs w:val="24"/>
        </w:rPr>
        <w:t>Hud og subkutane væv</w:t>
      </w:r>
    </w:p>
    <w:p w:rsidR="00253FBA" w:rsidRPr="003C003B" w:rsidRDefault="00253FBA" w:rsidP="00253FBA">
      <w:pPr>
        <w:ind w:left="851"/>
        <w:rPr>
          <w:spacing w:val="-1"/>
          <w:sz w:val="24"/>
          <w:szCs w:val="24"/>
        </w:rPr>
      </w:pPr>
      <w:r w:rsidRPr="003C003B">
        <w:rPr>
          <w:sz w:val="24"/>
          <w:szCs w:val="24"/>
        </w:rPr>
        <w:t xml:space="preserve">Sjælden: </w:t>
      </w:r>
      <w:proofErr w:type="spellStart"/>
      <w:r w:rsidRPr="003C003B">
        <w:rPr>
          <w:sz w:val="24"/>
          <w:szCs w:val="24"/>
        </w:rPr>
        <w:t>Pruritus</w:t>
      </w:r>
      <w:proofErr w:type="spellEnd"/>
      <w:r w:rsidRPr="003C003B">
        <w:rPr>
          <w:sz w:val="24"/>
          <w:szCs w:val="24"/>
        </w:rPr>
        <w:t xml:space="preserve">, udslæt og </w:t>
      </w:r>
      <w:proofErr w:type="spellStart"/>
      <w:r w:rsidRPr="003C003B">
        <w:rPr>
          <w:sz w:val="24"/>
          <w:szCs w:val="24"/>
        </w:rPr>
        <w:t>urticaria</w:t>
      </w:r>
      <w:proofErr w:type="spellEnd"/>
      <w:r w:rsidRPr="003C003B">
        <w:rPr>
          <w:sz w:val="24"/>
          <w:szCs w:val="24"/>
        </w:rPr>
        <w:t>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Default="00253FBA" w:rsidP="00253FBA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253FBA" w:rsidRDefault="00253FBA" w:rsidP="00253FBA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24129F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24129F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253FBA" w:rsidRDefault="00253FBA" w:rsidP="00253FBA">
      <w:pPr>
        <w:tabs>
          <w:tab w:val="left" w:pos="2440"/>
        </w:tabs>
        <w:ind w:left="851"/>
        <w:rPr>
          <w:sz w:val="24"/>
          <w:szCs w:val="24"/>
        </w:rPr>
      </w:pPr>
    </w:p>
    <w:p w:rsidR="00253FBA" w:rsidRDefault="00253FBA" w:rsidP="00253FBA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253FBA" w:rsidRDefault="00253FBA" w:rsidP="00253FBA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253FBA" w:rsidRDefault="00253FBA" w:rsidP="00253FBA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253FBA" w:rsidRPr="001444AD" w:rsidRDefault="00253FBA" w:rsidP="0024129F">
      <w:pPr>
        <w:ind w:left="851"/>
        <w:rPr>
          <w:sz w:val="24"/>
          <w:szCs w:val="24"/>
        </w:rPr>
      </w:pPr>
      <w:r w:rsidRPr="001444AD">
        <w:rPr>
          <w:sz w:val="24"/>
          <w:szCs w:val="24"/>
        </w:rPr>
        <w:t xml:space="preserve">Websted: </w:t>
      </w:r>
      <w:hyperlink r:id="rId8" w:history="1">
        <w:r w:rsidRPr="001444AD">
          <w:rPr>
            <w:rStyle w:val="Hyperlink"/>
            <w:sz w:val="24"/>
            <w:szCs w:val="24"/>
          </w:rPr>
          <w:t>www.meldenbivirkning.dk</w:t>
        </w:r>
      </w:hyperlink>
    </w:p>
    <w:p w:rsidR="00253FBA" w:rsidRPr="001444AD" w:rsidRDefault="00253FBA" w:rsidP="00253FBA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4.9</w:t>
      </w:r>
      <w:r w:rsidRPr="003C003B">
        <w:rPr>
          <w:b/>
          <w:sz w:val="24"/>
          <w:szCs w:val="24"/>
        </w:rPr>
        <w:tab/>
        <w:t>Overdosering</w:t>
      </w: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r w:rsidRPr="003C003B">
        <w:rPr>
          <w:sz w:val="24"/>
          <w:szCs w:val="24"/>
        </w:rPr>
        <w:t xml:space="preserve">Overdosering kan føre til </w:t>
      </w:r>
      <w:proofErr w:type="spellStart"/>
      <w:r w:rsidRPr="003C003B">
        <w:rPr>
          <w:sz w:val="24"/>
          <w:szCs w:val="24"/>
        </w:rPr>
        <w:t>hypervitaminosis</w:t>
      </w:r>
      <w:proofErr w:type="spellEnd"/>
      <w:r w:rsidRPr="003C003B">
        <w:rPr>
          <w:sz w:val="24"/>
          <w:szCs w:val="24"/>
        </w:rPr>
        <w:t xml:space="preserve"> D. For høje niveauer af vitamin D forårsager abnormt høje niveauer af calcium i blodet, hvilket med tiden kan føre til alvorlig beskadigelse af bløddele og nyrer. Den tolerable øvre grænse for indtag af vitamin D3 (</w:t>
      </w:r>
      <w:proofErr w:type="spellStart"/>
      <w:r>
        <w:rPr>
          <w:sz w:val="24"/>
          <w:szCs w:val="24"/>
        </w:rPr>
        <w:t>cholecalciferol</w:t>
      </w:r>
      <w:proofErr w:type="spellEnd"/>
      <w:r w:rsidRPr="003C003B">
        <w:rPr>
          <w:sz w:val="24"/>
          <w:szCs w:val="24"/>
        </w:rPr>
        <w:t xml:space="preserve">) er fastsat til 4000 IE (100 µg) per dag. Vitamin D3 må ikke forveksles med dets aktive metabolitter. 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Symptomerne på </w:t>
      </w:r>
      <w:proofErr w:type="spellStart"/>
      <w:r w:rsidRPr="003C003B">
        <w:rPr>
          <w:sz w:val="24"/>
          <w:szCs w:val="24"/>
        </w:rPr>
        <w:t>hypercalcæmi</w:t>
      </w:r>
      <w:proofErr w:type="spellEnd"/>
      <w:r w:rsidRPr="003C003B">
        <w:rPr>
          <w:sz w:val="24"/>
          <w:szCs w:val="24"/>
        </w:rPr>
        <w:t xml:space="preserve"> kan omfatte anoreksi, tørst, kvalme, opkastning, obstipation, mavesmerter, muskelsvaghed, træthed, psykiske forstyrrelser, polydipsi, </w:t>
      </w:r>
      <w:proofErr w:type="spellStart"/>
      <w:r w:rsidRPr="003C003B">
        <w:rPr>
          <w:sz w:val="24"/>
          <w:szCs w:val="24"/>
        </w:rPr>
        <w:t>polyuri</w:t>
      </w:r>
      <w:proofErr w:type="spellEnd"/>
      <w:r w:rsidRPr="003C003B">
        <w:rPr>
          <w:sz w:val="24"/>
          <w:szCs w:val="24"/>
        </w:rPr>
        <w:t xml:space="preserve">, knoglesmerter, </w:t>
      </w:r>
      <w:proofErr w:type="spellStart"/>
      <w:r w:rsidRPr="003C003B">
        <w:rPr>
          <w:sz w:val="24"/>
          <w:szCs w:val="24"/>
        </w:rPr>
        <w:t>nefrokalcinose</w:t>
      </w:r>
      <w:proofErr w:type="spellEnd"/>
      <w:r w:rsidRPr="003C003B">
        <w:rPr>
          <w:sz w:val="24"/>
          <w:szCs w:val="24"/>
        </w:rPr>
        <w:t xml:space="preserve">, nyresten og i sjældne tilfælde </w:t>
      </w:r>
      <w:proofErr w:type="spellStart"/>
      <w:r w:rsidRPr="003C003B">
        <w:rPr>
          <w:sz w:val="24"/>
          <w:szCs w:val="24"/>
        </w:rPr>
        <w:t>hjertearytmi</w:t>
      </w:r>
      <w:proofErr w:type="spellEnd"/>
      <w:r w:rsidRPr="003C003B">
        <w:rPr>
          <w:sz w:val="24"/>
          <w:szCs w:val="24"/>
        </w:rPr>
        <w:t xml:space="preserve">. Ekstrem </w:t>
      </w:r>
      <w:proofErr w:type="spellStart"/>
      <w:r w:rsidRPr="003C003B">
        <w:rPr>
          <w:sz w:val="24"/>
          <w:szCs w:val="24"/>
        </w:rPr>
        <w:t>hypercalcæmi</w:t>
      </w:r>
      <w:proofErr w:type="spellEnd"/>
      <w:r w:rsidRPr="003C003B">
        <w:rPr>
          <w:sz w:val="24"/>
          <w:szCs w:val="24"/>
        </w:rPr>
        <w:t xml:space="preserve"> kan resultere i koma og død.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Vedvarende høje calciumniveauer kan føre til irreversibel nyreskade og forkalkning af bløddele.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Behandling af </w:t>
      </w:r>
      <w:proofErr w:type="spellStart"/>
      <w:r w:rsidRPr="003C003B">
        <w:rPr>
          <w:sz w:val="24"/>
          <w:szCs w:val="24"/>
        </w:rPr>
        <w:t>hypercalcæmi</w:t>
      </w:r>
      <w:proofErr w:type="spellEnd"/>
      <w:r w:rsidRPr="003C003B">
        <w:rPr>
          <w:sz w:val="24"/>
          <w:szCs w:val="24"/>
        </w:rPr>
        <w:t xml:space="preserve">: Behandlingen med vitamin D skal seponeres. Behandling med </w:t>
      </w:r>
      <w:proofErr w:type="spellStart"/>
      <w:r w:rsidRPr="003C003B">
        <w:rPr>
          <w:sz w:val="24"/>
          <w:szCs w:val="24"/>
        </w:rPr>
        <w:t>thiaziddiuretika</w:t>
      </w:r>
      <w:proofErr w:type="spellEnd"/>
      <w:r w:rsidRPr="003C003B">
        <w:rPr>
          <w:sz w:val="24"/>
          <w:szCs w:val="24"/>
        </w:rPr>
        <w:t xml:space="preserve">, </w:t>
      </w:r>
      <w:proofErr w:type="spellStart"/>
      <w:r w:rsidRPr="003C003B">
        <w:rPr>
          <w:sz w:val="24"/>
          <w:szCs w:val="24"/>
        </w:rPr>
        <w:t>lithium</w:t>
      </w:r>
      <w:proofErr w:type="spellEnd"/>
      <w:r w:rsidRPr="003C003B">
        <w:rPr>
          <w:sz w:val="24"/>
          <w:szCs w:val="24"/>
        </w:rPr>
        <w:t xml:space="preserve">, vitamin A og hjerteglykosider skal også seponeres. </w:t>
      </w:r>
      <w:proofErr w:type="spellStart"/>
      <w:r w:rsidRPr="003C003B">
        <w:rPr>
          <w:sz w:val="24"/>
          <w:szCs w:val="24"/>
        </w:rPr>
        <w:t>Rehydrering</w:t>
      </w:r>
      <w:proofErr w:type="spellEnd"/>
      <w:r w:rsidRPr="003C003B">
        <w:rPr>
          <w:sz w:val="24"/>
          <w:szCs w:val="24"/>
        </w:rPr>
        <w:t>; og alt efter alvorlighedsgrad bør det overvejes at give isolereret eller kombineret behandling med loop-</w:t>
      </w:r>
      <w:proofErr w:type="spellStart"/>
      <w:r w:rsidRPr="003C003B">
        <w:rPr>
          <w:sz w:val="24"/>
          <w:szCs w:val="24"/>
        </w:rPr>
        <w:t>diuretika</w:t>
      </w:r>
      <w:proofErr w:type="spellEnd"/>
      <w:r w:rsidRPr="003C003B">
        <w:rPr>
          <w:sz w:val="24"/>
          <w:szCs w:val="24"/>
        </w:rPr>
        <w:t xml:space="preserve">, </w:t>
      </w:r>
      <w:proofErr w:type="spellStart"/>
      <w:r w:rsidRPr="003C003B">
        <w:rPr>
          <w:sz w:val="24"/>
          <w:szCs w:val="24"/>
        </w:rPr>
        <w:t>bisphosphonater</w:t>
      </w:r>
      <w:proofErr w:type="spellEnd"/>
      <w:r w:rsidRPr="003C003B">
        <w:rPr>
          <w:sz w:val="24"/>
          <w:szCs w:val="24"/>
        </w:rPr>
        <w:t xml:space="preserve">, </w:t>
      </w:r>
      <w:proofErr w:type="spellStart"/>
      <w:r w:rsidRPr="003C003B">
        <w:rPr>
          <w:sz w:val="24"/>
          <w:szCs w:val="24"/>
        </w:rPr>
        <w:t>calcitonin</w:t>
      </w:r>
      <w:proofErr w:type="spellEnd"/>
      <w:r w:rsidRPr="003C003B">
        <w:rPr>
          <w:sz w:val="24"/>
          <w:szCs w:val="24"/>
        </w:rPr>
        <w:t xml:space="preserve"> og </w:t>
      </w:r>
      <w:proofErr w:type="spellStart"/>
      <w:r w:rsidRPr="003C003B">
        <w:rPr>
          <w:sz w:val="24"/>
          <w:szCs w:val="24"/>
        </w:rPr>
        <w:t>kortikosteroider</w:t>
      </w:r>
      <w:proofErr w:type="spellEnd"/>
      <w:r w:rsidRPr="003C003B">
        <w:rPr>
          <w:sz w:val="24"/>
          <w:szCs w:val="24"/>
        </w:rPr>
        <w:t xml:space="preserve"> Serumelektrolytter, nyrefunktion og diurese skal monitoreres. I alvorlige tilfælde skal EKG og CVP følges.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4.10</w:t>
      </w:r>
      <w:r w:rsidRPr="003C003B">
        <w:rPr>
          <w:b/>
          <w:sz w:val="24"/>
          <w:szCs w:val="24"/>
        </w:rPr>
        <w:tab/>
        <w:t>Udlevering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C003B">
        <w:rPr>
          <w:sz w:val="24"/>
          <w:szCs w:val="24"/>
        </w:rPr>
        <w:t>B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Default="00253FBA" w:rsidP="00253F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5.</w:t>
      </w:r>
      <w:r w:rsidRPr="003C003B">
        <w:rPr>
          <w:b/>
          <w:sz w:val="24"/>
          <w:szCs w:val="24"/>
        </w:rPr>
        <w:tab/>
        <w:t>FARMAKOLOGISKE EGENSKABER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5.1</w:t>
      </w:r>
      <w:r w:rsidRPr="003C003B">
        <w:rPr>
          <w:b/>
          <w:sz w:val="24"/>
          <w:szCs w:val="24"/>
        </w:rPr>
        <w:tab/>
      </w:r>
      <w:proofErr w:type="spellStart"/>
      <w:r w:rsidRPr="003C003B">
        <w:rPr>
          <w:b/>
          <w:sz w:val="24"/>
          <w:szCs w:val="24"/>
        </w:rPr>
        <w:t>Farmakodynamiske</w:t>
      </w:r>
      <w:proofErr w:type="spellEnd"/>
      <w:r w:rsidRPr="003C003B">
        <w:rPr>
          <w:b/>
          <w:sz w:val="24"/>
          <w:szCs w:val="24"/>
        </w:rPr>
        <w:t xml:space="preserve"> egenskaber</w:t>
      </w:r>
    </w:p>
    <w:p w:rsidR="0024129F" w:rsidRDefault="0024129F" w:rsidP="00253FBA">
      <w:pPr>
        <w:ind w:left="851"/>
        <w:rPr>
          <w:sz w:val="24"/>
          <w:szCs w:val="24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3C003B">
        <w:rPr>
          <w:sz w:val="24"/>
          <w:szCs w:val="24"/>
        </w:rPr>
        <w:t xml:space="preserve">Vitamin D og </w:t>
      </w:r>
      <w:proofErr w:type="spellStart"/>
      <w:r w:rsidRPr="003C003B">
        <w:rPr>
          <w:sz w:val="24"/>
          <w:szCs w:val="24"/>
        </w:rPr>
        <w:t>analoger</w:t>
      </w:r>
      <w:proofErr w:type="spellEnd"/>
      <w:r w:rsidRPr="003C003B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cholecalciferol</w:t>
      </w:r>
      <w:proofErr w:type="spellEnd"/>
      <w:r w:rsidRPr="003C003B">
        <w:rPr>
          <w:sz w:val="24"/>
          <w:szCs w:val="24"/>
        </w:rPr>
        <w:t>.</w:t>
      </w:r>
    </w:p>
    <w:p w:rsidR="0024129F" w:rsidRDefault="0024129F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ATC-kode: A</w:t>
      </w:r>
      <w:r>
        <w:rPr>
          <w:sz w:val="24"/>
          <w:szCs w:val="24"/>
        </w:rPr>
        <w:t xml:space="preserve"> </w:t>
      </w:r>
      <w:r w:rsidRPr="003C003B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3C003B">
        <w:rPr>
          <w:sz w:val="24"/>
          <w:szCs w:val="24"/>
        </w:rPr>
        <w:t>CC</w:t>
      </w:r>
      <w:r>
        <w:rPr>
          <w:sz w:val="24"/>
          <w:szCs w:val="24"/>
        </w:rPr>
        <w:t xml:space="preserve"> </w:t>
      </w:r>
      <w:r w:rsidRPr="003C003B">
        <w:rPr>
          <w:sz w:val="24"/>
          <w:szCs w:val="24"/>
        </w:rPr>
        <w:t>05</w:t>
      </w:r>
      <w:r>
        <w:rPr>
          <w:sz w:val="24"/>
          <w:szCs w:val="24"/>
        </w:rPr>
        <w:t>.</w:t>
      </w:r>
    </w:p>
    <w:p w:rsidR="0024129F" w:rsidRDefault="0024129F" w:rsidP="00253FBA">
      <w:pPr>
        <w:ind w:left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r w:rsidRPr="003C003B">
        <w:rPr>
          <w:sz w:val="24"/>
          <w:szCs w:val="24"/>
        </w:rPr>
        <w:t xml:space="preserve">Vitamin D øger den </w:t>
      </w:r>
      <w:proofErr w:type="spellStart"/>
      <w:r w:rsidRPr="003C003B">
        <w:rPr>
          <w:sz w:val="24"/>
          <w:szCs w:val="24"/>
        </w:rPr>
        <w:t>intestinale</w:t>
      </w:r>
      <w:proofErr w:type="spellEnd"/>
      <w:r w:rsidRPr="003C003B">
        <w:rPr>
          <w:sz w:val="24"/>
          <w:szCs w:val="24"/>
        </w:rPr>
        <w:t xml:space="preserve"> absorption af calcium og </w:t>
      </w:r>
      <w:proofErr w:type="spellStart"/>
      <w:r w:rsidRPr="003C003B">
        <w:rPr>
          <w:sz w:val="24"/>
          <w:szCs w:val="24"/>
        </w:rPr>
        <w:t>phosphat</w:t>
      </w:r>
      <w:proofErr w:type="spellEnd"/>
      <w:r w:rsidRPr="003C003B">
        <w:rPr>
          <w:sz w:val="24"/>
          <w:szCs w:val="24"/>
        </w:rPr>
        <w:t>.</w:t>
      </w:r>
    </w:p>
    <w:p w:rsidR="00253FBA" w:rsidRDefault="00253FBA" w:rsidP="00253FBA">
      <w:pPr>
        <w:ind w:left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Administration af vitamin D3 modvirker udvikling af engelsk syge hos børn og </w:t>
      </w:r>
      <w:proofErr w:type="spellStart"/>
      <w:r w:rsidRPr="003C003B">
        <w:rPr>
          <w:sz w:val="24"/>
          <w:szCs w:val="24"/>
        </w:rPr>
        <w:t>osteomalaci</w:t>
      </w:r>
      <w:proofErr w:type="spellEnd"/>
      <w:r w:rsidRPr="003C003B">
        <w:rPr>
          <w:sz w:val="24"/>
          <w:szCs w:val="24"/>
        </w:rPr>
        <w:t xml:space="preserve"> hos voksne. Det modvirker også den stigning i </w:t>
      </w:r>
      <w:proofErr w:type="spellStart"/>
      <w:r w:rsidRPr="003C003B">
        <w:rPr>
          <w:sz w:val="24"/>
          <w:szCs w:val="24"/>
        </w:rPr>
        <w:t>parathyroideahormon</w:t>
      </w:r>
      <w:proofErr w:type="spellEnd"/>
      <w:r w:rsidRPr="003C003B">
        <w:rPr>
          <w:sz w:val="24"/>
          <w:szCs w:val="24"/>
        </w:rPr>
        <w:t xml:space="preserve"> (PTH), der forårsages af calciummangel, og som forårsager øget knogleresorption. </w:t>
      </w:r>
    </w:p>
    <w:p w:rsidR="00253FBA" w:rsidRDefault="00253FBA" w:rsidP="00253FBA">
      <w:pPr>
        <w:ind w:left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Udover knogler og </w:t>
      </w:r>
      <w:proofErr w:type="spellStart"/>
      <w:r w:rsidRPr="003C003B">
        <w:rPr>
          <w:sz w:val="24"/>
          <w:szCs w:val="24"/>
        </w:rPr>
        <w:t>intestinale</w:t>
      </w:r>
      <w:proofErr w:type="spellEnd"/>
      <w:r w:rsidRPr="003C003B">
        <w:rPr>
          <w:sz w:val="24"/>
          <w:szCs w:val="24"/>
        </w:rPr>
        <w:t xml:space="preserve"> slimhinder er der mange andre væv, der har vitamin D-receptorer, som den aktive hormonale form af vitamin D, </w:t>
      </w:r>
      <w:proofErr w:type="spellStart"/>
      <w:r w:rsidRPr="003C003B">
        <w:rPr>
          <w:sz w:val="24"/>
          <w:szCs w:val="24"/>
        </w:rPr>
        <w:t>calcitriol</w:t>
      </w:r>
      <w:proofErr w:type="spellEnd"/>
      <w:r w:rsidRPr="003C003B">
        <w:rPr>
          <w:sz w:val="24"/>
          <w:szCs w:val="24"/>
        </w:rPr>
        <w:t>, bindes til.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5.2</w:t>
      </w:r>
      <w:r w:rsidRPr="003C003B">
        <w:rPr>
          <w:b/>
          <w:sz w:val="24"/>
          <w:szCs w:val="24"/>
        </w:rPr>
        <w:tab/>
      </w:r>
      <w:proofErr w:type="spellStart"/>
      <w:r w:rsidRPr="003C003B">
        <w:rPr>
          <w:b/>
          <w:sz w:val="24"/>
          <w:szCs w:val="24"/>
        </w:rPr>
        <w:t>Farmakokinetiske</w:t>
      </w:r>
      <w:proofErr w:type="spellEnd"/>
      <w:r w:rsidRPr="003C003B">
        <w:rPr>
          <w:b/>
          <w:sz w:val="24"/>
          <w:szCs w:val="24"/>
        </w:rPr>
        <w:t xml:space="preserve"> egenskaber</w:t>
      </w:r>
    </w:p>
    <w:p w:rsidR="00253FBA" w:rsidRDefault="00253FBA" w:rsidP="00253FBA">
      <w:pPr>
        <w:ind w:left="851"/>
        <w:rPr>
          <w:sz w:val="24"/>
          <w:szCs w:val="24"/>
        </w:rPr>
      </w:pPr>
    </w:p>
    <w:p w:rsidR="00253FBA" w:rsidRPr="00800DFC" w:rsidRDefault="00253FBA" w:rsidP="00253FBA">
      <w:pPr>
        <w:ind w:left="851"/>
        <w:rPr>
          <w:i/>
          <w:sz w:val="24"/>
          <w:szCs w:val="24"/>
          <w:lang w:eastAsia="da-DK"/>
        </w:rPr>
      </w:pPr>
      <w:r w:rsidRPr="00800DFC">
        <w:rPr>
          <w:i/>
          <w:sz w:val="24"/>
          <w:szCs w:val="24"/>
        </w:rPr>
        <w:t>Vitamin D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Eksponering for sollys: UVB-lys omdanner 7-dehydrocholesterol, som findes i huden, til </w:t>
      </w:r>
      <w:proofErr w:type="spellStart"/>
      <w:r>
        <w:rPr>
          <w:sz w:val="24"/>
          <w:szCs w:val="24"/>
        </w:rPr>
        <w:t>cholecalciferol</w:t>
      </w:r>
      <w:proofErr w:type="spellEnd"/>
      <w:r w:rsidRPr="003C003B">
        <w:rPr>
          <w:sz w:val="24"/>
          <w:szCs w:val="24"/>
        </w:rPr>
        <w:t>.</w:t>
      </w:r>
    </w:p>
    <w:p w:rsidR="00253FBA" w:rsidRDefault="00253FBA" w:rsidP="00253FBA">
      <w:pPr>
        <w:ind w:left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Absorption: Vitamin D absorberes let i tyndtarmen. Fødeindtag øger potentielt absorptionen af vitamin D.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 xml:space="preserve">Fordeling og biotransformation: </w:t>
      </w:r>
      <w:proofErr w:type="spellStart"/>
      <w:r>
        <w:rPr>
          <w:sz w:val="24"/>
          <w:szCs w:val="24"/>
        </w:rPr>
        <w:t>Cholecalciferol</w:t>
      </w:r>
      <w:proofErr w:type="spellEnd"/>
      <w:r w:rsidRPr="003C003B">
        <w:rPr>
          <w:sz w:val="24"/>
          <w:szCs w:val="24"/>
        </w:rPr>
        <w:t xml:space="preserve"> og dets metabolitter cirkulerer i blodet bundet til et specifikt </w:t>
      </w:r>
      <w:proofErr w:type="spellStart"/>
      <w:r w:rsidRPr="003C003B">
        <w:rPr>
          <w:sz w:val="24"/>
          <w:szCs w:val="24"/>
        </w:rPr>
        <w:t>globulin</w:t>
      </w:r>
      <w:proofErr w:type="spellEnd"/>
      <w:r w:rsidRPr="003C003B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Cholecalciferol</w:t>
      </w:r>
      <w:proofErr w:type="spellEnd"/>
      <w:r w:rsidRPr="003C003B">
        <w:rPr>
          <w:sz w:val="24"/>
          <w:szCs w:val="24"/>
        </w:rPr>
        <w:t xml:space="preserve"> omdannes i leveren via </w:t>
      </w:r>
      <w:proofErr w:type="spellStart"/>
      <w:r w:rsidRPr="003C003B">
        <w:rPr>
          <w:sz w:val="24"/>
          <w:szCs w:val="24"/>
        </w:rPr>
        <w:t>hydroxylering</w:t>
      </w:r>
      <w:proofErr w:type="spellEnd"/>
      <w:r w:rsidRPr="003C003B">
        <w:rPr>
          <w:sz w:val="24"/>
          <w:szCs w:val="24"/>
        </w:rPr>
        <w:t xml:space="preserve"> til 25-hydroxycholecalciferol. Det omdannes så yderligere i nyrerne til 1,25-dihydroxycholecalciferol. 1,25-dihydroxycholecalciferol er den aktive metabolit, der er ansvarlig for øget calciumabsorption. Vitamin D, som ikke bliver </w:t>
      </w:r>
      <w:proofErr w:type="spellStart"/>
      <w:r w:rsidRPr="003C003B">
        <w:rPr>
          <w:sz w:val="24"/>
          <w:szCs w:val="24"/>
        </w:rPr>
        <w:t>metaboliseret</w:t>
      </w:r>
      <w:proofErr w:type="spellEnd"/>
      <w:r w:rsidRPr="003C003B">
        <w:rPr>
          <w:sz w:val="24"/>
          <w:szCs w:val="24"/>
        </w:rPr>
        <w:t>, lagres i fedt- og muskelvæv.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color w:val="000000"/>
          <w:sz w:val="24"/>
          <w:szCs w:val="24"/>
          <w:shd w:val="clear" w:color="auto" w:fill="FFFFFF"/>
        </w:rPr>
        <w:t xml:space="preserve">Efter en enkelt oral dosis </w:t>
      </w:r>
      <w:proofErr w:type="spellStart"/>
      <w:r>
        <w:rPr>
          <w:color w:val="000000"/>
          <w:sz w:val="24"/>
          <w:szCs w:val="24"/>
          <w:shd w:val="clear" w:color="auto" w:fill="FFFFFF"/>
        </w:rPr>
        <w:t>cholecalciferol</w:t>
      </w:r>
      <w:proofErr w:type="spellEnd"/>
      <w:r w:rsidRPr="003C003B">
        <w:rPr>
          <w:color w:val="000000"/>
          <w:sz w:val="24"/>
          <w:szCs w:val="24"/>
          <w:shd w:val="clear" w:color="auto" w:fill="FFFFFF"/>
        </w:rPr>
        <w:t xml:space="preserve"> nås de maksimale serumkoncentrationer af den primære lagringsform efter cirka 7 dage. Herefter elimineres 25(OH)D</w:t>
      </w:r>
      <w:r w:rsidRPr="003C003B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3C003B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C003B">
        <w:rPr>
          <w:color w:val="000000"/>
          <w:sz w:val="24"/>
          <w:szCs w:val="24"/>
          <w:shd w:val="clear" w:color="auto" w:fill="FFFFFF"/>
        </w:rPr>
        <w:t xml:space="preserve">langsomt med en tilsyneladende halveringstid i serum på omkring 50 dage.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Cholecalciferol</w:t>
      </w:r>
      <w:proofErr w:type="spellEnd"/>
      <w:r w:rsidRPr="003C003B">
        <w:rPr>
          <w:color w:val="000000"/>
          <w:sz w:val="24"/>
          <w:szCs w:val="24"/>
          <w:shd w:val="clear" w:color="auto" w:fill="FFFFFF"/>
        </w:rPr>
        <w:t xml:space="preserve"> og dets metabolitter udskilles primært via galde og fæces.</w:t>
      </w:r>
    </w:p>
    <w:p w:rsidR="00253FBA" w:rsidRPr="003C003B" w:rsidRDefault="00253FBA" w:rsidP="00253FBA">
      <w:pPr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Elimination: Vitamin D udskilles primært via galde og fæces, mens en lille procentdel findes i urinen.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5.3</w:t>
      </w:r>
      <w:r w:rsidRPr="003C003B">
        <w:rPr>
          <w:b/>
          <w:sz w:val="24"/>
          <w:szCs w:val="24"/>
        </w:rPr>
        <w:tab/>
      </w:r>
      <w:r w:rsidR="0024129F">
        <w:rPr>
          <w:b/>
          <w:sz w:val="24"/>
          <w:szCs w:val="24"/>
        </w:rPr>
        <w:t>Non-</w:t>
      </w:r>
      <w:r w:rsidRPr="003C003B">
        <w:rPr>
          <w:b/>
          <w:sz w:val="24"/>
          <w:szCs w:val="24"/>
        </w:rPr>
        <w:t>kliniske sikkerhedsdata</w:t>
      </w: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r w:rsidRPr="003C003B">
        <w:rPr>
          <w:sz w:val="24"/>
          <w:szCs w:val="24"/>
        </w:rPr>
        <w:t xml:space="preserve">I dyrestudier blev der set </w:t>
      </w:r>
      <w:proofErr w:type="spellStart"/>
      <w:r w:rsidRPr="003C003B">
        <w:rPr>
          <w:sz w:val="24"/>
          <w:szCs w:val="24"/>
        </w:rPr>
        <w:t>teratogenicitet</w:t>
      </w:r>
      <w:proofErr w:type="spellEnd"/>
      <w:r w:rsidRPr="003C003B">
        <w:rPr>
          <w:sz w:val="24"/>
          <w:szCs w:val="24"/>
        </w:rPr>
        <w:t xml:space="preserve"> ved brug af doser, der var langt højere end de terapeutiske doser til mennesker. Der foreligger ikke andre relevante data, som ikke allerede er nævnt andetsteds i produktresumeet (se pkt. 4.6 og 4.9).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Default="00253FBA" w:rsidP="00253F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6.</w:t>
      </w:r>
      <w:r w:rsidRPr="003C003B">
        <w:rPr>
          <w:b/>
          <w:sz w:val="24"/>
          <w:szCs w:val="24"/>
        </w:rPr>
        <w:tab/>
        <w:t>FARMACEUTISKE OPLYSNINGER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6.1</w:t>
      </w:r>
      <w:r w:rsidRPr="003C003B">
        <w:rPr>
          <w:b/>
          <w:sz w:val="24"/>
          <w:szCs w:val="24"/>
        </w:rPr>
        <w:tab/>
        <w:t>Hjælpestoffer</w:t>
      </w:r>
    </w:p>
    <w:p w:rsidR="00253FBA" w:rsidRPr="000D4109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</w:p>
    <w:p w:rsidR="00253FBA" w:rsidRPr="000D4109" w:rsidRDefault="00253FBA" w:rsidP="00253FBA">
      <w:pPr>
        <w:tabs>
          <w:tab w:val="left" w:pos="1276"/>
        </w:tabs>
        <w:ind w:left="851"/>
        <w:rPr>
          <w:i/>
          <w:sz w:val="24"/>
          <w:szCs w:val="24"/>
          <w:lang w:eastAsia="da-DK"/>
        </w:rPr>
      </w:pPr>
      <w:r w:rsidRPr="000D4109">
        <w:rPr>
          <w:i/>
          <w:sz w:val="24"/>
          <w:szCs w:val="24"/>
        </w:rPr>
        <w:t>Kapselindhold:</w:t>
      </w:r>
    </w:p>
    <w:p w:rsidR="00253FBA" w:rsidRPr="00872BF5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  <w:r w:rsidRPr="000D4109">
        <w:rPr>
          <w:sz w:val="24"/>
          <w:szCs w:val="24"/>
        </w:rPr>
        <w:tab/>
      </w:r>
      <w:r w:rsidRPr="00872BF5">
        <w:rPr>
          <w:sz w:val="24"/>
          <w:szCs w:val="24"/>
        </w:rPr>
        <w:t>all-rac-</w:t>
      </w:r>
      <w:r w:rsidRPr="003C003B">
        <w:rPr>
          <w:sz w:val="24"/>
          <w:szCs w:val="24"/>
        </w:rPr>
        <w:t>α</w:t>
      </w:r>
      <w:r w:rsidRPr="00872BF5">
        <w:rPr>
          <w:sz w:val="24"/>
          <w:szCs w:val="24"/>
        </w:rPr>
        <w:t>-</w:t>
      </w:r>
      <w:proofErr w:type="spellStart"/>
      <w:r w:rsidRPr="00872BF5">
        <w:rPr>
          <w:sz w:val="24"/>
          <w:szCs w:val="24"/>
        </w:rPr>
        <w:t>tocopherol</w:t>
      </w:r>
      <w:proofErr w:type="spellEnd"/>
      <w:r w:rsidRPr="00872BF5">
        <w:rPr>
          <w:sz w:val="24"/>
          <w:szCs w:val="24"/>
        </w:rPr>
        <w:t xml:space="preserve"> (E307)</w:t>
      </w:r>
    </w:p>
    <w:p w:rsidR="00253FBA" w:rsidRPr="003C003B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  <w:r w:rsidRPr="00872BF5">
        <w:rPr>
          <w:sz w:val="24"/>
          <w:szCs w:val="24"/>
        </w:rPr>
        <w:tab/>
      </w:r>
      <w:proofErr w:type="spellStart"/>
      <w:r w:rsidRPr="003C003B">
        <w:rPr>
          <w:sz w:val="24"/>
          <w:szCs w:val="24"/>
        </w:rPr>
        <w:t>Mellemkædetriglycerider</w:t>
      </w:r>
      <w:proofErr w:type="spellEnd"/>
    </w:p>
    <w:p w:rsidR="00253FBA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</w:p>
    <w:p w:rsidR="00253FBA" w:rsidRPr="00800DFC" w:rsidRDefault="00253FBA" w:rsidP="00253FBA">
      <w:pPr>
        <w:tabs>
          <w:tab w:val="left" w:pos="1276"/>
        </w:tabs>
        <w:ind w:left="851"/>
        <w:rPr>
          <w:i/>
          <w:sz w:val="24"/>
          <w:szCs w:val="24"/>
        </w:rPr>
      </w:pPr>
      <w:r w:rsidRPr="00800DFC">
        <w:rPr>
          <w:i/>
          <w:sz w:val="24"/>
          <w:szCs w:val="24"/>
        </w:rPr>
        <w:t>Kapselskal</w:t>
      </w:r>
    </w:p>
    <w:p w:rsidR="00253FBA" w:rsidRPr="003C003B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 w:rsidRPr="003C003B">
        <w:rPr>
          <w:sz w:val="24"/>
          <w:szCs w:val="24"/>
        </w:rPr>
        <w:t>Glycerol</w:t>
      </w:r>
    </w:p>
    <w:p w:rsidR="00253FBA" w:rsidRPr="003C003B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 w:rsidRPr="003C003B">
        <w:rPr>
          <w:sz w:val="24"/>
          <w:szCs w:val="24"/>
        </w:rPr>
        <w:t>Gelatine</w:t>
      </w:r>
    </w:p>
    <w:p w:rsidR="00253FBA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3C003B">
        <w:rPr>
          <w:sz w:val="24"/>
          <w:szCs w:val="24"/>
        </w:rPr>
        <w:t>Mellemkædetriglycerider</w:t>
      </w:r>
      <w:proofErr w:type="spellEnd"/>
    </w:p>
    <w:p w:rsidR="00E85D45" w:rsidRPr="003C003B" w:rsidRDefault="00E85D45" w:rsidP="00253FBA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  <w:t>Renset vand</w:t>
      </w:r>
    </w:p>
    <w:p w:rsidR="00253FBA" w:rsidRPr="000D4109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</w:p>
    <w:p w:rsidR="00253FBA" w:rsidRPr="000D4109" w:rsidRDefault="00253FBA" w:rsidP="00253FBA">
      <w:pPr>
        <w:tabs>
          <w:tab w:val="left" w:pos="1276"/>
        </w:tabs>
        <w:ind w:left="851"/>
        <w:rPr>
          <w:i/>
          <w:sz w:val="24"/>
          <w:szCs w:val="24"/>
        </w:rPr>
      </w:pPr>
      <w:r w:rsidRPr="000D4109">
        <w:rPr>
          <w:i/>
          <w:sz w:val="24"/>
          <w:szCs w:val="24"/>
        </w:rPr>
        <w:t>Trykfarve</w:t>
      </w:r>
    </w:p>
    <w:p w:rsidR="00253FBA" w:rsidRPr="000D4109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  <w:r w:rsidRPr="000D4109">
        <w:rPr>
          <w:sz w:val="24"/>
          <w:szCs w:val="24"/>
        </w:rPr>
        <w:tab/>
      </w:r>
      <w:proofErr w:type="spellStart"/>
      <w:r w:rsidRPr="000D4109">
        <w:rPr>
          <w:sz w:val="24"/>
          <w:szCs w:val="24"/>
        </w:rPr>
        <w:t>Shellac</w:t>
      </w:r>
      <w:proofErr w:type="spellEnd"/>
      <w:r w:rsidRPr="000D4109">
        <w:rPr>
          <w:sz w:val="24"/>
          <w:szCs w:val="24"/>
        </w:rPr>
        <w:t xml:space="preserve"> (E904)</w:t>
      </w:r>
    </w:p>
    <w:p w:rsidR="00253FBA" w:rsidRPr="000D4109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  <w:r w:rsidRPr="000D4109">
        <w:rPr>
          <w:sz w:val="24"/>
          <w:szCs w:val="24"/>
        </w:rPr>
        <w:tab/>
        <w:t>Titandioxid (E 171)</w:t>
      </w:r>
    </w:p>
    <w:p w:rsidR="00253FBA" w:rsidRDefault="00253FBA" w:rsidP="00253FBA">
      <w:pPr>
        <w:tabs>
          <w:tab w:val="left" w:pos="1276"/>
        </w:tabs>
        <w:ind w:left="851"/>
        <w:rPr>
          <w:sz w:val="24"/>
          <w:szCs w:val="24"/>
        </w:rPr>
      </w:pPr>
      <w:r w:rsidRPr="000D4109">
        <w:rPr>
          <w:sz w:val="24"/>
          <w:szCs w:val="24"/>
        </w:rPr>
        <w:tab/>
      </w:r>
      <w:proofErr w:type="spellStart"/>
      <w:r w:rsidRPr="000D4109">
        <w:rPr>
          <w:sz w:val="24"/>
          <w:szCs w:val="24"/>
        </w:rPr>
        <w:t>Simethicon</w:t>
      </w:r>
      <w:proofErr w:type="spellEnd"/>
    </w:p>
    <w:p w:rsidR="00E85D45" w:rsidRPr="00E85D45" w:rsidRDefault="00E85D45" w:rsidP="00E85D45">
      <w:pPr>
        <w:tabs>
          <w:tab w:val="left" w:pos="1276"/>
        </w:tabs>
        <w:ind w:left="851"/>
        <w:rPr>
          <w:sz w:val="24"/>
          <w:szCs w:val="24"/>
        </w:rPr>
      </w:pPr>
      <w:r w:rsidRPr="00E85D45">
        <w:rPr>
          <w:sz w:val="24"/>
          <w:szCs w:val="24"/>
        </w:rPr>
        <w:t xml:space="preserve">       Ammoniumhydroxid (E527)</w:t>
      </w:r>
    </w:p>
    <w:p w:rsidR="00E85D45" w:rsidRPr="00E85D45" w:rsidRDefault="00E85D45" w:rsidP="00E85D45">
      <w:pPr>
        <w:tabs>
          <w:tab w:val="left" w:pos="1276"/>
        </w:tabs>
        <w:ind w:left="851"/>
        <w:rPr>
          <w:sz w:val="24"/>
          <w:szCs w:val="24"/>
        </w:rPr>
      </w:pPr>
      <w:r w:rsidRPr="00E85D45">
        <w:rPr>
          <w:sz w:val="24"/>
          <w:szCs w:val="24"/>
        </w:rPr>
        <w:t xml:space="preserve">       Propylenglycol (E1520)</w:t>
      </w:r>
    </w:p>
    <w:p w:rsidR="00E85D45" w:rsidRPr="00E85D45" w:rsidRDefault="00E85D45" w:rsidP="00E85D45">
      <w:pPr>
        <w:tabs>
          <w:tab w:val="left" w:pos="1276"/>
        </w:tabs>
        <w:ind w:left="851"/>
        <w:rPr>
          <w:sz w:val="24"/>
          <w:szCs w:val="24"/>
        </w:rPr>
      </w:pPr>
      <w:r w:rsidRPr="00E85D45">
        <w:rPr>
          <w:sz w:val="24"/>
          <w:szCs w:val="24"/>
        </w:rPr>
        <w:t xml:space="preserve">       n-butylalkohol</w:t>
      </w:r>
    </w:p>
    <w:p w:rsidR="00E85D45" w:rsidRPr="000D4109" w:rsidRDefault="00E85D45" w:rsidP="00E85D45">
      <w:pPr>
        <w:tabs>
          <w:tab w:val="left" w:pos="1276"/>
        </w:tabs>
        <w:ind w:left="851"/>
        <w:rPr>
          <w:sz w:val="24"/>
          <w:szCs w:val="24"/>
        </w:rPr>
      </w:pPr>
      <w:r w:rsidRPr="00E85D45">
        <w:rPr>
          <w:sz w:val="24"/>
          <w:szCs w:val="24"/>
        </w:rPr>
        <w:t xml:space="preserve">       </w:t>
      </w:r>
      <w:proofErr w:type="spellStart"/>
      <w:r w:rsidRPr="00D86A9B">
        <w:rPr>
          <w:sz w:val="24"/>
          <w:szCs w:val="24"/>
        </w:rPr>
        <w:t>Isopropylalkohol</w:t>
      </w:r>
      <w:proofErr w:type="spellEnd"/>
    </w:p>
    <w:p w:rsidR="00253FBA" w:rsidRPr="000D4109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6.2</w:t>
      </w:r>
      <w:r w:rsidRPr="003C003B">
        <w:rPr>
          <w:b/>
          <w:sz w:val="24"/>
          <w:szCs w:val="24"/>
        </w:rPr>
        <w:tab/>
        <w:t>Uforligeligheder</w:t>
      </w: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r w:rsidRPr="003C003B">
        <w:rPr>
          <w:sz w:val="24"/>
          <w:szCs w:val="24"/>
        </w:rPr>
        <w:t>Ikke relevant.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6.3</w:t>
      </w:r>
      <w:r w:rsidRPr="003C003B">
        <w:rPr>
          <w:b/>
          <w:sz w:val="24"/>
          <w:szCs w:val="24"/>
        </w:rPr>
        <w:tab/>
        <w:t>Opbevaringstid</w:t>
      </w:r>
    </w:p>
    <w:p w:rsidR="00253FBA" w:rsidRPr="003C003B" w:rsidRDefault="00253FBA" w:rsidP="00253FBA">
      <w:pPr>
        <w:ind w:left="851" w:hanging="851"/>
        <w:rPr>
          <w:sz w:val="24"/>
          <w:szCs w:val="24"/>
          <w:lang w:eastAsia="da-DK"/>
        </w:rPr>
      </w:pPr>
      <w:r w:rsidRPr="003C003B">
        <w:rPr>
          <w:sz w:val="24"/>
          <w:szCs w:val="24"/>
        </w:rPr>
        <w:tab/>
      </w:r>
      <w:r w:rsidR="00007ABA">
        <w:rPr>
          <w:sz w:val="24"/>
          <w:szCs w:val="24"/>
        </w:rPr>
        <w:t>30 måneder.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6.4</w:t>
      </w:r>
      <w:r w:rsidRPr="003C003B">
        <w:rPr>
          <w:b/>
          <w:sz w:val="24"/>
          <w:szCs w:val="24"/>
        </w:rPr>
        <w:tab/>
        <w:t>Særlige opbevaringsforhold</w:t>
      </w: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r w:rsidRPr="003C003B">
        <w:rPr>
          <w:sz w:val="24"/>
          <w:szCs w:val="24"/>
        </w:rPr>
        <w:t>Må ikke opb</w:t>
      </w:r>
      <w:r>
        <w:rPr>
          <w:sz w:val="24"/>
          <w:szCs w:val="24"/>
        </w:rPr>
        <w:t xml:space="preserve">evares ved temperaturer over </w:t>
      </w:r>
      <w:r w:rsidR="00007ABA">
        <w:rPr>
          <w:sz w:val="24"/>
          <w:szCs w:val="24"/>
        </w:rPr>
        <w:t>25</w:t>
      </w:r>
      <w:r w:rsidRPr="003C003B">
        <w:rPr>
          <w:sz w:val="24"/>
          <w:szCs w:val="24"/>
        </w:rPr>
        <w:t>°C.</w:t>
      </w:r>
    </w:p>
    <w:p w:rsidR="00253FBA" w:rsidRPr="003C003B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Opbevar blisterkort i den ydre æske for at beskytte mod lys.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6.5</w:t>
      </w:r>
      <w:r w:rsidRPr="003C003B">
        <w:rPr>
          <w:b/>
          <w:sz w:val="24"/>
          <w:szCs w:val="24"/>
        </w:rPr>
        <w:tab/>
        <w:t>Emballagetype og pakningsstørrelser</w:t>
      </w:r>
    </w:p>
    <w:p w:rsidR="00253FBA" w:rsidRDefault="00253FBA" w:rsidP="00253FBA">
      <w:pPr>
        <w:ind w:left="851"/>
        <w:rPr>
          <w:sz w:val="24"/>
          <w:szCs w:val="24"/>
        </w:rPr>
      </w:pPr>
      <w:r w:rsidRPr="003C003B">
        <w:rPr>
          <w:sz w:val="24"/>
          <w:szCs w:val="24"/>
        </w:rPr>
        <w:t>PVDC/aluminiumfolieblister i en kartonæske.</w:t>
      </w:r>
    </w:p>
    <w:p w:rsidR="00253FBA" w:rsidRDefault="00253FBA" w:rsidP="00253FBA">
      <w:pPr>
        <w:ind w:left="851"/>
        <w:rPr>
          <w:sz w:val="24"/>
          <w:szCs w:val="24"/>
        </w:rPr>
      </w:pPr>
      <w:r>
        <w:rPr>
          <w:sz w:val="24"/>
          <w:szCs w:val="24"/>
        </w:rPr>
        <w:t>Pakningsstørrelser: 28 eller 90 kapsler.</w:t>
      </w:r>
    </w:p>
    <w:p w:rsidR="00253FBA" w:rsidRDefault="00253FBA" w:rsidP="00253FBA">
      <w:pPr>
        <w:ind w:left="851"/>
        <w:rPr>
          <w:sz w:val="24"/>
          <w:szCs w:val="24"/>
        </w:rPr>
      </w:pP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Ikke alle pakningsstørrelser er nødvendigvis markedsført.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6.6</w:t>
      </w:r>
      <w:r w:rsidRPr="003C003B">
        <w:rPr>
          <w:b/>
          <w:sz w:val="24"/>
          <w:szCs w:val="24"/>
        </w:rPr>
        <w:tab/>
        <w:t xml:space="preserve">Regler for </w:t>
      </w:r>
      <w:r w:rsidR="0024129F">
        <w:rPr>
          <w:b/>
          <w:sz w:val="24"/>
          <w:szCs w:val="24"/>
        </w:rPr>
        <w:t>bortskaffelse</w:t>
      </w:r>
      <w:r w:rsidRPr="003C003B">
        <w:rPr>
          <w:b/>
          <w:sz w:val="24"/>
          <w:szCs w:val="24"/>
        </w:rPr>
        <w:t xml:space="preserve"> og anden håndtering</w:t>
      </w:r>
    </w:p>
    <w:p w:rsidR="00253FBA" w:rsidRPr="003C003B" w:rsidRDefault="00253FBA" w:rsidP="00253FBA">
      <w:pPr>
        <w:ind w:left="851"/>
        <w:rPr>
          <w:sz w:val="24"/>
          <w:szCs w:val="24"/>
          <w:lang w:eastAsia="da-DK"/>
        </w:rPr>
      </w:pPr>
      <w:r w:rsidRPr="003C003B">
        <w:rPr>
          <w:sz w:val="24"/>
          <w:szCs w:val="24"/>
        </w:rPr>
        <w:t>Ingen særlige forholdsregler.</w:t>
      </w:r>
    </w:p>
    <w:p w:rsidR="00253FBA" w:rsidRPr="003C003B" w:rsidRDefault="00253FBA" w:rsidP="00253FBA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7.</w:t>
      </w:r>
      <w:r w:rsidRPr="003C003B">
        <w:rPr>
          <w:b/>
          <w:sz w:val="24"/>
          <w:szCs w:val="24"/>
        </w:rPr>
        <w:tab/>
        <w:t>INDEHAVER AF MARKEDSFØRINGSTILLADELSEN</w:t>
      </w:r>
    </w:p>
    <w:p w:rsidR="00253FBA" w:rsidRPr="000D4109" w:rsidRDefault="00253FBA" w:rsidP="00253FBA">
      <w:pPr>
        <w:ind w:left="851"/>
        <w:rPr>
          <w:sz w:val="24"/>
          <w:szCs w:val="24"/>
          <w:lang w:val="en-US" w:eastAsia="da-DK"/>
        </w:rPr>
      </w:pPr>
      <w:proofErr w:type="spellStart"/>
      <w:r w:rsidRPr="000D4109">
        <w:rPr>
          <w:sz w:val="24"/>
          <w:szCs w:val="24"/>
          <w:lang w:val="en-US"/>
        </w:rPr>
        <w:t>Consilient</w:t>
      </w:r>
      <w:proofErr w:type="spellEnd"/>
      <w:r w:rsidRPr="000D4109">
        <w:rPr>
          <w:sz w:val="24"/>
          <w:szCs w:val="24"/>
          <w:lang w:val="en-US"/>
        </w:rPr>
        <w:t xml:space="preserve"> Health Limited</w:t>
      </w:r>
    </w:p>
    <w:p w:rsidR="0024129F" w:rsidRPr="0024129F" w:rsidRDefault="0024129F" w:rsidP="0024129F">
      <w:pPr>
        <w:ind w:left="851"/>
        <w:rPr>
          <w:sz w:val="24"/>
          <w:szCs w:val="24"/>
          <w:lang w:val="en-US"/>
        </w:rPr>
      </w:pPr>
      <w:r w:rsidRPr="0024129F">
        <w:rPr>
          <w:sz w:val="24"/>
          <w:szCs w:val="24"/>
          <w:lang w:val="en-US"/>
        </w:rPr>
        <w:t xml:space="preserve">Floor 3, Block 3, Miesian Plaza, </w:t>
      </w:r>
    </w:p>
    <w:p w:rsidR="0024129F" w:rsidRPr="001444AD" w:rsidRDefault="0024129F" w:rsidP="0024129F">
      <w:pPr>
        <w:ind w:left="851"/>
        <w:rPr>
          <w:sz w:val="24"/>
          <w:szCs w:val="24"/>
        </w:rPr>
      </w:pPr>
      <w:r w:rsidRPr="001444AD">
        <w:rPr>
          <w:sz w:val="24"/>
          <w:szCs w:val="24"/>
        </w:rPr>
        <w:t>Dublin 2, D02 Y754</w:t>
      </w:r>
    </w:p>
    <w:p w:rsidR="00253FBA" w:rsidRPr="000D4109" w:rsidRDefault="00253FBA" w:rsidP="0024129F">
      <w:pPr>
        <w:ind w:left="851"/>
        <w:rPr>
          <w:sz w:val="24"/>
          <w:szCs w:val="24"/>
        </w:rPr>
      </w:pPr>
      <w:r w:rsidRPr="000D4109">
        <w:rPr>
          <w:sz w:val="24"/>
          <w:szCs w:val="24"/>
        </w:rPr>
        <w:t>Irland</w:t>
      </w:r>
    </w:p>
    <w:p w:rsidR="00253FBA" w:rsidRPr="000D4109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8.</w:t>
      </w:r>
      <w:r w:rsidRPr="003C003B">
        <w:rPr>
          <w:b/>
          <w:sz w:val="24"/>
          <w:szCs w:val="24"/>
        </w:rPr>
        <w:tab/>
        <w:t>MARKEDSFØRINGSTILLADELSESNUMMER (</w:t>
      </w:r>
      <w:r w:rsidR="0024129F">
        <w:rPr>
          <w:b/>
          <w:sz w:val="24"/>
          <w:szCs w:val="24"/>
        </w:rPr>
        <w:t>-</w:t>
      </w:r>
      <w:r w:rsidRPr="003C003B">
        <w:rPr>
          <w:b/>
          <w:sz w:val="24"/>
          <w:szCs w:val="24"/>
        </w:rPr>
        <w:t>NUMRE)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C003B">
        <w:rPr>
          <w:sz w:val="24"/>
          <w:szCs w:val="24"/>
        </w:rPr>
        <w:t>55668</w:t>
      </w:r>
    </w:p>
    <w:p w:rsidR="00253FBA" w:rsidRPr="003C003B" w:rsidRDefault="00253FBA" w:rsidP="00253FBA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9.</w:t>
      </w:r>
      <w:r w:rsidRPr="003C003B">
        <w:rPr>
          <w:b/>
          <w:sz w:val="24"/>
          <w:szCs w:val="24"/>
        </w:rPr>
        <w:tab/>
        <w:t>DATO FOR FØRSTE MARKEDSFØRINGSTILLADELSE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C003B">
        <w:rPr>
          <w:sz w:val="24"/>
          <w:szCs w:val="24"/>
        </w:rPr>
        <w:t>12. maj 2016</w:t>
      </w:r>
    </w:p>
    <w:p w:rsidR="00253FBA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67FDC" w:rsidRPr="003C003B" w:rsidRDefault="00767FDC" w:rsidP="00253FBA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53FBA" w:rsidRPr="003C003B" w:rsidRDefault="00253FBA" w:rsidP="00253FB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003B">
        <w:rPr>
          <w:b/>
          <w:sz w:val="24"/>
          <w:szCs w:val="24"/>
        </w:rPr>
        <w:t>10.</w:t>
      </w:r>
      <w:r w:rsidRPr="003C003B">
        <w:rPr>
          <w:b/>
          <w:sz w:val="24"/>
          <w:szCs w:val="24"/>
        </w:rPr>
        <w:tab/>
        <w:t>DATO FOR ÆNDRING AF TEKSTEN</w:t>
      </w:r>
    </w:p>
    <w:p w:rsidR="00253FBA" w:rsidRPr="003C003B" w:rsidRDefault="00253FBA" w:rsidP="00253FBA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E85D45">
        <w:rPr>
          <w:sz w:val="24"/>
          <w:szCs w:val="24"/>
        </w:rPr>
        <w:t>2</w:t>
      </w:r>
      <w:bookmarkStart w:id="0" w:name="_GoBack"/>
      <w:bookmarkEnd w:id="0"/>
      <w:r w:rsidR="0024129F">
        <w:rPr>
          <w:sz w:val="24"/>
          <w:szCs w:val="24"/>
        </w:rPr>
        <w:t xml:space="preserve">. </w:t>
      </w:r>
      <w:r w:rsidR="00E85D45">
        <w:rPr>
          <w:sz w:val="24"/>
          <w:szCs w:val="24"/>
        </w:rPr>
        <w:t>april</w:t>
      </w:r>
      <w:r w:rsidR="0024129F">
        <w:rPr>
          <w:sz w:val="24"/>
          <w:szCs w:val="24"/>
        </w:rPr>
        <w:t xml:space="preserve"> 2024</w:t>
      </w:r>
    </w:p>
    <w:p w:rsidR="00253FBA" w:rsidRPr="00D22459" w:rsidRDefault="00253FBA" w:rsidP="00253FBA"/>
    <w:p w:rsidR="00253FBA" w:rsidRPr="0078374F" w:rsidRDefault="00253FBA" w:rsidP="00253FBA"/>
    <w:p w:rsidR="009260DE" w:rsidRPr="00253FBA" w:rsidRDefault="009260DE" w:rsidP="00253FBA"/>
    <w:sectPr w:rsidR="009260DE" w:rsidRPr="00253FB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FBA" w:rsidRDefault="00253FBA">
      <w:r>
        <w:separator/>
      </w:r>
    </w:p>
  </w:endnote>
  <w:endnote w:type="continuationSeparator" w:id="0">
    <w:p w:rsidR="00253FBA" w:rsidRDefault="0025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01494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01494A">
      <w:rPr>
        <w:i/>
        <w:sz w:val="18"/>
        <w:szCs w:val="18"/>
      </w:rPr>
      <w:t>Benferol</w:t>
    </w:r>
    <w:proofErr w:type="spellEnd"/>
    <w:r w:rsidRPr="0001494A">
      <w:rPr>
        <w:i/>
        <w:sz w:val="18"/>
        <w:szCs w:val="18"/>
      </w:rPr>
      <w:t>, bløde kapsler 10 mikrogram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FBA" w:rsidRDefault="00253FBA">
      <w:r>
        <w:separator/>
      </w:r>
    </w:p>
  </w:footnote>
  <w:footnote w:type="continuationSeparator" w:id="0">
    <w:p w:rsidR="00253FBA" w:rsidRDefault="0025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B01013E"/>
    <w:multiLevelType w:val="hybridMultilevel"/>
    <w:tmpl w:val="9EB4E99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BA"/>
    <w:rsid w:val="00007ABA"/>
    <w:rsid w:val="0001494A"/>
    <w:rsid w:val="000259B9"/>
    <w:rsid w:val="00041491"/>
    <w:rsid w:val="00050D16"/>
    <w:rsid w:val="00074F2A"/>
    <w:rsid w:val="000A1CA8"/>
    <w:rsid w:val="000A466B"/>
    <w:rsid w:val="000B058C"/>
    <w:rsid w:val="000E4EE6"/>
    <w:rsid w:val="001444AD"/>
    <w:rsid w:val="001454E2"/>
    <w:rsid w:val="001973F6"/>
    <w:rsid w:val="00206CE8"/>
    <w:rsid w:val="0021526C"/>
    <w:rsid w:val="0024129F"/>
    <w:rsid w:val="00253FBA"/>
    <w:rsid w:val="00283A2B"/>
    <w:rsid w:val="002B30AD"/>
    <w:rsid w:val="002C2C01"/>
    <w:rsid w:val="003A29AE"/>
    <w:rsid w:val="003A32D7"/>
    <w:rsid w:val="003B4074"/>
    <w:rsid w:val="003C769A"/>
    <w:rsid w:val="003F1838"/>
    <w:rsid w:val="003F28FE"/>
    <w:rsid w:val="0045746C"/>
    <w:rsid w:val="0047475F"/>
    <w:rsid w:val="0049104B"/>
    <w:rsid w:val="004D6A06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67FDC"/>
    <w:rsid w:val="0078011A"/>
    <w:rsid w:val="00782AF4"/>
    <w:rsid w:val="007854F3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A4061F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5D45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FB8A4"/>
  <w15:chartTrackingRefBased/>
  <w15:docId w15:val="{F40BE734-6320-44FC-8E1E-B07CA964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apple-converted-space">
    <w:name w:val="apple-converted-space"/>
    <w:basedOn w:val="Standardskrifttypeiafsnit"/>
    <w:rsid w:val="00253FBA"/>
    <w:rPr>
      <w:rFonts w:ascii="Times New Roman" w:hAnsi="Times New Roman" w:cs="Times New Roman" w:hint="default"/>
    </w:rPr>
  </w:style>
  <w:style w:type="character" w:styleId="Hyperlink">
    <w:name w:val="Hyperlink"/>
    <w:basedOn w:val="Standardskrifttypeiafsnit"/>
    <w:uiPriority w:val="99"/>
    <w:semiHidden/>
    <w:unhideWhenUsed/>
    <w:rsid w:val="00253FBA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5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9559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2024021342 pkt. 6.1</dc:description>
  <cp:lastModifiedBy>Helle Søndersted</cp:lastModifiedBy>
  <cp:revision>2</cp:revision>
  <cp:lastPrinted>2012-08-22T08:53:00Z</cp:lastPrinted>
  <dcterms:created xsi:type="dcterms:W3CDTF">2024-04-02T06:10:00Z</dcterms:created>
  <dcterms:modified xsi:type="dcterms:W3CDTF">2024-04-02T06:10:00Z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