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E8A0" w14:textId="6C3DE07A" w:rsidR="009260DE" w:rsidRPr="002144F3" w:rsidRDefault="0021526C" w:rsidP="002144F3">
      <w:pPr>
        <w:rPr>
          <w:sz w:val="24"/>
          <w:szCs w:val="24"/>
        </w:rPr>
      </w:pPr>
      <w:r w:rsidRPr="002144F3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5D479A9E" wp14:editId="1F03965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2144F3">
        <w:rPr>
          <w:sz w:val="24"/>
          <w:szCs w:val="24"/>
        </w:rPr>
        <w:br w:type="textWrapping" w:clear="all"/>
      </w:r>
    </w:p>
    <w:p w14:paraId="5BA2E424" w14:textId="159442FA" w:rsidR="009260DE" w:rsidRPr="002144F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2144F3">
        <w:rPr>
          <w:b w:val="0"/>
          <w:szCs w:val="24"/>
          <w:lang w:eastAsia="en-US"/>
        </w:rPr>
        <w:tab/>
      </w:r>
      <w:r w:rsidR="00A26A90">
        <w:rPr>
          <w:szCs w:val="24"/>
        </w:rPr>
        <w:t>12</w:t>
      </w:r>
      <w:r w:rsidR="0074628A">
        <w:rPr>
          <w:szCs w:val="24"/>
        </w:rPr>
        <w:t xml:space="preserve">. </w:t>
      </w:r>
      <w:r w:rsidR="00D16EE1">
        <w:rPr>
          <w:szCs w:val="24"/>
        </w:rPr>
        <w:t>januar</w:t>
      </w:r>
      <w:r w:rsidR="0074628A">
        <w:rPr>
          <w:szCs w:val="24"/>
        </w:rPr>
        <w:t xml:space="preserve"> 202</w:t>
      </w:r>
      <w:r w:rsidR="00D16EE1">
        <w:rPr>
          <w:szCs w:val="24"/>
        </w:rPr>
        <w:t>4</w:t>
      </w:r>
    </w:p>
    <w:p w14:paraId="79E9B443" w14:textId="7C0B9DE0" w:rsidR="009260DE" w:rsidRPr="002144F3" w:rsidRDefault="009260DE" w:rsidP="009260DE">
      <w:pPr>
        <w:pStyle w:val="Titel"/>
        <w:jc w:val="left"/>
        <w:rPr>
          <w:b w:val="0"/>
          <w:szCs w:val="24"/>
        </w:rPr>
      </w:pPr>
    </w:p>
    <w:p w14:paraId="15B5585E" w14:textId="77777777" w:rsidR="009260DE" w:rsidRPr="002144F3" w:rsidRDefault="009260DE" w:rsidP="009260DE">
      <w:pPr>
        <w:pStyle w:val="Titel"/>
        <w:jc w:val="left"/>
        <w:rPr>
          <w:b w:val="0"/>
          <w:szCs w:val="24"/>
        </w:rPr>
      </w:pPr>
    </w:p>
    <w:p w14:paraId="690BC285" w14:textId="77777777" w:rsidR="009260DE" w:rsidRPr="002144F3" w:rsidRDefault="009260DE" w:rsidP="009260DE">
      <w:pPr>
        <w:jc w:val="center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PRODUKTRESUMÉ</w:t>
      </w:r>
    </w:p>
    <w:p w14:paraId="03326740" w14:textId="77777777" w:rsidR="009260DE" w:rsidRPr="002144F3" w:rsidRDefault="009260DE" w:rsidP="009260DE">
      <w:pPr>
        <w:jc w:val="center"/>
        <w:rPr>
          <w:b/>
          <w:sz w:val="24"/>
          <w:szCs w:val="24"/>
        </w:rPr>
      </w:pPr>
    </w:p>
    <w:p w14:paraId="3FAFAA30" w14:textId="77777777" w:rsidR="009260DE" w:rsidRPr="002144F3" w:rsidRDefault="009260DE" w:rsidP="009260D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144F3">
        <w:rPr>
          <w:b/>
          <w:sz w:val="24"/>
          <w:szCs w:val="24"/>
        </w:rPr>
        <w:t>for</w:t>
      </w:r>
    </w:p>
    <w:p w14:paraId="5120C629" w14:textId="77777777" w:rsidR="000B058C" w:rsidRPr="002144F3" w:rsidRDefault="000B058C" w:rsidP="009260DE">
      <w:pPr>
        <w:jc w:val="center"/>
        <w:rPr>
          <w:b/>
          <w:sz w:val="24"/>
          <w:szCs w:val="24"/>
        </w:rPr>
      </w:pPr>
    </w:p>
    <w:p w14:paraId="715EF1C0" w14:textId="543CAD18" w:rsidR="009260DE" w:rsidRPr="002144F3" w:rsidRDefault="004B712F" w:rsidP="009260DE">
      <w:pPr>
        <w:jc w:val="center"/>
        <w:rPr>
          <w:b/>
          <w:sz w:val="24"/>
          <w:szCs w:val="24"/>
        </w:rPr>
      </w:pPr>
      <w:proofErr w:type="spellStart"/>
      <w:r w:rsidRPr="002144F3">
        <w:rPr>
          <w:b/>
          <w:sz w:val="24"/>
          <w:szCs w:val="24"/>
        </w:rPr>
        <w:t>Benysine</w:t>
      </w:r>
      <w:proofErr w:type="spellEnd"/>
      <w:r w:rsidRPr="002144F3">
        <w:rPr>
          <w:b/>
          <w:sz w:val="24"/>
          <w:szCs w:val="24"/>
        </w:rPr>
        <w:t xml:space="preserve">, </w:t>
      </w:r>
      <w:proofErr w:type="spellStart"/>
      <w:r w:rsidRPr="002144F3">
        <w:rPr>
          <w:b/>
          <w:sz w:val="24"/>
          <w:szCs w:val="24"/>
        </w:rPr>
        <w:t>syrup</w:t>
      </w:r>
      <w:proofErr w:type="spellEnd"/>
    </w:p>
    <w:p w14:paraId="626D514D" w14:textId="77777777" w:rsidR="009260DE" w:rsidRPr="002144F3" w:rsidRDefault="009260DE" w:rsidP="009260DE">
      <w:pPr>
        <w:jc w:val="both"/>
        <w:rPr>
          <w:sz w:val="24"/>
          <w:szCs w:val="24"/>
        </w:rPr>
      </w:pPr>
    </w:p>
    <w:p w14:paraId="16D4EF3C" w14:textId="77777777" w:rsidR="009260DE" w:rsidRPr="002144F3" w:rsidRDefault="009260DE" w:rsidP="009260DE">
      <w:pPr>
        <w:jc w:val="both"/>
        <w:rPr>
          <w:sz w:val="24"/>
          <w:szCs w:val="24"/>
        </w:rPr>
      </w:pPr>
    </w:p>
    <w:p w14:paraId="01EA98BB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0.</w:t>
      </w:r>
      <w:r w:rsidRPr="002144F3">
        <w:rPr>
          <w:b/>
          <w:sz w:val="24"/>
          <w:szCs w:val="24"/>
        </w:rPr>
        <w:tab/>
        <w:t>D.SP.NR.</w:t>
      </w:r>
    </w:p>
    <w:p w14:paraId="1FF1FFCC" w14:textId="55A27F9A" w:rsidR="009260DE" w:rsidRPr="002144F3" w:rsidRDefault="00D71F34" w:rsidP="009260DE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32265</w:t>
      </w:r>
    </w:p>
    <w:p w14:paraId="21EF01FE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2C1F53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1.</w:t>
      </w:r>
      <w:r w:rsidRPr="002144F3">
        <w:rPr>
          <w:b/>
          <w:sz w:val="24"/>
          <w:szCs w:val="24"/>
        </w:rPr>
        <w:tab/>
        <w:t>LÆGEMIDLETS NAVN</w:t>
      </w:r>
    </w:p>
    <w:p w14:paraId="5CBA99E1" w14:textId="4D5AAC62" w:rsidR="009260DE" w:rsidRPr="002144F3" w:rsidRDefault="00D71F34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144F3">
        <w:rPr>
          <w:sz w:val="24"/>
          <w:szCs w:val="24"/>
        </w:rPr>
        <w:t>Benysine</w:t>
      </w:r>
      <w:proofErr w:type="spellEnd"/>
    </w:p>
    <w:p w14:paraId="7DAE27B3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35EB80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2.</w:t>
      </w:r>
      <w:r w:rsidRPr="002144F3">
        <w:rPr>
          <w:b/>
          <w:sz w:val="24"/>
          <w:szCs w:val="24"/>
        </w:rPr>
        <w:tab/>
        <w:t>KVALITATIV OG KVANTITATIV SAMMENSÆTNING</w:t>
      </w:r>
    </w:p>
    <w:p w14:paraId="54B36275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 xml:space="preserve">Dette produkt indeholder 20 mg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 xml:space="preserve"> i hver ml.</w:t>
      </w:r>
    </w:p>
    <w:p w14:paraId="00D50ACF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080C54AF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Hjælpestoffer, som behandleren skal være opmærksom på:</w:t>
      </w:r>
    </w:p>
    <w:p w14:paraId="5C197ADE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588B6BF4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2144F3">
        <w:rPr>
          <w:sz w:val="24"/>
          <w:szCs w:val="24"/>
          <w:lang w:val="en-US"/>
        </w:rPr>
        <w:t>Ethanol</w:t>
      </w:r>
      <w:r w:rsidRPr="002144F3">
        <w:rPr>
          <w:sz w:val="24"/>
          <w:szCs w:val="24"/>
          <w:lang w:val="en-US"/>
        </w:rPr>
        <w:tab/>
      </w:r>
      <w:r w:rsidRPr="002144F3">
        <w:rPr>
          <w:sz w:val="24"/>
          <w:szCs w:val="24"/>
          <w:lang w:val="en-US"/>
        </w:rPr>
        <w:tab/>
        <w:t>0,1 ml/ml</w:t>
      </w:r>
    </w:p>
    <w:p w14:paraId="77B954F1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2144F3">
        <w:rPr>
          <w:sz w:val="24"/>
          <w:szCs w:val="24"/>
          <w:lang w:val="en-US"/>
        </w:rPr>
        <w:t>Glucose</w:t>
      </w:r>
      <w:r w:rsidRPr="002144F3">
        <w:rPr>
          <w:sz w:val="24"/>
          <w:szCs w:val="24"/>
          <w:lang w:val="en-US"/>
        </w:rPr>
        <w:tab/>
      </w:r>
      <w:r w:rsidRPr="002144F3">
        <w:rPr>
          <w:sz w:val="24"/>
          <w:szCs w:val="24"/>
          <w:lang w:val="en-US"/>
        </w:rPr>
        <w:tab/>
        <w:t>698,4 mg/ml</w:t>
      </w:r>
    </w:p>
    <w:p w14:paraId="1BFC9192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2144F3">
        <w:rPr>
          <w:sz w:val="24"/>
          <w:szCs w:val="24"/>
          <w:lang w:val="en-US"/>
        </w:rPr>
        <w:t>Saccharose</w:t>
      </w:r>
      <w:r w:rsidRPr="002144F3">
        <w:rPr>
          <w:sz w:val="24"/>
          <w:szCs w:val="24"/>
          <w:lang w:val="en-US"/>
        </w:rPr>
        <w:tab/>
      </w:r>
      <w:r w:rsidRPr="002144F3">
        <w:rPr>
          <w:sz w:val="24"/>
          <w:szCs w:val="24"/>
          <w:lang w:val="en-US"/>
        </w:rPr>
        <w:tab/>
        <w:t>199,8 mg/ml</w:t>
      </w:r>
    </w:p>
    <w:p w14:paraId="436956CB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2144F3">
        <w:rPr>
          <w:sz w:val="24"/>
          <w:szCs w:val="24"/>
          <w:lang w:val="en-US"/>
        </w:rPr>
        <w:t>Natriumcitrat</w:t>
      </w:r>
      <w:proofErr w:type="spellEnd"/>
      <w:r w:rsidRPr="002144F3">
        <w:rPr>
          <w:sz w:val="24"/>
          <w:szCs w:val="24"/>
          <w:lang w:val="en-US"/>
        </w:rPr>
        <w:tab/>
      </w:r>
      <w:r w:rsidRPr="002144F3">
        <w:rPr>
          <w:sz w:val="24"/>
          <w:szCs w:val="24"/>
          <w:lang w:val="en-US"/>
        </w:rPr>
        <w:tab/>
        <w:t>2,1 mg/ml</w:t>
      </w:r>
    </w:p>
    <w:p w14:paraId="3B3391E6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2144F3">
        <w:rPr>
          <w:sz w:val="24"/>
          <w:szCs w:val="24"/>
          <w:lang w:val="en-US"/>
        </w:rPr>
        <w:t>Natriumbenzoat</w:t>
      </w:r>
      <w:proofErr w:type="spellEnd"/>
      <w:r w:rsidRPr="002144F3">
        <w:rPr>
          <w:sz w:val="24"/>
          <w:szCs w:val="24"/>
          <w:lang w:val="en-US"/>
        </w:rPr>
        <w:t xml:space="preserve"> (E211)</w:t>
      </w:r>
      <w:r w:rsidRPr="002144F3">
        <w:rPr>
          <w:sz w:val="24"/>
          <w:szCs w:val="24"/>
          <w:lang w:val="en-US"/>
        </w:rPr>
        <w:tab/>
        <w:t>2,0 mg/ml</w:t>
      </w:r>
    </w:p>
    <w:p w14:paraId="4470EA76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2144F3">
        <w:rPr>
          <w:sz w:val="24"/>
          <w:szCs w:val="24"/>
          <w:lang w:val="en-US"/>
        </w:rPr>
        <w:t>Propylenglycol</w:t>
      </w:r>
      <w:proofErr w:type="spellEnd"/>
      <w:r w:rsidRPr="002144F3">
        <w:rPr>
          <w:sz w:val="24"/>
          <w:szCs w:val="24"/>
          <w:lang w:val="en-US"/>
        </w:rPr>
        <w:t xml:space="preserve"> (E1520)</w:t>
      </w:r>
      <w:r w:rsidRPr="002144F3">
        <w:rPr>
          <w:sz w:val="24"/>
          <w:szCs w:val="24"/>
          <w:lang w:val="en-US"/>
        </w:rPr>
        <w:tab/>
        <w:t>5,8 mg/ml</w:t>
      </w:r>
    </w:p>
    <w:p w14:paraId="3ADF9CC4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2F8DD442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Alle hjælpestoffer er anført under pkt. 6.1.</w:t>
      </w:r>
    </w:p>
    <w:p w14:paraId="38984F83" w14:textId="38A95F22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3A61F4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3.</w:t>
      </w:r>
      <w:r w:rsidRPr="002144F3">
        <w:rPr>
          <w:b/>
          <w:sz w:val="24"/>
          <w:szCs w:val="24"/>
        </w:rPr>
        <w:tab/>
        <w:t>LÆGEMIDDELFORM</w:t>
      </w:r>
    </w:p>
    <w:p w14:paraId="6E8A5043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2144F3">
        <w:rPr>
          <w:sz w:val="24"/>
          <w:szCs w:val="24"/>
        </w:rPr>
        <w:t>Syrup</w:t>
      </w:r>
      <w:proofErr w:type="spellEnd"/>
    </w:p>
    <w:p w14:paraId="4B361094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7426C984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Klar gulbrun </w:t>
      </w:r>
      <w:proofErr w:type="spellStart"/>
      <w:r w:rsidRPr="002144F3">
        <w:rPr>
          <w:sz w:val="24"/>
          <w:szCs w:val="24"/>
        </w:rPr>
        <w:t>syrup</w:t>
      </w:r>
      <w:proofErr w:type="spellEnd"/>
      <w:r w:rsidRPr="002144F3">
        <w:rPr>
          <w:sz w:val="24"/>
          <w:szCs w:val="24"/>
        </w:rPr>
        <w:t xml:space="preserve"> med en karakteristisk smag af honning og citron.</w:t>
      </w:r>
    </w:p>
    <w:p w14:paraId="28E92663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72684D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181EA0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4.</w:t>
      </w:r>
      <w:r w:rsidRPr="002144F3">
        <w:rPr>
          <w:b/>
          <w:sz w:val="24"/>
          <w:szCs w:val="24"/>
        </w:rPr>
        <w:tab/>
        <w:t>KLINISKE OPLYSNINGER</w:t>
      </w:r>
    </w:p>
    <w:p w14:paraId="635BB2FE" w14:textId="77777777" w:rsidR="009260DE" w:rsidRPr="002144F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FEEB66E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2144F3">
        <w:rPr>
          <w:b/>
          <w:sz w:val="24"/>
          <w:szCs w:val="24"/>
        </w:rPr>
        <w:t>4.1</w:t>
      </w:r>
      <w:r w:rsidRPr="002144F3">
        <w:rPr>
          <w:b/>
          <w:sz w:val="24"/>
          <w:szCs w:val="24"/>
        </w:rPr>
        <w:tab/>
        <w:t>Terapeutiske indikationer</w:t>
      </w:r>
    </w:p>
    <w:p w14:paraId="41064E3B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2144F3">
        <w:rPr>
          <w:sz w:val="24"/>
          <w:szCs w:val="24"/>
        </w:rPr>
        <w:t>Benysine</w:t>
      </w:r>
      <w:proofErr w:type="spellEnd"/>
      <w:r w:rsidRPr="002144F3">
        <w:rPr>
          <w:sz w:val="24"/>
          <w:szCs w:val="24"/>
        </w:rPr>
        <w:t xml:space="preserve"> er indiceret til lindring af symptomer i forbindelse med produktiv hoste hos voksne og unge i alderen 12 år og derover.</w:t>
      </w:r>
    </w:p>
    <w:p w14:paraId="181CB292" w14:textId="46A4E14E" w:rsidR="00692C40" w:rsidRDefault="00692C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644AC6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FB4509" w14:textId="539D0084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4.2</w:t>
      </w:r>
      <w:r w:rsidRPr="002144F3">
        <w:rPr>
          <w:b/>
          <w:sz w:val="24"/>
          <w:szCs w:val="24"/>
        </w:rPr>
        <w:tab/>
        <w:t xml:space="preserve">Dosering og </w:t>
      </w:r>
      <w:r w:rsidR="00EE19C9">
        <w:rPr>
          <w:b/>
          <w:sz w:val="24"/>
          <w:szCs w:val="24"/>
        </w:rPr>
        <w:t>administration</w:t>
      </w:r>
    </w:p>
    <w:p w14:paraId="183244A1" w14:textId="77777777" w:rsidR="002144F3" w:rsidRDefault="002144F3" w:rsidP="00D71F3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3022539" w14:textId="6D2AA614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2144F3">
        <w:rPr>
          <w:sz w:val="24"/>
          <w:szCs w:val="24"/>
          <w:u w:val="single"/>
        </w:rPr>
        <w:t>Dosering</w:t>
      </w:r>
    </w:p>
    <w:p w14:paraId="745AC4E9" w14:textId="77777777" w:rsidR="00D71F34" w:rsidRPr="002144F3" w:rsidRDefault="00D71F34" w:rsidP="00D71F34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59410A3E" w14:textId="77777777" w:rsidR="00D71F34" w:rsidRPr="002144F3" w:rsidRDefault="00D71F34" w:rsidP="00D71F34">
      <w:pPr>
        <w:tabs>
          <w:tab w:val="left" w:pos="851"/>
        </w:tabs>
        <w:ind w:left="851"/>
        <w:rPr>
          <w:i/>
          <w:sz w:val="24"/>
          <w:szCs w:val="24"/>
        </w:rPr>
      </w:pPr>
      <w:r w:rsidRPr="002144F3">
        <w:rPr>
          <w:i/>
          <w:sz w:val="24"/>
          <w:szCs w:val="24"/>
        </w:rPr>
        <w:t>Voksne og unge i alderen 12 år og derover:</w:t>
      </w:r>
    </w:p>
    <w:p w14:paraId="2F32C012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10 ml (200 mg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 xml:space="preserve">) 4 gange om dagen. </w:t>
      </w:r>
    </w:p>
    <w:p w14:paraId="48FF3A52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Maksimal daglig dosis: 40 ml (800 mg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>)</w:t>
      </w:r>
    </w:p>
    <w:p w14:paraId="026D3615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32C07263" w14:textId="77777777" w:rsidR="00D71F34" w:rsidRPr="002144F3" w:rsidRDefault="00D71F34" w:rsidP="00D71F34">
      <w:pPr>
        <w:tabs>
          <w:tab w:val="left" w:pos="851"/>
        </w:tabs>
        <w:ind w:left="851"/>
        <w:rPr>
          <w:i/>
          <w:sz w:val="24"/>
          <w:szCs w:val="24"/>
        </w:rPr>
      </w:pPr>
      <w:r w:rsidRPr="002144F3">
        <w:rPr>
          <w:i/>
          <w:sz w:val="24"/>
          <w:szCs w:val="24"/>
        </w:rPr>
        <w:t>Pædiatrisk population:</w:t>
      </w:r>
    </w:p>
    <w:p w14:paraId="1BF100A2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144F3">
        <w:rPr>
          <w:sz w:val="24"/>
          <w:szCs w:val="24"/>
        </w:rPr>
        <w:t>Benysines</w:t>
      </w:r>
      <w:proofErr w:type="spellEnd"/>
      <w:r w:rsidRPr="002144F3">
        <w:rPr>
          <w:sz w:val="24"/>
          <w:szCs w:val="24"/>
        </w:rPr>
        <w:t xml:space="preserve"> sikkerhed og virkning hos børn under 12 år er endnu ikke klarlagt.</w:t>
      </w:r>
    </w:p>
    <w:p w14:paraId="07B207F8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Der foreligger ingen data.</w:t>
      </w:r>
    </w:p>
    <w:p w14:paraId="53E862A6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151D64EE" w14:textId="77777777" w:rsidR="00D71F34" w:rsidRPr="002144F3" w:rsidRDefault="00D71F34" w:rsidP="00D71F34">
      <w:pPr>
        <w:tabs>
          <w:tab w:val="left" w:pos="851"/>
        </w:tabs>
        <w:ind w:left="851"/>
        <w:rPr>
          <w:i/>
          <w:sz w:val="24"/>
          <w:szCs w:val="24"/>
        </w:rPr>
      </w:pPr>
      <w:r w:rsidRPr="002144F3">
        <w:rPr>
          <w:i/>
          <w:sz w:val="24"/>
          <w:szCs w:val="24"/>
        </w:rPr>
        <w:t>Ældre:</w:t>
      </w:r>
    </w:p>
    <w:p w14:paraId="23B5C425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Det samme som voksne.</w:t>
      </w:r>
    </w:p>
    <w:p w14:paraId="0F329670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22C1F5BF" w14:textId="77777777" w:rsidR="00D71F34" w:rsidRPr="002144F3" w:rsidRDefault="00D71F34" w:rsidP="00D71F34">
      <w:pPr>
        <w:tabs>
          <w:tab w:val="left" w:pos="851"/>
        </w:tabs>
        <w:ind w:left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Lever-/nyreinsufficiens</w:t>
      </w:r>
    </w:p>
    <w:p w14:paraId="05FD5690" w14:textId="3CD39784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Der skal udvises forsigtighed i forbindelse med svær leverinsufficiens og svær nyreinsufficiens</w:t>
      </w:r>
      <w:r w:rsidR="00047F18">
        <w:rPr>
          <w:sz w:val="24"/>
          <w:szCs w:val="24"/>
        </w:rPr>
        <w:t xml:space="preserve"> (se pkt. 5.2)</w:t>
      </w:r>
      <w:r w:rsidR="00047F18" w:rsidRPr="002144F3">
        <w:rPr>
          <w:sz w:val="24"/>
          <w:szCs w:val="24"/>
        </w:rPr>
        <w:t>.</w:t>
      </w:r>
    </w:p>
    <w:p w14:paraId="62EE924D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756F7274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En læge bør konsulteres, hvis hosten varer i mere end 7 dage, har tendens til at komme tilbage eller ledsages af feber, udslæt eller vedvarende hovedpine.</w:t>
      </w:r>
    </w:p>
    <w:p w14:paraId="4F86CE37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01A1FA69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144F3">
        <w:rPr>
          <w:sz w:val="24"/>
          <w:szCs w:val="24"/>
          <w:u w:val="single"/>
        </w:rPr>
        <w:t>Administration</w:t>
      </w:r>
    </w:p>
    <w:p w14:paraId="3E104D3C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Oral</w:t>
      </w:r>
    </w:p>
    <w:p w14:paraId="21AA1301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A7D5D2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4.3</w:t>
      </w:r>
      <w:r w:rsidRPr="002144F3">
        <w:rPr>
          <w:b/>
          <w:sz w:val="24"/>
          <w:szCs w:val="24"/>
        </w:rPr>
        <w:tab/>
        <w:t>Kontraindikationer</w:t>
      </w:r>
    </w:p>
    <w:p w14:paraId="73A15036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>Overfølsomhed over for det aktive stof eller over for et eller flere af hjælpestofferne anført i pkt. 6.1.</w:t>
      </w:r>
    </w:p>
    <w:p w14:paraId="17568212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C8B092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4.4</w:t>
      </w:r>
      <w:r w:rsidRPr="002144F3">
        <w:rPr>
          <w:b/>
          <w:sz w:val="24"/>
          <w:szCs w:val="24"/>
        </w:rPr>
        <w:tab/>
        <w:t>Særlige advarsler og forsigtighedsregler vedrørende brugen</w:t>
      </w:r>
    </w:p>
    <w:p w14:paraId="308364F1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>Dette produkt bør ikke anvendes til vedvarende eller kronisk hoste som ved astma, eller når hosten ledsages af kraftig sekretion, medmindre det er efter lægens anvisning.</w:t>
      </w:r>
    </w:p>
    <w:p w14:paraId="3BC43FB4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72CCA12C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En vedvarende hoste kan være tegn på en alvorlig tilstand. En læge bør konsulteres, hvis hosten varer i mere end en uge, har tendens til at komme tilbage eller ledsages af feber, udslæt eller vedvarende hovedpine. </w:t>
      </w:r>
    </w:p>
    <w:p w14:paraId="2F500B73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2CD3F500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Der skal udvises forsigtighed, når produktet anvendes ved svær nyre- eller leverinsufficiens.</w:t>
      </w:r>
    </w:p>
    <w:p w14:paraId="5A6AB9A5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4B60D511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Samtidig anvendelse af hostenedsættende midler frarådes.</w:t>
      </w:r>
    </w:p>
    <w:p w14:paraId="5CDADD1E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5361AFF9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Indeholder cirka 2 g </w:t>
      </w:r>
      <w:proofErr w:type="spellStart"/>
      <w:r w:rsidRPr="002144F3">
        <w:rPr>
          <w:sz w:val="24"/>
          <w:szCs w:val="24"/>
        </w:rPr>
        <w:t>saccharose</w:t>
      </w:r>
      <w:proofErr w:type="spellEnd"/>
      <w:r w:rsidRPr="002144F3">
        <w:rPr>
          <w:sz w:val="24"/>
          <w:szCs w:val="24"/>
        </w:rPr>
        <w:t xml:space="preserve"> og 7 g </w:t>
      </w:r>
      <w:proofErr w:type="spellStart"/>
      <w:r w:rsidRPr="002144F3">
        <w:rPr>
          <w:sz w:val="24"/>
          <w:szCs w:val="24"/>
        </w:rPr>
        <w:t>glucose</w:t>
      </w:r>
      <w:proofErr w:type="spellEnd"/>
      <w:r w:rsidRPr="002144F3">
        <w:rPr>
          <w:sz w:val="24"/>
          <w:szCs w:val="24"/>
        </w:rPr>
        <w:t xml:space="preserve"> pr. 10 ml dosis. Diabetespatienter skal tage hensyn hertil. Bør ikke anvendes til patienter med hereditær </w:t>
      </w:r>
      <w:proofErr w:type="spellStart"/>
      <w:r w:rsidRPr="002144F3">
        <w:rPr>
          <w:sz w:val="24"/>
          <w:szCs w:val="24"/>
        </w:rPr>
        <w:t>fructoseintolerans</w:t>
      </w:r>
      <w:proofErr w:type="spellEnd"/>
      <w:r w:rsidRPr="002144F3">
        <w:rPr>
          <w:sz w:val="24"/>
          <w:szCs w:val="24"/>
        </w:rPr>
        <w:t xml:space="preserve">, </w:t>
      </w:r>
      <w:proofErr w:type="spellStart"/>
      <w:r w:rsidRPr="002144F3">
        <w:rPr>
          <w:sz w:val="24"/>
          <w:szCs w:val="24"/>
        </w:rPr>
        <w:t>glucose</w:t>
      </w:r>
      <w:proofErr w:type="spellEnd"/>
      <w:r w:rsidRPr="002144F3">
        <w:rPr>
          <w:sz w:val="24"/>
          <w:szCs w:val="24"/>
        </w:rPr>
        <w:t>/</w:t>
      </w:r>
      <w:proofErr w:type="spellStart"/>
      <w:r w:rsidRPr="002144F3">
        <w:rPr>
          <w:sz w:val="24"/>
          <w:szCs w:val="24"/>
        </w:rPr>
        <w:t>galactosemalabsorption</w:t>
      </w:r>
      <w:proofErr w:type="spellEnd"/>
      <w:r w:rsidRPr="002144F3">
        <w:rPr>
          <w:sz w:val="24"/>
          <w:szCs w:val="24"/>
        </w:rPr>
        <w:t xml:space="preserve"> og </w:t>
      </w:r>
      <w:proofErr w:type="spellStart"/>
      <w:r w:rsidRPr="002144F3">
        <w:rPr>
          <w:sz w:val="24"/>
          <w:szCs w:val="24"/>
        </w:rPr>
        <w:t>sucraseisomaltasemangel</w:t>
      </w:r>
      <w:proofErr w:type="spellEnd"/>
      <w:r w:rsidRPr="002144F3">
        <w:rPr>
          <w:sz w:val="24"/>
          <w:szCs w:val="24"/>
        </w:rPr>
        <w:t xml:space="preserve">. </w:t>
      </w:r>
      <w:proofErr w:type="spellStart"/>
      <w:r w:rsidRPr="002144F3">
        <w:rPr>
          <w:sz w:val="24"/>
          <w:szCs w:val="24"/>
        </w:rPr>
        <w:t>Saccharose</w:t>
      </w:r>
      <w:proofErr w:type="spellEnd"/>
      <w:r w:rsidRPr="002144F3">
        <w:rPr>
          <w:sz w:val="24"/>
          <w:szCs w:val="24"/>
        </w:rPr>
        <w:t xml:space="preserve"> og </w:t>
      </w:r>
      <w:proofErr w:type="spellStart"/>
      <w:r w:rsidRPr="002144F3">
        <w:rPr>
          <w:sz w:val="24"/>
          <w:szCs w:val="24"/>
        </w:rPr>
        <w:t>glucose</w:t>
      </w:r>
      <w:proofErr w:type="spellEnd"/>
      <w:r w:rsidRPr="002144F3">
        <w:rPr>
          <w:sz w:val="24"/>
          <w:szCs w:val="24"/>
        </w:rPr>
        <w:t xml:space="preserve"> kan være skadelige for tænderne</w:t>
      </w:r>
    </w:p>
    <w:p w14:paraId="65A8C8C2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04F6102C" w14:textId="77777777" w:rsidR="00D16EE1" w:rsidRDefault="00D16EE1" w:rsidP="00D16EE1">
      <w:pPr>
        <w:widowControl w:val="0"/>
        <w:autoSpaceDE w:val="0"/>
        <w:autoSpaceDN w:val="0"/>
        <w:adjustRightInd w:val="0"/>
        <w:ind w:left="851" w:right="363"/>
        <w:rPr>
          <w:sz w:val="24"/>
          <w:szCs w:val="24"/>
        </w:rPr>
      </w:pPr>
      <w:r>
        <w:rPr>
          <w:spacing w:val="-2"/>
          <w:sz w:val="24"/>
          <w:szCs w:val="24"/>
        </w:rPr>
        <w:t>Dette lægemiddel indeholder 393 mg alkohol (</w:t>
      </w:r>
      <w:proofErr w:type="spellStart"/>
      <w:r>
        <w:rPr>
          <w:spacing w:val="-2"/>
          <w:sz w:val="24"/>
          <w:szCs w:val="24"/>
        </w:rPr>
        <w:t>ethanol</w:t>
      </w:r>
      <w:proofErr w:type="spellEnd"/>
      <w:r>
        <w:rPr>
          <w:spacing w:val="-2"/>
          <w:sz w:val="24"/>
          <w:szCs w:val="24"/>
        </w:rPr>
        <w:t xml:space="preserve">) pr. 10 ml dosis, svarende til 39,3 mg/ml. Mængden i 10 ml af dette lægemiddel svarer til mindre end 10 ml øl eller 4 ml vin. Den mindre mængde alkohol i dette lægemiddel vil ikke have nogen nævneværdig </w:t>
      </w:r>
      <w:r>
        <w:rPr>
          <w:spacing w:val="-2"/>
          <w:sz w:val="24"/>
          <w:szCs w:val="24"/>
        </w:rPr>
        <w:lastRenderedPageBreak/>
        <w:t>effekt.</w:t>
      </w:r>
    </w:p>
    <w:p w14:paraId="5ADB92D1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349C3D1C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Dette lægemiddel indeholder 41,1 mg natrium per 10 ml, svarende til 2,054% af den WHO anbefalede maksimale daglige indtagelse af 2 g natrium for en voksen.</w:t>
      </w:r>
    </w:p>
    <w:p w14:paraId="68E12533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205D010D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Dette lægemiddel indeholder 20 mg natriumbenzoat pr. 10 ml dosis.</w:t>
      </w:r>
    </w:p>
    <w:p w14:paraId="2AFE1C4D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719081DF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Dette lægemiddel indeholder 57,8 mg propylenglycol pr. 10 ml dosis.</w:t>
      </w:r>
    </w:p>
    <w:p w14:paraId="07428DEE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4B985D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4.5</w:t>
      </w:r>
      <w:r w:rsidRPr="002144F3">
        <w:rPr>
          <w:b/>
          <w:sz w:val="24"/>
          <w:szCs w:val="24"/>
        </w:rPr>
        <w:tab/>
        <w:t>Interaktion med andre lægemidler og andre former for interaktion</w:t>
      </w:r>
    </w:p>
    <w:p w14:paraId="48B6EC55" w14:textId="2349E5BE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 xml:space="preserve">Hvis der tages en urinprøve inden for 24 timer efter en dosis af dette produkt, kan en </w:t>
      </w:r>
      <w:proofErr w:type="spellStart"/>
      <w:r w:rsidRPr="002144F3">
        <w:rPr>
          <w:sz w:val="24"/>
          <w:szCs w:val="24"/>
        </w:rPr>
        <w:t>guaifenesinmetabolit</w:t>
      </w:r>
      <w:proofErr w:type="spellEnd"/>
      <w:r w:rsidRPr="002144F3">
        <w:rPr>
          <w:sz w:val="24"/>
          <w:szCs w:val="24"/>
        </w:rPr>
        <w:t xml:space="preserve"> forårsage en farveinterferens i forbindelse med laboratorie</w:t>
      </w:r>
      <w:r w:rsidR="00441C7A">
        <w:rPr>
          <w:sz w:val="24"/>
          <w:szCs w:val="24"/>
        </w:rPr>
        <w:softHyphen/>
      </w:r>
      <w:r w:rsidRPr="002144F3">
        <w:rPr>
          <w:sz w:val="24"/>
          <w:szCs w:val="24"/>
        </w:rPr>
        <w:t>bestemmelser af 5-hydroxyindoleddikesyre (5-HIAA) og vaniljemandelsyre (VMA) i urinen.</w:t>
      </w:r>
    </w:p>
    <w:p w14:paraId="2C955724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783CC6E2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Slimløsende midler såsom </w:t>
      </w:r>
      <w:proofErr w:type="spellStart"/>
      <w:r w:rsidRPr="002144F3">
        <w:rPr>
          <w:spacing w:val="-5"/>
          <w:sz w:val="24"/>
          <w:szCs w:val="24"/>
        </w:rPr>
        <w:t>g</w:t>
      </w:r>
      <w:r w:rsidRPr="002144F3">
        <w:rPr>
          <w:spacing w:val="-2"/>
          <w:sz w:val="24"/>
          <w:szCs w:val="24"/>
        </w:rPr>
        <w:t>u</w:t>
      </w:r>
      <w:r w:rsidRPr="002144F3">
        <w:rPr>
          <w:spacing w:val="-3"/>
          <w:sz w:val="24"/>
          <w:szCs w:val="24"/>
        </w:rPr>
        <w:t>a</w:t>
      </w:r>
      <w:r w:rsidRPr="002144F3">
        <w:rPr>
          <w:spacing w:val="-2"/>
          <w:sz w:val="24"/>
          <w:szCs w:val="24"/>
        </w:rPr>
        <w:t>i</w:t>
      </w:r>
      <w:r w:rsidRPr="002144F3">
        <w:rPr>
          <w:spacing w:val="-3"/>
          <w:sz w:val="24"/>
          <w:szCs w:val="24"/>
        </w:rPr>
        <w:t>fe</w:t>
      </w:r>
      <w:r w:rsidRPr="002144F3">
        <w:rPr>
          <w:spacing w:val="-2"/>
          <w:sz w:val="24"/>
          <w:szCs w:val="24"/>
        </w:rPr>
        <w:t>n</w:t>
      </w:r>
      <w:r w:rsidRPr="002144F3">
        <w:rPr>
          <w:spacing w:val="-3"/>
          <w:sz w:val="24"/>
          <w:szCs w:val="24"/>
        </w:rPr>
        <w:t>e</w:t>
      </w:r>
      <w:r w:rsidRPr="002144F3">
        <w:rPr>
          <w:spacing w:val="-2"/>
          <w:sz w:val="24"/>
          <w:szCs w:val="24"/>
        </w:rPr>
        <w:t>si</w:t>
      </w:r>
      <w:r w:rsidRPr="002144F3">
        <w:rPr>
          <w:sz w:val="24"/>
          <w:szCs w:val="24"/>
        </w:rPr>
        <w:t>n</w:t>
      </w:r>
      <w:proofErr w:type="spellEnd"/>
      <w:r w:rsidRPr="002144F3">
        <w:rPr>
          <w:sz w:val="24"/>
          <w:szCs w:val="24"/>
        </w:rPr>
        <w:t xml:space="preserve"> bør ikke kombineres med hostenedsættende midler til behandlingen af hoste, da kombinationen ikke er logisk, og patienterne kan udsættes for unødvendige bivirkninger.</w:t>
      </w:r>
    </w:p>
    <w:p w14:paraId="4EA6BEE4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6DF61528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Der er ikke udført interaktionsstudier, som vises en interaktion med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>.</w:t>
      </w:r>
    </w:p>
    <w:p w14:paraId="32E71B3C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0CA223" w14:textId="4E45240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4.6</w:t>
      </w:r>
      <w:r w:rsidRPr="002144F3">
        <w:rPr>
          <w:b/>
          <w:sz w:val="24"/>
          <w:szCs w:val="24"/>
        </w:rPr>
        <w:tab/>
      </w:r>
      <w:r w:rsidR="00D16EE1">
        <w:rPr>
          <w:b/>
          <w:sz w:val="24"/>
          <w:szCs w:val="24"/>
        </w:rPr>
        <w:t>F</w:t>
      </w:r>
      <w:r w:rsidR="00EE19C9">
        <w:rPr>
          <w:b/>
          <w:sz w:val="24"/>
          <w:szCs w:val="24"/>
        </w:rPr>
        <w:t>ertilitet, g</w:t>
      </w:r>
      <w:r w:rsidRPr="002144F3">
        <w:rPr>
          <w:b/>
          <w:sz w:val="24"/>
          <w:szCs w:val="24"/>
        </w:rPr>
        <w:t>raviditet og amning</w:t>
      </w:r>
    </w:p>
    <w:p w14:paraId="489B08DD" w14:textId="77777777" w:rsidR="002144F3" w:rsidRPr="002144F3" w:rsidRDefault="002144F3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04812347" w14:textId="5B7F959A" w:rsidR="00D71F34" w:rsidRPr="002144F3" w:rsidRDefault="00D71F34" w:rsidP="00D71F34">
      <w:pPr>
        <w:tabs>
          <w:tab w:val="left" w:pos="851"/>
        </w:tabs>
        <w:ind w:left="851"/>
        <w:rPr>
          <w:b/>
          <w:sz w:val="24"/>
          <w:szCs w:val="24"/>
          <w:lang w:eastAsia="da-DK"/>
        </w:rPr>
      </w:pPr>
      <w:r w:rsidRPr="002144F3">
        <w:rPr>
          <w:b/>
          <w:sz w:val="24"/>
          <w:szCs w:val="24"/>
        </w:rPr>
        <w:t>Graviditet</w:t>
      </w:r>
    </w:p>
    <w:p w14:paraId="69331AC8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Der er ingen eller utilstrækkelige data fra anvendelse af </w:t>
      </w:r>
      <w:proofErr w:type="spellStart"/>
      <w:r w:rsidRPr="002144F3">
        <w:rPr>
          <w:sz w:val="24"/>
          <w:szCs w:val="24"/>
        </w:rPr>
        <w:t>gu</w:t>
      </w:r>
      <w:r w:rsidRPr="002144F3">
        <w:rPr>
          <w:spacing w:val="-1"/>
          <w:sz w:val="24"/>
          <w:szCs w:val="24"/>
        </w:rPr>
        <w:t>a</w:t>
      </w:r>
      <w:r w:rsidRPr="002144F3">
        <w:rPr>
          <w:sz w:val="24"/>
          <w:szCs w:val="24"/>
        </w:rPr>
        <w:t>i</w:t>
      </w:r>
      <w:r w:rsidRPr="002144F3">
        <w:rPr>
          <w:spacing w:val="2"/>
          <w:sz w:val="24"/>
          <w:szCs w:val="24"/>
        </w:rPr>
        <w:t>f</w:t>
      </w:r>
      <w:r w:rsidRPr="002144F3">
        <w:rPr>
          <w:spacing w:val="-1"/>
          <w:sz w:val="24"/>
          <w:szCs w:val="24"/>
        </w:rPr>
        <w:t>e</w:t>
      </w:r>
      <w:r w:rsidRPr="002144F3">
        <w:rPr>
          <w:sz w:val="24"/>
          <w:szCs w:val="24"/>
        </w:rPr>
        <w:t>n</w:t>
      </w:r>
      <w:r w:rsidRPr="002144F3">
        <w:rPr>
          <w:spacing w:val="-1"/>
          <w:sz w:val="24"/>
          <w:szCs w:val="24"/>
        </w:rPr>
        <w:t>e</w:t>
      </w:r>
      <w:r w:rsidRPr="002144F3">
        <w:rPr>
          <w:sz w:val="24"/>
          <w:szCs w:val="24"/>
        </w:rPr>
        <w:t>sin</w:t>
      </w:r>
      <w:proofErr w:type="spellEnd"/>
      <w:r w:rsidRPr="002144F3">
        <w:rPr>
          <w:sz w:val="24"/>
          <w:szCs w:val="24"/>
        </w:rPr>
        <w:t xml:space="preserve"> til gravide kvinder. Data fra dyreforsøg er utilstrækkelige, hvad angår reproduktionstoksicitet (se pkt. 5.3). </w:t>
      </w:r>
      <w:proofErr w:type="spellStart"/>
      <w:r w:rsidRPr="002144F3">
        <w:rPr>
          <w:sz w:val="24"/>
          <w:szCs w:val="24"/>
        </w:rPr>
        <w:t>Benysine</w:t>
      </w:r>
      <w:proofErr w:type="spellEnd"/>
      <w:r w:rsidRPr="002144F3">
        <w:rPr>
          <w:sz w:val="24"/>
          <w:szCs w:val="24"/>
        </w:rPr>
        <w:t xml:space="preserve"> bør ikke anvendes under graviditeten og til kvinder i den fertile alder, som ikke anvender sikker </w:t>
      </w:r>
      <w:proofErr w:type="spellStart"/>
      <w:r w:rsidRPr="002144F3">
        <w:rPr>
          <w:sz w:val="24"/>
          <w:szCs w:val="24"/>
        </w:rPr>
        <w:t>kontraception</w:t>
      </w:r>
      <w:proofErr w:type="spellEnd"/>
      <w:r w:rsidRPr="002144F3">
        <w:rPr>
          <w:sz w:val="24"/>
          <w:szCs w:val="24"/>
        </w:rPr>
        <w:t>.</w:t>
      </w:r>
    </w:p>
    <w:p w14:paraId="68974924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0EDDC5CB" w14:textId="77777777" w:rsidR="00D71F34" w:rsidRPr="002144F3" w:rsidRDefault="00D71F34" w:rsidP="00D71F34">
      <w:pPr>
        <w:tabs>
          <w:tab w:val="left" w:pos="851"/>
        </w:tabs>
        <w:ind w:left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Amning</w:t>
      </w:r>
    </w:p>
    <w:p w14:paraId="6CF9BCCF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144F3">
        <w:rPr>
          <w:sz w:val="24"/>
          <w:szCs w:val="24"/>
        </w:rPr>
        <w:t>Gu</w:t>
      </w:r>
      <w:r w:rsidRPr="002144F3">
        <w:rPr>
          <w:spacing w:val="-1"/>
          <w:sz w:val="24"/>
          <w:szCs w:val="24"/>
        </w:rPr>
        <w:t>a</w:t>
      </w:r>
      <w:r w:rsidRPr="002144F3">
        <w:rPr>
          <w:sz w:val="24"/>
          <w:szCs w:val="24"/>
        </w:rPr>
        <w:t>i</w:t>
      </w:r>
      <w:r w:rsidRPr="002144F3">
        <w:rPr>
          <w:spacing w:val="-1"/>
          <w:sz w:val="24"/>
          <w:szCs w:val="24"/>
        </w:rPr>
        <w:t>fe</w:t>
      </w:r>
      <w:r w:rsidRPr="002144F3">
        <w:rPr>
          <w:sz w:val="24"/>
          <w:szCs w:val="24"/>
        </w:rPr>
        <w:t>n</w:t>
      </w:r>
      <w:r w:rsidRPr="002144F3">
        <w:rPr>
          <w:spacing w:val="-1"/>
          <w:sz w:val="24"/>
          <w:szCs w:val="24"/>
        </w:rPr>
        <w:t>e</w:t>
      </w:r>
      <w:r w:rsidRPr="002144F3">
        <w:rPr>
          <w:sz w:val="24"/>
          <w:szCs w:val="24"/>
        </w:rPr>
        <w:t>sin</w:t>
      </w:r>
      <w:proofErr w:type="spellEnd"/>
      <w:r w:rsidRPr="002144F3">
        <w:rPr>
          <w:sz w:val="24"/>
          <w:szCs w:val="24"/>
        </w:rPr>
        <w:t xml:space="preserve"> udskilles i modermælk i små mængder.</w:t>
      </w:r>
      <w:r w:rsidRPr="002144F3">
        <w:rPr>
          <w:rFonts w:eastAsia="SimSun"/>
          <w:sz w:val="24"/>
          <w:szCs w:val="24"/>
          <w:lang w:eastAsia="zh-CN"/>
        </w:rPr>
        <w:t xml:space="preserve"> </w:t>
      </w:r>
      <w:r w:rsidRPr="002144F3">
        <w:rPr>
          <w:sz w:val="24"/>
          <w:szCs w:val="24"/>
        </w:rPr>
        <w:t xml:space="preserve">Der foreligger utilstrækkelige data for virkningen af </w:t>
      </w:r>
      <w:proofErr w:type="spellStart"/>
      <w:r w:rsidRPr="002144F3">
        <w:rPr>
          <w:sz w:val="24"/>
          <w:szCs w:val="24"/>
        </w:rPr>
        <w:t>gu</w:t>
      </w:r>
      <w:r w:rsidRPr="002144F3">
        <w:rPr>
          <w:spacing w:val="-1"/>
          <w:sz w:val="24"/>
          <w:szCs w:val="24"/>
        </w:rPr>
        <w:t>a</w:t>
      </w:r>
      <w:r w:rsidRPr="002144F3">
        <w:rPr>
          <w:sz w:val="24"/>
          <w:szCs w:val="24"/>
        </w:rPr>
        <w:t>i</w:t>
      </w:r>
      <w:r w:rsidRPr="002144F3">
        <w:rPr>
          <w:spacing w:val="-1"/>
          <w:sz w:val="24"/>
          <w:szCs w:val="24"/>
        </w:rPr>
        <w:t>fe</w:t>
      </w:r>
      <w:r w:rsidRPr="002144F3">
        <w:rPr>
          <w:sz w:val="24"/>
          <w:szCs w:val="24"/>
        </w:rPr>
        <w:t>n</w:t>
      </w:r>
      <w:r w:rsidRPr="002144F3">
        <w:rPr>
          <w:spacing w:val="-1"/>
          <w:sz w:val="24"/>
          <w:szCs w:val="24"/>
        </w:rPr>
        <w:t>e</w:t>
      </w:r>
      <w:r w:rsidRPr="002144F3">
        <w:rPr>
          <w:sz w:val="24"/>
          <w:szCs w:val="24"/>
        </w:rPr>
        <w:t>sin</w:t>
      </w:r>
      <w:proofErr w:type="spellEnd"/>
      <w:r w:rsidRPr="002144F3">
        <w:rPr>
          <w:sz w:val="24"/>
          <w:szCs w:val="24"/>
        </w:rPr>
        <w:t xml:space="preserve"> på det ammede barn. Det skal besluttes, om amning skal ophøre eller behandling med </w:t>
      </w:r>
      <w:proofErr w:type="spellStart"/>
      <w:r w:rsidRPr="002144F3">
        <w:rPr>
          <w:sz w:val="24"/>
          <w:szCs w:val="24"/>
        </w:rPr>
        <w:t>Benysine</w:t>
      </w:r>
      <w:proofErr w:type="spellEnd"/>
      <w:r w:rsidRPr="002144F3">
        <w:rPr>
          <w:sz w:val="24"/>
          <w:szCs w:val="24"/>
        </w:rPr>
        <w:t xml:space="preserve"> seponeres, idet der tages højde for fordelene ved amning for barnet i forhold til de terapeutiske fordele for moderen.</w:t>
      </w:r>
    </w:p>
    <w:p w14:paraId="43CD36A7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</w:p>
    <w:p w14:paraId="32B67C69" w14:textId="77777777" w:rsidR="00D71F34" w:rsidRPr="002144F3" w:rsidRDefault="00D71F34" w:rsidP="00D71F34">
      <w:pPr>
        <w:tabs>
          <w:tab w:val="left" w:pos="851"/>
        </w:tabs>
        <w:ind w:left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Fertilitet</w:t>
      </w:r>
    </w:p>
    <w:p w14:paraId="1DCF9686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Der er ikke tilstrækkelige data til at kunne bestemme, om </w:t>
      </w:r>
      <w:proofErr w:type="spellStart"/>
      <w:r w:rsidRPr="002144F3">
        <w:rPr>
          <w:spacing w:val="-2"/>
          <w:sz w:val="24"/>
          <w:szCs w:val="24"/>
        </w:rPr>
        <w:t>g</w:t>
      </w:r>
      <w:r w:rsidRPr="002144F3">
        <w:rPr>
          <w:spacing w:val="2"/>
          <w:sz w:val="24"/>
          <w:szCs w:val="24"/>
        </w:rPr>
        <w:t>u</w:t>
      </w:r>
      <w:r w:rsidRPr="002144F3">
        <w:rPr>
          <w:spacing w:val="-1"/>
          <w:sz w:val="24"/>
          <w:szCs w:val="24"/>
        </w:rPr>
        <w:t>a</w:t>
      </w:r>
      <w:r w:rsidRPr="002144F3">
        <w:rPr>
          <w:sz w:val="24"/>
          <w:szCs w:val="24"/>
        </w:rPr>
        <w:t>i</w:t>
      </w:r>
      <w:r w:rsidRPr="002144F3">
        <w:rPr>
          <w:spacing w:val="-1"/>
          <w:sz w:val="24"/>
          <w:szCs w:val="24"/>
        </w:rPr>
        <w:t>fe</w:t>
      </w:r>
      <w:r w:rsidRPr="002144F3">
        <w:rPr>
          <w:spacing w:val="2"/>
          <w:sz w:val="24"/>
          <w:szCs w:val="24"/>
        </w:rPr>
        <w:t>n</w:t>
      </w:r>
      <w:r w:rsidRPr="002144F3">
        <w:rPr>
          <w:spacing w:val="-1"/>
          <w:sz w:val="24"/>
          <w:szCs w:val="24"/>
        </w:rPr>
        <w:t>e</w:t>
      </w:r>
      <w:r w:rsidRPr="002144F3">
        <w:rPr>
          <w:sz w:val="24"/>
          <w:szCs w:val="24"/>
        </w:rPr>
        <w:t>sin</w:t>
      </w:r>
      <w:proofErr w:type="spellEnd"/>
      <w:r w:rsidRPr="002144F3">
        <w:rPr>
          <w:sz w:val="24"/>
          <w:szCs w:val="24"/>
        </w:rPr>
        <w:t xml:space="preserve"> potentielt kan nedsætte fertiliteten. </w:t>
      </w:r>
    </w:p>
    <w:p w14:paraId="3FE5E86A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12089D" w14:textId="5DA1B6D2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4.7</w:t>
      </w:r>
      <w:r w:rsidRPr="002144F3">
        <w:rPr>
          <w:b/>
          <w:sz w:val="24"/>
          <w:szCs w:val="24"/>
        </w:rPr>
        <w:tab/>
        <w:t xml:space="preserve">Virkning på evnen til at føre motorkøretøj </w:t>
      </w:r>
      <w:r w:rsidR="00EE19C9">
        <w:rPr>
          <w:b/>
          <w:sz w:val="24"/>
          <w:szCs w:val="24"/>
        </w:rPr>
        <w:t>og</w:t>
      </w:r>
      <w:r w:rsidRPr="002144F3">
        <w:rPr>
          <w:b/>
          <w:sz w:val="24"/>
          <w:szCs w:val="24"/>
        </w:rPr>
        <w:t xml:space="preserve"> betjene maskiner</w:t>
      </w:r>
    </w:p>
    <w:p w14:paraId="326686B9" w14:textId="77777777" w:rsidR="00D71F34" w:rsidRPr="002144F3" w:rsidRDefault="00D71F34" w:rsidP="002144F3">
      <w:pPr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>Ikke mærkning.</w:t>
      </w:r>
    </w:p>
    <w:p w14:paraId="224B4312" w14:textId="77777777" w:rsidR="00D71F34" w:rsidRPr="002144F3" w:rsidRDefault="00D71F34" w:rsidP="00D71F3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144F3">
        <w:rPr>
          <w:sz w:val="24"/>
          <w:szCs w:val="24"/>
        </w:rPr>
        <w:t>Benysine</w:t>
      </w:r>
      <w:proofErr w:type="spellEnd"/>
      <w:r w:rsidRPr="002144F3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3C443F99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4894C5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4.8</w:t>
      </w:r>
      <w:r w:rsidRPr="002144F3">
        <w:rPr>
          <w:b/>
          <w:sz w:val="24"/>
          <w:szCs w:val="24"/>
        </w:rPr>
        <w:tab/>
        <w:t>Bivirkninger</w:t>
      </w:r>
    </w:p>
    <w:p w14:paraId="6F5E244A" w14:textId="77777777" w:rsidR="00047F18" w:rsidRPr="004671F1" w:rsidRDefault="00047F18" w:rsidP="00047F18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Resumé</w:t>
      </w:r>
      <w:r w:rsidRPr="004671F1">
        <w:rPr>
          <w:sz w:val="24"/>
          <w:szCs w:val="24"/>
          <w:u w:val="single"/>
        </w:rPr>
        <w:t xml:space="preserve"> af sikkerhedsprofilen</w:t>
      </w:r>
    </w:p>
    <w:p w14:paraId="09A31D74" w14:textId="77777777" w:rsidR="00047F18" w:rsidRPr="0084467D" w:rsidRDefault="00047F18" w:rsidP="00047F18">
      <w:pPr>
        <w:tabs>
          <w:tab w:val="left" w:pos="851"/>
        </w:tabs>
        <w:ind w:left="851"/>
        <w:rPr>
          <w:sz w:val="24"/>
          <w:szCs w:val="24"/>
        </w:rPr>
      </w:pPr>
    </w:p>
    <w:p w14:paraId="51AD9447" w14:textId="77777777" w:rsidR="00047F18" w:rsidRPr="0084467D" w:rsidRDefault="00047F18" w:rsidP="00047F18">
      <w:pPr>
        <w:tabs>
          <w:tab w:val="left" w:pos="851"/>
        </w:tabs>
        <w:ind w:left="851"/>
        <w:rPr>
          <w:sz w:val="24"/>
          <w:szCs w:val="24"/>
        </w:rPr>
      </w:pPr>
      <w:r w:rsidRPr="0084467D">
        <w:rPr>
          <w:sz w:val="24"/>
          <w:szCs w:val="24"/>
        </w:rPr>
        <w:t>Anafylaksi er blevet rapporteret.</w:t>
      </w:r>
    </w:p>
    <w:p w14:paraId="0B1E36EC" w14:textId="77777777" w:rsidR="00047F18" w:rsidRPr="0084467D" w:rsidRDefault="00047F18" w:rsidP="00047F18">
      <w:pPr>
        <w:tabs>
          <w:tab w:val="left" w:pos="851"/>
        </w:tabs>
        <w:ind w:left="851"/>
        <w:rPr>
          <w:sz w:val="24"/>
          <w:szCs w:val="24"/>
        </w:rPr>
      </w:pPr>
    </w:p>
    <w:p w14:paraId="212DA805" w14:textId="77777777" w:rsidR="00047F18" w:rsidRDefault="00047F18" w:rsidP="00047F1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Bi</w:t>
      </w:r>
      <w:r w:rsidRPr="0084467D">
        <w:rPr>
          <w:sz w:val="24"/>
          <w:szCs w:val="24"/>
        </w:rPr>
        <w:t>virkninger</w:t>
      </w:r>
      <w:r>
        <w:rPr>
          <w:sz w:val="24"/>
          <w:szCs w:val="24"/>
        </w:rPr>
        <w:t>ne</w:t>
      </w:r>
      <w:r w:rsidRPr="0084467D">
        <w:rPr>
          <w:sz w:val="24"/>
          <w:szCs w:val="24"/>
        </w:rPr>
        <w:t xml:space="preserve"> er blevet rapporteret spontant under brug</w:t>
      </w:r>
      <w:r>
        <w:rPr>
          <w:sz w:val="24"/>
          <w:szCs w:val="24"/>
        </w:rPr>
        <w:t>en</w:t>
      </w:r>
      <w:r w:rsidRPr="0084467D">
        <w:rPr>
          <w:sz w:val="24"/>
          <w:szCs w:val="24"/>
        </w:rPr>
        <w:t xml:space="preserve"> efter markedsføring. På grund af begrænsede data fra kliniske </w:t>
      </w:r>
      <w:r>
        <w:rPr>
          <w:sz w:val="24"/>
          <w:szCs w:val="24"/>
        </w:rPr>
        <w:t>undersøgelser</w:t>
      </w:r>
      <w:r w:rsidRPr="0084467D">
        <w:rPr>
          <w:sz w:val="24"/>
          <w:szCs w:val="24"/>
        </w:rPr>
        <w:t xml:space="preserve"> kan en </w:t>
      </w:r>
      <w:r>
        <w:rPr>
          <w:sz w:val="24"/>
          <w:szCs w:val="24"/>
        </w:rPr>
        <w:t>hyppighed</w:t>
      </w:r>
      <w:r w:rsidRPr="0084467D">
        <w:rPr>
          <w:sz w:val="24"/>
          <w:szCs w:val="24"/>
        </w:rPr>
        <w:t xml:space="preserve"> ikke estimeres ud fra de tilgængelige data og er derfor klassificeret som "ikke kendt".</w:t>
      </w:r>
    </w:p>
    <w:p w14:paraId="42D79F0B" w14:textId="77777777" w:rsidR="00047F18" w:rsidRDefault="00047F18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6410B0DE" w14:textId="77777777" w:rsidR="00047F18" w:rsidRDefault="00047F18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5BEFCD85" w14:textId="64FD4A1A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 xml:space="preserve">Følgende bivirkninger kan være forbundet med anvendelsen af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>:</w:t>
      </w:r>
    </w:p>
    <w:p w14:paraId="19AC528B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631BBB07" w14:textId="77777777" w:rsidR="00047F18" w:rsidRPr="002144F3" w:rsidRDefault="00047F18" w:rsidP="00047F18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656"/>
        <w:tblW w:w="7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443"/>
        <w:gridCol w:w="3368"/>
      </w:tblGrid>
      <w:tr w:rsidR="00047F18" w:rsidRPr="00256FB6" w14:paraId="09075C9A" w14:textId="77777777" w:rsidTr="004671F1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2D7A1" w14:textId="77777777" w:rsidR="00047F18" w:rsidRPr="00996DCA" w:rsidRDefault="00047F18" w:rsidP="004671F1">
            <w:pPr>
              <w:jc w:val="both"/>
              <w:textAlignment w:val="baseline"/>
              <w:rPr>
                <w:sz w:val="18"/>
                <w:szCs w:val="18"/>
                <w:lang w:eastAsia="en-GB"/>
              </w:rPr>
            </w:pPr>
            <w:r w:rsidRPr="00996DCA">
              <w:rPr>
                <w:sz w:val="24"/>
                <w:szCs w:val="24"/>
                <w:lang w:eastAsia="en-GB"/>
              </w:rPr>
              <w:t> </w:t>
            </w:r>
            <w:r w:rsidRPr="004671F1">
              <w:rPr>
                <w:b/>
                <w:bCs/>
                <w:sz w:val="24"/>
                <w:szCs w:val="24"/>
                <w:u w:val="single"/>
                <w:lang w:eastAsia="en-GB"/>
              </w:rPr>
              <w:t>Systemorganklasse</w:t>
            </w:r>
            <w:r w:rsidRPr="004671F1">
              <w:rPr>
                <w:b/>
                <w:bCs/>
                <w:sz w:val="24"/>
                <w:szCs w:val="24"/>
                <w:lang w:eastAsia="en-GB"/>
              </w:rPr>
              <w:t xml:space="preserve"> (</w:t>
            </w:r>
            <w:r w:rsidRPr="004671F1">
              <w:rPr>
                <w:b/>
                <w:bCs/>
                <w:sz w:val="24"/>
                <w:szCs w:val="24"/>
                <w:u w:val="single"/>
                <w:lang w:eastAsia="en-GB"/>
              </w:rPr>
              <w:t>SOC</w:t>
            </w:r>
            <w:r w:rsidRPr="004671F1">
              <w:rPr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71E65" w14:textId="77777777" w:rsidR="00047F18" w:rsidRPr="00311438" w:rsidRDefault="00047F18" w:rsidP="004671F1">
            <w:pPr>
              <w:jc w:val="both"/>
              <w:textAlignment w:val="baseline"/>
              <w:rPr>
                <w:sz w:val="18"/>
                <w:szCs w:val="18"/>
                <w:lang w:eastAsia="en-GB"/>
              </w:rPr>
            </w:pPr>
            <w:r w:rsidRPr="00311438">
              <w:rPr>
                <w:b/>
                <w:bCs/>
                <w:sz w:val="24"/>
                <w:szCs w:val="24"/>
                <w:u w:val="single"/>
                <w:lang w:eastAsia="en-GB"/>
              </w:rPr>
              <w:t>Hyppighedskat</w:t>
            </w:r>
            <w:r>
              <w:rPr>
                <w:b/>
                <w:bCs/>
                <w:sz w:val="24"/>
                <w:szCs w:val="24"/>
                <w:u w:val="single"/>
                <w:lang w:eastAsia="en-GB"/>
              </w:rPr>
              <w:t>e</w:t>
            </w:r>
            <w:r w:rsidRPr="00311438">
              <w:rPr>
                <w:b/>
                <w:bCs/>
                <w:sz w:val="24"/>
                <w:szCs w:val="24"/>
                <w:u w:val="single"/>
                <w:lang w:eastAsia="en-GB"/>
              </w:rPr>
              <w:t>gori</w:t>
            </w:r>
            <w:r w:rsidRPr="00311438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5D98A" w14:textId="77777777" w:rsidR="00047F18" w:rsidRPr="00311438" w:rsidRDefault="00047F18" w:rsidP="004671F1">
            <w:pPr>
              <w:jc w:val="both"/>
              <w:textAlignment w:val="baseline"/>
              <w:rPr>
                <w:sz w:val="18"/>
                <w:szCs w:val="18"/>
                <w:lang w:eastAsia="en-GB"/>
              </w:rPr>
            </w:pPr>
            <w:r w:rsidRPr="00311438">
              <w:rPr>
                <w:b/>
                <w:bCs/>
                <w:sz w:val="24"/>
                <w:szCs w:val="24"/>
                <w:u w:val="single"/>
                <w:lang w:eastAsia="en-GB"/>
              </w:rPr>
              <w:t>Bivirkningstermer</w:t>
            </w:r>
            <w:r w:rsidRPr="00311438">
              <w:rPr>
                <w:sz w:val="24"/>
                <w:szCs w:val="24"/>
                <w:lang w:eastAsia="en-GB"/>
              </w:rPr>
              <w:t> </w:t>
            </w:r>
          </w:p>
        </w:tc>
      </w:tr>
      <w:tr w:rsidR="00047F18" w:rsidRPr="005B69BC" w14:paraId="49512125" w14:textId="77777777" w:rsidTr="004671F1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82EC6" w14:textId="77777777" w:rsidR="00047F18" w:rsidRPr="00FC2DB6" w:rsidRDefault="00047F18" w:rsidP="004671F1">
            <w:pPr>
              <w:widowControl w:val="0"/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 w:rsidRPr="00996DCA">
              <w:rPr>
                <w:sz w:val="24"/>
                <w:szCs w:val="24"/>
                <w:lang w:eastAsia="en-GB"/>
              </w:rPr>
              <w:t>Immunsystemet</w:t>
            </w:r>
          </w:p>
          <w:p w14:paraId="6FA74FEC" w14:textId="77777777" w:rsidR="00047F18" w:rsidRPr="00311438" w:rsidRDefault="00047F18" w:rsidP="004671F1">
            <w:pPr>
              <w:jc w:val="both"/>
              <w:textAlignment w:val="baseline"/>
              <w:rPr>
                <w:sz w:val="18"/>
                <w:szCs w:val="18"/>
                <w:lang w:eastAsia="en-GB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20374" w14:textId="77777777" w:rsidR="00047F18" w:rsidRPr="00311438" w:rsidRDefault="00047F18" w:rsidP="004671F1">
            <w:pPr>
              <w:jc w:val="both"/>
              <w:textAlignment w:val="baseline"/>
              <w:rPr>
                <w:sz w:val="18"/>
                <w:szCs w:val="18"/>
                <w:lang w:eastAsia="en-GB"/>
              </w:rPr>
            </w:pPr>
            <w:r w:rsidRPr="00311438">
              <w:rPr>
                <w:sz w:val="24"/>
                <w:szCs w:val="24"/>
                <w:lang w:eastAsia="en-GB"/>
              </w:rPr>
              <w:t>Ikke kendt 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B3036" w14:textId="77777777" w:rsidR="00047F18" w:rsidRPr="00311438" w:rsidRDefault="00047F18" w:rsidP="004671F1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 w:rsidRPr="00311438">
              <w:rPr>
                <w:sz w:val="24"/>
                <w:szCs w:val="24"/>
                <w:lang w:eastAsia="en-GB"/>
              </w:rPr>
              <w:t xml:space="preserve">Overfølsomhedsreaktioner, herunder </w:t>
            </w:r>
            <w:proofErr w:type="spellStart"/>
            <w:r w:rsidRPr="00311438">
              <w:rPr>
                <w:sz w:val="24"/>
                <w:szCs w:val="24"/>
                <w:lang w:eastAsia="en-GB"/>
              </w:rPr>
              <w:t>pruritus</w:t>
            </w:r>
            <w:proofErr w:type="spellEnd"/>
            <w:r w:rsidRPr="00311438">
              <w:rPr>
                <w:sz w:val="24"/>
                <w:szCs w:val="24"/>
                <w:lang w:eastAsia="en-GB"/>
              </w:rPr>
              <w:t xml:space="preserve"> og </w:t>
            </w:r>
            <w:proofErr w:type="spellStart"/>
            <w:r w:rsidRPr="00311438">
              <w:rPr>
                <w:sz w:val="24"/>
                <w:szCs w:val="24"/>
                <w:lang w:eastAsia="en-GB"/>
              </w:rPr>
              <w:t>urticaria</w:t>
            </w:r>
            <w:proofErr w:type="spellEnd"/>
            <w:r w:rsidRPr="00311438">
              <w:rPr>
                <w:sz w:val="24"/>
                <w:szCs w:val="24"/>
                <w:lang w:eastAsia="en-GB"/>
              </w:rPr>
              <w:t xml:space="preserve"> Udslæt</w:t>
            </w:r>
          </w:p>
          <w:p w14:paraId="21B574DE" w14:textId="77777777" w:rsidR="00047F18" w:rsidRPr="00311438" w:rsidRDefault="00047F18" w:rsidP="004671F1">
            <w:pPr>
              <w:jc w:val="both"/>
              <w:textAlignment w:val="baseline"/>
              <w:rPr>
                <w:sz w:val="18"/>
                <w:szCs w:val="18"/>
                <w:lang w:eastAsia="en-GB"/>
              </w:rPr>
            </w:pPr>
            <w:proofErr w:type="spellStart"/>
            <w:r w:rsidRPr="00311438">
              <w:rPr>
                <w:sz w:val="24"/>
                <w:szCs w:val="24"/>
                <w:lang w:eastAsia="en-GB"/>
              </w:rPr>
              <w:t>Anafylaktisk</w:t>
            </w:r>
            <w:proofErr w:type="spellEnd"/>
            <w:r w:rsidRPr="00311438">
              <w:rPr>
                <w:sz w:val="24"/>
                <w:szCs w:val="24"/>
                <w:lang w:eastAsia="en-GB"/>
              </w:rPr>
              <w:t xml:space="preserve"> reaktion</w:t>
            </w:r>
          </w:p>
        </w:tc>
      </w:tr>
      <w:tr w:rsidR="00047F18" w:rsidRPr="005B69BC" w14:paraId="7E9E015C" w14:textId="77777777" w:rsidTr="004671F1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160A2" w14:textId="77777777" w:rsidR="00047F18" w:rsidRPr="00FC2DB6" w:rsidRDefault="00047F18" w:rsidP="004671F1">
            <w:pPr>
              <w:widowControl w:val="0"/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 w:rsidRPr="00996DCA">
              <w:rPr>
                <w:sz w:val="24"/>
                <w:szCs w:val="24"/>
                <w:lang w:eastAsia="en-GB"/>
              </w:rPr>
              <w:t>Mave-tarm-kanalen</w:t>
            </w:r>
          </w:p>
          <w:p w14:paraId="4094F8AC" w14:textId="77777777" w:rsidR="00047F18" w:rsidRPr="00FC2DB6" w:rsidRDefault="00047F18" w:rsidP="004671F1">
            <w:pPr>
              <w:ind w:left="127"/>
              <w:jc w:val="both"/>
              <w:textAlignment w:val="baseline"/>
              <w:rPr>
                <w:sz w:val="18"/>
                <w:szCs w:val="18"/>
                <w:lang w:eastAsia="en-GB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4C5D0" w14:textId="77777777" w:rsidR="00047F18" w:rsidRPr="00311438" w:rsidRDefault="00047F18" w:rsidP="004671F1">
            <w:pPr>
              <w:jc w:val="both"/>
              <w:textAlignment w:val="baseline"/>
              <w:rPr>
                <w:sz w:val="18"/>
                <w:szCs w:val="18"/>
                <w:lang w:eastAsia="en-GB"/>
              </w:rPr>
            </w:pPr>
            <w:r w:rsidRPr="00311438">
              <w:rPr>
                <w:sz w:val="24"/>
                <w:szCs w:val="24"/>
                <w:lang w:eastAsia="en-GB"/>
              </w:rPr>
              <w:t>Ikke kendt 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5828B" w14:textId="77777777" w:rsidR="00047F18" w:rsidRPr="004671F1" w:rsidRDefault="00047F18" w:rsidP="004671F1">
            <w:pPr>
              <w:jc w:val="both"/>
              <w:textAlignment w:val="baseline"/>
              <w:rPr>
                <w:sz w:val="18"/>
                <w:szCs w:val="18"/>
                <w:lang w:eastAsia="en-GB"/>
              </w:rPr>
            </w:pPr>
            <w:r w:rsidRPr="004671F1">
              <w:rPr>
                <w:sz w:val="24"/>
                <w:szCs w:val="24"/>
                <w:lang w:eastAsia="en-GB"/>
              </w:rPr>
              <w:t xml:space="preserve">Øvre </w:t>
            </w:r>
            <w:proofErr w:type="spellStart"/>
            <w:r w:rsidRPr="004671F1">
              <w:rPr>
                <w:sz w:val="24"/>
                <w:szCs w:val="24"/>
                <w:lang w:eastAsia="en-GB"/>
              </w:rPr>
              <w:t>abdominalsmerter</w:t>
            </w:r>
            <w:proofErr w:type="spellEnd"/>
            <w:r w:rsidRPr="004671F1">
              <w:rPr>
                <w:sz w:val="24"/>
                <w:szCs w:val="24"/>
                <w:lang w:eastAsia="en-GB"/>
              </w:rPr>
              <w:t>, diarré, kvalme, opkastning</w:t>
            </w:r>
          </w:p>
        </w:tc>
      </w:tr>
    </w:tbl>
    <w:p w14:paraId="0EA711CC" w14:textId="77777777" w:rsidR="00047F18" w:rsidRPr="002144F3" w:rsidRDefault="00047F18" w:rsidP="00047F18">
      <w:pPr>
        <w:pStyle w:val="Sidehoved"/>
        <w:tabs>
          <w:tab w:val="left" w:pos="851"/>
        </w:tabs>
        <w:ind w:left="851"/>
        <w:rPr>
          <w:szCs w:val="24"/>
        </w:rPr>
      </w:pPr>
    </w:p>
    <w:p w14:paraId="317C8A0E" w14:textId="77777777" w:rsidR="00E00503" w:rsidRPr="002144F3" w:rsidRDefault="00E00503" w:rsidP="00E00503">
      <w:pPr>
        <w:pStyle w:val="Sidehoved"/>
        <w:tabs>
          <w:tab w:val="left" w:pos="851"/>
        </w:tabs>
        <w:ind w:left="851"/>
        <w:rPr>
          <w:szCs w:val="24"/>
        </w:rPr>
      </w:pPr>
    </w:p>
    <w:p w14:paraId="6F81E2C3" w14:textId="77777777" w:rsidR="00047F18" w:rsidRDefault="00047F18" w:rsidP="00E00503">
      <w:pPr>
        <w:pStyle w:val="Sidehoved"/>
        <w:tabs>
          <w:tab w:val="left" w:pos="851"/>
        </w:tabs>
        <w:ind w:left="851"/>
        <w:rPr>
          <w:szCs w:val="24"/>
          <w:u w:val="single"/>
        </w:rPr>
      </w:pPr>
    </w:p>
    <w:p w14:paraId="4BF7A705" w14:textId="77777777" w:rsidR="00047F18" w:rsidRDefault="00047F18" w:rsidP="00E00503">
      <w:pPr>
        <w:pStyle w:val="Sidehoved"/>
        <w:tabs>
          <w:tab w:val="left" w:pos="851"/>
        </w:tabs>
        <w:ind w:left="851"/>
        <w:rPr>
          <w:szCs w:val="24"/>
          <w:u w:val="single"/>
        </w:rPr>
      </w:pPr>
    </w:p>
    <w:p w14:paraId="08CBCFBB" w14:textId="77777777" w:rsidR="00047F18" w:rsidRDefault="00047F18" w:rsidP="00E00503">
      <w:pPr>
        <w:pStyle w:val="Sidehoved"/>
        <w:tabs>
          <w:tab w:val="left" w:pos="851"/>
        </w:tabs>
        <w:ind w:left="851"/>
        <w:rPr>
          <w:szCs w:val="24"/>
          <w:u w:val="single"/>
        </w:rPr>
      </w:pPr>
    </w:p>
    <w:p w14:paraId="5832E76A" w14:textId="77777777" w:rsidR="00047F18" w:rsidRDefault="00047F18" w:rsidP="00E00503">
      <w:pPr>
        <w:pStyle w:val="Sidehoved"/>
        <w:tabs>
          <w:tab w:val="left" w:pos="851"/>
        </w:tabs>
        <w:ind w:left="851"/>
        <w:rPr>
          <w:szCs w:val="24"/>
          <w:u w:val="single"/>
        </w:rPr>
      </w:pPr>
    </w:p>
    <w:p w14:paraId="68563796" w14:textId="77777777" w:rsidR="00047F18" w:rsidRDefault="00047F18" w:rsidP="00E00503">
      <w:pPr>
        <w:pStyle w:val="Sidehoved"/>
        <w:tabs>
          <w:tab w:val="left" w:pos="851"/>
        </w:tabs>
        <w:ind w:left="851"/>
        <w:rPr>
          <w:szCs w:val="24"/>
          <w:u w:val="single"/>
        </w:rPr>
      </w:pPr>
    </w:p>
    <w:p w14:paraId="51EF7353" w14:textId="77777777" w:rsidR="00047F18" w:rsidRDefault="00047F18" w:rsidP="00E00503">
      <w:pPr>
        <w:pStyle w:val="Sidehoved"/>
        <w:tabs>
          <w:tab w:val="left" w:pos="851"/>
        </w:tabs>
        <w:ind w:left="851"/>
        <w:rPr>
          <w:szCs w:val="24"/>
          <w:u w:val="single"/>
        </w:rPr>
      </w:pPr>
    </w:p>
    <w:p w14:paraId="11C9183A" w14:textId="4E9F5793" w:rsidR="00E00503" w:rsidRPr="002144F3" w:rsidRDefault="00E00503" w:rsidP="00E00503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2144F3">
        <w:rPr>
          <w:szCs w:val="24"/>
          <w:u w:val="single"/>
        </w:rPr>
        <w:t>Indberetning af formodede bivirkninger</w:t>
      </w:r>
    </w:p>
    <w:p w14:paraId="6AB31414" w14:textId="77777777" w:rsidR="00E00503" w:rsidRPr="002144F3" w:rsidRDefault="00E00503" w:rsidP="00E00503">
      <w:pPr>
        <w:pStyle w:val="Sidehoved"/>
        <w:tabs>
          <w:tab w:val="left" w:pos="851"/>
        </w:tabs>
        <w:ind w:left="851"/>
        <w:rPr>
          <w:szCs w:val="24"/>
        </w:rPr>
      </w:pPr>
      <w:r w:rsidRPr="002144F3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2144F3">
        <w:rPr>
          <w:szCs w:val="24"/>
        </w:rPr>
        <w:t>risk</w:t>
      </w:r>
      <w:proofErr w:type="spellEnd"/>
      <w:r w:rsidRPr="002144F3">
        <w:rPr>
          <w:szCs w:val="24"/>
        </w:rPr>
        <w:t>-forholdet for lægemidlet. Sundhedspersoner anmodes om at indberette alle formodede bivirkninger via:</w:t>
      </w:r>
    </w:p>
    <w:p w14:paraId="73162724" w14:textId="77777777" w:rsidR="00E00503" w:rsidRPr="002144F3" w:rsidRDefault="00E00503" w:rsidP="00E00503">
      <w:pPr>
        <w:pStyle w:val="Sidehoved"/>
        <w:tabs>
          <w:tab w:val="left" w:pos="851"/>
        </w:tabs>
        <w:ind w:left="851"/>
        <w:rPr>
          <w:szCs w:val="24"/>
        </w:rPr>
      </w:pPr>
    </w:p>
    <w:p w14:paraId="33E89527" w14:textId="77777777" w:rsidR="00E00503" w:rsidRPr="002144F3" w:rsidRDefault="00E00503" w:rsidP="00E00503">
      <w:pPr>
        <w:pStyle w:val="Sidehoved"/>
        <w:tabs>
          <w:tab w:val="left" w:pos="851"/>
        </w:tabs>
        <w:ind w:left="851"/>
        <w:rPr>
          <w:szCs w:val="24"/>
        </w:rPr>
      </w:pPr>
      <w:r w:rsidRPr="002144F3">
        <w:rPr>
          <w:szCs w:val="24"/>
        </w:rPr>
        <w:t>Lægemiddelstyrelsen</w:t>
      </w:r>
    </w:p>
    <w:p w14:paraId="7CAEC36B" w14:textId="77777777" w:rsidR="00E00503" w:rsidRPr="002144F3" w:rsidRDefault="00E00503" w:rsidP="00E00503">
      <w:pPr>
        <w:pStyle w:val="Sidehoved"/>
        <w:tabs>
          <w:tab w:val="left" w:pos="851"/>
        </w:tabs>
        <w:ind w:left="851"/>
        <w:rPr>
          <w:szCs w:val="24"/>
        </w:rPr>
      </w:pPr>
      <w:r w:rsidRPr="002144F3">
        <w:rPr>
          <w:szCs w:val="24"/>
        </w:rPr>
        <w:t>Axel Heides Gade 1</w:t>
      </w:r>
    </w:p>
    <w:p w14:paraId="578BE04C" w14:textId="77777777" w:rsidR="00E00503" w:rsidRPr="002144F3" w:rsidRDefault="00E00503" w:rsidP="00E00503">
      <w:pPr>
        <w:pStyle w:val="Sidehoved"/>
        <w:tabs>
          <w:tab w:val="left" w:pos="851"/>
        </w:tabs>
        <w:ind w:left="851"/>
        <w:rPr>
          <w:szCs w:val="24"/>
        </w:rPr>
      </w:pPr>
      <w:r w:rsidRPr="002144F3">
        <w:rPr>
          <w:szCs w:val="24"/>
        </w:rPr>
        <w:t>DK-2300 København S</w:t>
      </w:r>
    </w:p>
    <w:p w14:paraId="2C28AA56" w14:textId="77777777" w:rsidR="00E00503" w:rsidRPr="002144F3" w:rsidRDefault="00E00503" w:rsidP="00E00503">
      <w:pPr>
        <w:pStyle w:val="Sidehoved"/>
        <w:tabs>
          <w:tab w:val="left" w:pos="851"/>
        </w:tabs>
        <w:ind w:left="851"/>
        <w:rPr>
          <w:szCs w:val="24"/>
        </w:rPr>
      </w:pPr>
      <w:r w:rsidRPr="002144F3">
        <w:rPr>
          <w:szCs w:val="24"/>
        </w:rPr>
        <w:t xml:space="preserve">Websted: </w:t>
      </w:r>
      <w:hyperlink r:id="rId8" w:history="1">
        <w:r w:rsidRPr="002144F3">
          <w:rPr>
            <w:rStyle w:val="Hyperlink"/>
            <w:szCs w:val="24"/>
          </w:rPr>
          <w:t>www.meldenbivirkning.dk</w:t>
        </w:r>
      </w:hyperlink>
    </w:p>
    <w:p w14:paraId="62CA8D44" w14:textId="77777777" w:rsidR="009260DE" w:rsidRPr="002144F3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0F9A651D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4.9</w:t>
      </w:r>
      <w:r w:rsidRPr="002144F3">
        <w:rPr>
          <w:b/>
          <w:sz w:val="24"/>
          <w:szCs w:val="24"/>
        </w:rPr>
        <w:tab/>
        <w:t>Overdosering</w:t>
      </w:r>
    </w:p>
    <w:p w14:paraId="368FC832" w14:textId="77777777" w:rsidR="00441C7A" w:rsidRPr="00441C7A" w:rsidRDefault="00441C7A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34051737" w14:textId="64FF709B" w:rsidR="00E00503" w:rsidRPr="002144F3" w:rsidRDefault="00E00503" w:rsidP="00E00503">
      <w:pPr>
        <w:tabs>
          <w:tab w:val="left" w:pos="851"/>
        </w:tabs>
        <w:ind w:left="851"/>
        <w:rPr>
          <w:b/>
          <w:sz w:val="24"/>
          <w:szCs w:val="24"/>
          <w:lang w:eastAsia="da-DK"/>
        </w:rPr>
      </w:pPr>
      <w:r w:rsidRPr="002144F3">
        <w:rPr>
          <w:b/>
          <w:sz w:val="24"/>
          <w:szCs w:val="24"/>
        </w:rPr>
        <w:t>Symptomer og tegn</w:t>
      </w:r>
    </w:p>
    <w:p w14:paraId="425864F5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Symptomer og tegn på overdosering kan omfatte </w:t>
      </w:r>
      <w:proofErr w:type="spellStart"/>
      <w:r w:rsidRPr="002144F3">
        <w:rPr>
          <w:sz w:val="24"/>
          <w:szCs w:val="24"/>
        </w:rPr>
        <w:t>abdominalsmerter</w:t>
      </w:r>
      <w:proofErr w:type="spellEnd"/>
      <w:r w:rsidRPr="002144F3">
        <w:rPr>
          <w:sz w:val="24"/>
          <w:szCs w:val="24"/>
        </w:rPr>
        <w:t>, kvalme og døsighed.</w:t>
      </w:r>
    </w:p>
    <w:p w14:paraId="5425EBE3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4DD737FC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Når der tages for meget, kan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 xml:space="preserve"> forårsage nyresten.</w:t>
      </w:r>
    </w:p>
    <w:p w14:paraId="548B9430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09C0E6E2" w14:textId="77777777" w:rsidR="00E00503" w:rsidRPr="002144F3" w:rsidRDefault="00E00503" w:rsidP="00E00503">
      <w:pPr>
        <w:tabs>
          <w:tab w:val="left" w:pos="851"/>
        </w:tabs>
        <w:ind w:left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Behandling</w:t>
      </w:r>
    </w:p>
    <w:p w14:paraId="48661FBA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Behandling skal være symptomatisk og understøttende.</w:t>
      </w:r>
    </w:p>
    <w:p w14:paraId="10BF8308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128028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4.10</w:t>
      </w:r>
      <w:r w:rsidRPr="002144F3">
        <w:rPr>
          <w:b/>
          <w:sz w:val="24"/>
          <w:szCs w:val="24"/>
        </w:rPr>
        <w:tab/>
        <w:t>Udlevering</w:t>
      </w:r>
    </w:p>
    <w:p w14:paraId="46CB457D" w14:textId="48BF1B1D" w:rsidR="009260DE" w:rsidRPr="002144F3" w:rsidRDefault="00BA2F5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HA</w:t>
      </w:r>
    </w:p>
    <w:p w14:paraId="7F35A6C5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4BD604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5E3A70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5.</w:t>
      </w:r>
      <w:r w:rsidRPr="002144F3">
        <w:rPr>
          <w:b/>
          <w:sz w:val="24"/>
          <w:szCs w:val="24"/>
        </w:rPr>
        <w:tab/>
        <w:t>FARMAKOLOGISKE EGENSKABER</w:t>
      </w:r>
    </w:p>
    <w:p w14:paraId="72965CF1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788E07" w14:textId="77777777" w:rsidR="009260DE" w:rsidRPr="002144F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5.1</w:t>
      </w:r>
      <w:r w:rsidRPr="002144F3">
        <w:rPr>
          <w:b/>
          <w:sz w:val="24"/>
          <w:szCs w:val="24"/>
        </w:rPr>
        <w:tab/>
      </w:r>
      <w:proofErr w:type="spellStart"/>
      <w:r w:rsidRPr="002144F3">
        <w:rPr>
          <w:b/>
          <w:sz w:val="24"/>
          <w:szCs w:val="24"/>
        </w:rPr>
        <w:t>Farmakodynamiske</w:t>
      </w:r>
      <w:proofErr w:type="spellEnd"/>
      <w:r w:rsidRPr="002144F3">
        <w:rPr>
          <w:b/>
          <w:sz w:val="24"/>
          <w:szCs w:val="24"/>
        </w:rPr>
        <w:t xml:space="preserve"> egenskaber</w:t>
      </w:r>
    </w:p>
    <w:p w14:paraId="51EDF9FF" w14:textId="77777777" w:rsidR="00EE19C9" w:rsidRPr="002144F3" w:rsidRDefault="00EE19C9" w:rsidP="00EE19C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r w:rsidRPr="002144F3">
        <w:rPr>
          <w:color w:val="000000"/>
          <w:sz w:val="24"/>
          <w:szCs w:val="24"/>
        </w:rPr>
        <w:t xml:space="preserve">Midler mod hoste og forkølelse, </w:t>
      </w:r>
      <w:proofErr w:type="spellStart"/>
      <w:r w:rsidRPr="002144F3">
        <w:rPr>
          <w:color w:val="000000"/>
          <w:sz w:val="24"/>
          <w:szCs w:val="24"/>
        </w:rPr>
        <w:t>Expectorantia</w:t>
      </w:r>
      <w:proofErr w:type="spellEnd"/>
      <w:r w:rsidRPr="002144F3">
        <w:rPr>
          <w:color w:val="000000"/>
          <w:sz w:val="24"/>
          <w:szCs w:val="24"/>
        </w:rPr>
        <w:t>.</w:t>
      </w:r>
    </w:p>
    <w:p w14:paraId="5A9BB0B2" w14:textId="5C073302" w:rsidR="00BA2F57" w:rsidRDefault="00EE19C9" w:rsidP="00E0050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144F3">
        <w:rPr>
          <w:sz w:val="24"/>
          <w:szCs w:val="24"/>
        </w:rPr>
        <w:t xml:space="preserve">ATC-kode: </w:t>
      </w:r>
      <w:r w:rsidRPr="002144F3">
        <w:rPr>
          <w:color w:val="000000"/>
          <w:spacing w:val="1"/>
          <w:sz w:val="24"/>
          <w:szCs w:val="24"/>
        </w:rPr>
        <w:t>R</w:t>
      </w:r>
      <w:r w:rsidRPr="002144F3">
        <w:rPr>
          <w:color w:val="000000"/>
          <w:sz w:val="24"/>
          <w:szCs w:val="24"/>
        </w:rPr>
        <w:t>05</w:t>
      </w:r>
      <w:r w:rsidRPr="002144F3">
        <w:rPr>
          <w:color w:val="000000"/>
          <w:spacing w:val="1"/>
          <w:sz w:val="24"/>
          <w:szCs w:val="24"/>
        </w:rPr>
        <w:t>C</w:t>
      </w:r>
      <w:r w:rsidRPr="002144F3">
        <w:rPr>
          <w:color w:val="000000"/>
          <w:sz w:val="24"/>
          <w:szCs w:val="24"/>
        </w:rPr>
        <w:t>A03.</w:t>
      </w:r>
    </w:p>
    <w:p w14:paraId="71D95901" w14:textId="77777777" w:rsidR="00EE19C9" w:rsidRDefault="00EE19C9" w:rsidP="00E00503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D53A147" w14:textId="6680146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2144F3">
        <w:rPr>
          <w:sz w:val="24"/>
          <w:szCs w:val="24"/>
          <w:u w:val="single"/>
        </w:rPr>
        <w:t>Virkningsmekanisme</w:t>
      </w:r>
    </w:p>
    <w:p w14:paraId="7C5EF229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Dette lægemiddel menes at udøve sin farmakologiske virkning ved at stimulere receptorer i maveslimhinden. Dette øger produktionen fra sekretionskirtlerne i mave-tarm-systemet og øger reflektorisk </w:t>
      </w:r>
      <w:proofErr w:type="spellStart"/>
      <w:r w:rsidRPr="002144F3">
        <w:rPr>
          <w:sz w:val="24"/>
          <w:szCs w:val="24"/>
        </w:rPr>
        <w:t>væskeflowet</w:t>
      </w:r>
      <w:proofErr w:type="spellEnd"/>
      <w:r w:rsidRPr="002144F3">
        <w:rPr>
          <w:sz w:val="24"/>
          <w:szCs w:val="24"/>
        </w:rPr>
        <w:t xml:space="preserve"> fra kirtler i de øvre luftveje, som resulterer i større volumen og nedsat viskositet af bronkialsekretion. Andre virkninger kan omfatte stimulering af </w:t>
      </w:r>
      <w:proofErr w:type="spellStart"/>
      <w:r w:rsidRPr="002144F3">
        <w:rPr>
          <w:sz w:val="24"/>
          <w:szCs w:val="24"/>
        </w:rPr>
        <w:lastRenderedPageBreak/>
        <w:t>vagale</w:t>
      </w:r>
      <w:proofErr w:type="spellEnd"/>
      <w:r w:rsidRPr="002144F3">
        <w:rPr>
          <w:sz w:val="24"/>
          <w:szCs w:val="24"/>
        </w:rPr>
        <w:t xml:space="preserve"> nerveender i bronkialsekretionskirtlerne og stimulering af visse centre i hjernen, hvilket øger det respiratoriske </w:t>
      </w:r>
      <w:proofErr w:type="spellStart"/>
      <w:r w:rsidRPr="002144F3">
        <w:rPr>
          <w:sz w:val="24"/>
          <w:szCs w:val="24"/>
        </w:rPr>
        <w:t>væskeflow</w:t>
      </w:r>
      <w:proofErr w:type="spellEnd"/>
      <w:r w:rsidRPr="002144F3">
        <w:rPr>
          <w:sz w:val="24"/>
          <w:szCs w:val="24"/>
        </w:rPr>
        <w:t xml:space="preserve">. </w:t>
      </w:r>
      <w:proofErr w:type="spellStart"/>
      <w:r w:rsidRPr="002144F3">
        <w:rPr>
          <w:sz w:val="24"/>
          <w:szCs w:val="24"/>
        </w:rPr>
        <w:t>Guaifenesins</w:t>
      </w:r>
      <w:proofErr w:type="spellEnd"/>
      <w:r w:rsidRPr="002144F3">
        <w:rPr>
          <w:sz w:val="24"/>
          <w:szCs w:val="24"/>
        </w:rPr>
        <w:t xml:space="preserve"> slimløsende virkning sker inden for 24 timer.</w:t>
      </w:r>
    </w:p>
    <w:p w14:paraId="00D8C62E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378FEE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5.2</w:t>
      </w:r>
      <w:r w:rsidRPr="002144F3">
        <w:rPr>
          <w:b/>
          <w:sz w:val="24"/>
          <w:szCs w:val="24"/>
        </w:rPr>
        <w:tab/>
      </w:r>
      <w:proofErr w:type="spellStart"/>
      <w:r w:rsidRPr="002144F3">
        <w:rPr>
          <w:b/>
          <w:sz w:val="24"/>
          <w:szCs w:val="24"/>
        </w:rPr>
        <w:t>Farmakokinetiske</w:t>
      </w:r>
      <w:proofErr w:type="spellEnd"/>
      <w:r w:rsidRPr="002144F3">
        <w:rPr>
          <w:b/>
          <w:sz w:val="24"/>
          <w:szCs w:val="24"/>
        </w:rPr>
        <w:t xml:space="preserve"> egenskaber</w:t>
      </w:r>
    </w:p>
    <w:p w14:paraId="29B9F2CF" w14:textId="77777777" w:rsidR="00441C7A" w:rsidRPr="00441C7A" w:rsidRDefault="00441C7A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158B2AE5" w14:textId="44FFF07E" w:rsidR="00E00503" w:rsidRPr="002144F3" w:rsidRDefault="00E00503" w:rsidP="00E00503">
      <w:pPr>
        <w:tabs>
          <w:tab w:val="left" w:pos="851"/>
        </w:tabs>
        <w:ind w:left="851"/>
        <w:rPr>
          <w:b/>
          <w:sz w:val="24"/>
          <w:szCs w:val="24"/>
          <w:lang w:eastAsia="da-DK"/>
        </w:rPr>
      </w:pPr>
      <w:r w:rsidRPr="002144F3">
        <w:rPr>
          <w:b/>
          <w:sz w:val="24"/>
          <w:szCs w:val="24"/>
        </w:rPr>
        <w:t>Særlige populationer</w:t>
      </w:r>
    </w:p>
    <w:p w14:paraId="16F95FFF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Der foreligger ingen oplysninger om farmakokinetikken af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 xml:space="preserve"> hos særlige populationer.</w:t>
      </w:r>
    </w:p>
    <w:p w14:paraId="77E47414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1246172F" w14:textId="77777777" w:rsidR="00E00503" w:rsidRPr="002144F3" w:rsidRDefault="00E00503" w:rsidP="00E00503">
      <w:pPr>
        <w:tabs>
          <w:tab w:val="left" w:pos="851"/>
        </w:tabs>
        <w:ind w:left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Absorption</w:t>
      </w:r>
    </w:p>
    <w:p w14:paraId="25F4198D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144F3">
        <w:rPr>
          <w:color w:val="000000"/>
          <w:spacing w:val="-3"/>
          <w:sz w:val="24"/>
          <w:szCs w:val="24"/>
        </w:rPr>
        <w:t>G</w:t>
      </w:r>
      <w:r w:rsidRPr="002144F3">
        <w:rPr>
          <w:color w:val="000000"/>
          <w:spacing w:val="-2"/>
          <w:sz w:val="24"/>
          <w:szCs w:val="24"/>
        </w:rPr>
        <w:t>u</w:t>
      </w:r>
      <w:r w:rsidRPr="002144F3">
        <w:rPr>
          <w:color w:val="000000"/>
          <w:spacing w:val="-3"/>
          <w:sz w:val="24"/>
          <w:szCs w:val="24"/>
        </w:rPr>
        <w:t>a</w:t>
      </w:r>
      <w:r w:rsidRPr="002144F3">
        <w:rPr>
          <w:color w:val="000000"/>
          <w:spacing w:val="-2"/>
          <w:sz w:val="24"/>
          <w:szCs w:val="24"/>
        </w:rPr>
        <w:t>i</w:t>
      </w:r>
      <w:r w:rsidRPr="002144F3">
        <w:rPr>
          <w:color w:val="000000"/>
          <w:spacing w:val="-3"/>
          <w:sz w:val="24"/>
          <w:szCs w:val="24"/>
        </w:rPr>
        <w:t>fe</w:t>
      </w:r>
      <w:r w:rsidRPr="002144F3">
        <w:rPr>
          <w:color w:val="000000"/>
          <w:spacing w:val="-2"/>
          <w:sz w:val="24"/>
          <w:szCs w:val="24"/>
        </w:rPr>
        <w:t>n</w:t>
      </w:r>
      <w:r w:rsidRPr="002144F3">
        <w:rPr>
          <w:color w:val="000000"/>
          <w:spacing w:val="-3"/>
          <w:sz w:val="24"/>
          <w:szCs w:val="24"/>
        </w:rPr>
        <w:t>e</w:t>
      </w:r>
      <w:r w:rsidRPr="002144F3">
        <w:rPr>
          <w:color w:val="000000"/>
          <w:spacing w:val="-2"/>
          <w:sz w:val="24"/>
          <w:szCs w:val="24"/>
        </w:rPr>
        <w:t>s</w:t>
      </w:r>
      <w:r w:rsidRPr="002144F3">
        <w:rPr>
          <w:color w:val="000000"/>
          <w:spacing w:val="-4"/>
          <w:sz w:val="24"/>
          <w:szCs w:val="24"/>
        </w:rPr>
        <w:t>i</w:t>
      </w:r>
      <w:r w:rsidRPr="002144F3">
        <w:rPr>
          <w:color w:val="000000"/>
          <w:sz w:val="24"/>
          <w:szCs w:val="24"/>
        </w:rPr>
        <w:t>n</w:t>
      </w:r>
      <w:proofErr w:type="spellEnd"/>
      <w:r w:rsidRPr="002144F3">
        <w:rPr>
          <w:color w:val="000000"/>
          <w:sz w:val="24"/>
          <w:szCs w:val="24"/>
        </w:rPr>
        <w:t xml:space="preserve"> absorberes godt fra mave-tarm-kanalen efter oral administration, selv om der kun er begrænsede oplysninger til rådighed om dets farmakokinetik. Efter administrationen af 600 </w:t>
      </w:r>
      <w:r w:rsidRPr="002144F3">
        <w:rPr>
          <w:sz w:val="24"/>
          <w:szCs w:val="24"/>
        </w:rPr>
        <w:t xml:space="preserve">mg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 xml:space="preserve"> til raske voksne frivillige var </w:t>
      </w:r>
      <w:proofErr w:type="spellStart"/>
      <w:r w:rsidRPr="002144F3">
        <w:rPr>
          <w:sz w:val="24"/>
          <w:szCs w:val="24"/>
        </w:rPr>
        <w:t>C</w:t>
      </w:r>
      <w:r w:rsidRPr="002144F3">
        <w:rPr>
          <w:sz w:val="24"/>
          <w:szCs w:val="24"/>
          <w:vertAlign w:val="subscript"/>
        </w:rPr>
        <w:t>max</w:t>
      </w:r>
      <w:proofErr w:type="spellEnd"/>
      <w:r w:rsidRPr="002144F3">
        <w:rPr>
          <w:sz w:val="24"/>
          <w:szCs w:val="24"/>
        </w:rPr>
        <w:t xml:space="preserve"> cirka 1,4 ug/ml, og </w:t>
      </w:r>
      <w:proofErr w:type="spellStart"/>
      <w:r w:rsidRPr="002144F3">
        <w:rPr>
          <w:sz w:val="24"/>
          <w:szCs w:val="24"/>
        </w:rPr>
        <w:t>t</w:t>
      </w:r>
      <w:r w:rsidRPr="002144F3">
        <w:rPr>
          <w:sz w:val="24"/>
          <w:szCs w:val="24"/>
          <w:vertAlign w:val="subscript"/>
        </w:rPr>
        <w:t>max</w:t>
      </w:r>
      <w:proofErr w:type="spellEnd"/>
      <w:r w:rsidRPr="002144F3">
        <w:rPr>
          <w:sz w:val="24"/>
          <w:szCs w:val="24"/>
        </w:rPr>
        <w:t xml:space="preserve"> forekom cirka 15 minutter efter administration af lægemidler.</w:t>
      </w:r>
    </w:p>
    <w:p w14:paraId="208507E6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2A8CB595" w14:textId="77777777" w:rsidR="00E00503" w:rsidRPr="002144F3" w:rsidRDefault="00E00503" w:rsidP="00E00503">
      <w:pPr>
        <w:tabs>
          <w:tab w:val="left" w:pos="851"/>
        </w:tabs>
        <w:ind w:left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Fordeling</w:t>
      </w:r>
    </w:p>
    <w:p w14:paraId="731EE35A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Der foreligger ingen oplysninger om fordelingen af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 xml:space="preserve"> hos mennesker.</w:t>
      </w:r>
    </w:p>
    <w:p w14:paraId="0304E5D1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6DF1289D" w14:textId="77777777" w:rsidR="00E00503" w:rsidRPr="002144F3" w:rsidRDefault="00E00503" w:rsidP="00E00503">
      <w:pPr>
        <w:tabs>
          <w:tab w:val="left" w:pos="851"/>
        </w:tabs>
        <w:ind w:left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Biotransformation og elimination</w:t>
      </w:r>
    </w:p>
    <w:p w14:paraId="22A31EA5" w14:textId="77777777" w:rsidR="00047F18" w:rsidRDefault="00047F18" w:rsidP="00047F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 xml:space="preserve"> ser ud til at undergå både oxidation og </w:t>
      </w:r>
      <w:proofErr w:type="spellStart"/>
      <w:r w:rsidRPr="002144F3">
        <w:rPr>
          <w:sz w:val="24"/>
          <w:szCs w:val="24"/>
        </w:rPr>
        <w:t>demethylering</w:t>
      </w:r>
      <w:proofErr w:type="spellEnd"/>
      <w:r w:rsidRPr="002144F3">
        <w:rPr>
          <w:sz w:val="24"/>
          <w:szCs w:val="24"/>
        </w:rPr>
        <w:t xml:space="preserve">. </w:t>
      </w:r>
      <w:r w:rsidRPr="00996DCA">
        <w:rPr>
          <w:sz w:val="24"/>
          <w:szCs w:val="24"/>
        </w:rPr>
        <w:t xml:space="preserve">Lægemidlet </w:t>
      </w:r>
      <w:proofErr w:type="spellStart"/>
      <w:r w:rsidRPr="00996DCA">
        <w:rPr>
          <w:sz w:val="24"/>
          <w:szCs w:val="24"/>
        </w:rPr>
        <w:t>metaboliseres</w:t>
      </w:r>
      <w:proofErr w:type="spellEnd"/>
      <w:r w:rsidRPr="00996DCA">
        <w:rPr>
          <w:sz w:val="24"/>
          <w:szCs w:val="24"/>
        </w:rPr>
        <w:t xml:space="preserve"> hurtigt i leveren via oxidation til β-(2-</w:t>
      </w:r>
      <w:proofErr w:type="gramStart"/>
      <w:r w:rsidRPr="00996DCA">
        <w:rPr>
          <w:sz w:val="24"/>
          <w:szCs w:val="24"/>
        </w:rPr>
        <w:t>methoxyphenoxy)-</w:t>
      </w:r>
      <w:proofErr w:type="gramEnd"/>
      <w:r w:rsidRPr="00996DCA">
        <w:rPr>
          <w:sz w:val="24"/>
          <w:szCs w:val="24"/>
        </w:rPr>
        <w:t xml:space="preserve">mælkesyre. </w:t>
      </w:r>
      <w:proofErr w:type="spellStart"/>
      <w:r w:rsidRPr="00996DCA">
        <w:rPr>
          <w:sz w:val="24"/>
          <w:szCs w:val="24"/>
        </w:rPr>
        <w:t>Demethyleringen</w:t>
      </w:r>
      <w:proofErr w:type="spellEnd"/>
      <w:r w:rsidRPr="00996DCA">
        <w:rPr>
          <w:sz w:val="24"/>
          <w:szCs w:val="24"/>
        </w:rPr>
        <w:t xml:space="preserve"> af GGE (</w:t>
      </w:r>
      <w:proofErr w:type="spellStart"/>
      <w:r w:rsidRPr="00996DCA">
        <w:rPr>
          <w:sz w:val="24"/>
          <w:szCs w:val="24"/>
        </w:rPr>
        <w:t>hydroxyguaifenesin</w:t>
      </w:r>
      <w:proofErr w:type="spellEnd"/>
      <w:r w:rsidRPr="00996DCA">
        <w:rPr>
          <w:sz w:val="24"/>
          <w:szCs w:val="24"/>
        </w:rPr>
        <w:t>) udføres af O-</w:t>
      </w:r>
      <w:proofErr w:type="spellStart"/>
      <w:r w:rsidRPr="00996DCA">
        <w:rPr>
          <w:sz w:val="24"/>
          <w:szCs w:val="24"/>
        </w:rPr>
        <w:t>demethylase</w:t>
      </w:r>
      <w:proofErr w:type="spellEnd"/>
      <w:r w:rsidRPr="00996DCA">
        <w:rPr>
          <w:sz w:val="24"/>
          <w:szCs w:val="24"/>
        </w:rPr>
        <w:t xml:space="preserve">, lokaliseret i </w:t>
      </w:r>
      <w:proofErr w:type="spellStart"/>
      <w:r w:rsidRPr="00996DCA">
        <w:rPr>
          <w:sz w:val="24"/>
          <w:szCs w:val="24"/>
        </w:rPr>
        <w:t>levermikrosomer</w:t>
      </w:r>
      <w:proofErr w:type="spellEnd"/>
      <w:r>
        <w:rPr>
          <w:sz w:val="24"/>
          <w:szCs w:val="24"/>
        </w:rPr>
        <w:t xml:space="preserve">. </w:t>
      </w:r>
      <w:r w:rsidRPr="002144F3">
        <w:rPr>
          <w:sz w:val="24"/>
          <w:szCs w:val="24"/>
        </w:rPr>
        <w:t xml:space="preserve">Efter en oral dosis på 600 mg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 xml:space="preserve"> til 3 raske mandlige frivillige var t½ cirka 1 time, og lægemidlet kunne ikke spores i blodet efter cirka 8 timer. </w:t>
      </w:r>
    </w:p>
    <w:p w14:paraId="66DB658C" w14:textId="77777777" w:rsidR="00047F18" w:rsidRDefault="00047F18" w:rsidP="00047F18">
      <w:pPr>
        <w:tabs>
          <w:tab w:val="left" w:pos="851"/>
        </w:tabs>
        <w:ind w:left="851"/>
        <w:rPr>
          <w:sz w:val="24"/>
          <w:szCs w:val="24"/>
        </w:rPr>
      </w:pPr>
    </w:p>
    <w:p w14:paraId="09D3A240" w14:textId="77777777" w:rsidR="00047F18" w:rsidRPr="002144F3" w:rsidRDefault="00047F18" w:rsidP="00047F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 w:rsidRPr="002144F3">
        <w:rPr>
          <w:sz w:val="24"/>
          <w:szCs w:val="24"/>
        </w:rPr>
        <w:t>uaifenesin</w:t>
      </w:r>
      <w:proofErr w:type="spellEnd"/>
      <w:r w:rsidRPr="002144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udskilles </w:t>
      </w:r>
      <w:r w:rsidRPr="002144F3">
        <w:rPr>
          <w:sz w:val="24"/>
          <w:szCs w:val="24"/>
        </w:rPr>
        <w:t>hovedsageligt i urinen.</w:t>
      </w:r>
      <w:r w:rsidRPr="004671F1">
        <w:rPr>
          <w:sz w:val="24"/>
          <w:szCs w:val="24"/>
        </w:rPr>
        <w:t xml:space="preserve"> </w:t>
      </w:r>
      <w:r w:rsidRPr="008C7956">
        <w:rPr>
          <w:sz w:val="24"/>
          <w:szCs w:val="24"/>
        </w:rPr>
        <w:t>C</w:t>
      </w:r>
      <w:r>
        <w:rPr>
          <w:sz w:val="24"/>
          <w:szCs w:val="24"/>
        </w:rPr>
        <w:t>irka</w:t>
      </w:r>
      <w:r w:rsidRPr="008C7956">
        <w:rPr>
          <w:sz w:val="24"/>
          <w:szCs w:val="24"/>
        </w:rPr>
        <w:t xml:space="preserve"> 40</w:t>
      </w:r>
      <w:r>
        <w:rPr>
          <w:sz w:val="24"/>
          <w:szCs w:val="24"/>
        </w:rPr>
        <w:t> </w:t>
      </w:r>
      <w:r w:rsidRPr="008C7956">
        <w:rPr>
          <w:sz w:val="24"/>
          <w:szCs w:val="24"/>
        </w:rPr>
        <w:t xml:space="preserve">% af en dosis udskilles som metabolitten </w:t>
      </w:r>
      <w:r>
        <w:rPr>
          <w:sz w:val="24"/>
          <w:szCs w:val="24"/>
        </w:rPr>
        <w:t>beta</w:t>
      </w:r>
      <w:r w:rsidRPr="008C7956">
        <w:rPr>
          <w:sz w:val="24"/>
          <w:szCs w:val="24"/>
        </w:rPr>
        <w:t>-2-methoxyphenoxy-mælkesyre i urinen inden for 3</w:t>
      </w:r>
      <w:r>
        <w:rPr>
          <w:sz w:val="24"/>
          <w:szCs w:val="24"/>
        </w:rPr>
        <w:t> </w:t>
      </w:r>
      <w:r w:rsidRPr="008C7956">
        <w:rPr>
          <w:sz w:val="24"/>
          <w:szCs w:val="24"/>
        </w:rPr>
        <w:t>timer. Efter oral dosering af 400</w:t>
      </w:r>
      <w:r>
        <w:rPr>
          <w:sz w:val="24"/>
          <w:szCs w:val="24"/>
        </w:rPr>
        <w:t> </w:t>
      </w:r>
      <w:r w:rsidRPr="008C7956">
        <w:rPr>
          <w:sz w:val="24"/>
          <w:szCs w:val="24"/>
        </w:rPr>
        <w:t xml:space="preserve">mg </w:t>
      </w:r>
      <w:proofErr w:type="spellStart"/>
      <w:r w:rsidRPr="008C7956">
        <w:rPr>
          <w:sz w:val="24"/>
          <w:szCs w:val="24"/>
        </w:rPr>
        <w:t>guaifenesin</w:t>
      </w:r>
      <w:proofErr w:type="spellEnd"/>
      <w:r w:rsidRPr="008C7956">
        <w:rPr>
          <w:sz w:val="24"/>
          <w:szCs w:val="24"/>
        </w:rPr>
        <w:t xml:space="preserve"> hydrolyseres mere end 60</w:t>
      </w:r>
      <w:r>
        <w:rPr>
          <w:sz w:val="24"/>
          <w:szCs w:val="24"/>
        </w:rPr>
        <w:t> </w:t>
      </w:r>
      <w:r w:rsidRPr="008C7956">
        <w:rPr>
          <w:sz w:val="24"/>
          <w:szCs w:val="24"/>
        </w:rPr>
        <w:t>% af en dosis inden for 7</w:t>
      </w:r>
      <w:r>
        <w:rPr>
          <w:sz w:val="24"/>
          <w:szCs w:val="24"/>
        </w:rPr>
        <w:t> </w:t>
      </w:r>
      <w:r w:rsidRPr="008C7956">
        <w:rPr>
          <w:sz w:val="24"/>
          <w:szCs w:val="24"/>
        </w:rPr>
        <w:t>timer, uden at moder</w:t>
      </w:r>
      <w:r>
        <w:rPr>
          <w:sz w:val="24"/>
          <w:szCs w:val="24"/>
        </w:rPr>
        <w:t>stoffe</w:t>
      </w:r>
      <w:r w:rsidRPr="008C7956">
        <w:rPr>
          <w:sz w:val="24"/>
          <w:szCs w:val="24"/>
        </w:rPr>
        <w:t xml:space="preserve">t kan </w:t>
      </w:r>
      <w:r>
        <w:rPr>
          <w:sz w:val="24"/>
          <w:szCs w:val="24"/>
        </w:rPr>
        <w:t>spores</w:t>
      </w:r>
      <w:r w:rsidRPr="008C7956">
        <w:rPr>
          <w:sz w:val="24"/>
          <w:szCs w:val="24"/>
        </w:rPr>
        <w:t xml:space="preserve"> i urinen</w:t>
      </w:r>
      <w:r>
        <w:rPr>
          <w:sz w:val="24"/>
          <w:szCs w:val="24"/>
        </w:rPr>
        <w:t>.</w:t>
      </w:r>
    </w:p>
    <w:p w14:paraId="1C1029DA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225116" w14:textId="1A25535F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5.3</w:t>
      </w:r>
      <w:r w:rsidRPr="002144F3">
        <w:rPr>
          <w:b/>
          <w:sz w:val="24"/>
          <w:szCs w:val="24"/>
        </w:rPr>
        <w:tab/>
      </w:r>
      <w:r w:rsidR="00EE19C9">
        <w:rPr>
          <w:b/>
          <w:sz w:val="24"/>
          <w:szCs w:val="24"/>
        </w:rPr>
        <w:t>Non-</w:t>
      </w:r>
      <w:r w:rsidRPr="002144F3">
        <w:rPr>
          <w:b/>
          <w:sz w:val="24"/>
          <w:szCs w:val="24"/>
        </w:rPr>
        <w:t>kliniske sikkerhedsdata</w:t>
      </w:r>
    </w:p>
    <w:p w14:paraId="114C29A6" w14:textId="77777777" w:rsidR="00441C7A" w:rsidRPr="00441C7A" w:rsidRDefault="00441C7A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18981AC9" w14:textId="5DA4AB4A" w:rsidR="00E00503" w:rsidRPr="002144F3" w:rsidRDefault="00E00503" w:rsidP="00E00503">
      <w:pPr>
        <w:tabs>
          <w:tab w:val="left" w:pos="851"/>
        </w:tabs>
        <w:ind w:left="851"/>
        <w:rPr>
          <w:b/>
          <w:sz w:val="24"/>
          <w:szCs w:val="24"/>
          <w:lang w:eastAsia="da-DK"/>
        </w:rPr>
      </w:pPr>
      <w:proofErr w:type="spellStart"/>
      <w:r w:rsidRPr="002144F3">
        <w:rPr>
          <w:b/>
          <w:sz w:val="24"/>
          <w:szCs w:val="24"/>
        </w:rPr>
        <w:t>Karcinogenicitet</w:t>
      </w:r>
      <w:proofErr w:type="spellEnd"/>
    </w:p>
    <w:p w14:paraId="1E4848B2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Der er ikke tilstrækkelige oplysninger til at fastslå, om </w:t>
      </w:r>
      <w:proofErr w:type="spellStart"/>
      <w:r w:rsidRPr="002144F3">
        <w:rPr>
          <w:color w:val="000000"/>
          <w:spacing w:val="-5"/>
          <w:sz w:val="24"/>
          <w:szCs w:val="24"/>
        </w:rPr>
        <w:t>g</w:t>
      </w:r>
      <w:r w:rsidRPr="002144F3">
        <w:rPr>
          <w:color w:val="000000"/>
          <w:spacing w:val="-2"/>
          <w:sz w:val="24"/>
          <w:szCs w:val="24"/>
        </w:rPr>
        <w:t>u</w:t>
      </w:r>
      <w:r w:rsidRPr="002144F3">
        <w:rPr>
          <w:color w:val="000000"/>
          <w:spacing w:val="-3"/>
          <w:sz w:val="24"/>
          <w:szCs w:val="24"/>
        </w:rPr>
        <w:t>a</w:t>
      </w:r>
      <w:r w:rsidRPr="002144F3">
        <w:rPr>
          <w:color w:val="000000"/>
          <w:spacing w:val="-2"/>
          <w:sz w:val="24"/>
          <w:szCs w:val="24"/>
        </w:rPr>
        <w:t>i</w:t>
      </w:r>
      <w:r w:rsidRPr="002144F3">
        <w:rPr>
          <w:color w:val="000000"/>
          <w:spacing w:val="-3"/>
          <w:sz w:val="24"/>
          <w:szCs w:val="24"/>
        </w:rPr>
        <w:t>fe</w:t>
      </w:r>
      <w:r w:rsidRPr="002144F3">
        <w:rPr>
          <w:color w:val="000000"/>
          <w:spacing w:val="-2"/>
          <w:sz w:val="24"/>
          <w:szCs w:val="24"/>
        </w:rPr>
        <w:t>n</w:t>
      </w:r>
      <w:r w:rsidRPr="002144F3">
        <w:rPr>
          <w:color w:val="000000"/>
          <w:spacing w:val="-3"/>
          <w:sz w:val="24"/>
          <w:szCs w:val="24"/>
        </w:rPr>
        <w:t>e</w:t>
      </w:r>
      <w:r w:rsidRPr="002144F3">
        <w:rPr>
          <w:color w:val="000000"/>
          <w:spacing w:val="-5"/>
          <w:sz w:val="24"/>
          <w:szCs w:val="24"/>
        </w:rPr>
        <w:t>s</w:t>
      </w:r>
      <w:r w:rsidRPr="002144F3">
        <w:rPr>
          <w:color w:val="000000"/>
          <w:spacing w:val="-2"/>
          <w:sz w:val="24"/>
          <w:szCs w:val="24"/>
        </w:rPr>
        <w:t>i</w:t>
      </w:r>
      <w:r w:rsidRPr="002144F3">
        <w:rPr>
          <w:color w:val="000000"/>
          <w:sz w:val="24"/>
          <w:szCs w:val="24"/>
        </w:rPr>
        <w:t>n</w:t>
      </w:r>
      <w:proofErr w:type="spellEnd"/>
      <w:r w:rsidRPr="002144F3">
        <w:rPr>
          <w:color w:val="000000"/>
          <w:sz w:val="24"/>
          <w:szCs w:val="24"/>
        </w:rPr>
        <w:t xml:space="preserve"> har </w:t>
      </w:r>
      <w:proofErr w:type="spellStart"/>
      <w:r w:rsidRPr="002144F3">
        <w:rPr>
          <w:color w:val="000000"/>
          <w:sz w:val="24"/>
          <w:szCs w:val="24"/>
        </w:rPr>
        <w:t>karcinogent</w:t>
      </w:r>
      <w:proofErr w:type="spellEnd"/>
      <w:r w:rsidRPr="002144F3">
        <w:rPr>
          <w:color w:val="000000"/>
          <w:sz w:val="24"/>
          <w:szCs w:val="24"/>
        </w:rPr>
        <w:t xml:space="preserve"> potentiale.</w:t>
      </w:r>
    </w:p>
    <w:p w14:paraId="56198691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2C4C4178" w14:textId="77777777" w:rsidR="00E00503" w:rsidRPr="002144F3" w:rsidRDefault="00E00503" w:rsidP="00E00503">
      <w:pPr>
        <w:tabs>
          <w:tab w:val="left" w:pos="851"/>
        </w:tabs>
        <w:ind w:left="851"/>
        <w:rPr>
          <w:b/>
          <w:sz w:val="24"/>
          <w:szCs w:val="24"/>
        </w:rPr>
      </w:pPr>
      <w:proofErr w:type="spellStart"/>
      <w:r w:rsidRPr="002144F3">
        <w:rPr>
          <w:b/>
          <w:sz w:val="24"/>
          <w:szCs w:val="24"/>
        </w:rPr>
        <w:t>Mutagenicitet</w:t>
      </w:r>
      <w:proofErr w:type="spellEnd"/>
    </w:p>
    <w:p w14:paraId="04785571" w14:textId="77777777" w:rsidR="00E00503" w:rsidRPr="002144F3" w:rsidRDefault="00E00503" w:rsidP="00E00503">
      <w:pPr>
        <w:tabs>
          <w:tab w:val="left" w:pos="851"/>
        </w:tabs>
        <w:ind w:left="851"/>
        <w:rPr>
          <w:b/>
          <w:sz w:val="24"/>
          <w:szCs w:val="24"/>
        </w:rPr>
      </w:pPr>
      <w:r w:rsidRPr="002144F3">
        <w:rPr>
          <w:sz w:val="24"/>
          <w:szCs w:val="24"/>
        </w:rPr>
        <w:t xml:space="preserve">Der er ikke tilstrækkelige oplysninger til at fastslå, om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 xml:space="preserve"> har mutagent potentiale.</w:t>
      </w:r>
    </w:p>
    <w:p w14:paraId="1772700C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1C414558" w14:textId="77777777" w:rsidR="00E00503" w:rsidRPr="002144F3" w:rsidRDefault="00E00503" w:rsidP="00E00503">
      <w:pPr>
        <w:tabs>
          <w:tab w:val="left" w:pos="851"/>
        </w:tabs>
        <w:ind w:left="851"/>
        <w:rPr>
          <w:b/>
          <w:sz w:val="24"/>
          <w:szCs w:val="24"/>
        </w:rPr>
      </w:pPr>
      <w:proofErr w:type="spellStart"/>
      <w:r w:rsidRPr="002144F3">
        <w:rPr>
          <w:b/>
          <w:sz w:val="24"/>
          <w:szCs w:val="24"/>
        </w:rPr>
        <w:t>Teratogenicitet</w:t>
      </w:r>
      <w:proofErr w:type="spellEnd"/>
    </w:p>
    <w:p w14:paraId="0F0DF14D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Der er ikke tilstrækkelige oplysninger til at fastslå, om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 xml:space="preserve"> har </w:t>
      </w:r>
      <w:proofErr w:type="spellStart"/>
      <w:r w:rsidRPr="002144F3">
        <w:rPr>
          <w:sz w:val="24"/>
          <w:szCs w:val="24"/>
        </w:rPr>
        <w:t>teratogent</w:t>
      </w:r>
      <w:proofErr w:type="spellEnd"/>
      <w:r w:rsidRPr="002144F3">
        <w:rPr>
          <w:sz w:val="24"/>
          <w:szCs w:val="24"/>
        </w:rPr>
        <w:t xml:space="preserve"> potentiale.</w:t>
      </w:r>
    </w:p>
    <w:p w14:paraId="24EED085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78C244F8" w14:textId="77777777" w:rsidR="00E00503" w:rsidRPr="002144F3" w:rsidRDefault="00E00503" w:rsidP="00E00503">
      <w:pPr>
        <w:tabs>
          <w:tab w:val="left" w:pos="851"/>
        </w:tabs>
        <w:ind w:left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Fertilitet</w:t>
      </w:r>
    </w:p>
    <w:p w14:paraId="4FDCE94F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 xml:space="preserve">Der er ikke tilstrækkelige oplysninger til at fastslå, om </w:t>
      </w:r>
      <w:proofErr w:type="spellStart"/>
      <w:r w:rsidRPr="002144F3">
        <w:rPr>
          <w:sz w:val="24"/>
          <w:szCs w:val="24"/>
        </w:rPr>
        <w:t>guaifenesin</w:t>
      </w:r>
      <w:proofErr w:type="spellEnd"/>
      <w:r w:rsidRPr="002144F3">
        <w:rPr>
          <w:sz w:val="24"/>
          <w:szCs w:val="24"/>
        </w:rPr>
        <w:t xml:space="preserve"> har potentiale til at nedsætte fertiliteten.</w:t>
      </w:r>
    </w:p>
    <w:p w14:paraId="3FD70241" w14:textId="320A0B51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60E27D" w14:textId="0DDDBADE" w:rsidR="00D16EE1" w:rsidRDefault="00D16EE1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5687E1" w14:textId="77777777" w:rsidR="00D16EE1" w:rsidRDefault="00D16EE1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97D5FA" w14:textId="77777777" w:rsidR="00BA2F57" w:rsidRPr="002144F3" w:rsidRDefault="00BA2F57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7E592C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lastRenderedPageBreak/>
        <w:t>6.</w:t>
      </w:r>
      <w:r w:rsidRPr="002144F3">
        <w:rPr>
          <w:b/>
          <w:sz w:val="24"/>
          <w:szCs w:val="24"/>
        </w:rPr>
        <w:tab/>
        <w:t>FARMACEUTISKE OPLYSNINGER</w:t>
      </w:r>
    </w:p>
    <w:p w14:paraId="282FB37E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05BFB1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6.1</w:t>
      </w:r>
      <w:r w:rsidRPr="002144F3">
        <w:rPr>
          <w:b/>
          <w:sz w:val="24"/>
          <w:szCs w:val="24"/>
        </w:rPr>
        <w:tab/>
        <w:t>Hjælpestoffer</w:t>
      </w:r>
    </w:p>
    <w:p w14:paraId="21BC3969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>Natriumcitrat</w:t>
      </w:r>
    </w:p>
    <w:p w14:paraId="4CF32392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Citronsyremonohydrat</w:t>
      </w:r>
    </w:p>
    <w:p w14:paraId="26A87B3F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144F3">
        <w:rPr>
          <w:sz w:val="24"/>
          <w:szCs w:val="24"/>
        </w:rPr>
        <w:t>Carbomer</w:t>
      </w:r>
      <w:proofErr w:type="spellEnd"/>
    </w:p>
    <w:p w14:paraId="288CE63F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2144F3">
        <w:rPr>
          <w:sz w:val="24"/>
          <w:szCs w:val="24"/>
          <w:lang w:val="en-US"/>
        </w:rPr>
        <w:t>Glycerol (E422)</w:t>
      </w:r>
    </w:p>
    <w:p w14:paraId="4069C7DE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2144F3">
        <w:rPr>
          <w:sz w:val="24"/>
          <w:szCs w:val="24"/>
          <w:lang w:val="en-US"/>
        </w:rPr>
        <w:t>Ethanol 96 %</w:t>
      </w:r>
    </w:p>
    <w:p w14:paraId="35256657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2144F3">
        <w:rPr>
          <w:sz w:val="24"/>
          <w:szCs w:val="24"/>
          <w:lang w:val="en-US"/>
        </w:rPr>
        <w:t xml:space="preserve">Glucose, </w:t>
      </w:r>
      <w:proofErr w:type="spellStart"/>
      <w:r w:rsidRPr="002144F3">
        <w:rPr>
          <w:sz w:val="24"/>
          <w:szCs w:val="24"/>
          <w:lang w:val="en-US"/>
        </w:rPr>
        <w:t>flydende</w:t>
      </w:r>
      <w:proofErr w:type="spellEnd"/>
    </w:p>
    <w:p w14:paraId="76D3F783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2144F3">
        <w:rPr>
          <w:sz w:val="24"/>
          <w:szCs w:val="24"/>
          <w:lang w:val="en-US"/>
        </w:rPr>
        <w:t>Saccharose</w:t>
      </w:r>
    </w:p>
    <w:p w14:paraId="3CCB499C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2144F3">
        <w:rPr>
          <w:sz w:val="24"/>
          <w:szCs w:val="24"/>
          <w:lang w:val="en-US"/>
        </w:rPr>
        <w:t>Sucralose</w:t>
      </w:r>
    </w:p>
    <w:p w14:paraId="5DD3CA99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Natriumbenzoat (E211)</w:t>
      </w:r>
    </w:p>
    <w:p w14:paraId="21104320" w14:textId="77777777" w:rsidR="00E00503" w:rsidRPr="001B3739" w:rsidRDefault="00E00503" w:rsidP="00E00503">
      <w:pPr>
        <w:tabs>
          <w:tab w:val="left" w:pos="851"/>
        </w:tabs>
        <w:ind w:left="851"/>
        <w:rPr>
          <w:i/>
          <w:sz w:val="24"/>
          <w:szCs w:val="24"/>
        </w:rPr>
      </w:pPr>
      <w:r w:rsidRPr="001B3739">
        <w:rPr>
          <w:i/>
          <w:sz w:val="24"/>
          <w:szCs w:val="24"/>
        </w:rPr>
        <w:t>Smagsstoffer:</w:t>
      </w:r>
    </w:p>
    <w:p w14:paraId="07EBD98D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144F3">
        <w:rPr>
          <w:sz w:val="24"/>
          <w:szCs w:val="24"/>
        </w:rPr>
        <w:t>Levomenthol</w:t>
      </w:r>
      <w:proofErr w:type="spellEnd"/>
    </w:p>
    <w:p w14:paraId="7E05AF2A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Bitterhedsblokerende smag 84E260</w:t>
      </w:r>
    </w:p>
    <w:p w14:paraId="3B1DE042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Honningsmag SN781458</w:t>
      </w:r>
    </w:p>
    <w:p w14:paraId="04312384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Citronsmag 557579CW8</w:t>
      </w:r>
    </w:p>
    <w:p w14:paraId="6C2C22C4" w14:textId="77777777" w:rsidR="00E00503" w:rsidRPr="002144F3" w:rsidRDefault="00E00503" w:rsidP="00E00503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2144F3">
        <w:rPr>
          <w:sz w:val="24"/>
          <w:szCs w:val="24"/>
        </w:rPr>
        <w:t xml:space="preserve">Smag med kølende effekt </w:t>
      </w:r>
      <w:r w:rsidRPr="002144F3">
        <w:rPr>
          <w:color w:val="000000"/>
          <w:sz w:val="24"/>
          <w:szCs w:val="24"/>
        </w:rPr>
        <w:t>539692T</w:t>
      </w:r>
    </w:p>
    <w:p w14:paraId="743EB2A9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color w:val="000000"/>
          <w:sz w:val="24"/>
          <w:szCs w:val="24"/>
        </w:rPr>
        <w:t>Smag med prikkende effekt 538723T</w:t>
      </w:r>
    </w:p>
    <w:p w14:paraId="2458E82B" w14:textId="77777777" w:rsidR="00E00503" w:rsidRPr="002144F3" w:rsidRDefault="00E00503" w:rsidP="00E00503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2144F3">
        <w:rPr>
          <w:sz w:val="24"/>
          <w:szCs w:val="24"/>
        </w:rPr>
        <w:t xml:space="preserve">Smag med varmende effekt </w:t>
      </w:r>
      <w:r w:rsidRPr="002144F3">
        <w:rPr>
          <w:color w:val="000000"/>
          <w:sz w:val="24"/>
          <w:szCs w:val="24"/>
        </w:rPr>
        <w:t>53884</w:t>
      </w:r>
      <w:r w:rsidRPr="002144F3">
        <w:rPr>
          <w:color w:val="000000"/>
          <w:spacing w:val="-2"/>
          <w:sz w:val="24"/>
          <w:szCs w:val="24"/>
        </w:rPr>
        <w:t>2</w:t>
      </w:r>
      <w:r w:rsidRPr="002144F3">
        <w:rPr>
          <w:color w:val="000000"/>
          <w:sz w:val="24"/>
          <w:szCs w:val="24"/>
        </w:rPr>
        <w:t>T</w:t>
      </w:r>
    </w:p>
    <w:p w14:paraId="01CF8D52" w14:textId="77777777" w:rsidR="00E00503" w:rsidRPr="002144F3" w:rsidRDefault="00E00503" w:rsidP="00E00503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2144F3">
        <w:rPr>
          <w:sz w:val="24"/>
          <w:szCs w:val="24"/>
        </w:rPr>
        <w:t xml:space="preserve">Smagsforstærker uden alkohol </w:t>
      </w:r>
      <w:r w:rsidRPr="002144F3">
        <w:rPr>
          <w:color w:val="000000"/>
          <w:spacing w:val="1"/>
          <w:sz w:val="24"/>
          <w:szCs w:val="24"/>
        </w:rPr>
        <w:t>SC</w:t>
      </w:r>
      <w:r w:rsidRPr="002144F3">
        <w:rPr>
          <w:color w:val="000000"/>
          <w:sz w:val="24"/>
          <w:szCs w:val="24"/>
        </w:rPr>
        <w:t>008414</w:t>
      </w:r>
    </w:p>
    <w:p w14:paraId="126D3226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(Smagsstofferne indeholder propylenglycol (E1520) og andre aromastoffer)</w:t>
      </w:r>
    </w:p>
    <w:p w14:paraId="0229877F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Karamel (E150)</w:t>
      </w:r>
    </w:p>
    <w:p w14:paraId="0E3FB349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Renset vand</w:t>
      </w:r>
    </w:p>
    <w:p w14:paraId="63712168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1B78EA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6.2</w:t>
      </w:r>
      <w:r w:rsidRPr="002144F3">
        <w:rPr>
          <w:b/>
          <w:sz w:val="24"/>
          <w:szCs w:val="24"/>
        </w:rPr>
        <w:tab/>
        <w:t>Uforligeligheder</w:t>
      </w:r>
    </w:p>
    <w:p w14:paraId="53CBE167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>Ikke relevant</w:t>
      </w:r>
    </w:p>
    <w:p w14:paraId="2B4B0EC9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82F3F5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6.3</w:t>
      </w:r>
      <w:r w:rsidRPr="002144F3">
        <w:rPr>
          <w:b/>
          <w:sz w:val="24"/>
          <w:szCs w:val="24"/>
        </w:rPr>
        <w:tab/>
        <w:t>Opbevaringstid</w:t>
      </w:r>
    </w:p>
    <w:p w14:paraId="36274596" w14:textId="3EF8BDCC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>3 år</w:t>
      </w:r>
    </w:p>
    <w:p w14:paraId="1BA5639C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Efter anbrud: 6 måneder</w:t>
      </w:r>
    </w:p>
    <w:p w14:paraId="3D1924F0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AACCFA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6.4</w:t>
      </w:r>
      <w:r w:rsidRPr="002144F3">
        <w:rPr>
          <w:b/>
          <w:sz w:val="24"/>
          <w:szCs w:val="24"/>
        </w:rPr>
        <w:tab/>
        <w:t>Særlige opbevaringsforhold</w:t>
      </w:r>
    </w:p>
    <w:p w14:paraId="19F3786C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>Opbevares i den originale flaske for at beskytte mod lys.</w:t>
      </w:r>
    </w:p>
    <w:p w14:paraId="0C06C378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859BA5" w14:textId="24FC26B9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6.5</w:t>
      </w:r>
      <w:r w:rsidRPr="002144F3">
        <w:rPr>
          <w:b/>
          <w:sz w:val="24"/>
          <w:szCs w:val="24"/>
        </w:rPr>
        <w:tab/>
        <w:t>Emballagetype og pakningsstørrelser</w:t>
      </w:r>
    </w:p>
    <w:p w14:paraId="75E70DBA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>Type III, brunlig glasflaske, forsynet med et børnesikret plastlåg med PET-belagt polstring.</w:t>
      </w:r>
    </w:p>
    <w:p w14:paraId="3C069939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6430F4E6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Pakningsstørrelser: 150 ml og 300 ml</w:t>
      </w:r>
    </w:p>
    <w:p w14:paraId="4530098D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p w14:paraId="5EEB3293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bookmarkStart w:id="1" w:name="_Hlk67571095"/>
      <w:r w:rsidRPr="002144F3">
        <w:rPr>
          <w:sz w:val="24"/>
          <w:szCs w:val="24"/>
        </w:rPr>
        <w:t>Der medfølger et plastic målebæger mærket med en 10 ml graduering.</w:t>
      </w:r>
    </w:p>
    <w:p w14:paraId="00000EC4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</w:p>
    <w:bookmarkEnd w:id="1"/>
    <w:p w14:paraId="1D43351F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Ikke alle pakningsstørrelser er nødvendigvis markedsført.</w:t>
      </w:r>
    </w:p>
    <w:p w14:paraId="0D4B3BAC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3CE42B" w14:textId="789CB7EF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6.6</w:t>
      </w:r>
      <w:r w:rsidRPr="002144F3">
        <w:rPr>
          <w:b/>
          <w:sz w:val="24"/>
          <w:szCs w:val="24"/>
        </w:rPr>
        <w:tab/>
        <w:t xml:space="preserve">Regler for </w:t>
      </w:r>
      <w:r w:rsidR="00EE19C9">
        <w:rPr>
          <w:b/>
          <w:sz w:val="24"/>
          <w:szCs w:val="24"/>
        </w:rPr>
        <w:t>bortskaffelse</w:t>
      </w:r>
      <w:r w:rsidRPr="002144F3">
        <w:rPr>
          <w:b/>
          <w:sz w:val="24"/>
          <w:szCs w:val="24"/>
        </w:rPr>
        <w:t xml:space="preserve"> og anden håndtering</w:t>
      </w:r>
    </w:p>
    <w:p w14:paraId="794228A8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144F3">
        <w:rPr>
          <w:sz w:val="24"/>
          <w:szCs w:val="24"/>
        </w:rPr>
        <w:t>Ingen særlige forholdsregler.</w:t>
      </w:r>
    </w:p>
    <w:p w14:paraId="7A1EAC2A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Ikke anvendt lægemiddel samt affald heraf skal bortskaffes i henhold til lokale retningslinjer.</w:t>
      </w:r>
    </w:p>
    <w:p w14:paraId="73949B04" w14:textId="77777777" w:rsidR="009260DE" w:rsidRPr="002144F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70BEB6E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7.</w:t>
      </w:r>
      <w:r w:rsidRPr="002144F3">
        <w:rPr>
          <w:b/>
          <w:sz w:val="24"/>
          <w:szCs w:val="24"/>
        </w:rPr>
        <w:tab/>
        <w:t>INDEHAVER AF MARKEDSFØRINGSTILLADELSEN</w:t>
      </w:r>
    </w:p>
    <w:p w14:paraId="4E3FD562" w14:textId="77777777" w:rsidR="00E00503" w:rsidRPr="002144F3" w:rsidRDefault="00E00503" w:rsidP="00E00503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2144F3">
        <w:rPr>
          <w:sz w:val="24"/>
          <w:szCs w:val="24"/>
        </w:rPr>
        <w:t>McNeil</w:t>
      </w:r>
      <w:proofErr w:type="spellEnd"/>
      <w:r w:rsidRPr="002144F3">
        <w:rPr>
          <w:sz w:val="24"/>
          <w:szCs w:val="24"/>
        </w:rPr>
        <w:t xml:space="preserve"> Danmark ApS</w:t>
      </w:r>
    </w:p>
    <w:p w14:paraId="76ECAA2F" w14:textId="579D4DD6" w:rsidR="00EE19C9" w:rsidRDefault="00EE19C9" w:rsidP="00EE19C9">
      <w:pPr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 w:rsidRPr="001631CE">
        <w:rPr>
          <w:bCs/>
          <w:sz w:val="24"/>
          <w:szCs w:val="24"/>
        </w:rPr>
        <w:t>Transformervej 14</w:t>
      </w:r>
    </w:p>
    <w:p w14:paraId="7049BB24" w14:textId="77777777" w:rsidR="00EE19C9" w:rsidRDefault="00EE19C9" w:rsidP="00EE19C9">
      <w:pPr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631CE">
        <w:rPr>
          <w:bCs/>
          <w:sz w:val="24"/>
          <w:szCs w:val="24"/>
        </w:rPr>
        <w:t>2860 Søborg</w:t>
      </w:r>
    </w:p>
    <w:p w14:paraId="16778EBD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AB9E63" w14:textId="2F4939BF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8.</w:t>
      </w:r>
      <w:r w:rsidRPr="002144F3">
        <w:rPr>
          <w:b/>
          <w:sz w:val="24"/>
          <w:szCs w:val="24"/>
        </w:rPr>
        <w:tab/>
        <w:t>MARKEDSFØRINGSTILLADELSESNUMMER (</w:t>
      </w:r>
      <w:r w:rsidR="00EE19C9">
        <w:rPr>
          <w:b/>
          <w:sz w:val="24"/>
          <w:szCs w:val="24"/>
        </w:rPr>
        <w:t>-</w:t>
      </w:r>
      <w:r w:rsidRPr="002144F3">
        <w:rPr>
          <w:b/>
          <w:sz w:val="24"/>
          <w:szCs w:val="24"/>
        </w:rPr>
        <w:t>NUMRE)</w:t>
      </w:r>
    </w:p>
    <w:p w14:paraId="69E7F881" w14:textId="51D07267" w:rsidR="009260DE" w:rsidRPr="002144F3" w:rsidRDefault="00330E8E" w:rsidP="009260DE">
      <w:pPr>
        <w:tabs>
          <w:tab w:val="left" w:pos="851"/>
        </w:tabs>
        <w:ind w:left="851"/>
        <w:rPr>
          <w:sz w:val="24"/>
          <w:szCs w:val="24"/>
        </w:rPr>
      </w:pPr>
      <w:r w:rsidRPr="002144F3">
        <w:rPr>
          <w:sz w:val="24"/>
          <w:szCs w:val="24"/>
        </w:rPr>
        <w:t>65260</w:t>
      </w:r>
    </w:p>
    <w:p w14:paraId="03356414" w14:textId="77777777" w:rsidR="009260DE" w:rsidRPr="002144F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24D065E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9.</w:t>
      </w:r>
      <w:r w:rsidRPr="002144F3">
        <w:rPr>
          <w:b/>
          <w:sz w:val="24"/>
          <w:szCs w:val="24"/>
        </w:rPr>
        <w:tab/>
        <w:t>DATO FOR FØRSTE MARKEDSFØRINGSTILLADELSE</w:t>
      </w:r>
    </w:p>
    <w:p w14:paraId="4FFA1958" w14:textId="6EAF1709" w:rsidR="009260DE" w:rsidRPr="002144F3" w:rsidRDefault="0074628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9. april 2021</w:t>
      </w:r>
    </w:p>
    <w:p w14:paraId="48AB239A" w14:textId="77777777" w:rsidR="009260DE" w:rsidRPr="002144F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81B498" w14:textId="77777777" w:rsidR="009260DE" w:rsidRPr="002144F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44F3">
        <w:rPr>
          <w:b/>
          <w:sz w:val="24"/>
          <w:szCs w:val="24"/>
        </w:rPr>
        <w:t>10.</w:t>
      </w:r>
      <w:r w:rsidRPr="002144F3">
        <w:rPr>
          <w:b/>
          <w:sz w:val="24"/>
          <w:szCs w:val="24"/>
        </w:rPr>
        <w:tab/>
        <w:t>DATO FOR ÆNDRING AF TEKSTEN</w:t>
      </w:r>
    </w:p>
    <w:p w14:paraId="52FA0967" w14:textId="73DA2C03" w:rsidR="009260DE" w:rsidRPr="002144F3" w:rsidRDefault="00A26A9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="00047F18">
        <w:rPr>
          <w:sz w:val="24"/>
          <w:szCs w:val="24"/>
        </w:rPr>
        <w:t>2</w:t>
      </w:r>
      <w:r w:rsidR="00EE19C9">
        <w:rPr>
          <w:sz w:val="24"/>
          <w:szCs w:val="24"/>
        </w:rPr>
        <w:t xml:space="preserve">. </w:t>
      </w:r>
      <w:r w:rsidR="00D16EE1">
        <w:rPr>
          <w:sz w:val="24"/>
          <w:szCs w:val="24"/>
        </w:rPr>
        <w:t>januar</w:t>
      </w:r>
      <w:r w:rsidR="00EE19C9">
        <w:rPr>
          <w:sz w:val="24"/>
          <w:szCs w:val="24"/>
        </w:rPr>
        <w:t xml:space="preserve"> 202</w:t>
      </w:r>
      <w:r w:rsidR="00D16EE1">
        <w:rPr>
          <w:sz w:val="24"/>
          <w:szCs w:val="24"/>
        </w:rPr>
        <w:t>4</w:t>
      </w:r>
    </w:p>
    <w:sectPr w:rsidR="009260DE" w:rsidRPr="002144F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61526" w14:textId="77777777" w:rsidR="00FC658D" w:rsidRDefault="00FC658D">
      <w:r>
        <w:separator/>
      </w:r>
    </w:p>
  </w:endnote>
  <w:endnote w:type="continuationSeparator" w:id="0">
    <w:p w14:paraId="158039CB" w14:textId="77777777" w:rsidR="00FC658D" w:rsidRDefault="00FC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27425" w14:textId="77777777" w:rsidR="000259B9" w:rsidRDefault="000259B9">
    <w:pPr>
      <w:pStyle w:val="Sidefod"/>
      <w:pBdr>
        <w:bottom w:val="single" w:sz="6" w:space="1" w:color="auto"/>
      </w:pBdr>
    </w:pPr>
  </w:p>
  <w:p w14:paraId="4E5EB93C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22F50E23" w14:textId="03E382F6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92C40">
      <w:rPr>
        <w:i/>
        <w:noProof/>
        <w:sz w:val="18"/>
        <w:szCs w:val="18"/>
      </w:rPr>
      <w:t>Benysine, syrup 20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28B01" w14:textId="77777777" w:rsidR="00FC658D" w:rsidRDefault="00FC658D">
      <w:r>
        <w:separator/>
      </w:r>
    </w:p>
  </w:footnote>
  <w:footnote w:type="continuationSeparator" w:id="0">
    <w:p w14:paraId="56D3158C" w14:textId="77777777" w:rsidR="00FC658D" w:rsidRDefault="00FC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8D"/>
    <w:rsid w:val="000259B9"/>
    <w:rsid w:val="00041491"/>
    <w:rsid w:val="00047F18"/>
    <w:rsid w:val="00050D16"/>
    <w:rsid w:val="00074F2A"/>
    <w:rsid w:val="000A1CA8"/>
    <w:rsid w:val="000A466B"/>
    <w:rsid w:val="000B058C"/>
    <w:rsid w:val="000E4EE6"/>
    <w:rsid w:val="001454E2"/>
    <w:rsid w:val="001B3739"/>
    <w:rsid w:val="00206CE8"/>
    <w:rsid w:val="002144F3"/>
    <w:rsid w:val="0021526C"/>
    <w:rsid w:val="00283A2B"/>
    <w:rsid w:val="002B30AD"/>
    <w:rsid w:val="002C2C01"/>
    <w:rsid w:val="00330E8E"/>
    <w:rsid w:val="003A29AE"/>
    <w:rsid w:val="003A32D7"/>
    <w:rsid w:val="003B4074"/>
    <w:rsid w:val="003C769A"/>
    <w:rsid w:val="003F1838"/>
    <w:rsid w:val="00441C7A"/>
    <w:rsid w:val="0045746C"/>
    <w:rsid w:val="0049104B"/>
    <w:rsid w:val="004B712F"/>
    <w:rsid w:val="004E3B12"/>
    <w:rsid w:val="00532310"/>
    <w:rsid w:val="00565F0F"/>
    <w:rsid w:val="00594A86"/>
    <w:rsid w:val="00596D86"/>
    <w:rsid w:val="00637F5A"/>
    <w:rsid w:val="006431B3"/>
    <w:rsid w:val="006560B1"/>
    <w:rsid w:val="006756DD"/>
    <w:rsid w:val="00692C40"/>
    <w:rsid w:val="00737275"/>
    <w:rsid w:val="00740EEC"/>
    <w:rsid w:val="0074628A"/>
    <w:rsid w:val="0078011A"/>
    <w:rsid w:val="00782AF4"/>
    <w:rsid w:val="00790EE7"/>
    <w:rsid w:val="007B6649"/>
    <w:rsid w:val="0082576E"/>
    <w:rsid w:val="00907F75"/>
    <w:rsid w:val="009260DE"/>
    <w:rsid w:val="0093258A"/>
    <w:rsid w:val="00953424"/>
    <w:rsid w:val="009C7BA3"/>
    <w:rsid w:val="009D1F5A"/>
    <w:rsid w:val="00A26A90"/>
    <w:rsid w:val="00AC3F9D"/>
    <w:rsid w:val="00B003BF"/>
    <w:rsid w:val="00B373D7"/>
    <w:rsid w:val="00BA2F57"/>
    <w:rsid w:val="00C36276"/>
    <w:rsid w:val="00C42586"/>
    <w:rsid w:val="00C60CCD"/>
    <w:rsid w:val="00C60DD9"/>
    <w:rsid w:val="00C84483"/>
    <w:rsid w:val="00C95551"/>
    <w:rsid w:val="00C95EE7"/>
    <w:rsid w:val="00CB20D7"/>
    <w:rsid w:val="00D020B0"/>
    <w:rsid w:val="00D11748"/>
    <w:rsid w:val="00D16EE1"/>
    <w:rsid w:val="00D366CF"/>
    <w:rsid w:val="00D71F34"/>
    <w:rsid w:val="00D9466C"/>
    <w:rsid w:val="00DD62ED"/>
    <w:rsid w:val="00E00503"/>
    <w:rsid w:val="00E108AA"/>
    <w:rsid w:val="00E3749A"/>
    <w:rsid w:val="00E7437F"/>
    <w:rsid w:val="00E865B8"/>
    <w:rsid w:val="00EC0B9B"/>
    <w:rsid w:val="00ED5E9F"/>
    <w:rsid w:val="00EE19C9"/>
    <w:rsid w:val="00F66D4F"/>
    <w:rsid w:val="00F90C24"/>
    <w:rsid w:val="00FB6D01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A0826"/>
  <w15:chartTrackingRefBased/>
  <w15:docId w15:val="{0E591586-0F79-4E9B-920F-9291DA3E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9C9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E005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1321</Words>
  <Characters>8597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Alexandra Ringgaard</dc:creator>
  <cp:keywords/>
  <dc:description>2022111813_x000d_
SPC pkt. 4.4</dc:description>
  <cp:lastModifiedBy>Marianne Ott Jensen</cp:lastModifiedBy>
  <cp:revision>4</cp:revision>
  <cp:lastPrinted>2012-08-22T08:53:00Z</cp:lastPrinted>
  <dcterms:created xsi:type="dcterms:W3CDTF">2023-12-28T10:06:00Z</dcterms:created>
  <dcterms:modified xsi:type="dcterms:W3CDTF">2024-01-12T10:10:00Z</dcterms:modified>
</cp:coreProperties>
</file>