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E11F9" w:rsidRPr="00B66470" w:rsidRDefault="00EE11F9" w:rsidP="00EE11F9">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BD1A07">
        <w:fldChar w:fldCharType="begin"/>
      </w:r>
      <w:r w:rsidR="00BD1A07">
        <w:instrText xml:space="preserve"> INCLUDEPICTURE  "cid:image004.jpg@01D117E9.E5553340" \* MERGEFORMATINET </w:instrText>
      </w:r>
      <w:r w:rsidR="00BD1A07">
        <w:fldChar w:fldCharType="separate"/>
      </w:r>
      <w:r w:rsidR="00834EC1">
        <w:fldChar w:fldCharType="begin"/>
      </w:r>
      <w:r w:rsidR="00834EC1">
        <w:instrText xml:space="preserve"> INCLUDEPICTURE  "cid:image004.jpg@01D117E9.E5553340" \* MERGEFORMATINET </w:instrText>
      </w:r>
      <w:r w:rsidR="00834EC1">
        <w:fldChar w:fldCharType="separate"/>
      </w:r>
      <w:r w:rsidR="00542DA7">
        <w:fldChar w:fldCharType="begin"/>
      </w:r>
      <w:r w:rsidR="00542DA7">
        <w:instrText xml:space="preserve"> INCLUDEPICTURE  "cid:image004.jpg@01D117E9.E5553340" \* MERGEFORMATINET </w:instrText>
      </w:r>
      <w:r w:rsidR="00542DA7">
        <w:fldChar w:fldCharType="separate"/>
      </w:r>
      <w:r w:rsidR="0063772C">
        <w:fldChar w:fldCharType="begin"/>
      </w:r>
      <w:r w:rsidR="0063772C">
        <w:instrText xml:space="preserve"> </w:instrText>
      </w:r>
      <w:r w:rsidR="0063772C">
        <w:instrText>INCLUDEPICTURE  "cid:image004.jpg@01D117E9.E5553340" \* MERGEFORMATINET</w:instrText>
      </w:r>
      <w:r w:rsidR="0063772C">
        <w:instrText xml:space="preserve"> </w:instrText>
      </w:r>
      <w:r w:rsidR="0063772C">
        <w:fldChar w:fldCharType="separate"/>
      </w:r>
      <w:r w:rsidR="0063772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63772C">
        <w:fldChar w:fldCharType="end"/>
      </w:r>
      <w:r w:rsidR="00542DA7">
        <w:fldChar w:fldCharType="end"/>
      </w:r>
      <w:r w:rsidR="00834EC1">
        <w:fldChar w:fldCharType="end"/>
      </w:r>
      <w:r w:rsidR="00BD1A07">
        <w:fldChar w:fldCharType="end"/>
      </w:r>
      <w:r>
        <w:fldChar w:fldCharType="end"/>
      </w:r>
      <w:r>
        <w:fldChar w:fldCharType="end"/>
      </w:r>
      <w:r>
        <w:fldChar w:fldCharType="end"/>
      </w:r>
      <w:r>
        <w:fldChar w:fldCharType="end"/>
      </w:r>
    </w:p>
    <w:p w:rsidR="00EE11F9" w:rsidRPr="00B66470" w:rsidRDefault="00EE11F9" w:rsidP="00EE11F9">
      <w:pPr>
        <w:pStyle w:val="Titel"/>
        <w:tabs>
          <w:tab w:val="right" w:pos="9356"/>
        </w:tabs>
        <w:jc w:val="left"/>
        <w:rPr>
          <w:b w:val="0"/>
          <w:szCs w:val="24"/>
          <w:lang w:eastAsia="en-US"/>
        </w:rPr>
      </w:pPr>
    </w:p>
    <w:p w:rsidR="00EE11F9" w:rsidRPr="00B66470" w:rsidRDefault="00EE11F9" w:rsidP="00EE11F9">
      <w:pPr>
        <w:pStyle w:val="Titel"/>
        <w:tabs>
          <w:tab w:val="right" w:pos="9356"/>
        </w:tabs>
        <w:jc w:val="left"/>
        <w:rPr>
          <w:b w:val="0"/>
          <w:szCs w:val="24"/>
          <w:lang w:eastAsia="en-US"/>
        </w:rPr>
      </w:pPr>
      <w:r w:rsidRPr="00B66470">
        <w:rPr>
          <w:b w:val="0"/>
          <w:szCs w:val="24"/>
          <w:lang w:eastAsia="en-US"/>
        </w:rPr>
        <w:tab/>
      </w:r>
      <w:r w:rsidR="0013510B">
        <w:rPr>
          <w:szCs w:val="24"/>
        </w:rPr>
        <w:t xml:space="preserve">23. december </w:t>
      </w:r>
      <w:r>
        <w:rPr>
          <w:szCs w:val="24"/>
        </w:rPr>
        <w:t>20</w:t>
      </w:r>
      <w:r w:rsidR="00834EC1">
        <w:rPr>
          <w:szCs w:val="24"/>
        </w:rPr>
        <w:t>21</w:t>
      </w:r>
    </w:p>
    <w:p w:rsidR="00EE11F9" w:rsidRDefault="00EE11F9" w:rsidP="00EE11F9">
      <w:pPr>
        <w:pStyle w:val="Titel"/>
        <w:jc w:val="left"/>
        <w:rPr>
          <w:b w:val="0"/>
          <w:szCs w:val="24"/>
        </w:rPr>
      </w:pPr>
    </w:p>
    <w:p w:rsidR="00EE11F9" w:rsidRPr="00B66470" w:rsidRDefault="00EE11F9" w:rsidP="00EE11F9">
      <w:pPr>
        <w:pStyle w:val="Titel"/>
        <w:jc w:val="left"/>
        <w:rPr>
          <w:b w:val="0"/>
          <w:szCs w:val="24"/>
        </w:rPr>
      </w:pPr>
    </w:p>
    <w:p w:rsidR="00EE11F9" w:rsidRPr="00B66470" w:rsidRDefault="00EE11F9" w:rsidP="00EE11F9">
      <w:pPr>
        <w:jc w:val="center"/>
        <w:rPr>
          <w:b/>
          <w:sz w:val="24"/>
          <w:szCs w:val="24"/>
        </w:rPr>
      </w:pPr>
      <w:r w:rsidRPr="00B66470">
        <w:rPr>
          <w:b/>
          <w:sz w:val="24"/>
          <w:szCs w:val="24"/>
        </w:rPr>
        <w:t>PRODUKTRESUMÉ</w:t>
      </w:r>
    </w:p>
    <w:p w:rsidR="00EE11F9" w:rsidRPr="00B66470" w:rsidRDefault="00EE11F9" w:rsidP="00EE11F9">
      <w:pPr>
        <w:jc w:val="center"/>
        <w:rPr>
          <w:b/>
          <w:sz w:val="24"/>
          <w:szCs w:val="24"/>
        </w:rPr>
      </w:pPr>
    </w:p>
    <w:p w:rsidR="00EE11F9" w:rsidRPr="00B66470" w:rsidRDefault="00EE11F9" w:rsidP="00EE11F9">
      <w:pPr>
        <w:jc w:val="center"/>
        <w:rPr>
          <w:b/>
          <w:sz w:val="24"/>
          <w:szCs w:val="24"/>
        </w:rPr>
      </w:pPr>
      <w:r w:rsidRPr="00B66470">
        <w:rPr>
          <w:b/>
          <w:sz w:val="24"/>
          <w:szCs w:val="24"/>
        </w:rPr>
        <w:t>for</w:t>
      </w:r>
    </w:p>
    <w:p w:rsidR="00EE11F9" w:rsidRPr="00B66470" w:rsidRDefault="00EE11F9" w:rsidP="00EE11F9">
      <w:pPr>
        <w:jc w:val="center"/>
        <w:rPr>
          <w:b/>
          <w:sz w:val="24"/>
          <w:szCs w:val="24"/>
        </w:rPr>
      </w:pPr>
    </w:p>
    <w:p w:rsidR="00EE11F9" w:rsidRPr="00B66470" w:rsidRDefault="00EE11F9" w:rsidP="00EE11F9">
      <w:pPr>
        <w:jc w:val="center"/>
        <w:rPr>
          <w:b/>
          <w:sz w:val="24"/>
          <w:szCs w:val="24"/>
        </w:rPr>
      </w:pPr>
      <w:proofErr w:type="spellStart"/>
      <w:r w:rsidRPr="00B66470">
        <w:rPr>
          <w:b/>
          <w:sz w:val="24"/>
          <w:szCs w:val="24"/>
        </w:rPr>
        <w:t>Berinert</w:t>
      </w:r>
      <w:proofErr w:type="spellEnd"/>
      <w:r w:rsidRPr="00B66470">
        <w:rPr>
          <w:b/>
          <w:sz w:val="24"/>
          <w:szCs w:val="24"/>
        </w:rPr>
        <w:t>, pulver og solvens til injektionsvæske, opløsning</w:t>
      </w:r>
      <w:r>
        <w:rPr>
          <w:b/>
          <w:sz w:val="24"/>
          <w:szCs w:val="24"/>
        </w:rPr>
        <w:t xml:space="preserve"> 1500 IE</w:t>
      </w:r>
    </w:p>
    <w:p w:rsidR="00EE11F9" w:rsidRPr="00B66470" w:rsidRDefault="00EE11F9" w:rsidP="00EE11F9">
      <w:pPr>
        <w:jc w:val="both"/>
        <w:rPr>
          <w:sz w:val="24"/>
          <w:szCs w:val="24"/>
        </w:rPr>
      </w:pPr>
    </w:p>
    <w:p w:rsidR="00EE11F9" w:rsidRPr="00B66470" w:rsidRDefault="00EE11F9" w:rsidP="00EE11F9">
      <w:pPr>
        <w:ind w:left="851" w:hanging="851"/>
        <w:jc w:val="both"/>
        <w:rPr>
          <w:sz w:val="24"/>
          <w:szCs w:val="24"/>
        </w:rPr>
      </w:pPr>
    </w:p>
    <w:p w:rsidR="00EE11F9" w:rsidRPr="00B66470" w:rsidRDefault="00EE11F9" w:rsidP="00EE11F9">
      <w:pPr>
        <w:ind w:left="851" w:hanging="851"/>
        <w:rPr>
          <w:b/>
          <w:sz w:val="24"/>
          <w:szCs w:val="24"/>
        </w:rPr>
      </w:pPr>
      <w:r w:rsidRPr="00B66470">
        <w:rPr>
          <w:b/>
          <w:sz w:val="24"/>
          <w:szCs w:val="24"/>
        </w:rPr>
        <w:t>0.</w:t>
      </w:r>
      <w:r w:rsidRPr="00B66470">
        <w:rPr>
          <w:b/>
          <w:sz w:val="24"/>
          <w:szCs w:val="24"/>
        </w:rPr>
        <w:tab/>
        <w:t>D.SP.NR.</w:t>
      </w:r>
    </w:p>
    <w:p w:rsidR="00EE11F9" w:rsidRPr="00B66470" w:rsidRDefault="00EE11F9" w:rsidP="00EE11F9">
      <w:pPr>
        <w:ind w:left="851" w:hanging="851"/>
        <w:rPr>
          <w:sz w:val="24"/>
          <w:szCs w:val="24"/>
        </w:rPr>
      </w:pPr>
      <w:r w:rsidRPr="00B66470">
        <w:rPr>
          <w:sz w:val="24"/>
          <w:szCs w:val="24"/>
        </w:rPr>
        <w:tab/>
        <w:t>26200</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1.</w:t>
      </w:r>
      <w:r w:rsidRPr="00B66470">
        <w:rPr>
          <w:b/>
          <w:sz w:val="24"/>
          <w:szCs w:val="24"/>
        </w:rPr>
        <w:tab/>
        <w:t>LÆGEMIDLETS NAVN</w:t>
      </w:r>
    </w:p>
    <w:p w:rsidR="00EE11F9" w:rsidRPr="00B66470" w:rsidRDefault="00EE11F9" w:rsidP="00EE11F9">
      <w:pPr>
        <w:ind w:left="851" w:hanging="851"/>
        <w:rPr>
          <w:sz w:val="24"/>
          <w:szCs w:val="24"/>
        </w:rPr>
      </w:pPr>
      <w:r w:rsidRPr="00B66470">
        <w:rPr>
          <w:sz w:val="24"/>
          <w:szCs w:val="24"/>
        </w:rPr>
        <w:tab/>
      </w:r>
      <w:proofErr w:type="spellStart"/>
      <w:r w:rsidRPr="00B66470">
        <w:rPr>
          <w:sz w:val="24"/>
          <w:szCs w:val="24"/>
        </w:rPr>
        <w:t>Berinert</w:t>
      </w:r>
      <w:proofErr w:type="spellEnd"/>
    </w:p>
    <w:p w:rsidR="00EE11F9" w:rsidRPr="00B66470" w:rsidRDefault="00EE11F9" w:rsidP="00EE11F9">
      <w:pPr>
        <w:ind w:left="851" w:hanging="851"/>
        <w:rPr>
          <w:sz w:val="24"/>
          <w:szCs w:val="24"/>
        </w:rPr>
      </w:pPr>
      <w:r w:rsidRPr="00B66470">
        <w:rPr>
          <w:sz w:val="24"/>
          <w:szCs w:val="24"/>
        </w:rPr>
        <w:tab/>
      </w:r>
    </w:p>
    <w:p w:rsidR="00EE11F9" w:rsidRPr="00B66470" w:rsidRDefault="00EE11F9" w:rsidP="00EE11F9">
      <w:pPr>
        <w:ind w:left="851" w:hanging="851"/>
        <w:rPr>
          <w:b/>
          <w:sz w:val="24"/>
          <w:szCs w:val="24"/>
        </w:rPr>
      </w:pPr>
      <w:r w:rsidRPr="00B66470">
        <w:rPr>
          <w:b/>
          <w:sz w:val="24"/>
          <w:szCs w:val="24"/>
        </w:rPr>
        <w:t>2.</w:t>
      </w:r>
      <w:r w:rsidRPr="00B66470">
        <w:rPr>
          <w:b/>
          <w:sz w:val="24"/>
          <w:szCs w:val="24"/>
        </w:rPr>
        <w:tab/>
        <w:t>KVALITATIV OG KVANTITATIV SAMMENSÆTNING</w:t>
      </w:r>
    </w:p>
    <w:p w:rsidR="00EE11F9" w:rsidRPr="00B66470" w:rsidRDefault="00EE11F9" w:rsidP="00EE11F9">
      <w:pPr>
        <w:ind w:left="851" w:hanging="851"/>
        <w:rPr>
          <w:sz w:val="24"/>
          <w:szCs w:val="24"/>
        </w:rPr>
      </w:pPr>
      <w:r w:rsidRPr="00B66470">
        <w:rPr>
          <w:sz w:val="24"/>
          <w:szCs w:val="24"/>
        </w:rPr>
        <w:tab/>
        <w:t>Aktivt stof: C1-esteraseinhibitor, human</w:t>
      </w:r>
      <w:r w:rsidR="0013510B">
        <w:rPr>
          <w:sz w:val="24"/>
          <w:szCs w:val="24"/>
        </w:rPr>
        <w:t xml:space="preserve"> (fra humant plasma)</w:t>
      </w:r>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indeholder 1500 </w:t>
      </w:r>
      <w:r>
        <w:rPr>
          <w:sz w:val="24"/>
          <w:szCs w:val="24"/>
        </w:rPr>
        <w:t>IE</w:t>
      </w:r>
      <w:r w:rsidRPr="00B66470">
        <w:rPr>
          <w:sz w:val="24"/>
          <w:szCs w:val="24"/>
        </w:rPr>
        <w:t xml:space="preserve"> per hætteglas. </w:t>
      </w:r>
    </w:p>
    <w:p w:rsidR="00EE11F9" w:rsidRPr="00B66470" w:rsidRDefault="00EE11F9" w:rsidP="00EE11F9">
      <w:pPr>
        <w:ind w:left="851"/>
        <w:rPr>
          <w:sz w:val="24"/>
          <w:szCs w:val="24"/>
        </w:rPr>
      </w:pPr>
      <w:r w:rsidRPr="00B66470">
        <w:rPr>
          <w:sz w:val="24"/>
          <w:szCs w:val="24"/>
        </w:rPr>
        <w:t xml:space="preserve">Styrken af </w:t>
      </w:r>
      <w:r w:rsidR="0013510B">
        <w:rPr>
          <w:sz w:val="24"/>
          <w:szCs w:val="24"/>
        </w:rPr>
        <w:t xml:space="preserve">humane </w:t>
      </w:r>
      <w:r w:rsidRPr="00B66470">
        <w:rPr>
          <w:sz w:val="24"/>
          <w:szCs w:val="24"/>
        </w:rPr>
        <w:t>C1-esteraseinhibitorer udtrykkes i internationale enheder (</w:t>
      </w:r>
      <w:r>
        <w:rPr>
          <w:sz w:val="24"/>
          <w:szCs w:val="24"/>
        </w:rPr>
        <w:t>IE</w:t>
      </w:r>
      <w:r w:rsidRPr="00B66470">
        <w:rPr>
          <w:sz w:val="24"/>
          <w:szCs w:val="24"/>
        </w:rPr>
        <w:t>), som er relateret til den gældende WHO-standard for præparater med C1-esteraseinhibitor.</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indeholder 500 </w:t>
      </w:r>
      <w:r>
        <w:rPr>
          <w:sz w:val="24"/>
          <w:szCs w:val="24"/>
        </w:rPr>
        <w:t>IE</w:t>
      </w:r>
      <w:r w:rsidRPr="00B66470">
        <w:rPr>
          <w:sz w:val="24"/>
          <w:szCs w:val="24"/>
        </w:rPr>
        <w:t xml:space="preserve">/ml </w:t>
      </w:r>
      <w:r w:rsidR="0013510B">
        <w:rPr>
          <w:sz w:val="24"/>
          <w:szCs w:val="24"/>
        </w:rPr>
        <w:t xml:space="preserve">human </w:t>
      </w:r>
      <w:r w:rsidRPr="00B66470">
        <w:rPr>
          <w:sz w:val="24"/>
          <w:szCs w:val="24"/>
        </w:rPr>
        <w:t>C1-esteraseinhibitor efter opløsning med 3 ml vand til injektionsvæsker.</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færdige opløsning af </w:t>
      </w:r>
      <w:proofErr w:type="spellStart"/>
      <w:r w:rsidRPr="00B66470">
        <w:rPr>
          <w:sz w:val="24"/>
          <w:szCs w:val="24"/>
        </w:rPr>
        <w:t>Berinert</w:t>
      </w:r>
      <w:proofErr w:type="spellEnd"/>
      <w:r w:rsidRPr="00B66470">
        <w:rPr>
          <w:sz w:val="24"/>
          <w:szCs w:val="24"/>
        </w:rPr>
        <w:t xml:space="preserve"> har et totalindhold af protein på 65 mg/ml.</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Hjælpestof, som behandleren skal være opmærksom på:</w:t>
      </w:r>
    </w:p>
    <w:p w:rsidR="00EE11F9" w:rsidRPr="00B66470" w:rsidRDefault="00EE11F9" w:rsidP="00EE11F9">
      <w:pPr>
        <w:ind w:left="851"/>
        <w:rPr>
          <w:sz w:val="24"/>
          <w:szCs w:val="24"/>
        </w:rPr>
      </w:pPr>
      <w:r w:rsidRPr="00B66470">
        <w:rPr>
          <w:sz w:val="24"/>
          <w:szCs w:val="24"/>
        </w:rPr>
        <w:t>Natrium op til 486 mg (cirka 21 mmol) per 100 ml opløsning.</w:t>
      </w:r>
    </w:p>
    <w:p w:rsidR="00EE11F9" w:rsidRPr="00B66470" w:rsidRDefault="00EE11F9" w:rsidP="00EE11F9">
      <w:pPr>
        <w:ind w:left="851"/>
        <w:rPr>
          <w:sz w:val="24"/>
          <w:szCs w:val="24"/>
        </w:rPr>
      </w:pPr>
      <w:r w:rsidRPr="00B66470">
        <w:rPr>
          <w:sz w:val="24"/>
          <w:szCs w:val="24"/>
        </w:rPr>
        <w:t>Alle hjælpestoffer er anført under pkt.</w:t>
      </w:r>
      <w:r>
        <w:rPr>
          <w:sz w:val="24"/>
          <w:szCs w:val="24"/>
        </w:rPr>
        <w:t xml:space="preserve"> </w:t>
      </w:r>
      <w:r w:rsidRPr="00B66470">
        <w:rPr>
          <w:sz w:val="24"/>
          <w:szCs w:val="24"/>
        </w:rPr>
        <w:t>6.1.</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3.</w:t>
      </w:r>
      <w:r w:rsidRPr="00B66470">
        <w:rPr>
          <w:b/>
          <w:sz w:val="24"/>
          <w:szCs w:val="24"/>
        </w:rPr>
        <w:tab/>
        <w:t>LÆGEMIDDELFORM</w:t>
      </w:r>
    </w:p>
    <w:p w:rsidR="00EE11F9" w:rsidRPr="00B66470" w:rsidRDefault="00EE11F9" w:rsidP="00EE11F9">
      <w:pPr>
        <w:ind w:left="851" w:hanging="851"/>
        <w:rPr>
          <w:sz w:val="24"/>
          <w:szCs w:val="24"/>
        </w:rPr>
      </w:pPr>
      <w:r w:rsidRPr="00B66470">
        <w:rPr>
          <w:sz w:val="24"/>
          <w:szCs w:val="24"/>
        </w:rPr>
        <w:tab/>
        <w:t>Pulver og solvens til injektionsv</w:t>
      </w:r>
      <w:r w:rsidRPr="00B66470">
        <w:rPr>
          <w:bCs/>
          <w:sz w:val="24"/>
          <w:szCs w:val="24"/>
        </w:rPr>
        <w:t>æske,</w:t>
      </w:r>
      <w:r w:rsidRPr="00B66470">
        <w:rPr>
          <w:sz w:val="24"/>
          <w:szCs w:val="24"/>
        </w:rPr>
        <w:t xml:space="preserve"> opløsning.</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Hvidt pulver.</w:t>
      </w:r>
    </w:p>
    <w:p w:rsidR="00EE11F9" w:rsidRDefault="0013510B" w:rsidP="00EE11F9">
      <w:pPr>
        <w:ind w:left="851" w:hanging="851"/>
        <w:rPr>
          <w:sz w:val="24"/>
          <w:szCs w:val="24"/>
        </w:rPr>
      </w:pPr>
      <w:r>
        <w:rPr>
          <w:sz w:val="24"/>
          <w:szCs w:val="24"/>
        </w:rPr>
        <w:tab/>
        <w:t>Klar, farveløs solvens.</w:t>
      </w:r>
    </w:p>
    <w:p w:rsidR="0013510B" w:rsidRPr="00B66470" w:rsidRDefault="0013510B" w:rsidP="00EE11F9">
      <w:pPr>
        <w:ind w:left="851" w:hanging="851"/>
        <w:rPr>
          <w:sz w:val="24"/>
          <w:szCs w:val="24"/>
        </w:rPr>
      </w:pP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w:t>
      </w:r>
      <w:r w:rsidRPr="00B66470">
        <w:rPr>
          <w:b/>
          <w:sz w:val="24"/>
          <w:szCs w:val="24"/>
        </w:rPr>
        <w:tab/>
        <w:t>KLINISKE OPLYSNINGER</w:t>
      </w:r>
    </w:p>
    <w:p w:rsidR="00EE11F9" w:rsidRPr="00B66470" w:rsidRDefault="00EE11F9" w:rsidP="00EE11F9">
      <w:pPr>
        <w:ind w:left="851" w:hanging="851"/>
        <w:rPr>
          <w:b/>
          <w:sz w:val="24"/>
          <w:szCs w:val="24"/>
        </w:rPr>
      </w:pPr>
    </w:p>
    <w:p w:rsidR="00EE11F9" w:rsidRPr="00B66470" w:rsidRDefault="00EE11F9" w:rsidP="00EE11F9">
      <w:pPr>
        <w:ind w:left="851" w:hanging="851"/>
        <w:rPr>
          <w:b/>
          <w:sz w:val="24"/>
          <w:szCs w:val="24"/>
          <w:u w:val="single"/>
        </w:rPr>
      </w:pPr>
      <w:r w:rsidRPr="00B66470">
        <w:rPr>
          <w:b/>
          <w:sz w:val="24"/>
          <w:szCs w:val="24"/>
        </w:rPr>
        <w:t>4.1</w:t>
      </w:r>
      <w:r w:rsidRPr="00B66470">
        <w:rPr>
          <w:b/>
          <w:sz w:val="24"/>
          <w:szCs w:val="24"/>
        </w:rPr>
        <w:tab/>
        <w:t>Terapeutiske indikationer</w:t>
      </w:r>
    </w:p>
    <w:p w:rsidR="00EE11F9" w:rsidRPr="00B66470" w:rsidRDefault="00EE11F9" w:rsidP="00EE11F9">
      <w:pPr>
        <w:ind w:left="851" w:hanging="851"/>
        <w:rPr>
          <w:sz w:val="24"/>
          <w:szCs w:val="24"/>
        </w:rPr>
      </w:pPr>
      <w:r w:rsidRPr="00B66470">
        <w:rPr>
          <w:sz w:val="24"/>
          <w:szCs w:val="24"/>
        </w:rPr>
        <w:tab/>
        <w:t xml:space="preserve">Hereditært </w:t>
      </w:r>
      <w:proofErr w:type="spellStart"/>
      <w:r w:rsidRPr="00B66470">
        <w:rPr>
          <w:sz w:val="24"/>
          <w:szCs w:val="24"/>
        </w:rPr>
        <w:t>angioødem</w:t>
      </w:r>
      <w:proofErr w:type="spellEnd"/>
      <w:r w:rsidRPr="00B66470">
        <w:rPr>
          <w:sz w:val="24"/>
          <w:szCs w:val="24"/>
        </w:rPr>
        <w:t xml:space="preserve"> type I og II (HAE).</w:t>
      </w:r>
    </w:p>
    <w:p w:rsidR="00EE11F9" w:rsidRPr="00B66470" w:rsidRDefault="00EE11F9" w:rsidP="00EE11F9">
      <w:pPr>
        <w:ind w:left="851" w:hanging="851"/>
        <w:rPr>
          <w:sz w:val="24"/>
          <w:szCs w:val="24"/>
        </w:rPr>
      </w:pPr>
    </w:p>
    <w:p w:rsidR="00EE11F9" w:rsidRPr="00B66470" w:rsidRDefault="00EE11F9" w:rsidP="00EE11F9">
      <w:pPr>
        <w:ind w:left="851" w:hanging="851"/>
        <w:rPr>
          <w:sz w:val="24"/>
          <w:szCs w:val="24"/>
        </w:rPr>
      </w:pPr>
      <w:r w:rsidRPr="00B66470">
        <w:rPr>
          <w:sz w:val="24"/>
          <w:szCs w:val="24"/>
        </w:rPr>
        <w:tab/>
        <w:t>Behandling af akutte anfald og forebyggelse af anfald før et indgreb.</w:t>
      </w:r>
    </w:p>
    <w:p w:rsidR="00EE11F9" w:rsidRDefault="00EE11F9" w:rsidP="00EE11F9">
      <w:pPr>
        <w:rPr>
          <w:sz w:val="24"/>
          <w:szCs w:val="24"/>
        </w:rPr>
      </w:pPr>
      <w:r>
        <w:rPr>
          <w:sz w:val="24"/>
          <w:szCs w:val="24"/>
        </w:rPr>
        <w:br w:type="page"/>
      </w:r>
    </w:p>
    <w:p w:rsidR="00EE11F9" w:rsidRPr="00B66470" w:rsidRDefault="00EE11F9" w:rsidP="00EE11F9">
      <w:pPr>
        <w:rPr>
          <w:sz w:val="24"/>
          <w:szCs w:val="24"/>
        </w:rPr>
      </w:pPr>
    </w:p>
    <w:p w:rsidR="00EE11F9" w:rsidRPr="00B66470" w:rsidRDefault="00EE11F9" w:rsidP="00EE11F9">
      <w:pPr>
        <w:ind w:left="851" w:hanging="851"/>
        <w:rPr>
          <w:b/>
          <w:sz w:val="24"/>
          <w:szCs w:val="24"/>
        </w:rPr>
      </w:pPr>
      <w:r w:rsidRPr="00B66470">
        <w:rPr>
          <w:b/>
          <w:sz w:val="24"/>
          <w:szCs w:val="24"/>
        </w:rPr>
        <w:t>4.2</w:t>
      </w:r>
      <w:r w:rsidRPr="00B66470">
        <w:rPr>
          <w:b/>
          <w:sz w:val="24"/>
          <w:szCs w:val="24"/>
        </w:rPr>
        <w:tab/>
        <w:t>Dosering og indgivelsesmåde</w:t>
      </w:r>
    </w:p>
    <w:p w:rsidR="00EE11F9" w:rsidRPr="00B66470" w:rsidRDefault="00EE11F9" w:rsidP="00EE11F9">
      <w:pPr>
        <w:ind w:left="851" w:hanging="851"/>
        <w:rPr>
          <w:sz w:val="24"/>
          <w:szCs w:val="24"/>
        </w:rPr>
      </w:pPr>
      <w:r w:rsidRPr="00B66470">
        <w:rPr>
          <w:sz w:val="24"/>
          <w:szCs w:val="24"/>
        </w:rPr>
        <w:tab/>
        <w:t>Behandlingen bør indledes under overvågning af en læge, der har erfaring med behandling af mangel på C1-esteraseinhibitor.</w:t>
      </w:r>
    </w:p>
    <w:p w:rsidR="00EE11F9" w:rsidRPr="00B66470" w:rsidRDefault="00EE11F9" w:rsidP="00EE11F9">
      <w:pPr>
        <w:ind w:left="851" w:hanging="851"/>
        <w:rPr>
          <w:b/>
          <w:bCs/>
          <w:i/>
          <w:iCs/>
          <w:sz w:val="24"/>
          <w:szCs w:val="24"/>
        </w:rPr>
      </w:pPr>
    </w:p>
    <w:p w:rsidR="00EE11F9" w:rsidRPr="00B66470" w:rsidRDefault="00EE11F9" w:rsidP="00EE11F9">
      <w:pPr>
        <w:ind w:left="851"/>
        <w:rPr>
          <w:b/>
          <w:bCs/>
          <w:i/>
          <w:iCs/>
          <w:sz w:val="24"/>
          <w:szCs w:val="24"/>
        </w:rPr>
      </w:pPr>
      <w:r w:rsidRPr="00B66470">
        <w:rPr>
          <w:b/>
          <w:bCs/>
          <w:i/>
          <w:iCs/>
          <w:sz w:val="24"/>
          <w:szCs w:val="24"/>
        </w:rPr>
        <w:t>Dosering</w:t>
      </w:r>
    </w:p>
    <w:p w:rsidR="00EE11F9" w:rsidRPr="00B66470" w:rsidRDefault="00EE11F9" w:rsidP="00EE11F9">
      <w:pPr>
        <w:pStyle w:val="LAFISPCNormal"/>
        <w:tabs>
          <w:tab w:val="clear" w:pos="567"/>
        </w:tabs>
        <w:ind w:left="851"/>
        <w:rPr>
          <w:b/>
          <w:szCs w:val="24"/>
          <w:lang w:val="da-DK"/>
        </w:rPr>
      </w:pPr>
      <w:r w:rsidRPr="00B66470">
        <w:rPr>
          <w:b/>
          <w:szCs w:val="24"/>
          <w:lang w:val="da-DK"/>
        </w:rPr>
        <w:t>Voksne</w:t>
      </w:r>
    </w:p>
    <w:p w:rsidR="00EE11F9" w:rsidRPr="00B66470" w:rsidRDefault="00EE11F9" w:rsidP="00EE11F9">
      <w:pPr>
        <w:pStyle w:val="LAFISPCNormal"/>
        <w:tabs>
          <w:tab w:val="clear" w:pos="567"/>
        </w:tabs>
        <w:ind w:left="851"/>
        <w:rPr>
          <w:szCs w:val="24"/>
          <w:u w:val="single"/>
          <w:lang w:val="da-DK"/>
        </w:rPr>
      </w:pPr>
      <w:r w:rsidRPr="00B66470">
        <w:rPr>
          <w:szCs w:val="24"/>
          <w:u w:val="single"/>
          <w:lang w:val="da-DK"/>
        </w:rPr>
        <w:t xml:space="preserve">Til behandling af akutte anfald af </w:t>
      </w:r>
      <w:proofErr w:type="spellStart"/>
      <w:r w:rsidRPr="00B66470">
        <w:rPr>
          <w:szCs w:val="24"/>
          <w:u w:val="single"/>
          <w:lang w:val="da-DK"/>
        </w:rPr>
        <w:t>angioødem</w:t>
      </w:r>
      <w:proofErr w:type="spellEnd"/>
      <w:r w:rsidRPr="00B66470">
        <w:rPr>
          <w:szCs w:val="24"/>
          <w:u w:val="single"/>
          <w:lang w:val="da-DK"/>
        </w:rPr>
        <w:t>:</w:t>
      </w:r>
    </w:p>
    <w:p w:rsidR="00EE11F9" w:rsidRPr="00B66470" w:rsidRDefault="00EE11F9" w:rsidP="00EE11F9">
      <w:pPr>
        <w:pStyle w:val="LAFISPCNormal"/>
        <w:tabs>
          <w:tab w:val="clear" w:pos="567"/>
        </w:tabs>
        <w:ind w:left="851"/>
        <w:rPr>
          <w:szCs w:val="24"/>
          <w:lang w:val="da-DK"/>
        </w:rPr>
      </w:pPr>
      <w:r w:rsidRPr="00B66470">
        <w:rPr>
          <w:szCs w:val="24"/>
          <w:lang w:val="da-DK"/>
        </w:rPr>
        <w:t xml:space="preserve">20 </w:t>
      </w:r>
      <w:r>
        <w:rPr>
          <w:szCs w:val="24"/>
          <w:lang w:val="da-DK"/>
        </w:rPr>
        <w:t>IE</w:t>
      </w:r>
      <w:r w:rsidRPr="00B66470">
        <w:rPr>
          <w:szCs w:val="24"/>
          <w:lang w:val="da-DK"/>
        </w:rPr>
        <w:t xml:space="preserve"> pr. kilogram legemsvægt (20 </w:t>
      </w:r>
      <w:r>
        <w:rPr>
          <w:szCs w:val="24"/>
          <w:lang w:val="da-DK"/>
        </w:rPr>
        <w:t>IE</w:t>
      </w:r>
      <w:r w:rsidRPr="00B66470">
        <w:rPr>
          <w:szCs w:val="24"/>
          <w:lang w:val="da-DK"/>
        </w:rPr>
        <w:t>/kg legemsvægt)</w:t>
      </w:r>
    </w:p>
    <w:p w:rsidR="00EE11F9" w:rsidRPr="00B66470" w:rsidRDefault="00EE11F9" w:rsidP="00EE11F9">
      <w:pPr>
        <w:pStyle w:val="LAFISPCNormal"/>
        <w:tabs>
          <w:tab w:val="clear" w:pos="567"/>
        </w:tabs>
        <w:ind w:left="851"/>
        <w:rPr>
          <w:szCs w:val="24"/>
          <w:lang w:val="da-DK"/>
        </w:rPr>
      </w:pPr>
    </w:p>
    <w:p w:rsidR="00EE11F9" w:rsidRPr="00B66470" w:rsidRDefault="00EE11F9" w:rsidP="00EE11F9">
      <w:pPr>
        <w:pStyle w:val="LAFISPCNormal"/>
        <w:tabs>
          <w:tab w:val="clear" w:pos="567"/>
        </w:tabs>
        <w:ind w:left="851"/>
        <w:rPr>
          <w:szCs w:val="24"/>
          <w:u w:val="single"/>
          <w:lang w:val="da-DK"/>
        </w:rPr>
      </w:pPr>
      <w:r w:rsidRPr="00B66470">
        <w:rPr>
          <w:szCs w:val="24"/>
          <w:u w:val="single"/>
          <w:lang w:val="da-DK"/>
        </w:rPr>
        <w:t xml:space="preserve">Forebyggelse af anfald af </w:t>
      </w:r>
      <w:proofErr w:type="spellStart"/>
      <w:r w:rsidRPr="00B66470">
        <w:rPr>
          <w:szCs w:val="24"/>
          <w:u w:val="single"/>
          <w:lang w:val="da-DK"/>
        </w:rPr>
        <w:t>angioødem</w:t>
      </w:r>
      <w:proofErr w:type="spellEnd"/>
      <w:r w:rsidRPr="00B66470">
        <w:rPr>
          <w:szCs w:val="24"/>
          <w:u w:val="single"/>
          <w:lang w:val="da-DK"/>
        </w:rPr>
        <w:t xml:space="preserve"> f</w:t>
      </w:r>
      <w:r w:rsidRPr="00B66470">
        <w:rPr>
          <w:color w:val="000000"/>
          <w:szCs w:val="24"/>
          <w:u w:val="single"/>
          <w:lang w:val="da-DK"/>
        </w:rPr>
        <w:t>ør et indgreb</w:t>
      </w:r>
      <w:r w:rsidRPr="00B66470">
        <w:rPr>
          <w:szCs w:val="24"/>
          <w:u w:val="single"/>
          <w:lang w:val="da-DK"/>
        </w:rPr>
        <w:t>:</w:t>
      </w:r>
    </w:p>
    <w:p w:rsidR="00EE11F9" w:rsidRPr="00B66470" w:rsidRDefault="00EE11F9" w:rsidP="00EE11F9">
      <w:pPr>
        <w:pStyle w:val="LAFISPCNormal"/>
        <w:tabs>
          <w:tab w:val="clear" w:pos="567"/>
        </w:tabs>
        <w:ind w:left="851"/>
        <w:rPr>
          <w:szCs w:val="24"/>
          <w:lang w:val="da-DK"/>
        </w:rPr>
      </w:pPr>
      <w:r w:rsidRPr="00B66470">
        <w:rPr>
          <w:szCs w:val="24"/>
          <w:lang w:val="da-DK"/>
        </w:rPr>
        <w:t xml:space="preserve">1000 </w:t>
      </w:r>
      <w:r>
        <w:rPr>
          <w:szCs w:val="24"/>
          <w:lang w:val="da-DK"/>
        </w:rPr>
        <w:t>IE</w:t>
      </w:r>
      <w:r w:rsidRPr="00B66470">
        <w:rPr>
          <w:szCs w:val="24"/>
          <w:lang w:val="da-DK"/>
        </w:rPr>
        <w:t xml:space="preserve"> mindre end 6 timer før et medicinsk eller kirurgisk indgreb eller tandbehandling.</w:t>
      </w:r>
    </w:p>
    <w:p w:rsidR="00EE11F9" w:rsidRPr="00B66470" w:rsidRDefault="00EE11F9" w:rsidP="00EE11F9">
      <w:pPr>
        <w:pStyle w:val="LAFISPCNormal"/>
        <w:tabs>
          <w:tab w:val="clear" w:pos="567"/>
        </w:tabs>
        <w:ind w:left="851"/>
        <w:rPr>
          <w:szCs w:val="24"/>
          <w:lang w:val="da-DK"/>
        </w:rPr>
      </w:pPr>
    </w:p>
    <w:p w:rsidR="00EE11F9" w:rsidRPr="00B66470" w:rsidRDefault="00EE11F9" w:rsidP="00EE11F9">
      <w:pPr>
        <w:pStyle w:val="LAFISPCNormal"/>
        <w:tabs>
          <w:tab w:val="clear" w:pos="567"/>
        </w:tabs>
        <w:ind w:left="851"/>
        <w:rPr>
          <w:b/>
          <w:szCs w:val="24"/>
          <w:lang w:val="da-DK"/>
        </w:rPr>
      </w:pPr>
      <w:r w:rsidRPr="00B66470">
        <w:rPr>
          <w:b/>
          <w:szCs w:val="24"/>
          <w:lang w:val="da-DK"/>
        </w:rPr>
        <w:t>Pædiatrisk population</w:t>
      </w:r>
    </w:p>
    <w:p w:rsidR="00EE11F9" w:rsidRPr="00B66470" w:rsidRDefault="00EE11F9" w:rsidP="00EE11F9">
      <w:pPr>
        <w:pStyle w:val="LAFISPCNormal"/>
        <w:tabs>
          <w:tab w:val="clear" w:pos="567"/>
        </w:tabs>
        <w:ind w:left="851"/>
        <w:rPr>
          <w:szCs w:val="24"/>
          <w:u w:val="single"/>
          <w:lang w:val="da-DK"/>
        </w:rPr>
      </w:pPr>
      <w:r w:rsidRPr="00B66470">
        <w:rPr>
          <w:szCs w:val="24"/>
          <w:u w:val="single"/>
          <w:lang w:val="da-DK"/>
        </w:rPr>
        <w:t xml:space="preserve">Til behandling af akutte anfald af </w:t>
      </w:r>
      <w:proofErr w:type="spellStart"/>
      <w:r w:rsidRPr="00B66470">
        <w:rPr>
          <w:szCs w:val="24"/>
          <w:u w:val="single"/>
          <w:lang w:val="da-DK"/>
        </w:rPr>
        <w:t>angioødem</w:t>
      </w:r>
      <w:proofErr w:type="spellEnd"/>
      <w:r w:rsidRPr="00B66470">
        <w:rPr>
          <w:szCs w:val="24"/>
          <w:u w:val="single"/>
          <w:lang w:val="da-DK"/>
        </w:rPr>
        <w:t>:</w:t>
      </w:r>
    </w:p>
    <w:p w:rsidR="00EE11F9" w:rsidRPr="00B66470" w:rsidRDefault="00EE11F9" w:rsidP="00EE11F9">
      <w:pPr>
        <w:pStyle w:val="LAFISPCNormal"/>
        <w:tabs>
          <w:tab w:val="clear" w:pos="567"/>
        </w:tabs>
        <w:ind w:left="851"/>
        <w:rPr>
          <w:szCs w:val="24"/>
          <w:lang w:val="da-DK"/>
        </w:rPr>
      </w:pPr>
      <w:r w:rsidRPr="00B66470">
        <w:rPr>
          <w:szCs w:val="24"/>
          <w:lang w:val="da-DK"/>
        </w:rPr>
        <w:t xml:space="preserve">20 </w:t>
      </w:r>
      <w:r>
        <w:rPr>
          <w:szCs w:val="24"/>
          <w:lang w:val="da-DK"/>
        </w:rPr>
        <w:t>IE</w:t>
      </w:r>
      <w:r w:rsidRPr="00B66470">
        <w:rPr>
          <w:szCs w:val="24"/>
          <w:lang w:val="da-DK"/>
        </w:rPr>
        <w:t xml:space="preserve"> pr. kilogram legemsvægt (20 </w:t>
      </w:r>
      <w:r>
        <w:rPr>
          <w:szCs w:val="24"/>
          <w:lang w:val="da-DK"/>
        </w:rPr>
        <w:t>IE</w:t>
      </w:r>
      <w:r w:rsidRPr="00B66470">
        <w:rPr>
          <w:szCs w:val="24"/>
          <w:lang w:val="da-DK"/>
        </w:rPr>
        <w:t>/kg legemsvægt)</w:t>
      </w:r>
    </w:p>
    <w:p w:rsidR="00EE11F9" w:rsidRPr="00B66470" w:rsidRDefault="00EE11F9" w:rsidP="00EE11F9">
      <w:pPr>
        <w:pStyle w:val="LAFISPCNormal"/>
        <w:tabs>
          <w:tab w:val="clear" w:pos="567"/>
        </w:tabs>
        <w:ind w:left="851"/>
        <w:rPr>
          <w:szCs w:val="24"/>
          <w:lang w:val="da-DK"/>
        </w:rPr>
      </w:pPr>
    </w:p>
    <w:p w:rsidR="00EE11F9" w:rsidRPr="00B66470" w:rsidRDefault="00EE11F9" w:rsidP="00EE11F9">
      <w:pPr>
        <w:pStyle w:val="LAFISPCNormal"/>
        <w:tabs>
          <w:tab w:val="clear" w:pos="567"/>
        </w:tabs>
        <w:ind w:left="851"/>
        <w:rPr>
          <w:szCs w:val="24"/>
          <w:u w:val="single"/>
          <w:lang w:val="da-DK"/>
        </w:rPr>
      </w:pPr>
      <w:r w:rsidRPr="00B66470">
        <w:rPr>
          <w:szCs w:val="24"/>
          <w:u w:val="single"/>
          <w:lang w:val="da-DK"/>
        </w:rPr>
        <w:t xml:space="preserve">Forebyggelse af anfald af </w:t>
      </w:r>
      <w:proofErr w:type="spellStart"/>
      <w:r w:rsidRPr="00B66470">
        <w:rPr>
          <w:szCs w:val="24"/>
          <w:u w:val="single"/>
          <w:lang w:val="da-DK"/>
        </w:rPr>
        <w:t>angioødem</w:t>
      </w:r>
      <w:proofErr w:type="spellEnd"/>
      <w:r w:rsidRPr="00B66470">
        <w:rPr>
          <w:szCs w:val="24"/>
          <w:u w:val="single"/>
          <w:lang w:val="da-DK"/>
        </w:rPr>
        <w:t xml:space="preserve"> f</w:t>
      </w:r>
      <w:r w:rsidRPr="00B66470">
        <w:rPr>
          <w:color w:val="000000"/>
          <w:szCs w:val="24"/>
          <w:u w:val="single"/>
          <w:lang w:val="da-DK"/>
        </w:rPr>
        <w:t>ør et indgreb</w:t>
      </w:r>
      <w:r w:rsidRPr="00B66470">
        <w:rPr>
          <w:szCs w:val="24"/>
          <w:u w:val="single"/>
          <w:lang w:val="da-DK"/>
        </w:rPr>
        <w:t>:</w:t>
      </w:r>
    </w:p>
    <w:p w:rsidR="00EE11F9" w:rsidRPr="00B66470" w:rsidRDefault="00EE11F9" w:rsidP="00EE11F9">
      <w:pPr>
        <w:pStyle w:val="LAFISPCNormal"/>
        <w:tabs>
          <w:tab w:val="clear" w:pos="567"/>
        </w:tabs>
        <w:ind w:left="851"/>
        <w:rPr>
          <w:szCs w:val="24"/>
          <w:lang w:val="da-DK"/>
        </w:rPr>
      </w:pPr>
      <w:r w:rsidRPr="00B66470">
        <w:rPr>
          <w:szCs w:val="24"/>
          <w:lang w:val="da-DK"/>
        </w:rPr>
        <w:t xml:space="preserve">15 til 30 </w:t>
      </w:r>
      <w:r>
        <w:rPr>
          <w:szCs w:val="24"/>
          <w:lang w:val="da-DK"/>
        </w:rPr>
        <w:t>IE</w:t>
      </w:r>
      <w:r w:rsidRPr="00B66470">
        <w:rPr>
          <w:szCs w:val="24"/>
          <w:lang w:val="da-DK"/>
        </w:rPr>
        <w:t xml:space="preserve"> pr. kilogram legemsvægt (15-30 </w:t>
      </w:r>
      <w:r>
        <w:rPr>
          <w:szCs w:val="24"/>
          <w:lang w:val="da-DK"/>
        </w:rPr>
        <w:t>IE</w:t>
      </w:r>
      <w:r w:rsidRPr="00B66470">
        <w:rPr>
          <w:szCs w:val="24"/>
          <w:lang w:val="da-DK"/>
        </w:rPr>
        <w:t>/kg legemsvægt) mindre end 6 timer før et medicinsk eller kirurgisk indgreb eller tandbehandling.</w:t>
      </w:r>
      <w:r w:rsidRPr="00B66470">
        <w:rPr>
          <w:color w:val="000000"/>
          <w:szCs w:val="24"/>
          <w:lang w:val="da-DK"/>
        </w:rPr>
        <w:t xml:space="preserve"> Doseringen skal fastsættes under hensyntagen til de kliniske omstændigheder (f.eks. type indgreb og sygdomsgrad).</w:t>
      </w:r>
      <w:r w:rsidRPr="00B66470">
        <w:rPr>
          <w:szCs w:val="24"/>
          <w:lang w:val="da-DK"/>
        </w:rPr>
        <w:t xml:space="preserve"> </w:t>
      </w:r>
    </w:p>
    <w:p w:rsidR="00EE11F9" w:rsidRPr="00B66470" w:rsidRDefault="00EE11F9" w:rsidP="00EE11F9">
      <w:pPr>
        <w:ind w:left="851"/>
        <w:rPr>
          <w:bCs/>
          <w:iCs/>
          <w:sz w:val="24"/>
          <w:szCs w:val="24"/>
          <w:u w:val="single"/>
        </w:rPr>
      </w:pPr>
    </w:p>
    <w:p w:rsidR="00EE11F9" w:rsidRPr="00B66470" w:rsidRDefault="00EE11F9" w:rsidP="00EE11F9">
      <w:pPr>
        <w:ind w:left="851"/>
        <w:rPr>
          <w:b/>
          <w:bCs/>
          <w:i/>
          <w:iCs/>
          <w:sz w:val="24"/>
          <w:szCs w:val="24"/>
        </w:rPr>
      </w:pPr>
      <w:r w:rsidRPr="00B66470">
        <w:rPr>
          <w:b/>
          <w:bCs/>
          <w:i/>
          <w:iCs/>
          <w:sz w:val="24"/>
          <w:szCs w:val="24"/>
        </w:rPr>
        <w:t xml:space="preserve">Administration </w:t>
      </w:r>
    </w:p>
    <w:p w:rsidR="00EE11F9" w:rsidRPr="00B66470" w:rsidRDefault="00EE11F9" w:rsidP="00EE11F9">
      <w:pPr>
        <w:ind w:left="851"/>
        <w:rPr>
          <w:bCs/>
          <w:iCs/>
          <w:sz w:val="24"/>
          <w:szCs w:val="24"/>
        </w:rPr>
      </w:pPr>
      <w:proofErr w:type="spellStart"/>
      <w:r w:rsidRPr="00B66470">
        <w:rPr>
          <w:bCs/>
          <w:iCs/>
          <w:sz w:val="24"/>
          <w:szCs w:val="24"/>
        </w:rPr>
        <w:t>Berinert</w:t>
      </w:r>
      <w:proofErr w:type="spellEnd"/>
      <w:r w:rsidRPr="00B66470">
        <w:rPr>
          <w:bCs/>
          <w:iCs/>
          <w:sz w:val="24"/>
          <w:szCs w:val="24"/>
        </w:rPr>
        <w:t xml:space="preserve"> opløses som beskrevet i pkt. 6.6. Den færdige opløsning </w:t>
      </w:r>
      <w:r>
        <w:rPr>
          <w:bCs/>
          <w:iCs/>
          <w:sz w:val="24"/>
          <w:szCs w:val="24"/>
        </w:rPr>
        <w:t>af</w:t>
      </w:r>
      <w:r w:rsidRPr="00B66470">
        <w:rPr>
          <w:bCs/>
          <w:iCs/>
          <w:sz w:val="24"/>
          <w:szCs w:val="24"/>
        </w:rPr>
        <w:t xml:space="preserve"> </w:t>
      </w:r>
      <w:proofErr w:type="spellStart"/>
      <w:r w:rsidRPr="00B66470">
        <w:rPr>
          <w:bCs/>
          <w:iCs/>
          <w:sz w:val="24"/>
          <w:szCs w:val="24"/>
        </w:rPr>
        <w:t>Berinert</w:t>
      </w:r>
      <w:proofErr w:type="spellEnd"/>
      <w:r w:rsidRPr="00B66470">
        <w:rPr>
          <w:bCs/>
          <w:iCs/>
          <w:sz w:val="24"/>
          <w:szCs w:val="24"/>
        </w:rPr>
        <w:t xml:space="preserve"> skal være farveløs og klar til let opaliserende. </w:t>
      </w:r>
    </w:p>
    <w:p w:rsidR="00EE11F9" w:rsidRPr="00B66470" w:rsidRDefault="00EE11F9" w:rsidP="00EE11F9">
      <w:pPr>
        <w:ind w:left="851"/>
        <w:rPr>
          <w:bCs/>
          <w:iCs/>
          <w:sz w:val="24"/>
          <w:szCs w:val="24"/>
        </w:rPr>
      </w:pPr>
      <w:r w:rsidRPr="00B66470">
        <w:rPr>
          <w:bCs/>
          <w:iCs/>
          <w:sz w:val="24"/>
          <w:szCs w:val="24"/>
        </w:rPr>
        <w:t xml:space="preserve">Opløsningen indgives som langsom </w:t>
      </w:r>
      <w:proofErr w:type="spellStart"/>
      <w:r w:rsidRPr="00B66470">
        <w:rPr>
          <w:bCs/>
          <w:iCs/>
          <w:sz w:val="24"/>
          <w:szCs w:val="24"/>
        </w:rPr>
        <w:t>i.v</w:t>
      </w:r>
      <w:proofErr w:type="spellEnd"/>
      <w:r w:rsidRPr="00B66470">
        <w:rPr>
          <w:bCs/>
          <w:iCs/>
          <w:sz w:val="24"/>
          <w:szCs w:val="24"/>
        </w:rPr>
        <w:t xml:space="preserve">. injektion. </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4.3</w:t>
      </w:r>
      <w:r w:rsidRPr="00B66470">
        <w:rPr>
          <w:b/>
          <w:sz w:val="24"/>
          <w:szCs w:val="24"/>
        </w:rPr>
        <w:tab/>
        <w:t>Kontraindikationer</w:t>
      </w:r>
    </w:p>
    <w:p w:rsidR="00EE11F9" w:rsidRPr="00B66470" w:rsidRDefault="00EE11F9" w:rsidP="00EE11F9">
      <w:pPr>
        <w:pStyle w:val="LAFISPCNormal"/>
        <w:tabs>
          <w:tab w:val="clear" w:pos="567"/>
        </w:tabs>
        <w:ind w:left="851" w:hanging="851"/>
        <w:rPr>
          <w:szCs w:val="24"/>
          <w:lang w:val="da-DK"/>
        </w:rPr>
      </w:pPr>
      <w:r w:rsidRPr="00B66470">
        <w:rPr>
          <w:szCs w:val="24"/>
          <w:lang w:val="da-DK"/>
        </w:rPr>
        <w:tab/>
        <w:t>Overfølsomhed over for det aktive stof eller over for et eller flere af hjælpestofferne anført i pkt. 6.1.</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4.4</w:t>
      </w:r>
      <w:r w:rsidRPr="00B66470">
        <w:rPr>
          <w:b/>
          <w:sz w:val="24"/>
          <w:szCs w:val="24"/>
        </w:rPr>
        <w:tab/>
        <w:t>Særlige advarsler og forsigtighedsregler vedrørende brugen</w:t>
      </w:r>
    </w:p>
    <w:p w:rsidR="00EE11F9" w:rsidRPr="00B66470" w:rsidRDefault="00EE11F9" w:rsidP="00EE11F9">
      <w:pPr>
        <w:ind w:left="851" w:hanging="851"/>
        <w:rPr>
          <w:sz w:val="24"/>
          <w:szCs w:val="24"/>
        </w:rPr>
      </w:pPr>
      <w:r w:rsidRPr="00B66470">
        <w:rPr>
          <w:sz w:val="24"/>
          <w:szCs w:val="24"/>
        </w:rPr>
        <w:tab/>
        <w:t xml:space="preserve">Hos patienter med kendt tendens til allergi bør antihistaminer og </w:t>
      </w:r>
      <w:proofErr w:type="spellStart"/>
      <w:r w:rsidRPr="00B66470">
        <w:rPr>
          <w:sz w:val="24"/>
          <w:szCs w:val="24"/>
        </w:rPr>
        <w:t>kortikosteroider</w:t>
      </w:r>
      <w:proofErr w:type="spellEnd"/>
      <w:r w:rsidRPr="00B66470">
        <w:rPr>
          <w:sz w:val="24"/>
          <w:szCs w:val="24"/>
        </w:rPr>
        <w:t xml:space="preserve"> gives profylaktisk.</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Hvis der opstår en allergisk eller </w:t>
      </w:r>
      <w:proofErr w:type="spellStart"/>
      <w:r w:rsidRPr="00B66470">
        <w:rPr>
          <w:sz w:val="24"/>
          <w:szCs w:val="24"/>
        </w:rPr>
        <w:t>anafylaktisk</w:t>
      </w:r>
      <w:proofErr w:type="spellEnd"/>
      <w:r w:rsidRPr="00B66470">
        <w:rPr>
          <w:sz w:val="24"/>
          <w:szCs w:val="24"/>
        </w:rPr>
        <w:t xml:space="preserve"> reaktion, skal behandlingen med </w:t>
      </w:r>
      <w:proofErr w:type="spellStart"/>
      <w:r w:rsidRPr="00B66470">
        <w:rPr>
          <w:sz w:val="24"/>
          <w:szCs w:val="24"/>
        </w:rPr>
        <w:t>Berinert</w:t>
      </w:r>
      <w:proofErr w:type="spellEnd"/>
      <w:r w:rsidRPr="00B66470">
        <w:rPr>
          <w:sz w:val="24"/>
          <w:szCs w:val="24"/>
        </w:rPr>
        <w:t xml:space="preserve"> omgående seponeres (dvs. injektionen/infusionen stoppes), og der indledes passende behandling. Behandlingen afhænger af bivirkningens art og sværhedsgrad. Den gældende medicinske behandling mod </w:t>
      </w:r>
      <w:proofErr w:type="spellStart"/>
      <w:r w:rsidRPr="00B66470">
        <w:rPr>
          <w:sz w:val="24"/>
          <w:szCs w:val="24"/>
        </w:rPr>
        <w:t>shock</w:t>
      </w:r>
      <w:proofErr w:type="spellEnd"/>
      <w:r w:rsidRPr="00B66470">
        <w:rPr>
          <w:sz w:val="24"/>
          <w:szCs w:val="24"/>
        </w:rPr>
        <w:t xml:space="preserve"> bør følges.</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Patienter med </w:t>
      </w:r>
      <w:proofErr w:type="spellStart"/>
      <w:r w:rsidRPr="00B66470">
        <w:rPr>
          <w:sz w:val="24"/>
          <w:szCs w:val="24"/>
        </w:rPr>
        <w:t>larynxødem</w:t>
      </w:r>
      <w:proofErr w:type="spellEnd"/>
      <w:r w:rsidRPr="00B66470">
        <w:rPr>
          <w:sz w:val="24"/>
          <w:szCs w:val="24"/>
        </w:rPr>
        <w:t xml:space="preserve"> kræver særlig omhyggelig overvågning med midler til behandling af akut </w:t>
      </w:r>
      <w:proofErr w:type="spellStart"/>
      <w:r w:rsidRPr="00B66470">
        <w:rPr>
          <w:sz w:val="24"/>
          <w:szCs w:val="24"/>
        </w:rPr>
        <w:t>shock</w:t>
      </w:r>
      <w:proofErr w:type="spellEnd"/>
      <w:r w:rsidRPr="00B66470">
        <w:rPr>
          <w:sz w:val="24"/>
          <w:szCs w:val="24"/>
        </w:rPr>
        <w:t xml:space="preserve"> i beredskab.</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bør ikke anvendes til ikke-godkendt behandling af </w:t>
      </w:r>
      <w:proofErr w:type="spellStart"/>
      <w:r w:rsidRPr="00B66470">
        <w:rPr>
          <w:sz w:val="24"/>
          <w:szCs w:val="24"/>
        </w:rPr>
        <w:t>vaskulær</w:t>
      </w:r>
      <w:proofErr w:type="spellEnd"/>
      <w:r w:rsidRPr="00B66470">
        <w:rPr>
          <w:sz w:val="24"/>
          <w:szCs w:val="24"/>
        </w:rPr>
        <w:t xml:space="preserve"> lækage-syndrom (se også pkt. 4.8).</w:t>
      </w:r>
    </w:p>
    <w:p w:rsidR="00EE11F9" w:rsidRPr="00B66470" w:rsidRDefault="00EE11F9" w:rsidP="00EE11F9">
      <w:pPr>
        <w:ind w:left="851" w:hanging="851"/>
        <w:rPr>
          <w:sz w:val="24"/>
          <w:szCs w:val="24"/>
        </w:rPr>
      </w:pPr>
    </w:p>
    <w:p w:rsidR="00EE11F9" w:rsidRPr="00B66470" w:rsidRDefault="0013510B" w:rsidP="00EE11F9">
      <w:pPr>
        <w:ind w:left="851"/>
        <w:rPr>
          <w:sz w:val="24"/>
          <w:szCs w:val="24"/>
        </w:rPr>
      </w:pPr>
      <w:proofErr w:type="spellStart"/>
      <w:r>
        <w:rPr>
          <w:sz w:val="24"/>
          <w:szCs w:val="24"/>
        </w:rPr>
        <w:t>Berinert</w:t>
      </w:r>
      <w:proofErr w:type="spellEnd"/>
      <w:r>
        <w:rPr>
          <w:sz w:val="24"/>
          <w:szCs w:val="24"/>
        </w:rPr>
        <w:t xml:space="preserve"> 1500 IE </w:t>
      </w:r>
      <w:r w:rsidRPr="002F128F">
        <w:rPr>
          <w:sz w:val="24"/>
          <w:szCs w:val="24"/>
        </w:rPr>
        <w:t>indeholder mindre end 1</w:t>
      </w:r>
      <w:r>
        <w:rPr>
          <w:sz w:val="24"/>
          <w:szCs w:val="24"/>
        </w:rPr>
        <w:t> </w:t>
      </w:r>
      <w:r w:rsidRPr="002F128F">
        <w:rPr>
          <w:sz w:val="24"/>
          <w:szCs w:val="24"/>
        </w:rPr>
        <w:t>mmol</w:t>
      </w:r>
      <w:r>
        <w:rPr>
          <w:sz w:val="24"/>
          <w:szCs w:val="24"/>
        </w:rPr>
        <w:t xml:space="preserve"> </w:t>
      </w:r>
      <w:r w:rsidRPr="002F128F">
        <w:rPr>
          <w:sz w:val="24"/>
          <w:szCs w:val="24"/>
        </w:rPr>
        <w:t>(23</w:t>
      </w:r>
      <w:r>
        <w:rPr>
          <w:sz w:val="24"/>
          <w:szCs w:val="24"/>
        </w:rPr>
        <w:t> </w:t>
      </w:r>
      <w:r w:rsidRPr="002F128F">
        <w:rPr>
          <w:sz w:val="24"/>
          <w:szCs w:val="24"/>
        </w:rPr>
        <w:t xml:space="preserve">mg) natrium pr. </w:t>
      </w:r>
      <w:r>
        <w:rPr>
          <w:sz w:val="24"/>
          <w:szCs w:val="24"/>
        </w:rPr>
        <w:t>hætteglas,</w:t>
      </w:r>
      <w:r w:rsidRPr="002F128F">
        <w:rPr>
          <w:sz w:val="24"/>
          <w:szCs w:val="24"/>
        </w:rPr>
        <w:t xml:space="preserve"> dvs. det er i det væsentlige natriumfrit</w:t>
      </w:r>
      <w:r>
        <w:rPr>
          <w:sz w:val="24"/>
          <w:szCs w:val="24"/>
        </w:rPr>
        <w:t>.</w:t>
      </w:r>
    </w:p>
    <w:p w:rsidR="00EE11F9" w:rsidRPr="00B66470" w:rsidRDefault="00EE11F9" w:rsidP="00EE11F9">
      <w:pPr>
        <w:ind w:left="851" w:hanging="851"/>
        <w:rPr>
          <w:sz w:val="24"/>
          <w:szCs w:val="24"/>
        </w:rPr>
      </w:pPr>
      <w:r>
        <w:rPr>
          <w:sz w:val="24"/>
          <w:szCs w:val="24"/>
        </w:rPr>
        <w:br w:type="page"/>
      </w:r>
    </w:p>
    <w:p w:rsidR="00EE11F9" w:rsidRPr="00B66470" w:rsidRDefault="00EE11F9" w:rsidP="00EE11F9">
      <w:pPr>
        <w:ind w:left="851"/>
        <w:rPr>
          <w:b/>
          <w:i/>
          <w:sz w:val="24"/>
          <w:szCs w:val="24"/>
        </w:rPr>
      </w:pPr>
      <w:r w:rsidRPr="00B66470">
        <w:rPr>
          <w:b/>
          <w:i/>
          <w:sz w:val="24"/>
          <w:szCs w:val="24"/>
        </w:rPr>
        <w:lastRenderedPageBreak/>
        <w:t>Hjemmebehandling og selvmedicinering</w:t>
      </w:r>
    </w:p>
    <w:p w:rsidR="00EE11F9" w:rsidRPr="00B66470" w:rsidRDefault="00EE11F9" w:rsidP="00EE11F9">
      <w:pPr>
        <w:ind w:left="851"/>
        <w:rPr>
          <w:sz w:val="24"/>
          <w:szCs w:val="24"/>
        </w:rPr>
      </w:pPr>
      <w:r w:rsidRPr="00B66470">
        <w:rPr>
          <w:sz w:val="24"/>
          <w:szCs w:val="24"/>
        </w:rPr>
        <w:t>Der foreligger begrænsede data om dette lægemiddel, når det anvendes til hjemme</w:t>
      </w:r>
      <w:r w:rsidRPr="00B66470">
        <w:rPr>
          <w:sz w:val="24"/>
          <w:szCs w:val="24"/>
        </w:rPr>
        <w:softHyphen/>
        <w:t>behandling eller selvmedicinering. De potentielle risici forbundet med hjemmebehandling er relateret til selve administrationen samt håndtering af eventuelle bivirkninger – især overfølsomhed. Beslutningen om at lade behandlingen af en patient foregå som hjemmebehandling skal træffes af den behandlende læge, som bør sørge for den fornødne oplæring og for at revurdere beslutningen med mellemrum.</w:t>
      </w:r>
    </w:p>
    <w:p w:rsidR="00EE11F9" w:rsidRPr="00B66470" w:rsidRDefault="00EE11F9" w:rsidP="00EE11F9">
      <w:pPr>
        <w:ind w:left="851" w:hanging="851"/>
        <w:rPr>
          <w:sz w:val="24"/>
          <w:szCs w:val="24"/>
        </w:rPr>
      </w:pPr>
    </w:p>
    <w:p w:rsidR="00EE11F9" w:rsidRPr="00B66470" w:rsidRDefault="00EE11F9" w:rsidP="00EE11F9">
      <w:pPr>
        <w:ind w:left="851"/>
        <w:rPr>
          <w:b/>
          <w:bCs/>
          <w:i/>
          <w:iCs/>
          <w:sz w:val="24"/>
          <w:szCs w:val="24"/>
        </w:rPr>
      </w:pPr>
      <w:r w:rsidRPr="00B66470">
        <w:rPr>
          <w:b/>
          <w:bCs/>
          <w:i/>
          <w:iCs/>
          <w:sz w:val="24"/>
          <w:szCs w:val="24"/>
        </w:rPr>
        <w:t>Virussikkerhed</w:t>
      </w:r>
    </w:p>
    <w:p w:rsidR="00EE11F9" w:rsidRPr="00B66470" w:rsidRDefault="00EE11F9" w:rsidP="00EE11F9">
      <w:pPr>
        <w:ind w:left="851"/>
        <w:rPr>
          <w:sz w:val="24"/>
          <w:szCs w:val="24"/>
        </w:rPr>
      </w:pPr>
      <w:r w:rsidRPr="00B66470">
        <w:rPr>
          <w:sz w:val="24"/>
          <w:szCs w:val="24"/>
        </w:rPr>
        <w:t xml:space="preserve">Standardmetoder til forebyggelse af infektioner, der skyldes brug af lægemidler tilberedt ud fra humant blod eller plasma, omfatter udvælgelse af donorer, screening af enkeltdonationer og plasmapools for specifikke markører for infektion samt inklusion af effektive produktionstrin til inaktivering/fjernelse af vira. Til trods for dette kan muligheden for at overføre infektiøse stoffer ikke helt udelukkes ved administration af lægemidler fremstillet ud fra humant blod eller plasma. Dette gælder også ukendte eller </w:t>
      </w:r>
      <w:proofErr w:type="spellStart"/>
      <w:r w:rsidRPr="00B66470">
        <w:rPr>
          <w:sz w:val="24"/>
          <w:szCs w:val="24"/>
        </w:rPr>
        <w:t>nyopdukkede</w:t>
      </w:r>
      <w:proofErr w:type="spellEnd"/>
      <w:r w:rsidRPr="00B66470">
        <w:rPr>
          <w:sz w:val="24"/>
          <w:szCs w:val="24"/>
        </w:rPr>
        <w:t xml:space="preserve"> vira og andre </w:t>
      </w:r>
      <w:proofErr w:type="spellStart"/>
      <w:r w:rsidRPr="00B66470">
        <w:rPr>
          <w:sz w:val="24"/>
          <w:szCs w:val="24"/>
        </w:rPr>
        <w:t>patogener</w:t>
      </w:r>
      <w:proofErr w:type="spellEnd"/>
      <w:r w:rsidRPr="00B66470">
        <w:rPr>
          <w:sz w:val="24"/>
          <w:szCs w:val="24"/>
        </w:rPr>
        <w:t>.</w:t>
      </w:r>
    </w:p>
    <w:p w:rsidR="00EE11F9" w:rsidRPr="00B66470" w:rsidRDefault="00EE11F9" w:rsidP="00EE11F9">
      <w:pPr>
        <w:ind w:left="851"/>
        <w:rPr>
          <w:sz w:val="24"/>
          <w:szCs w:val="24"/>
        </w:rPr>
      </w:pPr>
      <w:r w:rsidRPr="00B66470">
        <w:rPr>
          <w:sz w:val="24"/>
          <w:szCs w:val="24"/>
        </w:rPr>
        <w:t xml:space="preserve">Forholdsreglerne anses for at være effektive over for indkapslede vira som HIV, HBV og HCV og for </w:t>
      </w:r>
      <w:proofErr w:type="spellStart"/>
      <w:r w:rsidRPr="00B66470">
        <w:rPr>
          <w:sz w:val="24"/>
          <w:szCs w:val="24"/>
        </w:rPr>
        <w:t>uindkapslede</w:t>
      </w:r>
      <w:proofErr w:type="spellEnd"/>
      <w:r w:rsidRPr="00B66470">
        <w:rPr>
          <w:sz w:val="24"/>
          <w:szCs w:val="24"/>
        </w:rPr>
        <w:t xml:space="preserve"> vira HAV og </w:t>
      </w:r>
      <w:proofErr w:type="spellStart"/>
      <w:r w:rsidRPr="00B66470">
        <w:rPr>
          <w:sz w:val="24"/>
          <w:szCs w:val="24"/>
        </w:rPr>
        <w:t>parvovirus</w:t>
      </w:r>
      <w:proofErr w:type="spellEnd"/>
      <w:r w:rsidRPr="00B66470">
        <w:rPr>
          <w:sz w:val="24"/>
          <w:szCs w:val="24"/>
        </w:rPr>
        <w:t xml:space="preserve"> B19.</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Passende vaccination (hepatitis A og B) bør generelt overvejes for patienter, der løbende/gentagne gange behandles med præparater, der stammer fra </w:t>
      </w:r>
      <w:proofErr w:type="gramStart"/>
      <w:r w:rsidRPr="00B66470">
        <w:rPr>
          <w:sz w:val="24"/>
          <w:szCs w:val="24"/>
        </w:rPr>
        <w:t>human plasma</w:t>
      </w:r>
      <w:proofErr w:type="gramEnd"/>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Det anbefales kraftigt at notere præparatnavn og batchnummer, hver gang </w:t>
      </w:r>
      <w:proofErr w:type="spellStart"/>
      <w:r w:rsidRPr="00B66470">
        <w:rPr>
          <w:sz w:val="24"/>
          <w:szCs w:val="24"/>
        </w:rPr>
        <w:t>Berinert</w:t>
      </w:r>
      <w:proofErr w:type="spellEnd"/>
      <w:r w:rsidRPr="00B66470">
        <w:rPr>
          <w:sz w:val="24"/>
          <w:szCs w:val="24"/>
        </w:rPr>
        <w:t xml:space="preserve"> gives til en patient, for at bevare koblingen mellem patienten og </w:t>
      </w:r>
      <w:proofErr w:type="gramStart"/>
      <w:r w:rsidRPr="00B66470">
        <w:rPr>
          <w:sz w:val="24"/>
          <w:szCs w:val="24"/>
        </w:rPr>
        <w:t>det pågældende batch</w:t>
      </w:r>
      <w:proofErr w:type="gramEnd"/>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4.5</w:t>
      </w:r>
      <w:r w:rsidRPr="00B66470">
        <w:rPr>
          <w:b/>
          <w:sz w:val="24"/>
          <w:szCs w:val="24"/>
        </w:rPr>
        <w:tab/>
        <w:t>Interaktion med andre lægemidler og andre former for interaktion</w:t>
      </w:r>
    </w:p>
    <w:p w:rsidR="00EE11F9" w:rsidRPr="00B66470" w:rsidRDefault="00EE11F9" w:rsidP="00EE11F9">
      <w:pPr>
        <w:ind w:left="851" w:hanging="851"/>
        <w:rPr>
          <w:sz w:val="24"/>
          <w:szCs w:val="24"/>
        </w:rPr>
      </w:pPr>
      <w:r w:rsidRPr="00B66470">
        <w:rPr>
          <w:sz w:val="24"/>
          <w:szCs w:val="24"/>
        </w:rPr>
        <w:tab/>
        <w:t>Der er ikke udført interaktionsstudier.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4.6</w:t>
      </w:r>
      <w:r w:rsidRPr="00B66470">
        <w:rPr>
          <w:b/>
          <w:sz w:val="24"/>
          <w:szCs w:val="24"/>
        </w:rPr>
        <w:tab/>
        <w:t>Graviditet og amning</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b/>
          <w:i/>
          <w:sz w:val="24"/>
          <w:szCs w:val="24"/>
        </w:rPr>
        <w:t>Fertilitet</w:t>
      </w: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er en fysiologisk bestanddel af humant plasma. Derfor er der ikke udført dyreforsøg til undersøgelse af reproduktions- og udviklingstoksicitet, og der forventes ingen skadelig virkning på graviditeten, fostrets udvikling, fødslen eller den </w:t>
      </w:r>
      <w:proofErr w:type="spellStart"/>
      <w:r w:rsidRPr="00B66470">
        <w:rPr>
          <w:sz w:val="24"/>
          <w:szCs w:val="24"/>
        </w:rPr>
        <w:t>postnatale</w:t>
      </w:r>
      <w:proofErr w:type="spellEnd"/>
      <w:r w:rsidRPr="00B66470">
        <w:rPr>
          <w:sz w:val="24"/>
          <w:szCs w:val="24"/>
        </w:rPr>
        <w:t xml:space="preserve"> udvikling hos mennesker.</w:t>
      </w:r>
    </w:p>
    <w:p w:rsidR="00EE11F9" w:rsidRPr="00B66470" w:rsidRDefault="00EE11F9" w:rsidP="00EE11F9">
      <w:pPr>
        <w:ind w:left="851"/>
        <w:rPr>
          <w:sz w:val="24"/>
          <w:szCs w:val="24"/>
        </w:rPr>
      </w:pPr>
    </w:p>
    <w:p w:rsidR="00EE11F9" w:rsidRPr="00B66470" w:rsidRDefault="00EE11F9" w:rsidP="00EE11F9">
      <w:pPr>
        <w:ind w:left="851"/>
        <w:rPr>
          <w:b/>
          <w:bCs/>
          <w:i/>
          <w:iCs/>
          <w:sz w:val="24"/>
          <w:szCs w:val="24"/>
        </w:rPr>
      </w:pPr>
      <w:r w:rsidRPr="00B66470">
        <w:rPr>
          <w:b/>
          <w:bCs/>
          <w:i/>
          <w:iCs/>
          <w:sz w:val="24"/>
          <w:szCs w:val="24"/>
        </w:rPr>
        <w:t>Graviditet</w:t>
      </w:r>
    </w:p>
    <w:p w:rsidR="00EE11F9" w:rsidRPr="00B66470" w:rsidRDefault="00EE11F9" w:rsidP="00EE11F9">
      <w:pPr>
        <w:ind w:left="851"/>
        <w:rPr>
          <w:sz w:val="24"/>
          <w:szCs w:val="24"/>
        </w:rPr>
      </w:pPr>
      <w:r w:rsidRPr="00B66470">
        <w:rPr>
          <w:sz w:val="24"/>
          <w:szCs w:val="24"/>
        </w:rPr>
        <w:t xml:space="preserve">Den begrænsede datamængde indikerer, at der ikke er en øget risiko ved anvendelse af </w:t>
      </w:r>
      <w:proofErr w:type="spellStart"/>
      <w:r w:rsidRPr="00B66470">
        <w:rPr>
          <w:sz w:val="24"/>
          <w:szCs w:val="24"/>
        </w:rPr>
        <w:t>Berinert</w:t>
      </w:r>
      <w:proofErr w:type="spellEnd"/>
      <w:r w:rsidRPr="00B66470">
        <w:rPr>
          <w:sz w:val="24"/>
          <w:szCs w:val="24"/>
        </w:rPr>
        <w:t xml:space="preserve"> til gravide. </w:t>
      </w:r>
      <w:proofErr w:type="spellStart"/>
      <w:r w:rsidRPr="00B66470">
        <w:rPr>
          <w:sz w:val="24"/>
          <w:szCs w:val="24"/>
        </w:rPr>
        <w:t>Berinert</w:t>
      </w:r>
      <w:proofErr w:type="spellEnd"/>
      <w:r w:rsidRPr="00B66470">
        <w:rPr>
          <w:sz w:val="24"/>
          <w:szCs w:val="24"/>
        </w:rPr>
        <w:t xml:space="preserve"> er en fysiologisk bestanddel af humant plasma. Derfor er der ikke udført dyreforsøg til undersøgelse af reproduktions- og udviklingstoksicitet, og der forventes ingen skadelig virkning på graviditeten, fostrets udvikling, fødslen eller den </w:t>
      </w:r>
      <w:proofErr w:type="spellStart"/>
      <w:r w:rsidRPr="00B66470">
        <w:rPr>
          <w:sz w:val="24"/>
          <w:szCs w:val="24"/>
        </w:rPr>
        <w:t>postnatale</w:t>
      </w:r>
      <w:proofErr w:type="spellEnd"/>
      <w:r w:rsidRPr="00B66470">
        <w:rPr>
          <w:sz w:val="24"/>
          <w:szCs w:val="24"/>
        </w:rPr>
        <w:t xml:space="preserve"> udvikling hos mennesker. Derfor bør </w:t>
      </w:r>
      <w:proofErr w:type="spellStart"/>
      <w:r w:rsidRPr="00B66470">
        <w:rPr>
          <w:sz w:val="24"/>
          <w:szCs w:val="24"/>
        </w:rPr>
        <w:t>Berinert</w:t>
      </w:r>
      <w:proofErr w:type="spellEnd"/>
      <w:r w:rsidRPr="00B66470">
        <w:rPr>
          <w:sz w:val="24"/>
          <w:szCs w:val="24"/>
        </w:rPr>
        <w:t xml:space="preserve"> kun gives til gravide på tvingende indikation.</w:t>
      </w:r>
    </w:p>
    <w:p w:rsidR="00EE11F9" w:rsidRPr="00B66470" w:rsidRDefault="00EE11F9" w:rsidP="00EE11F9">
      <w:pPr>
        <w:ind w:left="851"/>
        <w:rPr>
          <w:sz w:val="24"/>
          <w:szCs w:val="24"/>
        </w:rPr>
      </w:pPr>
    </w:p>
    <w:p w:rsidR="00EE11F9" w:rsidRPr="00B66470" w:rsidRDefault="00EE11F9" w:rsidP="00EE11F9">
      <w:pPr>
        <w:ind w:left="851"/>
        <w:rPr>
          <w:b/>
          <w:bCs/>
          <w:i/>
          <w:iCs/>
          <w:sz w:val="24"/>
          <w:szCs w:val="24"/>
        </w:rPr>
      </w:pPr>
      <w:r w:rsidRPr="00B66470">
        <w:rPr>
          <w:b/>
          <w:bCs/>
          <w:i/>
          <w:iCs/>
          <w:sz w:val="24"/>
          <w:szCs w:val="24"/>
        </w:rPr>
        <w:t>Amning</w:t>
      </w:r>
    </w:p>
    <w:p w:rsidR="00EE11F9" w:rsidRPr="00B66470" w:rsidRDefault="00EE11F9" w:rsidP="00EE11F9">
      <w:pPr>
        <w:ind w:left="851"/>
        <w:rPr>
          <w:sz w:val="24"/>
          <w:szCs w:val="24"/>
        </w:rPr>
      </w:pPr>
      <w:r w:rsidRPr="00B66470">
        <w:rPr>
          <w:sz w:val="24"/>
          <w:szCs w:val="24"/>
        </w:rPr>
        <w:t xml:space="preserve">Det vides ikke om </w:t>
      </w:r>
      <w:proofErr w:type="spellStart"/>
      <w:r w:rsidRPr="00B66470">
        <w:rPr>
          <w:sz w:val="24"/>
          <w:szCs w:val="24"/>
        </w:rPr>
        <w:t>Berinert</w:t>
      </w:r>
      <w:proofErr w:type="spellEnd"/>
      <w:r w:rsidRPr="00B66470">
        <w:rPr>
          <w:sz w:val="24"/>
          <w:szCs w:val="24"/>
        </w:rPr>
        <w:t xml:space="preserve"> udskilles i modermælk, men på grund af den høje molekylvægt forekommer det usandsynligt. Imidlertid er amning næppe tilrådelig hos mødre, der lider af hereditært </w:t>
      </w:r>
      <w:proofErr w:type="spellStart"/>
      <w:r w:rsidRPr="00B66470">
        <w:rPr>
          <w:sz w:val="24"/>
          <w:szCs w:val="24"/>
        </w:rPr>
        <w:t>angioødem</w:t>
      </w:r>
      <w:proofErr w:type="spellEnd"/>
      <w:r w:rsidRPr="00B66470">
        <w:rPr>
          <w:sz w:val="24"/>
          <w:szCs w:val="24"/>
        </w:rPr>
        <w:t xml:space="preserve">. Der skal tages beslutning om, hvorvidt amningen eller </w:t>
      </w:r>
      <w:proofErr w:type="spellStart"/>
      <w:r w:rsidRPr="00B66470">
        <w:rPr>
          <w:sz w:val="24"/>
          <w:szCs w:val="24"/>
        </w:rPr>
        <w:t>Berinert</w:t>
      </w:r>
      <w:proofErr w:type="spellEnd"/>
      <w:r w:rsidRPr="00B66470">
        <w:rPr>
          <w:sz w:val="24"/>
          <w:szCs w:val="24"/>
        </w:rPr>
        <w:t>-behandlingen skal afbrydes, idet der foretages en afvejning af fordelene ved amning for barnet og ved behandlingen for kvinden.</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lastRenderedPageBreak/>
        <w:t>4.7</w:t>
      </w:r>
      <w:r w:rsidRPr="00B66470">
        <w:rPr>
          <w:b/>
          <w:sz w:val="24"/>
          <w:szCs w:val="24"/>
        </w:rPr>
        <w:tab/>
        <w:t>Virkninger på evnen til at føre motorkøretøj eller betjene maskiner</w:t>
      </w:r>
    </w:p>
    <w:p w:rsidR="00EE11F9" w:rsidRPr="00B66470" w:rsidRDefault="00EE11F9" w:rsidP="00EE11F9">
      <w:pPr>
        <w:ind w:left="851" w:hanging="851"/>
        <w:rPr>
          <w:sz w:val="24"/>
          <w:szCs w:val="24"/>
        </w:rPr>
      </w:pPr>
      <w:r w:rsidRPr="00B66470">
        <w:rPr>
          <w:sz w:val="24"/>
          <w:szCs w:val="24"/>
        </w:rPr>
        <w:tab/>
        <w:t>Ikke mærkning.</w:t>
      </w: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påvirker ikke eller kun i ubetydelig grad evnen til at føre motorkøretøj og betjene maskiner.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4.8</w:t>
      </w:r>
      <w:r w:rsidRPr="00B66470">
        <w:rPr>
          <w:b/>
          <w:sz w:val="24"/>
          <w:szCs w:val="24"/>
        </w:rPr>
        <w:tab/>
        <w:t>Bivirkninger</w:t>
      </w:r>
    </w:p>
    <w:p w:rsidR="00EE11F9" w:rsidRPr="00B66470" w:rsidRDefault="00EE11F9" w:rsidP="00EE11F9">
      <w:pPr>
        <w:pStyle w:val="Sidehoved"/>
        <w:tabs>
          <w:tab w:val="clear" w:pos="4819"/>
          <w:tab w:val="clear" w:pos="9638"/>
        </w:tabs>
        <w:ind w:left="851" w:hanging="851"/>
        <w:rPr>
          <w:szCs w:val="24"/>
        </w:rPr>
      </w:pPr>
      <w:r w:rsidRPr="00B66470">
        <w:rPr>
          <w:szCs w:val="24"/>
        </w:rPr>
        <w:tab/>
        <w:t>Bivirkningerne nedenfor er baseret på de erfaringer, som er opnået efter markedsføringen og fra den videnskabelige litteratur. Hyppighed angives med følgende kategorier:</w:t>
      </w:r>
    </w:p>
    <w:p w:rsidR="00EE11F9" w:rsidRPr="00B66470" w:rsidRDefault="00EE11F9" w:rsidP="00EE11F9">
      <w:pPr>
        <w:pStyle w:val="Sidehoved"/>
        <w:tabs>
          <w:tab w:val="clear" w:pos="4819"/>
          <w:tab w:val="clear" w:pos="9638"/>
        </w:tabs>
        <w:ind w:left="851" w:hanging="851"/>
        <w:rPr>
          <w:szCs w:val="24"/>
        </w:rPr>
      </w:pPr>
    </w:p>
    <w:p w:rsidR="00EE11F9" w:rsidRPr="00B66470" w:rsidRDefault="00EE11F9" w:rsidP="00EE11F9">
      <w:pPr>
        <w:pStyle w:val="Sidehoved"/>
        <w:tabs>
          <w:tab w:val="clear" w:pos="4819"/>
          <w:tab w:val="clear" w:pos="9638"/>
        </w:tabs>
        <w:ind w:left="851"/>
        <w:rPr>
          <w:szCs w:val="24"/>
        </w:rPr>
      </w:pPr>
      <w:r w:rsidRPr="00B66470">
        <w:rPr>
          <w:szCs w:val="24"/>
        </w:rPr>
        <w:t xml:space="preserve">Meget almindelig: </w:t>
      </w:r>
      <w:r w:rsidRPr="00B66470">
        <w:rPr>
          <w:szCs w:val="24"/>
        </w:rPr>
        <w:tab/>
        <w:t>≥ 1/10</w:t>
      </w:r>
    </w:p>
    <w:p w:rsidR="00EE11F9" w:rsidRPr="00B66470" w:rsidRDefault="00EE11F9" w:rsidP="00EE11F9">
      <w:pPr>
        <w:pStyle w:val="Sidehoved"/>
        <w:tabs>
          <w:tab w:val="clear" w:pos="4819"/>
          <w:tab w:val="clear" w:pos="9638"/>
        </w:tabs>
        <w:ind w:left="851"/>
        <w:rPr>
          <w:szCs w:val="24"/>
        </w:rPr>
      </w:pPr>
      <w:r w:rsidRPr="00B66470">
        <w:rPr>
          <w:szCs w:val="24"/>
        </w:rPr>
        <w:t>Almindelig:</w:t>
      </w:r>
      <w:r w:rsidRPr="00B66470">
        <w:rPr>
          <w:szCs w:val="24"/>
        </w:rPr>
        <w:tab/>
      </w:r>
      <w:r w:rsidRPr="00B66470">
        <w:rPr>
          <w:szCs w:val="24"/>
        </w:rPr>
        <w:tab/>
        <w:t>≥ 1/100 til &lt; 1/10</w:t>
      </w:r>
    </w:p>
    <w:p w:rsidR="00EE11F9" w:rsidRPr="00B66470" w:rsidRDefault="00EE11F9" w:rsidP="00EE11F9">
      <w:pPr>
        <w:pStyle w:val="Sidehoved"/>
        <w:tabs>
          <w:tab w:val="clear" w:pos="4819"/>
          <w:tab w:val="clear" w:pos="9638"/>
        </w:tabs>
        <w:ind w:left="851"/>
        <w:rPr>
          <w:szCs w:val="24"/>
        </w:rPr>
      </w:pPr>
      <w:r w:rsidRPr="00B66470">
        <w:rPr>
          <w:szCs w:val="24"/>
        </w:rPr>
        <w:t>Ikke almindelig:</w:t>
      </w:r>
      <w:r w:rsidRPr="00B66470">
        <w:rPr>
          <w:szCs w:val="24"/>
        </w:rPr>
        <w:tab/>
      </w:r>
      <w:r w:rsidRPr="00B66470">
        <w:rPr>
          <w:szCs w:val="24"/>
        </w:rPr>
        <w:tab/>
        <w:t>≥ 1/1.000 til &lt; 1/100</w:t>
      </w:r>
    </w:p>
    <w:p w:rsidR="00EE11F9" w:rsidRPr="00B66470" w:rsidRDefault="00EE11F9" w:rsidP="00EE11F9">
      <w:pPr>
        <w:pStyle w:val="Sidehoved"/>
        <w:tabs>
          <w:tab w:val="clear" w:pos="4819"/>
          <w:tab w:val="clear" w:pos="9638"/>
        </w:tabs>
        <w:ind w:left="851"/>
        <w:rPr>
          <w:szCs w:val="24"/>
        </w:rPr>
      </w:pPr>
      <w:r w:rsidRPr="00B66470">
        <w:rPr>
          <w:szCs w:val="24"/>
        </w:rPr>
        <w:t>Sjælden:</w:t>
      </w:r>
      <w:r w:rsidRPr="00B66470">
        <w:rPr>
          <w:szCs w:val="24"/>
        </w:rPr>
        <w:tab/>
      </w:r>
      <w:r w:rsidRPr="00B66470">
        <w:rPr>
          <w:szCs w:val="24"/>
        </w:rPr>
        <w:tab/>
        <w:t>≥ 1/10.000 til &lt; 1/1.000</w:t>
      </w:r>
    </w:p>
    <w:p w:rsidR="00EE11F9" w:rsidRPr="00B66470" w:rsidRDefault="00EE11F9" w:rsidP="00EE11F9">
      <w:pPr>
        <w:pStyle w:val="Sidehoved"/>
        <w:tabs>
          <w:tab w:val="clear" w:pos="4819"/>
          <w:tab w:val="clear" w:pos="9638"/>
        </w:tabs>
        <w:ind w:left="3911" w:hanging="3060"/>
        <w:rPr>
          <w:szCs w:val="24"/>
        </w:rPr>
      </w:pPr>
      <w:r w:rsidRPr="00B66470">
        <w:rPr>
          <w:szCs w:val="24"/>
        </w:rPr>
        <w:t>Meget sjælden:</w:t>
      </w:r>
      <w:r w:rsidRPr="00B66470">
        <w:rPr>
          <w:szCs w:val="24"/>
        </w:rPr>
        <w:tab/>
      </w:r>
      <w:r w:rsidRPr="00B66470">
        <w:rPr>
          <w:szCs w:val="24"/>
        </w:rPr>
        <w:tab/>
        <w:t>&lt; 1/10.000, ikke kendt (kan ikke estimeres ud fra forhåndenværende data)</w:t>
      </w:r>
    </w:p>
    <w:p w:rsidR="00EE11F9" w:rsidRPr="00B66470" w:rsidRDefault="00EE11F9" w:rsidP="00EE11F9">
      <w:pPr>
        <w:pStyle w:val="Sidehoved"/>
        <w:tabs>
          <w:tab w:val="clear" w:pos="4819"/>
          <w:tab w:val="clear" w:pos="9638"/>
        </w:tabs>
        <w:ind w:left="851" w:hanging="851"/>
        <w:rPr>
          <w:szCs w:val="24"/>
        </w:rPr>
      </w:pPr>
    </w:p>
    <w:p w:rsidR="00EE11F9" w:rsidRPr="00B66470" w:rsidRDefault="00EE11F9" w:rsidP="00EE11F9">
      <w:pPr>
        <w:pStyle w:val="Sidehoved"/>
        <w:tabs>
          <w:tab w:val="clear" w:pos="4819"/>
          <w:tab w:val="clear" w:pos="9638"/>
        </w:tabs>
        <w:ind w:left="851" w:hanging="851"/>
        <w:rPr>
          <w:szCs w:val="24"/>
        </w:rPr>
      </w:pPr>
      <w:r w:rsidRPr="00B66470">
        <w:rPr>
          <w:szCs w:val="24"/>
        </w:rPr>
        <w:t xml:space="preserve">Bivirkninger med </w:t>
      </w:r>
      <w:proofErr w:type="spellStart"/>
      <w:r w:rsidRPr="00B66470">
        <w:rPr>
          <w:szCs w:val="24"/>
        </w:rPr>
        <w:t>Berinert</w:t>
      </w:r>
      <w:proofErr w:type="spellEnd"/>
      <w:r w:rsidRPr="00B66470">
        <w:rPr>
          <w:szCs w:val="24"/>
        </w:rPr>
        <w:t xml:space="preserve"> er sjældne.</w:t>
      </w:r>
    </w:p>
    <w:p w:rsidR="00EE11F9" w:rsidRPr="00B66470" w:rsidRDefault="00EE11F9" w:rsidP="00EE11F9">
      <w:pPr>
        <w:pStyle w:val="Sidehoved"/>
        <w:tabs>
          <w:tab w:val="clear" w:pos="4819"/>
          <w:tab w:val="clear" w:pos="9638"/>
        </w:tabs>
        <w:ind w:left="85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8"/>
        <w:gridCol w:w="1512"/>
        <w:gridCol w:w="1364"/>
        <w:gridCol w:w="1366"/>
        <w:gridCol w:w="2007"/>
        <w:gridCol w:w="1131"/>
      </w:tblGrid>
      <w:tr w:rsidR="00EE11F9" w:rsidRPr="00D1199E" w:rsidTr="003B4BCE">
        <w:tc>
          <w:tcPr>
            <w:tcW w:w="122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Systemorganklasse</w:t>
            </w:r>
          </w:p>
        </w:tc>
        <w:tc>
          <w:tcPr>
            <w:tcW w:w="841"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Meget almindelig</w:t>
            </w: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Almindelig</w:t>
            </w:r>
          </w:p>
        </w:tc>
        <w:tc>
          <w:tcPr>
            <w:tcW w:w="765"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Ikke almindelig</w:t>
            </w: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Sjælden</w:t>
            </w:r>
          </w:p>
        </w:tc>
        <w:tc>
          <w:tcPr>
            <w:tcW w:w="64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Meget sjælden</w:t>
            </w:r>
          </w:p>
        </w:tc>
      </w:tr>
      <w:tr w:rsidR="00EE11F9" w:rsidRPr="00D1199E" w:rsidTr="003B4BCE">
        <w:tc>
          <w:tcPr>
            <w:tcW w:w="122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proofErr w:type="spellStart"/>
            <w:r w:rsidRPr="00D1199E">
              <w:rPr>
                <w:b/>
                <w:bCs/>
                <w:sz w:val="22"/>
                <w:szCs w:val="22"/>
              </w:rPr>
              <w:t>Vaskulære</w:t>
            </w:r>
            <w:proofErr w:type="spellEnd"/>
            <w:r w:rsidRPr="00D1199E">
              <w:rPr>
                <w:b/>
                <w:bCs/>
                <w:sz w:val="22"/>
                <w:szCs w:val="22"/>
              </w:rPr>
              <w:t xml:space="preserve"> sygdomme</w:t>
            </w:r>
          </w:p>
        </w:tc>
        <w:tc>
          <w:tcPr>
            <w:tcW w:w="841"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sz w:val="22"/>
                <w:szCs w:val="22"/>
              </w:rPr>
            </w:pPr>
            <w:r w:rsidRPr="00D1199E">
              <w:rPr>
                <w:sz w:val="22"/>
                <w:szCs w:val="22"/>
              </w:rPr>
              <w:t>Udvikling af trombose*</w:t>
            </w:r>
          </w:p>
        </w:tc>
        <w:tc>
          <w:tcPr>
            <w:tcW w:w="643"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r>
      <w:tr w:rsidR="00EE11F9" w:rsidRPr="00D1199E" w:rsidTr="003B4BCE">
        <w:tc>
          <w:tcPr>
            <w:tcW w:w="122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Almene symptomer og reaktioner på administrations-stedet</w:t>
            </w:r>
          </w:p>
        </w:tc>
        <w:tc>
          <w:tcPr>
            <w:tcW w:w="841"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sz w:val="22"/>
                <w:szCs w:val="22"/>
              </w:rPr>
            </w:pPr>
            <w:r w:rsidRPr="00D1199E">
              <w:rPr>
                <w:sz w:val="22"/>
                <w:szCs w:val="22"/>
              </w:rPr>
              <w:t>Temperaturstigning, reaktion på injektionsstedet</w:t>
            </w:r>
          </w:p>
        </w:tc>
        <w:tc>
          <w:tcPr>
            <w:tcW w:w="643"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r>
      <w:tr w:rsidR="00EE11F9" w:rsidRPr="00D1199E" w:rsidTr="003B4BCE">
        <w:tc>
          <w:tcPr>
            <w:tcW w:w="122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b/>
                <w:bCs/>
                <w:sz w:val="22"/>
                <w:szCs w:val="22"/>
              </w:rPr>
            </w:pPr>
            <w:r w:rsidRPr="00D1199E">
              <w:rPr>
                <w:b/>
                <w:bCs/>
                <w:sz w:val="22"/>
                <w:szCs w:val="22"/>
              </w:rPr>
              <w:t>Immunsystemet</w:t>
            </w:r>
          </w:p>
        </w:tc>
        <w:tc>
          <w:tcPr>
            <w:tcW w:w="841"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EE11F9" w:rsidRPr="00D1199E" w:rsidRDefault="00EE11F9" w:rsidP="003B4BCE">
            <w:pPr>
              <w:pStyle w:val="Sidehoved"/>
              <w:tabs>
                <w:tab w:val="clear" w:pos="4819"/>
                <w:tab w:val="clear" w:pos="9638"/>
              </w:tabs>
              <w:rPr>
                <w:sz w:val="22"/>
                <w:szCs w:val="22"/>
              </w:rPr>
            </w:pPr>
          </w:p>
        </w:tc>
        <w:tc>
          <w:tcPr>
            <w:tcW w:w="764"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sz w:val="22"/>
                <w:szCs w:val="22"/>
              </w:rPr>
            </w:pPr>
            <w:r w:rsidRPr="00D1199E">
              <w:rPr>
                <w:sz w:val="22"/>
                <w:szCs w:val="22"/>
              </w:rPr>
              <w:t xml:space="preserve">Allergiske eller </w:t>
            </w:r>
            <w:proofErr w:type="spellStart"/>
            <w:r w:rsidRPr="00D1199E">
              <w:rPr>
                <w:sz w:val="22"/>
                <w:szCs w:val="22"/>
              </w:rPr>
              <w:t>anafylaktoide</w:t>
            </w:r>
            <w:proofErr w:type="spellEnd"/>
            <w:r w:rsidRPr="00D1199E">
              <w:rPr>
                <w:sz w:val="22"/>
                <w:szCs w:val="22"/>
              </w:rPr>
              <w:t xml:space="preserve"> reaktioner (f.eks. </w:t>
            </w:r>
            <w:proofErr w:type="spellStart"/>
            <w:r w:rsidRPr="00D1199E">
              <w:rPr>
                <w:sz w:val="22"/>
                <w:szCs w:val="22"/>
              </w:rPr>
              <w:t>takykardi</w:t>
            </w:r>
            <w:proofErr w:type="spellEnd"/>
            <w:r w:rsidRPr="00D1199E">
              <w:rPr>
                <w:sz w:val="22"/>
                <w:szCs w:val="22"/>
              </w:rPr>
              <w:t xml:space="preserve">, hyper- eller hypotension, </w:t>
            </w:r>
            <w:proofErr w:type="spellStart"/>
            <w:r w:rsidRPr="00D1199E">
              <w:rPr>
                <w:sz w:val="22"/>
                <w:szCs w:val="22"/>
              </w:rPr>
              <w:t>flushing</w:t>
            </w:r>
            <w:proofErr w:type="spellEnd"/>
            <w:r w:rsidRPr="00D1199E">
              <w:rPr>
                <w:sz w:val="22"/>
                <w:szCs w:val="22"/>
              </w:rPr>
              <w:t>, nældefeber, dyspnø, hovedpine, svimmelhed, kvalme)</w:t>
            </w:r>
          </w:p>
        </w:tc>
        <w:tc>
          <w:tcPr>
            <w:tcW w:w="643" w:type="pct"/>
            <w:tcBorders>
              <w:top w:val="single" w:sz="4" w:space="0" w:color="auto"/>
              <w:left w:val="single" w:sz="4" w:space="0" w:color="auto"/>
              <w:bottom w:val="single" w:sz="4" w:space="0" w:color="auto"/>
              <w:right w:val="single" w:sz="4" w:space="0" w:color="auto"/>
            </w:tcBorders>
            <w:hideMark/>
          </w:tcPr>
          <w:p w:rsidR="00EE11F9" w:rsidRPr="00D1199E" w:rsidRDefault="00EE11F9" w:rsidP="003B4BCE">
            <w:pPr>
              <w:pStyle w:val="Sidehoved"/>
              <w:tabs>
                <w:tab w:val="clear" w:pos="4819"/>
                <w:tab w:val="clear" w:pos="9638"/>
              </w:tabs>
              <w:rPr>
                <w:sz w:val="22"/>
                <w:szCs w:val="22"/>
              </w:rPr>
            </w:pPr>
            <w:proofErr w:type="spellStart"/>
            <w:r w:rsidRPr="00D1199E">
              <w:rPr>
                <w:sz w:val="22"/>
                <w:szCs w:val="22"/>
              </w:rPr>
              <w:t>Shock</w:t>
            </w:r>
            <w:proofErr w:type="spellEnd"/>
          </w:p>
        </w:tc>
      </w:tr>
    </w:tbl>
    <w:p w:rsidR="00EE11F9" w:rsidRPr="00B66470" w:rsidRDefault="00EE11F9" w:rsidP="00EE11F9">
      <w:pPr>
        <w:pStyle w:val="Sidehoved"/>
        <w:tabs>
          <w:tab w:val="clear" w:pos="4819"/>
          <w:tab w:val="clear" w:pos="9638"/>
        </w:tabs>
        <w:rPr>
          <w:szCs w:val="24"/>
        </w:rPr>
      </w:pPr>
      <w:r w:rsidRPr="00B66470">
        <w:rPr>
          <w:szCs w:val="24"/>
        </w:rPr>
        <w:t xml:space="preserve">* Behandlingsforsøg med høje doser </w:t>
      </w:r>
      <w:proofErr w:type="spellStart"/>
      <w:r w:rsidRPr="00B66470">
        <w:rPr>
          <w:szCs w:val="24"/>
        </w:rPr>
        <w:t>Berinert</w:t>
      </w:r>
      <w:proofErr w:type="spellEnd"/>
      <w:r w:rsidRPr="00B66470">
        <w:rPr>
          <w:szCs w:val="24"/>
        </w:rPr>
        <w:t xml:space="preserve"> til forebyggelse eller behandling af </w:t>
      </w:r>
      <w:proofErr w:type="spellStart"/>
      <w:r w:rsidRPr="00B66470">
        <w:rPr>
          <w:szCs w:val="24"/>
        </w:rPr>
        <w:t>vaskulær</w:t>
      </w:r>
      <w:proofErr w:type="spellEnd"/>
      <w:r w:rsidRPr="00B66470">
        <w:rPr>
          <w:szCs w:val="24"/>
        </w:rPr>
        <w:t xml:space="preserve"> lækagesyndrom før, under og efter en hjerteoperation med ekstrakorporal cirkulation (ikke godkendt behandling og dosis), i enkelte tilfælde med fatal udgang.</w:t>
      </w:r>
    </w:p>
    <w:p w:rsidR="00EE11F9" w:rsidRPr="00B66470" w:rsidRDefault="00EE11F9" w:rsidP="00EE11F9">
      <w:pPr>
        <w:pStyle w:val="Sidehoved"/>
        <w:tabs>
          <w:tab w:val="clear" w:pos="4819"/>
          <w:tab w:val="clear" w:pos="9638"/>
        </w:tabs>
        <w:ind w:left="851" w:hanging="851"/>
        <w:rPr>
          <w:szCs w:val="24"/>
        </w:rPr>
      </w:pPr>
    </w:p>
    <w:p w:rsidR="00EE11F9" w:rsidRPr="00B66470" w:rsidRDefault="00EE11F9" w:rsidP="00EE11F9">
      <w:pPr>
        <w:pStyle w:val="Sidehoved"/>
        <w:tabs>
          <w:tab w:val="clear" w:pos="4819"/>
          <w:tab w:val="clear" w:pos="9638"/>
        </w:tabs>
        <w:ind w:left="851"/>
        <w:rPr>
          <w:szCs w:val="24"/>
        </w:rPr>
      </w:pPr>
      <w:r w:rsidRPr="00B66470">
        <w:rPr>
          <w:szCs w:val="24"/>
        </w:rPr>
        <w:t>Sikkerhed vedrørende overførsel af infektiøse stoffer, se pkt. 4.4.</w:t>
      </w:r>
    </w:p>
    <w:p w:rsidR="00EE11F9" w:rsidRPr="00B66470" w:rsidRDefault="00EE11F9" w:rsidP="00EE11F9">
      <w:pPr>
        <w:pStyle w:val="Sidehoved"/>
        <w:tabs>
          <w:tab w:val="clear" w:pos="4819"/>
          <w:tab w:val="clear" w:pos="9638"/>
        </w:tabs>
        <w:ind w:left="851"/>
        <w:rPr>
          <w:szCs w:val="24"/>
        </w:rPr>
      </w:pPr>
    </w:p>
    <w:p w:rsidR="00EE11F9" w:rsidRPr="008F49E1" w:rsidRDefault="00EE11F9" w:rsidP="00EE11F9">
      <w:pPr>
        <w:autoSpaceDE w:val="0"/>
        <w:autoSpaceDN w:val="0"/>
        <w:ind w:left="851"/>
        <w:rPr>
          <w:sz w:val="24"/>
          <w:szCs w:val="24"/>
          <w:u w:val="single"/>
        </w:rPr>
      </w:pPr>
      <w:r w:rsidRPr="008F49E1">
        <w:rPr>
          <w:sz w:val="24"/>
          <w:szCs w:val="24"/>
          <w:u w:val="single"/>
        </w:rPr>
        <w:t>Indberetning af formodede bivirkninger</w:t>
      </w:r>
    </w:p>
    <w:p w:rsidR="00EE11F9" w:rsidRPr="008F49E1" w:rsidRDefault="00EE11F9" w:rsidP="00EE11F9">
      <w:pPr>
        <w:ind w:left="851"/>
        <w:rPr>
          <w:sz w:val="24"/>
          <w:szCs w:val="24"/>
        </w:rPr>
      </w:pPr>
      <w:r w:rsidRPr="008F49E1">
        <w:rPr>
          <w:sz w:val="24"/>
          <w:szCs w:val="24"/>
        </w:rPr>
        <w:t>Når lægemidlet er godkendt, er indberetning af formodede bivirkninger vigtig. Det muliggør løbende overvågning af benefit/</w:t>
      </w:r>
      <w:proofErr w:type="spellStart"/>
      <w:r w:rsidRPr="008F49E1">
        <w:rPr>
          <w:sz w:val="24"/>
          <w:szCs w:val="24"/>
        </w:rPr>
        <w:t>risk</w:t>
      </w:r>
      <w:proofErr w:type="spellEnd"/>
      <w:r w:rsidRPr="008F49E1">
        <w:rPr>
          <w:sz w:val="24"/>
          <w:szCs w:val="24"/>
        </w:rPr>
        <w:t xml:space="preserve">-forholdet for lægemidlet. </w:t>
      </w:r>
      <w:r w:rsidR="00834EC1">
        <w:rPr>
          <w:sz w:val="24"/>
          <w:szCs w:val="24"/>
        </w:rPr>
        <w:t>S</w:t>
      </w:r>
      <w:r w:rsidRPr="008F49E1">
        <w:rPr>
          <w:sz w:val="24"/>
          <w:szCs w:val="24"/>
        </w:rPr>
        <w:t>undhedsperson</w:t>
      </w:r>
      <w:r w:rsidR="00834EC1">
        <w:rPr>
          <w:sz w:val="24"/>
          <w:szCs w:val="24"/>
        </w:rPr>
        <w:t>er</w:t>
      </w:r>
      <w:r w:rsidRPr="008F49E1">
        <w:rPr>
          <w:sz w:val="24"/>
          <w:szCs w:val="24"/>
        </w:rPr>
        <w:t xml:space="preserve"> anmodes om at indberette alle formodede bivirkninger via:</w:t>
      </w:r>
    </w:p>
    <w:p w:rsidR="00EE11F9" w:rsidRPr="008F49E1" w:rsidRDefault="00EE11F9" w:rsidP="00EE11F9">
      <w:pPr>
        <w:ind w:left="851"/>
        <w:rPr>
          <w:sz w:val="24"/>
          <w:szCs w:val="24"/>
        </w:rPr>
      </w:pPr>
    </w:p>
    <w:p w:rsidR="00EE11F9" w:rsidRPr="007A276A" w:rsidRDefault="00EE11F9" w:rsidP="00EE11F9">
      <w:pPr>
        <w:ind w:left="851"/>
        <w:rPr>
          <w:sz w:val="24"/>
          <w:szCs w:val="24"/>
        </w:rPr>
      </w:pPr>
      <w:r w:rsidRPr="007A276A">
        <w:rPr>
          <w:sz w:val="24"/>
          <w:szCs w:val="24"/>
        </w:rPr>
        <w:t>Lægemiddelstyrelsen</w:t>
      </w:r>
    </w:p>
    <w:p w:rsidR="00EE11F9" w:rsidRPr="007A276A" w:rsidRDefault="00EE11F9" w:rsidP="00EE11F9">
      <w:pPr>
        <w:ind w:left="851"/>
        <w:rPr>
          <w:sz w:val="24"/>
          <w:szCs w:val="24"/>
        </w:rPr>
      </w:pPr>
      <w:r w:rsidRPr="007A276A">
        <w:rPr>
          <w:sz w:val="24"/>
          <w:szCs w:val="24"/>
        </w:rPr>
        <w:t>Axel Heides Gade 1</w:t>
      </w:r>
    </w:p>
    <w:p w:rsidR="00EE11F9" w:rsidRPr="007A276A" w:rsidRDefault="00EE11F9" w:rsidP="00EE11F9">
      <w:pPr>
        <w:ind w:left="851"/>
        <w:rPr>
          <w:sz w:val="24"/>
          <w:szCs w:val="24"/>
        </w:rPr>
      </w:pPr>
      <w:r w:rsidRPr="007A276A">
        <w:rPr>
          <w:sz w:val="24"/>
          <w:szCs w:val="24"/>
        </w:rPr>
        <w:t>DK-2300 København S</w:t>
      </w:r>
    </w:p>
    <w:p w:rsidR="00EE11F9" w:rsidRPr="00DF6C1B" w:rsidRDefault="00EE11F9" w:rsidP="00EE11F9">
      <w:pPr>
        <w:ind w:left="851"/>
        <w:rPr>
          <w:sz w:val="24"/>
          <w:szCs w:val="24"/>
        </w:rPr>
      </w:pPr>
      <w:r w:rsidRPr="00DF6C1B">
        <w:rPr>
          <w:sz w:val="24"/>
          <w:szCs w:val="24"/>
        </w:rPr>
        <w:t xml:space="preserve">Websted: </w:t>
      </w:r>
      <w:hyperlink r:id="rId9" w:history="1">
        <w:r w:rsidRPr="00DF6C1B">
          <w:rPr>
            <w:color w:val="0000FF"/>
            <w:sz w:val="24"/>
            <w:u w:val="single"/>
          </w:rPr>
          <w:t>www.meldenbivirkning.dk</w:t>
        </w:r>
      </w:hyperlink>
    </w:p>
    <w:p w:rsidR="00EE11F9" w:rsidRPr="00DF6C1B" w:rsidRDefault="00EE11F9" w:rsidP="00EE11F9">
      <w:pPr>
        <w:rPr>
          <w:sz w:val="24"/>
          <w:szCs w:val="24"/>
          <w:lang w:eastAsia="da-DK"/>
        </w:rPr>
      </w:pPr>
      <w:r w:rsidRPr="00DF6C1B">
        <w:rPr>
          <w:szCs w:val="24"/>
        </w:rPr>
        <w:br w:type="page"/>
      </w:r>
    </w:p>
    <w:p w:rsidR="00EE11F9" w:rsidRPr="00DF6C1B" w:rsidRDefault="00EE11F9" w:rsidP="00EE11F9">
      <w:pPr>
        <w:pStyle w:val="Sidehoved"/>
        <w:tabs>
          <w:tab w:val="clear" w:pos="4819"/>
          <w:tab w:val="clear" w:pos="9638"/>
        </w:tabs>
        <w:ind w:left="851" w:hanging="851"/>
        <w:rPr>
          <w:szCs w:val="24"/>
        </w:rPr>
      </w:pPr>
    </w:p>
    <w:p w:rsidR="00EE11F9" w:rsidRPr="00B66470" w:rsidRDefault="00EE11F9" w:rsidP="00EE11F9">
      <w:pPr>
        <w:ind w:left="851" w:hanging="851"/>
        <w:rPr>
          <w:b/>
          <w:sz w:val="24"/>
          <w:szCs w:val="24"/>
        </w:rPr>
      </w:pPr>
      <w:r w:rsidRPr="00B66470">
        <w:rPr>
          <w:b/>
          <w:sz w:val="24"/>
          <w:szCs w:val="24"/>
        </w:rPr>
        <w:t>4.9</w:t>
      </w:r>
      <w:r w:rsidRPr="00B66470">
        <w:rPr>
          <w:b/>
          <w:sz w:val="24"/>
          <w:szCs w:val="24"/>
        </w:rPr>
        <w:tab/>
        <w:t>Overdosering</w:t>
      </w:r>
    </w:p>
    <w:p w:rsidR="00EE11F9" w:rsidRPr="00B66470" w:rsidRDefault="00EE11F9" w:rsidP="00EE11F9">
      <w:pPr>
        <w:ind w:left="851" w:hanging="851"/>
        <w:rPr>
          <w:sz w:val="24"/>
          <w:szCs w:val="24"/>
        </w:rPr>
      </w:pPr>
      <w:r w:rsidRPr="00B66470">
        <w:rPr>
          <w:sz w:val="24"/>
          <w:szCs w:val="24"/>
        </w:rPr>
        <w:tab/>
        <w:t>Der er ikke rapporteret tilfælde af overdosering.</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4.10</w:t>
      </w:r>
      <w:r w:rsidRPr="00B66470">
        <w:rPr>
          <w:b/>
          <w:sz w:val="24"/>
          <w:szCs w:val="24"/>
        </w:rPr>
        <w:tab/>
        <w:t>Udlevering</w:t>
      </w:r>
    </w:p>
    <w:p w:rsidR="00EE11F9" w:rsidRPr="00B66470" w:rsidRDefault="00EE11F9" w:rsidP="00EE11F9">
      <w:pPr>
        <w:ind w:left="851" w:hanging="851"/>
        <w:rPr>
          <w:sz w:val="24"/>
          <w:szCs w:val="24"/>
        </w:rPr>
      </w:pPr>
      <w:r w:rsidRPr="00B66470">
        <w:rPr>
          <w:sz w:val="24"/>
          <w:szCs w:val="24"/>
        </w:rPr>
        <w:tab/>
        <w:t>BEGR</w:t>
      </w:r>
    </w:p>
    <w:p w:rsidR="00EE11F9" w:rsidRPr="00B66470" w:rsidRDefault="00EE11F9" w:rsidP="00EE11F9">
      <w:pPr>
        <w:ind w:left="851" w:hanging="851"/>
        <w:rPr>
          <w:sz w:val="24"/>
          <w:szCs w:val="24"/>
        </w:rPr>
      </w:pP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w:t>
      </w:r>
      <w:r w:rsidRPr="00B66470">
        <w:rPr>
          <w:b/>
          <w:sz w:val="24"/>
          <w:szCs w:val="24"/>
        </w:rPr>
        <w:tab/>
        <w:t>FARMAKOLOGISKE EGENSKABER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5.0</w:t>
      </w:r>
      <w:r w:rsidRPr="00B66470">
        <w:rPr>
          <w:b/>
          <w:sz w:val="24"/>
          <w:szCs w:val="24"/>
        </w:rPr>
        <w:tab/>
        <w:t>Terapeutisk klassifikation</w:t>
      </w:r>
    </w:p>
    <w:p w:rsidR="00EE11F9" w:rsidRPr="00B66470" w:rsidRDefault="00EE11F9" w:rsidP="00EE11F9">
      <w:pPr>
        <w:ind w:left="851" w:hanging="851"/>
        <w:rPr>
          <w:sz w:val="24"/>
          <w:szCs w:val="24"/>
        </w:rPr>
      </w:pPr>
      <w:r w:rsidRPr="00B66470">
        <w:rPr>
          <w:sz w:val="24"/>
          <w:szCs w:val="24"/>
        </w:rPr>
        <w:tab/>
        <w:t>ATC- kode: B06AC01. C1-inhibitor, fra plasma.</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5.1</w:t>
      </w:r>
      <w:r w:rsidRPr="00B66470">
        <w:rPr>
          <w:b/>
          <w:sz w:val="24"/>
          <w:szCs w:val="24"/>
        </w:rPr>
        <w:tab/>
      </w:r>
      <w:proofErr w:type="spellStart"/>
      <w:r w:rsidRPr="00B66470">
        <w:rPr>
          <w:b/>
          <w:sz w:val="24"/>
          <w:szCs w:val="24"/>
        </w:rPr>
        <w:t>Farmakodynamiske</w:t>
      </w:r>
      <w:proofErr w:type="spellEnd"/>
      <w:r w:rsidRPr="00B66470">
        <w:rPr>
          <w:b/>
          <w:sz w:val="24"/>
          <w:szCs w:val="24"/>
        </w:rPr>
        <w:t xml:space="preserve"> egenskaber</w:t>
      </w:r>
    </w:p>
    <w:p w:rsidR="00EE11F9" w:rsidRPr="00B66470" w:rsidRDefault="00EE11F9" w:rsidP="00EE11F9">
      <w:pPr>
        <w:ind w:left="851" w:hanging="851"/>
        <w:rPr>
          <w:sz w:val="24"/>
          <w:szCs w:val="24"/>
        </w:rPr>
      </w:pPr>
      <w:r w:rsidRPr="00B66470">
        <w:rPr>
          <w:sz w:val="24"/>
          <w:szCs w:val="24"/>
        </w:rPr>
        <w:tab/>
        <w:t xml:space="preserve">En C1-esteraseinhibitor er et </w:t>
      </w:r>
      <w:proofErr w:type="spellStart"/>
      <w:r w:rsidRPr="00B66470">
        <w:rPr>
          <w:sz w:val="24"/>
          <w:szCs w:val="24"/>
        </w:rPr>
        <w:t>plasmaglykoprotein</w:t>
      </w:r>
      <w:proofErr w:type="spellEnd"/>
      <w:r w:rsidRPr="00B66470">
        <w:rPr>
          <w:sz w:val="24"/>
          <w:szCs w:val="24"/>
        </w:rPr>
        <w:t xml:space="preserve"> med en </w:t>
      </w:r>
      <w:proofErr w:type="spellStart"/>
      <w:r w:rsidRPr="00B66470">
        <w:rPr>
          <w:sz w:val="24"/>
          <w:szCs w:val="24"/>
        </w:rPr>
        <w:t>molekylevægt</w:t>
      </w:r>
      <w:proofErr w:type="spellEnd"/>
      <w:r w:rsidRPr="00B66470">
        <w:rPr>
          <w:sz w:val="24"/>
          <w:szCs w:val="24"/>
        </w:rPr>
        <w:t xml:space="preserve"> på 105 </w:t>
      </w:r>
      <w:proofErr w:type="spellStart"/>
      <w:r w:rsidRPr="00B66470">
        <w:rPr>
          <w:sz w:val="24"/>
          <w:szCs w:val="24"/>
        </w:rPr>
        <w:t>kD</w:t>
      </w:r>
      <w:proofErr w:type="spellEnd"/>
      <w:r w:rsidRPr="00B66470">
        <w:rPr>
          <w:sz w:val="24"/>
          <w:szCs w:val="24"/>
        </w:rPr>
        <w:t xml:space="preserve"> og 40 % kulhydrat. Koncentrationen i </w:t>
      </w:r>
      <w:proofErr w:type="gramStart"/>
      <w:r w:rsidRPr="00B66470">
        <w:rPr>
          <w:sz w:val="24"/>
          <w:szCs w:val="24"/>
        </w:rPr>
        <w:t>human plasma</w:t>
      </w:r>
      <w:proofErr w:type="gramEnd"/>
      <w:r w:rsidRPr="00B66470">
        <w:rPr>
          <w:sz w:val="24"/>
          <w:szCs w:val="24"/>
        </w:rPr>
        <w:t xml:space="preserve"> ligger i området 240 mg/l. Ud over at forekomme i human plasma findes C1-esteraseinhibitor også i moderkagen, leverceller, </w:t>
      </w:r>
      <w:proofErr w:type="spellStart"/>
      <w:r w:rsidRPr="00B66470">
        <w:rPr>
          <w:sz w:val="24"/>
          <w:szCs w:val="24"/>
        </w:rPr>
        <w:t>monocytter</w:t>
      </w:r>
      <w:proofErr w:type="spellEnd"/>
      <w:r w:rsidRPr="00B66470">
        <w:rPr>
          <w:sz w:val="24"/>
          <w:szCs w:val="24"/>
        </w:rPr>
        <w:t xml:space="preserve"> og blodplader.</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C1-esteraseinhibitor tilhører </w:t>
      </w:r>
      <w:proofErr w:type="spellStart"/>
      <w:r w:rsidRPr="00B66470">
        <w:rPr>
          <w:sz w:val="24"/>
          <w:szCs w:val="24"/>
        </w:rPr>
        <w:t>serpingruppen</w:t>
      </w:r>
      <w:proofErr w:type="spellEnd"/>
      <w:r w:rsidRPr="00B66470">
        <w:rPr>
          <w:sz w:val="24"/>
          <w:szCs w:val="24"/>
        </w:rPr>
        <w:t xml:space="preserve"> (</w:t>
      </w:r>
      <w:proofErr w:type="spellStart"/>
      <w:r w:rsidRPr="00B66470">
        <w:rPr>
          <w:sz w:val="24"/>
          <w:szCs w:val="24"/>
        </w:rPr>
        <w:t>serin-proteasehæmmere</w:t>
      </w:r>
      <w:proofErr w:type="spellEnd"/>
      <w:r w:rsidRPr="00B66470">
        <w:rPr>
          <w:sz w:val="24"/>
          <w:szCs w:val="24"/>
        </w:rPr>
        <w:t xml:space="preserve">) i </w:t>
      </w:r>
      <w:proofErr w:type="gramStart"/>
      <w:r w:rsidRPr="00B66470">
        <w:rPr>
          <w:sz w:val="24"/>
          <w:szCs w:val="24"/>
        </w:rPr>
        <w:t>human plasma</w:t>
      </w:r>
      <w:proofErr w:type="gramEnd"/>
      <w:r w:rsidRPr="00B66470">
        <w:rPr>
          <w:sz w:val="24"/>
          <w:szCs w:val="24"/>
        </w:rPr>
        <w:t xml:space="preserve"> i lighed med andre proteiner så som </w:t>
      </w:r>
      <w:proofErr w:type="spellStart"/>
      <w:r w:rsidRPr="00B66470">
        <w:rPr>
          <w:sz w:val="24"/>
          <w:szCs w:val="24"/>
        </w:rPr>
        <w:t>antitrombin</w:t>
      </w:r>
      <w:proofErr w:type="spellEnd"/>
      <w:r w:rsidRPr="00B66470">
        <w:rPr>
          <w:sz w:val="24"/>
          <w:szCs w:val="24"/>
        </w:rPr>
        <w:t xml:space="preserve"> III, α-2-antiplasmin, α-1-antitrypsin og andre.</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Under fysiologiske betingelser blokerer C1-esteraseinhibitoren komplementsystemets sædvanlige mekanisme ved at inaktivere de enzymatiske aktive komponenter C1s og C1r. Det aktive enzym danner et kompleks med inhibitoren i et støkiometrisk forhold på 1:1.</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Desuden udgør C1-esteraseinhibitoren den vigtigste hæmmer i kontaktaktiveringen af koagulation ved at hæmme faktor </w:t>
      </w:r>
      <w:proofErr w:type="spellStart"/>
      <w:r w:rsidRPr="00B66470">
        <w:rPr>
          <w:sz w:val="24"/>
          <w:szCs w:val="24"/>
        </w:rPr>
        <w:t>XIIa</w:t>
      </w:r>
      <w:proofErr w:type="spellEnd"/>
      <w:r w:rsidRPr="00B66470">
        <w:rPr>
          <w:sz w:val="24"/>
          <w:szCs w:val="24"/>
        </w:rPr>
        <w:t xml:space="preserve"> og dennes fragmenter. Endvidere fungerer det ligesom α-2-makroglobulin som den væsentligste hæmmer af plasma-</w:t>
      </w:r>
      <w:proofErr w:type="spellStart"/>
      <w:r w:rsidRPr="00B66470">
        <w:rPr>
          <w:sz w:val="24"/>
          <w:szCs w:val="24"/>
        </w:rPr>
        <w:t>kallikrein</w:t>
      </w:r>
      <w:proofErr w:type="spellEnd"/>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terapeutiske virkning af </w:t>
      </w:r>
      <w:proofErr w:type="spellStart"/>
      <w:r w:rsidRPr="00B66470">
        <w:rPr>
          <w:sz w:val="24"/>
          <w:szCs w:val="24"/>
        </w:rPr>
        <w:t>Berinert</w:t>
      </w:r>
      <w:proofErr w:type="spellEnd"/>
      <w:r w:rsidRPr="00B66470">
        <w:rPr>
          <w:sz w:val="24"/>
          <w:szCs w:val="24"/>
        </w:rPr>
        <w:t xml:space="preserve"> mod hereditært </w:t>
      </w:r>
      <w:proofErr w:type="spellStart"/>
      <w:r w:rsidRPr="00B66470">
        <w:rPr>
          <w:sz w:val="24"/>
          <w:szCs w:val="24"/>
        </w:rPr>
        <w:t>angioødem</w:t>
      </w:r>
      <w:proofErr w:type="spellEnd"/>
      <w:r w:rsidRPr="00B66470">
        <w:rPr>
          <w:sz w:val="24"/>
          <w:szCs w:val="24"/>
        </w:rPr>
        <w:t xml:space="preserve"> induceres ved substitution af den manglende C1-esteraseinhibitoraktivitet.</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5.2</w:t>
      </w:r>
      <w:r w:rsidRPr="00B66470">
        <w:rPr>
          <w:b/>
          <w:sz w:val="24"/>
          <w:szCs w:val="24"/>
        </w:rPr>
        <w:tab/>
      </w:r>
      <w:proofErr w:type="spellStart"/>
      <w:r w:rsidRPr="00B66470">
        <w:rPr>
          <w:b/>
          <w:sz w:val="24"/>
          <w:szCs w:val="24"/>
        </w:rPr>
        <w:t>Farmakokinetiske</w:t>
      </w:r>
      <w:proofErr w:type="spellEnd"/>
      <w:r w:rsidRPr="00B66470">
        <w:rPr>
          <w:b/>
          <w:sz w:val="24"/>
          <w:szCs w:val="24"/>
        </w:rPr>
        <w:t xml:space="preserve"> egenskaber</w:t>
      </w:r>
    </w:p>
    <w:p w:rsidR="00EE11F9" w:rsidRPr="00B66470" w:rsidRDefault="00EE11F9" w:rsidP="00EE11F9">
      <w:pPr>
        <w:ind w:left="851" w:hanging="851"/>
        <w:rPr>
          <w:sz w:val="24"/>
          <w:szCs w:val="24"/>
        </w:rPr>
      </w:pPr>
      <w:r w:rsidRPr="00B66470">
        <w:rPr>
          <w:sz w:val="24"/>
          <w:szCs w:val="24"/>
        </w:rPr>
        <w:tab/>
        <w:t>Præparatet indgives intravenøst og er straks tilgængeligt i plasma med en plasma-koncentration svarende til den indgivne dosis.</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Berinerts </w:t>
      </w:r>
      <w:proofErr w:type="spellStart"/>
      <w:r w:rsidRPr="00B66470">
        <w:rPr>
          <w:sz w:val="24"/>
          <w:szCs w:val="24"/>
        </w:rPr>
        <w:t>farmakokinetiske</w:t>
      </w:r>
      <w:proofErr w:type="spellEnd"/>
      <w:r w:rsidRPr="00B66470">
        <w:rPr>
          <w:sz w:val="24"/>
          <w:szCs w:val="24"/>
        </w:rPr>
        <w:t xml:space="preserve"> egenskaber er undersøgt i to studier.</w:t>
      </w:r>
    </w:p>
    <w:p w:rsidR="00EE11F9" w:rsidRPr="00B66470" w:rsidRDefault="00EE11F9" w:rsidP="00EE11F9">
      <w:pPr>
        <w:ind w:left="851" w:hanging="851"/>
        <w:rPr>
          <w:sz w:val="24"/>
          <w:szCs w:val="24"/>
        </w:rPr>
      </w:pPr>
    </w:p>
    <w:p w:rsidR="00EE11F9" w:rsidRPr="00B66470" w:rsidRDefault="00EE11F9" w:rsidP="00EE11F9">
      <w:pPr>
        <w:pStyle w:val="LAFISPCNormal"/>
        <w:tabs>
          <w:tab w:val="clear" w:pos="567"/>
        </w:tabs>
        <w:ind w:left="851"/>
        <w:rPr>
          <w:szCs w:val="24"/>
          <w:lang w:val="da-DK"/>
        </w:rPr>
      </w:pPr>
      <w:r w:rsidRPr="00B66470">
        <w:rPr>
          <w:szCs w:val="24"/>
          <w:lang w:val="da-DK"/>
        </w:rPr>
        <w:t xml:space="preserve">I et fase I-studie udført med 15 raske, voksne forsøgspersoner fremkom </w:t>
      </w:r>
      <w:proofErr w:type="spellStart"/>
      <w:r w:rsidRPr="00B66470">
        <w:rPr>
          <w:szCs w:val="24"/>
          <w:lang w:val="da-DK"/>
        </w:rPr>
        <w:t>farmakokinetiske</w:t>
      </w:r>
      <w:proofErr w:type="spellEnd"/>
      <w:r w:rsidRPr="00B66470">
        <w:rPr>
          <w:szCs w:val="24"/>
          <w:lang w:val="da-DK"/>
        </w:rPr>
        <w:t xml:space="preserve"> data, der blev anvendt til at vurdere den relative biotilgængelighed af </w:t>
      </w:r>
      <w:proofErr w:type="spellStart"/>
      <w:r w:rsidRPr="00B66470">
        <w:rPr>
          <w:szCs w:val="24"/>
          <w:lang w:val="da-DK"/>
        </w:rPr>
        <w:t>Berinert</w:t>
      </w:r>
      <w:proofErr w:type="spellEnd"/>
      <w:r>
        <w:rPr>
          <w:szCs w:val="24"/>
          <w:lang w:val="da-DK"/>
        </w:rPr>
        <w:t>,</w:t>
      </w:r>
      <w:r w:rsidRPr="00B66470">
        <w:rPr>
          <w:szCs w:val="24"/>
          <w:lang w:val="da-DK"/>
        </w:rPr>
        <w:t xml:space="preserve"> </w:t>
      </w:r>
      <w:r>
        <w:rPr>
          <w:szCs w:val="24"/>
          <w:lang w:val="da-DK"/>
        </w:rPr>
        <w:t xml:space="preserve">pulver og solvens til injektionsvæske, opløsning </w:t>
      </w:r>
      <w:r w:rsidRPr="00B66470">
        <w:rPr>
          <w:szCs w:val="24"/>
          <w:lang w:val="da-DK"/>
        </w:rPr>
        <w:t xml:space="preserve">1500 </w:t>
      </w:r>
      <w:r>
        <w:rPr>
          <w:szCs w:val="24"/>
          <w:lang w:val="da-DK"/>
        </w:rPr>
        <w:t>IE</w:t>
      </w:r>
      <w:r w:rsidRPr="00B66470">
        <w:rPr>
          <w:szCs w:val="24"/>
          <w:lang w:val="da-DK"/>
        </w:rPr>
        <w:t xml:space="preserve"> og </w:t>
      </w:r>
      <w:proofErr w:type="spellStart"/>
      <w:r w:rsidRPr="00B66470">
        <w:rPr>
          <w:szCs w:val="24"/>
          <w:lang w:val="da-DK"/>
        </w:rPr>
        <w:t>Berinert</w:t>
      </w:r>
      <w:proofErr w:type="spellEnd"/>
      <w:r>
        <w:rPr>
          <w:szCs w:val="24"/>
          <w:lang w:val="da-DK"/>
        </w:rPr>
        <w:t>, pulver og solvens til injektions-/infusionsvæske, opløsning</w:t>
      </w:r>
      <w:r w:rsidRPr="00B66470">
        <w:rPr>
          <w:szCs w:val="24"/>
          <w:lang w:val="da-DK"/>
        </w:rPr>
        <w:t xml:space="preserve"> 500 </w:t>
      </w:r>
      <w:r>
        <w:rPr>
          <w:szCs w:val="24"/>
          <w:lang w:val="da-DK"/>
        </w:rPr>
        <w:t>IE</w:t>
      </w:r>
      <w:r w:rsidRPr="00B66470">
        <w:rPr>
          <w:szCs w:val="24"/>
          <w:lang w:val="da-DK"/>
        </w:rPr>
        <w:t xml:space="preserve">. Der blev påvist sammenlignelig biotilgængelighed af Berinerts to dispenseringsformer. For C1-INH antigenkoncentrationer var de geometriske gennemsnitsratioer for </w:t>
      </w:r>
      <w:proofErr w:type="spellStart"/>
      <w:r w:rsidRPr="00B66470">
        <w:rPr>
          <w:szCs w:val="24"/>
          <w:lang w:val="da-DK"/>
        </w:rPr>
        <w:t>C</w:t>
      </w:r>
      <w:r w:rsidRPr="00B66470">
        <w:rPr>
          <w:szCs w:val="24"/>
          <w:vertAlign w:val="subscript"/>
          <w:lang w:val="da-DK"/>
        </w:rPr>
        <w:t>max</w:t>
      </w:r>
      <w:proofErr w:type="spellEnd"/>
      <w:r w:rsidRPr="00B66470">
        <w:rPr>
          <w:szCs w:val="24"/>
          <w:lang w:val="da-DK"/>
        </w:rPr>
        <w:t xml:space="preserve"> og AUC</w:t>
      </w:r>
      <w:r w:rsidRPr="00B66470">
        <w:rPr>
          <w:szCs w:val="24"/>
          <w:vertAlign w:val="subscript"/>
          <w:lang w:val="da-DK"/>
        </w:rPr>
        <w:t xml:space="preserve">0-last </w:t>
      </w:r>
      <w:r w:rsidRPr="00B66470">
        <w:rPr>
          <w:szCs w:val="24"/>
          <w:lang w:val="da-DK"/>
        </w:rPr>
        <w:t>(90 % CI) henholdsvis 1,02 (0,99, 1,04) og 1,02 (0,99, 1,05). Halveringstiden blev estimeret i en delmængde af forsøgspersonerne ved hjælp af non-</w:t>
      </w:r>
      <w:proofErr w:type="spellStart"/>
      <w:r w:rsidRPr="00B66470">
        <w:rPr>
          <w:szCs w:val="24"/>
          <w:lang w:val="da-DK"/>
        </w:rPr>
        <w:t>kompartmental</w:t>
      </w:r>
      <w:proofErr w:type="spellEnd"/>
      <w:r w:rsidRPr="00B66470">
        <w:rPr>
          <w:szCs w:val="24"/>
          <w:lang w:val="da-DK"/>
        </w:rPr>
        <w:t xml:space="preserve"> analyse af </w:t>
      </w:r>
      <w:proofErr w:type="spellStart"/>
      <w:r w:rsidRPr="00B66470">
        <w:rPr>
          <w:szCs w:val="24"/>
          <w:lang w:val="da-DK"/>
        </w:rPr>
        <w:t>farmakokinetiske</w:t>
      </w:r>
      <w:proofErr w:type="spellEnd"/>
      <w:r w:rsidRPr="00B66470">
        <w:rPr>
          <w:szCs w:val="24"/>
          <w:lang w:val="da-DK"/>
        </w:rPr>
        <w:t xml:space="preserve"> data. Den gennemsnitlige halveringstid for </w:t>
      </w:r>
      <w:proofErr w:type="spellStart"/>
      <w:r w:rsidRPr="00B66470">
        <w:rPr>
          <w:szCs w:val="24"/>
          <w:lang w:val="da-DK"/>
        </w:rPr>
        <w:t>Berinert</w:t>
      </w:r>
      <w:proofErr w:type="spellEnd"/>
      <w:r>
        <w:rPr>
          <w:szCs w:val="24"/>
          <w:lang w:val="da-DK"/>
        </w:rPr>
        <w:t>,</w:t>
      </w:r>
      <w:r w:rsidRPr="00B66470">
        <w:rPr>
          <w:szCs w:val="24"/>
          <w:lang w:val="da-DK"/>
        </w:rPr>
        <w:t xml:space="preserve"> </w:t>
      </w:r>
      <w:r>
        <w:rPr>
          <w:szCs w:val="24"/>
          <w:lang w:val="da-DK"/>
        </w:rPr>
        <w:t xml:space="preserve">pulver og solvens til injektionsvæske, opløsning </w:t>
      </w:r>
      <w:r w:rsidRPr="00B66470">
        <w:rPr>
          <w:szCs w:val="24"/>
          <w:lang w:val="da-DK"/>
        </w:rPr>
        <w:t xml:space="preserve">1500 </w:t>
      </w:r>
      <w:r>
        <w:rPr>
          <w:szCs w:val="24"/>
          <w:lang w:val="da-DK"/>
        </w:rPr>
        <w:t>IE</w:t>
      </w:r>
      <w:r w:rsidRPr="00B66470">
        <w:rPr>
          <w:szCs w:val="24"/>
          <w:lang w:val="da-DK"/>
        </w:rPr>
        <w:t xml:space="preserve"> og </w:t>
      </w:r>
      <w:proofErr w:type="spellStart"/>
      <w:r w:rsidRPr="00B66470">
        <w:rPr>
          <w:szCs w:val="24"/>
          <w:lang w:val="da-DK"/>
        </w:rPr>
        <w:t>Berinert</w:t>
      </w:r>
      <w:proofErr w:type="spellEnd"/>
      <w:r>
        <w:rPr>
          <w:szCs w:val="24"/>
          <w:lang w:val="da-DK"/>
        </w:rPr>
        <w:t>, pulver og solvens til injektions-/infusionsvæske, opløsning</w:t>
      </w:r>
      <w:r w:rsidRPr="00B66470">
        <w:rPr>
          <w:szCs w:val="24"/>
          <w:lang w:val="da-DK"/>
        </w:rPr>
        <w:t xml:space="preserve"> 500 </w:t>
      </w:r>
      <w:r>
        <w:rPr>
          <w:szCs w:val="24"/>
          <w:lang w:val="da-DK"/>
        </w:rPr>
        <w:t>IE</w:t>
      </w:r>
      <w:r w:rsidRPr="00B66470">
        <w:rPr>
          <w:szCs w:val="24"/>
          <w:lang w:val="da-DK"/>
        </w:rPr>
        <w:t xml:space="preserve"> var henholdsvis 87,7 timer og 91,4 timer. </w:t>
      </w:r>
    </w:p>
    <w:p w:rsidR="00EE11F9" w:rsidRPr="00B66470" w:rsidRDefault="00EE11F9" w:rsidP="00EE11F9">
      <w:pPr>
        <w:pStyle w:val="LAFISPCNormal"/>
        <w:tabs>
          <w:tab w:val="clear" w:pos="567"/>
        </w:tabs>
        <w:ind w:left="851" w:hanging="851"/>
        <w:rPr>
          <w:szCs w:val="24"/>
          <w:lang w:val="da-DK"/>
        </w:rPr>
      </w:pPr>
    </w:p>
    <w:p w:rsidR="00EE11F9" w:rsidRPr="00B66470" w:rsidRDefault="00EE11F9" w:rsidP="00EE11F9">
      <w:pPr>
        <w:pStyle w:val="LAFISPCNormal"/>
        <w:tabs>
          <w:tab w:val="clear" w:pos="567"/>
        </w:tabs>
        <w:ind w:left="851"/>
        <w:rPr>
          <w:szCs w:val="24"/>
          <w:lang w:val="da-DK"/>
        </w:rPr>
      </w:pPr>
      <w:r w:rsidRPr="00B66470">
        <w:rPr>
          <w:szCs w:val="24"/>
          <w:lang w:val="da-DK"/>
        </w:rPr>
        <w:t xml:space="preserve">De </w:t>
      </w:r>
      <w:proofErr w:type="spellStart"/>
      <w:r w:rsidRPr="00B66470">
        <w:rPr>
          <w:szCs w:val="24"/>
          <w:lang w:val="da-DK"/>
        </w:rPr>
        <w:t>farmakokinetiske</w:t>
      </w:r>
      <w:proofErr w:type="spellEnd"/>
      <w:r w:rsidRPr="00B66470">
        <w:rPr>
          <w:szCs w:val="24"/>
          <w:lang w:val="da-DK"/>
        </w:rPr>
        <w:t xml:space="preserve"> egenskaber er blevet undersøgt hos patienter med hereditært </w:t>
      </w:r>
      <w:proofErr w:type="spellStart"/>
      <w:r w:rsidRPr="00B66470">
        <w:rPr>
          <w:szCs w:val="24"/>
          <w:lang w:val="da-DK"/>
        </w:rPr>
        <w:t>angioødem</w:t>
      </w:r>
      <w:proofErr w:type="spellEnd"/>
      <w:r w:rsidRPr="00B66470">
        <w:rPr>
          <w:szCs w:val="24"/>
          <w:lang w:val="da-DK"/>
        </w:rPr>
        <w:t xml:space="preserve"> (34 patients &gt; 18 år, 6 patienter &lt; 18 år). De omfattede 15 patienter i profylaktisk behandling (med hyppige/svære anfald) samt 25 patienter med mindre hyppige/milde anfald og </w:t>
      </w:r>
      <w:proofErr w:type="spellStart"/>
      <w:r w:rsidRPr="00B66470">
        <w:rPr>
          <w:szCs w:val="24"/>
          <w:lang w:val="da-DK"/>
        </w:rPr>
        <w:t>p.n</w:t>
      </w:r>
      <w:proofErr w:type="spellEnd"/>
      <w:r w:rsidRPr="00B66470">
        <w:rPr>
          <w:szCs w:val="24"/>
          <w:lang w:val="da-DK"/>
        </w:rPr>
        <w:t xml:space="preserve">.-behandling. Data blev genereret i et </w:t>
      </w:r>
      <w:proofErr w:type="spellStart"/>
      <w:r w:rsidRPr="00B66470">
        <w:rPr>
          <w:szCs w:val="24"/>
          <w:lang w:val="da-DK"/>
        </w:rPr>
        <w:t>anfaldsfrit</w:t>
      </w:r>
      <w:proofErr w:type="spellEnd"/>
      <w:r w:rsidRPr="00B66470">
        <w:rPr>
          <w:szCs w:val="24"/>
          <w:lang w:val="da-DK"/>
        </w:rPr>
        <w:t xml:space="preserve"> interval.</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w:t>
      </w:r>
      <w:proofErr w:type="spellStart"/>
      <w:r w:rsidRPr="00B66470">
        <w:rPr>
          <w:sz w:val="24"/>
          <w:szCs w:val="24"/>
        </w:rPr>
        <w:t>mediane</w:t>
      </w:r>
      <w:proofErr w:type="spellEnd"/>
      <w:r w:rsidRPr="00B66470">
        <w:rPr>
          <w:sz w:val="24"/>
          <w:szCs w:val="24"/>
        </w:rPr>
        <w:t xml:space="preserve"> bedring </w:t>
      </w:r>
      <w:r w:rsidRPr="00B66470">
        <w:rPr>
          <w:iCs/>
          <w:sz w:val="24"/>
          <w:szCs w:val="24"/>
        </w:rPr>
        <w:t xml:space="preserve">in </w:t>
      </w:r>
      <w:proofErr w:type="spellStart"/>
      <w:r w:rsidRPr="00B66470">
        <w:rPr>
          <w:iCs/>
          <w:sz w:val="24"/>
          <w:szCs w:val="24"/>
        </w:rPr>
        <w:t>vivo</w:t>
      </w:r>
      <w:proofErr w:type="spellEnd"/>
      <w:r w:rsidRPr="00B66470">
        <w:rPr>
          <w:sz w:val="24"/>
          <w:szCs w:val="24"/>
        </w:rPr>
        <w:t xml:space="preserve"> var 86,7 % (interval: 54,0-254,1 %). Hos børn var bedringen lidt højere (98,2 %, interval: 69,2-106,8 %) end hos voksne (82,5 %, interval: 54,0-254,1 %). Patienter med alvorlige anfald opnåede højere værdier (101,4 %) sammenlignet med patienter med milde anfald (75,8 %, interval: 57,2-195,9 %).</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w:t>
      </w:r>
      <w:proofErr w:type="spellStart"/>
      <w:r w:rsidRPr="00B66470">
        <w:rPr>
          <w:sz w:val="24"/>
          <w:szCs w:val="24"/>
        </w:rPr>
        <w:t>mediane</w:t>
      </w:r>
      <w:proofErr w:type="spellEnd"/>
      <w:r w:rsidRPr="00B66470">
        <w:rPr>
          <w:sz w:val="24"/>
          <w:szCs w:val="24"/>
        </w:rPr>
        <w:t xml:space="preserve"> stigning i aktiviteten var 2.3%/</w:t>
      </w:r>
      <w:r>
        <w:rPr>
          <w:sz w:val="24"/>
          <w:szCs w:val="24"/>
        </w:rPr>
        <w:t>IE</w:t>
      </w:r>
      <w:r w:rsidRPr="00B66470">
        <w:rPr>
          <w:sz w:val="24"/>
          <w:szCs w:val="24"/>
        </w:rPr>
        <w:t>/kg legemsvægt (interval: 1,4-6,9 %/</w:t>
      </w:r>
      <w:r>
        <w:rPr>
          <w:sz w:val="24"/>
          <w:szCs w:val="24"/>
        </w:rPr>
        <w:t>IE</w:t>
      </w:r>
      <w:r w:rsidRPr="00B66470">
        <w:rPr>
          <w:sz w:val="24"/>
          <w:szCs w:val="24"/>
        </w:rPr>
        <w:t>/kg legemsvægt). Der var ingen signifikant forskel mellem voksne og børn. Patienter med alvorlige anfald havde en lidt større stigning i aktiviteten end patienter med milde anfald (2,</w:t>
      </w:r>
      <w:proofErr w:type="gramStart"/>
      <w:r w:rsidRPr="00B66470">
        <w:rPr>
          <w:sz w:val="24"/>
          <w:szCs w:val="24"/>
        </w:rPr>
        <w:t>9 ;</w:t>
      </w:r>
      <w:proofErr w:type="gramEnd"/>
      <w:r w:rsidRPr="00B66470">
        <w:rPr>
          <w:sz w:val="24"/>
          <w:szCs w:val="24"/>
        </w:rPr>
        <w:t xml:space="preserve"> interval: 1,4-6,9 vs. 2,1 ; interval: 1,5-5,1 %/</w:t>
      </w:r>
      <w:r>
        <w:rPr>
          <w:sz w:val="24"/>
          <w:szCs w:val="24"/>
        </w:rPr>
        <w:t>IE</w:t>
      </w:r>
      <w:r w:rsidRPr="00B66470">
        <w:rPr>
          <w:sz w:val="24"/>
          <w:szCs w:val="24"/>
        </w:rPr>
        <w:t>/kg legemsvægt).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Den maksimale koncentration af</w:t>
      </w:r>
      <w:r w:rsidR="0013510B">
        <w:rPr>
          <w:sz w:val="24"/>
          <w:szCs w:val="24"/>
        </w:rPr>
        <w:t xml:space="preserve"> human</w:t>
      </w:r>
      <w:r w:rsidRPr="00B66470">
        <w:rPr>
          <w:sz w:val="24"/>
          <w:szCs w:val="24"/>
        </w:rPr>
        <w:t xml:space="preserve"> C1-esteraseinhibitoraktiviteten i plasma blev nået i løbet af 0,8 timer efter indgivelse af </w:t>
      </w:r>
      <w:proofErr w:type="spellStart"/>
      <w:r w:rsidRPr="00B66470">
        <w:rPr>
          <w:sz w:val="24"/>
          <w:szCs w:val="24"/>
        </w:rPr>
        <w:t>Berinert</w:t>
      </w:r>
      <w:proofErr w:type="spellEnd"/>
      <w:r w:rsidRPr="00B66470">
        <w:rPr>
          <w:sz w:val="24"/>
          <w:szCs w:val="24"/>
        </w:rPr>
        <w:t xml:space="preserve"> uden signifikante forskelle mellem patientgrupperne.</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Den </w:t>
      </w:r>
      <w:proofErr w:type="spellStart"/>
      <w:r w:rsidRPr="00B66470">
        <w:rPr>
          <w:sz w:val="24"/>
          <w:szCs w:val="24"/>
        </w:rPr>
        <w:t>mediane</w:t>
      </w:r>
      <w:proofErr w:type="spellEnd"/>
      <w:r w:rsidRPr="00B66470">
        <w:rPr>
          <w:sz w:val="24"/>
          <w:szCs w:val="24"/>
        </w:rPr>
        <w:t xml:space="preserve"> halveringstid var 36,1 timer. Den var lidt kortere hos børn end hos voksne (32,9 vs. 36,1 timer) og hos patienter med alvorlige anfald end hos patienter med milde anfald (30,9 vs. 37,0 timer).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5.3</w:t>
      </w:r>
      <w:r w:rsidRPr="00B66470">
        <w:rPr>
          <w:b/>
          <w:sz w:val="24"/>
          <w:szCs w:val="24"/>
        </w:rPr>
        <w:tab/>
        <w:t>Prækliniske sikkerhedsdata</w:t>
      </w:r>
    </w:p>
    <w:p w:rsidR="00EE11F9" w:rsidRPr="00B66470" w:rsidRDefault="00EE11F9" w:rsidP="00EE11F9">
      <w:pPr>
        <w:ind w:left="851" w:hanging="851"/>
        <w:rPr>
          <w:sz w:val="24"/>
          <w:szCs w:val="24"/>
        </w:rPr>
      </w:pPr>
      <w:r w:rsidRPr="00B66470">
        <w:rPr>
          <w:sz w:val="24"/>
          <w:szCs w:val="24"/>
        </w:rPr>
        <w:tab/>
      </w:r>
      <w:proofErr w:type="spellStart"/>
      <w:r w:rsidRPr="00B66470">
        <w:rPr>
          <w:sz w:val="24"/>
          <w:szCs w:val="24"/>
        </w:rPr>
        <w:t>Berinert</w:t>
      </w:r>
      <w:proofErr w:type="spellEnd"/>
      <w:r w:rsidRPr="00B66470">
        <w:rPr>
          <w:sz w:val="24"/>
          <w:szCs w:val="24"/>
        </w:rPr>
        <w:t xml:space="preserve"> indeholder</w:t>
      </w:r>
      <w:r w:rsidR="0013510B">
        <w:rPr>
          <w:sz w:val="24"/>
          <w:szCs w:val="24"/>
        </w:rPr>
        <w:t xml:space="preserve"> human</w:t>
      </w:r>
      <w:r w:rsidRPr="00B66470">
        <w:rPr>
          <w:sz w:val="24"/>
          <w:szCs w:val="24"/>
        </w:rPr>
        <w:t xml:space="preserve"> C1-esteraseinhibitor som det aktive indholdsstof. Det er udvundet af </w:t>
      </w:r>
      <w:proofErr w:type="gramStart"/>
      <w:r w:rsidRPr="00B66470">
        <w:rPr>
          <w:sz w:val="24"/>
          <w:szCs w:val="24"/>
        </w:rPr>
        <w:t>human plasma</w:t>
      </w:r>
      <w:proofErr w:type="gramEnd"/>
      <w:r w:rsidRPr="00B66470">
        <w:rPr>
          <w:sz w:val="24"/>
          <w:szCs w:val="24"/>
        </w:rPr>
        <w:t xml:space="preserve"> og har den samme virkning som de endogene substanser i plasma. Efter indgivelse af enkeltdoser af </w:t>
      </w:r>
      <w:proofErr w:type="spellStart"/>
      <w:r w:rsidRPr="00B66470">
        <w:rPr>
          <w:sz w:val="24"/>
          <w:szCs w:val="24"/>
        </w:rPr>
        <w:t>Berinert</w:t>
      </w:r>
      <w:proofErr w:type="spellEnd"/>
      <w:r w:rsidRPr="00B66470">
        <w:rPr>
          <w:sz w:val="24"/>
          <w:szCs w:val="24"/>
        </w:rPr>
        <w:t xml:space="preserve"> i rotter og mus og af gentagne doser sås ingen tegn på toksicitet.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Der er ikke udført prækliniske studier med gentagne doser for at undersøge </w:t>
      </w:r>
      <w:proofErr w:type="spellStart"/>
      <w:r w:rsidRPr="00B66470">
        <w:rPr>
          <w:sz w:val="24"/>
          <w:szCs w:val="24"/>
        </w:rPr>
        <w:t>karcinogenicitet</w:t>
      </w:r>
      <w:proofErr w:type="spellEnd"/>
      <w:r w:rsidRPr="00B66470">
        <w:rPr>
          <w:sz w:val="24"/>
          <w:szCs w:val="24"/>
        </w:rPr>
        <w:t xml:space="preserve"> og reproduktionstoksicitet, da disse ikke kan udføres i konventionelle dyremodeller på grund af dannelsen af antistoffer som følge af indgivelse af heterologe humane proteiner.</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Ouchterlony</w:t>
      </w:r>
      <w:proofErr w:type="spellEnd"/>
      <w:r w:rsidRPr="00B66470">
        <w:rPr>
          <w:sz w:val="24"/>
          <w:szCs w:val="24"/>
        </w:rPr>
        <w:t xml:space="preserve"> in </w:t>
      </w:r>
      <w:proofErr w:type="spellStart"/>
      <w:r w:rsidRPr="00B66470">
        <w:rPr>
          <w:sz w:val="24"/>
          <w:szCs w:val="24"/>
        </w:rPr>
        <w:t>vitro</w:t>
      </w:r>
      <w:proofErr w:type="spellEnd"/>
      <w:r w:rsidRPr="00B66470">
        <w:rPr>
          <w:sz w:val="24"/>
          <w:szCs w:val="24"/>
        </w:rPr>
        <w:t xml:space="preserve">-test og in </w:t>
      </w:r>
      <w:proofErr w:type="spellStart"/>
      <w:r w:rsidRPr="00B66470">
        <w:rPr>
          <w:sz w:val="24"/>
          <w:szCs w:val="24"/>
        </w:rPr>
        <w:t>vivo</w:t>
      </w:r>
      <w:proofErr w:type="spellEnd"/>
      <w:r w:rsidRPr="00B66470">
        <w:rPr>
          <w:sz w:val="24"/>
          <w:szCs w:val="24"/>
        </w:rPr>
        <w:t xml:space="preserve">-model med passiv </w:t>
      </w:r>
      <w:proofErr w:type="spellStart"/>
      <w:r w:rsidRPr="00B66470">
        <w:rPr>
          <w:sz w:val="24"/>
          <w:szCs w:val="24"/>
        </w:rPr>
        <w:t>kutan</w:t>
      </w:r>
      <w:proofErr w:type="spellEnd"/>
      <w:r w:rsidRPr="00B66470">
        <w:rPr>
          <w:sz w:val="24"/>
          <w:szCs w:val="24"/>
        </w:rPr>
        <w:t xml:space="preserve"> anafylaksi i marsvin viste ingen tegn på nydannede </w:t>
      </w:r>
      <w:proofErr w:type="spellStart"/>
      <w:r w:rsidRPr="00B66470">
        <w:rPr>
          <w:sz w:val="24"/>
          <w:szCs w:val="24"/>
        </w:rPr>
        <w:t>antigene</w:t>
      </w:r>
      <w:proofErr w:type="spellEnd"/>
      <w:r w:rsidRPr="00B66470">
        <w:rPr>
          <w:sz w:val="24"/>
          <w:szCs w:val="24"/>
        </w:rPr>
        <w:t xml:space="preserve"> determinanter i </w:t>
      </w:r>
      <w:proofErr w:type="spellStart"/>
      <w:r w:rsidRPr="00B66470">
        <w:rPr>
          <w:sz w:val="24"/>
          <w:szCs w:val="24"/>
        </w:rPr>
        <w:t>Berinert</w:t>
      </w:r>
      <w:proofErr w:type="spellEnd"/>
      <w:r w:rsidRPr="00B66470">
        <w:rPr>
          <w:sz w:val="24"/>
          <w:szCs w:val="24"/>
        </w:rPr>
        <w:t xml:space="preserve"> efter pasteurisering.</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proofErr w:type="spellStart"/>
      <w:r w:rsidRPr="00B66470">
        <w:rPr>
          <w:sz w:val="24"/>
          <w:szCs w:val="24"/>
        </w:rPr>
        <w:t>Berinert</w:t>
      </w:r>
      <w:proofErr w:type="spellEnd"/>
      <w:r w:rsidRPr="00B66470">
        <w:rPr>
          <w:sz w:val="24"/>
          <w:szCs w:val="24"/>
        </w:rPr>
        <w:t xml:space="preserve"> er undersøgt for in </w:t>
      </w:r>
      <w:proofErr w:type="spellStart"/>
      <w:r w:rsidRPr="00B66470">
        <w:rPr>
          <w:sz w:val="24"/>
          <w:szCs w:val="24"/>
        </w:rPr>
        <w:t>vivo-trombogenicitet</w:t>
      </w:r>
      <w:proofErr w:type="spellEnd"/>
      <w:r w:rsidRPr="00B66470">
        <w:rPr>
          <w:sz w:val="24"/>
          <w:szCs w:val="24"/>
        </w:rPr>
        <w:t xml:space="preserve"> i kaniner med doser på op til 800 </w:t>
      </w:r>
      <w:r>
        <w:rPr>
          <w:sz w:val="24"/>
          <w:szCs w:val="24"/>
        </w:rPr>
        <w:t>IE</w:t>
      </w:r>
      <w:r w:rsidRPr="00B66470">
        <w:rPr>
          <w:sz w:val="24"/>
          <w:szCs w:val="24"/>
        </w:rPr>
        <w:t xml:space="preserve">/kg legemsvægt. Der sås ingen risiko for </w:t>
      </w:r>
      <w:proofErr w:type="spellStart"/>
      <w:r w:rsidRPr="00B66470">
        <w:rPr>
          <w:sz w:val="24"/>
          <w:szCs w:val="24"/>
        </w:rPr>
        <w:t>protrombotisk</w:t>
      </w:r>
      <w:proofErr w:type="spellEnd"/>
      <w:r w:rsidRPr="00B66470">
        <w:rPr>
          <w:sz w:val="24"/>
          <w:szCs w:val="24"/>
        </w:rPr>
        <w:t xml:space="preserve"> effekt ved </w:t>
      </w:r>
      <w:proofErr w:type="spellStart"/>
      <w:r w:rsidRPr="00B66470">
        <w:rPr>
          <w:sz w:val="24"/>
          <w:szCs w:val="24"/>
        </w:rPr>
        <w:t>i.v</w:t>
      </w:r>
      <w:proofErr w:type="spellEnd"/>
      <w:r w:rsidRPr="00B66470">
        <w:rPr>
          <w:sz w:val="24"/>
          <w:szCs w:val="24"/>
        </w:rPr>
        <w:t xml:space="preserve">. administration af </w:t>
      </w:r>
      <w:proofErr w:type="spellStart"/>
      <w:r w:rsidRPr="00B66470">
        <w:rPr>
          <w:sz w:val="24"/>
          <w:szCs w:val="24"/>
        </w:rPr>
        <w:t>Berinert</w:t>
      </w:r>
      <w:proofErr w:type="spellEnd"/>
      <w:r w:rsidRPr="00B66470">
        <w:rPr>
          <w:sz w:val="24"/>
          <w:szCs w:val="24"/>
        </w:rPr>
        <w:t xml:space="preserve"> i doser på op til 800 </w:t>
      </w:r>
      <w:r>
        <w:rPr>
          <w:sz w:val="24"/>
          <w:szCs w:val="24"/>
        </w:rPr>
        <w:t>IE</w:t>
      </w:r>
      <w:r w:rsidRPr="00B66470">
        <w:rPr>
          <w:sz w:val="24"/>
          <w:szCs w:val="24"/>
        </w:rPr>
        <w:t>/kg legemsvægt.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Studier af lokal tolerance i kaniner har påvist, at </w:t>
      </w:r>
      <w:proofErr w:type="spellStart"/>
      <w:r w:rsidRPr="00B66470">
        <w:rPr>
          <w:sz w:val="24"/>
          <w:szCs w:val="24"/>
        </w:rPr>
        <w:t>Berinert</w:t>
      </w:r>
      <w:proofErr w:type="spellEnd"/>
      <w:r w:rsidRPr="00B66470">
        <w:rPr>
          <w:sz w:val="24"/>
          <w:szCs w:val="24"/>
        </w:rPr>
        <w:t xml:space="preserve"> var klinisk, lokalt og histologisk veltolereret efter intravenøs, subkutan, intraarteriel og intramuskulær anvendelse.</w:t>
      </w:r>
    </w:p>
    <w:p w:rsidR="00EE11F9" w:rsidRPr="00B66470" w:rsidRDefault="00EE11F9" w:rsidP="00EE11F9">
      <w:pPr>
        <w:ind w:left="851" w:hanging="851"/>
        <w:rPr>
          <w:sz w:val="24"/>
          <w:szCs w:val="24"/>
        </w:rPr>
      </w:pPr>
    </w:p>
    <w:p w:rsidR="00EE11F9" w:rsidRPr="00B66470" w:rsidRDefault="00EE11F9" w:rsidP="00EE11F9">
      <w:pPr>
        <w:ind w:left="851" w:hanging="851"/>
        <w:rPr>
          <w:sz w:val="24"/>
          <w:szCs w:val="24"/>
        </w:rPr>
      </w:pPr>
      <w:r>
        <w:rPr>
          <w:sz w:val="24"/>
          <w:szCs w:val="24"/>
        </w:rPr>
        <w:br w:type="page"/>
      </w:r>
    </w:p>
    <w:p w:rsidR="00EE11F9" w:rsidRPr="00B66470" w:rsidRDefault="00EE11F9" w:rsidP="00EE11F9">
      <w:pPr>
        <w:ind w:left="851" w:hanging="851"/>
        <w:rPr>
          <w:b/>
          <w:sz w:val="24"/>
          <w:szCs w:val="24"/>
        </w:rPr>
      </w:pPr>
      <w:r w:rsidRPr="00B66470">
        <w:rPr>
          <w:b/>
          <w:sz w:val="24"/>
          <w:szCs w:val="24"/>
        </w:rPr>
        <w:lastRenderedPageBreak/>
        <w:t>6.</w:t>
      </w:r>
      <w:r w:rsidRPr="00B66470">
        <w:rPr>
          <w:b/>
          <w:sz w:val="24"/>
          <w:szCs w:val="24"/>
        </w:rPr>
        <w:tab/>
        <w:t>FARMACEUTISKE OPLYSNINGER</w:t>
      </w:r>
    </w:p>
    <w:p w:rsidR="00EE11F9" w:rsidRPr="00B66470" w:rsidRDefault="00EE11F9" w:rsidP="00EE11F9">
      <w:pPr>
        <w:ind w:left="851" w:hanging="851"/>
        <w:rPr>
          <w:b/>
          <w:sz w:val="24"/>
          <w:szCs w:val="24"/>
        </w:rPr>
      </w:pPr>
    </w:p>
    <w:p w:rsidR="00EE11F9" w:rsidRPr="00B66470" w:rsidRDefault="00EE11F9" w:rsidP="00EE11F9">
      <w:pPr>
        <w:ind w:left="851" w:hanging="851"/>
        <w:rPr>
          <w:b/>
          <w:sz w:val="24"/>
          <w:szCs w:val="24"/>
        </w:rPr>
      </w:pPr>
      <w:r w:rsidRPr="00B66470">
        <w:rPr>
          <w:b/>
          <w:sz w:val="24"/>
          <w:szCs w:val="24"/>
        </w:rPr>
        <w:t>6.1</w:t>
      </w:r>
      <w:r w:rsidRPr="00B66470">
        <w:rPr>
          <w:b/>
          <w:sz w:val="24"/>
          <w:szCs w:val="24"/>
        </w:rPr>
        <w:tab/>
        <w:t>Hjælpestoffer</w:t>
      </w:r>
    </w:p>
    <w:p w:rsidR="00EE11F9" w:rsidRPr="00B66470" w:rsidRDefault="00EE11F9" w:rsidP="00EE11F9">
      <w:pPr>
        <w:ind w:left="851" w:hanging="851"/>
        <w:rPr>
          <w:sz w:val="24"/>
          <w:szCs w:val="24"/>
        </w:rPr>
      </w:pPr>
      <w:r w:rsidRPr="00B66470">
        <w:rPr>
          <w:sz w:val="24"/>
          <w:szCs w:val="24"/>
        </w:rPr>
        <w:tab/>
      </w:r>
    </w:p>
    <w:p w:rsidR="00EE11F9" w:rsidRPr="00B66470" w:rsidRDefault="00EE11F9" w:rsidP="00EE11F9">
      <w:pPr>
        <w:ind w:left="851"/>
        <w:rPr>
          <w:i/>
          <w:iCs/>
          <w:sz w:val="24"/>
          <w:szCs w:val="24"/>
        </w:rPr>
      </w:pPr>
      <w:r w:rsidRPr="00B66470">
        <w:rPr>
          <w:i/>
          <w:iCs/>
          <w:sz w:val="24"/>
          <w:szCs w:val="24"/>
        </w:rPr>
        <w:t>Pulver</w:t>
      </w:r>
    </w:p>
    <w:p w:rsidR="00EE11F9" w:rsidRPr="00B66470" w:rsidRDefault="00EE11F9" w:rsidP="00EE11F9">
      <w:pPr>
        <w:ind w:left="851"/>
        <w:rPr>
          <w:sz w:val="24"/>
          <w:szCs w:val="24"/>
        </w:rPr>
      </w:pPr>
      <w:proofErr w:type="spellStart"/>
      <w:r w:rsidRPr="00B66470">
        <w:rPr>
          <w:sz w:val="24"/>
          <w:szCs w:val="24"/>
        </w:rPr>
        <w:t>Glycin</w:t>
      </w:r>
      <w:proofErr w:type="spellEnd"/>
    </w:p>
    <w:p w:rsidR="00EE11F9" w:rsidRPr="00B66470" w:rsidRDefault="00EE11F9" w:rsidP="00EE11F9">
      <w:pPr>
        <w:ind w:left="851"/>
        <w:rPr>
          <w:sz w:val="24"/>
          <w:szCs w:val="24"/>
        </w:rPr>
      </w:pPr>
      <w:proofErr w:type="spellStart"/>
      <w:r w:rsidRPr="00B66470">
        <w:rPr>
          <w:sz w:val="24"/>
          <w:szCs w:val="24"/>
        </w:rPr>
        <w:t>Natriumchlorid</w:t>
      </w:r>
      <w:proofErr w:type="spellEnd"/>
    </w:p>
    <w:p w:rsidR="00EE11F9" w:rsidRPr="00B66470" w:rsidRDefault="00EE11F9" w:rsidP="00EE11F9">
      <w:pPr>
        <w:ind w:left="851"/>
        <w:rPr>
          <w:sz w:val="24"/>
          <w:szCs w:val="24"/>
        </w:rPr>
      </w:pPr>
      <w:r w:rsidRPr="00B66470">
        <w:rPr>
          <w:sz w:val="24"/>
          <w:szCs w:val="24"/>
        </w:rPr>
        <w:t>Natriumcitrat</w:t>
      </w:r>
    </w:p>
    <w:p w:rsidR="00EE11F9" w:rsidRPr="00B66470" w:rsidRDefault="00EE11F9" w:rsidP="00EE11F9">
      <w:pPr>
        <w:ind w:left="851"/>
        <w:rPr>
          <w:sz w:val="24"/>
          <w:szCs w:val="24"/>
        </w:rPr>
      </w:pPr>
    </w:p>
    <w:p w:rsidR="00EE11F9" w:rsidRPr="00B66470" w:rsidRDefault="00EE11F9" w:rsidP="00EE11F9">
      <w:pPr>
        <w:ind w:left="851"/>
        <w:rPr>
          <w:i/>
          <w:iCs/>
          <w:sz w:val="24"/>
          <w:szCs w:val="24"/>
        </w:rPr>
      </w:pPr>
      <w:r w:rsidRPr="00B66470">
        <w:rPr>
          <w:i/>
          <w:iCs/>
          <w:sz w:val="24"/>
          <w:szCs w:val="24"/>
        </w:rPr>
        <w:t>Solvens</w:t>
      </w:r>
    </w:p>
    <w:p w:rsidR="00EE11F9" w:rsidRPr="00B66470" w:rsidRDefault="00EE11F9" w:rsidP="00EE11F9">
      <w:pPr>
        <w:ind w:left="851"/>
        <w:rPr>
          <w:sz w:val="24"/>
          <w:szCs w:val="24"/>
        </w:rPr>
      </w:pPr>
      <w:r w:rsidRPr="00B66470">
        <w:rPr>
          <w:sz w:val="24"/>
          <w:szCs w:val="24"/>
        </w:rPr>
        <w:t>Vand til injektionsvæsker</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6.2</w:t>
      </w:r>
      <w:r w:rsidRPr="00B66470">
        <w:rPr>
          <w:b/>
          <w:sz w:val="24"/>
          <w:szCs w:val="24"/>
        </w:rPr>
        <w:tab/>
        <w:t>Uforligeligheder</w:t>
      </w:r>
    </w:p>
    <w:p w:rsidR="00EE11F9" w:rsidRPr="00B66470" w:rsidRDefault="00EE11F9" w:rsidP="00EE11F9">
      <w:pPr>
        <w:ind w:left="851" w:hanging="851"/>
        <w:rPr>
          <w:sz w:val="24"/>
          <w:szCs w:val="24"/>
        </w:rPr>
      </w:pPr>
      <w:r w:rsidRPr="00B66470">
        <w:rPr>
          <w:sz w:val="24"/>
          <w:szCs w:val="24"/>
        </w:rPr>
        <w:tab/>
        <w:t>Da der ikke foreligger studier af eventuelle uforligeligheder, må dette lægemiddel ikke blandes med andre lægemidler eller fortyndingsmidler i sprøjten/injektionssættet.</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6.3</w:t>
      </w:r>
      <w:r w:rsidRPr="00B66470">
        <w:rPr>
          <w:b/>
          <w:sz w:val="24"/>
          <w:szCs w:val="24"/>
        </w:rPr>
        <w:tab/>
        <w:t>Opbevaringstid</w:t>
      </w:r>
    </w:p>
    <w:p w:rsidR="00EE11F9" w:rsidRPr="00B66470" w:rsidRDefault="00EE11F9" w:rsidP="00EE11F9">
      <w:pPr>
        <w:ind w:left="851" w:hanging="851"/>
        <w:rPr>
          <w:sz w:val="24"/>
          <w:szCs w:val="24"/>
        </w:rPr>
      </w:pPr>
      <w:r w:rsidRPr="00B66470">
        <w:rPr>
          <w:sz w:val="24"/>
          <w:szCs w:val="24"/>
        </w:rPr>
        <w:tab/>
      </w:r>
      <w:r>
        <w:rPr>
          <w:sz w:val="24"/>
          <w:szCs w:val="24"/>
        </w:rPr>
        <w:t>3 år</w:t>
      </w:r>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rPr>
          <w:sz w:val="24"/>
          <w:szCs w:val="24"/>
        </w:rPr>
      </w:pPr>
      <w:r w:rsidRPr="00B66470">
        <w:rPr>
          <w:sz w:val="24"/>
          <w:szCs w:val="24"/>
        </w:rPr>
        <w:t xml:space="preserve">Kemisk og fysisk stabilitet efter </w:t>
      </w:r>
      <w:proofErr w:type="spellStart"/>
      <w:r w:rsidRPr="00B66470">
        <w:rPr>
          <w:sz w:val="24"/>
          <w:szCs w:val="24"/>
        </w:rPr>
        <w:t>rekonstituering</w:t>
      </w:r>
      <w:proofErr w:type="spellEnd"/>
      <w:r w:rsidRPr="00B66470">
        <w:rPr>
          <w:sz w:val="24"/>
          <w:szCs w:val="24"/>
        </w:rPr>
        <w:t xml:space="preserve"> er dokumenteret i 48 timer ved stuetemperatur (maksimum 25°C). Ud fra et mikrobiologisk synspunkt skal det </w:t>
      </w:r>
      <w:proofErr w:type="spellStart"/>
      <w:r w:rsidRPr="00B66470">
        <w:rPr>
          <w:sz w:val="24"/>
          <w:szCs w:val="24"/>
        </w:rPr>
        <w:t>rekonstituerede</w:t>
      </w:r>
      <w:proofErr w:type="spellEnd"/>
      <w:r w:rsidRPr="00B66470">
        <w:rPr>
          <w:sz w:val="24"/>
          <w:szCs w:val="24"/>
        </w:rPr>
        <w:t xml:space="preserve"> præparat bruges med det samme, da </w:t>
      </w:r>
      <w:proofErr w:type="spellStart"/>
      <w:r w:rsidRPr="00B66470">
        <w:rPr>
          <w:sz w:val="24"/>
          <w:szCs w:val="24"/>
        </w:rPr>
        <w:t>Berinert</w:t>
      </w:r>
      <w:proofErr w:type="spellEnd"/>
      <w:r w:rsidRPr="00B66470">
        <w:rPr>
          <w:sz w:val="24"/>
          <w:szCs w:val="24"/>
        </w:rPr>
        <w:t xml:space="preserve"> ikke indeholder konserveringsmiddel. Opbevaringstiden må ikke overstige 8 timer ved stuetemperatur, hvis præparatet ikke indgives med det samme.</w:t>
      </w:r>
    </w:p>
    <w:p w:rsidR="00EE11F9" w:rsidRPr="00B66470" w:rsidRDefault="00EE11F9" w:rsidP="00EE11F9">
      <w:pPr>
        <w:ind w:left="851"/>
        <w:rPr>
          <w:sz w:val="24"/>
          <w:szCs w:val="24"/>
        </w:rPr>
      </w:pPr>
      <w:r w:rsidRPr="00B66470">
        <w:rPr>
          <w:sz w:val="24"/>
          <w:szCs w:val="24"/>
        </w:rPr>
        <w:t xml:space="preserve">Det </w:t>
      </w:r>
      <w:proofErr w:type="spellStart"/>
      <w:r w:rsidRPr="00B66470">
        <w:rPr>
          <w:sz w:val="24"/>
          <w:szCs w:val="24"/>
        </w:rPr>
        <w:t>rekonstituerede</w:t>
      </w:r>
      <w:proofErr w:type="spellEnd"/>
      <w:r w:rsidRPr="00B66470">
        <w:rPr>
          <w:sz w:val="24"/>
          <w:szCs w:val="24"/>
        </w:rPr>
        <w:t xml:space="preserve"> lægemiddel må kun opbevares i </w:t>
      </w:r>
      <w:r w:rsidRPr="00B66470">
        <w:rPr>
          <w:b/>
          <w:sz w:val="24"/>
          <w:szCs w:val="24"/>
        </w:rPr>
        <w:t>hætteglasset</w:t>
      </w:r>
      <w:r w:rsidRPr="00B66470">
        <w:rPr>
          <w:sz w:val="24"/>
          <w:szCs w:val="24"/>
        </w:rPr>
        <w:t>.</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6.4</w:t>
      </w:r>
      <w:r w:rsidRPr="00B66470">
        <w:rPr>
          <w:b/>
          <w:sz w:val="24"/>
          <w:szCs w:val="24"/>
        </w:rPr>
        <w:tab/>
        <w:t>Særlige opbevaringsforhold</w:t>
      </w:r>
    </w:p>
    <w:p w:rsidR="00EE11F9" w:rsidRPr="00B66470" w:rsidRDefault="00EE11F9" w:rsidP="00EE11F9">
      <w:pPr>
        <w:ind w:left="851" w:hanging="851"/>
        <w:rPr>
          <w:sz w:val="24"/>
          <w:szCs w:val="24"/>
        </w:rPr>
      </w:pPr>
      <w:r w:rsidRPr="00B66470">
        <w:rPr>
          <w:sz w:val="24"/>
          <w:szCs w:val="24"/>
        </w:rPr>
        <w:tab/>
        <w:t>Må ikke opbevares ved temperaturer over 30 °C.</w:t>
      </w:r>
    </w:p>
    <w:p w:rsidR="00EE11F9" w:rsidRPr="00B66470" w:rsidRDefault="00EE11F9" w:rsidP="00EE11F9">
      <w:pPr>
        <w:ind w:left="851"/>
        <w:rPr>
          <w:sz w:val="24"/>
          <w:szCs w:val="24"/>
        </w:rPr>
      </w:pPr>
      <w:r w:rsidRPr="00B66470">
        <w:rPr>
          <w:sz w:val="24"/>
          <w:szCs w:val="24"/>
        </w:rPr>
        <w:t>Må ikke nedfryses.</w:t>
      </w:r>
    </w:p>
    <w:p w:rsidR="00EE11F9" w:rsidRPr="00B66470" w:rsidRDefault="00EE11F9" w:rsidP="00EE11F9">
      <w:pPr>
        <w:ind w:left="851"/>
        <w:rPr>
          <w:sz w:val="24"/>
          <w:szCs w:val="24"/>
        </w:rPr>
      </w:pPr>
      <w:r w:rsidRPr="00B66470">
        <w:rPr>
          <w:sz w:val="24"/>
          <w:szCs w:val="24"/>
        </w:rPr>
        <w:t>Opbevar hætteglasset i den ydre karton for at beskytte mod lys.</w:t>
      </w:r>
    </w:p>
    <w:p w:rsidR="00EE11F9" w:rsidRPr="00B66470" w:rsidRDefault="00EE11F9" w:rsidP="00EE11F9">
      <w:pPr>
        <w:ind w:left="851"/>
        <w:rPr>
          <w:sz w:val="24"/>
          <w:szCs w:val="24"/>
        </w:rPr>
      </w:pPr>
      <w:r w:rsidRPr="00B66470">
        <w:rPr>
          <w:sz w:val="24"/>
          <w:szCs w:val="24"/>
        </w:rPr>
        <w:t xml:space="preserve">Opbevaringsforhold efter </w:t>
      </w:r>
      <w:proofErr w:type="spellStart"/>
      <w:r w:rsidRPr="00B66470">
        <w:rPr>
          <w:sz w:val="24"/>
          <w:szCs w:val="24"/>
        </w:rPr>
        <w:t>rekonstitution</w:t>
      </w:r>
      <w:proofErr w:type="spellEnd"/>
      <w:r w:rsidRPr="00B66470">
        <w:rPr>
          <w:sz w:val="24"/>
          <w:szCs w:val="24"/>
        </w:rPr>
        <w:t xml:space="preserve"> af lægemidlet, se pkt. 6.3.</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6.5</w:t>
      </w:r>
      <w:r w:rsidRPr="00B66470">
        <w:rPr>
          <w:b/>
          <w:sz w:val="24"/>
          <w:szCs w:val="24"/>
        </w:rPr>
        <w:tab/>
        <w:t>Emballagetyper og pakningsstørrelser</w:t>
      </w:r>
    </w:p>
    <w:p w:rsidR="00EE11F9" w:rsidRPr="006E2FCB" w:rsidRDefault="00EE11F9" w:rsidP="00EE11F9">
      <w:pPr>
        <w:ind w:left="851" w:hanging="851"/>
        <w:rPr>
          <w:sz w:val="24"/>
          <w:szCs w:val="24"/>
          <w:u w:val="single"/>
        </w:rPr>
      </w:pPr>
      <w:r w:rsidRPr="00B66470">
        <w:rPr>
          <w:sz w:val="24"/>
          <w:szCs w:val="24"/>
        </w:rPr>
        <w:tab/>
      </w:r>
      <w:r>
        <w:rPr>
          <w:sz w:val="24"/>
          <w:szCs w:val="24"/>
          <w:u w:val="single"/>
        </w:rPr>
        <w:t>Indre beholdere:</w:t>
      </w:r>
    </w:p>
    <w:p w:rsidR="0075247D" w:rsidRPr="00B66470" w:rsidRDefault="0075247D" w:rsidP="0075247D">
      <w:pPr>
        <w:ind w:left="851"/>
        <w:rPr>
          <w:sz w:val="24"/>
          <w:szCs w:val="24"/>
        </w:rPr>
      </w:pPr>
      <w:r w:rsidRPr="00B66470">
        <w:rPr>
          <w:sz w:val="24"/>
          <w:szCs w:val="24"/>
        </w:rPr>
        <w:t xml:space="preserve">Pulver (1500 </w:t>
      </w:r>
      <w:r>
        <w:rPr>
          <w:sz w:val="24"/>
          <w:szCs w:val="24"/>
        </w:rPr>
        <w:t>IE</w:t>
      </w:r>
      <w:r w:rsidRPr="00B66470">
        <w:rPr>
          <w:sz w:val="24"/>
          <w:szCs w:val="24"/>
        </w:rPr>
        <w:t>) i et hætteglas (type I-glas) med prop (</w:t>
      </w:r>
      <w:proofErr w:type="spellStart"/>
      <w:r w:rsidRPr="00B66470">
        <w:rPr>
          <w:sz w:val="24"/>
          <w:szCs w:val="24"/>
        </w:rPr>
        <w:t>brombutylgummi</w:t>
      </w:r>
      <w:proofErr w:type="spellEnd"/>
      <w:r w:rsidRPr="00B66470">
        <w:rPr>
          <w:sz w:val="24"/>
          <w:szCs w:val="24"/>
        </w:rPr>
        <w:t xml:space="preserve">), </w:t>
      </w:r>
      <w:r>
        <w:rPr>
          <w:sz w:val="24"/>
          <w:szCs w:val="24"/>
        </w:rPr>
        <w:t xml:space="preserve">blå </w:t>
      </w:r>
      <w:r w:rsidRPr="00B66470">
        <w:rPr>
          <w:sz w:val="24"/>
          <w:szCs w:val="24"/>
        </w:rPr>
        <w:t>hætte (alumin</w:t>
      </w:r>
      <w:r>
        <w:rPr>
          <w:sz w:val="24"/>
          <w:szCs w:val="24"/>
        </w:rPr>
        <w:t>ium</w:t>
      </w:r>
      <w:r w:rsidRPr="00B66470">
        <w:rPr>
          <w:sz w:val="24"/>
          <w:szCs w:val="24"/>
        </w:rPr>
        <w:t>) og</w:t>
      </w:r>
      <w:r>
        <w:rPr>
          <w:sz w:val="24"/>
          <w:szCs w:val="24"/>
        </w:rPr>
        <w:t xml:space="preserve"> orange</w:t>
      </w:r>
      <w:r w:rsidRPr="00B66470">
        <w:rPr>
          <w:sz w:val="24"/>
          <w:szCs w:val="24"/>
        </w:rPr>
        <w:t xml:space="preserve"> flip-</w:t>
      </w:r>
      <w:proofErr w:type="spellStart"/>
      <w:r w:rsidRPr="00B66470">
        <w:rPr>
          <w:sz w:val="24"/>
          <w:szCs w:val="24"/>
        </w:rPr>
        <w:t>off</w:t>
      </w:r>
      <w:proofErr w:type="spellEnd"/>
      <w:r w:rsidRPr="00B66470">
        <w:rPr>
          <w:sz w:val="24"/>
          <w:szCs w:val="24"/>
        </w:rPr>
        <w:t>-lukke (plast).</w:t>
      </w:r>
    </w:p>
    <w:p w:rsidR="00EE11F9" w:rsidRDefault="0075247D" w:rsidP="0075247D">
      <w:pPr>
        <w:ind w:left="851" w:hanging="851"/>
        <w:rPr>
          <w:sz w:val="24"/>
          <w:szCs w:val="24"/>
        </w:rPr>
      </w:pPr>
      <w:r w:rsidRPr="00B66470">
        <w:rPr>
          <w:sz w:val="24"/>
          <w:szCs w:val="24"/>
        </w:rPr>
        <w:tab/>
        <w:t>3 ml solvens i et hætteglas (type I-glas) med prop (</w:t>
      </w:r>
      <w:proofErr w:type="spellStart"/>
      <w:r w:rsidRPr="00B66470">
        <w:rPr>
          <w:sz w:val="24"/>
          <w:szCs w:val="24"/>
        </w:rPr>
        <w:t>chlorbutylgummi</w:t>
      </w:r>
      <w:proofErr w:type="spellEnd"/>
      <w:r>
        <w:rPr>
          <w:sz w:val="24"/>
          <w:szCs w:val="24"/>
        </w:rPr>
        <w:t xml:space="preserve"> </w:t>
      </w:r>
      <w:r>
        <w:rPr>
          <w:szCs w:val="24"/>
        </w:rPr>
        <w:t xml:space="preserve">eller </w:t>
      </w:r>
      <w:proofErr w:type="spellStart"/>
      <w:r>
        <w:rPr>
          <w:szCs w:val="24"/>
        </w:rPr>
        <w:t>brombutylgummi</w:t>
      </w:r>
      <w:proofErr w:type="spellEnd"/>
      <w:r w:rsidRPr="00B66470">
        <w:rPr>
          <w:sz w:val="24"/>
          <w:szCs w:val="24"/>
        </w:rPr>
        <w:t xml:space="preserve">), </w:t>
      </w:r>
      <w:r>
        <w:rPr>
          <w:sz w:val="24"/>
          <w:szCs w:val="24"/>
        </w:rPr>
        <w:t xml:space="preserve">blå </w:t>
      </w:r>
      <w:r w:rsidRPr="00B66470">
        <w:rPr>
          <w:sz w:val="24"/>
          <w:szCs w:val="24"/>
        </w:rPr>
        <w:t xml:space="preserve">hætte (aluminium) og </w:t>
      </w:r>
      <w:r>
        <w:rPr>
          <w:sz w:val="24"/>
          <w:szCs w:val="24"/>
        </w:rPr>
        <w:t xml:space="preserve">orange </w:t>
      </w:r>
      <w:r w:rsidRPr="00B66470">
        <w:rPr>
          <w:sz w:val="24"/>
          <w:szCs w:val="24"/>
        </w:rPr>
        <w:t>flip-</w:t>
      </w:r>
      <w:proofErr w:type="spellStart"/>
      <w:r w:rsidRPr="00B66470">
        <w:rPr>
          <w:sz w:val="24"/>
          <w:szCs w:val="24"/>
        </w:rPr>
        <w:t>off</w:t>
      </w:r>
      <w:proofErr w:type="spellEnd"/>
      <w:r w:rsidRPr="00B66470">
        <w:rPr>
          <w:sz w:val="24"/>
          <w:szCs w:val="24"/>
        </w:rPr>
        <w:t>-lukke (plast).</w:t>
      </w:r>
    </w:p>
    <w:p w:rsidR="0075247D" w:rsidRPr="006E2FCB" w:rsidRDefault="0075247D" w:rsidP="0075247D">
      <w:pPr>
        <w:ind w:left="851" w:hanging="851"/>
        <w:rPr>
          <w:sz w:val="24"/>
          <w:szCs w:val="24"/>
        </w:rPr>
      </w:pPr>
    </w:p>
    <w:p w:rsidR="00EE11F9" w:rsidRPr="006E2FCB" w:rsidRDefault="00EE11F9" w:rsidP="00EE11F9">
      <w:pPr>
        <w:tabs>
          <w:tab w:val="left" w:pos="851"/>
        </w:tabs>
        <w:ind w:left="851"/>
        <w:rPr>
          <w:sz w:val="24"/>
          <w:szCs w:val="24"/>
          <w:u w:val="single"/>
        </w:rPr>
      </w:pPr>
      <w:r w:rsidRPr="006E2FCB">
        <w:rPr>
          <w:bCs/>
          <w:sz w:val="24"/>
          <w:szCs w:val="24"/>
          <w:u w:val="single"/>
        </w:rPr>
        <w:t>Pakninger</w:t>
      </w:r>
      <w:r w:rsidRPr="006E2FCB">
        <w:rPr>
          <w:sz w:val="24"/>
          <w:szCs w:val="24"/>
          <w:u w:val="single"/>
        </w:rPr>
        <w:t>:</w:t>
      </w:r>
    </w:p>
    <w:p w:rsidR="00EE11F9" w:rsidRPr="006E2FCB" w:rsidRDefault="00EE11F9" w:rsidP="00EE11F9">
      <w:pPr>
        <w:tabs>
          <w:tab w:val="left" w:pos="851"/>
        </w:tabs>
        <w:ind w:left="851"/>
        <w:rPr>
          <w:sz w:val="24"/>
          <w:szCs w:val="24"/>
        </w:rPr>
      </w:pPr>
      <w:r w:rsidRPr="006E2FCB">
        <w:rPr>
          <w:sz w:val="24"/>
          <w:szCs w:val="24"/>
        </w:rPr>
        <w:t>Æske indeholdende:</w:t>
      </w:r>
    </w:p>
    <w:p w:rsidR="00EE11F9" w:rsidRPr="006E2FCB" w:rsidRDefault="00EE11F9" w:rsidP="00EE11F9">
      <w:pPr>
        <w:tabs>
          <w:tab w:val="left" w:pos="851"/>
        </w:tabs>
        <w:ind w:left="851"/>
        <w:rPr>
          <w:sz w:val="24"/>
          <w:szCs w:val="24"/>
        </w:rPr>
      </w:pPr>
      <w:r w:rsidRPr="006E2FCB">
        <w:rPr>
          <w:sz w:val="24"/>
          <w:szCs w:val="24"/>
        </w:rPr>
        <w:t>1 hætteglas med pulver</w:t>
      </w:r>
    </w:p>
    <w:p w:rsidR="00EE11F9" w:rsidRPr="006E2FCB" w:rsidRDefault="00EE11F9" w:rsidP="00EE11F9">
      <w:pPr>
        <w:tabs>
          <w:tab w:val="left" w:pos="851"/>
        </w:tabs>
        <w:ind w:left="851"/>
        <w:rPr>
          <w:sz w:val="24"/>
          <w:szCs w:val="24"/>
        </w:rPr>
      </w:pPr>
      <w:r w:rsidRPr="006E2FCB">
        <w:rPr>
          <w:sz w:val="24"/>
          <w:szCs w:val="24"/>
        </w:rPr>
        <w:t>1 hætteglas med solvens (3 ml)</w:t>
      </w:r>
    </w:p>
    <w:p w:rsidR="00EE11F9" w:rsidRPr="006E2FCB" w:rsidRDefault="00EE11F9" w:rsidP="00EE11F9">
      <w:pPr>
        <w:ind w:left="851"/>
        <w:rPr>
          <w:sz w:val="24"/>
          <w:szCs w:val="24"/>
        </w:rPr>
      </w:pPr>
      <w:r w:rsidRPr="006E2FCB">
        <w:rPr>
          <w:sz w:val="24"/>
          <w:szCs w:val="24"/>
        </w:rPr>
        <w:t xml:space="preserve">1 overføringssæt med filter 20/20, </w:t>
      </w:r>
    </w:p>
    <w:p w:rsidR="00EE11F9" w:rsidRPr="006E2FCB" w:rsidRDefault="00EE11F9" w:rsidP="00EE11F9">
      <w:pPr>
        <w:ind w:left="851"/>
        <w:rPr>
          <w:sz w:val="24"/>
          <w:szCs w:val="24"/>
        </w:rPr>
      </w:pPr>
    </w:p>
    <w:p w:rsidR="00EE11F9" w:rsidRPr="006E2FCB" w:rsidRDefault="00EE11F9" w:rsidP="00EE11F9">
      <w:pPr>
        <w:ind w:left="851"/>
        <w:rPr>
          <w:sz w:val="24"/>
          <w:szCs w:val="24"/>
        </w:rPr>
      </w:pPr>
      <w:r w:rsidRPr="006E2FCB">
        <w:rPr>
          <w:sz w:val="24"/>
          <w:szCs w:val="24"/>
        </w:rPr>
        <w:t>Tilbehør til administration (indre æske):</w:t>
      </w:r>
    </w:p>
    <w:p w:rsidR="00EE11F9" w:rsidRPr="006E2FCB" w:rsidRDefault="00EE11F9" w:rsidP="00EE11F9">
      <w:pPr>
        <w:ind w:left="851"/>
        <w:rPr>
          <w:sz w:val="24"/>
          <w:szCs w:val="24"/>
        </w:rPr>
      </w:pPr>
      <w:r w:rsidRPr="006E2FCB">
        <w:rPr>
          <w:sz w:val="24"/>
          <w:szCs w:val="24"/>
        </w:rPr>
        <w:t>1 engangssprøjte 5 ml</w:t>
      </w:r>
    </w:p>
    <w:p w:rsidR="00EE11F9" w:rsidRPr="006E2FCB" w:rsidRDefault="00EE11F9" w:rsidP="00EE11F9">
      <w:pPr>
        <w:ind w:left="851"/>
        <w:rPr>
          <w:sz w:val="24"/>
          <w:szCs w:val="24"/>
        </w:rPr>
      </w:pPr>
      <w:r w:rsidRPr="006E2FCB">
        <w:rPr>
          <w:sz w:val="24"/>
          <w:szCs w:val="24"/>
        </w:rPr>
        <w:t xml:space="preserve">1 </w:t>
      </w:r>
      <w:proofErr w:type="spellStart"/>
      <w:r w:rsidRPr="006E2FCB">
        <w:rPr>
          <w:sz w:val="24"/>
          <w:szCs w:val="24"/>
        </w:rPr>
        <w:t>kanyle+slange</w:t>
      </w:r>
      <w:proofErr w:type="spellEnd"/>
    </w:p>
    <w:p w:rsidR="00EE11F9" w:rsidRPr="006E2FCB" w:rsidRDefault="00EE11F9" w:rsidP="00EE11F9">
      <w:pPr>
        <w:ind w:left="851"/>
        <w:rPr>
          <w:sz w:val="24"/>
          <w:szCs w:val="24"/>
        </w:rPr>
      </w:pPr>
      <w:r w:rsidRPr="006E2FCB">
        <w:rPr>
          <w:sz w:val="24"/>
          <w:szCs w:val="24"/>
        </w:rPr>
        <w:t>2 spritservietter</w:t>
      </w:r>
    </w:p>
    <w:p w:rsidR="00EE11F9" w:rsidRPr="006E2FCB" w:rsidRDefault="00EE11F9" w:rsidP="00EE11F9">
      <w:pPr>
        <w:ind w:left="851"/>
        <w:rPr>
          <w:sz w:val="24"/>
          <w:szCs w:val="24"/>
        </w:rPr>
      </w:pPr>
      <w:r w:rsidRPr="006E2FCB">
        <w:rPr>
          <w:sz w:val="24"/>
          <w:szCs w:val="24"/>
        </w:rPr>
        <w:t>1 plaster.</w:t>
      </w:r>
    </w:p>
    <w:p w:rsidR="00EE11F9" w:rsidRPr="006E2FCB" w:rsidRDefault="00EE11F9" w:rsidP="00EE11F9">
      <w:pPr>
        <w:ind w:left="851" w:hanging="851"/>
        <w:rPr>
          <w:sz w:val="24"/>
          <w:szCs w:val="24"/>
        </w:rPr>
      </w:pPr>
    </w:p>
    <w:p w:rsidR="00EE11F9" w:rsidRPr="006E2FCB" w:rsidRDefault="00EE11F9" w:rsidP="00EE11F9">
      <w:pPr>
        <w:ind w:left="851"/>
        <w:rPr>
          <w:sz w:val="24"/>
          <w:szCs w:val="24"/>
        </w:rPr>
      </w:pPr>
      <w:r w:rsidRPr="006E2FCB">
        <w:rPr>
          <w:sz w:val="24"/>
          <w:szCs w:val="24"/>
        </w:rPr>
        <w:lastRenderedPageBreak/>
        <w:t>Ikke alle pakningsstørrelser er nødvendigvis markedsført.</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6.6</w:t>
      </w:r>
      <w:r w:rsidRPr="00B66470">
        <w:rPr>
          <w:b/>
          <w:sz w:val="24"/>
          <w:szCs w:val="24"/>
        </w:rPr>
        <w:tab/>
        <w:t>Regler for destruktion og anden håndtering</w:t>
      </w:r>
    </w:p>
    <w:p w:rsidR="00EE11F9" w:rsidRDefault="00EE11F9" w:rsidP="00EE11F9">
      <w:pPr>
        <w:ind w:left="851" w:hanging="851"/>
        <w:rPr>
          <w:sz w:val="24"/>
          <w:szCs w:val="24"/>
        </w:rPr>
      </w:pPr>
      <w:r w:rsidRPr="00B66470">
        <w:rPr>
          <w:sz w:val="24"/>
          <w:szCs w:val="24"/>
        </w:rPr>
        <w:tab/>
        <w:t>Ikke anvendt lægemiddel samt affald heraf skal bortskaffes i henhold til lokale retningslinjer.</w:t>
      </w:r>
    </w:p>
    <w:p w:rsidR="00EE11F9" w:rsidRDefault="00EE11F9" w:rsidP="00EE11F9">
      <w:pPr>
        <w:ind w:left="851" w:hanging="851"/>
        <w:rPr>
          <w:sz w:val="24"/>
          <w:szCs w:val="24"/>
        </w:rPr>
      </w:pPr>
    </w:p>
    <w:p w:rsidR="00EE11F9" w:rsidRPr="00B66470" w:rsidRDefault="00EE11F9" w:rsidP="00EE11F9">
      <w:pPr>
        <w:ind w:left="851" w:hanging="851"/>
        <w:rPr>
          <w:b/>
          <w:bCs/>
          <w:i/>
          <w:iCs/>
          <w:sz w:val="24"/>
          <w:szCs w:val="24"/>
        </w:rPr>
      </w:pPr>
      <w:r w:rsidRPr="00B66470">
        <w:rPr>
          <w:b/>
          <w:bCs/>
          <w:i/>
          <w:iCs/>
          <w:sz w:val="24"/>
          <w:szCs w:val="24"/>
        </w:rPr>
        <w:tab/>
        <w:t>Administrationsmetode</w:t>
      </w:r>
    </w:p>
    <w:p w:rsidR="00EE11F9" w:rsidRPr="00B66470" w:rsidRDefault="00EE11F9" w:rsidP="00EE11F9">
      <w:pPr>
        <w:ind w:left="851" w:hanging="851"/>
        <w:rPr>
          <w:i/>
          <w:iCs/>
          <w:sz w:val="24"/>
          <w:szCs w:val="24"/>
        </w:rPr>
      </w:pPr>
      <w:r w:rsidRPr="00B66470">
        <w:rPr>
          <w:i/>
          <w:iCs/>
          <w:sz w:val="24"/>
          <w:szCs w:val="24"/>
        </w:rPr>
        <w:tab/>
        <w:t>Generel vejledning</w:t>
      </w:r>
    </w:p>
    <w:p w:rsidR="00EE11F9" w:rsidRPr="00B66470" w:rsidRDefault="00EE11F9" w:rsidP="00EE11F9">
      <w:pPr>
        <w:numPr>
          <w:ilvl w:val="0"/>
          <w:numId w:val="6"/>
        </w:numPr>
        <w:tabs>
          <w:tab w:val="clear" w:pos="1287"/>
        </w:tabs>
        <w:ind w:left="1276" w:hanging="425"/>
        <w:rPr>
          <w:sz w:val="24"/>
          <w:szCs w:val="24"/>
        </w:rPr>
      </w:pPr>
      <w:r w:rsidRPr="00B66470">
        <w:rPr>
          <w:sz w:val="24"/>
          <w:szCs w:val="24"/>
        </w:rPr>
        <w:t xml:space="preserve">Opløsningen af </w:t>
      </w:r>
      <w:proofErr w:type="spellStart"/>
      <w:r w:rsidRPr="00B66470">
        <w:rPr>
          <w:sz w:val="24"/>
          <w:szCs w:val="24"/>
        </w:rPr>
        <w:t>Berinert</w:t>
      </w:r>
      <w:proofErr w:type="spellEnd"/>
      <w:r w:rsidRPr="00B66470">
        <w:rPr>
          <w:sz w:val="24"/>
          <w:szCs w:val="24"/>
        </w:rPr>
        <w:t xml:space="preserve"> skal være farveløs og klar til let opaliserende. Efter filtrering/fyldning af sprøjten (se nedenfor) skal det </w:t>
      </w:r>
      <w:proofErr w:type="spellStart"/>
      <w:r w:rsidRPr="00B66470">
        <w:rPr>
          <w:sz w:val="24"/>
          <w:szCs w:val="24"/>
        </w:rPr>
        <w:t>rekonstituerede</w:t>
      </w:r>
      <w:proofErr w:type="spellEnd"/>
      <w:r w:rsidRPr="00B66470">
        <w:rPr>
          <w:sz w:val="24"/>
          <w:szCs w:val="24"/>
        </w:rPr>
        <w:t xml:space="preserve"> præparat inspiceres visuelt for partikelindhold og misfarvning, før det indgives.</w:t>
      </w:r>
    </w:p>
    <w:p w:rsidR="00EE11F9" w:rsidRPr="00B66470" w:rsidRDefault="00EE11F9" w:rsidP="00EE11F9">
      <w:pPr>
        <w:numPr>
          <w:ilvl w:val="0"/>
          <w:numId w:val="6"/>
        </w:numPr>
        <w:tabs>
          <w:tab w:val="clear" w:pos="1287"/>
        </w:tabs>
        <w:ind w:left="1276" w:hanging="425"/>
        <w:rPr>
          <w:sz w:val="24"/>
          <w:szCs w:val="24"/>
        </w:rPr>
      </w:pPr>
      <w:r w:rsidRPr="00B66470">
        <w:rPr>
          <w:sz w:val="24"/>
          <w:szCs w:val="24"/>
        </w:rPr>
        <w:t>Anvend ikke opløsninger der er uklare eller indeholder bundfald.</w:t>
      </w:r>
    </w:p>
    <w:p w:rsidR="00EE11F9" w:rsidRPr="00B66470" w:rsidRDefault="00EE11F9" w:rsidP="00EE11F9">
      <w:pPr>
        <w:numPr>
          <w:ilvl w:val="0"/>
          <w:numId w:val="6"/>
        </w:numPr>
        <w:tabs>
          <w:tab w:val="clear" w:pos="1287"/>
        </w:tabs>
        <w:ind w:left="1276" w:hanging="425"/>
        <w:rPr>
          <w:sz w:val="24"/>
          <w:szCs w:val="24"/>
        </w:rPr>
      </w:pPr>
      <w:r w:rsidRPr="00B66470">
        <w:rPr>
          <w:sz w:val="24"/>
          <w:szCs w:val="24"/>
        </w:rPr>
        <w:t>Fremstilling af opløsningen og fyldning af sprøjten skal ske under aseptiske forhold. Anvend den sprøjte, der udleveres sammen med lægemidlet.</w:t>
      </w:r>
    </w:p>
    <w:p w:rsidR="00EE11F9" w:rsidRPr="00B66470" w:rsidRDefault="00EE11F9" w:rsidP="00EE11F9">
      <w:pPr>
        <w:ind w:left="851" w:hanging="851"/>
        <w:rPr>
          <w:sz w:val="24"/>
          <w:szCs w:val="24"/>
        </w:rPr>
      </w:pPr>
    </w:p>
    <w:p w:rsidR="00EE11F9" w:rsidRPr="00B66470" w:rsidRDefault="00EE11F9" w:rsidP="00EE11F9">
      <w:pPr>
        <w:ind w:left="851"/>
        <w:rPr>
          <w:i/>
          <w:iCs/>
          <w:sz w:val="24"/>
          <w:szCs w:val="24"/>
        </w:rPr>
      </w:pPr>
      <w:r w:rsidRPr="00B66470">
        <w:rPr>
          <w:i/>
          <w:iCs/>
          <w:sz w:val="24"/>
          <w:szCs w:val="24"/>
        </w:rPr>
        <w:t>Fremstilling af opløsningen</w:t>
      </w:r>
    </w:p>
    <w:p w:rsidR="00EE11F9" w:rsidRPr="00B66470" w:rsidRDefault="00EE11F9" w:rsidP="00EE11F9">
      <w:pPr>
        <w:ind w:left="851"/>
        <w:rPr>
          <w:sz w:val="24"/>
          <w:szCs w:val="24"/>
        </w:rPr>
      </w:pPr>
      <w:r w:rsidRPr="00B66470">
        <w:rPr>
          <w:sz w:val="24"/>
          <w:szCs w:val="24"/>
        </w:rPr>
        <w:t>Opvarm solvensen til stuetemperatur. Fjern plastlukkerne på hætteglassene med pulver og solvens. Rengør propperne udenpå med antiseptisk opløsning og lad dem tørre, før Mix2Vial-pakken åbnes.</w:t>
      </w:r>
    </w:p>
    <w:p w:rsidR="00EE11F9" w:rsidRPr="00B66470" w:rsidRDefault="00EE11F9" w:rsidP="00EE11F9">
      <w:pPr>
        <w:ind w:left="851" w:hanging="851"/>
        <w:jc w:val="both"/>
        <w:rPr>
          <w:sz w:val="24"/>
          <w:szCs w:val="24"/>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tblGrid>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4802D83F" wp14:editId="302EBFBB">
                  <wp:extent cx="845820" cy="861060"/>
                  <wp:effectExtent l="0" t="0" r="0" b="0"/>
                  <wp:docPr id="2" name="Billede 2" descr="Ab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b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5820" cy="861060"/>
                          </a:xfrm>
                          <a:prstGeom prst="rect">
                            <a:avLst/>
                          </a:prstGeom>
                          <a:noFill/>
                          <a:ln>
                            <a:noFill/>
                          </a:ln>
                        </pic:spPr>
                      </pic:pic>
                    </a:graphicData>
                  </a:graphic>
                </wp:inline>
              </w:drawing>
            </w:r>
            <w:r w:rsidRPr="00B66470">
              <w:rPr>
                <w:sz w:val="24"/>
                <w:szCs w:val="24"/>
                <w:bdr w:val="single" w:sz="4" w:space="0" w:color="auto" w:frame="1"/>
              </w:rPr>
              <w:t xml:space="preserve"> 1</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 xml:space="preserve">1. Åbn Mix2Vial-pakken ved at trække forseglingen af. Fjern </w:t>
            </w:r>
            <w:r w:rsidRPr="00B66470">
              <w:rPr>
                <w:b/>
                <w:szCs w:val="24"/>
                <w:u w:val="single"/>
                <w:lang w:val="da-DK"/>
              </w:rPr>
              <w:t>ikke</w:t>
            </w:r>
            <w:r w:rsidRPr="00B66470">
              <w:rPr>
                <w:szCs w:val="24"/>
                <w:lang w:val="da-DK"/>
              </w:rPr>
              <w:t xml:space="preserve"> Mix2Vial fra blisterpakken!</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0C7E306B" wp14:editId="60143749">
                  <wp:extent cx="556260" cy="1135380"/>
                  <wp:effectExtent l="0" t="0" r="0" b="7620"/>
                  <wp:docPr id="3" name="Billede 3" descr="Ab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260" cy="1135380"/>
                          </a:xfrm>
                          <a:prstGeom prst="rect">
                            <a:avLst/>
                          </a:prstGeom>
                          <a:noFill/>
                          <a:ln>
                            <a:noFill/>
                          </a:ln>
                        </pic:spPr>
                      </pic:pic>
                    </a:graphicData>
                  </a:graphic>
                </wp:inline>
              </w:drawing>
            </w:r>
            <w:r w:rsidRPr="00B66470">
              <w:rPr>
                <w:sz w:val="24"/>
                <w:szCs w:val="24"/>
                <w:bdr w:val="single" w:sz="4" w:space="0" w:color="auto" w:frame="1"/>
              </w:rPr>
              <w:t xml:space="preserve"> 2</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 xml:space="preserve">2. Placer solvenshætteglasset på en plan, ren overflade, og hold fast i hætteglasset. Tag pakken med Mix2Vial-sættet, og tryk spidsen af den blå </w:t>
            </w:r>
            <w:proofErr w:type="spellStart"/>
            <w:r w:rsidRPr="00B66470">
              <w:rPr>
                <w:szCs w:val="24"/>
                <w:lang w:val="da-DK"/>
              </w:rPr>
              <w:t>adapter-ende</w:t>
            </w:r>
            <w:proofErr w:type="spellEnd"/>
            <w:r w:rsidRPr="00B66470">
              <w:rPr>
                <w:szCs w:val="24"/>
                <w:lang w:val="da-DK"/>
              </w:rPr>
              <w:t xml:space="preserve"> </w:t>
            </w:r>
            <w:r w:rsidRPr="00B66470">
              <w:rPr>
                <w:b/>
                <w:szCs w:val="24"/>
                <w:lang w:val="da-DK"/>
              </w:rPr>
              <w:t>lige ned</w:t>
            </w:r>
            <w:r w:rsidRPr="00B66470">
              <w:rPr>
                <w:szCs w:val="24"/>
                <w:lang w:val="da-DK"/>
              </w:rPr>
              <w:t xml:space="preserve"> gennem solvenshætteglassets prop.</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0299D120" wp14:editId="61F877CA">
                  <wp:extent cx="419100" cy="1135380"/>
                  <wp:effectExtent l="0" t="0" r="0" b="7620"/>
                  <wp:docPr id="4" name="Billede 4" descr="Ab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b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9100" cy="1135380"/>
                          </a:xfrm>
                          <a:prstGeom prst="rect">
                            <a:avLst/>
                          </a:prstGeom>
                          <a:noFill/>
                          <a:ln>
                            <a:noFill/>
                          </a:ln>
                        </pic:spPr>
                      </pic:pic>
                    </a:graphicData>
                  </a:graphic>
                </wp:inline>
              </w:drawing>
            </w:r>
            <w:r w:rsidRPr="00B66470">
              <w:rPr>
                <w:sz w:val="24"/>
                <w:szCs w:val="24"/>
                <w:bdr w:val="single" w:sz="4" w:space="0" w:color="auto" w:frame="1"/>
              </w:rPr>
              <w:t xml:space="preserve"> 3</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 xml:space="preserve">3. Fjern forsigtigt emballagen fra Mix2Vial-sættet ved at holde i kanten og trække </w:t>
            </w:r>
            <w:r w:rsidRPr="00B66470">
              <w:rPr>
                <w:b/>
                <w:szCs w:val="24"/>
                <w:lang w:val="da-DK"/>
              </w:rPr>
              <w:t>lodret</w:t>
            </w:r>
            <w:r w:rsidRPr="00B66470">
              <w:rPr>
                <w:szCs w:val="24"/>
                <w:lang w:val="da-DK"/>
              </w:rPr>
              <w:t xml:space="preserve"> opad. Sørg for kun at fjerne emballagen og ikke Mix2Vial-sættet.</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14185EF3" wp14:editId="05FF3D3D">
                  <wp:extent cx="312420" cy="1257300"/>
                  <wp:effectExtent l="0" t="0" r="0" b="0"/>
                  <wp:docPr id="5" name="Billede 5" descr="Abb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b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420" cy="1257300"/>
                          </a:xfrm>
                          <a:prstGeom prst="rect">
                            <a:avLst/>
                          </a:prstGeom>
                          <a:noFill/>
                          <a:ln>
                            <a:noFill/>
                          </a:ln>
                        </pic:spPr>
                      </pic:pic>
                    </a:graphicData>
                  </a:graphic>
                </wp:inline>
              </w:drawing>
            </w:r>
            <w:r w:rsidRPr="00B66470">
              <w:rPr>
                <w:sz w:val="24"/>
                <w:szCs w:val="24"/>
                <w:bdr w:val="single" w:sz="4" w:space="0" w:color="auto" w:frame="1"/>
              </w:rPr>
              <w:t xml:space="preserve"> 4</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 xml:space="preserve">4. Placer hætteglasset med pulver på et plant og fast underlag. Vend hætteglasset med solvens med Mix2Vial-sættet monteret og tryk spidsen af det transparente mellemstykke </w:t>
            </w:r>
            <w:r w:rsidRPr="00B66470">
              <w:rPr>
                <w:b/>
                <w:szCs w:val="24"/>
                <w:lang w:val="da-DK"/>
              </w:rPr>
              <w:t>lige ned</w:t>
            </w:r>
            <w:r w:rsidRPr="00B66470">
              <w:rPr>
                <w:szCs w:val="24"/>
                <w:lang w:val="da-DK"/>
              </w:rPr>
              <w:t xml:space="preserve"> gennem proppen på hætteglasset med pulver. Solvensen vil automatisk blive overført til hætteglasset med pulver.</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bdr w:val="single" w:sz="4" w:space="0" w:color="auto" w:frame="1"/>
              </w:rPr>
            </w:pPr>
            <w:r w:rsidRPr="00B66470">
              <w:rPr>
                <w:sz w:val="24"/>
                <w:szCs w:val="24"/>
                <w:bdr w:val="single" w:sz="4" w:space="0" w:color="auto" w:frame="1"/>
              </w:rPr>
              <w:lastRenderedPageBreak/>
              <w:t xml:space="preserve"> </w:t>
            </w:r>
            <w:r>
              <w:rPr>
                <w:noProof/>
                <w:sz w:val="24"/>
                <w:szCs w:val="24"/>
                <w:bdr w:val="single" w:sz="4" w:space="0" w:color="auto" w:frame="1"/>
                <w:lang w:eastAsia="da-DK"/>
              </w:rPr>
              <w:drawing>
                <wp:inline distT="0" distB="0" distL="0" distR="0" wp14:anchorId="2BDD000A" wp14:editId="58573FEC">
                  <wp:extent cx="419100" cy="1318260"/>
                  <wp:effectExtent l="0" t="0" r="0" b="0"/>
                  <wp:docPr id="6" name="Billede 6" descr="Abb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bb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 cy="1318260"/>
                          </a:xfrm>
                          <a:prstGeom prst="rect">
                            <a:avLst/>
                          </a:prstGeom>
                          <a:noFill/>
                          <a:ln>
                            <a:noFill/>
                          </a:ln>
                        </pic:spPr>
                      </pic:pic>
                    </a:graphicData>
                  </a:graphic>
                </wp:inline>
              </w:drawing>
            </w:r>
            <w:r w:rsidRPr="00B66470">
              <w:rPr>
                <w:sz w:val="24"/>
                <w:szCs w:val="24"/>
                <w:bdr w:val="single" w:sz="4" w:space="0" w:color="auto" w:frame="1"/>
              </w:rPr>
              <w:t xml:space="preserve"> 5</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5. Tag med den ene hånd fat i den del af Mix2Vial-sættet, hvor hætteglasset med pulver er monteret og med den anden hånd fat i den side af Mix2Vial-sættet, hvor hætteglasset med solvens er monteret, og skil sættet forsigtigt ad i to dele.</w:t>
            </w:r>
          </w:p>
          <w:p w:rsidR="00EE11F9" w:rsidRPr="00B66470" w:rsidRDefault="00EE11F9" w:rsidP="003B4BCE">
            <w:pPr>
              <w:pStyle w:val="LAFISPCNormal"/>
              <w:tabs>
                <w:tab w:val="clear" w:pos="567"/>
              </w:tabs>
              <w:ind w:left="0"/>
              <w:rPr>
                <w:szCs w:val="24"/>
                <w:lang w:val="da-DK"/>
              </w:rPr>
            </w:pPr>
            <w:r w:rsidRPr="00B66470">
              <w:rPr>
                <w:szCs w:val="24"/>
                <w:lang w:val="da-DK"/>
              </w:rPr>
              <w:t>Kasser solvenshætteglasset med det blå Mix2Vial-sæt monteret.</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Pr>
                <w:noProof/>
                <w:sz w:val="24"/>
                <w:szCs w:val="24"/>
                <w:bdr w:val="single" w:sz="4" w:space="0" w:color="auto" w:frame="1"/>
                <w:lang w:eastAsia="da-DK"/>
              </w:rPr>
              <w:drawing>
                <wp:inline distT="0" distB="0" distL="0" distR="0" wp14:anchorId="263C14BB" wp14:editId="69F41529">
                  <wp:extent cx="1036320" cy="1036320"/>
                  <wp:effectExtent l="0" t="0" r="0" b="0"/>
                  <wp:docPr id="7" name="Billede 7" descr="Abb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b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r w:rsidRPr="00B66470">
              <w:rPr>
                <w:sz w:val="24"/>
                <w:szCs w:val="24"/>
                <w:bdr w:val="single" w:sz="4" w:space="0" w:color="auto" w:frame="1"/>
              </w:rPr>
              <w:t>6</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6. Vip forsigtigt hætteglasset med pulver med det transparente mellemstykke monteret, indtil pulveret er helt opløst. Hætteglasset må ikke rystes.</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Pr>
                <w:noProof/>
                <w:sz w:val="24"/>
                <w:szCs w:val="24"/>
                <w:bdr w:val="single" w:sz="4" w:space="0" w:color="auto" w:frame="1"/>
                <w:lang w:eastAsia="da-DK"/>
              </w:rPr>
              <w:drawing>
                <wp:inline distT="0" distB="0" distL="0" distR="0" wp14:anchorId="53DCADD2" wp14:editId="540528A8">
                  <wp:extent cx="1066800" cy="1524000"/>
                  <wp:effectExtent l="0" t="0" r="0" b="0"/>
                  <wp:docPr id="8" name="Billede 8" descr="Ab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b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6800" cy="1524000"/>
                          </a:xfrm>
                          <a:prstGeom prst="rect">
                            <a:avLst/>
                          </a:prstGeom>
                          <a:noFill/>
                          <a:ln>
                            <a:noFill/>
                          </a:ln>
                        </pic:spPr>
                      </pic:pic>
                    </a:graphicData>
                  </a:graphic>
                </wp:inline>
              </w:drawing>
            </w:r>
            <w:r w:rsidRPr="00B66470">
              <w:rPr>
                <w:sz w:val="24"/>
                <w:szCs w:val="24"/>
                <w:bdr w:val="single" w:sz="4" w:space="0" w:color="auto" w:frame="1"/>
              </w:rPr>
              <w:t>7</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7. Træk luft ind i en tom steril sprøjte. Anvend den sprøjte, der udleveres sammen med lægemidlet. Monter sprøjten på Mix2Vial's Luer Lock-fatning, mens hætteglasset med pulver stadig er stående. Sprøjt luft ind i hætteglasset.</w:t>
            </w:r>
          </w:p>
        </w:tc>
      </w:tr>
    </w:tbl>
    <w:p w:rsidR="00EE11F9" w:rsidRPr="00B66470" w:rsidRDefault="00EE11F9" w:rsidP="00EE11F9">
      <w:pPr>
        <w:ind w:left="851" w:hanging="851"/>
        <w:jc w:val="both"/>
        <w:rPr>
          <w:sz w:val="24"/>
          <w:szCs w:val="24"/>
        </w:rPr>
      </w:pPr>
    </w:p>
    <w:p w:rsidR="00EE11F9" w:rsidRPr="00B66470" w:rsidRDefault="00EE11F9" w:rsidP="00EE11F9">
      <w:pPr>
        <w:ind w:left="851" w:hanging="851"/>
        <w:rPr>
          <w:i/>
          <w:iCs/>
          <w:sz w:val="24"/>
          <w:szCs w:val="24"/>
        </w:rPr>
      </w:pPr>
      <w:r w:rsidRPr="00B66470">
        <w:rPr>
          <w:i/>
          <w:iCs/>
          <w:sz w:val="24"/>
          <w:szCs w:val="24"/>
        </w:rPr>
        <w:tab/>
        <w:t>Fyldning af sprøjte og administration</w:t>
      </w:r>
    </w:p>
    <w:p w:rsidR="00EE11F9" w:rsidRPr="00B66470" w:rsidRDefault="00EE11F9" w:rsidP="00EE11F9">
      <w:pPr>
        <w:ind w:left="851" w:hanging="851"/>
        <w:jc w:val="both"/>
        <w:rPr>
          <w:sz w:val="24"/>
          <w:szCs w:val="24"/>
        </w:rPr>
      </w:pP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4678"/>
      </w:tblGrid>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Pr>
                <w:noProof/>
                <w:sz w:val="24"/>
                <w:szCs w:val="24"/>
                <w:bdr w:val="single" w:sz="4" w:space="0" w:color="auto" w:frame="1"/>
                <w:lang w:eastAsia="da-DK"/>
              </w:rPr>
              <w:drawing>
                <wp:inline distT="0" distB="0" distL="0" distR="0" wp14:anchorId="64F586ED" wp14:editId="3A462065">
                  <wp:extent cx="274320" cy="1379220"/>
                  <wp:effectExtent l="0" t="0" r="0" b="0"/>
                  <wp:docPr id="9" name="Billede 9" descr="Abb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bb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 cy="1379220"/>
                          </a:xfrm>
                          <a:prstGeom prst="rect">
                            <a:avLst/>
                          </a:prstGeom>
                          <a:noFill/>
                          <a:ln>
                            <a:noFill/>
                          </a:ln>
                        </pic:spPr>
                      </pic:pic>
                    </a:graphicData>
                  </a:graphic>
                </wp:inline>
              </w:drawing>
            </w:r>
            <w:r w:rsidRPr="00B66470">
              <w:rPr>
                <w:sz w:val="24"/>
                <w:szCs w:val="24"/>
                <w:bdr w:val="single" w:sz="4" w:space="0" w:color="auto" w:frame="1"/>
              </w:rPr>
              <w:t xml:space="preserve"> 8</w:t>
            </w:r>
          </w:p>
        </w:tc>
        <w:tc>
          <w:tcPr>
            <w:tcW w:w="4678"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pStyle w:val="LAFISPCNormal"/>
              <w:tabs>
                <w:tab w:val="clear" w:pos="567"/>
              </w:tabs>
              <w:ind w:left="0"/>
              <w:rPr>
                <w:szCs w:val="24"/>
                <w:lang w:val="da-DK"/>
              </w:rPr>
            </w:pPr>
            <w:r w:rsidRPr="00B66470">
              <w:rPr>
                <w:szCs w:val="24"/>
                <w:lang w:val="da-DK"/>
              </w:rPr>
              <w:t>8. Hold stemplet i bund og vend op og ned på hætteglasset (sammen med sæt og sprøjte). Træk opløsningen ind i sprøjten ved langsomt at trække stemplet tilbage.</w:t>
            </w:r>
          </w:p>
        </w:tc>
      </w:tr>
      <w:tr w:rsidR="00EE11F9" w:rsidRPr="00B66470" w:rsidTr="003B4BCE">
        <w:tc>
          <w:tcPr>
            <w:tcW w:w="3085" w:type="dxa"/>
            <w:tcBorders>
              <w:top w:val="single" w:sz="4" w:space="0" w:color="auto"/>
              <w:left w:val="single" w:sz="4" w:space="0" w:color="auto"/>
              <w:bottom w:val="single" w:sz="4" w:space="0" w:color="auto"/>
              <w:right w:val="single" w:sz="4" w:space="0" w:color="auto"/>
            </w:tcBorders>
            <w:hideMark/>
          </w:tcPr>
          <w:p w:rsidR="00EE11F9" w:rsidRPr="00B66470" w:rsidRDefault="00EE11F9" w:rsidP="003B4BCE">
            <w:pPr>
              <w:jc w:val="center"/>
              <w:rPr>
                <w:sz w:val="24"/>
                <w:szCs w:val="24"/>
              </w:rPr>
            </w:pPr>
            <w:r w:rsidRPr="00B66470">
              <w:rPr>
                <w:sz w:val="24"/>
                <w:szCs w:val="24"/>
                <w:bdr w:val="single" w:sz="4" w:space="0" w:color="auto" w:frame="1"/>
              </w:rPr>
              <w:t xml:space="preserve"> </w:t>
            </w:r>
            <w:r>
              <w:rPr>
                <w:noProof/>
                <w:sz w:val="24"/>
                <w:szCs w:val="24"/>
                <w:bdr w:val="single" w:sz="4" w:space="0" w:color="auto" w:frame="1"/>
                <w:lang w:eastAsia="da-DK"/>
              </w:rPr>
              <w:drawing>
                <wp:inline distT="0" distB="0" distL="0" distR="0" wp14:anchorId="2F55848E" wp14:editId="7ECB0875">
                  <wp:extent cx="266700" cy="1562100"/>
                  <wp:effectExtent l="0" t="0" r="0" b="0"/>
                  <wp:docPr id="10" name="Billede 10" descr="Abb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b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1562100"/>
                          </a:xfrm>
                          <a:prstGeom prst="rect">
                            <a:avLst/>
                          </a:prstGeom>
                          <a:noFill/>
                          <a:ln>
                            <a:noFill/>
                          </a:ln>
                        </pic:spPr>
                      </pic:pic>
                    </a:graphicData>
                  </a:graphic>
                </wp:inline>
              </w:drawing>
            </w:r>
            <w:r w:rsidRPr="00B66470">
              <w:rPr>
                <w:sz w:val="24"/>
                <w:szCs w:val="24"/>
                <w:bdr w:val="single" w:sz="4" w:space="0" w:color="auto" w:frame="1"/>
              </w:rPr>
              <w:t xml:space="preserve"> 9</w:t>
            </w:r>
          </w:p>
        </w:tc>
        <w:tc>
          <w:tcPr>
            <w:tcW w:w="4678" w:type="dxa"/>
            <w:tcBorders>
              <w:top w:val="single" w:sz="4" w:space="0" w:color="auto"/>
              <w:left w:val="single" w:sz="4" w:space="0" w:color="auto"/>
              <w:bottom w:val="single" w:sz="4" w:space="0" w:color="auto"/>
              <w:right w:val="single" w:sz="4" w:space="0" w:color="auto"/>
            </w:tcBorders>
          </w:tcPr>
          <w:p w:rsidR="00EE11F9" w:rsidRPr="00B66470" w:rsidRDefault="00EE11F9" w:rsidP="003B4BCE">
            <w:pPr>
              <w:pStyle w:val="LAFISPCNormal"/>
              <w:tabs>
                <w:tab w:val="clear" w:pos="567"/>
              </w:tabs>
              <w:ind w:left="0"/>
              <w:rPr>
                <w:szCs w:val="24"/>
                <w:lang w:val="da-DK"/>
              </w:rPr>
            </w:pPr>
            <w:r w:rsidRPr="00B66470">
              <w:rPr>
                <w:szCs w:val="24"/>
                <w:lang w:val="da-DK"/>
              </w:rPr>
              <w:t>9. Nu er opløsningen blevet overført til sprøjten. Hold godt fast om sprøjten (hold sprøjten med stemplet nedad) og afmonter det transparente Mix2Vial-sættet fra sprøjten.</w:t>
            </w:r>
          </w:p>
        </w:tc>
      </w:tr>
    </w:tbl>
    <w:p w:rsidR="00EE11F9" w:rsidRPr="00B66470" w:rsidRDefault="00EE11F9" w:rsidP="00EE11F9">
      <w:pPr>
        <w:ind w:left="851" w:hanging="851"/>
        <w:jc w:val="both"/>
        <w:rPr>
          <w:sz w:val="24"/>
          <w:szCs w:val="24"/>
        </w:rPr>
      </w:pPr>
    </w:p>
    <w:p w:rsidR="00EE11F9" w:rsidRPr="00B66470" w:rsidRDefault="00EE11F9" w:rsidP="00EE11F9">
      <w:pPr>
        <w:ind w:left="851" w:hanging="851"/>
        <w:rPr>
          <w:b/>
          <w:sz w:val="24"/>
          <w:szCs w:val="24"/>
        </w:rPr>
      </w:pPr>
      <w:r w:rsidRPr="00B66470">
        <w:rPr>
          <w:b/>
          <w:sz w:val="24"/>
          <w:szCs w:val="24"/>
        </w:rPr>
        <w:t>7.</w:t>
      </w:r>
      <w:r w:rsidRPr="00B66470">
        <w:rPr>
          <w:b/>
          <w:sz w:val="24"/>
          <w:szCs w:val="24"/>
        </w:rPr>
        <w:tab/>
        <w:t>INDEHAVER AF MARKEDSFØRINGSTILLADELSEN</w:t>
      </w:r>
    </w:p>
    <w:p w:rsidR="00EE11F9" w:rsidRPr="00B66470" w:rsidRDefault="00EE11F9" w:rsidP="00EE11F9">
      <w:pPr>
        <w:ind w:left="851"/>
        <w:rPr>
          <w:sz w:val="24"/>
          <w:szCs w:val="24"/>
        </w:rPr>
      </w:pPr>
      <w:r w:rsidRPr="00B66470">
        <w:rPr>
          <w:sz w:val="24"/>
          <w:szCs w:val="24"/>
        </w:rPr>
        <w:t xml:space="preserve">CSL </w:t>
      </w:r>
      <w:proofErr w:type="spellStart"/>
      <w:r w:rsidRPr="00B66470">
        <w:rPr>
          <w:sz w:val="24"/>
          <w:szCs w:val="24"/>
        </w:rPr>
        <w:t>Behring</w:t>
      </w:r>
      <w:proofErr w:type="spellEnd"/>
      <w:r w:rsidRPr="00B66470">
        <w:rPr>
          <w:sz w:val="24"/>
          <w:szCs w:val="24"/>
        </w:rPr>
        <w:t xml:space="preserve"> GmbH</w:t>
      </w:r>
    </w:p>
    <w:p w:rsidR="00EE11F9" w:rsidRPr="00B66470" w:rsidRDefault="00EE11F9" w:rsidP="00EE11F9">
      <w:pPr>
        <w:ind w:left="851"/>
        <w:rPr>
          <w:sz w:val="24"/>
          <w:szCs w:val="24"/>
        </w:rPr>
      </w:pPr>
      <w:r w:rsidRPr="00B66470">
        <w:rPr>
          <w:sz w:val="24"/>
          <w:szCs w:val="24"/>
        </w:rPr>
        <w:t>Emil-von-</w:t>
      </w:r>
      <w:proofErr w:type="spellStart"/>
      <w:r w:rsidRPr="00B66470">
        <w:rPr>
          <w:sz w:val="24"/>
          <w:szCs w:val="24"/>
        </w:rPr>
        <w:t>Behring</w:t>
      </w:r>
      <w:proofErr w:type="spellEnd"/>
      <w:r w:rsidRPr="00B66470">
        <w:rPr>
          <w:sz w:val="24"/>
          <w:szCs w:val="24"/>
        </w:rPr>
        <w:t>-</w:t>
      </w:r>
      <w:proofErr w:type="spellStart"/>
      <w:r w:rsidRPr="00B66470">
        <w:rPr>
          <w:sz w:val="24"/>
          <w:szCs w:val="24"/>
        </w:rPr>
        <w:t>Strasse</w:t>
      </w:r>
      <w:proofErr w:type="spellEnd"/>
      <w:r w:rsidRPr="00B66470">
        <w:rPr>
          <w:sz w:val="24"/>
          <w:szCs w:val="24"/>
        </w:rPr>
        <w:t xml:space="preserve"> 76</w:t>
      </w:r>
    </w:p>
    <w:p w:rsidR="00EE11F9" w:rsidRPr="00B66470" w:rsidRDefault="00EE11F9" w:rsidP="00EE11F9">
      <w:pPr>
        <w:ind w:left="851"/>
        <w:rPr>
          <w:sz w:val="24"/>
          <w:szCs w:val="24"/>
        </w:rPr>
      </w:pPr>
      <w:r w:rsidRPr="00B66470">
        <w:rPr>
          <w:sz w:val="24"/>
          <w:szCs w:val="24"/>
        </w:rPr>
        <w:t xml:space="preserve">35041 </w:t>
      </w:r>
      <w:proofErr w:type="spellStart"/>
      <w:r w:rsidRPr="00B66470">
        <w:rPr>
          <w:sz w:val="24"/>
          <w:szCs w:val="24"/>
        </w:rPr>
        <w:t>Marburg</w:t>
      </w:r>
      <w:proofErr w:type="spellEnd"/>
    </w:p>
    <w:p w:rsidR="00EE11F9" w:rsidRPr="00B66470" w:rsidRDefault="00EE11F9" w:rsidP="00EE11F9">
      <w:pPr>
        <w:ind w:left="851"/>
        <w:rPr>
          <w:sz w:val="24"/>
          <w:szCs w:val="24"/>
        </w:rPr>
      </w:pPr>
      <w:r w:rsidRPr="00B66470">
        <w:rPr>
          <w:sz w:val="24"/>
          <w:szCs w:val="24"/>
        </w:rPr>
        <w:t>Tyskland</w:t>
      </w:r>
    </w:p>
    <w:p w:rsidR="00EE11F9" w:rsidRDefault="00EE11F9" w:rsidP="00EE11F9">
      <w:pPr>
        <w:rPr>
          <w:sz w:val="24"/>
          <w:szCs w:val="24"/>
          <w:u w:val="single"/>
        </w:rPr>
      </w:pPr>
      <w:r>
        <w:rPr>
          <w:sz w:val="24"/>
          <w:szCs w:val="24"/>
          <w:u w:val="single"/>
        </w:rPr>
        <w:br w:type="page"/>
      </w:r>
    </w:p>
    <w:p w:rsidR="00EE11F9" w:rsidRPr="00B66470" w:rsidRDefault="00EE11F9" w:rsidP="00EE11F9">
      <w:pPr>
        <w:ind w:left="851"/>
        <w:rPr>
          <w:sz w:val="24"/>
          <w:szCs w:val="24"/>
          <w:u w:val="single"/>
        </w:rPr>
      </w:pPr>
    </w:p>
    <w:p w:rsidR="00EE11F9" w:rsidRPr="00D1199E" w:rsidRDefault="00EE11F9" w:rsidP="00EE11F9">
      <w:pPr>
        <w:ind w:left="851"/>
        <w:rPr>
          <w:b/>
          <w:sz w:val="24"/>
          <w:szCs w:val="24"/>
          <w:lang w:val="en-US"/>
        </w:rPr>
      </w:pPr>
      <w:proofErr w:type="spellStart"/>
      <w:r w:rsidRPr="00D1199E">
        <w:rPr>
          <w:b/>
          <w:sz w:val="24"/>
          <w:szCs w:val="24"/>
          <w:lang w:val="en-US"/>
        </w:rPr>
        <w:t>Repræsentant</w:t>
      </w:r>
      <w:proofErr w:type="spellEnd"/>
    </w:p>
    <w:p w:rsidR="00EE11F9" w:rsidRPr="00D1199E" w:rsidRDefault="00EE11F9" w:rsidP="00EE11F9">
      <w:pPr>
        <w:ind w:left="851"/>
        <w:rPr>
          <w:sz w:val="24"/>
          <w:szCs w:val="24"/>
          <w:lang w:val="en-US"/>
        </w:rPr>
      </w:pPr>
      <w:r w:rsidRPr="00D1199E">
        <w:rPr>
          <w:sz w:val="24"/>
          <w:szCs w:val="24"/>
          <w:lang w:val="en-US"/>
        </w:rPr>
        <w:t>CSL Behring AB</w:t>
      </w:r>
    </w:p>
    <w:p w:rsidR="00EE11F9" w:rsidRPr="00D1199E" w:rsidRDefault="00EE11F9" w:rsidP="00EE11F9">
      <w:pPr>
        <w:ind w:left="851"/>
        <w:rPr>
          <w:sz w:val="24"/>
          <w:szCs w:val="24"/>
          <w:lang w:val="en-US"/>
        </w:rPr>
      </w:pPr>
      <w:proofErr w:type="spellStart"/>
      <w:r w:rsidRPr="00D1199E">
        <w:rPr>
          <w:sz w:val="24"/>
          <w:szCs w:val="24"/>
          <w:lang w:val="en-US"/>
        </w:rPr>
        <w:t>Berga</w:t>
      </w:r>
      <w:proofErr w:type="spellEnd"/>
      <w:r w:rsidRPr="00D1199E">
        <w:rPr>
          <w:sz w:val="24"/>
          <w:szCs w:val="24"/>
          <w:lang w:val="en-US"/>
        </w:rPr>
        <w:t xml:space="preserve"> </w:t>
      </w:r>
      <w:proofErr w:type="spellStart"/>
      <w:r w:rsidRPr="00D1199E">
        <w:rPr>
          <w:sz w:val="24"/>
          <w:szCs w:val="24"/>
          <w:lang w:val="en-US"/>
        </w:rPr>
        <w:t>Backe</w:t>
      </w:r>
      <w:proofErr w:type="spellEnd"/>
      <w:r w:rsidRPr="00D1199E">
        <w:rPr>
          <w:sz w:val="24"/>
          <w:szCs w:val="24"/>
          <w:lang w:val="en-US"/>
        </w:rPr>
        <w:t xml:space="preserve"> 2</w:t>
      </w:r>
    </w:p>
    <w:p w:rsidR="00EE11F9" w:rsidRPr="00B66470" w:rsidRDefault="00EE11F9" w:rsidP="00EE11F9">
      <w:pPr>
        <w:ind w:left="851"/>
        <w:rPr>
          <w:sz w:val="24"/>
          <w:szCs w:val="24"/>
        </w:rPr>
      </w:pPr>
      <w:r w:rsidRPr="00B66470">
        <w:rPr>
          <w:sz w:val="24"/>
          <w:szCs w:val="24"/>
        </w:rPr>
        <w:t xml:space="preserve">182 17 </w:t>
      </w:r>
      <w:proofErr w:type="spellStart"/>
      <w:r w:rsidRPr="00B66470">
        <w:rPr>
          <w:sz w:val="24"/>
          <w:szCs w:val="24"/>
        </w:rPr>
        <w:t>Danderyd</w:t>
      </w:r>
      <w:proofErr w:type="spellEnd"/>
    </w:p>
    <w:p w:rsidR="00EE11F9" w:rsidRPr="00B66470" w:rsidRDefault="00EE11F9" w:rsidP="00EE11F9">
      <w:pPr>
        <w:ind w:left="851"/>
        <w:rPr>
          <w:sz w:val="24"/>
          <w:szCs w:val="24"/>
        </w:rPr>
      </w:pPr>
      <w:r w:rsidRPr="00B66470">
        <w:rPr>
          <w:sz w:val="24"/>
          <w:szCs w:val="24"/>
        </w:rPr>
        <w:t>Sverige</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8.</w:t>
      </w:r>
      <w:r w:rsidRPr="00B66470">
        <w:rPr>
          <w:b/>
          <w:sz w:val="24"/>
          <w:szCs w:val="24"/>
        </w:rPr>
        <w:tab/>
        <w:t>MARKEDSFØRINGSTILLADELSESNUMMER (NUMRE)</w:t>
      </w:r>
    </w:p>
    <w:p w:rsidR="00EE11F9" w:rsidRPr="00B66470" w:rsidRDefault="00EE11F9" w:rsidP="00EE11F9">
      <w:pPr>
        <w:ind w:left="851" w:hanging="851"/>
        <w:rPr>
          <w:sz w:val="24"/>
          <w:szCs w:val="24"/>
        </w:rPr>
      </w:pPr>
      <w:r w:rsidRPr="00B66470">
        <w:rPr>
          <w:sz w:val="24"/>
          <w:szCs w:val="24"/>
        </w:rPr>
        <w:tab/>
        <w:t>53685</w:t>
      </w:r>
    </w:p>
    <w:p w:rsidR="00EE11F9" w:rsidRPr="00B66470" w:rsidRDefault="00EE11F9" w:rsidP="00EE11F9">
      <w:pPr>
        <w:ind w:left="851" w:hanging="851"/>
        <w:jc w:val="both"/>
        <w:rPr>
          <w:sz w:val="24"/>
          <w:szCs w:val="24"/>
        </w:rPr>
      </w:pPr>
    </w:p>
    <w:p w:rsidR="00EE11F9" w:rsidRPr="00B66470" w:rsidRDefault="00EE11F9" w:rsidP="00EE11F9">
      <w:pPr>
        <w:ind w:left="851" w:hanging="851"/>
        <w:rPr>
          <w:b/>
          <w:sz w:val="24"/>
          <w:szCs w:val="24"/>
        </w:rPr>
      </w:pPr>
      <w:r w:rsidRPr="00B66470">
        <w:rPr>
          <w:b/>
          <w:sz w:val="24"/>
          <w:szCs w:val="24"/>
        </w:rPr>
        <w:t>9.</w:t>
      </w:r>
      <w:r w:rsidRPr="00B66470">
        <w:rPr>
          <w:b/>
          <w:sz w:val="24"/>
          <w:szCs w:val="24"/>
        </w:rPr>
        <w:tab/>
        <w:t>DATO FOR FØRSTE MARKEDSFØRINGSTILLADELSE</w:t>
      </w:r>
    </w:p>
    <w:p w:rsidR="00EE11F9" w:rsidRPr="00B66470" w:rsidRDefault="00EE11F9" w:rsidP="00EE11F9">
      <w:pPr>
        <w:ind w:left="851" w:hanging="851"/>
        <w:rPr>
          <w:sz w:val="24"/>
          <w:szCs w:val="24"/>
        </w:rPr>
      </w:pPr>
      <w:r w:rsidRPr="00B66470">
        <w:rPr>
          <w:sz w:val="24"/>
          <w:szCs w:val="24"/>
        </w:rPr>
        <w:tab/>
        <w:t>20. februar 2009</w:t>
      </w:r>
    </w:p>
    <w:p w:rsidR="00EE11F9" w:rsidRPr="00B66470" w:rsidRDefault="00EE11F9" w:rsidP="00EE11F9">
      <w:pPr>
        <w:ind w:left="851" w:hanging="851"/>
        <w:rPr>
          <w:sz w:val="24"/>
          <w:szCs w:val="24"/>
        </w:rPr>
      </w:pPr>
    </w:p>
    <w:p w:rsidR="00EE11F9" w:rsidRPr="00B66470" w:rsidRDefault="00EE11F9" w:rsidP="00EE11F9">
      <w:pPr>
        <w:ind w:left="851" w:hanging="851"/>
        <w:rPr>
          <w:b/>
          <w:sz w:val="24"/>
          <w:szCs w:val="24"/>
        </w:rPr>
      </w:pPr>
      <w:r w:rsidRPr="00B66470">
        <w:rPr>
          <w:b/>
          <w:sz w:val="24"/>
          <w:szCs w:val="24"/>
        </w:rPr>
        <w:t>10.</w:t>
      </w:r>
      <w:r w:rsidRPr="00B66470">
        <w:rPr>
          <w:b/>
          <w:sz w:val="24"/>
          <w:szCs w:val="24"/>
        </w:rPr>
        <w:tab/>
        <w:t>DATO FOR ÆNDRING AF TEKSTEN</w:t>
      </w:r>
    </w:p>
    <w:p w:rsidR="00EE11F9" w:rsidRPr="00B66470" w:rsidRDefault="00EE11F9" w:rsidP="00EE11F9">
      <w:pPr>
        <w:ind w:left="851" w:hanging="851"/>
        <w:rPr>
          <w:sz w:val="24"/>
          <w:szCs w:val="24"/>
        </w:rPr>
      </w:pPr>
      <w:r w:rsidRPr="00B66470">
        <w:rPr>
          <w:sz w:val="24"/>
          <w:szCs w:val="24"/>
        </w:rPr>
        <w:tab/>
      </w:r>
      <w:r w:rsidR="0013510B" w:rsidRPr="0013510B">
        <w:rPr>
          <w:sz w:val="24"/>
          <w:szCs w:val="24"/>
        </w:rPr>
        <w:t>23. december 2021</w:t>
      </w:r>
    </w:p>
    <w:p w:rsidR="00EE11F9" w:rsidRPr="00E06702" w:rsidRDefault="00EE11F9" w:rsidP="00EE11F9"/>
    <w:p w:rsidR="00EE11F9" w:rsidRPr="00475933" w:rsidRDefault="00EE11F9" w:rsidP="00EE11F9"/>
    <w:p w:rsidR="009260DE" w:rsidRPr="00EE11F9" w:rsidRDefault="009260DE" w:rsidP="00EE11F9"/>
    <w:sectPr w:rsidR="009260DE" w:rsidRPr="00EE11F9"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1F9" w:rsidRDefault="00EE11F9">
      <w:r>
        <w:separator/>
      </w:r>
    </w:p>
  </w:endnote>
  <w:endnote w:type="continuationSeparator" w:id="0">
    <w:p w:rsidR="00EE11F9" w:rsidRDefault="00EE1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34EC1">
      <w:rPr>
        <w:i/>
        <w:noProof/>
        <w:sz w:val="18"/>
        <w:szCs w:val="18"/>
      </w:rPr>
      <w:t>Berinert, pulver og solvens til injektionsvæske, opløsning 1500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1F9" w:rsidRDefault="00EE11F9">
      <w:r>
        <w:separator/>
      </w:r>
    </w:p>
  </w:footnote>
  <w:footnote w:type="continuationSeparator" w:id="0">
    <w:p w:rsidR="00EE11F9" w:rsidRDefault="00EE1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FD64B9"/>
    <w:multiLevelType w:val="hybridMultilevel"/>
    <w:tmpl w:val="060AEA4A"/>
    <w:lvl w:ilvl="0" w:tplc="3A1A4A04">
      <w:start w:val="1"/>
      <w:numFmt w:val="bullet"/>
      <w:lvlText w:val="-"/>
      <w:lvlJc w:val="left"/>
      <w:pPr>
        <w:tabs>
          <w:tab w:val="num" w:pos="1287"/>
        </w:tabs>
        <w:ind w:left="1287"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F9"/>
    <w:rsid w:val="000259B9"/>
    <w:rsid w:val="000330E1"/>
    <w:rsid w:val="00041491"/>
    <w:rsid w:val="00050D16"/>
    <w:rsid w:val="00074F2A"/>
    <w:rsid w:val="000A1CA8"/>
    <w:rsid w:val="000A466B"/>
    <w:rsid w:val="000B058C"/>
    <w:rsid w:val="000E4EE6"/>
    <w:rsid w:val="0013510B"/>
    <w:rsid w:val="001454E2"/>
    <w:rsid w:val="001C6E61"/>
    <w:rsid w:val="001D4C66"/>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42DA7"/>
    <w:rsid w:val="00560ECC"/>
    <w:rsid w:val="00565F0F"/>
    <w:rsid w:val="00594A86"/>
    <w:rsid w:val="00596D86"/>
    <w:rsid w:val="0063772C"/>
    <w:rsid w:val="00637F5A"/>
    <w:rsid w:val="006560B1"/>
    <w:rsid w:val="006756DD"/>
    <w:rsid w:val="00737275"/>
    <w:rsid w:val="00740EEC"/>
    <w:rsid w:val="0075247D"/>
    <w:rsid w:val="0078011A"/>
    <w:rsid w:val="00782AF4"/>
    <w:rsid w:val="00790EE7"/>
    <w:rsid w:val="007B6649"/>
    <w:rsid w:val="0081546F"/>
    <w:rsid w:val="0082576E"/>
    <w:rsid w:val="00834EC1"/>
    <w:rsid w:val="00907F75"/>
    <w:rsid w:val="009260DE"/>
    <w:rsid w:val="0093258A"/>
    <w:rsid w:val="009C7BA3"/>
    <w:rsid w:val="009D1F5A"/>
    <w:rsid w:val="00AA20BC"/>
    <w:rsid w:val="00B003BF"/>
    <w:rsid w:val="00B27724"/>
    <w:rsid w:val="00B373D7"/>
    <w:rsid w:val="00BD1A07"/>
    <w:rsid w:val="00C36276"/>
    <w:rsid w:val="00C42586"/>
    <w:rsid w:val="00C60CCD"/>
    <w:rsid w:val="00C84483"/>
    <w:rsid w:val="00C95551"/>
    <w:rsid w:val="00CB20D7"/>
    <w:rsid w:val="00D020B0"/>
    <w:rsid w:val="00D11748"/>
    <w:rsid w:val="00D366CF"/>
    <w:rsid w:val="00DF6C1B"/>
    <w:rsid w:val="00E108AA"/>
    <w:rsid w:val="00E31812"/>
    <w:rsid w:val="00E3749A"/>
    <w:rsid w:val="00E7437F"/>
    <w:rsid w:val="00E865B8"/>
    <w:rsid w:val="00EC0B9B"/>
    <w:rsid w:val="00ED5E9F"/>
    <w:rsid w:val="00EE11F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CED73C1-5827-4D40-8486-42F0251B2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LAFISPCNormal">
    <w:name w:val="LA_FI_SPC_Normal"/>
    <w:basedOn w:val="Normal"/>
    <w:rsid w:val="00EE11F9"/>
    <w:pPr>
      <w:tabs>
        <w:tab w:val="left" w:pos="567"/>
      </w:tabs>
      <w:ind w:left="567"/>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10</Pages>
  <Words>2362</Words>
  <Characters>15691</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2021080178_x000d_
SPC pkt. 2, 3, 4.4, 5.2, 5.3, 6.5 (farveangivelser tilføjet)</dc:description>
  <cp:lastModifiedBy>Betty Winther Andersen</cp:lastModifiedBy>
  <cp:revision>7</cp:revision>
  <cp:lastPrinted>2012-08-22T08:53:00Z</cp:lastPrinted>
  <dcterms:created xsi:type="dcterms:W3CDTF">2021-12-21T12:46:00Z</dcterms:created>
  <dcterms:modified xsi:type="dcterms:W3CDTF">2021-12-21T13:00:00Z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