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222" w:rsidRPr="00C84483" w:rsidRDefault="002F5222" w:rsidP="002F5222">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A351FD9" wp14:editId="6313B5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5222" w:rsidRPr="00C84483" w:rsidRDefault="002F5222" w:rsidP="002F5222">
      <w:pPr>
        <w:pStyle w:val="Titel"/>
        <w:tabs>
          <w:tab w:val="right" w:pos="9356"/>
        </w:tabs>
        <w:jc w:val="left"/>
        <w:rPr>
          <w:b w:val="0"/>
          <w:szCs w:val="24"/>
          <w:lang w:eastAsia="en-US"/>
        </w:rPr>
      </w:pPr>
      <w:r w:rsidRPr="00C84483">
        <w:rPr>
          <w:b w:val="0"/>
          <w:szCs w:val="24"/>
          <w:lang w:eastAsia="en-US"/>
        </w:rPr>
        <w:tab/>
      </w:r>
      <w:r w:rsidR="000C6756">
        <w:rPr>
          <w:szCs w:val="24"/>
        </w:rPr>
        <w:t>11. maj 2022</w:t>
      </w:r>
    </w:p>
    <w:p w:rsidR="002F5222" w:rsidRPr="00C84483" w:rsidRDefault="002F5222" w:rsidP="002F5222">
      <w:pPr>
        <w:pStyle w:val="Titel"/>
        <w:tabs>
          <w:tab w:val="left" w:pos="8222"/>
        </w:tabs>
        <w:jc w:val="left"/>
        <w:rPr>
          <w:b w:val="0"/>
          <w:szCs w:val="24"/>
        </w:rPr>
      </w:pPr>
    </w:p>
    <w:p w:rsidR="002F5222" w:rsidRPr="00C84483" w:rsidRDefault="002F5222" w:rsidP="002F5222">
      <w:pPr>
        <w:jc w:val="center"/>
        <w:rPr>
          <w:b/>
          <w:sz w:val="24"/>
          <w:szCs w:val="24"/>
        </w:rPr>
      </w:pPr>
      <w:r w:rsidRPr="00C84483">
        <w:rPr>
          <w:b/>
          <w:sz w:val="24"/>
          <w:szCs w:val="24"/>
        </w:rPr>
        <w:t>PRODUKTRESUMÉ</w:t>
      </w:r>
    </w:p>
    <w:p w:rsidR="002F5222" w:rsidRPr="00C84483" w:rsidRDefault="002F5222" w:rsidP="002F5222">
      <w:pPr>
        <w:jc w:val="center"/>
        <w:rPr>
          <w:b/>
          <w:sz w:val="24"/>
          <w:szCs w:val="24"/>
        </w:rPr>
      </w:pPr>
    </w:p>
    <w:p w:rsidR="002F5222" w:rsidRDefault="002F5222" w:rsidP="002F5222">
      <w:pPr>
        <w:jc w:val="center"/>
        <w:rPr>
          <w:b/>
          <w:sz w:val="24"/>
          <w:szCs w:val="24"/>
        </w:rPr>
      </w:pPr>
      <w:r w:rsidRPr="00C84483">
        <w:rPr>
          <w:b/>
          <w:sz w:val="24"/>
          <w:szCs w:val="24"/>
        </w:rPr>
        <w:t>for</w:t>
      </w:r>
    </w:p>
    <w:p w:rsidR="002F5222" w:rsidRPr="00C84483" w:rsidRDefault="002F5222" w:rsidP="002F5222">
      <w:pPr>
        <w:jc w:val="center"/>
        <w:rPr>
          <w:b/>
          <w:sz w:val="24"/>
          <w:szCs w:val="24"/>
        </w:rPr>
      </w:pPr>
    </w:p>
    <w:p w:rsidR="002F5222" w:rsidRPr="00C84483" w:rsidRDefault="002F5222" w:rsidP="002F5222">
      <w:pPr>
        <w:jc w:val="center"/>
        <w:rPr>
          <w:b/>
          <w:sz w:val="24"/>
          <w:szCs w:val="24"/>
        </w:rPr>
      </w:pPr>
      <w:proofErr w:type="spellStart"/>
      <w:r>
        <w:rPr>
          <w:b/>
          <w:sz w:val="24"/>
          <w:szCs w:val="24"/>
        </w:rPr>
        <w:t>Berinert</w:t>
      </w:r>
      <w:proofErr w:type="spellEnd"/>
      <w:r>
        <w:rPr>
          <w:b/>
          <w:sz w:val="24"/>
          <w:szCs w:val="24"/>
        </w:rPr>
        <w:t>, pulver og solvens til injektionsvæske, opløsning 2000 IE og 3000 IE</w:t>
      </w:r>
    </w:p>
    <w:p w:rsidR="002F5222" w:rsidRPr="00C84483" w:rsidRDefault="002F5222" w:rsidP="002F5222">
      <w:pPr>
        <w:jc w:val="both"/>
        <w:rPr>
          <w:sz w:val="24"/>
          <w:szCs w:val="24"/>
        </w:rPr>
      </w:pPr>
    </w:p>
    <w:p w:rsidR="002F5222" w:rsidRPr="00475289" w:rsidRDefault="002F5222" w:rsidP="002F5222">
      <w:pPr>
        <w:ind w:left="851" w:hanging="851"/>
        <w:jc w:val="both"/>
        <w:rPr>
          <w:sz w:val="24"/>
          <w:szCs w:val="24"/>
        </w:rPr>
      </w:pPr>
    </w:p>
    <w:p w:rsidR="002F5222" w:rsidRPr="00475289" w:rsidRDefault="002F5222" w:rsidP="002F5222">
      <w:pPr>
        <w:ind w:left="851" w:hanging="851"/>
        <w:rPr>
          <w:b/>
          <w:sz w:val="24"/>
          <w:szCs w:val="24"/>
        </w:rPr>
      </w:pPr>
      <w:r w:rsidRPr="00475289">
        <w:rPr>
          <w:b/>
          <w:sz w:val="24"/>
          <w:szCs w:val="24"/>
        </w:rPr>
        <w:t>0.</w:t>
      </w:r>
      <w:r w:rsidRPr="00475289">
        <w:rPr>
          <w:b/>
          <w:sz w:val="24"/>
          <w:szCs w:val="24"/>
        </w:rPr>
        <w:tab/>
        <w:t>D.SP.NR.</w:t>
      </w:r>
    </w:p>
    <w:p w:rsidR="002F5222" w:rsidRPr="00475289" w:rsidRDefault="002F5222" w:rsidP="002F5222">
      <w:pPr>
        <w:ind w:left="851" w:hanging="851"/>
        <w:rPr>
          <w:sz w:val="24"/>
          <w:szCs w:val="24"/>
        </w:rPr>
      </w:pPr>
      <w:r>
        <w:rPr>
          <w:sz w:val="24"/>
          <w:szCs w:val="24"/>
        </w:rPr>
        <w:tab/>
      </w:r>
      <w:r w:rsidRPr="00475289">
        <w:rPr>
          <w:sz w:val="24"/>
          <w:szCs w:val="24"/>
        </w:rPr>
        <w:t>26200</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1.</w:t>
      </w:r>
      <w:r w:rsidRPr="00475289">
        <w:rPr>
          <w:b/>
          <w:sz w:val="24"/>
          <w:szCs w:val="24"/>
        </w:rPr>
        <w:tab/>
        <w:t>LÆGEMIDLETS NAVN</w:t>
      </w:r>
    </w:p>
    <w:p w:rsidR="002F5222" w:rsidRPr="00475289" w:rsidRDefault="002F5222" w:rsidP="002F5222">
      <w:pPr>
        <w:ind w:left="851" w:hanging="851"/>
        <w:rPr>
          <w:sz w:val="24"/>
          <w:szCs w:val="24"/>
        </w:rPr>
      </w:pPr>
      <w:r>
        <w:rPr>
          <w:sz w:val="24"/>
          <w:szCs w:val="24"/>
        </w:rPr>
        <w:tab/>
      </w:r>
      <w:proofErr w:type="spellStart"/>
      <w:r w:rsidRPr="00475289">
        <w:rPr>
          <w:sz w:val="24"/>
          <w:szCs w:val="24"/>
        </w:rPr>
        <w:t>Berinert</w:t>
      </w:r>
      <w:proofErr w:type="spellEnd"/>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2.</w:t>
      </w:r>
      <w:r w:rsidRPr="00475289">
        <w:rPr>
          <w:b/>
          <w:sz w:val="24"/>
          <w:szCs w:val="24"/>
        </w:rPr>
        <w:tab/>
        <w:t>KVALITATIV OG KVANTITATIV SAMMENSÆTNING</w:t>
      </w:r>
    </w:p>
    <w:p w:rsidR="00774476" w:rsidRDefault="002F5222" w:rsidP="00774476">
      <w:pPr>
        <w:pStyle w:val="LAFISPCNormal"/>
        <w:tabs>
          <w:tab w:val="clear" w:pos="567"/>
        </w:tabs>
        <w:ind w:left="851" w:hanging="851"/>
        <w:rPr>
          <w:szCs w:val="24"/>
        </w:rPr>
      </w:pPr>
      <w:r>
        <w:rPr>
          <w:szCs w:val="24"/>
        </w:rPr>
        <w:tab/>
      </w:r>
      <w:r w:rsidR="00774476" w:rsidRPr="00475289">
        <w:rPr>
          <w:szCs w:val="24"/>
        </w:rPr>
        <w:t xml:space="preserve">Aktivt stof: </w:t>
      </w:r>
      <w:r w:rsidR="00774476">
        <w:rPr>
          <w:szCs w:val="24"/>
        </w:rPr>
        <w:t xml:space="preserve">human </w:t>
      </w:r>
      <w:r w:rsidR="00774476" w:rsidRPr="00475289">
        <w:rPr>
          <w:szCs w:val="24"/>
        </w:rPr>
        <w:t xml:space="preserve">C1-esteraseinhibitor </w:t>
      </w:r>
      <w:r w:rsidR="00774476">
        <w:rPr>
          <w:szCs w:val="24"/>
        </w:rPr>
        <w:t>(fra humant plasma)</w:t>
      </w:r>
      <w:r w:rsidR="00774476" w:rsidRPr="00475289">
        <w:rPr>
          <w:szCs w:val="24"/>
        </w:rPr>
        <w:t>, subkutan</w:t>
      </w:r>
      <w:r w:rsidR="00774476">
        <w:rPr>
          <w:szCs w:val="24"/>
        </w:rPr>
        <w:t xml:space="preserve"> (</w:t>
      </w:r>
      <w:proofErr w:type="spellStart"/>
      <w:r w:rsidR="00774476">
        <w:rPr>
          <w:szCs w:val="24"/>
        </w:rPr>
        <w:t>s.c</w:t>
      </w:r>
      <w:proofErr w:type="spellEnd"/>
      <w:r w:rsidR="00774476">
        <w:rPr>
          <w:szCs w:val="24"/>
        </w:rPr>
        <w:t>.)</w:t>
      </w:r>
    </w:p>
    <w:p w:rsidR="00774476" w:rsidRPr="00475289" w:rsidRDefault="00774476" w:rsidP="00774476">
      <w:pPr>
        <w:pStyle w:val="LAFISPCNormal"/>
        <w:tabs>
          <w:tab w:val="clear" w:pos="567"/>
        </w:tabs>
        <w:ind w:left="851" w:hanging="851"/>
        <w:rPr>
          <w:szCs w:val="24"/>
        </w:rPr>
      </w:pPr>
    </w:p>
    <w:p w:rsidR="00774476" w:rsidRPr="00475289" w:rsidRDefault="00774476" w:rsidP="00774476">
      <w:pPr>
        <w:pStyle w:val="LAFISPCNormal"/>
        <w:tabs>
          <w:tab w:val="clear" w:pos="567"/>
        </w:tabs>
        <w:ind w:left="851" w:hanging="851"/>
        <w:rPr>
          <w:szCs w:val="24"/>
        </w:rPr>
      </w:pPr>
      <w:r>
        <w:rPr>
          <w:szCs w:val="24"/>
        </w:rPr>
        <w:tab/>
      </w:r>
      <w:proofErr w:type="spellStart"/>
      <w:r w:rsidRPr="00475289">
        <w:rPr>
          <w:szCs w:val="24"/>
        </w:rPr>
        <w:t>Berinert</w:t>
      </w:r>
      <w:proofErr w:type="spellEnd"/>
      <w:r w:rsidRPr="00475289">
        <w:rPr>
          <w:szCs w:val="24"/>
        </w:rPr>
        <w:t xml:space="preserve"> 2000 </w:t>
      </w:r>
      <w:r>
        <w:rPr>
          <w:szCs w:val="24"/>
        </w:rPr>
        <w:t xml:space="preserve">IE </w:t>
      </w:r>
      <w:r w:rsidRPr="00475289">
        <w:rPr>
          <w:szCs w:val="24"/>
        </w:rPr>
        <w:t>indeholder 2000 IE per hætteglas.</w:t>
      </w:r>
    </w:p>
    <w:p w:rsidR="00774476" w:rsidRPr="00475289" w:rsidRDefault="00774476" w:rsidP="00774476">
      <w:pPr>
        <w:pStyle w:val="LAFISPCNormal"/>
        <w:tabs>
          <w:tab w:val="clear" w:pos="567"/>
        </w:tabs>
        <w:ind w:left="851" w:hanging="851"/>
        <w:rPr>
          <w:szCs w:val="24"/>
        </w:rPr>
      </w:pPr>
      <w:r>
        <w:rPr>
          <w:szCs w:val="24"/>
        </w:rPr>
        <w:tab/>
      </w:r>
      <w:proofErr w:type="spellStart"/>
      <w:r w:rsidRPr="00475289">
        <w:rPr>
          <w:szCs w:val="24"/>
        </w:rPr>
        <w:t>Berinert</w:t>
      </w:r>
      <w:proofErr w:type="spellEnd"/>
      <w:r w:rsidRPr="00475289">
        <w:rPr>
          <w:szCs w:val="24"/>
        </w:rPr>
        <w:t xml:space="preserve"> 3000 </w:t>
      </w:r>
      <w:r>
        <w:rPr>
          <w:szCs w:val="24"/>
        </w:rPr>
        <w:t xml:space="preserve">IE </w:t>
      </w:r>
      <w:r w:rsidRPr="00475289">
        <w:rPr>
          <w:szCs w:val="24"/>
        </w:rPr>
        <w:t>indeholder 3000 IE per hætteglas.</w:t>
      </w:r>
    </w:p>
    <w:p w:rsidR="00774476" w:rsidRPr="00475289" w:rsidRDefault="00774476" w:rsidP="00774476">
      <w:pPr>
        <w:pStyle w:val="LAFISPCNormal"/>
        <w:tabs>
          <w:tab w:val="clear" w:pos="567"/>
        </w:tabs>
        <w:ind w:left="851" w:hanging="851"/>
        <w:rPr>
          <w:szCs w:val="24"/>
        </w:rPr>
      </w:pPr>
      <w:r>
        <w:rPr>
          <w:szCs w:val="24"/>
        </w:rPr>
        <w:tab/>
      </w:r>
      <w:r w:rsidRPr="00475289">
        <w:rPr>
          <w:szCs w:val="24"/>
        </w:rPr>
        <w:t xml:space="preserve">Styrken af </w:t>
      </w:r>
      <w:r>
        <w:rPr>
          <w:szCs w:val="24"/>
        </w:rPr>
        <w:t xml:space="preserve">humane </w:t>
      </w:r>
      <w:r w:rsidRPr="00475289">
        <w:rPr>
          <w:szCs w:val="24"/>
        </w:rPr>
        <w:t>C1-esteraseinhibitorer udtrykkes i internationale enheder (IE), som er relateret til den gældende WHO-standard for præparater med C1-esteraseinhibitor.</w:t>
      </w:r>
    </w:p>
    <w:p w:rsidR="00774476" w:rsidRPr="00475289" w:rsidRDefault="00774476" w:rsidP="00774476">
      <w:pPr>
        <w:pStyle w:val="LAFISPCNormal"/>
        <w:tabs>
          <w:tab w:val="clear" w:pos="567"/>
        </w:tabs>
        <w:ind w:left="851" w:hanging="851"/>
        <w:rPr>
          <w:szCs w:val="24"/>
        </w:rPr>
      </w:pPr>
    </w:p>
    <w:p w:rsidR="00774476" w:rsidRPr="00475289" w:rsidRDefault="00774476" w:rsidP="00774476">
      <w:pPr>
        <w:pStyle w:val="LAFISPCNormal"/>
        <w:tabs>
          <w:tab w:val="clear" w:pos="567"/>
        </w:tabs>
        <w:ind w:left="851" w:hanging="851"/>
        <w:rPr>
          <w:szCs w:val="24"/>
        </w:rPr>
      </w:pPr>
      <w:r>
        <w:rPr>
          <w:szCs w:val="24"/>
        </w:rPr>
        <w:tab/>
      </w:r>
      <w:proofErr w:type="spellStart"/>
      <w:r w:rsidRPr="00475289">
        <w:rPr>
          <w:szCs w:val="24"/>
        </w:rPr>
        <w:t>Berinert</w:t>
      </w:r>
      <w:proofErr w:type="spellEnd"/>
      <w:r w:rsidRPr="00475289">
        <w:rPr>
          <w:szCs w:val="24"/>
        </w:rPr>
        <w:t xml:space="preserve"> 2000 </w:t>
      </w:r>
      <w:r>
        <w:rPr>
          <w:szCs w:val="24"/>
        </w:rPr>
        <w:t xml:space="preserve">IE </w:t>
      </w:r>
      <w:r w:rsidRPr="00475289">
        <w:rPr>
          <w:szCs w:val="24"/>
        </w:rPr>
        <w:t>indeholder 500 IE/ml</w:t>
      </w:r>
      <w:r>
        <w:rPr>
          <w:szCs w:val="24"/>
        </w:rPr>
        <w:t xml:space="preserve"> human</w:t>
      </w:r>
      <w:r w:rsidRPr="00475289">
        <w:rPr>
          <w:szCs w:val="24"/>
        </w:rPr>
        <w:t xml:space="preserve"> C1-esteraseinhibitor efter opløsning med 4 ml vand til injektionsvæsker.</w:t>
      </w:r>
    </w:p>
    <w:p w:rsidR="002F5222" w:rsidRPr="00475289" w:rsidRDefault="00774476" w:rsidP="00774476">
      <w:pPr>
        <w:pStyle w:val="LAFISPCNormal"/>
        <w:tabs>
          <w:tab w:val="clear" w:pos="567"/>
        </w:tabs>
        <w:ind w:left="851" w:hanging="851"/>
        <w:rPr>
          <w:szCs w:val="24"/>
        </w:rPr>
      </w:pPr>
      <w:r>
        <w:rPr>
          <w:szCs w:val="24"/>
        </w:rPr>
        <w:tab/>
      </w:r>
      <w:proofErr w:type="spellStart"/>
      <w:r w:rsidRPr="00475289">
        <w:rPr>
          <w:szCs w:val="24"/>
        </w:rPr>
        <w:t>Berinert</w:t>
      </w:r>
      <w:proofErr w:type="spellEnd"/>
      <w:r w:rsidRPr="00475289">
        <w:rPr>
          <w:szCs w:val="24"/>
        </w:rPr>
        <w:t xml:space="preserve"> 3000 </w:t>
      </w:r>
      <w:r>
        <w:rPr>
          <w:szCs w:val="24"/>
        </w:rPr>
        <w:t xml:space="preserve">IE </w:t>
      </w:r>
      <w:r w:rsidRPr="00475289">
        <w:rPr>
          <w:szCs w:val="24"/>
        </w:rPr>
        <w:t>indeholder 500 IE/ml</w:t>
      </w:r>
      <w:r>
        <w:rPr>
          <w:szCs w:val="24"/>
        </w:rPr>
        <w:t xml:space="preserve"> human</w:t>
      </w:r>
      <w:r w:rsidRPr="00475289">
        <w:rPr>
          <w:szCs w:val="24"/>
        </w:rPr>
        <w:t xml:space="preserve"> C1-esteraseinhibitor efter opløsning med </w:t>
      </w:r>
      <w:r w:rsidR="000C6756">
        <w:rPr>
          <w:szCs w:val="24"/>
        </w:rPr>
        <w:t>5,</w:t>
      </w:r>
      <w:r w:rsidRPr="00475289">
        <w:rPr>
          <w:szCs w:val="24"/>
        </w:rPr>
        <w:t>6 ml vand til injektionsvæsker.</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szCs w:val="24"/>
        </w:rPr>
      </w:pPr>
      <w:r w:rsidRPr="00475289">
        <w:rPr>
          <w:szCs w:val="24"/>
        </w:rPr>
        <w:t xml:space="preserve">Den færdige opløsning af </w:t>
      </w:r>
      <w:proofErr w:type="spellStart"/>
      <w:r w:rsidRPr="00475289">
        <w:rPr>
          <w:szCs w:val="24"/>
        </w:rPr>
        <w:t>Berinert</w:t>
      </w:r>
      <w:proofErr w:type="spellEnd"/>
      <w:r w:rsidRPr="00475289">
        <w:rPr>
          <w:szCs w:val="24"/>
        </w:rPr>
        <w:t xml:space="preserve"> har et totalindhold af protein på 65 mg/ml.</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u w:val="single"/>
        </w:rPr>
      </w:pPr>
      <w:r w:rsidRPr="00475289">
        <w:rPr>
          <w:szCs w:val="24"/>
          <w:u w:val="single"/>
        </w:rPr>
        <w:t>Hjælpestof, som behandleren skal være opmærksom på</w:t>
      </w:r>
    </w:p>
    <w:p w:rsidR="002F5222" w:rsidRPr="00475289" w:rsidRDefault="002F5222" w:rsidP="002F5222">
      <w:pPr>
        <w:pStyle w:val="LAFISPCNormal"/>
        <w:tabs>
          <w:tab w:val="clear" w:pos="567"/>
        </w:tabs>
        <w:ind w:left="851"/>
        <w:rPr>
          <w:szCs w:val="24"/>
        </w:rPr>
      </w:pPr>
      <w:r w:rsidRPr="00475289">
        <w:rPr>
          <w:szCs w:val="24"/>
        </w:rPr>
        <w:t>Natrium op til 486 mg (cirka 21 mmol) per 100 ml opløsning.</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sidRPr="00475289">
        <w:rPr>
          <w:szCs w:val="24"/>
        </w:rPr>
        <w:t>Alle hjælpestoffer er anført under pkt. 6.1.</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3.</w:t>
      </w:r>
      <w:r w:rsidRPr="00475289">
        <w:rPr>
          <w:b/>
          <w:sz w:val="24"/>
          <w:szCs w:val="24"/>
        </w:rPr>
        <w:tab/>
        <w:t>LÆGEMIDDELFORM</w:t>
      </w:r>
    </w:p>
    <w:p w:rsidR="002F5222" w:rsidRDefault="002F5222" w:rsidP="002F5222">
      <w:pPr>
        <w:pStyle w:val="LAFISPCNormal"/>
        <w:tabs>
          <w:tab w:val="clear" w:pos="567"/>
        </w:tabs>
        <w:ind w:left="851"/>
        <w:rPr>
          <w:szCs w:val="24"/>
        </w:rPr>
      </w:pPr>
      <w:r>
        <w:rPr>
          <w:szCs w:val="24"/>
        </w:rPr>
        <w:t>P</w:t>
      </w:r>
      <w:r w:rsidRPr="00475289">
        <w:rPr>
          <w:szCs w:val="24"/>
        </w:rPr>
        <w:t>ulver og solvens til injektionsvæske, opløsning</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sidRPr="00475289">
        <w:rPr>
          <w:szCs w:val="24"/>
        </w:rPr>
        <w:t>Hvidt pulver.</w:t>
      </w:r>
    </w:p>
    <w:p w:rsidR="002F5222" w:rsidRPr="00475289" w:rsidRDefault="00774476" w:rsidP="00774476">
      <w:pPr>
        <w:ind w:left="851"/>
        <w:rPr>
          <w:sz w:val="24"/>
          <w:szCs w:val="24"/>
        </w:rPr>
      </w:pPr>
      <w:r>
        <w:rPr>
          <w:szCs w:val="24"/>
        </w:rPr>
        <w:t>Klar, farveløs solvens.</w:t>
      </w:r>
    </w:p>
    <w:p w:rsidR="002F5222" w:rsidRDefault="002F5222" w:rsidP="002F5222">
      <w:pPr>
        <w:rPr>
          <w:sz w:val="24"/>
          <w:szCs w:val="24"/>
        </w:rPr>
      </w:pPr>
      <w:r>
        <w:rPr>
          <w:sz w:val="24"/>
          <w:szCs w:val="24"/>
        </w:rPr>
        <w:br w:type="page"/>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w:t>
      </w:r>
      <w:r w:rsidRPr="00475289">
        <w:rPr>
          <w:b/>
          <w:sz w:val="24"/>
          <w:szCs w:val="24"/>
        </w:rPr>
        <w:tab/>
        <w:t>KLINISKE OPLYSNINGER</w:t>
      </w:r>
    </w:p>
    <w:p w:rsidR="002F5222" w:rsidRPr="00475289" w:rsidRDefault="002F5222" w:rsidP="002F5222">
      <w:pPr>
        <w:ind w:left="851" w:hanging="851"/>
        <w:rPr>
          <w:b/>
          <w:sz w:val="24"/>
          <w:szCs w:val="24"/>
        </w:rPr>
      </w:pPr>
    </w:p>
    <w:p w:rsidR="002F5222" w:rsidRPr="00475289" w:rsidRDefault="002F5222" w:rsidP="002F5222">
      <w:pPr>
        <w:ind w:left="851" w:hanging="851"/>
        <w:rPr>
          <w:b/>
          <w:sz w:val="24"/>
          <w:szCs w:val="24"/>
          <w:u w:val="single"/>
        </w:rPr>
      </w:pPr>
      <w:r w:rsidRPr="00475289">
        <w:rPr>
          <w:b/>
          <w:sz w:val="24"/>
          <w:szCs w:val="24"/>
        </w:rPr>
        <w:t>4.1</w:t>
      </w:r>
      <w:r w:rsidRPr="00475289">
        <w:rPr>
          <w:b/>
          <w:sz w:val="24"/>
          <w:szCs w:val="24"/>
        </w:rPr>
        <w:tab/>
        <w:t>Terapeutiske indikationer</w:t>
      </w:r>
    </w:p>
    <w:p w:rsidR="002F5222" w:rsidRPr="00475289" w:rsidRDefault="002F5222" w:rsidP="002F5222">
      <w:pPr>
        <w:pStyle w:val="LAFISPCNormal"/>
        <w:tabs>
          <w:tab w:val="clear" w:pos="567"/>
        </w:tabs>
        <w:ind w:left="851"/>
        <w:rPr>
          <w:szCs w:val="24"/>
        </w:rPr>
      </w:pPr>
      <w:proofErr w:type="spellStart"/>
      <w:r w:rsidRPr="00475289">
        <w:rPr>
          <w:szCs w:val="24"/>
        </w:rPr>
        <w:t>Berinert</w:t>
      </w:r>
      <w:proofErr w:type="spellEnd"/>
      <w:r w:rsidRPr="00475289">
        <w:rPr>
          <w:szCs w:val="24"/>
        </w:rPr>
        <w:t xml:space="preserve"> til subkutan injektion er indiceret til profylakse af tilbagevendende anfald af hereditært </w:t>
      </w:r>
      <w:proofErr w:type="spellStart"/>
      <w:r w:rsidRPr="00475289">
        <w:rPr>
          <w:szCs w:val="24"/>
        </w:rPr>
        <w:t>angioødem</w:t>
      </w:r>
      <w:proofErr w:type="spellEnd"/>
      <w:r w:rsidRPr="00475289">
        <w:rPr>
          <w:szCs w:val="24"/>
        </w:rPr>
        <w:t xml:space="preserve"> (HAE) hos unge og voksne patienter med mangel på C1-esterase</w:t>
      </w:r>
      <w:r>
        <w:rPr>
          <w:szCs w:val="24"/>
        </w:rPr>
        <w:softHyphen/>
      </w:r>
      <w:r w:rsidRPr="00475289">
        <w:rPr>
          <w:szCs w:val="24"/>
        </w:rPr>
        <w:t>inhibitor.</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4.2</w:t>
      </w:r>
      <w:r w:rsidRPr="00475289">
        <w:rPr>
          <w:b/>
          <w:sz w:val="24"/>
          <w:szCs w:val="24"/>
        </w:rPr>
        <w:tab/>
        <w:t>Dosering og indgivelsesmåde</w:t>
      </w:r>
    </w:p>
    <w:p w:rsidR="002F5222" w:rsidRPr="00475289" w:rsidRDefault="002F5222" w:rsidP="002F5222">
      <w:pPr>
        <w:pStyle w:val="LAFISPCNormal"/>
        <w:tabs>
          <w:tab w:val="clear" w:pos="567"/>
        </w:tabs>
        <w:ind w:left="851"/>
        <w:rPr>
          <w:szCs w:val="24"/>
        </w:rPr>
      </w:pPr>
      <w:proofErr w:type="spellStart"/>
      <w:r w:rsidRPr="00475289">
        <w:rPr>
          <w:szCs w:val="24"/>
        </w:rPr>
        <w:t>Berinert</w:t>
      </w:r>
      <w:proofErr w:type="spellEnd"/>
      <w:r w:rsidRPr="00475289">
        <w:rPr>
          <w:szCs w:val="24"/>
        </w:rPr>
        <w:t xml:space="preserve"> er beregnet til selvadministration via subkutan injektion. Patienten eller dennes omsorgsperson skal oplæres i administration af </w:t>
      </w:r>
      <w:proofErr w:type="spellStart"/>
      <w:r w:rsidRPr="00475289">
        <w:rPr>
          <w:szCs w:val="24"/>
        </w:rPr>
        <w:t>Berinert</w:t>
      </w:r>
      <w:proofErr w:type="spellEnd"/>
      <w:r w:rsidRPr="00475289">
        <w:rPr>
          <w:szCs w:val="24"/>
        </w:rPr>
        <w:t xml:space="preserve"> efter behov.</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bCs/>
          <w:iCs/>
          <w:szCs w:val="24"/>
          <w:u w:val="single"/>
        </w:rPr>
      </w:pPr>
      <w:r w:rsidRPr="00475289">
        <w:rPr>
          <w:bCs/>
          <w:iCs/>
          <w:szCs w:val="24"/>
          <w:u w:val="single"/>
        </w:rPr>
        <w:t>Dosering</w:t>
      </w:r>
    </w:p>
    <w:p w:rsidR="002F5222" w:rsidRPr="00475289" w:rsidRDefault="002F5222" w:rsidP="002F5222">
      <w:pPr>
        <w:pStyle w:val="LAFISPCNormal"/>
        <w:tabs>
          <w:tab w:val="clear" w:pos="567"/>
        </w:tabs>
        <w:ind w:left="851"/>
        <w:rPr>
          <w:szCs w:val="24"/>
        </w:rPr>
      </w:pPr>
      <w:r w:rsidRPr="00475289">
        <w:rPr>
          <w:szCs w:val="24"/>
        </w:rPr>
        <w:t xml:space="preserve">Den anbefalede dosis af </w:t>
      </w:r>
      <w:proofErr w:type="spellStart"/>
      <w:r w:rsidRPr="00475289">
        <w:rPr>
          <w:szCs w:val="24"/>
        </w:rPr>
        <w:t>Berinert</w:t>
      </w:r>
      <w:proofErr w:type="spellEnd"/>
      <w:r w:rsidRPr="00475289">
        <w:rPr>
          <w:szCs w:val="24"/>
        </w:rPr>
        <w:t xml:space="preserve"> </w:t>
      </w:r>
      <w:proofErr w:type="spellStart"/>
      <w:r w:rsidRPr="00475289">
        <w:rPr>
          <w:szCs w:val="24"/>
        </w:rPr>
        <w:t>s.c</w:t>
      </w:r>
      <w:proofErr w:type="spellEnd"/>
      <w:r w:rsidRPr="00475289">
        <w:rPr>
          <w:szCs w:val="24"/>
        </w:rPr>
        <w:t>. er 60 IE/kg legemsvægt to gange om ugen (hver 3.-4. dag).</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i/>
          <w:szCs w:val="24"/>
        </w:rPr>
      </w:pPr>
      <w:r w:rsidRPr="00475289">
        <w:rPr>
          <w:i/>
          <w:szCs w:val="24"/>
        </w:rPr>
        <w:t>Pædiatrisk population</w:t>
      </w:r>
    </w:p>
    <w:p w:rsidR="002F5222" w:rsidRPr="00475289" w:rsidRDefault="002F5222" w:rsidP="002F5222">
      <w:pPr>
        <w:pStyle w:val="LAFISPCNormal"/>
        <w:tabs>
          <w:tab w:val="clear" w:pos="567"/>
        </w:tabs>
        <w:ind w:left="851"/>
        <w:rPr>
          <w:bCs/>
          <w:iCs/>
          <w:szCs w:val="24"/>
        </w:rPr>
      </w:pPr>
      <w:r w:rsidRPr="00475289">
        <w:rPr>
          <w:bCs/>
          <w:iCs/>
          <w:szCs w:val="24"/>
        </w:rPr>
        <w:t>Doseringen hos unge er den samme som hos voksne.</w:t>
      </w:r>
    </w:p>
    <w:p w:rsidR="002F5222" w:rsidRPr="00475289" w:rsidRDefault="002F5222" w:rsidP="002F5222">
      <w:pPr>
        <w:pStyle w:val="LAFISPCNormal"/>
        <w:tabs>
          <w:tab w:val="clear" w:pos="567"/>
        </w:tabs>
        <w:ind w:left="851"/>
        <w:rPr>
          <w:bCs/>
          <w:iCs/>
          <w:szCs w:val="24"/>
        </w:rPr>
      </w:pPr>
    </w:p>
    <w:p w:rsidR="002F5222" w:rsidRPr="00475289" w:rsidRDefault="002F5222" w:rsidP="002F5222">
      <w:pPr>
        <w:pStyle w:val="LAFISPCNormal"/>
        <w:tabs>
          <w:tab w:val="clear" w:pos="567"/>
        </w:tabs>
        <w:ind w:left="851"/>
        <w:rPr>
          <w:bCs/>
          <w:iCs/>
          <w:szCs w:val="24"/>
          <w:u w:val="single"/>
        </w:rPr>
      </w:pPr>
      <w:r w:rsidRPr="00475289">
        <w:rPr>
          <w:bCs/>
          <w:iCs/>
          <w:szCs w:val="24"/>
          <w:u w:val="single"/>
        </w:rPr>
        <w:t>Administration</w:t>
      </w:r>
    </w:p>
    <w:p w:rsidR="002F5222" w:rsidRPr="00475289" w:rsidRDefault="002F5222" w:rsidP="002F5222">
      <w:pPr>
        <w:pStyle w:val="LAFISPCNormal"/>
        <w:tabs>
          <w:tab w:val="clear" w:pos="567"/>
        </w:tabs>
        <w:ind w:left="851"/>
        <w:rPr>
          <w:szCs w:val="24"/>
        </w:rPr>
      </w:pPr>
      <w:r w:rsidRPr="00475289">
        <w:rPr>
          <w:szCs w:val="24"/>
        </w:rPr>
        <w:t xml:space="preserve">Kun subkutan </w:t>
      </w:r>
      <w:r>
        <w:rPr>
          <w:szCs w:val="24"/>
        </w:rPr>
        <w:t>anvendelse</w:t>
      </w:r>
      <w:r w:rsidRPr="00475289">
        <w:rPr>
          <w:szCs w:val="24"/>
        </w:rPr>
        <w:t>.</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sidRPr="00475289">
        <w:rPr>
          <w:szCs w:val="24"/>
        </w:rPr>
        <w:t xml:space="preserve">For instruktioner om </w:t>
      </w:r>
      <w:proofErr w:type="spellStart"/>
      <w:r w:rsidRPr="00475289">
        <w:rPr>
          <w:szCs w:val="24"/>
        </w:rPr>
        <w:t>rekonstitution</w:t>
      </w:r>
      <w:proofErr w:type="spellEnd"/>
      <w:r w:rsidRPr="00475289">
        <w:rPr>
          <w:szCs w:val="24"/>
        </w:rPr>
        <w:t xml:space="preserve"> af lægemidlet før administration, se pkt. 6.6. </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sidRPr="00475289">
        <w:rPr>
          <w:szCs w:val="24"/>
        </w:rPr>
        <w:t xml:space="preserve">Det anbefalede sted til subkutan injektion af </w:t>
      </w:r>
      <w:proofErr w:type="spellStart"/>
      <w:r w:rsidRPr="00475289">
        <w:rPr>
          <w:szCs w:val="24"/>
        </w:rPr>
        <w:t>Berinert</w:t>
      </w:r>
      <w:proofErr w:type="spellEnd"/>
      <w:r w:rsidRPr="00475289">
        <w:rPr>
          <w:szCs w:val="24"/>
        </w:rPr>
        <w:t xml:space="preserve"> er </w:t>
      </w:r>
      <w:proofErr w:type="spellStart"/>
      <w:r w:rsidRPr="00475289">
        <w:rPr>
          <w:szCs w:val="24"/>
        </w:rPr>
        <w:t>abdominalområdet</w:t>
      </w:r>
      <w:proofErr w:type="spellEnd"/>
      <w:r w:rsidRPr="00475289">
        <w:rPr>
          <w:szCs w:val="24"/>
        </w:rPr>
        <w:t xml:space="preserve">. I de kliniske studier blev </w:t>
      </w:r>
      <w:proofErr w:type="spellStart"/>
      <w:r w:rsidRPr="00475289">
        <w:rPr>
          <w:szCs w:val="24"/>
        </w:rPr>
        <w:t>Berinert</w:t>
      </w:r>
      <w:proofErr w:type="spellEnd"/>
      <w:r w:rsidRPr="00475289">
        <w:rPr>
          <w:szCs w:val="24"/>
        </w:rPr>
        <w:t xml:space="preserve"> injiceret på et enkelt sted.</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sidRPr="00475289">
        <w:rPr>
          <w:szCs w:val="24"/>
        </w:rPr>
        <w:t xml:space="preserve">Det </w:t>
      </w:r>
      <w:proofErr w:type="spellStart"/>
      <w:r w:rsidRPr="00475289">
        <w:rPr>
          <w:szCs w:val="24"/>
        </w:rPr>
        <w:t>rekonstituerede</w:t>
      </w:r>
      <w:proofErr w:type="spellEnd"/>
      <w:r w:rsidRPr="00475289">
        <w:rPr>
          <w:szCs w:val="24"/>
        </w:rPr>
        <w:t xml:space="preserve"> præparat skal administreres via subkutan injektion ved en hastighed, som patienten tolererer.</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4.3</w:t>
      </w:r>
      <w:r w:rsidRPr="00475289">
        <w:rPr>
          <w:b/>
          <w:sz w:val="24"/>
          <w:szCs w:val="24"/>
        </w:rPr>
        <w:tab/>
        <w:t>Kontraindikationer</w:t>
      </w:r>
    </w:p>
    <w:p w:rsidR="002F5222" w:rsidRPr="00475289" w:rsidRDefault="002F5222" w:rsidP="002F5222">
      <w:pPr>
        <w:pStyle w:val="LAFISPCNormal"/>
        <w:tabs>
          <w:tab w:val="clear" w:pos="567"/>
        </w:tabs>
        <w:ind w:left="851"/>
        <w:rPr>
          <w:szCs w:val="24"/>
        </w:rPr>
      </w:pPr>
      <w:r w:rsidRPr="00475289">
        <w:rPr>
          <w:szCs w:val="24"/>
        </w:rPr>
        <w:t>Personer, der har oplevet livstruende overfølsomhedsreaktioner, herunder anafylaksi, over for C1-INH-præparater eller over for et eller flere af hjælpestofferne anført i pkt. 6.1.</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4.4</w:t>
      </w:r>
      <w:r w:rsidRPr="00475289">
        <w:rPr>
          <w:b/>
          <w:sz w:val="24"/>
          <w:szCs w:val="24"/>
        </w:rPr>
        <w:tab/>
        <w:t>Særlige advarsler og forsigtighedsregler vedrørende brugen</w:t>
      </w:r>
    </w:p>
    <w:p w:rsidR="007F4C05" w:rsidRDefault="007F4C05" w:rsidP="007F4C05">
      <w:pPr>
        <w:pStyle w:val="LAFISPCNormal"/>
        <w:ind w:left="851"/>
        <w:rPr>
          <w:szCs w:val="24"/>
        </w:rPr>
      </w:pPr>
    </w:p>
    <w:p w:rsidR="007F4C05" w:rsidRDefault="007F4C05" w:rsidP="007F4C05">
      <w:pPr>
        <w:pStyle w:val="LAFISPCNormal"/>
        <w:ind w:left="851"/>
        <w:rPr>
          <w:szCs w:val="24"/>
          <w:u w:val="single"/>
        </w:rPr>
      </w:pPr>
      <w:r>
        <w:rPr>
          <w:szCs w:val="24"/>
          <w:u w:val="single"/>
        </w:rPr>
        <w:t>Sporbarhed</w:t>
      </w:r>
    </w:p>
    <w:p w:rsidR="007F4C05" w:rsidRDefault="007F4C05" w:rsidP="007F4C05">
      <w:pPr>
        <w:pStyle w:val="LAFISPCNormal"/>
        <w:tabs>
          <w:tab w:val="clear" w:pos="567"/>
          <w:tab w:val="left" w:pos="1304"/>
        </w:tabs>
        <w:ind w:left="851"/>
        <w:rPr>
          <w:szCs w:val="24"/>
        </w:rPr>
      </w:pPr>
      <w:r>
        <w:rPr>
          <w:szCs w:val="24"/>
        </w:rPr>
        <w:t>For at forbedre sporbarheden af biologiske lægemidler skal det administrerede produkts navn og batchnummer tydeligt registreres.</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u w:val="single"/>
        </w:rPr>
      </w:pPr>
      <w:r>
        <w:rPr>
          <w:szCs w:val="24"/>
          <w:u w:val="single"/>
        </w:rPr>
        <w:t>Overfølsomhedsreaktioner</w:t>
      </w:r>
    </w:p>
    <w:p w:rsidR="007F4C05" w:rsidRDefault="007F4C05" w:rsidP="007F4C05">
      <w:pPr>
        <w:pStyle w:val="LAFISPCNormal"/>
        <w:tabs>
          <w:tab w:val="clear" w:pos="567"/>
          <w:tab w:val="left" w:pos="1304"/>
        </w:tabs>
        <w:ind w:left="851"/>
        <w:rPr>
          <w:szCs w:val="24"/>
        </w:rPr>
      </w:pPr>
      <w:r>
        <w:rPr>
          <w:szCs w:val="24"/>
        </w:rPr>
        <w:t xml:space="preserve">Hvis der opstår en svær allergisk reaktion, skal behandlingen med </w:t>
      </w:r>
      <w:proofErr w:type="spellStart"/>
      <w:r>
        <w:rPr>
          <w:szCs w:val="24"/>
        </w:rPr>
        <w:t>Berinert</w:t>
      </w:r>
      <w:proofErr w:type="spellEnd"/>
      <w:r>
        <w:rPr>
          <w:szCs w:val="24"/>
        </w:rPr>
        <w:t xml:space="preserve"> omgående seponeres (dvs. injektionen stoppes), og der skal indledes passende behandling. </w:t>
      </w:r>
    </w:p>
    <w:p w:rsidR="007F4C05" w:rsidRDefault="007F4C05" w:rsidP="007F4C05">
      <w:pPr>
        <w:pStyle w:val="LAFISPCNormal"/>
        <w:tabs>
          <w:tab w:val="clear" w:pos="567"/>
          <w:tab w:val="left" w:pos="1304"/>
        </w:tabs>
        <w:ind w:left="851" w:hanging="851"/>
        <w:rPr>
          <w:szCs w:val="24"/>
        </w:rPr>
      </w:pPr>
    </w:p>
    <w:p w:rsidR="007F4C05" w:rsidRDefault="007F4C05" w:rsidP="007F4C05">
      <w:pPr>
        <w:pStyle w:val="LAFISPCNormal"/>
        <w:tabs>
          <w:tab w:val="clear" w:pos="567"/>
          <w:tab w:val="left" w:pos="1304"/>
        </w:tabs>
        <w:ind w:left="851"/>
        <w:rPr>
          <w:szCs w:val="24"/>
        </w:rPr>
      </w:pPr>
      <w:r>
        <w:rPr>
          <w:szCs w:val="24"/>
        </w:rPr>
        <w:t>I tilfælde af et akut HAE-anfald skal der iværksættes individuelt tilpasset behandling.</w:t>
      </w:r>
    </w:p>
    <w:p w:rsidR="007F4C05" w:rsidRDefault="007F4C05" w:rsidP="007F4C05">
      <w:pPr>
        <w:pStyle w:val="LAFISPCNormal"/>
        <w:tabs>
          <w:tab w:val="clear" w:pos="567"/>
          <w:tab w:val="left" w:pos="1304"/>
        </w:tabs>
        <w:ind w:left="851" w:hanging="851"/>
        <w:rPr>
          <w:szCs w:val="24"/>
        </w:rPr>
      </w:pPr>
    </w:p>
    <w:p w:rsidR="007F4C05" w:rsidRDefault="007F4C05" w:rsidP="007F4C05">
      <w:pPr>
        <w:pStyle w:val="LAFISPCNormal"/>
        <w:tabs>
          <w:tab w:val="clear" w:pos="567"/>
          <w:tab w:val="left" w:pos="1304"/>
        </w:tabs>
        <w:ind w:left="851"/>
        <w:rPr>
          <w:szCs w:val="24"/>
          <w:u w:val="single"/>
        </w:rPr>
      </w:pPr>
      <w:proofErr w:type="spellStart"/>
      <w:r>
        <w:rPr>
          <w:szCs w:val="24"/>
          <w:u w:val="single"/>
        </w:rPr>
        <w:t>Tromboemboliske</w:t>
      </w:r>
      <w:proofErr w:type="spellEnd"/>
      <w:r>
        <w:rPr>
          <w:szCs w:val="24"/>
          <w:u w:val="single"/>
        </w:rPr>
        <w:t xml:space="preserve"> hændelser</w:t>
      </w:r>
    </w:p>
    <w:p w:rsidR="007F4C05" w:rsidRDefault="007F4C05" w:rsidP="007F4C05">
      <w:pPr>
        <w:pStyle w:val="LAFISPCNormal"/>
        <w:tabs>
          <w:tab w:val="clear" w:pos="567"/>
          <w:tab w:val="left" w:pos="1304"/>
        </w:tabs>
        <w:ind w:left="851"/>
        <w:rPr>
          <w:szCs w:val="24"/>
        </w:rPr>
      </w:pPr>
      <w:r>
        <w:rPr>
          <w:szCs w:val="24"/>
        </w:rPr>
        <w:t xml:space="preserve">Der er set trombose i forbindelse med brug af høje intravenøse doser af C1-INH til profylakse eller behandling af </w:t>
      </w:r>
      <w:proofErr w:type="spellStart"/>
      <w:r>
        <w:rPr>
          <w:szCs w:val="24"/>
        </w:rPr>
        <w:t>kapillær</w:t>
      </w:r>
      <w:proofErr w:type="spellEnd"/>
      <w:r>
        <w:rPr>
          <w:szCs w:val="24"/>
        </w:rPr>
        <w:t xml:space="preserve"> lækage-syndrom før, under eller efter hjertekirurgi under </w:t>
      </w:r>
      <w:proofErr w:type="spellStart"/>
      <w:r>
        <w:rPr>
          <w:szCs w:val="24"/>
        </w:rPr>
        <w:t>ekstrakorporel</w:t>
      </w:r>
      <w:proofErr w:type="spellEnd"/>
      <w:r>
        <w:rPr>
          <w:szCs w:val="24"/>
        </w:rPr>
        <w:t xml:space="preserve"> cirkulation (ikke-godkendt indikation og dosis). Ved brug af de </w:t>
      </w:r>
      <w:r>
        <w:rPr>
          <w:szCs w:val="24"/>
        </w:rPr>
        <w:lastRenderedPageBreak/>
        <w:t xml:space="preserve">anbefalede subkutane doser er der ikke blevet konstateret nogen årsagsmæssig sammenhæng mellem </w:t>
      </w:r>
      <w:proofErr w:type="spellStart"/>
      <w:r>
        <w:rPr>
          <w:szCs w:val="24"/>
        </w:rPr>
        <w:t>tromboemboliske</w:t>
      </w:r>
      <w:proofErr w:type="spellEnd"/>
      <w:r>
        <w:rPr>
          <w:szCs w:val="24"/>
        </w:rPr>
        <w:t xml:space="preserve"> hændelser og C1-INH. </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u w:val="single"/>
        </w:rPr>
      </w:pPr>
      <w:r>
        <w:rPr>
          <w:szCs w:val="24"/>
          <w:u w:val="single"/>
        </w:rPr>
        <w:t>Virussikkerhed</w:t>
      </w:r>
    </w:p>
    <w:p w:rsidR="007F4C05" w:rsidRDefault="007F4C05" w:rsidP="007F4C05">
      <w:pPr>
        <w:pStyle w:val="LAFISPCNormal"/>
        <w:tabs>
          <w:tab w:val="clear" w:pos="567"/>
          <w:tab w:val="left" w:pos="1304"/>
        </w:tabs>
        <w:ind w:left="851"/>
        <w:rPr>
          <w:szCs w:val="24"/>
        </w:rPr>
      </w:pPr>
      <w:r>
        <w:rPr>
          <w:szCs w:val="24"/>
        </w:rPr>
        <w:t xml:space="preserve">Standardmetoder til forebyggelse af infektioner, der skyldes brug af lægemidler tilberedt ud fra humant blod eller plasma, omfatter udvælgelse af donorer, screening af enkeltdonationer og plasmapools for specifikke markører for infektion samt inklusion af effektive produktionstrin til inaktivering/fjernelse af vira. Til trods for dette kan muligheden for at overføre infektiøse stoffer ikke helt udelukkes ved administration af lægemidler fremstillet ud fra humant blod eller plasma. Dette gælder også ukendte eller </w:t>
      </w:r>
      <w:proofErr w:type="spellStart"/>
      <w:r>
        <w:rPr>
          <w:szCs w:val="24"/>
        </w:rPr>
        <w:t>nyopdukkede</w:t>
      </w:r>
      <w:proofErr w:type="spellEnd"/>
      <w:r>
        <w:rPr>
          <w:szCs w:val="24"/>
        </w:rPr>
        <w:t xml:space="preserve"> vira og andre </w:t>
      </w:r>
      <w:proofErr w:type="spellStart"/>
      <w:r>
        <w:rPr>
          <w:szCs w:val="24"/>
        </w:rPr>
        <w:t>patogener</w:t>
      </w:r>
      <w:proofErr w:type="spellEnd"/>
      <w:r>
        <w:rPr>
          <w:szCs w:val="24"/>
        </w:rPr>
        <w:t xml:space="preserve">. </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 xml:space="preserve">Forholdsreglerne anses for at være effektive over for indkapslede vira som humant immundefektvirus (HIV), hepatitis B-virus (HBV) og hepatitis C-virus (HCV) og for </w:t>
      </w:r>
      <w:proofErr w:type="spellStart"/>
      <w:r>
        <w:rPr>
          <w:szCs w:val="24"/>
        </w:rPr>
        <w:t>uindkapslede</w:t>
      </w:r>
      <w:proofErr w:type="spellEnd"/>
      <w:r>
        <w:rPr>
          <w:szCs w:val="24"/>
        </w:rPr>
        <w:t xml:space="preserve"> vira HAV og </w:t>
      </w:r>
      <w:proofErr w:type="spellStart"/>
      <w:r>
        <w:rPr>
          <w:szCs w:val="24"/>
        </w:rPr>
        <w:t>parvovirus</w:t>
      </w:r>
      <w:proofErr w:type="spellEnd"/>
      <w:r>
        <w:rPr>
          <w:szCs w:val="24"/>
        </w:rPr>
        <w:t xml:space="preserve"> B19.</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Passende vaccination (hepatitis A og B) bør generelt overvejes for patienter, der løbende/gentagne gange behandles med præparater, der stammer fra humant plasma.</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proofErr w:type="spellStart"/>
      <w:r>
        <w:rPr>
          <w:szCs w:val="24"/>
        </w:rPr>
        <w:t>Berinert</w:t>
      </w:r>
      <w:proofErr w:type="spellEnd"/>
      <w:r>
        <w:rPr>
          <w:szCs w:val="24"/>
        </w:rPr>
        <w:t xml:space="preserve"> 2000 IE indeholder mindre end 1 mmol (23 mg) natrium pr. hætteglas, dvs. det er i det væsentlige natriumfrit.</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ind w:left="851"/>
        <w:rPr>
          <w:szCs w:val="24"/>
        </w:rPr>
      </w:pPr>
      <w:proofErr w:type="spellStart"/>
      <w:r>
        <w:rPr>
          <w:szCs w:val="24"/>
        </w:rPr>
        <w:t>Berinert</w:t>
      </w:r>
      <w:proofErr w:type="spellEnd"/>
      <w:r>
        <w:rPr>
          <w:szCs w:val="24"/>
        </w:rPr>
        <w:t xml:space="preserve"> 3000 IE indeholder op til 29 mg natrium pr. hætteglas, svarende til 1,5 % af den WHO-anbefalede maksimale daglige indtagelse af 2 g natrium for en voksen.</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4.5</w:t>
      </w:r>
      <w:r w:rsidRPr="00475289">
        <w:rPr>
          <w:b/>
          <w:sz w:val="24"/>
          <w:szCs w:val="24"/>
        </w:rPr>
        <w:tab/>
        <w:t>Interaktion med andre lægemidler og andre former for interaktion</w:t>
      </w:r>
    </w:p>
    <w:p w:rsidR="002F5222" w:rsidRPr="00475289" w:rsidRDefault="002F5222" w:rsidP="002F5222">
      <w:pPr>
        <w:pStyle w:val="LAFISPCNormal"/>
        <w:tabs>
          <w:tab w:val="clear" w:pos="567"/>
        </w:tabs>
        <w:ind w:left="851"/>
        <w:rPr>
          <w:szCs w:val="24"/>
        </w:rPr>
      </w:pPr>
      <w:r w:rsidRPr="00475289">
        <w:rPr>
          <w:szCs w:val="24"/>
        </w:rPr>
        <w:t>Der er ikke udført interaktionsstudier.</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4.6</w:t>
      </w:r>
      <w:r w:rsidRPr="00475289">
        <w:rPr>
          <w:b/>
          <w:sz w:val="24"/>
          <w:szCs w:val="24"/>
        </w:rPr>
        <w:tab/>
        <w:t>Graviditet og amning</w:t>
      </w:r>
    </w:p>
    <w:p w:rsidR="002F5222" w:rsidRDefault="002F5222" w:rsidP="002F5222">
      <w:pPr>
        <w:pStyle w:val="LAFISPCNormal"/>
        <w:tabs>
          <w:tab w:val="clear" w:pos="567"/>
        </w:tabs>
        <w:ind w:left="851" w:hanging="851"/>
        <w:rPr>
          <w:szCs w:val="24"/>
          <w:u w:val="single"/>
        </w:rPr>
      </w:pPr>
    </w:p>
    <w:p w:rsidR="007F4C05" w:rsidRDefault="007F4C05" w:rsidP="007F4C05">
      <w:pPr>
        <w:pStyle w:val="LAFISPCNormal"/>
        <w:tabs>
          <w:tab w:val="clear" w:pos="567"/>
          <w:tab w:val="left" w:pos="1304"/>
        </w:tabs>
        <w:ind w:left="851"/>
        <w:rPr>
          <w:szCs w:val="24"/>
          <w:u w:val="single"/>
        </w:rPr>
      </w:pPr>
      <w:r>
        <w:rPr>
          <w:szCs w:val="24"/>
          <w:u w:val="single"/>
        </w:rPr>
        <w:t>Graviditet</w:t>
      </w:r>
    </w:p>
    <w:p w:rsidR="007F4C05" w:rsidRDefault="00774476" w:rsidP="007F4C05">
      <w:pPr>
        <w:pStyle w:val="LAFISPCNormal"/>
        <w:tabs>
          <w:tab w:val="clear" w:pos="567"/>
          <w:tab w:val="left" w:pos="1304"/>
        </w:tabs>
        <w:ind w:left="851"/>
        <w:rPr>
          <w:szCs w:val="24"/>
        </w:rPr>
      </w:pPr>
      <w:r>
        <w:rPr>
          <w:szCs w:val="24"/>
        </w:rPr>
        <w:t>Der er begrænsede data, som tyder på, at der ikke er nogen øget risiko ved brug af præparater med human CI-</w:t>
      </w:r>
      <w:proofErr w:type="spellStart"/>
      <w:r>
        <w:rPr>
          <w:szCs w:val="24"/>
        </w:rPr>
        <w:t>esteraseinhibitor</w:t>
      </w:r>
      <w:proofErr w:type="spellEnd"/>
      <w:r>
        <w:rPr>
          <w:szCs w:val="24"/>
        </w:rPr>
        <w:t xml:space="preserve"> hos gravide kvinder. Human C1-esteraseinhibitor er en fysiologisk bestanddel af humant plasma. Der er ikke udført dyreforsøg til undersøgelse af reproduktions- og udviklingstoksicitet med </w:t>
      </w:r>
      <w:proofErr w:type="spellStart"/>
      <w:r>
        <w:rPr>
          <w:szCs w:val="24"/>
        </w:rPr>
        <w:t>Berinert</w:t>
      </w:r>
      <w:proofErr w:type="spellEnd"/>
      <w:r>
        <w:rPr>
          <w:szCs w:val="24"/>
        </w:rPr>
        <w:t xml:space="preserve"> Der forventes ingen skadelig virkning på fertiliteten eller den præ- og </w:t>
      </w:r>
      <w:proofErr w:type="spellStart"/>
      <w:r>
        <w:rPr>
          <w:szCs w:val="24"/>
        </w:rPr>
        <w:t>postnatale</w:t>
      </w:r>
      <w:proofErr w:type="spellEnd"/>
      <w:r>
        <w:rPr>
          <w:szCs w:val="24"/>
        </w:rPr>
        <w:t xml:space="preserve"> udvikling hos mennesker.</w:t>
      </w:r>
      <w:r w:rsidR="007F4C05">
        <w:rPr>
          <w:szCs w:val="24"/>
        </w:rPr>
        <w:t xml:space="preserve"> </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I tre studier, som omfattede 344 patienter, blev der indhentet data fra 36 kvinder (50 graviditeter), og behandlingen med C1-INH var ikke forbundet med nogen bivirkninger før, under eller efter graviditeten, og kvinderne fødte sunde børn.</w:t>
      </w:r>
    </w:p>
    <w:p w:rsidR="007F4C05" w:rsidRDefault="007F4C05" w:rsidP="007F4C05">
      <w:pPr>
        <w:pStyle w:val="LAFISPCNormal"/>
        <w:tabs>
          <w:tab w:val="clear" w:pos="567"/>
          <w:tab w:val="left" w:pos="1304"/>
        </w:tabs>
        <w:ind w:left="851" w:hanging="851"/>
        <w:rPr>
          <w:szCs w:val="24"/>
        </w:rPr>
      </w:pPr>
    </w:p>
    <w:p w:rsidR="007F4C05" w:rsidRDefault="007F4C05" w:rsidP="007F4C05">
      <w:pPr>
        <w:pStyle w:val="LAFISPCNormal"/>
        <w:tabs>
          <w:tab w:val="clear" w:pos="567"/>
          <w:tab w:val="left" w:pos="1304"/>
        </w:tabs>
        <w:ind w:left="851"/>
        <w:rPr>
          <w:szCs w:val="24"/>
          <w:u w:val="single"/>
        </w:rPr>
      </w:pPr>
      <w:r>
        <w:rPr>
          <w:szCs w:val="24"/>
          <w:u w:val="single"/>
        </w:rPr>
        <w:t>Amning</w:t>
      </w:r>
    </w:p>
    <w:p w:rsidR="007F4C05" w:rsidRDefault="007F4C05" w:rsidP="007F4C05">
      <w:pPr>
        <w:pStyle w:val="LAFISPCNormal"/>
        <w:tabs>
          <w:tab w:val="clear" w:pos="567"/>
          <w:tab w:val="left" w:pos="1304"/>
        </w:tabs>
        <w:ind w:left="851" w:hanging="851"/>
        <w:rPr>
          <w:szCs w:val="24"/>
        </w:rPr>
      </w:pPr>
      <w:r>
        <w:rPr>
          <w:szCs w:val="24"/>
        </w:rPr>
        <w:tab/>
        <w:t xml:space="preserve">Der er ingen oplysninger om udskillelsen af </w:t>
      </w:r>
      <w:proofErr w:type="spellStart"/>
      <w:r>
        <w:rPr>
          <w:szCs w:val="24"/>
        </w:rPr>
        <w:t>Berinert</w:t>
      </w:r>
      <w:proofErr w:type="spellEnd"/>
      <w:r>
        <w:rPr>
          <w:szCs w:val="24"/>
        </w:rPr>
        <w:t xml:space="preserve"> i human mælk, virkningen på det ammede spædbarn eller virkningen på mælkeproduktionen. De udviklings- og helbredsmæssige fordele ved amning bør tages i betragtning i forhold til moderens kliniske behov for </w:t>
      </w:r>
      <w:proofErr w:type="spellStart"/>
      <w:r>
        <w:rPr>
          <w:szCs w:val="24"/>
        </w:rPr>
        <w:t>Berinert</w:t>
      </w:r>
      <w:proofErr w:type="spellEnd"/>
      <w:r>
        <w:rPr>
          <w:szCs w:val="24"/>
        </w:rPr>
        <w:t xml:space="preserve"> og de potentielle bivirkninger hos det ammede spædbarn som følge af </w:t>
      </w:r>
      <w:proofErr w:type="spellStart"/>
      <w:r>
        <w:rPr>
          <w:szCs w:val="24"/>
        </w:rPr>
        <w:t>Berinert</w:t>
      </w:r>
      <w:proofErr w:type="spellEnd"/>
      <w:r>
        <w:rPr>
          <w:szCs w:val="24"/>
        </w:rPr>
        <w:t xml:space="preserve"> eller som følge af moderens underliggende sygdom.</w:t>
      </w:r>
    </w:p>
    <w:p w:rsidR="007F4C05" w:rsidRDefault="007F4C05" w:rsidP="007F4C05">
      <w:pPr>
        <w:pStyle w:val="LAFISPCNormal"/>
        <w:tabs>
          <w:tab w:val="clear" w:pos="567"/>
          <w:tab w:val="left" w:pos="1304"/>
        </w:tabs>
        <w:ind w:left="851" w:hanging="851"/>
        <w:rPr>
          <w:szCs w:val="24"/>
        </w:rPr>
      </w:pPr>
    </w:p>
    <w:p w:rsidR="007F4C05" w:rsidRDefault="007F4C05" w:rsidP="00774476">
      <w:pPr>
        <w:pStyle w:val="LAFISPCNormal"/>
        <w:keepNext/>
        <w:tabs>
          <w:tab w:val="clear" w:pos="567"/>
          <w:tab w:val="left" w:pos="1304"/>
        </w:tabs>
        <w:ind w:left="851"/>
        <w:rPr>
          <w:szCs w:val="24"/>
          <w:u w:val="single"/>
        </w:rPr>
      </w:pPr>
      <w:r>
        <w:rPr>
          <w:szCs w:val="24"/>
          <w:u w:val="single"/>
        </w:rPr>
        <w:lastRenderedPageBreak/>
        <w:t>Fertilitet</w:t>
      </w:r>
    </w:p>
    <w:p w:rsidR="00774476" w:rsidRDefault="00774476" w:rsidP="00774476">
      <w:pPr>
        <w:pStyle w:val="LAFISPCNormal"/>
        <w:tabs>
          <w:tab w:val="clear" w:pos="567"/>
          <w:tab w:val="left" w:pos="1304"/>
        </w:tabs>
        <w:ind w:left="851"/>
        <w:rPr>
          <w:szCs w:val="24"/>
        </w:rPr>
      </w:pPr>
      <w:r>
        <w:rPr>
          <w:szCs w:val="24"/>
        </w:rPr>
        <w:t xml:space="preserve">Human C1-esteraseinhibitor er en fysiologisk bestanddel af humant plasma. Der er ikke udført dyreforsøg til undersøgelse af reproduktions- og udviklingstoksicitet med </w:t>
      </w:r>
      <w:proofErr w:type="spellStart"/>
      <w:r>
        <w:rPr>
          <w:szCs w:val="24"/>
        </w:rPr>
        <w:t>Berinert</w:t>
      </w:r>
      <w:proofErr w:type="spellEnd"/>
      <w:r>
        <w:rPr>
          <w:szCs w:val="24"/>
        </w:rPr>
        <w:t xml:space="preserve">. </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4.7</w:t>
      </w:r>
      <w:r w:rsidRPr="00475289">
        <w:rPr>
          <w:b/>
          <w:sz w:val="24"/>
          <w:szCs w:val="24"/>
        </w:rPr>
        <w:tab/>
        <w:t>Virkninger på evnen til at føre motorkøretøj eller betjene maskiner</w:t>
      </w:r>
    </w:p>
    <w:p w:rsidR="002F5222" w:rsidRPr="00475289" w:rsidRDefault="002F5222" w:rsidP="002F5222">
      <w:pPr>
        <w:pStyle w:val="LAFISPCNormal"/>
        <w:tabs>
          <w:tab w:val="clear" w:pos="567"/>
        </w:tabs>
        <w:ind w:left="851"/>
        <w:rPr>
          <w:szCs w:val="24"/>
        </w:rPr>
      </w:pPr>
      <w:r w:rsidRPr="00475289">
        <w:rPr>
          <w:szCs w:val="24"/>
        </w:rPr>
        <w:t>Ikke mærkning.</w:t>
      </w:r>
    </w:p>
    <w:p w:rsidR="002F5222" w:rsidRPr="00475289" w:rsidRDefault="002F5222" w:rsidP="002F5222">
      <w:pPr>
        <w:pStyle w:val="LAFISPCNormal"/>
        <w:tabs>
          <w:tab w:val="clear" w:pos="567"/>
        </w:tabs>
        <w:ind w:left="851"/>
        <w:rPr>
          <w:szCs w:val="24"/>
        </w:rPr>
      </w:pPr>
      <w:proofErr w:type="spellStart"/>
      <w:r w:rsidRPr="00475289">
        <w:rPr>
          <w:szCs w:val="24"/>
        </w:rPr>
        <w:t>Berinert</w:t>
      </w:r>
      <w:proofErr w:type="spellEnd"/>
      <w:r w:rsidRPr="00475289">
        <w:rPr>
          <w:szCs w:val="24"/>
        </w:rPr>
        <w:t xml:space="preserve"> påvirker ikke eller kun i ubetydelig grad evnen til at føre motorkøretøj og betjene maskiner.</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4.8</w:t>
      </w:r>
      <w:r w:rsidRPr="00475289">
        <w:rPr>
          <w:b/>
          <w:sz w:val="24"/>
          <w:szCs w:val="24"/>
        </w:rPr>
        <w:tab/>
        <w:t>Bivirkninger</w:t>
      </w:r>
    </w:p>
    <w:p w:rsidR="007F4C05" w:rsidRDefault="007F4C05" w:rsidP="007F4C05">
      <w:pPr>
        <w:ind w:left="851"/>
        <w:rPr>
          <w:sz w:val="24"/>
          <w:szCs w:val="24"/>
        </w:rPr>
      </w:pPr>
      <w:r>
        <w:rPr>
          <w:sz w:val="24"/>
          <w:szCs w:val="24"/>
        </w:rPr>
        <w:t xml:space="preserve">Bivirkninger er baseret på fase 3-studiet 3001 med patienter (n=86) med HAE, der fik </w:t>
      </w:r>
      <w:proofErr w:type="spellStart"/>
      <w:r>
        <w:rPr>
          <w:sz w:val="24"/>
          <w:szCs w:val="24"/>
        </w:rPr>
        <w:t>Berinert</w:t>
      </w:r>
      <w:proofErr w:type="spellEnd"/>
      <w:r>
        <w:rPr>
          <w:sz w:val="24"/>
          <w:szCs w:val="24"/>
        </w:rPr>
        <w:t xml:space="preserve"> subkutant. Egnede patienter kunne også deltage i et </w:t>
      </w:r>
      <w:proofErr w:type="spellStart"/>
      <w:r>
        <w:rPr>
          <w:sz w:val="24"/>
          <w:szCs w:val="24"/>
        </w:rPr>
        <w:t>ublindet</w:t>
      </w:r>
      <w:proofErr w:type="spellEnd"/>
      <w:r>
        <w:rPr>
          <w:sz w:val="24"/>
          <w:szCs w:val="24"/>
        </w:rPr>
        <w:t xml:space="preserve"> forlængelsesstudie (studie 3002) i op til 140 uger (n=126). Hyppigheden af bivirkninger er baseret på hændelser relateret til </w:t>
      </w:r>
      <w:proofErr w:type="spellStart"/>
      <w:r>
        <w:rPr>
          <w:sz w:val="24"/>
          <w:szCs w:val="24"/>
        </w:rPr>
        <w:t>Berinert</w:t>
      </w:r>
      <w:proofErr w:type="spellEnd"/>
      <w:r>
        <w:rPr>
          <w:sz w:val="24"/>
          <w:szCs w:val="24"/>
        </w:rPr>
        <w:t>. Den er estimeret på et per-patient-grundlag og kategoriseret som:</w:t>
      </w:r>
    </w:p>
    <w:p w:rsidR="002F5222" w:rsidRPr="00475289" w:rsidRDefault="002F5222" w:rsidP="002F5222">
      <w:pPr>
        <w:ind w:left="851"/>
        <w:rPr>
          <w:sz w:val="24"/>
          <w:szCs w:val="24"/>
        </w:rPr>
      </w:pPr>
    </w:p>
    <w:p w:rsidR="002F5222" w:rsidRPr="00475289" w:rsidRDefault="002F5222" w:rsidP="002F5222">
      <w:pPr>
        <w:ind w:left="851"/>
        <w:rPr>
          <w:sz w:val="24"/>
          <w:szCs w:val="24"/>
        </w:rPr>
      </w:pPr>
      <w:r w:rsidRPr="00475289">
        <w:rPr>
          <w:sz w:val="24"/>
          <w:szCs w:val="24"/>
        </w:rPr>
        <w:t>Meget almindelig</w:t>
      </w:r>
      <w:r w:rsidRPr="00475289">
        <w:rPr>
          <w:sz w:val="24"/>
          <w:szCs w:val="24"/>
        </w:rPr>
        <w:tab/>
        <w:t>(≥1/10)</w:t>
      </w:r>
    </w:p>
    <w:p w:rsidR="002F5222" w:rsidRPr="00475289" w:rsidRDefault="002F5222" w:rsidP="002F5222">
      <w:pPr>
        <w:ind w:left="851"/>
        <w:rPr>
          <w:sz w:val="24"/>
          <w:szCs w:val="24"/>
        </w:rPr>
      </w:pPr>
      <w:r w:rsidRPr="00475289">
        <w:rPr>
          <w:sz w:val="24"/>
          <w:szCs w:val="24"/>
        </w:rPr>
        <w:t>Almindelig</w:t>
      </w:r>
      <w:r w:rsidRPr="00475289">
        <w:rPr>
          <w:sz w:val="24"/>
          <w:szCs w:val="24"/>
        </w:rPr>
        <w:tab/>
        <w:t>(≥1/100 til &lt;1/10)</w:t>
      </w:r>
    </w:p>
    <w:p w:rsidR="002F5222" w:rsidRPr="00475289" w:rsidRDefault="002F5222" w:rsidP="002F5222">
      <w:pPr>
        <w:ind w:left="851"/>
        <w:rPr>
          <w:sz w:val="24"/>
          <w:szCs w:val="24"/>
        </w:rPr>
      </w:pPr>
      <w:r w:rsidRPr="00475289">
        <w:rPr>
          <w:sz w:val="24"/>
          <w:szCs w:val="24"/>
        </w:rPr>
        <w:t>Ikke almindelig</w:t>
      </w:r>
      <w:r w:rsidRPr="00475289">
        <w:rPr>
          <w:sz w:val="24"/>
          <w:szCs w:val="24"/>
        </w:rPr>
        <w:tab/>
        <w:t>(≥1/1.000 til &lt;1/100)</w:t>
      </w:r>
    </w:p>
    <w:p w:rsidR="002F5222" w:rsidRPr="00475289" w:rsidRDefault="002F5222" w:rsidP="002F5222">
      <w:pPr>
        <w:ind w:left="851"/>
        <w:rPr>
          <w:sz w:val="24"/>
          <w:szCs w:val="24"/>
        </w:rPr>
      </w:pPr>
      <w:r w:rsidRPr="00475289">
        <w:rPr>
          <w:sz w:val="24"/>
          <w:szCs w:val="24"/>
        </w:rPr>
        <w:t>Sjælden</w:t>
      </w:r>
      <w:r w:rsidRPr="00475289">
        <w:rPr>
          <w:sz w:val="24"/>
          <w:szCs w:val="24"/>
        </w:rPr>
        <w:tab/>
        <w:t>(≥1/10.000 til &lt;1/1.000)</w:t>
      </w:r>
    </w:p>
    <w:p w:rsidR="002F5222" w:rsidRPr="00475289" w:rsidRDefault="002F5222" w:rsidP="002F5222">
      <w:pPr>
        <w:ind w:left="851"/>
        <w:rPr>
          <w:sz w:val="24"/>
          <w:szCs w:val="24"/>
        </w:rPr>
      </w:pPr>
      <w:r w:rsidRPr="00475289">
        <w:rPr>
          <w:sz w:val="24"/>
          <w:szCs w:val="24"/>
        </w:rPr>
        <w:t>Meget sjælden</w:t>
      </w:r>
      <w:r w:rsidRPr="00475289">
        <w:rPr>
          <w:sz w:val="24"/>
          <w:szCs w:val="24"/>
        </w:rPr>
        <w:tab/>
        <w:t>(&lt;1/10.000)</w:t>
      </w:r>
    </w:p>
    <w:p w:rsidR="002F5222" w:rsidRPr="00475289" w:rsidRDefault="002F5222" w:rsidP="002F5222">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3535"/>
        <w:gridCol w:w="2255"/>
      </w:tblGrid>
      <w:tr w:rsidR="002F5222" w:rsidRPr="004A1003" w:rsidTr="003B4BCE">
        <w:tc>
          <w:tcPr>
            <w:tcW w:w="1993"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Systemorganklasser i henhold til </w:t>
            </w:r>
            <w:proofErr w:type="spellStart"/>
            <w:r w:rsidRPr="004A1003">
              <w:rPr>
                <w:sz w:val="24"/>
                <w:szCs w:val="24"/>
              </w:rPr>
              <w:t>MedDRA</w:t>
            </w:r>
            <w:proofErr w:type="spellEnd"/>
          </w:p>
        </w:tc>
        <w:tc>
          <w:tcPr>
            <w:tcW w:w="1836"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Bivirkning</w:t>
            </w:r>
          </w:p>
        </w:tc>
        <w:tc>
          <w:tcPr>
            <w:tcW w:w="1171"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Hyppighed</w:t>
            </w:r>
          </w:p>
        </w:tc>
      </w:tr>
      <w:tr w:rsidR="002F5222" w:rsidRPr="004A1003" w:rsidTr="003B4BCE">
        <w:tc>
          <w:tcPr>
            <w:tcW w:w="1993"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Infektioner og parasitære sygdomme </w:t>
            </w:r>
          </w:p>
        </w:tc>
        <w:tc>
          <w:tcPr>
            <w:tcW w:w="1836"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proofErr w:type="spellStart"/>
            <w:r w:rsidRPr="004A1003">
              <w:rPr>
                <w:sz w:val="24"/>
                <w:szCs w:val="24"/>
              </w:rPr>
              <w:t>Nasofaryngitis</w:t>
            </w:r>
            <w:proofErr w:type="spellEnd"/>
          </w:p>
        </w:tc>
        <w:tc>
          <w:tcPr>
            <w:tcW w:w="1171"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Meget almindelig</w:t>
            </w:r>
          </w:p>
        </w:tc>
      </w:tr>
      <w:tr w:rsidR="002F5222" w:rsidRPr="004A1003" w:rsidTr="003B4BCE">
        <w:tc>
          <w:tcPr>
            <w:tcW w:w="1993"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Immunsystemet</w:t>
            </w:r>
          </w:p>
        </w:tc>
        <w:tc>
          <w:tcPr>
            <w:tcW w:w="1836"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Overfølsomhed</w:t>
            </w:r>
          </w:p>
          <w:p w:rsidR="002F5222" w:rsidRPr="004A1003" w:rsidRDefault="002F5222" w:rsidP="003B4BCE">
            <w:pPr>
              <w:rPr>
                <w:sz w:val="24"/>
                <w:szCs w:val="24"/>
              </w:rPr>
            </w:pPr>
            <w:r w:rsidRPr="004A1003">
              <w:rPr>
                <w:sz w:val="24"/>
                <w:szCs w:val="24"/>
              </w:rPr>
              <w:t xml:space="preserve">(overfølsomhed, </w:t>
            </w:r>
            <w:proofErr w:type="spellStart"/>
            <w:r w:rsidRPr="004A1003">
              <w:rPr>
                <w:sz w:val="24"/>
                <w:szCs w:val="24"/>
              </w:rPr>
              <w:t>pruritus</w:t>
            </w:r>
            <w:proofErr w:type="spellEnd"/>
            <w:r w:rsidRPr="004A1003">
              <w:rPr>
                <w:sz w:val="24"/>
                <w:szCs w:val="24"/>
              </w:rPr>
              <w:t xml:space="preserve">, udslæt og </w:t>
            </w:r>
            <w:proofErr w:type="spellStart"/>
            <w:r w:rsidRPr="004A1003">
              <w:rPr>
                <w:sz w:val="24"/>
                <w:szCs w:val="24"/>
              </w:rPr>
              <w:t>urticaria</w:t>
            </w:r>
            <w:proofErr w:type="spellEnd"/>
            <w:r w:rsidRPr="004A1003">
              <w:rPr>
                <w:sz w:val="24"/>
                <w:szCs w:val="24"/>
              </w:rPr>
              <w:t>)</w:t>
            </w:r>
          </w:p>
        </w:tc>
        <w:tc>
          <w:tcPr>
            <w:tcW w:w="1171"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Almindelig</w:t>
            </w:r>
          </w:p>
        </w:tc>
      </w:tr>
      <w:tr w:rsidR="002F5222" w:rsidRPr="004A1003" w:rsidTr="003B4BCE">
        <w:tc>
          <w:tcPr>
            <w:tcW w:w="1993"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Nervesystemet</w:t>
            </w:r>
          </w:p>
        </w:tc>
        <w:tc>
          <w:tcPr>
            <w:tcW w:w="1836"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Svimmelhed</w:t>
            </w:r>
          </w:p>
        </w:tc>
        <w:tc>
          <w:tcPr>
            <w:tcW w:w="1171"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Almindelig</w:t>
            </w:r>
          </w:p>
        </w:tc>
      </w:tr>
      <w:tr w:rsidR="002F5222" w:rsidRPr="004A1003" w:rsidTr="003B4BCE">
        <w:tc>
          <w:tcPr>
            <w:tcW w:w="1993"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Almene symptomer og reaktioner på administrationsstedet </w:t>
            </w:r>
          </w:p>
        </w:tc>
        <w:tc>
          <w:tcPr>
            <w:tcW w:w="1836"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Reaktioner på injektionsstedet</w:t>
            </w:r>
            <w:r w:rsidRPr="004A1003">
              <w:rPr>
                <w:sz w:val="24"/>
                <w:szCs w:val="24"/>
                <w:vertAlign w:val="superscript"/>
              </w:rPr>
              <w:t>a</w:t>
            </w:r>
          </w:p>
        </w:tc>
        <w:tc>
          <w:tcPr>
            <w:tcW w:w="1171" w:type="pct"/>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Meget almindelig</w:t>
            </w:r>
          </w:p>
        </w:tc>
      </w:tr>
      <w:tr w:rsidR="002F5222" w:rsidRPr="004A1003" w:rsidTr="003B4BCE">
        <w:tc>
          <w:tcPr>
            <w:tcW w:w="5000" w:type="pct"/>
            <w:gridSpan w:val="3"/>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vertAlign w:val="superscript"/>
              </w:rPr>
              <w:t>a</w:t>
            </w:r>
            <w:r w:rsidRPr="004A1003">
              <w:rPr>
                <w:sz w:val="24"/>
                <w:szCs w:val="24"/>
              </w:rPr>
              <w:t xml:space="preserve"> blå mærker på injektionsstedet, kulde på injektionsstedet, udflåd på injektionsstedet, </w:t>
            </w:r>
            <w:proofErr w:type="spellStart"/>
            <w:r w:rsidRPr="004A1003">
              <w:rPr>
                <w:sz w:val="24"/>
                <w:szCs w:val="24"/>
              </w:rPr>
              <w:t>erytem</w:t>
            </w:r>
            <w:proofErr w:type="spellEnd"/>
            <w:r w:rsidRPr="004A1003">
              <w:rPr>
                <w:sz w:val="24"/>
                <w:szCs w:val="24"/>
              </w:rPr>
              <w:t xml:space="preserve"> på injektionsstedet, </w:t>
            </w:r>
            <w:proofErr w:type="spellStart"/>
            <w:r w:rsidRPr="004A1003">
              <w:rPr>
                <w:sz w:val="24"/>
                <w:szCs w:val="24"/>
              </w:rPr>
              <w:t>hæmatom</w:t>
            </w:r>
            <w:proofErr w:type="spellEnd"/>
            <w:r w:rsidRPr="004A1003">
              <w:rPr>
                <w:sz w:val="24"/>
                <w:szCs w:val="24"/>
              </w:rPr>
              <w:t xml:space="preserve"> på injektionsstedet, </w:t>
            </w:r>
            <w:proofErr w:type="spellStart"/>
            <w:r w:rsidRPr="004A1003">
              <w:rPr>
                <w:sz w:val="24"/>
                <w:szCs w:val="24"/>
              </w:rPr>
              <w:t>hæmoragi</w:t>
            </w:r>
            <w:proofErr w:type="spellEnd"/>
            <w:r w:rsidRPr="004A1003">
              <w:rPr>
                <w:sz w:val="24"/>
                <w:szCs w:val="24"/>
              </w:rPr>
              <w:t xml:space="preserve"> på injektionsstedet, </w:t>
            </w:r>
            <w:proofErr w:type="spellStart"/>
            <w:r w:rsidRPr="004A1003">
              <w:rPr>
                <w:sz w:val="24"/>
                <w:szCs w:val="24"/>
              </w:rPr>
              <w:t>induration</w:t>
            </w:r>
            <w:proofErr w:type="spellEnd"/>
            <w:r w:rsidRPr="004A1003">
              <w:rPr>
                <w:sz w:val="24"/>
                <w:szCs w:val="24"/>
              </w:rPr>
              <w:t xml:space="preserve"> på injektionsstedet, ødem på injektionsstedet, smerte på injektionsstedet, kløe på injektionsstedet, udslæt på injektionsstedet, reaktion på injektionsstedet, ar på injektionsstedet, hævelse på injektionsstedet, </w:t>
            </w:r>
            <w:proofErr w:type="spellStart"/>
            <w:r w:rsidRPr="004A1003">
              <w:rPr>
                <w:sz w:val="24"/>
                <w:szCs w:val="24"/>
              </w:rPr>
              <w:t>urticaria</w:t>
            </w:r>
            <w:proofErr w:type="spellEnd"/>
            <w:r w:rsidRPr="004A1003">
              <w:rPr>
                <w:sz w:val="24"/>
                <w:szCs w:val="24"/>
              </w:rPr>
              <w:t xml:space="preserve"> på injektionsstedet, varme på injektionsstedet.</w:t>
            </w:r>
          </w:p>
        </w:tc>
      </w:tr>
    </w:tbl>
    <w:p w:rsidR="007F4C05" w:rsidRDefault="007F4C05" w:rsidP="007F4C05">
      <w:pPr>
        <w:ind w:left="851" w:hanging="851"/>
        <w:rPr>
          <w:sz w:val="24"/>
          <w:szCs w:val="24"/>
        </w:rPr>
      </w:pPr>
    </w:p>
    <w:p w:rsidR="007F4C05" w:rsidRDefault="007F4C05" w:rsidP="007F4C05">
      <w:pPr>
        <w:pStyle w:val="LAFISPCNormal"/>
        <w:tabs>
          <w:tab w:val="clear" w:pos="567"/>
          <w:tab w:val="left" w:pos="1304"/>
        </w:tabs>
        <w:ind w:left="851"/>
        <w:rPr>
          <w:szCs w:val="24"/>
          <w:u w:val="single"/>
        </w:rPr>
      </w:pPr>
      <w:r>
        <w:rPr>
          <w:szCs w:val="24"/>
          <w:u w:val="single"/>
        </w:rPr>
        <w:t>Pædiatrisk population</w:t>
      </w:r>
    </w:p>
    <w:p w:rsidR="007F4C05" w:rsidRDefault="007F4C05" w:rsidP="007F4C05">
      <w:pPr>
        <w:pStyle w:val="LAFISPCNormal"/>
        <w:tabs>
          <w:tab w:val="clear" w:pos="567"/>
          <w:tab w:val="left" w:pos="1304"/>
        </w:tabs>
        <w:ind w:left="851"/>
        <w:rPr>
          <w:szCs w:val="24"/>
        </w:rPr>
      </w:pPr>
      <w:r>
        <w:rPr>
          <w:szCs w:val="24"/>
        </w:rPr>
        <w:t>Berinerts sikkerhedsprofil blev vurderet i en undergruppe med elleve patienter i alderen 8 til &lt; 17 år i begge studier (studie 3001, studie 3002) og var i overensstemmelse med de overordnede sikkerhedsresultater.</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u w:val="single"/>
        </w:rPr>
      </w:pPr>
      <w:r>
        <w:rPr>
          <w:szCs w:val="24"/>
          <w:u w:val="single"/>
        </w:rPr>
        <w:t>Andre særlige populationer</w:t>
      </w:r>
    </w:p>
    <w:p w:rsidR="007F4C05" w:rsidRDefault="007F4C05" w:rsidP="007F4C05">
      <w:pPr>
        <w:pStyle w:val="LAFISPCNormal"/>
        <w:tabs>
          <w:tab w:val="clear" w:pos="567"/>
          <w:tab w:val="left" w:pos="1304"/>
        </w:tabs>
        <w:ind w:left="851"/>
        <w:rPr>
          <w:szCs w:val="24"/>
          <w:u w:val="single"/>
        </w:rPr>
      </w:pPr>
    </w:p>
    <w:p w:rsidR="007F4C05" w:rsidRDefault="007F4C05" w:rsidP="007F4C05">
      <w:pPr>
        <w:pStyle w:val="LAFISPCNormal"/>
        <w:tabs>
          <w:tab w:val="clear" w:pos="567"/>
          <w:tab w:val="left" w:pos="1304"/>
        </w:tabs>
        <w:ind w:left="851"/>
        <w:rPr>
          <w:szCs w:val="24"/>
          <w:u w:val="single"/>
        </w:rPr>
      </w:pPr>
      <w:r>
        <w:rPr>
          <w:szCs w:val="24"/>
          <w:u w:val="single"/>
        </w:rPr>
        <w:t>Geriatrisk population</w:t>
      </w:r>
    </w:p>
    <w:p w:rsidR="007F4C05" w:rsidRDefault="007F4C05" w:rsidP="007F4C05">
      <w:pPr>
        <w:pStyle w:val="LAFISPCNormal"/>
        <w:tabs>
          <w:tab w:val="clear" w:pos="567"/>
          <w:tab w:val="left" w:pos="1304"/>
        </w:tabs>
        <w:ind w:left="851"/>
        <w:rPr>
          <w:szCs w:val="24"/>
          <w:u w:val="single"/>
        </w:rPr>
      </w:pPr>
      <w:r>
        <w:rPr>
          <w:szCs w:val="24"/>
        </w:rPr>
        <w:t>Berinerts sikkerhedsprofil blev vurderet i en undergruppe med ti patienter i alderen 65 til 72 år i begge studier (studie 3001, studie 3002) og var i overensstemmelse med de overordnede sikkerhedsresultater</w:t>
      </w:r>
    </w:p>
    <w:p w:rsidR="007F4C05" w:rsidRDefault="007F4C05" w:rsidP="007F4C05">
      <w:pPr>
        <w:ind w:left="851"/>
        <w:rPr>
          <w:sz w:val="24"/>
          <w:szCs w:val="24"/>
        </w:rPr>
      </w:pPr>
    </w:p>
    <w:p w:rsidR="007F4C05" w:rsidRDefault="007F4C05" w:rsidP="007F4C05">
      <w:pPr>
        <w:ind w:left="851"/>
        <w:rPr>
          <w:sz w:val="24"/>
          <w:szCs w:val="24"/>
        </w:rPr>
      </w:pPr>
      <w:r>
        <w:rPr>
          <w:sz w:val="24"/>
          <w:szCs w:val="24"/>
        </w:rPr>
        <w:t>Sikkerhed vedrørende overførsel af infektiøse stoffer, se pkt. 4.4.</w:t>
      </w:r>
    </w:p>
    <w:p w:rsidR="007F4C05" w:rsidRDefault="007F4C05" w:rsidP="007F4C05">
      <w:pPr>
        <w:pStyle w:val="LAFISPCNormal"/>
        <w:tabs>
          <w:tab w:val="clear" w:pos="567"/>
          <w:tab w:val="left" w:pos="1304"/>
        </w:tabs>
        <w:ind w:left="851"/>
        <w:rPr>
          <w:szCs w:val="24"/>
        </w:rPr>
      </w:pPr>
    </w:p>
    <w:p w:rsidR="007F4C05" w:rsidRDefault="007F4C05" w:rsidP="007F4C05">
      <w:pPr>
        <w:keepNext/>
        <w:autoSpaceDE w:val="0"/>
        <w:autoSpaceDN w:val="0"/>
        <w:adjustRightInd w:val="0"/>
        <w:ind w:left="851"/>
        <w:rPr>
          <w:sz w:val="24"/>
          <w:szCs w:val="24"/>
          <w:u w:val="single"/>
        </w:rPr>
      </w:pPr>
      <w:r>
        <w:rPr>
          <w:noProof/>
          <w:sz w:val="24"/>
          <w:szCs w:val="24"/>
          <w:u w:val="single"/>
        </w:rPr>
        <w:lastRenderedPageBreak/>
        <w:t>Indberetning af formodede bivirkninger</w:t>
      </w:r>
    </w:p>
    <w:p w:rsidR="007F4C05" w:rsidRDefault="007F4C05" w:rsidP="007F4C05">
      <w:pPr>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2F5222" w:rsidRPr="00475289" w:rsidRDefault="002F5222" w:rsidP="002F5222">
      <w:pPr>
        <w:ind w:left="851"/>
        <w:rPr>
          <w:sz w:val="24"/>
          <w:szCs w:val="24"/>
        </w:rPr>
      </w:pPr>
    </w:p>
    <w:p w:rsidR="002F5222" w:rsidRPr="00475289" w:rsidRDefault="002F5222" w:rsidP="002F5222">
      <w:pPr>
        <w:ind w:left="851"/>
        <w:rPr>
          <w:sz w:val="24"/>
          <w:szCs w:val="24"/>
        </w:rPr>
      </w:pPr>
      <w:r w:rsidRPr="00475289">
        <w:rPr>
          <w:sz w:val="24"/>
          <w:szCs w:val="24"/>
        </w:rPr>
        <w:t>Lægemiddelstyrelsen</w:t>
      </w:r>
    </w:p>
    <w:p w:rsidR="002F5222" w:rsidRPr="00475289" w:rsidRDefault="002F5222" w:rsidP="002F5222">
      <w:pPr>
        <w:ind w:left="851"/>
        <w:rPr>
          <w:sz w:val="24"/>
          <w:szCs w:val="24"/>
        </w:rPr>
      </w:pPr>
      <w:r w:rsidRPr="00475289">
        <w:rPr>
          <w:sz w:val="24"/>
          <w:szCs w:val="24"/>
        </w:rPr>
        <w:t>Axel Heides Gade 1</w:t>
      </w:r>
    </w:p>
    <w:p w:rsidR="002F5222" w:rsidRPr="00475289" w:rsidRDefault="002F5222" w:rsidP="002F5222">
      <w:pPr>
        <w:ind w:left="851"/>
        <w:rPr>
          <w:sz w:val="24"/>
          <w:szCs w:val="24"/>
        </w:rPr>
      </w:pPr>
      <w:r w:rsidRPr="00475289">
        <w:rPr>
          <w:sz w:val="24"/>
          <w:szCs w:val="24"/>
        </w:rPr>
        <w:t>DK-2300 København S</w:t>
      </w:r>
    </w:p>
    <w:p w:rsidR="002F5222" w:rsidRPr="00783629" w:rsidRDefault="002F5222" w:rsidP="002F5222">
      <w:pPr>
        <w:ind w:left="851"/>
        <w:rPr>
          <w:sz w:val="24"/>
          <w:szCs w:val="24"/>
        </w:rPr>
      </w:pPr>
      <w:r w:rsidRPr="00783629">
        <w:rPr>
          <w:sz w:val="24"/>
          <w:szCs w:val="24"/>
        </w:rPr>
        <w:t xml:space="preserve">Websted: </w:t>
      </w:r>
      <w:hyperlink r:id="rId8" w:history="1">
        <w:r w:rsidRPr="00783629">
          <w:rPr>
            <w:rStyle w:val="Hyperlink"/>
            <w:color w:val="0000FF"/>
            <w:sz w:val="24"/>
            <w:szCs w:val="24"/>
          </w:rPr>
          <w:t>www.meldenbivirkning.dk</w:t>
        </w:r>
      </w:hyperlink>
    </w:p>
    <w:p w:rsidR="002F5222" w:rsidRPr="00783629" w:rsidRDefault="002F5222" w:rsidP="002F5222">
      <w:pPr>
        <w:pStyle w:val="Sidehoved"/>
        <w:tabs>
          <w:tab w:val="clear" w:pos="4819"/>
          <w:tab w:val="clear" w:pos="9638"/>
        </w:tabs>
        <w:ind w:left="851" w:hanging="851"/>
        <w:rPr>
          <w:szCs w:val="24"/>
        </w:rPr>
      </w:pPr>
    </w:p>
    <w:p w:rsidR="002F5222" w:rsidRPr="00475289" w:rsidRDefault="002F5222" w:rsidP="002F5222">
      <w:pPr>
        <w:ind w:left="851" w:hanging="851"/>
        <w:rPr>
          <w:b/>
          <w:sz w:val="24"/>
          <w:szCs w:val="24"/>
        </w:rPr>
      </w:pPr>
      <w:r w:rsidRPr="00475289">
        <w:rPr>
          <w:b/>
          <w:sz w:val="24"/>
          <w:szCs w:val="24"/>
        </w:rPr>
        <w:t>4.9</w:t>
      </w:r>
      <w:r w:rsidRPr="00475289">
        <w:rPr>
          <w:b/>
          <w:sz w:val="24"/>
          <w:szCs w:val="24"/>
        </w:rPr>
        <w:tab/>
        <w:t>Overdosering</w:t>
      </w:r>
    </w:p>
    <w:p w:rsidR="002F5222" w:rsidRPr="00475289" w:rsidRDefault="002F5222" w:rsidP="002F5222">
      <w:pPr>
        <w:pStyle w:val="LAFISPCNormal"/>
        <w:tabs>
          <w:tab w:val="clear" w:pos="567"/>
        </w:tabs>
        <w:ind w:left="851"/>
        <w:rPr>
          <w:szCs w:val="24"/>
        </w:rPr>
      </w:pPr>
      <w:r w:rsidRPr="00475289">
        <w:rPr>
          <w:szCs w:val="24"/>
        </w:rPr>
        <w:t xml:space="preserve">Der er ikke rapporteret tilfælde af overdosering. Doser svarende til op til 117 IE/kg </w:t>
      </w:r>
      <w:proofErr w:type="spellStart"/>
      <w:r w:rsidRPr="00475289">
        <w:rPr>
          <w:szCs w:val="24"/>
        </w:rPr>
        <w:t>s.c</w:t>
      </w:r>
      <w:proofErr w:type="spellEnd"/>
      <w:r w:rsidRPr="00475289">
        <w:rPr>
          <w:szCs w:val="24"/>
        </w:rPr>
        <w:t>. er blevet administreret to gange om ugen i et klinisk studie med faste doser og var veltolererede.</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4.10</w:t>
      </w:r>
      <w:r w:rsidRPr="00475289">
        <w:rPr>
          <w:b/>
          <w:sz w:val="24"/>
          <w:szCs w:val="24"/>
        </w:rPr>
        <w:tab/>
        <w:t>Udlevering</w:t>
      </w:r>
    </w:p>
    <w:p w:rsidR="002F5222" w:rsidRPr="00475289" w:rsidRDefault="002F5222" w:rsidP="002F5222">
      <w:pPr>
        <w:ind w:left="851"/>
        <w:rPr>
          <w:sz w:val="24"/>
          <w:szCs w:val="24"/>
        </w:rPr>
      </w:pPr>
      <w:r w:rsidRPr="00475289">
        <w:rPr>
          <w:sz w:val="24"/>
          <w:szCs w:val="24"/>
        </w:rPr>
        <w:t>BEGR - kun til sygehuse</w:t>
      </w:r>
    </w:p>
    <w:p w:rsidR="002F5222" w:rsidRPr="00475289" w:rsidRDefault="002F5222" w:rsidP="002F5222">
      <w:pPr>
        <w:ind w:left="851" w:hanging="851"/>
        <w:rPr>
          <w:sz w:val="24"/>
          <w:szCs w:val="24"/>
        </w:rPr>
      </w:pP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5.</w:t>
      </w:r>
      <w:r w:rsidRPr="00475289">
        <w:rPr>
          <w:b/>
          <w:sz w:val="24"/>
          <w:szCs w:val="24"/>
        </w:rPr>
        <w:tab/>
        <w:t>FARMAKOLOGISKE EGENSKABER</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5.0</w:t>
      </w:r>
      <w:r w:rsidRPr="00475289">
        <w:rPr>
          <w:b/>
          <w:sz w:val="24"/>
          <w:szCs w:val="24"/>
        </w:rPr>
        <w:tab/>
        <w:t>Terapeutisk klassifikation</w:t>
      </w:r>
    </w:p>
    <w:p w:rsidR="002F5222" w:rsidRPr="00475289" w:rsidRDefault="002F5222" w:rsidP="002F5222">
      <w:pPr>
        <w:pStyle w:val="LAFISPCNormal"/>
        <w:tabs>
          <w:tab w:val="clear" w:pos="567"/>
        </w:tabs>
        <w:ind w:left="851"/>
        <w:rPr>
          <w:szCs w:val="24"/>
        </w:rPr>
      </w:pPr>
      <w:r w:rsidRPr="00475289">
        <w:rPr>
          <w:szCs w:val="24"/>
        </w:rPr>
        <w:t>ATC-kode: B</w:t>
      </w:r>
      <w:r>
        <w:rPr>
          <w:szCs w:val="24"/>
        </w:rPr>
        <w:t xml:space="preserve"> </w:t>
      </w:r>
      <w:r w:rsidRPr="00475289">
        <w:rPr>
          <w:szCs w:val="24"/>
        </w:rPr>
        <w:t>06</w:t>
      </w:r>
      <w:r>
        <w:rPr>
          <w:szCs w:val="24"/>
        </w:rPr>
        <w:t xml:space="preserve"> </w:t>
      </w:r>
      <w:r w:rsidRPr="00475289">
        <w:rPr>
          <w:szCs w:val="24"/>
        </w:rPr>
        <w:t>AC</w:t>
      </w:r>
      <w:r>
        <w:rPr>
          <w:szCs w:val="24"/>
        </w:rPr>
        <w:t xml:space="preserve"> </w:t>
      </w:r>
      <w:r w:rsidRPr="00475289">
        <w:rPr>
          <w:szCs w:val="24"/>
        </w:rPr>
        <w:t>01</w:t>
      </w:r>
      <w:r>
        <w:rPr>
          <w:szCs w:val="24"/>
        </w:rPr>
        <w:t xml:space="preserve">. </w:t>
      </w:r>
      <w:r w:rsidRPr="00475289">
        <w:rPr>
          <w:szCs w:val="24"/>
        </w:rPr>
        <w:t>C1-inhibitor, fra plasma.</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5.1</w:t>
      </w:r>
      <w:r w:rsidRPr="00475289">
        <w:rPr>
          <w:b/>
          <w:sz w:val="24"/>
          <w:szCs w:val="24"/>
        </w:rPr>
        <w:tab/>
      </w:r>
      <w:proofErr w:type="spellStart"/>
      <w:r w:rsidRPr="00475289">
        <w:rPr>
          <w:b/>
          <w:sz w:val="24"/>
          <w:szCs w:val="24"/>
        </w:rPr>
        <w:t>Farmakodynamiske</w:t>
      </w:r>
      <w:proofErr w:type="spellEnd"/>
      <w:r w:rsidRPr="00475289">
        <w:rPr>
          <w:b/>
          <w:sz w:val="24"/>
          <w:szCs w:val="24"/>
        </w:rPr>
        <w:t xml:space="preserve"> egenskaber</w:t>
      </w:r>
    </w:p>
    <w:p w:rsidR="007F4C05" w:rsidRDefault="007F4C05" w:rsidP="007F4C05">
      <w:pPr>
        <w:pStyle w:val="LAFISPCNormal"/>
        <w:tabs>
          <w:tab w:val="clear" w:pos="567"/>
          <w:tab w:val="left" w:pos="1304"/>
        </w:tabs>
        <w:ind w:left="851"/>
        <w:rPr>
          <w:szCs w:val="24"/>
        </w:rPr>
      </w:pPr>
      <w:r>
        <w:rPr>
          <w:szCs w:val="24"/>
        </w:rPr>
        <w:t xml:space="preserve">En C1-esteraseinhibitor er et </w:t>
      </w:r>
      <w:proofErr w:type="spellStart"/>
      <w:r>
        <w:rPr>
          <w:szCs w:val="24"/>
        </w:rPr>
        <w:t>plasmaglykoprotein</w:t>
      </w:r>
      <w:proofErr w:type="spellEnd"/>
      <w:r>
        <w:rPr>
          <w:szCs w:val="24"/>
        </w:rPr>
        <w:t xml:space="preserve"> med en </w:t>
      </w:r>
      <w:proofErr w:type="spellStart"/>
      <w:r>
        <w:rPr>
          <w:szCs w:val="24"/>
        </w:rPr>
        <w:t>molekylevægt</w:t>
      </w:r>
      <w:proofErr w:type="spellEnd"/>
      <w:r>
        <w:rPr>
          <w:szCs w:val="24"/>
        </w:rPr>
        <w:t xml:space="preserve"> på 105 </w:t>
      </w:r>
      <w:proofErr w:type="spellStart"/>
      <w:r>
        <w:rPr>
          <w:szCs w:val="24"/>
        </w:rPr>
        <w:t>kD</w:t>
      </w:r>
      <w:proofErr w:type="spellEnd"/>
      <w:r>
        <w:rPr>
          <w:szCs w:val="24"/>
        </w:rPr>
        <w:t xml:space="preserve"> og 40</w:t>
      </w:r>
      <w:r w:rsidR="009C1E48">
        <w:rPr>
          <w:szCs w:val="24"/>
        </w:rPr>
        <w:t> </w:t>
      </w:r>
      <w:r>
        <w:rPr>
          <w:szCs w:val="24"/>
        </w:rPr>
        <w:t xml:space="preserve">% kulhydrat. Koncentrationen i humant plasma ligger i området 240 mg/l. Ud over at forekomme i humant plasma findes C1-esteraseinhibitor også i moderkagen, leverceller, </w:t>
      </w:r>
      <w:proofErr w:type="spellStart"/>
      <w:r>
        <w:rPr>
          <w:szCs w:val="24"/>
        </w:rPr>
        <w:t>monocytter</w:t>
      </w:r>
      <w:proofErr w:type="spellEnd"/>
      <w:r>
        <w:rPr>
          <w:szCs w:val="24"/>
        </w:rPr>
        <w:t xml:space="preserve"> og blodplader.</w:t>
      </w:r>
    </w:p>
    <w:p w:rsidR="007F4C05" w:rsidRDefault="007F4C05" w:rsidP="007F4C05">
      <w:pPr>
        <w:pStyle w:val="LAFISPCNormal"/>
        <w:tabs>
          <w:tab w:val="clear" w:pos="567"/>
          <w:tab w:val="left" w:pos="1304"/>
        </w:tabs>
        <w:ind w:left="851" w:hanging="851"/>
        <w:rPr>
          <w:szCs w:val="24"/>
        </w:rPr>
      </w:pPr>
    </w:p>
    <w:p w:rsidR="007F4C05" w:rsidRDefault="007F4C05" w:rsidP="007F4C05">
      <w:pPr>
        <w:pStyle w:val="LAFISPCNormal"/>
        <w:tabs>
          <w:tab w:val="clear" w:pos="567"/>
          <w:tab w:val="left" w:pos="1304"/>
        </w:tabs>
        <w:ind w:left="851"/>
        <w:rPr>
          <w:szCs w:val="24"/>
        </w:rPr>
      </w:pPr>
      <w:r>
        <w:rPr>
          <w:szCs w:val="24"/>
        </w:rPr>
        <w:t xml:space="preserve">C1-esteraseinhibitor tilhører </w:t>
      </w:r>
      <w:proofErr w:type="spellStart"/>
      <w:r>
        <w:rPr>
          <w:szCs w:val="24"/>
        </w:rPr>
        <w:t>serpingruppen</w:t>
      </w:r>
      <w:proofErr w:type="spellEnd"/>
      <w:r>
        <w:rPr>
          <w:szCs w:val="24"/>
        </w:rPr>
        <w:t xml:space="preserve"> (</w:t>
      </w:r>
      <w:proofErr w:type="spellStart"/>
      <w:r>
        <w:rPr>
          <w:szCs w:val="24"/>
        </w:rPr>
        <w:t>serin-proteasehæmmere</w:t>
      </w:r>
      <w:proofErr w:type="spellEnd"/>
      <w:r>
        <w:rPr>
          <w:szCs w:val="24"/>
        </w:rPr>
        <w:t xml:space="preserve">) i humant plasma i lighed med andre proteiner såsom </w:t>
      </w:r>
      <w:proofErr w:type="spellStart"/>
      <w:r>
        <w:rPr>
          <w:szCs w:val="24"/>
        </w:rPr>
        <w:t>antitrombin</w:t>
      </w:r>
      <w:proofErr w:type="spellEnd"/>
      <w:r>
        <w:rPr>
          <w:szCs w:val="24"/>
        </w:rPr>
        <w:t xml:space="preserve"> III, α-2-antiplasmin, α-1-antitrypsin og andre.</w:t>
      </w:r>
    </w:p>
    <w:p w:rsidR="007F4C05" w:rsidRDefault="007F4C05" w:rsidP="007F4C05">
      <w:pPr>
        <w:pStyle w:val="LAFISPCNormal"/>
        <w:tabs>
          <w:tab w:val="clear" w:pos="567"/>
          <w:tab w:val="left" w:pos="1304"/>
        </w:tabs>
        <w:ind w:left="851" w:hanging="851"/>
        <w:rPr>
          <w:szCs w:val="24"/>
        </w:rPr>
      </w:pPr>
    </w:p>
    <w:p w:rsidR="007F4C05" w:rsidRDefault="007F4C05" w:rsidP="007F4C05">
      <w:pPr>
        <w:pStyle w:val="LAFISPCNormal"/>
        <w:tabs>
          <w:tab w:val="clear" w:pos="567"/>
          <w:tab w:val="left" w:pos="1304"/>
        </w:tabs>
        <w:ind w:left="851"/>
        <w:rPr>
          <w:szCs w:val="24"/>
          <w:u w:val="single"/>
        </w:rPr>
      </w:pPr>
      <w:r>
        <w:rPr>
          <w:szCs w:val="24"/>
          <w:u w:val="single"/>
        </w:rPr>
        <w:t>Virkningsmekanisme</w:t>
      </w:r>
    </w:p>
    <w:p w:rsidR="007F4C05" w:rsidRDefault="007F4C05" w:rsidP="007F4C05">
      <w:pPr>
        <w:pStyle w:val="LAFISPCNormal"/>
        <w:tabs>
          <w:tab w:val="clear" w:pos="567"/>
          <w:tab w:val="left" w:pos="1304"/>
        </w:tabs>
        <w:ind w:left="851"/>
        <w:rPr>
          <w:szCs w:val="24"/>
        </w:rPr>
      </w:pPr>
      <w:r>
        <w:rPr>
          <w:szCs w:val="24"/>
        </w:rPr>
        <w:t xml:space="preserve">Under fysiologiske betingelser blokerer C1-esteraseinhibitoren komplementsystemets sædvanlige mekanisme ved at inaktivere de enzymatiske aktive komponenter C1s og C1r. Det aktive enzym danner et kompleks med inhibitoren i et støkiometrisk forhold på 1:1. </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 xml:space="preserve">Desuden udgør C1-esteraseinhibitoren den vigtigste hæmmer i kontaktaktiveringen af koagulation ved at hæmme faktor </w:t>
      </w:r>
      <w:proofErr w:type="spellStart"/>
      <w:r>
        <w:rPr>
          <w:szCs w:val="24"/>
        </w:rPr>
        <w:t>XIIa</w:t>
      </w:r>
      <w:proofErr w:type="spellEnd"/>
      <w:r>
        <w:rPr>
          <w:szCs w:val="24"/>
        </w:rPr>
        <w:t xml:space="preserve"> og dennes fragmenter. Endvidere fungerer det ligesom α-2-makroglobulin som den væsentligste hæmmer af plasma-</w:t>
      </w:r>
      <w:proofErr w:type="spellStart"/>
      <w:r>
        <w:rPr>
          <w:szCs w:val="24"/>
        </w:rPr>
        <w:t>kallikrein</w:t>
      </w:r>
      <w:proofErr w:type="spellEnd"/>
      <w:r>
        <w:rPr>
          <w:szCs w:val="24"/>
        </w:rPr>
        <w:t>.</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 xml:space="preserve">Den terapeutiske virkning af </w:t>
      </w:r>
      <w:proofErr w:type="spellStart"/>
      <w:r>
        <w:rPr>
          <w:szCs w:val="24"/>
        </w:rPr>
        <w:t>Berinert</w:t>
      </w:r>
      <w:proofErr w:type="spellEnd"/>
      <w:r>
        <w:rPr>
          <w:szCs w:val="24"/>
        </w:rPr>
        <w:t xml:space="preserve"> mod hereditært </w:t>
      </w:r>
      <w:proofErr w:type="spellStart"/>
      <w:r>
        <w:rPr>
          <w:szCs w:val="24"/>
        </w:rPr>
        <w:t>angioødem</w:t>
      </w:r>
      <w:proofErr w:type="spellEnd"/>
      <w:r>
        <w:rPr>
          <w:szCs w:val="24"/>
        </w:rPr>
        <w:t xml:space="preserve"> induceres ved substitution af den manglende C1-esteraseinhibitoraktivitet.</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u w:val="single"/>
        </w:rPr>
      </w:pPr>
      <w:r>
        <w:rPr>
          <w:szCs w:val="24"/>
          <w:u w:val="single"/>
        </w:rPr>
        <w:t>Klinisk virkning og sikkerhed</w:t>
      </w:r>
    </w:p>
    <w:p w:rsidR="007F4C05" w:rsidRDefault="007F4C05" w:rsidP="007F4C05">
      <w:pPr>
        <w:pStyle w:val="LAFISPCNormal"/>
        <w:tabs>
          <w:tab w:val="clear" w:pos="567"/>
          <w:tab w:val="left" w:pos="1304"/>
        </w:tabs>
        <w:ind w:left="851"/>
        <w:rPr>
          <w:szCs w:val="24"/>
        </w:rPr>
      </w:pPr>
      <w:r>
        <w:rPr>
          <w:szCs w:val="24"/>
        </w:rPr>
        <w:t xml:space="preserve">Berinerts virkning og sikkerhed ved rutinemæssig profylakse til forebyggelse af HAE-anfald blev påvist i et randomiseret, dobbeltblindet, placebokontrolleret multicenterstudie med overkrydsningsdesign (studie 3001). I studiet blev 90 voksne og unge forsøgsdeltagere med symptomatisk HAE af type I eller II vurderet. Forsøgsdeltagernes </w:t>
      </w:r>
      <w:r>
        <w:rPr>
          <w:szCs w:val="24"/>
        </w:rPr>
        <w:lastRenderedPageBreak/>
        <w:t xml:space="preserve">medianalder (interval) var 40 (12 til 72) år; 60 forsøgsdeltagere var kvinder, og 30 forsøgsdeltagere var mænd. Forsøgsdeltagerne blev randomiseret til at få enten 60 IE/kg eller 40 IE/kg </w:t>
      </w:r>
      <w:proofErr w:type="spellStart"/>
      <w:r>
        <w:rPr>
          <w:szCs w:val="24"/>
        </w:rPr>
        <w:t>Berinert</w:t>
      </w:r>
      <w:proofErr w:type="spellEnd"/>
      <w:r>
        <w:rPr>
          <w:szCs w:val="24"/>
        </w:rPr>
        <w:t xml:space="preserve"> i den første 16-ugers behandlingsperiode og placebo i den anden 16-ugers behandlingsperiode. Patienterne administrerede selv </w:t>
      </w:r>
      <w:proofErr w:type="spellStart"/>
      <w:r>
        <w:rPr>
          <w:szCs w:val="24"/>
        </w:rPr>
        <w:t>Berinert</w:t>
      </w:r>
      <w:proofErr w:type="spellEnd"/>
      <w:r>
        <w:rPr>
          <w:szCs w:val="24"/>
        </w:rPr>
        <w:t xml:space="preserve"> eller placebo subkutant 2 gange om ugen. Virkningen blev vurderet i de sidste 14 uger af hver behandlingsperiode. Egnede patienter kunne også deltage i et </w:t>
      </w:r>
      <w:proofErr w:type="spellStart"/>
      <w:r>
        <w:rPr>
          <w:szCs w:val="24"/>
        </w:rPr>
        <w:t>ublindet</w:t>
      </w:r>
      <w:proofErr w:type="spellEnd"/>
      <w:r>
        <w:rPr>
          <w:szCs w:val="24"/>
        </w:rPr>
        <w:t xml:space="preserve"> forlængelsesstudie i op til 140 uger (studie 3002). Cirka halvdelen af de forsøgsdeltagere, der blev inkluderet i forlængelsesstudiet, deltog i studie 3001 (64/126; 50,8 %), hvilket bidrog til lighederne mellem studiepopulationerne.</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Studie 3001:</w:t>
      </w:r>
    </w:p>
    <w:p w:rsidR="007F4C05" w:rsidRDefault="007F4C05" w:rsidP="007F4C05">
      <w:pPr>
        <w:pStyle w:val="LAFISPCNormal"/>
        <w:tabs>
          <w:tab w:val="clear" w:pos="567"/>
          <w:tab w:val="left" w:pos="1304"/>
        </w:tabs>
        <w:ind w:left="851"/>
        <w:rPr>
          <w:szCs w:val="24"/>
        </w:rPr>
      </w:pPr>
      <w:r>
        <w:rPr>
          <w:szCs w:val="24"/>
        </w:rPr>
        <w:t xml:space="preserve">To ugentlige subkutane doser på enten 60 IE/kg eller 40 IE/kg </w:t>
      </w:r>
      <w:proofErr w:type="spellStart"/>
      <w:r>
        <w:rPr>
          <w:szCs w:val="24"/>
        </w:rPr>
        <w:t>Berinert</w:t>
      </w:r>
      <w:proofErr w:type="spellEnd"/>
      <w:r>
        <w:rPr>
          <w:szCs w:val="24"/>
        </w:rPr>
        <w:t xml:space="preserve"> resulterede i en signifikant forskel i det tidsnormaliserede antal HAE-anfald (</w:t>
      </w:r>
      <w:proofErr w:type="spellStart"/>
      <w:r>
        <w:rPr>
          <w:szCs w:val="24"/>
        </w:rPr>
        <w:t>anfaldsfrekvensen</w:t>
      </w:r>
      <w:proofErr w:type="spellEnd"/>
      <w:r>
        <w:rPr>
          <w:szCs w:val="24"/>
        </w:rPr>
        <w:t>) i forhold til placebo (tabel 1). Det tidsnormaliserede antal HAE-anfald hos de forsøgsdeltagere, der fik dosen på 60 IE/kg, var 0,52 anfald pr. måned sammenlignet med 4,03 anfald pr. måned, når de fik placebo (p &lt; 0,001). Det tidsnormaliserede antal HAE-anfald hos de forsøgsdeltagere, der fik dosen på 40 IE/kg, var 1,19 anfald pr. måned sammenlignet med 3,61 anfald pr. måned, når de fik placebo (p &lt; 0,001).</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b/>
          <w:bCs/>
          <w:szCs w:val="24"/>
        </w:rPr>
      </w:pPr>
      <w:r>
        <w:rPr>
          <w:b/>
          <w:bCs/>
          <w:szCs w:val="24"/>
        </w:rPr>
        <w:t>Tabel 1. Tidsnormaliseret antal HAE-anfald (antal/måned)</w:t>
      </w:r>
    </w:p>
    <w:tbl>
      <w:tblPr>
        <w:tblW w:w="4550"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613"/>
        <w:gridCol w:w="1482"/>
        <w:gridCol w:w="1613"/>
        <w:gridCol w:w="1206"/>
      </w:tblGrid>
      <w:tr w:rsidR="007F4C05" w:rsidTr="007F4C05">
        <w:trPr>
          <w:cantSplit/>
          <w:tblHeader/>
        </w:trPr>
        <w:tc>
          <w:tcPr>
            <w:tcW w:w="1344" w:type="pct"/>
            <w:vMerge w:val="restart"/>
            <w:tcBorders>
              <w:top w:val="single" w:sz="4" w:space="0" w:color="auto"/>
              <w:left w:val="single" w:sz="4" w:space="0" w:color="auto"/>
              <w:bottom w:val="single" w:sz="4" w:space="0" w:color="auto"/>
              <w:right w:val="single" w:sz="4" w:space="0" w:color="auto"/>
            </w:tcBorders>
            <w:vAlign w:val="bottom"/>
          </w:tcPr>
          <w:p w:rsidR="007F4C05" w:rsidRDefault="007F4C05">
            <w:pPr>
              <w:keepNext/>
              <w:keepLines/>
              <w:spacing w:before="40" w:after="40"/>
            </w:pPr>
          </w:p>
        </w:tc>
        <w:tc>
          <w:tcPr>
            <w:tcW w:w="1907" w:type="pct"/>
            <w:gridSpan w:val="2"/>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left="-38"/>
              <w:jc w:val="center"/>
              <w:rPr>
                <w:b/>
                <w:kern w:val="20"/>
              </w:rPr>
            </w:pPr>
            <w:r>
              <w:rPr>
                <w:b/>
                <w:kern w:val="20"/>
              </w:rPr>
              <w:t xml:space="preserve">60 IE/kg </w:t>
            </w:r>
            <w:r>
              <w:rPr>
                <w:b/>
                <w:kern w:val="20"/>
              </w:rPr>
              <w:br/>
              <w:t>Behandlingssekvenser</w:t>
            </w:r>
            <w:r>
              <w:rPr>
                <w:b/>
                <w:kern w:val="20"/>
              </w:rPr>
              <w:br/>
              <w:t>(N = 45)</w:t>
            </w:r>
          </w:p>
        </w:tc>
        <w:tc>
          <w:tcPr>
            <w:tcW w:w="1749" w:type="pct"/>
            <w:gridSpan w:val="2"/>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left="-38"/>
              <w:jc w:val="center"/>
              <w:rPr>
                <w:b/>
                <w:kern w:val="20"/>
              </w:rPr>
            </w:pPr>
            <w:r>
              <w:rPr>
                <w:b/>
                <w:kern w:val="20"/>
              </w:rPr>
              <w:t xml:space="preserve">40 IE/kg </w:t>
            </w:r>
            <w:r>
              <w:rPr>
                <w:b/>
                <w:kern w:val="20"/>
              </w:rPr>
              <w:br/>
              <w:t>Behandlingssekvenser</w:t>
            </w:r>
            <w:r>
              <w:rPr>
                <w:b/>
                <w:kern w:val="20"/>
              </w:rPr>
              <w:br/>
              <w:t>(N = 45)</w:t>
            </w:r>
          </w:p>
        </w:tc>
      </w:tr>
      <w:tr w:rsidR="007F4C05" w:rsidTr="007F4C05">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F4C05" w:rsidRDefault="007F4C05"/>
        </w:tc>
        <w:tc>
          <w:tcPr>
            <w:tcW w:w="991"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left="104"/>
              <w:rPr>
                <w:b/>
                <w:bCs/>
              </w:rPr>
            </w:pPr>
            <w:r>
              <w:rPr>
                <w:b/>
                <w:bCs/>
              </w:rPr>
              <w:t>PRODUKT</w:t>
            </w:r>
          </w:p>
        </w:tc>
        <w:tc>
          <w:tcPr>
            <w:tcW w:w="916"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left="86"/>
              <w:jc w:val="center"/>
              <w:rPr>
                <w:b/>
                <w:bCs/>
              </w:rPr>
            </w:pPr>
            <w:r>
              <w:rPr>
                <w:b/>
                <w:bCs/>
              </w:rPr>
              <w:t>Placebo</w:t>
            </w:r>
          </w:p>
        </w:tc>
        <w:tc>
          <w:tcPr>
            <w:tcW w:w="991"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jc w:val="center"/>
              <w:rPr>
                <w:b/>
                <w:bCs/>
              </w:rPr>
            </w:pPr>
            <w:r>
              <w:rPr>
                <w:b/>
                <w:bCs/>
              </w:rPr>
              <w:t xml:space="preserve">PRODUKT </w:t>
            </w:r>
          </w:p>
        </w:tc>
        <w:tc>
          <w:tcPr>
            <w:tcW w:w="758"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left="99"/>
              <w:jc w:val="center"/>
              <w:rPr>
                <w:b/>
                <w:bCs/>
              </w:rPr>
            </w:pPr>
            <w:r>
              <w:rPr>
                <w:b/>
                <w:bCs/>
              </w:rPr>
              <w:t>Placebo</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kern w:val="24"/>
              </w:rPr>
            </w:pPr>
            <w:r>
              <w:rPr>
                <w:kern w:val="24"/>
              </w:rPr>
              <w:t>n</w:t>
            </w:r>
          </w:p>
        </w:tc>
        <w:tc>
          <w:tcPr>
            <w:tcW w:w="991"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104"/>
              <w:jc w:val="center"/>
              <w:rPr>
                <w:kern w:val="24"/>
                <w:lang w:eastAsia="en-AU"/>
              </w:rPr>
            </w:pPr>
            <w:r>
              <w:rPr>
                <w:kern w:val="24"/>
                <w:lang w:eastAsia="en-AU"/>
              </w:rPr>
              <w:t>43</w:t>
            </w:r>
          </w:p>
        </w:tc>
        <w:tc>
          <w:tcPr>
            <w:tcW w:w="916"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86"/>
              <w:jc w:val="center"/>
              <w:rPr>
                <w:kern w:val="24"/>
                <w:lang w:eastAsia="en-AU"/>
              </w:rPr>
            </w:pPr>
            <w:r>
              <w:rPr>
                <w:kern w:val="24"/>
                <w:lang w:eastAsia="en-AU"/>
              </w:rPr>
              <w:t>42</w:t>
            </w:r>
          </w:p>
        </w:tc>
        <w:tc>
          <w:tcPr>
            <w:tcW w:w="991"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jc w:val="center"/>
              <w:rPr>
                <w:kern w:val="24"/>
                <w:lang w:eastAsia="en-AU"/>
              </w:rPr>
            </w:pPr>
            <w:r>
              <w:rPr>
                <w:kern w:val="24"/>
                <w:lang w:eastAsia="en-AU"/>
              </w:rPr>
              <w:t>43</w:t>
            </w:r>
          </w:p>
        </w:tc>
        <w:tc>
          <w:tcPr>
            <w:tcW w:w="758"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99"/>
              <w:jc w:val="center"/>
              <w:rPr>
                <w:kern w:val="24"/>
                <w:lang w:eastAsia="en-AU"/>
              </w:rPr>
            </w:pPr>
            <w:r>
              <w:rPr>
                <w:kern w:val="24"/>
                <w:lang w:eastAsia="en-AU"/>
              </w:rPr>
              <w:t>44</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kern w:val="24"/>
              </w:rPr>
            </w:pPr>
            <w:r>
              <w:rPr>
                <w:kern w:val="24"/>
              </w:rPr>
              <w:t>Gennemsnit (SD)</w:t>
            </w:r>
          </w:p>
        </w:tc>
        <w:tc>
          <w:tcPr>
            <w:tcW w:w="991"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104" w:right="-108"/>
              <w:jc w:val="center"/>
              <w:rPr>
                <w:kern w:val="24"/>
              </w:rPr>
            </w:pPr>
            <w:r>
              <w:rPr>
                <w:kern w:val="24"/>
              </w:rPr>
              <w:t>0,5 (0,8)</w:t>
            </w:r>
          </w:p>
        </w:tc>
        <w:tc>
          <w:tcPr>
            <w:tcW w:w="916"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86" w:right="-108"/>
              <w:jc w:val="center"/>
              <w:rPr>
                <w:kern w:val="24"/>
              </w:rPr>
            </w:pPr>
            <w:r>
              <w:rPr>
                <w:kern w:val="24"/>
              </w:rPr>
              <w:t>4,0 (2,3)</w:t>
            </w:r>
          </w:p>
        </w:tc>
        <w:tc>
          <w:tcPr>
            <w:tcW w:w="991"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right="-108"/>
              <w:jc w:val="center"/>
              <w:rPr>
                <w:kern w:val="24"/>
              </w:rPr>
            </w:pPr>
            <w:r>
              <w:rPr>
                <w:kern w:val="24"/>
              </w:rPr>
              <w:t>1,2 (2,3)</w:t>
            </w:r>
          </w:p>
        </w:tc>
        <w:tc>
          <w:tcPr>
            <w:tcW w:w="758"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99" w:right="-108"/>
              <w:jc w:val="center"/>
              <w:rPr>
                <w:kern w:val="24"/>
              </w:rPr>
            </w:pPr>
            <w:r>
              <w:rPr>
                <w:kern w:val="24"/>
              </w:rPr>
              <w:t>3,6 (2,1)</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kern w:val="24"/>
              </w:rPr>
            </w:pPr>
            <w:r>
              <w:rPr>
                <w:kern w:val="24"/>
              </w:rPr>
              <w:t>Min; maks.</w:t>
            </w:r>
          </w:p>
        </w:tc>
        <w:tc>
          <w:tcPr>
            <w:tcW w:w="991"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104"/>
              <w:jc w:val="center"/>
              <w:rPr>
                <w:kern w:val="24"/>
              </w:rPr>
            </w:pPr>
            <w:r>
              <w:rPr>
                <w:kern w:val="24"/>
              </w:rPr>
              <w:t>0,0; 3,1</w:t>
            </w:r>
          </w:p>
        </w:tc>
        <w:tc>
          <w:tcPr>
            <w:tcW w:w="916"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86"/>
              <w:jc w:val="center"/>
              <w:rPr>
                <w:kern w:val="24"/>
              </w:rPr>
            </w:pPr>
            <w:r>
              <w:rPr>
                <w:kern w:val="24"/>
              </w:rPr>
              <w:t>0,6; 11,3</w:t>
            </w:r>
          </w:p>
        </w:tc>
        <w:tc>
          <w:tcPr>
            <w:tcW w:w="991"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jc w:val="center"/>
              <w:rPr>
                <w:kern w:val="24"/>
              </w:rPr>
            </w:pPr>
            <w:r>
              <w:rPr>
                <w:kern w:val="24"/>
              </w:rPr>
              <w:t>0,0; 12,5</w:t>
            </w:r>
          </w:p>
        </w:tc>
        <w:tc>
          <w:tcPr>
            <w:tcW w:w="758"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99"/>
              <w:jc w:val="center"/>
              <w:rPr>
                <w:kern w:val="24"/>
              </w:rPr>
            </w:pPr>
            <w:r>
              <w:rPr>
                <w:kern w:val="24"/>
              </w:rPr>
              <w:t>0,0; 8,9</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kern w:val="24"/>
              </w:rPr>
            </w:pPr>
            <w:r>
              <w:rPr>
                <w:kern w:val="24"/>
              </w:rPr>
              <w:t>Median</w:t>
            </w:r>
          </w:p>
        </w:tc>
        <w:tc>
          <w:tcPr>
            <w:tcW w:w="991"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104"/>
              <w:jc w:val="center"/>
              <w:rPr>
                <w:kern w:val="24"/>
              </w:rPr>
            </w:pPr>
            <w:r>
              <w:rPr>
                <w:kern w:val="24"/>
              </w:rPr>
              <w:t>0,3</w:t>
            </w:r>
          </w:p>
        </w:tc>
        <w:tc>
          <w:tcPr>
            <w:tcW w:w="916"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86"/>
              <w:jc w:val="center"/>
              <w:rPr>
                <w:kern w:val="24"/>
              </w:rPr>
            </w:pPr>
            <w:r>
              <w:rPr>
                <w:kern w:val="24"/>
              </w:rPr>
              <w:t>3,8</w:t>
            </w:r>
          </w:p>
        </w:tc>
        <w:tc>
          <w:tcPr>
            <w:tcW w:w="991"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jc w:val="center"/>
              <w:rPr>
                <w:kern w:val="24"/>
              </w:rPr>
            </w:pPr>
            <w:r>
              <w:rPr>
                <w:kern w:val="24"/>
              </w:rPr>
              <w:t>0,3</w:t>
            </w:r>
          </w:p>
        </w:tc>
        <w:tc>
          <w:tcPr>
            <w:tcW w:w="758"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99"/>
              <w:jc w:val="center"/>
              <w:rPr>
                <w:kern w:val="24"/>
              </w:rPr>
            </w:pPr>
            <w:r>
              <w:rPr>
                <w:kern w:val="24"/>
              </w:rPr>
              <w:t>3,8</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kern w:val="24"/>
              </w:rPr>
            </w:pPr>
            <w:r>
              <w:rPr>
                <w:kern w:val="24"/>
              </w:rPr>
              <w:t>LS-gennemsnit (SE)</w:t>
            </w:r>
            <w:r>
              <w:rPr>
                <w:kern w:val="24"/>
                <w:vertAlign w:val="superscript"/>
              </w:rPr>
              <w:t>*</w:t>
            </w:r>
          </w:p>
        </w:tc>
        <w:tc>
          <w:tcPr>
            <w:tcW w:w="991"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104" w:right="-108"/>
              <w:jc w:val="center"/>
              <w:rPr>
                <w:kern w:val="24"/>
              </w:rPr>
            </w:pPr>
            <w:r>
              <w:rPr>
                <w:kern w:val="24"/>
              </w:rPr>
              <w:t>0,5 (0,3)</w:t>
            </w:r>
          </w:p>
        </w:tc>
        <w:tc>
          <w:tcPr>
            <w:tcW w:w="916"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86" w:right="-108"/>
              <w:jc w:val="center"/>
              <w:rPr>
                <w:kern w:val="24"/>
              </w:rPr>
            </w:pPr>
            <w:r>
              <w:rPr>
                <w:kern w:val="24"/>
              </w:rPr>
              <w:t>4,0 (0,3)</w:t>
            </w:r>
          </w:p>
        </w:tc>
        <w:tc>
          <w:tcPr>
            <w:tcW w:w="991"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right="-108"/>
              <w:jc w:val="center"/>
              <w:rPr>
                <w:kern w:val="24"/>
              </w:rPr>
            </w:pPr>
            <w:r>
              <w:rPr>
                <w:kern w:val="24"/>
              </w:rPr>
              <w:t>1,2 (0,3)</w:t>
            </w:r>
          </w:p>
        </w:tc>
        <w:tc>
          <w:tcPr>
            <w:tcW w:w="758"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99" w:right="-108"/>
              <w:jc w:val="center"/>
              <w:rPr>
                <w:kern w:val="24"/>
              </w:rPr>
            </w:pPr>
            <w:r>
              <w:rPr>
                <w:kern w:val="24"/>
              </w:rPr>
              <w:t>3,6 (0,3)</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kern w:val="24"/>
              </w:rPr>
            </w:pPr>
            <w:r>
              <w:rPr>
                <w:kern w:val="24"/>
              </w:rPr>
              <w:t>95 % CI for LS-gennemsnit</w:t>
            </w:r>
            <w:r>
              <w:rPr>
                <w:kern w:val="24"/>
                <w:vertAlign w:val="superscript"/>
              </w:rPr>
              <w:t>*</w:t>
            </w:r>
          </w:p>
        </w:tc>
        <w:tc>
          <w:tcPr>
            <w:tcW w:w="991"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104" w:right="-108"/>
              <w:jc w:val="center"/>
              <w:rPr>
                <w:kern w:val="24"/>
              </w:rPr>
            </w:pPr>
            <w:r>
              <w:rPr>
                <w:kern w:val="24"/>
              </w:rPr>
              <w:t>(0,0; 1,0)</w:t>
            </w:r>
          </w:p>
        </w:tc>
        <w:tc>
          <w:tcPr>
            <w:tcW w:w="916"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86" w:right="-108"/>
              <w:jc w:val="center"/>
              <w:rPr>
                <w:kern w:val="24"/>
              </w:rPr>
            </w:pPr>
            <w:r>
              <w:rPr>
                <w:kern w:val="24"/>
              </w:rPr>
              <w:t>(3,5; 4,6)</w:t>
            </w:r>
          </w:p>
        </w:tc>
        <w:tc>
          <w:tcPr>
            <w:tcW w:w="991" w:type="pct"/>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right="-108"/>
              <w:jc w:val="center"/>
              <w:rPr>
                <w:kern w:val="24"/>
              </w:rPr>
            </w:pPr>
            <w:r>
              <w:rPr>
                <w:kern w:val="24"/>
              </w:rPr>
              <w:t>(0,5; 1,9)</w:t>
            </w:r>
          </w:p>
        </w:tc>
        <w:tc>
          <w:tcPr>
            <w:tcW w:w="758" w:type="pct"/>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99" w:right="-108"/>
              <w:jc w:val="center"/>
              <w:rPr>
                <w:kern w:val="24"/>
              </w:rPr>
            </w:pPr>
            <w:r>
              <w:rPr>
                <w:kern w:val="24"/>
              </w:rPr>
              <w:t>(3; 4,3)</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b/>
                <w:kern w:val="24"/>
              </w:rPr>
            </w:pPr>
            <w:r>
              <w:rPr>
                <w:b/>
                <w:kern w:val="24"/>
              </w:rPr>
              <w:t>Behandlingsforskel</w:t>
            </w:r>
            <w:r>
              <w:rPr>
                <w:b/>
                <w:kern w:val="24"/>
              </w:rPr>
              <w:br/>
              <w:t>(intraindividuel)</w:t>
            </w:r>
          </w:p>
        </w:tc>
        <w:tc>
          <w:tcPr>
            <w:tcW w:w="1907" w:type="pct"/>
            <w:gridSpan w:val="2"/>
            <w:tcBorders>
              <w:top w:val="single" w:sz="4" w:space="0" w:color="auto"/>
              <w:left w:val="single" w:sz="4" w:space="0" w:color="auto"/>
              <w:bottom w:val="single" w:sz="4" w:space="0" w:color="auto"/>
              <w:right w:val="single" w:sz="4" w:space="0" w:color="auto"/>
            </w:tcBorders>
            <w:noWrap/>
            <w:vAlign w:val="bottom"/>
            <w:hideMark/>
          </w:tcPr>
          <w:p w:rsidR="007F4C05" w:rsidRDefault="007F4C05">
            <w:pPr>
              <w:keepNext/>
              <w:keepLines/>
              <w:widowControl w:val="0"/>
              <w:tabs>
                <w:tab w:val="left" w:pos="205"/>
              </w:tabs>
              <w:spacing w:before="40" w:after="40"/>
              <w:ind w:left="-38"/>
              <w:jc w:val="center"/>
              <w:rPr>
                <w:b/>
                <w:kern w:val="24"/>
              </w:rPr>
            </w:pPr>
            <w:r>
              <w:rPr>
                <w:b/>
                <w:bCs/>
                <w:kern w:val="24"/>
              </w:rPr>
              <w:t>60 IE/kg – Placebo</w:t>
            </w:r>
          </w:p>
        </w:tc>
        <w:tc>
          <w:tcPr>
            <w:tcW w:w="1749" w:type="pct"/>
            <w:gridSpan w:val="2"/>
            <w:tcBorders>
              <w:top w:val="single" w:sz="4" w:space="0" w:color="auto"/>
              <w:left w:val="single" w:sz="4" w:space="0" w:color="auto"/>
              <w:bottom w:val="single" w:sz="4" w:space="0" w:color="auto"/>
              <w:right w:val="single" w:sz="4" w:space="0" w:color="auto"/>
            </w:tcBorders>
            <w:vAlign w:val="bottom"/>
            <w:hideMark/>
          </w:tcPr>
          <w:p w:rsidR="007F4C05" w:rsidRDefault="007F4C05">
            <w:pPr>
              <w:keepNext/>
              <w:keepLines/>
              <w:widowControl w:val="0"/>
              <w:tabs>
                <w:tab w:val="left" w:pos="205"/>
              </w:tabs>
              <w:spacing w:before="40" w:after="40"/>
              <w:ind w:left="-38"/>
              <w:jc w:val="center"/>
              <w:rPr>
                <w:b/>
                <w:kern w:val="24"/>
              </w:rPr>
            </w:pPr>
            <w:r>
              <w:rPr>
                <w:b/>
                <w:kern w:val="24"/>
              </w:rPr>
              <w:t xml:space="preserve">40 IE/kg </w:t>
            </w:r>
            <w:r>
              <w:rPr>
                <w:b/>
                <w:bCs/>
                <w:kern w:val="24"/>
              </w:rPr>
              <w:t>– Placebo</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kern w:val="24"/>
              </w:rPr>
            </w:pPr>
            <w:r>
              <w:rPr>
                <w:kern w:val="24"/>
              </w:rPr>
              <w:t>LS-gennemsnit</w:t>
            </w:r>
            <w:r>
              <w:rPr>
                <w:kern w:val="24"/>
                <w:vertAlign w:val="superscript"/>
              </w:rPr>
              <w:t xml:space="preserve">* </w:t>
            </w:r>
            <w:r>
              <w:rPr>
                <w:kern w:val="24"/>
              </w:rPr>
              <w:t>(95% CI)</w:t>
            </w:r>
          </w:p>
        </w:tc>
        <w:tc>
          <w:tcPr>
            <w:tcW w:w="1907" w:type="pct"/>
            <w:gridSpan w:val="2"/>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tabs>
                <w:tab w:val="left" w:pos="205"/>
              </w:tabs>
              <w:spacing w:before="40" w:after="40"/>
              <w:ind w:left="-38"/>
              <w:jc w:val="center"/>
              <w:rPr>
                <w:kern w:val="24"/>
              </w:rPr>
            </w:pPr>
            <w:r>
              <w:rPr>
                <w:kern w:val="24"/>
              </w:rPr>
              <w:noBreakHyphen/>
              <w:t>3,5 (</w:t>
            </w:r>
            <w:r>
              <w:rPr>
                <w:kern w:val="24"/>
              </w:rPr>
              <w:noBreakHyphen/>
              <w:t xml:space="preserve">4,2; </w:t>
            </w:r>
            <w:r>
              <w:rPr>
                <w:kern w:val="24"/>
              </w:rPr>
              <w:noBreakHyphen/>
              <w:t>2,8)</w:t>
            </w:r>
          </w:p>
        </w:tc>
        <w:tc>
          <w:tcPr>
            <w:tcW w:w="1749" w:type="pct"/>
            <w:gridSpan w:val="2"/>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tabs>
                <w:tab w:val="left" w:pos="205"/>
              </w:tabs>
              <w:spacing w:before="40" w:after="40"/>
              <w:ind w:left="-38"/>
              <w:jc w:val="center"/>
              <w:rPr>
                <w:kern w:val="24"/>
              </w:rPr>
            </w:pPr>
            <w:r>
              <w:rPr>
                <w:kern w:val="24"/>
              </w:rPr>
              <w:noBreakHyphen/>
              <w:t>2,4 (</w:t>
            </w:r>
            <w:r>
              <w:rPr>
                <w:kern w:val="24"/>
              </w:rPr>
              <w:noBreakHyphen/>
              <w:t xml:space="preserve">3,4; </w:t>
            </w:r>
            <w:r>
              <w:rPr>
                <w:kern w:val="24"/>
              </w:rPr>
              <w:noBreakHyphen/>
              <w:t>1,5)</w:t>
            </w:r>
          </w:p>
        </w:tc>
      </w:tr>
      <w:tr w:rsidR="007F4C05" w:rsidTr="007F4C05">
        <w:trPr>
          <w:cantSplit/>
          <w:tblHeader/>
        </w:trPr>
        <w:tc>
          <w:tcPr>
            <w:tcW w:w="1344" w:type="pct"/>
            <w:tcBorders>
              <w:top w:val="single" w:sz="4" w:space="0" w:color="auto"/>
              <w:left w:val="single" w:sz="4" w:space="0" w:color="auto"/>
              <w:bottom w:val="single" w:sz="4" w:space="0" w:color="auto"/>
              <w:right w:val="single" w:sz="4" w:space="0" w:color="auto"/>
            </w:tcBorders>
            <w:noWrap/>
            <w:hideMark/>
          </w:tcPr>
          <w:p w:rsidR="007F4C05" w:rsidRDefault="007F4C05">
            <w:pPr>
              <w:keepNext/>
              <w:keepLines/>
              <w:spacing w:before="40" w:after="40"/>
              <w:rPr>
                <w:kern w:val="24"/>
              </w:rPr>
            </w:pPr>
            <w:proofErr w:type="spellStart"/>
            <w:r>
              <w:rPr>
                <w:kern w:val="24"/>
              </w:rPr>
              <w:t>p</w:t>
            </w:r>
            <w:r>
              <w:rPr>
                <w:kern w:val="24"/>
              </w:rPr>
              <w:noBreakHyphen/>
              <w:t>værdi</w:t>
            </w:r>
            <w:proofErr w:type="spellEnd"/>
            <w:r>
              <w:rPr>
                <w:kern w:val="24"/>
                <w:vertAlign w:val="superscript"/>
              </w:rPr>
              <w:t>*</w:t>
            </w:r>
          </w:p>
        </w:tc>
        <w:tc>
          <w:tcPr>
            <w:tcW w:w="1907" w:type="pct"/>
            <w:gridSpan w:val="2"/>
            <w:tcBorders>
              <w:top w:val="single" w:sz="4" w:space="0" w:color="auto"/>
              <w:left w:val="single" w:sz="4" w:space="0" w:color="auto"/>
              <w:bottom w:val="single" w:sz="4" w:space="0" w:color="auto"/>
              <w:right w:val="single" w:sz="4" w:space="0" w:color="auto"/>
            </w:tcBorders>
            <w:noWrap/>
            <w:vAlign w:val="center"/>
            <w:hideMark/>
          </w:tcPr>
          <w:p w:rsidR="007F4C05" w:rsidRDefault="007F4C05">
            <w:pPr>
              <w:keepNext/>
              <w:keepLines/>
              <w:widowControl w:val="0"/>
              <w:spacing w:before="40" w:after="40"/>
              <w:ind w:left="-38" w:right="-108"/>
              <w:jc w:val="center"/>
              <w:rPr>
                <w:kern w:val="24"/>
              </w:rPr>
            </w:pPr>
            <w:r>
              <w:rPr>
                <w:kern w:val="24"/>
              </w:rPr>
              <w:t>&lt; 0,001</w:t>
            </w:r>
          </w:p>
        </w:tc>
        <w:tc>
          <w:tcPr>
            <w:tcW w:w="1749" w:type="pct"/>
            <w:gridSpan w:val="2"/>
            <w:tcBorders>
              <w:top w:val="single" w:sz="4" w:space="0" w:color="auto"/>
              <w:left w:val="single" w:sz="4" w:space="0" w:color="auto"/>
              <w:bottom w:val="single" w:sz="4" w:space="0" w:color="auto"/>
              <w:right w:val="single" w:sz="4" w:space="0" w:color="auto"/>
            </w:tcBorders>
            <w:vAlign w:val="center"/>
            <w:hideMark/>
          </w:tcPr>
          <w:p w:rsidR="007F4C05" w:rsidRDefault="007F4C05">
            <w:pPr>
              <w:keepNext/>
              <w:keepLines/>
              <w:widowControl w:val="0"/>
              <w:spacing w:before="40" w:after="40"/>
              <w:ind w:left="-38" w:right="-108"/>
              <w:jc w:val="center"/>
              <w:rPr>
                <w:kern w:val="24"/>
              </w:rPr>
            </w:pPr>
            <w:r>
              <w:rPr>
                <w:kern w:val="24"/>
              </w:rPr>
              <w:t>&lt; 0,001</w:t>
            </w:r>
          </w:p>
        </w:tc>
      </w:tr>
    </w:tbl>
    <w:p w:rsidR="007F4C05" w:rsidRDefault="007F4C05" w:rsidP="007F4C05">
      <w:pPr>
        <w:keepNext/>
        <w:keepLines/>
        <w:spacing w:before="120"/>
        <w:ind w:left="851"/>
        <w:rPr>
          <w:kern w:val="20"/>
          <w:sz w:val="18"/>
          <w:szCs w:val="18"/>
        </w:rPr>
      </w:pPr>
      <w:r>
        <w:rPr>
          <w:sz w:val="18"/>
          <w:szCs w:val="18"/>
        </w:rPr>
        <w:t xml:space="preserve">CI = konfidensinterval; HAE = hereditært </w:t>
      </w:r>
      <w:proofErr w:type="spellStart"/>
      <w:r>
        <w:rPr>
          <w:sz w:val="18"/>
          <w:szCs w:val="18"/>
        </w:rPr>
        <w:t>angioødem</w:t>
      </w:r>
      <w:proofErr w:type="spellEnd"/>
      <w:r>
        <w:rPr>
          <w:sz w:val="18"/>
          <w:szCs w:val="18"/>
        </w:rPr>
        <w:t xml:space="preserve">; N = antal randomiserede patienter; </w:t>
      </w:r>
      <w:r>
        <w:rPr>
          <w:kern w:val="20"/>
          <w:sz w:val="18"/>
          <w:szCs w:val="18"/>
        </w:rPr>
        <w:t>n = antal forsøgsdeltagere med data; LS = </w:t>
      </w:r>
      <w:r>
        <w:rPr>
          <w:bCs/>
          <w:kern w:val="20"/>
          <w:sz w:val="18"/>
          <w:szCs w:val="18"/>
        </w:rPr>
        <w:t>Mindste kvadraters metode</w:t>
      </w:r>
      <w:r>
        <w:rPr>
          <w:kern w:val="20"/>
          <w:sz w:val="18"/>
          <w:szCs w:val="18"/>
        </w:rPr>
        <w:t>.</w:t>
      </w:r>
    </w:p>
    <w:p w:rsidR="007F4C05" w:rsidRDefault="007F4C05" w:rsidP="007F4C05">
      <w:pPr>
        <w:keepNext/>
        <w:keepLines/>
        <w:ind w:left="851"/>
        <w:rPr>
          <w:kern w:val="20"/>
          <w:sz w:val="18"/>
          <w:szCs w:val="18"/>
        </w:rPr>
      </w:pPr>
      <w:r>
        <w:rPr>
          <w:kern w:val="20"/>
          <w:sz w:val="18"/>
          <w:szCs w:val="18"/>
          <w:vertAlign w:val="superscript"/>
        </w:rPr>
        <w:t>*</w:t>
      </w:r>
      <w:r>
        <w:rPr>
          <w:kern w:val="20"/>
          <w:sz w:val="18"/>
          <w:szCs w:val="18"/>
        </w:rPr>
        <w:t xml:space="preserve"> Fra en blandet model.</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 xml:space="preserve">Den </w:t>
      </w:r>
      <w:proofErr w:type="spellStart"/>
      <w:r>
        <w:rPr>
          <w:szCs w:val="24"/>
        </w:rPr>
        <w:t>mediane</w:t>
      </w:r>
      <w:proofErr w:type="spellEnd"/>
      <w:r>
        <w:rPr>
          <w:szCs w:val="24"/>
        </w:rPr>
        <w:t xml:space="preserve"> (25. </w:t>
      </w:r>
      <w:proofErr w:type="spellStart"/>
      <w:r>
        <w:rPr>
          <w:szCs w:val="24"/>
        </w:rPr>
        <w:t>percentil</w:t>
      </w:r>
      <w:proofErr w:type="spellEnd"/>
      <w:r>
        <w:rPr>
          <w:szCs w:val="24"/>
        </w:rPr>
        <w:t xml:space="preserve">; 75. </w:t>
      </w:r>
      <w:proofErr w:type="spellStart"/>
      <w:r>
        <w:rPr>
          <w:szCs w:val="24"/>
        </w:rPr>
        <w:t>percentil</w:t>
      </w:r>
      <w:proofErr w:type="spellEnd"/>
      <w:r>
        <w:rPr>
          <w:szCs w:val="24"/>
        </w:rPr>
        <w:t xml:space="preserve">) procentvise reduktion i det tidsnormaliserede antal HAE-anfald i forhold til placebo var 95 % (79; 100) med 60 IE/kg </w:t>
      </w:r>
      <w:proofErr w:type="spellStart"/>
      <w:r>
        <w:rPr>
          <w:szCs w:val="24"/>
        </w:rPr>
        <w:t>Berinert</w:t>
      </w:r>
      <w:proofErr w:type="spellEnd"/>
      <w:r>
        <w:rPr>
          <w:szCs w:val="24"/>
        </w:rPr>
        <w:t xml:space="preserve"> og 89 % (70; 100) med 40 IE/kg </w:t>
      </w:r>
      <w:proofErr w:type="spellStart"/>
      <w:r>
        <w:rPr>
          <w:szCs w:val="24"/>
        </w:rPr>
        <w:t>Berinert</w:t>
      </w:r>
      <w:proofErr w:type="spellEnd"/>
      <w:r>
        <w:rPr>
          <w:szCs w:val="24"/>
        </w:rPr>
        <w:t xml:space="preserve"> hos forsøgsdeltagere med </w:t>
      </w:r>
      <w:proofErr w:type="spellStart"/>
      <w:r>
        <w:rPr>
          <w:szCs w:val="24"/>
        </w:rPr>
        <w:t>evaluerbare</w:t>
      </w:r>
      <w:proofErr w:type="spellEnd"/>
      <w:r>
        <w:rPr>
          <w:szCs w:val="24"/>
        </w:rPr>
        <w:t xml:space="preserve"> data i begge behandlingsperioder.</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 xml:space="preserve">Procentdelen af respondenter (95 % CI) med en reduktion på ≥ 50 % i det tidsnormaliserede antal HAE-anfald med </w:t>
      </w:r>
      <w:proofErr w:type="spellStart"/>
      <w:r>
        <w:rPr>
          <w:szCs w:val="24"/>
        </w:rPr>
        <w:t>Berinert</w:t>
      </w:r>
      <w:proofErr w:type="spellEnd"/>
      <w:r>
        <w:rPr>
          <w:szCs w:val="24"/>
        </w:rPr>
        <w:t xml:space="preserve"> i forhold til placebo var 83 % (73 %; 90 %). Halvfems procent (90 %) af de forsøgsdeltagere, der fik 60 IE/kg, responderede på behandlingen, og 76 % af de forsøgsdeltagere, der fik 40 IE/kg, responderede på behandlingen.</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lastRenderedPageBreak/>
        <w:t xml:space="preserve">Enoghalvfjerds procent (71 %) af de forsøgsdeltagere, der fik 60 IE/kg, og 53 % af de forsøgsdeltagere, der fik 40 IE/kg, havde ≥ 1 HAE-anfald pr. 4-ugers placeboperiode og &lt; 1 HAE-anfald pr. 4-ugers </w:t>
      </w:r>
      <w:proofErr w:type="spellStart"/>
      <w:r>
        <w:rPr>
          <w:szCs w:val="24"/>
        </w:rPr>
        <w:t>Berinert</w:t>
      </w:r>
      <w:proofErr w:type="spellEnd"/>
      <w:r>
        <w:rPr>
          <w:szCs w:val="24"/>
        </w:rPr>
        <w:t>-periode.</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 xml:space="preserve">I alt var 40 % af de forsøgsdeltagere, der fik 60 IE/kg, og 38 % af de forsøgsdeltagere, der fik 40 IE/kg, uden anfald, og den </w:t>
      </w:r>
      <w:proofErr w:type="spellStart"/>
      <w:r>
        <w:rPr>
          <w:szCs w:val="24"/>
        </w:rPr>
        <w:t>mediane</w:t>
      </w:r>
      <w:proofErr w:type="spellEnd"/>
      <w:r>
        <w:rPr>
          <w:szCs w:val="24"/>
        </w:rPr>
        <w:t xml:space="preserve"> HAE-</w:t>
      </w:r>
      <w:proofErr w:type="spellStart"/>
      <w:r>
        <w:rPr>
          <w:szCs w:val="24"/>
        </w:rPr>
        <w:t>anfaldsfrekvens</w:t>
      </w:r>
      <w:proofErr w:type="spellEnd"/>
      <w:r>
        <w:rPr>
          <w:szCs w:val="24"/>
        </w:rPr>
        <w:t xml:space="preserve"> pr. måned var 0,3 med begge doser.</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proofErr w:type="spellStart"/>
      <w:r>
        <w:rPr>
          <w:szCs w:val="24"/>
        </w:rPr>
        <w:t>Berinert</w:t>
      </w:r>
      <w:proofErr w:type="spellEnd"/>
      <w:r>
        <w:rPr>
          <w:szCs w:val="24"/>
        </w:rPr>
        <w:t xml:space="preserve"> resulterede i en signifikant forskel i det tidsnormaliserede antal anvendelser af nødmedicin (nødmedicinsfrekvens) i forhold til placebo. En dosis på 60 IE/kg resulterede i en gennemsnitlige nødmedicinsfrekvens på 0,3 anvendelser pr. måned, sammenlignet med 3,9 anvendelser pr. måned med placebo. En dosis på 40 IE/kg resulterede i en gennemsnitlig nødmedicinsfrekvens på 1,1 anvendelser pr. måned sammenlignet med 5,6 anvendelser pr. måned med placebo.</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Studie 3002:</w:t>
      </w:r>
    </w:p>
    <w:p w:rsidR="007F4C05" w:rsidRDefault="007F4C05" w:rsidP="007F4C05">
      <w:pPr>
        <w:pStyle w:val="LAFISPCNormal"/>
        <w:tabs>
          <w:tab w:val="clear" w:pos="567"/>
          <w:tab w:val="left" w:pos="1304"/>
        </w:tabs>
        <w:ind w:left="851"/>
        <w:rPr>
          <w:szCs w:val="24"/>
        </w:rPr>
      </w:pPr>
      <w:r>
        <w:rPr>
          <w:szCs w:val="24"/>
        </w:rPr>
        <w:t xml:space="preserve">Berinerts langsigtede sikkerhed og virkning ved rutinemæssig profylakse til forebyggelse af HAE-anfald blev påvist i et </w:t>
      </w:r>
      <w:proofErr w:type="spellStart"/>
      <w:r>
        <w:rPr>
          <w:szCs w:val="24"/>
        </w:rPr>
        <w:t>ublindet</w:t>
      </w:r>
      <w:proofErr w:type="spellEnd"/>
      <w:r>
        <w:rPr>
          <w:szCs w:val="24"/>
        </w:rPr>
        <w:t xml:space="preserve">, randomiseret studie med parallelgrupper. I studiet blev der evalueret 126 voksne og pædiatriske forsøgsdeltagere med symptomatisk HAE af type I eller II, heraf 64 patienter, som kom fra studie 3001, og 62 patienter, som ikke havde deltaget i studie 3001. Forsøgsdeltagernes medianalder (interval) var 41,0 (8-72) år. Patienter med en månedlig </w:t>
      </w:r>
      <w:proofErr w:type="spellStart"/>
      <w:r>
        <w:rPr>
          <w:szCs w:val="24"/>
        </w:rPr>
        <w:t>anfaldsfrekvens</w:t>
      </w:r>
      <w:proofErr w:type="spellEnd"/>
      <w:r>
        <w:rPr>
          <w:szCs w:val="24"/>
        </w:rPr>
        <w:t xml:space="preserve"> på 4,3 i de 3 måneder op til studiet blev inkluderet og behandlet i gennemsnitligt 1,5 år; 44 patienter (34,9 %) fik eksponering i mere end 2 år. Den gennemsnitlige funktionelle aktivitet med C1-INH ved </w:t>
      </w:r>
      <w:proofErr w:type="spellStart"/>
      <w:r>
        <w:rPr>
          <w:szCs w:val="24"/>
        </w:rPr>
        <w:t>steady</w:t>
      </w:r>
      <w:proofErr w:type="spellEnd"/>
      <w:r>
        <w:rPr>
          <w:szCs w:val="24"/>
        </w:rPr>
        <w:t xml:space="preserve"> </w:t>
      </w:r>
      <w:proofErr w:type="spellStart"/>
      <w:r>
        <w:rPr>
          <w:szCs w:val="24"/>
        </w:rPr>
        <w:t>state</w:t>
      </w:r>
      <w:proofErr w:type="spellEnd"/>
      <w:r>
        <w:rPr>
          <w:szCs w:val="24"/>
        </w:rPr>
        <w:t xml:space="preserve"> steg til 52,0 % med 40 IE/kg og til 66,6 % med 60 IE/kg. </w:t>
      </w:r>
      <w:proofErr w:type="spellStart"/>
      <w:r>
        <w:rPr>
          <w:szCs w:val="24"/>
        </w:rPr>
        <w:t>Incidensen</w:t>
      </w:r>
      <w:proofErr w:type="spellEnd"/>
      <w:r>
        <w:rPr>
          <w:szCs w:val="24"/>
        </w:rPr>
        <w:t xml:space="preserve"> af bivirkninger var lav og ensartet i begge dosisgrupper (11,3 og 8,5 hændelser pr. </w:t>
      </w:r>
      <w:proofErr w:type="spellStart"/>
      <w:r>
        <w:rPr>
          <w:szCs w:val="24"/>
        </w:rPr>
        <w:t>patientår</w:t>
      </w:r>
      <w:proofErr w:type="spellEnd"/>
      <w:r>
        <w:rPr>
          <w:szCs w:val="24"/>
        </w:rPr>
        <w:t xml:space="preserve"> med henholdsvis 40 IE/kg og 60 IE/kg). Det gennemsnitlige (SD) tidsnormaliserede antal HAE-anfald var 0,45 (0,737) anfald pr. måned med 40 IE og 0,45 (0,858) anfald pr. måned med 60 IE.</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 xml:space="preserve">Procentdelen af respondenter (95 % CI) med en reduktion på ≥ 50 % i tidsnormaliseret antal HAE-anfald med </w:t>
      </w:r>
      <w:proofErr w:type="spellStart"/>
      <w:r>
        <w:rPr>
          <w:szCs w:val="24"/>
        </w:rPr>
        <w:t>Berinert</w:t>
      </w:r>
      <w:proofErr w:type="spellEnd"/>
      <w:r>
        <w:rPr>
          <w:szCs w:val="24"/>
        </w:rPr>
        <w:t xml:space="preserve"> i forhold til tidsnormaliseret antal HAE-anfald ved kvalificeringen til deltagelse i studie 3002 var 93,5 % (84,6 %; 97,5 %) i den behandlingsgruppe, der fik 40 IE/kg, og 91,7 % (81,9 %; 96,4 %) i den behandlingsgruppe, der fik 60 IE/kg.</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Procentdelen af forsøgsdeltagere med en tidsnormaliseret HAE-</w:t>
      </w:r>
      <w:proofErr w:type="spellStart"/>
      <w:r>
        <w:rPr>
          <w:szCs w:val="24"/>
        </w:rPr>
        <w:t>anfaldsfrekvens</w:t>
      </w:r>
      <w:proofErr w:type="spellEnd"/>
      <w:r>
        <w:rPr>
          <w:szCs w:val="24"/>
        </w:rPr>
        <w:t xml:space="preserve"> &lt; 1 HAE-anfald pr. 4-ugers periode var 79,4 % med 40 IE/kg og 85,7 % med 60 IE/kg.</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Procentdelen af forsøgsdeltagere uden HAE-anfald var 34,9 % med 40 IE/kg og 44,4 % med 60 IE/kg (igennem hele studiet med en maksimal eksponeringsvarighed &gt; 2,5 år). Ud af 23 patienter, der fik 60 IE/kg i mere end 2 år, var 19 (83 %) uden anfald i behandlingsmåned 25 til 30.</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tabs>
          <w:tab w:val="clear" w:pos="567"/>
          <w:tab w:val="left" w:pos="1304"/>
        </w:tabs>
        <w:ind w:left="851"/>
        <w:rPr>
          <w:szCs w:val="24"/>
        </w:rPr>
      </w:pPr>
      <w:r>
        <w:rPr>
          <w:szCs w:val="24"/>
        </w:rPr>
        <w:t>Det gennemsnitlige, tidsnormaliserede antal anvendelser af nødmedicin var 0,26 (0,572) anvendelser pr. måned med 40 IE/kg og 0,31 (0,804) pr. måned med 60 IE/kg.</w:t>
      </w:r>
    </w:p>
    <w:p w:rsidR="007F4C05" w:rsidRDefault="007F4C05" w:rsidP="007F4C05">
      <w:pPr>
        <w:pStyle w:val="LAFISPCNormal"/>
        <w:tabs>
          <w:tab w:val="clear" w:pos="567"/>
          <w:tab w:val="left" w:pos="1304"/>
        </w:tabs>
        <w:ind w:left="851"/>
        <w:rPr>
          <w:szCs w:val="24"/>
        </w:rPr>
      </w:pPr>
    </w:p>
    <w:p w:rsidR="007F4C05" w:rsidRDefault="007F4C05" w:rsidP="007F4C05">
      <w:pPr>
        <w:pStyle w:val="LAFISPCNormal"/>
        <w:keepNext/>
        <w:ind w:left="851"/>
        <w:rPr>
          <w:szCs w:val="24"/>
          <w:u w:val="single"/>
        </w:rPr>
      </w:pPr>
      <w:r>
        <w:rPr>
          <w:szCs w:val="24"/>
          <w:u w:val="single"/>
        </w:rPr>
        <w:t>Pædiatrisk population</w:t>
      </w:r>
    </w:p>
    <w:p w:rsidR="007F4C05" w:rsidRDefault="007F4C05" w:rsidP="007F4C05">
      <w:pPr>
        <w:pStyle w:val="LAFISPCNormal"/>
        <w:keepNext/>
        <w:ind w:left="851"/>
        <w:rPr>
          <w:szCs w:val="24"/>
        </w:rPr>
      </w:pPr>
      <w:r>
        <w:rPr>
          <w:szCs w:val="24"/>
        </w:rPr>
        <w:t xml:space="preserve">Berinerts sikkerhed og virkning blev evalueret i en undergruppe med 11 patienter i alderen 8 til &lt; 17 år i det randomiserede, dobbeltblindede, placebokontrollerede overkrydsningsstudie med rutinemæssig profylakse (studie 3001) og det randomiserede, </w:t>
      </w:r>
      <w:proofErr w:type="spellStart"/>
      <w:r>
        <w:rPr>
          <w:szCs w:val="24"/>
        </w:rPr>
        <w:lastRenderedPageBreak/>
        <w:t>ublindede</w:t>
      </w:r>
      <w:proofErr w:type="spellEnd"/>
      <w:r>
        <w:rPr>
          <w:szCs w:val="24"/>
        </w:rPr>
        <w:t>, aktivkontrollerede studie (studie 3002). Resultaterne af undergruppeanalyserne efter alder var i overensstemmelse med de overordnede studieresultater.</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5.2</w:t>
      </w:r>
      <w:r w:rsidRPr="00475289">
        <w:rPr>
          <w:b/>
          <w:sz w:val="24"/>
          <w:szCs w:val="24"/>
        </w:rPr>
        <w:tab/>
      </w:r>
      <w:proofErr w:type="spellStart"/>
      <w:r w:rsidRPr="00475289">
        <w:rPr>
          <w:b/>
          <w:sz w:val="24"/>
          <w:szCs w:val="24"/>
        </w:rPr>
        <w:t>Farmakokinetiske</w:t>
      </w:r>
      <w:proofErr w:type="spellEnd"/>
      <w:r w:rsidRPr="00475289">
        <w:rPr>
          <w:b/>
          <w:sz w:val="24"/>
          <w:szCs w:val="24"/>
        </w:rPr>
        <w:t xml:space="preserve"> egenskaber</w:t>
      </w:r>
    </w:p>
    <w:p w:rsidR="002F5222" w:rsidRPr="00475289" w:rsidRDefault="002F5222" w:rsidP="002F5222">
      <w:pPr>
        <w:pStyle w:val="LAFISPCNormal"/>
        <w:tabs>
          <w:tab w:val="clear" w:pos="567"/>
        </w:tabs>
        <w:ind w:left="851"/>
        <w:rPr>
          <w:szCs w:val="24"/>
        </w:rPr>
      </w:pPr>
      <w:r w:rsidRPr="00475289">
        <w:rPr>
          <w:szCs w:val="24"/>
        </w:rPr>
        <w:t xml:space="preserve">De </w:t>
      </w:r>
      <w:proofErr w:type="spellStart"/>
      <w:r w:rsidRPr="00475289">
        <w:rPr>
          <w:szCs w:val="24"/>
        </w:rPr>
        <w:t>farmakokinetiske</w:t>
      </w:r>
      <w:proofErr w:type="spellEnd"/>
      <w:r w:rsidRPr="00475289">
        <w:rPr>
          <w:szCs w:val="24"/>
        </w:rPr>
        <w:t xml:space="preserve"> karakteristika af subkutan </w:t>
      </w:r>
      <w:proofErr w:type="spellStart"/>
      <w:r w:rsidRPr="00475289">
        <w:rPr>
          <w:szCs w:val="24"/>
        </w:rPr>
        <w:t>Berinert</w:t>
      </w:r>
      <w:proofErr w:type="spellEnd"/>
      <w:r w:rsidRPr="00475289">
        <w:rPr>
          <w:szCs w:val="24"/>
        </w:rPr>
        <w:t xml:space="preserve"> er primært blevet beskrevet ved hjælp af </w:t>
      </w:r>
      <w:proofErr w:type="spellStart"/>
      <w:r w:rsidRPr="00475289">
        <w:rPr>
          <w:szCs w:val="24"/>
        </w:rPr>
        <w:t>populationsfarmakokinetiske</w:t>
      </w:r>
      <w:proofErr w:type="spellEnd"/>
      <w:r w:rsidRPr="00475289">
        <w:rPr>
          <w:szCs w:val="24"/>
        </w:rPr>
        <w:t xml:space="preserve"> metoder på samlede data fra 3 kliniske studier med raske frivillige og HAE-patienter.</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szCs w:val="24"/>
          <w:u w:val="single"/>
        </w:rPr>
      </w:pPr>
      <w:r w:rsidRPr="00475289">
        <w:rPr>
          <w:szCs w:val="24"/>
          <w:u w:val="single"/>
        </w:rPr>
        <w:t>Absorption</w:t>
      </w:r>
    </w:p>
    <w:p w:rsidR="002F5222" w:rsidRPr="00475289" w:rsidRDefault="002F5222" w:rsidP="002F5222">
      <w:pPr>
        <w:pStyle w:val="LAFISPCNormal"/>
        <w:tabs>
          <w:tab w:val="clear" w:pos="567"/>
        </w:tabs>
        <w:ind w:left="851"/>
        <w:rPr>
          <w:szCs w:val="24"/>
        </w:rPr>
      </w:pPr>
      <w:r w:rsidRPr="00475289">
        <w:rPr>
          <w:szCs w:val="24"/>
        </w:rPr>
        <w:t xml:space="preserve">Efter subkutan administration to gange om ugen absorberes </w:t>
      </w:r>
      <w:proofErr w:type="spellStart"/>
      <w:r w:rsidRPr="00475289">
        <w:rPr>
          <w:szCs w:val="24"/>
        </w:rPr>
        <w:t>Berinert</w:t>
      </w:r>
      <w:proofErr w:type="spellEnd"/>
      <w:r w:rsidRPr="00475289">
        <w:rPr>
          <w:szCs w:val="24"/>
        </w:rPr>
        <w:t xml:space="preserve"> langsomt med en median (95% CI) tid til maksimal koncentration (</w:t>
      </w:r>
      <w:proofErr w:type="spellStart"/>
      <w:r w:rsidRPr="00475289">
        <w:rPr>
          <w:szCs w:val="24"/>
        </w:rPr>
        <w:t>t</w:t>
      </w:r>
      <w:r w:rsidRPr="00475289">
        <w:rPr>
          <w:szCs w:val="24"/>
          <w:vertAlign w:val="subscript"/>
        </w:rPr>
        <w:t>max</w:t>
      </w:r>
      <w:proofErr w:type="spellEnd"/>
      <w:r w:rsidRPr="00475289">
        <w:rPr>
          <w:szCs w:val="24"/>
        </w:rPr>
        <w:t xml:space="preserve">) på cirka 59 timer (23 til 134 timer). Baseret på en median (95% CI) tilsyneladende plasmahalveringstid på 69 timer (24 til 250 timer), kan der forventes </w:t>
      </w:r>
      <w:proofErr w:type="spellStart"/>
      <w:r w:rsidRPr="00475289">
        <w:rPr>
          <w:szCs w:val="24"/>
        </w:rPr>
        <w:t>steady</w:t>
      </w:r>
      <w:r>
        <w:rPr>
          <w:szCs w:val="24"/>
        </w:rPr>
        <w:t>-</w:t>
      </w:r>
      <w:r w:rsidRPr="00475289">
        <w:rPr>
          <w:szCs w:val="24"/>
        </w:rPr>
        <w:t>state</w:t>
      </w:r>
      <w:proofErr w:type="spellEnd"/>
      <w:r w:rsidRPr="00475289">
        <w:rPr>
          <w:szCs w:val="24"/>
        </w:rPr>
        <w:t xml:space="preserve"> af C1-INH i løbet af 3 uger med administration. Der forventes en gennemsnitlig (95% CI) </w:t>
      </w:r>
      <w:proofErr w:type="spellStart"/>
      <w:r w:rsidRPr="00475289">
        <w:rPr>
          <w:szCs w:val="24"/>
        </w:rPr>
        <w:t>steady</w:t>
      </w:r>
      <w:proofErr w:type="spellEnd"/>
      <w:r>
        <w:rPr>
          <w:szCs w:val="24"/>
        </w:rPr>
        <w:t>-</w:t>
      </w:r>
      <w:proofErr w:type="spellStart"/>
      <w:r w:rsidRPr="00475289">
        <w:rPr>
          <w:szCs w:val="24"/>
        </w:rPr>
        <w:t>state</w:t>
      </w:r>
      <w:proofErr w:type="spellEnd"/>
      <w:r w:rsidRPr="00475289">
        <w:rPr>
          <w:szCs w:val="24"/>
        </w:rPr>
        <w:t xml:space="preserve">-dalkoncentration af funktionel C1-INH på 48% (25,1 til 102%) efter subkutan administration af 60 IE/kg </w:t>
      </w:r>
      <w:proofErr w:type="spellStart"/>
      <w:r w:rsidRPr="00475289">
        <w:rPr>
          <w:szCs w:val="24"/>
        </w:rPr>
        <w:t>Berinert</w:t>
      </w:r>
      <w:proofErr w:type="spellEnd"/>
      <w:r w:rsidRPr="00475289">
        <w:rPr>
          <w:szCs w:val="24"/>
        </w:rPr>
        <w:t xml:space="preserve"> to gange om ugen. Den gennemsnitlige (95% CI) relative biotilgængelighed (F) af </w:t>
      </w:r>
      <w:proofErr w:type="spellStart"/>
      <w:r w:rsidRPr="00475289">
        <w:rPr>
          <w:szCs w:val="24"/>
        </w:rPr>
        <w:t>Berinert</w:t>
      </w:r>
      <w:proofErr w:type="spellEnd"/>
      <w:r w:rsidRPr="00475289">
        <w:rPr>
          <w:szCs w:val="24"/>
        </w:rPr>
        <w:t xml:space="preserve"> efter subkutan administration blev estimeret til at være ca. 43% (35,2 til 50,2%).</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u w:val="single"/>
        </w:rPr>
      </w:pPr>
      <w:r w:rsidRPr="00475289">
        <w:rPr>
          <w:szCs w:val="24"/>
          <w:u w:val="single"/>
        </w:rPr>
        <w:t>Fordeling og elimination</w:t>
      </w:r>
    </w:p>
    <w:p w:rsidR="002F5222" w:rsidRPr="00475289" w:rsidRDefault="002F5222" w:rsidP="002F5222">
      <w:pPr>
        <w:pStyle w:val="LAFISPCNormal"/>
        <w:tabs>
          <w:tab w:val="clear" w:pos="567"/>
        </w:tabs>
        <w:ind w:left="851"/>
        <w:rPr>
          <w:szCs w:val="24"/>
        </w:rPr>
      </w:pPr>
      <w:r w:rsidRPr="00475289">
        <w:rPr>
          <w:szCs w:val="24"/>
        </w:rPr>
        <w:t xml:space="preserve">Den populationsgennemsnitlige (95% CI) </w:t>
      </w:r>
      <w:proofErr w:type="spellStart"/>
      <w:r w:rsidRPr="00475289">
        <w:rPr>
          <w:szCs w:val="24"/>
        </w:rPr>
        <w:t>clearance</w:t>
      </w:r>
      <w:proofErr w:type="spellEnd"/>
      <w:r w:rsidRPr="00475289">
        <w:rPr>
          <w:szCs w:val="24"/>
        </w:rPr>
        <w:t xml:space="preserve"> og tilsyneladende fordelingsvolumen af </w:t>
      </w:r>
      <w:proofErr w:type="spellStart"/>
      <w:r w:rsidRPr="00475289">
        <w:rPr>
          <w:szCs w:val="24"/>
        </w:rPr>
        <w:t>Berinert</w:t>
      </w:r>
      <w:proofErr w:type="spellEnd"/>
      <w:r w:rsidRPr="00475289">
        <w:rPr>
          <w:szCs w:val="24"/>
        </w:rPr>
        <w:t xml:space="preserve"> blev estimeret til at være hhv. cirka 83 ml/time (72,2 til 94,2 ml/time) og 4,33 l (3,5 l til 5,14 l). </w:t>
      </w:r>
      <w:proofErr w:type="spellStart"/>
      <w:r w:rsidRPr="00475289">
        <w:rPr>
          <w:szCs w:val="24"/>
        </w:rPr>
        <w:t>Clearance</w:t>
      </w:r>
      <w:proofErr w:type="spellEnd"/>
      <w:r w:rsidRPr="00475289">
        <w:rPr>
          <w:szCs w:val="24"/>
        </w:rPr>
        <w:t xml:space="preserve"> af C1-INH var positivt korreleret til total legemsvægt. Farmakokinetikken ved </w:t>
      </w:r>
      <w:proofErr w:type="spellStart"/>
      <w:r w:rsidRPr="00475289">
        <w:rPr>
          <w:szCs w:val="24"/>
        </w:rPr>
        <w:t>steady</w:t>
      </w:r>
      <w:r>
        <w:rPr>
          <w:szCs w:val="24"/>
        </w:rPr>
        <w:t>-</w:t>
      </w:r>
      <w:r w:rsidRPr="00475289">
        <w:rPr>
          <w:szCs w:val="24"/>
        </w:rPr>
        <w:t>state</w:t>
      </w:r>
      <w:proofErr w:type="spellEnd"/>
      <w:r w:rsidRPr="00475289">
        <w:rPr>
          <w:szCs w:val="24"/>
        </w:rPr>
        <w:t xml:space="preserve"> af subkutan </w:t>
      </w:r>
      <w:proofErr w:type="spellStart"/>
      <w:r w:rsidRPr="00475289">
        <w:rPr>
          <w:szCs w:val="24"/>
        </w:rPr>
        <w:t>Berinert</w:t>
      </w:r>
      <w:proofErr w:type="spellEnd"/>
      <w:r w:rsidRPr="00475289">
        <w:rPr>
          <w:szCs w:val="24"/>
        </w:rPr>
        <w:t xml:space="preserve"> var dosisuafhængig i intervallet 20-80 IE/kg hos forsøgsdeltagerne med HAE.</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sidRPr="00475289">
        <w:rPr>
          <w:szCs w:val="24"/>
        </w:rPr>
        <w:t xml:space="preserve">Der er ikke udført studier til evaluering af farmakokinetikken af C1-INH i specifikke populationer stratificeret efter køn, race, alder eller tilstedeværelse af nedsat nyre- eller leverfunktion. Populationsanalysen med evaluering af alder </w:t>
      </w:r>
      <w:r w:rsidR="007F4C05">
        <w:rPr>
          <w:szCs w:val="24"/>
        </w:rPr>
        <w:t>(8-72 år)</w:t>
      </w:r>
      <w:r w:rsidRPr="00475289">
        <w:rPr>
          <w:szCs w:val="24"/>
        </w:rPr>
        <w:t xml:space="preserve"> viste ingen indvirkning på farmakokinetikken af C1-INH.</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5.3</w:t>
      </w:r>
      <w:r w:rsidRPr="00475289">
        <w:rPr>
          <w:b/>
          <w:sz w:val="24"/>
          <w:szCs w:val="24"/>
        </w:rPr>
        <w:tab/>
        <w:t>Prækliniske sikkerhedsdata</w:t>
      </w:r>
    </w:p>
    <w:p w:rsidR="002F5222" w:rsidRPr="00475289" w:rsidRDefault="002F5222" w:rsidP="002F5222">
      <w:pPr>
        <w:pStyle w:val="LAFISPCNormal"/>
        <w:tabs>
          <w:tab w:val="clear" w:pos="567"/>
        </w:tabs>
        <w:ind w:left="851"/>
        <w:rPr>
          <w:szCs w:val="24"/>
        </w:rPr>
      </w:pPr>
      <w:r w:rsidRPr="00475289">
        <w:rPr>
          <w:szCs w:val="24"/>
        </w:rPr>
        <w:t xml:space="preserve">Prækliniske data efter intravenøs og/eller subkutan administration viser ingen speciel risiko for mennesker vurderet ud fra konventionelle studier af sikkerhedsfarmakologi, toksicitet efter enkelte og gentagne doser, lokal </w:t>
      </w:r>
      <w:proofErr w:type="spellStart"/>
      <w:r w:rsidRPr="00475289">
        <w:rPr>
          <w:szCs w:val="24"/>
        </w:rPr>
        <w:t>tolerabilitet</w:t>
      </w:r>
      <w:proofErr w:type="spellEnd"/>
      <w:r w:rsidRPr="00475289">
        <w:rPr>
          <w:szCs w:val="24"/>
        </w:rPr>
        <w:t xml:space="preserve"> og </w:t>
      </w:r>
      <w:proofErr w:type="spellStart"/>
      <w:r w:rsidRPr="00475289">
        <w:rPr>
          <w:szCs w:val="24"/>
        </w:rPr>
        <w:t>trombogenicitet</w:t>
      </w:r>
      <w:proofErr w:type="spellEnd"/>
      <w:r w:rsidRPr="00475289">
        <w:rPr>
          <w:szCs w:val="24"/>
        </w:rPr>
        <w:t>.</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szCs w:val="24"/>
        </w:rPr>
      </w:pPr>
      <w:r w:rsidRPr="00475289">
        <w:rPr>
          <w:szCs w:val="24"/>
        </w:rPr>
        <w:t xml:space="preserve">Der er ikke udført undersøgelser vedrørende </w:t>
      </w:r>
      <w:proofErr w:type="spellStart"/>
      <w:r w:rsidRPr="00475289">
        <w:rPr>
          <w:szCs w:val="24"/>
        </w:rPr>
        <w:t>karcinogenicitet</w:t>
      </w:r>
      <w:proofErr w:type="spellEnd"/>
      <w:r w:rsidRPr="00475289">
        <w:rPr>
          <w:szCs w:val="24"/>
        </w:rPr>
        <w:t xml:space="preserve"> og reproduktionstoksikologi.</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6.</w:t>
      </w:r>
      <w:r w:rsidRPr="00475289">
        <w:rPr>
          <w:b/>
          <w:sz w:val="24"/>
          <w:szCs w:val="24"/>
        </w:rPr>
        <w:tab/>
        <w:t>FARMACEUTISKE OPLYSNINGER</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6.1</w:t>
      </w:r>
      <w:r w:rsidRPr="00475289">
        <w:rPr>
          <w:b/>
          <w:sz w:val="24"/>
          <w:szCs w:val="24"/>
        </w:rPr>
        <w:tab/>
        <w:t>Hjælpestoffer</w:t>
      </w:r>
    </w:p>
    <w:p w:rsidR="002F5222" w:rsidRDefault="002F5222" w:rsidP="002F5222">
      <w:pPr>
        <w:pStyle w:val="LAFISPCNormal"/>
        <w:tabs>
          <w:tab w:val="clear" w:pos="567"/>
        </w:tabs>
        <w:ind w:left="851" w:hanging="851"/>
        <w:rPr>
          <w:szCs w:val="24"/>
          <w:u w:val="single"/>
        </w:rPr>
      </w:pPr>
    </w:p>
    <w:p w:rsidR="002F5222" w:rsidRPr="00475289" w:rsidRDefault="002F5222" w:rsidP="002F5222">
      <w:pPr>
        <w:pStyle w:val="LAFISPCNormal"/>
        <w:tabs>
          <w:tab w:val="clear" w:pos="567"/>
        </w:tabs>
        <w:ind w:left="851"/>
        <w:rPr>
          <w:i/>
          <w:iCs/>
          <w:szCs w:val="24"/>
        </w:rPr>
      </w:pPr>
      <w:r w:rsidRPr="00475289">
        <w:rPr>
          <w:szCs w:val="24"/>
          <w:u w:val="single"/>
        </w:rPr>
        <w:t>Pulver</w:t>
      </w:r>
      <w:r w:rsidRPr="00475289">
        <w:rPr>
          <w:i/>
          <w:iCs/>
          <w:szCs w:val="24"/>
        </w:rPr>
        <w:t>:</w:t>
      </w:r>
    </w:p>
    <w:p w:rsidR="002F5222" w:rsidRPr="00475289" w:rsidRDefault="002F5222" w:rsidP="002F5222">
      <w:pPr>
        <w:pStyle w:val="LAFISPCNormal"/>
        <w:tabs>
          <w:tab w:val="clear" w:pos="567"/>
        </w:tabs>
        <w:ind w:left="851"/>
        <w:rPr>
          <w:szCs w:val="24"/>
        </w:rPr>
      </w:pPr>
      <w:proofErr w:type="spellStart"/>
      <w:r w:rsidRPr="00475289">
        <w:rPr>
          <w:szCs w:val="24"/>
        </w:rPr>
        <w:t>Glycin</w:t>
      </w:r>
      <w:proofErr w:type="spellEnd"/>
    </w:p>
    <w:p w:rsidR="002F5222" w:rsidRPr="00475289" w:rsidRDefault="002F5222" w:rsidP="002F5222">
      <w:pPr>
        <w:pStyle w:val="LAFISPCNormal"/>
        <w:tabs>
          <w:tab w:val="clear" w:pos="567"/>
        </w:tabs>
        <w:ind w:left="851"/>
        <w:rPr>
          <w:szCs w:val="24"/>
        </w:rPr>
      </w:pPr>
      <w:proofErr w:type="spellStart"/>
      <w:r w:rsidRPr="00475289">
        <w:rPr>
          <w:szCs w:val="24"/>
        </w:rPr>
        <w:t>Natriumchlorid</w:t>
      </w:r>
      <w:proofErr w:type="spellEnd"/>
    </w:p>
    <w:p w:rsidR="002F5222" w:rsidRPr="00475289" w:rsidRDefault="002F5222" w:rsidP="002F5222">
      <w:pPr>
        <w:pStyle w:val="LAFISPCNormal"/>
        <w:tabs>
          <w:tab w:val="clear" w:pos="567"/>
        </w:tabs>
        <w:ind w:left="851"/>
        <w:rPr>
          <w:szCs w:val="24"/>
        </w:rPr>
      </w:pPr>
      <w:r w:rsidRPr="00475289">
        <w:rPr>
          <w:szCs w:val="24"/>
        </w:rPr>
        <w:t>Natriumcitrat</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i/>
          <w:iCs/>
          <w:szCs w:val="24"/>
        </w:rPr>
      </w:pPr>
      <w:r w:rsidRPr="00475289">
        <w:rPr>
          <w:szCs w:val="24"/>
          <w:u w:val="single"/>
        </w:rPr>
        <w:t>Solvens</w:t>
      </w:r>
      <w:r w:rsidRPr="00475289">
        <w:rPr>
          <w:szCs w:val="24"/>
        </w:rPr>
        <w:t>:</w:t>
      </w:r>
    </w:p>
    <w:p w:rsidR="002F5222" w:rsidRPr="00475289" w:rsidRDefault="002F5222" w:rsidP="002F5222">
      <w:pPr>
        <w:pStyle w:val="LAFISPCNormal"/>
        <w:tabs>
          <w:tab w:val="clear" w:pos="567"/>
        </w:tabs>
        <w:ind w:left="851"/>
        <w:rPr>
          <w:szCs w:val="24"/>
        </w:rPr>
      </w:pPr>
      <w:r w:rsidRPr="00475289">
        <w:rPr>
          <w:szCs w:val="24"/>
        </w:rPr>
        <w:t xml:space="preserve">Vand til injektionsvæsker </w:t>
      </w:r>
    </w:p>
    <w:p w:rsidR="002F5222" w:rsidRPr="00475289" w:rsidRDefault="002F5222" w:rsidP="002F5222">
      <w:pPr>
        <w:ind w:left="851" w:hanging="851"/>
        <w:rPr>
          <w:sz w:val="24"/>
          <w:szCs w:val="24"/>
        </w:rPr>
      </w:pPr>
    </w:p>
    <w:p w:rsidR="002F5222" w:rsidRPr="00475289" w:rsidRDefault="002F5222" w:rsidP="009C1E48">
      <w:pPr>
        <w:keepNext/>
        <w:ind w:left="851" w:hanging="851"/>
        <w:rPr>
          <w:b/>
          <w:sz w:val="24"/>
          <w:szCs w:val="24"/>
        </w:rPr>
      </w:pPr>
      <w:r w:rsidRPr="00475289">
        <w:rPr>
          <w:b/>
          <w:sz w:val="24"/>
          <w:szCs w:val="24"/>
        </w:rPr>
        <w:lastRenderedPageBreak/>
        <w:t>6.2</w:t>
      </w:r>
      <w:r w:rsidRPr="00475289">
        <w:rPr>
          <w:b/>
          <w:sz w:val="24"/>
          <w:szCs w:val="24"/>
        </w:rPr>
        <w:tab/>
        <w:t>Uforligeligheder</w:t>
      </w:r>
    </w:p>
    <w:p w:rsidR="002F5222" w:rsidRPr="00475289" w:rsidRDefault="002F5222" w:rsidP="002F5222">
      <w:pPr>
        <w:pStyle w:val="LAFISPCNormal"/>
        <w:tabs>
          <w:tab w:val="clear" w:pos="567"/>
        </w:tabs>
        <w:ind w:left="851"/>
        <w:rPr>
          <w:szCs w:val="24"/>
        </w:rPr>
      </w:pPr>
      <w:r w:rsidRPr="00475289">
        <w:rPr>
          <w:szCs w:val="24"/>
        </w:rPr>
        <w:t>Da der ikke foreligger studier af eventuelle uforligeligheder, må dette lægemiddel ikke blandes med andre lægemidler eller fortyndingsmidler.</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6.3</w:t>
      </w:r>
      <w:r w:rsidRPr="00475289">
        <w:rPr>
          <w:b/>
          <w:sz w:val="24"/>
          <w:szCs w:val="24"/>
        </w:rPr>
        <w:tab/>
        <w:t>Opbevaringstid</w:t>
      </w:r>
    </w:p>
    <w:p w:rsidR="002F5222" w:rsidRPr="00475289" w:rsidRDefault="002F5222" w:rsidP="002F5222">
      <w:pPr>
        <w:pStyle w:val="LAFISPCNormal"/>
        <w:tabs>
          <w:tab w:val="clear" w:pos="567"/>
        </w:tabs>
        <w:ind w:left="851" w:hanging="851"/>
        <w:rPr>
          <w:szCs w:val="24"/>
        </w:rPr>
      </w:pPr>
      <w:r w:rsidRPr="00475289">
        <w:rPr>
          <w:szCs w:val="24"/>
        </w:rPr>
        <w:tab/>
        <w:t>36 måneder</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szCs w:val="24"/>
        </w:rPr>
      </w:pPr>
      <w:r w:rsidRPr="00475289">
        <w:rPr>
          <w:szCs w:val="24"/>
        </w:rPr>
        <w:t xml:space="preserve">Kemisk og fysisk stabilitet efter </w:t>
      </w:r>
      <w:proofErr w:type="spellStart"/>
      <w:r w:rsidRPr="00475289">
        <w:rPr>
          <w:szCs w:val="24"/>
        </w:rPr>
        <w:t>rekonstituering</w:t>
      </w:r>
      <w:proofErr w:type="spellEnd"/>
      <w:r w:rsidRPr="00475289">
        <w:rPr>
          <w:szCs w:val="24"/>
        </w:rPr>
        <w:t xml:space="preserve"> er dokumenteret i 48 timer ved stuetemperatur (maksimum 30 °C). Ud fra et mikrobiologisk synspunkt skal det </w:t>
      </w:r>
      <w:proofErr w:type="spellStart"/>
      <w:r w:rsidRPr="00475289">
        <w:rPr>
          <w:szCs w:val="24"/>
        </w:rPr>
        <w:t>rekonstituerede</w:t>
      </w:r>
      <w:proofErr w:type="spellEnd"/>
      <w:r w:rsidRPr="00475289">
        <w:rPr>
          <w:szCs w:val="24"/>
        </w:rPr>
        <w:t xml:space="preserve"> præparat bruges med det samme, da </w:t>
      </w:r>
      <w:proofErr w:type="spellStart"/>
      <w:r w:rsidRPr="00475289">
        <w:rPr>
          <w:szCs w:val="24"/>
        </w:rPr>
        <w:t>Berinert</w:t>
      </w:r>
      <w:proofErr w:type="spellEnd"/>
      <w:r w:rsidRPr="00475289">
        <w:rPr>
          <w:szCs w:val="24"/>
        </w:rPr>
        <w:t xml:space="preserve"> ikke indeholder konserveringsmiddel. Opbevaringstiden må ikke overstige 8 timer ved stuetemperatur, hvis præparatet ikke indgives med det samme. Det </w:t>
      </w:r>
      <w:proofErr w:type="spellStart"/>
      <w:r w:rsidRPr="00475289">
        <w:rPr>
          <w:szCs w:val="24"/>
        </w:rPr>
        <w:t>rekonstituerede</w:t>
      </w:r>
      <w:proofErr w:type="spellEnd"/>
      <w:r w:rsidRPr="00475289">
        <w:rPr>
          <w:szCs w:val="24"/>
        </w:rPr>
        <w:t xml:space="preserve"> lægemiddel må kun opbevares i </w:t>
      </w:r>
      <w:r w:rsidRPr="00475289">
        <w:rPr>
          <w:b/>
          <w:szCs w:val="24"/>
        </w:rPr>
        <w:t>hætteglasset.</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6.4</w:t>
      </w:r>
      <w:r w:rsidRPr="00475289">
        <w:rPr>
          <w:b/>
          <w:sz w:val="24"/>
          <w:szCs w:val="24"/>
        </w:rPr>
        <w:tab/>
        <w:t>Særlige opbevaringsforhold</w:t>
      </w:r>
    </w:p>
    <w:p w:rsidR="002F5222" w:rsidRPr="00475289" w:rsidRDefault="002F5222" w:rsidP="002F5222">
      <w:pPr>
        <w:pStyle w:val="LAFISPCNormal"/>
        <w:tabs>
          <w:tab w:val="clear" w:pos="567"/>
        </w:tabs>
        <w:ind w:left="851"/>
        <w:rPr>
          <w:szCs w:val="24"/>
        </w:rPr>
      </w:pPr>
      <w:r w:rsidRPr="00475289">
        <w:rPr>
          <w:szCs w:val="24"/>
        </w:rPr>
        <w:t>Må ikke opbevares ved temperaturer over 30 °C.</w:t>
      </w:r>
    </w:p>
    <w:p w:rsidR="002F5222" w:rsidRPr="00475289" w:rsidRDefault="002F5222" w:rsidP="002F5222">
      <w:pPr>
        <w:pStyle w:val="LAFISPCNormal"/>
        <w:tabs>
          <w:tab w:val="clear" w:pos="567"/>
        </w:tabs>
        <w:ind w:left="851"/>
        <w:rPr>
          <w:szCs w:val="24"/>
        </w:rPr>
      </w:pPr>
      <w:r w:rsidRPr="00475289">
        <w:rPr>
          <w:szCs w:val="24"/>
        </w:rPr>
        <w:t>Må ikke nedfryses.</w:t>
      </w:r>
    </w:p>
    <w:p w:rsidR="002F5222" w:rsidRPr="00475289" w:rsidRDefault="002F5222" w:rsidP="002F5222">
      <w:pPr>
        <w:pStyle w:val="LAFISPCNormal"/>
        <w:tabs>
          <w:tab w:val="clear" w:pos="567"/>
        </w:tabs>
        <w:ind w:left="851"/>
        <w:rPr>
          <w:szCs w:val="24"/>
        </w:rPr>
      </w:pPr>
      <w:r w:rsidRPr="00475289">
        <w:rPr>
          <w:szCs w:val="24"/>
        </w:rPr>
        <w:t>Opbevar hætteglasset i den ydre karton for at beskytte mod lys.</w:t>
      </w:r>
    </w:p>
    <w:p w:rsidR="002F5222" w:rsidRPr="00475289" w:rsidRDefault="002F5222" w:rsidP="002F5222">
      <w:pPr>
        <w:pStyle w:val="LAFISPCNormal"/>
        <w:tabs>
          <w:tab w:val="clear" w:pos="567"/>
        </w:tabs>
        <w:ind w:left="851"/>
        <w:rPr>
          <w:szCs w:val="24"/>
        </w:rPr>
      </w:pPr>
      <w:r w:rsidRPr="00475289">
        <w:rPr>
          <w:szCs w:val="24"/>
        </w:rPr>
        <w:t xml:space="preserve">Opbevaringsforhold efter </w:t>
      </w:r>
      <w:proofErr w:type="spellStart"/>
      <w:r w:rsidRPr="00475289">
        <w:rPr>
          <w:szCs w:val="24"/>
        </w:rPr>
        <w:t>rekonstitution</w:t>
      </w:r>
      <w:proofErr w:type="spellEnd"/>
      <w:r w:rsidRPr="00475289">
        <w:rPr>
          <w:szCs w:val="24"/>
        </w:rPr>
        <w:t xml:space="preserve"> af lægemidlet, se pkt. 6.3.</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6.5</w:t>
      </w:r>
      <w:r w:rsidRPr="00475289">
        <w:rPr>
          <w:b/>
          <w:sz w:val="24"/>
          <w:szCs w:val="24"/>
        </w:rPr>
        <w:tab/>
        <w:t>Emballagetyper og pakningsstørrelser</w:t>
      </w:r>
    </w:p>
    <w:p w:rsidR="002F5222" w:rsidRDefault="002F5222" w:rsidP="002F5222">
      <w:pPr>
        <w:pStyle w:val="LAFISPCNormal"/>
        <w:tabs>
          <w:tab w:val="clear" w:pos="567"/>
        </w:tabs>
        <w:ind w:left="851" w:hanging="851"/>
        <w:rPr>
          <w:szCs w:val="24"/>
          <w:u w:val="single"/>
        </w:rPr>
      </w:pPr>
    </w:p>
    <w:p w:rsidR="002F5222" w:rsidRPr="00475289" w:rsidRDefault="002F5222" w:rsidP="002F5222">
      <w:pPr>
        <w:pStyle w:val="LAFISPCNormal"/>
        <w:tabs>
          <w:tab w:val="clear" w:pos="567"/>
        </w:tabs>
        <w:ind w:left="851"/>
        <w:rPr>
          <w:szCs w:val="24"/>
          <w:u w:val="single"/>
        </w:rPr>
      </w:pPr>
      <w:r w:rsidRPr="00475289">
        <w:rPr>
          <w:szCs w:val="24"/>
          <w:u w:val="single"/>
        </w:rPr>
        <w:t>Indre beholdere</w:t>
      </w:r>
    </w:p>
    <w:p w:rsidR="00774476" w:rsidRPr="00475289" w:rsidRDefault="00774476" w:rsidP="00774476">
      <w:pPr>
        <w:pStyle w:val="LAFISPCNormal"/>
        <w:tabs>
          <w:tab w:val="clear" w:pos="567"/>
          <w:tab w:val="left" w:pos="2694"/>
        </w:tabs>
        <w:ind w:left="2687" w:hanging="1836"/>
        <w:rPr>
          <w:szCs w:val="24"/>
        </w:rPr>
      </w:pPr>
      <w:proofErr w:type="spellStart"/>
      <w:r w:rsidRPr="00475289">
        <w:rPr>
          <w:szCs w:val="24"/>
        </w:rPr>
        <w:t>Berinert</w:t>
      </w:r>
      <w:proofErr w:type="spellEnd"/>
      <w:r w:rsidRPr="00475289">
        <w:rPr>
          <w:szCs w:val="24"/>
        </w:rPr>
        <w:t xml:space="preserve"> 2000</w:t>
      </w:r>
      <w:r>
        <w:rPr>
          <w:szCs w:val="24"/>
        </w:rPr>
        <w:t xml:space="preserve"> IE:</w:t>
      </w:r>
      <w:r>
        <w:rPr>
          <w:szCs w:val="24"/>
        </w:rPr>
        <w:tab/>
      </w:r>
      <w:r>
        <w:rPr>
          <w:szCs w:val="24"/>
        </w:rPr>
        <w:tab/>
      </w:r>
      <w:r w:rsidRPr="00475289">
        <w:rPr>
          <w:szCs w:val="24"/>
        </w:rPr>
        <w:t>Pulver (2000 IE) i et hætteglas (type II-glas) med prop (</w:t>
      </w:r>
      <w:proofErr w:type="spellStart"/>
      <w:r w:rsidRPr="00475289">
        <w:rPr>
          <w:szCs w:val="24"/>
        </w:rPr>
        <w:t>bromobutylgummi</w:t>
      </w:r>
      <w:proofErr w:type="spellEnd"/>
      <w:r w:rsidRPr="00475289">
        <w:rPr>
          <w:szCs w:val="24"/>
        </w:rPr>
        <w:t xml:space="preserve">), </w:t>
      </w:r>
      <w:r>
        <w:rPr>
          <w:szCs w:val="24"/>
        </w:rPr>
        <w:t xml:space="preserve">blå </w:t>
      </w:r>
      <w:r w:rsidRPr="00475289">
        <w:rPr>
          <w:szCs w:val="24"/>
        </w:rPr>
        <w:t xml:space="preserve">hætte (aluminium) og </w:t>
      </w:r>
      <w:r>
        <w:rPr>
          <w:szCs w:val="24"/>
        </w:rPr>
        <w:t xml:space="preserve">gråt </w:t>
      </w:r>
      <w:r w:rsidRPr="00475289">
        <w:rPr>
          <w:szCs w:val="24"/>
        </w:rPr>
        <w:t>flip-</w:t>
      </w:r>
      <w:proofErr w:type="spellStart"/>
      <w:r w:rsidRPr="00475289">
        <w:rPr>
          <w:szCs w:val="24"/>
        </w:rPr>
        <w:t>off</w:t>
      </w:r>
      <w:proofErr w:type="spellEnd"/>
      <w:r w:rsidRPr="00475289">
        <w:rPr>
          <w:szCs w:val="24"/>
        </w:rPr>
        <w:t>-lukke (plast).</w:t>
      </w:r>
    </w:p>
    <w:p w:rsidR="00774476" w:rsidRPr="00475289" w:rsidRDefault="00774476" w:rsidP="00774476">
      <w:pPr>
        <w:pStyle w:val="LAFISPCNormal"/>
        <w:tabs>
          <w:tab w:val="clear" w:pos="567"/>
          <w:tab w:val="left" w:pos="2694"/>
        </w:tabs>
        <w:ind w:left="2687"/>
        <w:rPr>
          <w:szCs w:val="24"/>
        </w:rPr>
      </w:pPr>
      <w:r>
        <w:rPr>
          <w:szCs w:val="24"/>
        </w:rPr>
        <w:tab/>
      </w:r>
      <w:r w:rsidRPr="00475289">
        <w:rPr>
          <w:szCs w:val="24"/>
        </w:rPr>
        <w:t>4 ml solvens i et hætteglas (type I-glas) med prop (</w:t>
      </w:r>
      <w:proofErr w:type="spellStart"/>
      <w:r w:rsidRPr="00475289">
        <w:rPr>
          <w:szCs w:val="24"/>
        </w:rPr>
        <w:t>chlorbutylgummi</w:t>
      </w:r>
      <w:proofErr w:type="spellEnd"/>
      <w:r>
        <w:rPr>
          <w:szCs w:val="24"/>
        </w:rPr>
        <w:t xml:space="preserve"> eller </w:t>
      </w:r>
      <w:proofErr w:type="spellStart"/>
      <w:r>
        <w:rPr>
          <w:szCs w:val="24"/>
        </w:rPr>
        <w:t>brombutylgummi</w:t>
      </w:r>
      <w:proofErr w:type="spellEnd"/>
      <w:r w:rsidRPr="00475289">
        <w:rPr>
          <w:szCs w:val="24"/>
        </w:rPr>
        <w:t xml:space="preserve">), </w:t>
      </w:r>
      <w:r>
        <w:rPr>
          <w:szCs w:val="24"/>
        </w:rPr>
        <w:t xml:space="preserve">blå </w:t>
      </w:r>
      <w:r w:rsidRPr="00475289">
        <w:rPr>
          <w:szCs w:val="24"/>
        </w:rPr>
        <w:t xml:space="preserve">hætte (aluminium) og </w:t>
      </w:r>
      <w:r>
        <w:rPr>
          <w:szCs w:val="24"/>
        </w:rPr>
        <w:t xml:space="preserve">gråt </w:t>
      </w:r>
      <w:r w:rsidRPr="00475289">
        <w:rPr>
          <w:szCs w:val="24"/>
        </w:rPr>
        <w:t>flip-</w:t>
      </w:r>
      <w:proofErr w:type="spellStart"/>
      <w:r w:rsidRPr="00475289">
        <w:rPr>
          <w:szCs w:val="24"/>
        </w:rPr>
        <w:t>off</w:t>
      </w:r>
      <w:proofErr w:type="spellEnd"/>
      <w:r w:rsidRPr="00475289">
        <w:rPr>
          <w:szCs w:val="24"/>
        </w:rPr>
        <w:t>-lukke (plast).</w:t>
      </w:r>
    </w:p>
    <w:p w:rsidR="00774476" w:rsidRPr="00475289" w:rsidRDefault="00774476" w:rsidP="00774476">
      <w:pPr>
        <w:pStyle w:val="LAFISPCNormal"/>
        <w:tabs>
          <w:tab w:val="clear" w:pos="567"/>
          <w:tab w:val="left" w:pos="2694"/>
        </w:tabs>
        <w:ind w:left="2687" w:hanging="1836"/>
        <w:rPr>
          <w:szCs w:val="24"/>
        </w:rPr>
      </w:pPr>
      <w:proofErr w:type="spellStart"/>
      <w:r w:rsidRPr="00475289">
        <w:rPr>
          <w:szCs w:val="24"/>
        </w:rPr>
        <w:t>Berinert</w:t>
      </w:r>
      <w:proofErr w:type="spellEnd"/>
      <w:r w:rsidRPr="00475289">
        <w:rPr>
          <w:szCs w:val="24"/>
        </w:rPr>
        <w:t xml:space="preserve"> 3000</w:t>
      </w:r>
      <w:r>
        <w:rPr>
          <w:szCs w:val="24"/>
        </w:rPr>
        <w:t xml:space="preserve"> IE:</w:t>
      </w:r>
      <w:r>
        <w:rPr>
          <w:szCs w:val="24"/>
        </w:rPr>
        <w:tab/>
      </w:r>
      <w:r>
        <w:rPr>
          <w:szCs w:val="24"/>
        </w:rPr>
        <w:tab/>
      </w:r>
      <w:r w:rsidRPr="00475289">
        <w:rPr>
          <w:szCs w:val="24"/>
        </w:rPr>
        <w:t>Pulver (3000 IE) i et hætteglas (type II-glas) med prop (</w:t>
      </w:r>
      <w:proofErr w:type="spellStart"/>
      <w:r w:rsidRPr="00475289">
        <w:rPr>
          <w:szCs w:val="24"/>
        </w:rPr>
        <w:t>bromobutylgummi</w:t>
      </w:r>
      <w:proofErr w:type="spellEnd"/>
      <w:r w:rsidRPr="00475289">
        <w:rPr>
          <w:szCs w:val="24"/>
        </w:rPr>
        <w:t xml:space="preserve">), </w:t>
      </w:r>
      <w:r>
        <w:rPr>
          <w:szCs w:val="24"/>
        </w:rPr>
        <w:t xml:space="preserve">blå </w:t>
      </w:r>
      <w:r w:rsidRPr="00475289">
        <w:rPr>
          <w:szCs w:val="24"/>
        </w:rPr>
        <w:t xml:space="preserve">hætte (aluminium) og </w:t>
      </w:r>
      <w:r>
        <w:rPr>
          <w:szCs w:val="24"/>
        </w:rPr>
        <w:t xml:space="preserve">citrongult </w:t>
      </w:r>
      <w:r w:rsidRPr="00475289">
        <w:rPr>
          <w:szCs w:val="24"/>
        </w:rPr>
        <w:t>flip-</w:t>
      </w:r>
      <w:proofErr w:type="spellStart"/>
      <w:r w:rsidRPr="00475289">
        <w:rPr>
          <w:szCs w:val="24"/>
        </w:rPr>
        <w:t>off</w:t>
      </w:r>
      <w:proofErr w:type="spellEnd"/>
      <w:r w:rsidRPr="00475289">
        <w:rPr>
          <w:szCs w:val="24"/>
        </w:rPr>
        <w:t>-lukke (plast).</w:t>
      </w:r>
    </w:p>
    <w:p w:rsidR="002F5222" w:rsidRPr="00475289" w:rsidRDefault="00774476" w:rsidP="00774476">
      <w:pPr>
        <w:pStyle w:val="LAFISPCNormal"/>
        <w:tabs>
          <w:tab w:val="clear" w:pos="567"/>
          <w:tab w:val="left" w:pos="2694"/>
        </w:tabs>
        <w:ind w:left="2687"/>
        <w:rPr>
          <w:szCs w:val="24"/>
        </w:rPr>
      </w:pPr>
      <w:r>
        <w:rPr>
          <w:szCs w:val="24"/>
        </w:rPr>
        <w:tab/>
      </w:r>
      <w:r w:rsidR="000C6756">
        <w:rPr>
          <w:szCs w:val="24"/>
        </w:rPr>
        <w:t>5,</w:t>
      </w:r>
      <w:r w:rsidRPr="00475289">
        <w:rPr>
          <w:szCs w:val="24"/>
        </w:rPr>
        <w:t>6 ml solvens i et hætteglas (type I-glas) med prop (</w:t>
      </w:r>
      <w:proofErr w:type="spellStart"/>
      <w:r w:rsidRPr="00475289">
        <w:rPr>
          <w:szCs w:val="24"/>
        </w:rPr>
        <w:t>chlorbutylgummi</w:t>
      </w:r>
      <w:proofErr w:type="spellEnd"/>
      <w:r>
        <w:rPr>
          <w:szCs w:val="24"/>
        </w:rPr>
        <w:t xml:space="preserve"> eller </w:t>
      </w:r>
      <w:proofErr w:type="spellStart"/>
      <w:r>
        <w:rPr>
          <w:szCs w:val="24"/>
        </w:rPr>
        <w:t>brombutylgummi</w:t>
      </w:r>
      <w:proofErr w:type="spellEnd"/>
      <w:r w:rsidRPr="00475289">
        <w:rPr>
          <w:szCs w:val="24"/>
        </w:rPr>
        <w:t xml:space="preserve">), </w:t>
      </w:r>
      <w:r>
        <w:rPr>
          <w:szCs w:val="24"/>
        </w:rPr>
        <w:t xml:space="preserve">blå </w:t>
      </w:r>
      <w:r w:rsidRPr="00475289">
        <w:rPr>
          <w:szCs w:val="24"/>
        </w:rPr>
        <w:t xml:space="preserve">hætte (aluminium) og </w:t>
      </w:r>
      <w:r>
        <w:rPr>
          <w:szCs w:val="24"/>
        </w:rPr>
        <w:t xml:space="preserve">limegrønt </w:t>
      </w:r>
      <w:r w:rsidRPr="00475289">
        <w:rPr>
          <w:szCs w:val="24"/>
        </w:rPr>
        <w:t>flip-</w:t>
      </w:r>
      <w:proofErr w:type="spellStart"/>
      <w:r w:rsidRPr="00475289">
        <w:rPr>
          <w:szCs w:val="24"/>
        </w:rPr>
        <w:t>off</w:t>
      </w:r>
      <w:proofErr w:type="spellEnd"/>
      <w:r w:rsidRPr="00475289">
        <w:rPr>
          <w:szCs w:val="24"/>
        </w:rPr>
        <w:t>-lukke (plast).</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sidRPr="00475289">
        <w:rPr>
          <w:szCs w:val="24"/>
        </w:rPr>
        <w:t>Pakninger:</w:t>
      </w:r>
    </w:p>
    <w:p w:rsidR="002F5222" w:rsidRPr="00475289" w:rsidRDefault="002F5222" w:rsidP="002F5222">
      <w:pPr>
        <w:pStyle w:val="LAFISPCNormal"/>
        <w:tabs>
          <w:tab w:val="clear" w:pos="567"/>
        </w:tabs>
        <w:ind w:left="851"/>
        <w:rPr>
          <w:szCs w:val="24"/>
        </w:rPr>
      </w:pPr>
      <w:r w:rsidRPr="00475289">
        <w:rPr>
          <w:szCs w:val="24"/>
        </w:rPr>
        <w:t>Æske indeholdende:</w:t>
      </w:r>
    </w:p>
    <w:p w:rsidR="002F5222" w:rsidRPr="00475289" w:rsidRDefault="002F5222" w:rsidP="002F5222">
      <w:pPr>
        <w:pStyle w:val="LAFISPCNormal"/>
        <w:tabs>
          <w:tab w:val="clear" w:pos="567"/>
        </w:tabs>
        <w:ind w:left="851"/>
        <w:rPr>
          <w:szCs w:val="24"/>
        </w:rPr>
      </w:pPr>
      <w:r w:rsidRPr="00475289">
        <w:rPr>
          <w:szCs w:val="24"/>
        </w:rPr>
        <w:t>1 hætteglas med pulver</w:t>
      </w:r>
    </w:p>
    <w:p w:rsidR="002F5222" w:rsidRPr="00475289" w:rsidRDefault="002F5222" w:rsidP="002F5222">
      <w:pPr>
        <w:pStyle w:val="LAFISPCNormal"/>
        <w:tabs>
          <w:tab w:val="clear" w:pos="567"/>
        </w:tabs>
        <w:ind w:left="851"/>
        <w:rPr>
          <w:szCs w:val="24"/>
        </w:rPr>
      </w:pPr>
      <w:r w:rsidRPr="00475289">
        <w:rPr>
          <w:szCs w:val="24"/>
        </w:rPr>
        <w:t>1 hætteglas med solvens (</w:t>
      </w:r>
      <w:proofErr w:type="spellStart"/>
      <w:r w:rsidRPr="00475289">
        <w:rPr>
          <w:szCs w:val="24"/>
        </w:rPr>
        <w:t>Berinert</w:t>
      </w:r>
      <w:proofErr w:type="spellEnd"/>
      <w:r w:rsidRPr="00475289">
        <w:rPr>
          <w:szCs w:val="24"/>
        </w:rPr>
        <w:t xml:space="preserve"> 2000</w:t>
      </w:r>
      <w:r>
        <w:rPr>
          <w:szCs w:val="24"/>
        </w:rPr>
        <w:t xml:space="preserve"> IE</w:t>
      </w:r>
      <w:r w:rsidRPr="00475289">
        <w:rPr>
          <w:szCs w:val="24"/>
        </w:rPr>
        <w:t xml:space="preserve">: 4 ml, </w:t>
      </w:r>
      <w:proofErr w:type="spellStart"/>
      <w:r w:rsidRPr="00475289">
        <w:rPr>
          <w:szCs w:val="24"/>
        </w:rPr>
        <w:t>Berinert</w:t>
      </w:r>
      <w:proofErr w:type="spellEnd"/>
      <w:r w:rsidRPr="00475289">
        <w:rPr>
          <w:szCs w:val="24"/>
        </w:rPr>
        <w:t xml:space="preserve"> 3000</w:t>
      </w:r>
      <w:r>
        <w:rPr>
          <w:szCs w:val="24"/>
        </w:rPr>
        <w:t xml:space="preserve"> IE</w:t>
      </w:r>
      <w:r w:rsidRPr="00475289">
        <w:rPr>
          <w:szCs w:val="24"/>
        </w:rPr>
        <w:t xml:space="preserve">: </w:t>
      </w:r>
      <w:r w:rsidR="000C6756">
        <w:rPr>
          <w:szCs w:val="24"/>
        </w:rPr>
        <w:t>5,</w:t>
      </w:r>
      <w:r w:rsidRPr="00475289">
        <w:rPr>
          <w:szCs w:val="24"/>
        </w:rPr>
        <w:t>6 ml)</w:t>
      </w:r>
    </w:p>
    <w:p w:rsidR="002F5222" w:rsidRPr="00475289" w:rsidRDefault="002F5222" w:rsidP="002F5222">
      <w:pPr>
        <w:pStyle w:val="LAFISPCNormal"/>
        <w:tabs>
          <w:tab w:val="clear" w:pos="567"/>
        </w:tabs>
        <w:ind w:left="851"/>
        <w:rPr>
          <w:szCs w:val="24"/>
        </w:rPr>
      </w:pPr>
      <w:r w:rsidRPr="00475289">
        <w:rPr>
          <w:szCs w:val="24"/>
        </w:rPr>
        <w:t>1 overføringssæt med filter 20/20</w:t>
      </w:r>
    </w:p>
    <w:p w:rsidR="002F5222" w:rsidRPr="00475289" w:rsidRDefault="002F5222" w:rsidP="002F5222">
      <w:pPr>
        <w:pStyle w:val="LAFISPCNormal"/>
        <w:tabs>
          <w:tab w:val="clear" w:pos="567"/>
        </w:tabs>
        <w:ind w:left="851"/>
        <w:rPr>
          <w:szCs w:val="24"/>
        </w:rPr>
      </w:pPr>
      <w:r w:rsidRPr="00475289">
        <w:rPr>
          <w:szCs w:val="24"/>
        </w:rPr>
        <w:t>Tilbehør til administration (indre æske):</w:t>
      </w:r>
    </w:p>
    <w:p w:rsidR="002F5222" w:rsidRPr="00783629" w:rsidRDefault="002F5222" w:rsidP="002F5222">
      <w:pPr>
        <w:pStyle w:val="LAFISPCNormal"/>
        <w:tabs>
          <w:tab w:val="clear" w:pos="567"/>
        </w:tabs>
        <w:ind w:left="851"/>
        <w:rPr>
          <w:szCs w:val="24"/>
          <w:lang w:val="de-DE"/>
        </w:rPr>
      </w:pPr>
      <w:r w:rsidRPr="00783629">
        <w:rPr>
          <w:szCs w:val="24"/>
          <w:lang w:val="de-DE"/>
        </w:rPr>
        <w:t xml:space="preserve">1 </w:t>
      </w:r>
      <w:proofErr w:type="spellStart"/>
      <w:r w:rsidRPr="00783629">
        <w:rPr>
          <w:szCs w:val="24"/>
          <w:lang w:val="de-DE"/>
        </w:rPr>
        <w:t>engangssprøjte</w:t>
      </w:r>
      <w:proofErr w:type="spellEnd"/>
      <w:r w:rsidRPr="00783629">
        <w:rPr>
          <w:szCs w:val="24"/>
          <w:lang w:val="de-DE"/>
        </w:rPr>
        <w:t xml:space="preserve"> (</w:t>
      </w:r>
      <w:proofErr w:type="spellStart"/>
      <w:r w:rsidRPr="00783629">
        <w:rPr>
          <w:szCs w:val="24"/>
          <w:lang w:val="de-DE"/>
        </w:rPr>
        <w:t>Berinert</w:t>
      </w:r>
      <w:proofErr w:type="spellEnd"/>
      <w:r w:rsidRPr="00783629">
        <w:rPr>
          <w:szCs w:val="24"/>
          <w:lang w:val="de-DE"/>
        </w:rPr>
        <w:t xml:space="preserve"> 2000 IE: 5 ml, </w:t>
      </w:r>
      <w:proofErr w:type="spellStart"/>
      <w:r w:rsidRPr="00783629">
        <w:rPr>
          <w:szCs w:val="24"/>
          <w:lang w:val="de-DE"/>
        </w:rPr>
        <w:t>Berinert</w:t>
      </w:r>
      <w:proofErr w:type="spellEnd"/>
      <w:r w:rsidRPr="00783629">
        <w:rPr>
          <w:szCs w:val="24"/>
          <w:lang w:val="de-DE"/>
        </w:rPr>
        <w:t xml:space="preserve"> 3000 IE: 10 ml)</w:t>
      </w:r>
    </w:p>
    <w:p w:rsidR="002F5222" w:rsidRPr="00475289" w:rsidRDefault="002F5222" w:rsidP="002F5222">
      <w:pPr>
        <w:pStyle w:val="LAFISPCNormal"/>
        <w:tabs>
          <w:tab w:val="clear" w:pos="567"/>
        </w:tabs>
        <w:ind w:left="851"/>
        <w:rPr>
          <w:szCs w:val="24"/>
        </w:rPr>
      </w:pPr>
      <w:r w:rsidRPr="00475289">
        <w:rPr>
          <w:szCs w:val="24"/>
        </w:rPr>
        <w:t xml:space="preserve">1 </w:t>
      </w:r>
      <w:proofErr w:type="spellStart"/>
      <w:r w:rsidRPr="00475289">
        <w:rPr>
          <w:szCs w:val="24"/>
        </w:rPr>
        <w:t>hypodermisk</w:t>
      </w:r>
      <w:proofErr w:type="spellEnd"/>
      <w:r w:rsidRPr="00475289">
        <w:rPr>
          <w:szCs w:val="24"/>
        </w:rPr>
        <w:t xml:space="preserve"> kanyle</w:t>
      </w:r>
    </w:p>
    <w:p w:rsidR="002F5222" w:rsidRPr="00475289" w:rsidRDefault="002F5222" w:rsidP="002F5222">
      <w:pPr>
        <w:pStyle w:val="LAFISPCNormal"/>
        <w:tabs>
          <w:tab w:val="clear" w:pos="567"/>
        </w:tabs>
        <w:ind w:left="851"/>
        <w:rPr>
          <w:szCs w:val="24"/>
        </w:rPr>
      </w:pPr>
      <w:r w:rsidRPr="00475289">
        <w:rPr>
          <w:szCs w:val="24"/>
        </w:rPr>
        <w:t>1 subkutant injektionssæt</w:t>
      </w:r>
    </w:p>
    <w:p w:rsidR="002F5222" w:rsidRPr="00475289" w:rsidRDefault="002F5222" w:rsidP="002F5222">
      <w:pPr>
        <w:pStyle w:val="LAFISPCNormal"/>
        <w:tabs>
          <w:tab w:val="clear" w:pos="567"/>
        </w:tabs>
        <w:ind w:left="851"/>
        <w:rPr>
          <w:szCs w:val="24"/>
        </w:rPr>
      </w:pPr>
      <w:r w:rsidRPr="00475289">
        <w:rPr>
          <w:szCs w:val="24"/>
        </w:rPr>
        <w:t>2 spritservietter</w:t>
      </w:r>
    </w:p>
    <w:p w:rsidR="002F5222" w:rsidRPr="00475289" w:rsidRDefault="002F5222" w:rsidP="002F5222">
      <w:pPr>
        <w:pStyle w:val="LAFISPCNormal"/>
        <w:tabs>
          <w:tab w:val="clear" w:pos="567"/>
        </w:tabs>
        <w:ind w:left="851"/>
        <w:rPr>
          <w:szCs w:val="24"/>
        </w:rPr>
      </w:pPr>
      <w:r w:rsidRPr="00475289">
        <w:rPr>
          <w:szCs w:val="24"/>
        </w:rPr>
        <w:t>1 plaster</w:t>
      </w:r>
    </w:p>
    <w:p w:rsidR="002F5222"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Pr>
          <w:szCs w:val="24"/>
        </w:rPr>
        <w:t>Pakninger med 1×2000 IE og 1×3000 IE.</w:t>
      </w:r>
    </w:p>
    <w:p w:rsidR="002F5222" w:rsidRPr="00475289" w:rsidRDefault="002F5222" w:rsidP="002F5222">
      <w:pPr>
        <w:pStyle w:val="LAFISPCNormal"/>
        <w:tabs>
          <w:tab w:val="clear" w:pos="567"/>
        </w:tabs>
        <w:ind w:left="851"/>
        <w:rPr>
          <w:szCs w:val="24"/>
        </w:rPr>
      </w:pPr>
      <w:r w:rsidRPr="00475289">
        <w:rPr>
          <w:szCs w:val="24"/>
        </w:rPr>
        <w:t>Multipakninger med 5</w:t>
      </w:r>
      <w:r>
        <w:rPr>
          <w:szCs w:val="24"/>
        </w:rPr>
        <w:t>×</w:t>
      </w:r>
      <w:r w:rsidRPr="00475289">
        <w:rPr>
          <w:szCs w:val="24"/>
        </w:rPr>
        <w:t>2000 IE og 20</w:t>
      </w:r>
      <w:r>
        <w:rPr>
          <w:szCs w:val="24"/>
        </w:rPr>
        <w:t>×</w:t>
      </w:r>
      <w:r w:rsidRPr="00475289">
        <w:rPr>
          <w:szCs w:val="24"/>
        </w:rPr>
        <w:t xml:space="preserve">2000 IE. </w:t>
      </w:r>
    </w:p>
    <w:p w:rsidR="002F5222" w:rsidRPr="00475289" w:rsidRDefault="002F5222" w:rsidP="002F5222">
      <w:pPr>
        <w:pStyle w:val="LAFISPCNormal"/>
        <w:tabs>
          <w:tab w:val="clear" w:pos="567"/>
        </w:tabs>
        <w:ind w:left="851"/>
        <w:rPr>
          <w:szCs w:val="24"/>
        </w:rPr>
      </w:pPr>
      <w:r w:rsidRPr="00475289">
        <w:rPr>
          <w:szCs w:val="24"/>
        </w:rPr>
        <w:t>Multipakninger med 5</w:t>
      </w:r>
      <w:r>
        <w:rPr>
          <w:szCs w:val="24"/>
        </w:rPr>
        <w:t>×</w:t>
      </w:r>
      <w:r w:rsidRPr="00475289">
        <w:rPr>
          <w:szCs w:val="24"/>
        </w:rPr>
        <w:t>3000 IE og 20</w:t>
      </w:r>
      <w:r>
        <w:rPr>
          <w:szCs w:val="24"/>
        </w:rPr>
        <w:t>×</w:t>
      </w:r>
      <w:r w:rsidRPr="00475289">
        <w:rPr>
          <w:szCs w:val="24"/>
        </w:rPr>
        <w:t>3000 IE.</w:t>
      </w:r>
    </w:p>
    <w:p w:rsidR="002F5222" w:rsidRPr="00475289" w:rsidRDefault="002F5222" w:rsidP="002F5222">
      <w:pPr>
        <w:pStyle w:val="LAFISPCNormal"/>
        <w:tabs>
          <w:tab w:val="clear" w:pos="567"/>
        </w:tabs>
        <w:ind w:left="851"/>
        <w:rPr>
          <w:szCs w:val="24"/>
        </w:rPr>
      </w:pPr>
    </w:p>
    <w:p w:rsidR="002F5222" w:rsidRPr="00475289" w:rsidRDefault="002F5222" w:rsidP="002F5222">
      <w:pPr>
        <w:pStyle w:val="LAFISPCNormal"/>
        <w:tabs>
          <w:tab w:val="clear" w:pos="567"/>
        </w:tabs>
        <w:ind w:left="851"/>
        <w:rPr>
          <w:szCs w:val="24"/>
        </w:rPr>
      </w:pPr>
      <w:r w:rsidRPr="00475289">
        <w:rPr>
          <w:szCs w:val="24"/>
        </w:rPr>
        <w:t>Ikke alle pakningsstørrelser er nødvendigvis markedsført.</w:t>
      </w:r>
    </w:p>
    <w:p w:rsidR="002F5222" w:rsidRPr="00475289" w:rsidRDefault="002F5222" w:rsidP="002F5222">
      <w:pPr>
        <w:ind w:left="851" w:hanging="851"/>
        <w:rPr>
          <w:sz w:val="24"/>
          <w:szCs w:val="24"/>
        </w:rPr>
      </w:pPr>
    </w:p>
    <w:p w:rsidR="002F5222" w:rsidRPr="00475289" w:rsidRDefault="002F5222" w:rsidP="009C1E48">
      <w:pPr>
        <w:keepNext/>
        <w:ind w:left="851" w:hanging="851"/>
        <w:rPr>
          <w:b/>
          <w:sz w:val="24"/>
          <w:szCs w:val="24"/>
        </w:rPr>
      </w:pPr>
      <w:r w:rsidRPr="00475289">
        <w:rPr>
          <w:b/>
          <w:sz w:val="24"/>
          <w:szCs w:val="24"/>
        </w:rPr>
        <w:t>6.6</w:t>
      </w:r>
      <w:r w:rsidRPr="00475289">
        <w:rPr>
          <w:b/>
          <w:sz w:val="24"/>
          <w:szCs w:val="24"/>
        </w:rPr>
        <w:tab/>
        <w:t>Regler for destruktion og anden håndtering</w:t>
      </w:r>
    </w:p>
    <w:p w:rsidR="002F5222" w:rsidRPr="00475289" w:rsidRDefault="002F5222" w:rsidP="002F5222">
      <w:pPr>
        <w:pStyle w:val="LAFISPCNormal"/>
        <w:tabs>
          <w:tab w:val="clear" w:pos="567"/>
        </w:tabs>
        <w:ind w:left="851"/>
        <w:rPr>
          <w:szCs w:val="24"/>
        </w:rPr>
      </w:pPr>
      <w:r w:rsidRPr="00475289">
        <w:rPr>
          <w:szCs w:val="24"/>
        </w:rPr>
        <w:t>Ikke anvendt lægemiddel samt affald heraf skal bortskaffes i henhold til lokale retningslinjer.</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b/>
          <w:bCs/>
          <w:i/>
          <w:iCs/>
          <w:szCs w:val="24"/>
        </w:rPr>
      </w:pPr>
      <w:r w:rsidRPr="00475289">
        <w:rPr>
          <w:b/>
          <w:bCs/>
          <w:i/>
          <w:iCs/>
          <w:szCs w:val="24"/>
        </w:rPr>
        <w:t>Administration</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i/>
          <w:iCs/>
          <w:szCs w:val="24"/>
        </w:rPr>
      </w:pPr>
      <w:r w:rsidRPr="00475289">
        <w:rPr>
          <w:i/>
          <w:iCs/>
          <w:szCs w:val="24"/>
        </w:rPr>
        <w:t>Generel vejledning</w:t>
      </w:r>
    </w:p>
    <w:p w:rsidR="002F5222" w:rsidRPr="00475289" w:rsidRDefault="002F5222" w:rsidP="002F5222">
      <w:pPr>
        <w:pStyle w:val="LAFISPCNormal"/>
        <w:numPr>
          <w:ilvl w:val="0"/>
          <w:numId w:val="6"/>
        </w:numPr>
        <w:tabs>
          <w:tab w:val="clear" w:pos="567"/>
          <w:tab w:val="clear" w:pos="1287"/>
        </w:tabs>
        <w:ind w:left="1276" w:hanging="425"/>
        <w:rPr>
          <w:szCs w:val="24"/>
        </w:rPr>
      </w:pPr>
      <w:r w:rsidRPr="00475289">
        <w:rPr>
          <w:szCs w:val="24"/>
        </w:rPr>
        <w:t xml:space="preserve">Den </w:t>
      </w:r>
      <w:proofErr w:type="spellStart"/>
      <w:r w:rsidRPr="00475289">
        <w:rPr>
          <w:szCs w:val="24"/>
        </w:rPr>
        <w:t>rekonstituerede</w:t>
      </w:r>
      <w:proofErr w:type="spellEnd"/>
      <w:r w:rsidRPr="00475289">
        <w:rPr>
          <w:szCs w:val="24"/>
        </w:rPr>
        <w:t xml:space="preserve"> opløsning af </w:t>
      </w:r>
      <w:proofErr w:type="spellStart"/>
      <w:r w:rsidRPr="00475289">
        <w:rPr>
          <w:szCs w:val="24"/>
        </w:rPr>
        <w:t>Berinert</w:t>
      </w:r>
      <w:proofErr w:type="spellEnd"/>
      <w:r w:rsidRPr="00475289">
        <w:rPr>
          <w:szCs w:val="24"/>
        </w:rPr>
        <w:t xml:space="preserve"> skal være farveløs og klar til let opaliserende. </w:t>
      </w:r>
    </w:p>
    <w:p w:rsidR="002F5222" w:rsidRPr="00475289" w:rsidRDefault="002F5222" w:rsidP="002F5222">
      <w:pPr>
        <w:pStyle w:val="LAFISPCNormal"/>
        <w:numPr>
          <w:ilvl w:val="0"/>
          <w:numId w:val="6"/>
        </w:numPr>
        <w:tabs>
          <w:tab w:val="clear" w:pos="567"/>
          <w:tab w:val="clear" w:pos="1287"/>
        </w:tabs>
        <w:ind w:left="1276" w:hanging="425"/>
        <w:rPr>
          <w:szCs w:val="24"/>
        </w:rPr>
      </w:pPr>
      <w:r w:rsidRPr="00475289">
        <w:rPr>
          <w:szCs w:val="24"/>
        </w:rPr>
        <w:t xml:space="preserve">Efter filtrering/fyldning af sprøjten (se nedenfor) skal det </w:t>
      </w:r>
      <w:proofErr w:type="spellStart"/>
      <w:r w:rsidRPr="00475289">
        <w:rPr>
          <w:szCs w:val="24"/>
        </w:rPr>
        <w:t>rekonstituerede</w:t>
      </w:r>
      <w:proofErr w:type="spellEnd"/>
      <w:r w:rsidRPr="00475289">
        <w:rPr>
          <w:szCs w:val="24"/>
        </w:rPr>
        <w:t xml:space="preserve"> præparat inspiceres visuelt for partikelindhold og misfarvning, før det indgives.</w:t>
      </w:r>
    </w:p>
    <w:p w:rsidR="002F5222" w:rsidRPr="00475289" w:rsidRDefault="002F5222" w:rsidP="002F5222">
      <w:pPr>
        <w:pStyle w:val="LAFISPCNormal"/>
        <w:numPr>
          <w:ilvl w:val="0"/>
          <w:numId w:val="6"/>
        </w:numPr>
        <w:tabs>
          <w:tab w:val="clear" w:pos="567"/>
          <w:tab w:val="clear" w:pos="1287"/>
        </w:tabs>
        <w:ind w:left="1276" w:hanging="425"/>
        <w:rPr>
          <w:szCs w:val="24"/>
        </w:rPr>
      </w:pPr>
      <w:r w:rsidRPr="00475289">
        <w:rPr>
          <w:szCs w:val="24"/>
        </w:rPr>
        <w:t>Anvend ikke opløsninger, der er uklare eller indeholder bundfald.</w:t>
      </w:r>
    </w:p>
    <w:p w:rsidR="002F5222" w:rsidRPr="00475289" w:rsidRDefault="002F5222" w:rsidP="002F5222">
      <w:pPr>
        <w:pStyle w:val="LAFISPCNormal"/>
        <w:numPr>
          <w:ilvl w:val="0"/>
          <w:numId w:val="6"/>
        </w:numPr>
        <w:tabs>
          <w:tab w:val="clear" w:pos="567"/>
          <w:tab w:val="clear" w:pos="1287"/>
        </w:tabs>
        <w:ind w:left="1276" w:hanging="425"/>
        <w:rPr>
          <w:szCs w:val="24"/>
        </w:rPr>
      </w:pPr>
      <w:r w:rsidRPr="00475289">
        <w:rPr>
          <w:szCs w:val="24"/>
        </w:rPr>
        <w:t>Fremstilling af opløsningen og fyldning af sprøjten skal ske under aseptiske forhold. Anvend den sprøjte, der udleveres sammen med lægemidlet.</w:t>
      </w:r>
    </w:p>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i/>
          <w:iCs/>
          <w:szCs w:val="24"/>
        </w:rPr>
      </w:pPr>
      <w:r w:rsidRPr="00475289">
        <w:rPr>
          <w:i/>
          <w:iCs/>
          <w:szCs w:val="24"/>
        </w:rPr>
        <w:t>Fremstilling af opløsningen</w:t>
      </w:r>
    </w:p>
    <w:p w:rsidR="002F5222" w:rsidRPr="00475289" w:rsidRDefault="002F5222" w:rsidP="002F5222">
      <w:pPr>
        <w:pStyle w:val="LAFISPCNormal"/>
        <w:tabs>
          <w:tab w:val="clear" w:pos="567"/>
        </w:tabs>
        <w:ind w:left="851"/>
        <w:rPr>
          <w:szCs w:val="24"/>
        </w:rPr>
      </w:pPr>
      <w:r w:rsidRPr="00475289">
        <w:rPr>
          <w:szCs w:val="24"/>
        </w:rPr>
        <w:t>Opvarm solvensen til stuetemperatur. Fjern plastlukkerne på hætteglassene med pulver og solvens. Rengør propperne udenpå med antiseptisk opløsning og lad dem tørre, før Mix2Vial-pakken åbnes.</w:t>
      </w:r>
    </w:p>
    <w:p w:rsidR="002F5222" w:rsidRPr="00475289" w:rsidRDefault="002F5222" w:rsidP="002F5222">
      <w:pPr>
        <w:pStyle w:val="LAFISPCNormal"/>
        <w:tabs>
          <w:tab w:val="clear" w:pos="567"/>
        </w:tabs>
        <w:ind w:left="851" w:hanging="851"/>
        <w:rPr>
          <w:szCs w:val="24"/>
        </w:rPr>
      </w:pPr>
    </w:p>
    <w:tbl>
      <w:tblPr>
        <w:tblW w:w="838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4678"/>
      </w:tblGrid>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drawing>
                <wp:inline distT="0" distB="0" distL="0" distR="0" wp14:anchorId="061693D1" wp14:editId="2B315A58">
                  <wp:extent cx="716280" cy="731520"/>
                  <wp:effectExtent l="0" t="0" r="7620" b="0"/>
                  <wp:docPr id="10" name="Billede 10" descr="Ab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bb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31520"/>
                          </a:xfrm>
                          <a:prstGeom prst="rect">
                            <a:avLst/>
                          </a:prstGeom>
                          <a:noFill/>
                          <a:ln>
                            <a:noFill/>
                          </a:ln>
                        </pic:spPr>
                      </pic:pic>
                    </a:graphicData>
                  </a:graphic>
                </wp:inline>
              </w:drawing>
            </w:r>
            <w:r w:rsidRPr="004A1003">
              <w:rPr>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1. Åbn Mix2Vial-pakken ved at trække forseglingen af. Fjern </w:t>
            </w:r>
            <w:r w:rsidRPr="004A1003">
              <w:rPr>
                <w:b/>
                <w:sz w:val="24"/>
                <w:szCs w:val="24"/>
                <w:u w:val="single"/>
              </w:rPr>
              <w:t>ikke</w:t>
            </w:r>
            <w:r w:rsidRPr="004A1003">
              <w:rPr>
                <w:sz w:val="24"/>
                <w:szCs w:val="24"/>
              </w:rPr>
              <w:t xml:space="preserve"> Mix2Vial fra blisterpakken!</w:t>
            </w:r>
          </w:p>
        </w:tc>
      </w:tr>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drawing>
                <wp:inline distT="0" distB="0" distL="0" distR="0" wp14:anchorId="1F63BC42" wp14:editId="503A0518">
                  <wp:extent cx="563880" cy="1143000"/>
                  <wp:effectExtent l="0" t="0" r="7620" b="0"/>
                  <wp:docPr id="9" name="Billede 9" descr="Ab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bb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 cy="1143000"/>
                          </a:xfrm>
                          <a:prstGeom prst="rect">
                            <a:avLst/>
                          </a:prstGeom>
                          <a:noFill/>
                          <a:ln>
                            <a:noFill/>
                          </a:ln>
                        </pic:spPr>
                      </pic:pic>
                    </a:graphicData>
                  </a:graphic>
                </wp:inline>
              </w:drawing>
            </w:r>
            <w:r w:rsidRPr="004A1003">
              <w:rPr>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2. Placer solvenshætteglasset på en plan, ren overflade, og hold fast i hætteglasset. Tag pakken med Mix2Vial-sættet, og tryk spidsen af den blå </w:t>
            </w:r>
            <w:proofErr w:type="spellStart"/>
            <w:r w:rsidRPr="004A1003">
              <w:rPr>
                <w:sz w:val="24"/>
                <w:szCs w:val="24"/>
              </w:rPr>
              <w:t>adapter-ende</w:t>
            </w:r>
            <w:proofErr w:type="spellEnd"/>
            <w:r w:rsidRPr="004A1003">
              <w:rPr>
                <w:sz w:val="24"/>
                <w:szCs w:val="24"/>
              </w:rPr>
              <w:t xml:space="preserve"> </w:t>
            </w:r>
            <w:r w:rsidRPr="004A1003">
              <w:rPr>
                <w:b/>
                <w:sz w:val="24"/>
                <w:szCs w:val="24"/>
              </w:rPr>
              <w:t>lige ned</w:t>
            </w:r>
            <w:r w:rsidRPr="004A1003">
              <w:rPr>
                <w:sz w:val="24"/>
                <w:szCs w:val="24"/>
              </w:rPr>
              <w:t xml:space="preserve"> gennem solvenshætteglassets prop.</w:t>
            </w:r>
          </w:p>
        </w:tc>
      </w:tr>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drawing>
                <wp:inline distT="0" distB="0" distL="0" distR="0" wp14:anchorId="5CE250BE" wp14:editId="71407FDB">
                  <wp:extent cx="449580" cy="1158240"/>
                  <wp:effectExtent l="0" t="0" r="7620" b="3810"/>
                  <wp:docPr id="8" name="Billede 8" descr="Ab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Abb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 cy="1158240"/>
                          </a:xfrm>
                          <a:prstGeom prst="rect">
                            <a:avLst/>
                          </a:prstGeom>
                          <a:noFill/>
                          <a:ln>
                            <a:noFill/>
                          </a:ln>
                        </pic:spPr>
                      </pic:pic>
                    </a:graphicData>
                  </a:graphic>
                </wp:inline>
              </w:drawing>
            </w:r>
            <w:r w:rsidRPr="004A1003">
              <w:rPr>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3. Fjern forsigtigt emballagen fra Mix2Vial-sættet ved at holde i kanten og trække </w:t>
            </w:r>
            <w:r w:rsidRPr="004A1003">
              <w:rPr>
                <w:b/>
                <w:sz w:val="24"/>
                <w:szCs w:val="24"/>
              </w:rPr>
              <w:t>lodret</w:t>
            </w:r>
            <w:r w:rsidRPr="004A1003">
              <w:rPr>
                <w:sz w:val="24"/>
                <w:szCs w:val="24"/>
              </w:rPr>
              <w:t xml:space="preserve"> opad. Sørg for kun at fjerne emballagen og ikke Mix2Vial-sættet.</w:t>
            </w:r>
          </w:p>
        </w:tc>
      </w:tr>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drawing>
                <wp:inline distT="0" distB="0" distL="0" distR="0" wp14:anchorId="5275F7E8" wp14:editId="12B46928">
                  <wp:extent cx="312420" cy="1219200"/>
                  <wp:effectExtent l="0" t="0" r="0" b="0"/>
                  <wp:docPr id="7" name="Billede 7" descr="Ab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Abb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 cy="1219200"/>
                          </a:xfrm>
                          <a:prstGeom prst="rect">
                            <a:avLst/>
                          </a:prstGeom>
                          <a:noFill/>
                          <a:ln>
                            <a:noFill/>
                          </a:ln>
                        </pic:spPr>
                      </pic:pic>
                    </a:graphicData>
                  </a:graphic>
                </wp:inline>
              </w:drawing>
            </w:r>
            <w:r w:rsidRPr="004A1003">
              <w:rPr>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4. Placer hætteglasset med pulver på et plant og fast underlag. Vend hætteglasset med solvens med Mix2Vial-sættet monteret og tryk spidsen af det transparente mellemstykke </w:t>
            </w:r>
            <w:r w:rsidRPr="004A1003">
              <w:rPr>
                <w:b/>
                <w:sz w:val="24"/>
                <w:szCs w:val="24"/>
              </w:rPr>
              <w:t>lige ned</w:t>
            </w:r>
            <w:r w:rsidRPr="004A1003">
              <w:rPr>
                <w:sz w:val="24"/>
                <w:szCs w:val="24"/>
              </w:rPr>
              <w:t xml:space="preserve"> gennem proppen på hætteglasset med pulver. Solvensen vil automatisk blive overført til hætteglasset med pulver.</w:t>
            </w:r>
          </w:p>
        </w:tc>
      </w:tr>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lastRenderedPageBreak/>
              <w:drawing>
                <wp:inline distT="0" distB="0" distL="0" distR="0" wp14:anchorId="2E32F042" wp14:editId="7337EDD0">
                  <wp:extent cx="396240" cy="1287780"/>
                  <wp:effectExtent l="0" t="0" r="3810" b="7620"/>
                  <wp:docPr id="6" name="Billede 6" descr="Abb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Abb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 cy="1287780"/>
                          </a:xfrm>
                          <a:prstGeom prst="rect">
                            <a:avLst/>
                          </a:prstGeom>
                          <a:noFill/>
                          <a:ln>
                            <a:noFill/>
                          </a:ln>
                        </pic:spPr>
                      </pic:pic>
                    </a:graphicData>
                  </a:graphic>
                </wp:inline>
              </w:drawing>
            </w:r>
            <w:r w:rsidRPr="004A1003">
              <w:rPr>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5. Tag med den ene hånd fat i den del af Mix2Vial-sættet, hvor hætteglasset med pulver er monteret, og med den anden hånd fat i den side af Mix2Vial-sættet, hvor hætteglasset med solvens er monteret, og skil sættet forsigtigt ad i to dele ved at skrue mod uret. </w:t>
            </w:r>
          </w:p>
          <w:p w:rsidR="002F5222" w:rsidRPr="004A1003" w:rsidRDefault="002F5222" w:rsidP="003B4BCE">
            <w:pPr>
              <w:rPr>
                <w:sz w:val="24"/>
                <w:szCs w:val="24"/>
              </w:rPr>
            </w:pPr>
            <w:r w:rsidRPr="004A1003">
              <w:rPr>
                <w:sz w:val="24"/>
                <w:szCs w:val="24"/>
              </w:rPr>
              <w:t>Kassér solvenshætteglasset med det blå Mix2Vial-sæt monteret.</w:t>
            </w:r>
          </w:p>
        </w:tc>
      </w:tr>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drawing>
                <wp:inline distT="0" distB="0" distL="0" distR="0" wp14:anchorId="43AB3C99" wp14:editId="1B409320">
                  <wp:extent cx="906780" cy="906780"/>
                  <wp:effectExtent l="0" t="0" r="7620" b="7620"/>
                  <wp:docPr id="5" name="Billede 5" descr="Abb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Abb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r w:rsidRPr="004A1003">
              <w:rPr>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6. Vip forsigtigt hætteglasset med pulver med det transparente mellemstykke monteret, indtil pulveret er helt opløst. Hætteglasset må ikke rystes.</w:t>
            </w:r>
          </w:p>
        </w:tc>
      </w:tr>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drawing>
                <wp:inline distT="0" distB="0" distL="0" distR="0" wp14:anchorId="1758E86D" wp14:editId="48D9611C">
                  <wp:extent cx="1066800" cy="1501140"/>
                  <wp:effectExtent l="0" t="0" r="0" b="3810"/>
                  <wp:docPr id="4" name="Billede 4" descr="Ab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bb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0" cy="1501140"/>
                          </a:xfrm>
                          <a:prstGeom prst="rect">
                            <a:avLst/>
                          </a:prstGeom>
                          <a:noFill/>
                          <a:ln>
                            <a:noFill/>
                          </a:ln>
                        </pic:spPr>
                      </pic:pic>
                    </a:graphicData>
                  </a:graphic>
                </wp:inline>
              </w:drawing>
            </w:r>
            <w:r w:rsidRPr="004A1003">
              <w:rPr>
                <w:sz w:val="24"/>
                <w:szCs w:val="24"/>
              </w:rPr>
              <w:t>7</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7. Træk luft ind i en tom steril sprøjte.  Anvend den sprøjte, der udleveres sammen med lægemidlet. Monter sprøjten på Mix2Vial's Luer Lock-fatning ved at skrue med uret, mens hætteglasset med pulver stadig er stående. Sprøjt luft ind i hætteglasset.</w:t>
            </w:r>
          </w:p>
        </w:tc>
      </w:tr>
    </w:tbl>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i/>
          <w:iCs/>
          <w:szCs w:val="24"/>
        </w:rPr>
      </w:pPr>
      <w:r w:rsidRPr="00475289">
        <w:rPr>
          <w:i/>
          <w:iCs/>
          <w:szCs w:val="24"/>
        </w:rPr>
        <w:t xml:space="preserve">Fyldning af sprøjte og administration </w:t>
      </w:r>
    </w:p>
    <w:p w:rsidR="002F5222" w:rsidRPr="00475289" w:rsidRDefault="002F5222" w:rsidP="002F5222">
      <w:pPr>
        <w:pStyle w:val="LAFISPCNormal"/>
        <w:tabs>
          <w:tab w:val="clear" w:pos="567"/>
        </w:tabs>
        <w:ind w:left="851" w:hanging="851"/>
        <w:rPr>
          <w:szCs w:val="24"/>
        </w:rPr>
      </w:pPr>
    </w:p>
    <w:tbl>
      <w:tblPr>
        <w:tblW w:w="838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4678"/>
      </w:tblGrid>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drawing>
                <wp:inline distT="0" distB="0" distL="0" distR="0" wp14:anchorId="566F3BE6" wp14:editId="0459C066">
                  <wp:extent cx="297180" cy="1516380"/>
                  <wp:effectExtent l="0" t="0" r="7620" b="7620"/>
                  <wp:docPr id="3" name="Billede 3" descr="Abb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Abb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1516380"/>
                          </a:xfrm>
                          <a:prstGeom prst="rect">
                            <a:avLst/>
                          </a:prstGeom>
                          <a:noFill/>
                          <a:ln>
                            <a:noFill/>
                          </a:ln>
                        </pic:spPr>
                      </pic:pic>
                    </a:graphicData>
                  </a:graphic>
                </wp:inline>
              </w:drawing>
            </w:r>
            <w:r w:rsidRPr="004A1003">
              <w:rPr>
                <w:sz w:val="24"/>
                <w:szCs w:val="24"/>
              </w:rPr>
              <w:t>8</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8. Hold stemplet i bund og vend op og ned på hætteglasset (sammen med sæt og sprøjte). Træk opløsningen ind i sprøjten ved langsomt at trække stemplet tilbage.</w:t>
            </w:r>
          </w:p>
        </w:tc>
      </w:tr>
      <w:tr w:rsidR="002F5222" w:rsidRPr="004A1003" w:rsidTr="003B4BCE">
        <w:tc>
          <w:tcPr>
            <w:tcW w:w="3706"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jc w:val="center"/>
              <w:rPr>
                <w:sz w:val="24"/>
                <w:szCs w:val="24"/>
                <w:bdr w:val="single" w:sz="4" w:space="0" w:color="auto" w:frame="1"/>
              </w:rPr>
            </w:pPr>
            <w:r w:rsidRPr="004A1003">
              <w:rPr>
                <w:noProof/>
                <w:sz w:val="24"/>
                <w:szCs w:val="24"/>
                <w:lang w:eastAsia="da-DK"/>
              </w:rPr>
              <w:drawing>
                <wp:inline distT="0" distB="0" distL="0" distR="0" wp14:anchorId="0236B45E" wp14:editId="07B22D2E">
                  <wp:extent cx="297180" cy="156210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 cy="1562100"/>
                          </a:xfrm>
                          <a:prstGeom prst="rect">
                            <a:avLst/>
                          </a:prstGeom>
                          <a:noFill/>
                          <a:ln>
                            <a:noFill/>
                          </a:ln>
                        </pic:spPr>
                      </pic:pic>
                    </a:graphicData>
                  </a:graphic>
                </wp:inline>
              </w:drawing>
            </w:r>
            <w:r w:rsidRPr="004A1003">
              <w:rPr>
                <w:sz w:val="24"/>
                <w:szCs w:val="24"/>
              </w:rPr>
              <w:t>9</w:t>
            </w:r>
          </w:p>
        </w:tc>
        <w:tc>
          <w:tcPr>
            <w:tcW w:w="4678" w:type="dxa"/>
            <w:tcBorders>
              <w:top w:val="single" w:sz="4" w:space="0" w:color="auto"/>
              <w:left w:val="single" w:sz="4" w:space="0" w:color="auto"/>
              <w:bottom w:val="single" w:sz="4" w:space="0" w:color="auto"/>
              <w:right w:val="single" w:sz="4" w:space="0" w:color="auto"/>
            </w:tcBorders>
            <w:hideMark/>
          </w:tcPr>
          <w:p w:rsidR="002F5222" w:rsidRPr="004A1003" w:rsidRDefault="002F5222" w:rsidP="003B4BCE">
            <w:pPr>
              <w:rPr>
                <w:sz w:val="24"/>
                <w:szCs w:val="24"/>
              </w:rPr>
            </w:pPr>
            <w:r w:rsidRPr="004A1003">
              <w:rPr>
                <w:sz w:val="24"/>
                <w:szCs w:val="24"/>
              </w:rPr>
              <w:t xml:space="preserve">9. Nu er opløsningen blevet overført til sprøjten. Hold godt fast om sprøjten (hold sprøjten med stemplet nedad) og afmonter det transparente Mix2Vial-sættet fra sprøjten ved at skrue mod uret. </w:t>
            </w:r>
          </w:p>
        </w:tc>
      </w:tr>
    </w:tbl>
    <w:p w:rsidR="002F5222" w:rsidRPr="00475289" w:rsidRDefault="002F5222" w:rsidP="002F5222">
      <w:pPr>
        <w:pStyle w:val="LAFISPCNormal"/>
        <w:tabs>
          <w:tab w:val="clear" w:pos="567"/>
        </w:tabs>
        <w:ind w:left="851" w:hanging="851"/>
        <w:rPr>
          <w:szCs w:val="24"/>
        </w:rPr>
      </w:pPr>
    </w:p>
    <w:p w:rsidR="002F5222" w:rsidRPr="00475289" w:rsidRDefault="002F5222" w:rsidP="002F5222">
      <w:pPr>
        <w:pStyle w:val="LAFISPCNormal"/>
        <w:tabs>
          <w:tab w:val="clear" w:pos="567"/>
        </w:tabs>
        <w:ind w:left="851"/>
        <w:rPr>
          <w:i/>
          <w:iCs/>
          <w:szCs w:val="24"/>
        </w:rPr>
      </w:pPr>
      <w:r w:rsidRPr="00475289">
        <w:rPr>
          <w:i/>
          <w:iCs/>
          <w:szCs w:val="24"/>
        </w:rPr>
        <w:t>Administration</w:t>
      </w:r>
    </w:p>
    <w:p w:rsidR="002F5222" w:rsidRPr="00475289" w:rsidRDefault="002F5222" w:rsidP="002F5222">
      <w:pPr>
        <w:pStyle w:val="LAFISPCNormal"/>
        <w:tabs>
          <w:tab w:val="clear" w:pos="567"/>
        </w:tabs>
        <w:ind w:left="851"/>
        <w:rPr>
          <w:bCs/>
          <w:iCs/>
          <w:szCs w:val="24"/>
        </w:rPr>
      </w:pPr>
      <w:r w:rsidRPr="00475289">
        <w:rPr>
          <w:szCs w:val="24"/>
        </w:rPr>
        <w:t xml:space="preserve">Præparatet kan administreres ved brug af en </w:t>
      </w:r>
      <w:proofErr w:type="spellStart"/>
      <w:r w:rsidRPr="00475289">
        <w:rPr>
          <w:szCs w:val="24"/>
        </w:rPr>
        <w:t>hypodermisk</w:t>
      </w:r>
      <w:proofErr w:type="spellEnd"/>
      <w:r w:rsidRPr="00475289">
        <w:rPr>
          <w:szCs w:val="24"/>
        </w:rPr>
        <w:t xml:space="preserve"> kanyle eller et subkutant infusionskit.</w:t>
      </w:r>
    </w:p>
    <w:p w:rsidR="002F5222" w:rsidRPr="00475289" w:rsidRDefault="002F5222" w:rsidP="002F5222">
      <w:pPr>
        <w:ind w:left="851" w:hanging="851"/>
        <w:jc w:val="both"/>
        <w:rPr>
          <w:sz w:val="24"/>
          <w:szCs w:val="24"/>
        </w:rPr>
      </w:pPr>
    </w:p>
    <w:p w:rsidR="002F5222" w:rsidRPr="00475289" w:rsidRDefault="002F5222" w:rsidP="009C1E48">
      <w:pPr>
        <w:keepNext/>
        <w:ind w:left="851" w:hanging="851"/>
        <w:rPr>
          <w:b/>
          <w:sz w:val="24"/>
          <w:szCs w:val="24"/>
        </w:rPr>
      </w:pPr>
      <w:r w:rsidRPr="00475289">
        <w:rPr>
          <w:b/>
          <w:sz w:val="24"/>
          <w:szCs w:val="24"/>
        </w:rPr>
        <w:lastRenderedPageBreak/>
        <w:t>7.</w:t>
      </w:r>
      <w:r w:rsidRPr="00475289">
        <w:rPr>
          <w:b/>
          <w:sz w:val="24"/>
          <w:szCs w:val="24"/>
        </w:rPr>
        <w:tab/>
        <w:t>INDEHAVER AF MARKEDSFØRINGSTILLADELSEN</w:t>
      </w:r>
    </w:p>
    <w:p w:rsidR="002F5222" w:rsidRPr="00475289" w:rsidRDefault="002F5222" w:rsidP="009C1E48">
      <w:pPr>
        <w:pStyle w:val="LAFISPCNormal"/>
        <w:keepNext/>
        <w:tabs>
          <w:tab w:val="clear" w:pos="567"/>
        </w:tabs>
        <w:ind w:left="851"/>
        <w:rPr>
          <w:szCs w:val="24"/>
        </w:rPr>
      </w:pPr>
      <w:r w:rsidRPr="00475289">
        <w:rPr>
          <w:szCs w:val="24"/>
        </w:rPr>
        <w:t xml:space="preserve">CSL </w:t>
      </w:r>
      <w:proofErr w:type="spellStart"/>
      <w:r w:rsidRPr="00475289">
        <w:rPr>
          <w:szCs w:val="24"/>
        </w:rPr>
        <w:t>Behring</w:t>
      </w:r>
      <w:proofErr w:type="spellEnd"/>
      <w:r w:rsidRPr="00475289">
        <w:rPr>
          <w:szCs w:val="24"/>
        </w:rPr>
        <w:t xml:space="preserve"> GmbH</w:t>
      </w:r>
    </w:p>
    <w:p w:rsidR="002F5222" w:rsidRPr="00475289" w:rsidRDefault="002F5222" w:rsidP="002F5222">
      <w:pPr>
        <w:pStyle w:val="LAFISPCNormal"/>
        <w:tabs>
          <w:tab w:val="clear" w:pos="567"/>
        </w:tabs>
        <w:ind w:left="851"/>
        <w:rPr>
          <w:szCs w:val="24"/>
        </w:rPr>
      </w:pPr>
      <w:r w:rsidRPr="00475289">
        <w:rPr>
          <w:szCs w:val="24"/>
        </w:rPr>
        <w:t>Emil-von-</w:t>
      </w:r>
      <w:proofErr w:type="spellStart"/>
      <w:r w:rsidRPr="00475289">
        <w:rPr>
          <w:szCs w:val="24"/>
        </w:rPr>
        <w:t>Behring</w:t>
      </w:r>
      <w:proofErr w:type="spellEnd"/>
      <w:r w:rsidRPr="00475289">
        <w:rPr>
          <w:szCs w:val="24"/>
        </w:rPr>
        <w:t>-</w:t>
      </w:r>
      <w:proofErr w:type="spellStart"/>
      <w:r w:rsidRPr="00475289">
        <w:rPr>
          <w:szCs w:val="24"/>
        </w:rPr>
        <w:t>Strasse</w:t>
      </w:r>
      <w:proofErr w:type="spellEnd"/>
      <w:r w:rsidRPr="00475289">
        <w:rPr>
          <w:szCs w:val="24"/>
        </w:rPr>
        <w:t xml:space="preserve"> 76</w:t>
      </w:r>
    </w:p>
    <w:p w:rsidR="002F5222" w:rsidRPr="00475289" w:rsidRDefault="002F5222" w:rsidP="002F5222">
      <w:pPr>
        <w:pStyle w:val="LAFISPCNormal"/>
        <w:tabs>
          <w:tab w:val="clear" w:pos="567"/>
        </w:tabs>
        <w:ind w:left="851"/>
        <w:rPr>
          <w:szCs w:val="24"/>
        </w:rPr>
      </w:pPr>
      <w:r w:rsidRPr="00475289">
        <w:rPr>
          <w:szCs w:val="24"/>
        </w:rPr>
        <w:t xml:space="preserve">35041 </w:t>
      </w:r>
      <w:proofErr w:type="spellStart"/>
      <w:r w:rsidRPr="00475289">
        <w:rPr>
          <w:szCs w:val="24"/>
        </w:rPr>
        <w:t>Marburg</w:t>
      </w:r>
      <w:proofErr w:type="spellEnd"/>
    </w:p>
    <w:p w:rsidR="002F5222" w:rsidRPr="00475289" w:rsidRDefault="002F5222" w:rsidP="002F5222">
      <w:pPr>
        <w:pStyle w:val="LAFISPCNormal"/>
        <w:tabs>
          <w:tab w:val="clear" w:pos="567"/>
        </w:tabs>
        <w:ind w:left="851"/>
        <w:rPr>
          <w:szCs w:val="24"/>
        </w:rPr>
      </w:pPr>
      <w:r w:rsidRPr="00475289">
        <w:rPr>
          <w:szCs w:val="24"/>
        </w:rPr>
        <w:t>Tyskland</w:t>
      </w:r>
    </w:p>
    <w:p w:rsidR="002F5222" w:rsidRPr="00475289" w:rsidRDefault="002F5222" w:rsidP="002F5222">
      <w:pPr>
        <w:pStyle w:val="LAFISPCNormal"/>
        <w:tabs>
          <w:tab w:val="clear" w:pos="567"/>
        </w:tabs>
        <w:ind w:left="851"/>
        <w:rPr>
          <w:szCs w:val="24"/>
        </w:rPr>
      </w:pPr>
    </w:p>
    <w:p w:rsidR="002F5222" w:rsidRPr="007748A1" w:rsidRDefault="002F5222" w:rsidP="002F5222">
      <w:pPr>
        <w:pStyle w:val="LAFISPCNormal"/>
        <w:tabs>
          <w:tab w:val="clear" w:pos="567"/>
        </w:tabs>
        <w:ind w:left="851"/>
        <w:rPr>
          <w:b/>
          <w:szCs w:val="24"/>
          <w:lang w:val="en-US"/>
        </w:rPr>
      </w:pPr>
      <w:proofErr w:type="spellStart"/>
      <w:r w:rsidRPr="007748A1">
        <w:rPr>
          <w:b/>
          <w:szCs w:val="24"/>
          <w:lang w:val="en-US"/>
        </w:rPr>
        <w:t>Repræsentant</w:t>
      </w:r>
      <w:proofErr w:type="spellEnd"/>
    </w:p>
    <w:p w:rsidR="002F5222" w:rsidRPr="007748A1" w:rsidRDefault="002F5222" w:rsidP="002F5222">
      <w:pPr>
        <w:pStyle w:val="LAFISPCNormal"/>
        <w:tabs>
          <w:tab w:val="clear" w:pos="567"/>
        </w:tabs>
        <w:ind w:left="851"/>
        <w:rPr>
          <w:szCs w:val="24"/>
          <w:lang w:val="en-US"/>
        </w:rPr>
      </w:pPr>
      <w:r w:rsidRPr="007748A1">
        <w:rPr>
          <w:szCs w:val="24"/>
          <w:lang w:val="en-US"/>
        </w:rPr>
        <w:t>CSL Behring AB</w:t>
      </w:r>
    </w:p>
    <w:p w:rsidR="002F5222" w:rsidRPr="007748A1" w:rsidRDefault="002F5222" w:rsidP="002F5222">
      <w:pPr>
        <w:pStyle w:val="LAFISPCNormal"/>
        <w:tabs>
          <w:tab w:val="clear" w:pos="567"/>
        </w:tabs>
        <w:ind w:left="851"/>
        <w:rPr>
          <w:szCs w:val="24"/>
          <w:lang w:val="en-US"/>
        </w:rPr>
      </w:pPr>
      <w:proofErr w:type="spellStart"/>
      <w:r w:rsidRPr="007748A1">
        <w:rPr>
          <w:szCs w:val="24"/>
          <w:lang w:val="en-US"/>
        </w:rPr>
        <w:t>Berga</w:t>
      </w:r>
      <w:proofErr w:type="spellEnd"/>
      <w:r w:rsidRPr="007748A1">
        <w:rPr>
          <w:szCs w:val="24"/>
          <w:lang w:val="en-US"/>
        </w:rPr>
        <w:t xml:space="preserve"> </w:t>
      </w:r>
      <w:proofErr w:type="spellStart"/>
      <w:r w:rsidRPr="007748A1">
        <w:rPr>
          <w:szCs w:val="24"/>
          <w:lang w:val="en-US"/>
        </w:rPr>
        <w:t>Backe</w:t>
      </w:r>
      <w:proofErr w:type="spellEnd"/>
      <w:r w:rsidRPr="007748A1">
        <w:rPr>
          <w:szCs w:val="24"/>
          <w:lang w:val="en-US"/>
        </w:rPr>
        <w:t xml:space="preserve"> 2</w:t>
      </w:r>
    </w:p>
    <w:p w:rsidR="002F5222" w:rsidRPr="00475289" w:rsidRDefault="002F5222" w:rsidP="002F5222">
      <w:pPr>
        <w:pStyle w:val="LAFISPCNormal"/>
        <w:tabs>
          <w:tab w:val="clear" w:pos="567"/>
        </w:tabs>
        <w:ind w:left="851"/>
        <w:rPr>
          <w:szCs w:val="24"/>
        </w:rPr>
      </w:pPr>
      <w:r w:rsidRPr="00475289">
        <w:rPr>
          <w:szCs w:val="24"/>
        </w:rPr>
        <w:t xml:space="preserve">182 17 </w:t>
      </w:r>
      <w:proofErr w:type="spellStart"/>
      <w:r w:rsidRPr="00475289">
        <w:rPr>
          <w:szCs w:val="24"/>
        </w:rPr>
        <w:t>Danderyd</w:t>
      </w:r>
      <w:proofErr w:type="spellEnd"/>
    </w:p>
    <w:p w:rsidR="002F5222" w:rsidRPr="00475289" w:rsidRDefault="002F5222" w:rsidP="002F5222">
      <w:pPr>
        <w:ind w:left="851"/>
        <w:rPr>
          <w:sz w:val="24"/>
          <w:szCs w:val="24"/>
        </w:rPr>
      </w:pPr>
      <w:r w:rsidRPr="00475289">
        <w:rPr>
          <w:sz w:val="24"/>
          <w:szCs w:val="24"/>
        </w:rPr>
        <w:t>Sverige</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8.</w:t>
      </w:r>
      <w:r w:rsidRPr="00475289">
        <w:rPr>
          <w:b/>
          <w:sz w:val="24"/>
          <w:szCs w:val="24"/>
        </w:rPr>
        <w:tab/>
        <w:t>MARKEDSFØRINGSTILLADELSESNUMMER (NUMRE)</w:t>
      </w:r>
    </w:p>
    <w:p w:rsidR="002F5222" w:rsidRPr="00475289" w:rsidRDefault="002F5222" w:rsidP="002F5222">
      <w:pPr>
        <w:suppressAutoHyphens/>
        <w:ind w:left="851"/>
        <w:rPr>
          <w:sz w:val="24"/>
          <w:szCs w:val="24"/>
        </w:rPr>
      </w:pPr>
      <w:proofErr w:type="spellStart"/>
      <w:r w:rsidRPr="00475289">
        <w:rPr>
          <w:sz w:val="24"/>
          <w:szCs w:val="24"/>
        </w:rPr>
        <w:t>Berinert</w:t>
      </w:r>
      <w:proofErr w:type="spellEnd"/>
      <w:r w:rsidRPr="00475289">
        <w:rPr>
          <w:sz w:val="24"/>
          <w:szCs w:val="24"/>
        </w:rPr>
        <w:t xml:space="preserve"> 2000 IE: 59037</w:t>
      </w:r>
    </w:p>
    <w:p w:rsidR="002F5222" w:rsidRPr="00475289" w:rsidRDefault="002F5222" w:rsidP="002F5222">
      <w:pPr>
        <w:suppressAutoHyphens/>
        <w:ind w:left="851"/>
        <w:rPr>
          <w:sz w:val="24"/>
          <w:szCs w:val="24"/>
        </w:rPr>
      </w:pPr>
      <w:proofErr w:type="spellStart"/>
      <w:r w:rsidRPr="00475289">
        <w:rPr>
          <w:sz w:val="24"/>
          <w:szCs w:val="24"/>
        </w:rPr>
        <w:t>Berinert</w:t>
      </w:r>
      <w:proofErr w:type="spellEnd"/>
      <w:r w:rsidRPr="00475289">
        <w:rPr>
          <w:sz w:val="24"/>
          <w:szCs w:val="24"/>
        </w:rPr>
        <w:t xml:space="preserve"> 3000 IE: 59038</w:t>
      </w:r>
    </w:p>
    <w:p w:rsidR="002F5222" w:rsidRPr="00475289" w:rsidRDefault="002F5222" w:rsidP="002F5222">
      <w:pPr>
        <w:ind w:left="851" w:hanging="851"/>
        <w:jc w:val="both"/>
        <w:rPr>
          <w:sz w:val="24"/>
          <w:szCs w:val="24"/>
        </w:rPr>
      </w:pPr>
    </w:p>
    <w:p w:rsidR="002F5222" w:rsidRPr="00475289" w:rsidRDefault="002F5222" w:rsidP="002F5222">
      <w:pPr>
        <w:ind w:left="851" w:hanging="851"/>
        <w:rPr>
          <w:b/>
          <w:sz w:val="24"/>
          <w:szCs w:val="24"/>
        </w:rPr>
      </w:pPr>
      <w:r w:rsidRPr="00475289">
        <w:rPr>
          <w:b/>
          <w:sz w:val="24"/>
          <w:szCs w:val="24"/>
        </w:rPr>
        <w:t>9.</w:t>
      </w:r>
      <w:r w:rsidRPr="00475289">
        <w:rPr>
          <w:b/>
          <w:sz w:val="24"/>
          <w:szCs w:val="24"/>
        </w:rPr>
        <w:tab/>
        <w:t>DATO FOR FØRSTE MARKEDSFØRINGSTILLADELSE</w:t>
      </w:r>
    </w:p>
    <w:p w:rsidR="002F5222" w:rsidRPr="00475289" w:rsidRDefault="002F5222" w:rsidP="002F5222">
      <w:pPr>
        <w:ind w:left="851"/>
        <w:rPr>
          <w:sz w:val="24"/>
          <w:szCs w:val="24"/>
        </w:rPr>
      </w:pPr>
      <w:r w:rsidRPr="00475289">
        <w:rPr>
          <w:sz w:val="24"/>
          <w:szCs w:val="24"/>
        </w:rPr>
        <w:t>20. februar 2009</w:t>
      </w:r>
    </w:p>
    <w:p w:rsidR="002F5222" w:rsidRPr="00475289" w:rsidRDefault="002F5222" w:rsidP="002F5222">
      <w:pPr>
        <w:ind w:left="851" w:hanging="851"/>
        <w:rPr>
          <w:sz w:val="24"/>
          <w:szCs w:val="24"/>
        </w:rPr>
      </w:pPr>
    </w:p>
    <w:p w:rsidR="002F5222" w:rsidRPr="00475289" w:rsidRDefault="002F5222" w:rsidP="002F5222">
      <w:pPr>
        <w:ind w:left="851" w:hanging="851"/>
        <w:rPr>
          <w:b/>
          <w:sz w:val="24"/>
          <w:szCs w:val="24"/>
        </w:rPr>
      </w:pPr>
      <w:r w:rsidRPr="00475289">
        <w:rPr>
          <w:b/>
          <w:sz w:val="24"/>
          <w:szCs w:val="24"/>
        </w:rPr>
        <w:t>10.</w:t>
      </w:r>
      <w:r w:rsidRPr="00475289">
        <w:rPr>
          <w:b/>
          <w:sz w:val="24"/>
          <w:szCs w:val="24"/>
        </w:rPr>
        <w:tab/>
        <w:t>DATO FOR ÆNDRING AF TEKSTEN</w:t>
      </w:r>
    </w:p>
    <w:p w:rsidR="002F5222" w:rsidRDefault="000C6756" w:rsidP="002F5222">
      <w:pPr>
        <w:ind w:left="851"/>
        <w:rPr>
          <w:sz w:val="24"/>
          <w:szCs w:val="24"/>
        </w:rPr>
      </w:pPr>
      <w:r w:rsidRPr="000C6756">
        <w:rPr>
          <w:sz w:val="24"/>
          <w:szCs w:val="24"/>
        </w:rPr>
        <w:t>11. maj 2022</w:t>
      </w:r>
    </w:p>
    <w:p w:rsidR="002F5222" w:rsidRPr="00475289" w:rsidRDefault="002F5222" w:rsidP="002F5222">
      <w:pPr>
        <w:ind w:left="851"/>
        <w:rPr>
          <w:sz w:val="24"/>
          <w:szCs w:val="24"/>
        </w:rPr>
      </w:pPr>
    </w:p>
    <w:p w:rsidR="002F5222" w:rsidRPr="003B1002" w:rsidRDefault="002F5222" w:rsidP="002F5222"/>
    <w:p w:rsidR="002F5222" w:rsidRPr="00EA701E" w:rsidRDefault="002F5222" w:rsidP="002F5222"/>
    <w:p w:rsidR="009260DE" w:rsidRPr="002F5222" w:rsidRDefault="009260DE" w:rsidP="002F5222"/>
    <w:sectPr w:rsidR="009260DE" w:rsidRPr="002F5222"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222" w:rsidRDefault="002F5222">
      <w:r>
        <w:separator/>
      </w:r>
    </w:p>
  </w:endnote>
  <w:endnote w:type="continuationSeparator" w:id="0">
    <w:p w:rsidR="002F5222" w:rsidRDefault="002F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F4C05">
      <w:rPr>
        <w:i/>
        <w:noProof/>
        <w:sz w:val="18"/>
        <w:szCs w:val="18"/>
      </w:rPr>
      <w:t>Berinert, pulver og solvens til injektionsvæske, opløsning 2000 IE og 3000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222" w:rsidRDefault="002F5222">
      <w:r>
        <w:separator/>
      </w:r>
    </w:p>
  </w:footnote>
  <w:footnote w:type="continuationSeparator" w:id="0">
    <w:p w:rsidR="002F5222" w:rsidRDefault="002F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FD64B9"/>
    <w:multiLevelType w:val="hybridMultilevel"/>
    <w:tmpl w:val="060AEA4A"/>
    <w:lvl w:ilvl="0" w:tplc="3A1A4A04">
      <w:start w:val="1"/>
      <w:numFmt w:val="bullet"/>
      <w:lvlText w:val="-"/>
      <w:lvlJc w:val="left"/>
      <w:pPr>
        <w:tabs>
          <w:tab w:val="num" w:pos="1287"/>
        </w:tabs>
        <w:ind w:left="1287" w:hanging="360"/>
      </w:pPr>
      <w:rPr>
        <w:rFonts w:ascii="Times New Roman" w:hAnsi="Times New Roman" w:cs="Times New Roman"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22"/>
    <w:rsid w:val="000259B9"/>
    <w:rsid w:val="00041491"/>
    <w:rsid w:val="00050D16"/>
    <w:rsid w:val="000521A5"/>
    <w:rsid w:val="00074F2A"/>
    <w:rsid w:val="000A1CA8"/>
    <w:rsid w:val="000A466B"/>
    <w:rsid w:val="000B058C"/>
    <w:rsid w:val="000C6756"/>
    <w:rsid w:val="000E4EE6"/>
    <w:rsid w:val="001454E2"/>
    <w:rsid w:val="00206CE8"/>
    <w:rsid w:val="0021526C"/>
    <w:rsid w:val="00262EAB"/>
    <w:rsid w:val="00283A2B"/>
    <w:rsid w:val="002B30AD"/>
    <w:rsid w:val="002C2C01"/>
    <w:rsid w:val="002F5222"/>
    <w:rsid w:val="002F6593"/>
    <w:rsid w:val="0034474E"/>
    <w:rsid w:val="00362538"/>
    <w:rsid w:val="003A29AE"/>
    <w:rsid w:val="003A32D7"/>
    <w:rsid w:val="003B4074"/>
    <w:rsid w:val="003C769A"/>
    <w:rsid w:val="003F1838"/>
    <w:rsid w:val="0045746C"/>
    <w:rsid w:val="0049104B"/>
    <w:rsid w:val="004E3B12"/>
    <w:rsid w:val="00532310"/>
    <w:rsid w:val="00560ECC"/>
    <w:rsid w:val="00565F0F"/>
    <w:rsid w:val="00594A86"/>
    <w:rsid w:val="00595AC2"/>
    <w:rsid w:val="00596D86"/>
    <w:rsid w:val="00637F5A"/>
    <w:rsid w:val="006560B1"/>
    <w:rsid w:val="006756DD"/>
    <w:rsid w:val="00737275"/>
    <w:rsid w:val="00740EEC"/>
    <w:rsid w:val="00774476"/>
    <w:rsid w:val="007748A1"/>
    <w:rsid w:val="0078011A"/>
    <w:rsid w:val="00782AF4"/>
    <w:rsid w:val="00783629"/>
    <w:rsid w:val="00790EE7"/>
    <w:rsid w:val="007B6649"/>
    <w:rsid w:val="007F4C05"/>
    <w:rsid w:val="0081546F"/>
    <w:rsid w:val="0081739B"/>
    <w:rsid w:val="0082576E"/>
    <w:rsid w:val="00907F75"/>
    <w:rsid w:val="009260DE"/>
    <w:rsid w:val="0093258A"/>
    <w:rsid w:val="009C1E48"/>
    <w:rsid w:val="009C7BA3"/>
    <w:rsid w:val="009D1F5A"/>
    <w:rsid w:val="00AC3A17"/>
    <w:rsid w:val="00B003BF"/>
    <w:rsid w:val="00B373D7"/>
    <w:rsid w:val="00BC6D78"/>
    <w:rsid w:val="00C36276"/>
    <w:rsid w:val="00C42586"/>
    <w:rsid w:val="00C60CCD"/>
    <w:rsid w:val="00C84483"/>
    <w:rsid w:val="00C87AF1"/>
    <w:rsid w:val="00C95551"/>
    <w:rsid w:val="00CB20D7"/>
    <w:rsid w:val="00D020B0"/>
    <w:rsid w:val="00D11748"/>
    <w:rsid w:val="00D366CF"/>
    <w:rsid w:val="00DE3DD4"/>
    <w:rsid w:val="00E108AA"/>
    <w:rsid w:val="00E31812"/>
    <w:rsid w:val="00E3749A"/>
    <w:rsid w:val="00E7437F"/>
    <w:rsid w:val="00E865B8"/>
    <w:rsid w:val="00EC0B9B"/>
    <w:rsid w:val="00ED5E9F"/>
    <w:rsid w:val="00F22E6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DFF583"/>
  <w15:chartTrackingRefBased/>
  <w15:docId w15:val="{98724FFE-E96E-441D-8E7E-63CF7946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LAFISPCNormal">
    <w:name w:val="LA_FI_SPC_Normal"/>
    <w:basedOn w:val="Brdtekst"/>
    <w:rsid w:val="002F5222"/>
    <w:pPr>
      <w:tabs>
        <w:tab w:val="left" w:pos="567"/>
      </w:tabs>
      <w:spacing w:after="0"/>
      <w:ind w:left="567"/>
    </w:pPr>
    <w:rPr>
      <w:sz w:val="24"/>
    </w:rPr>
  </w:style>
  <w:style w:type="character" w:styleId="Hyperlink">
    <w:name w:val="Hyperlink"/>
    <w:basedOn w:val="Standardskrifttypeiafsnit"/>
    <w:uiPriority w:val="99"/>
    <w:semiHidden/>
    <w:unhideWhenUsed/>
    <w:rsid w:val="002F5222"/>
    <w:rPr>
      <w:color w:val="0563C1" w:themeColor="hyperlink"/>
      <w:u w:val="single"/>
    </w:rPr>
  </w:style>
  <w:style w:type="paragraph" w:styleId="Brdtekst">
    <w:name w:val="Body Text"/>
    <w:basedOn w:val="Normal"/>
    <w:link w:val="BrdtekstTegn"/>
    <w:uiPriority w:val="99"/>
    <w:semiHidden/>
    <w:unhideWhenUsed/>
    <w:rsid w:val="002F5222"/>
    <w:pPr>
      <w:spacing w:after="120"/>
    </w:pPr>
  </w:style>
  <w:style w:type="character" w:customStyle="1" w:styleId="BrdtekstTegn">
    <w:name w:val="Brødtekst Tegn"/>
    <w:basedOn w:val="Standardskrifttypeiafsnit"/>
    <w:link w:val="Brdtekst"/>
    <w:uiPriority w:val="99"/>
    <w:semiHidden/>
    <w:rsid w:val="002F5222"/>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06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10432358">
      <w:bodyDiv w:val="1"/>
      <w:marLeft w:val="0"/>
      <w:marRight w:val="0"/>
      <w:marTop w:val="0"/>
      <w:marBottom w:val="0"/>
      <w:divBdr>
        <w:top w:val="none" w:sz="0" w:space="0" w:color="auto"/>
        <w:left w:val="none" w:sz="0" w:space="0" w:color="auto"/>
        <w:bottom w:val="none" w:sz="0" w:space="0" w:color="auto"/>
        <w:right w:val="none" w:sz="0" w:space="0" w:color="auto"/>
      </w:divBdr>
    </w:div>
    <w:div w:id="715197870">
      <w:bodyDiv w:val="1"/>
      <w:marLeft w:val="0"/>
      <w:marRight w:val="0"/>
      <w:marTop w:val="0"/>
      <w:marBottom w:val="0"/>
      <w:divBdr>
        <w:top w:val="none" w:sz="0" w:space="0" w:color="auto"/>
        <w:left w:val="none" w:sz="0" w:space="0" w:color="auto"/>
        <w:bottom w:val="none" w:sz="0" w:space="0" w:color="auto"/>
        <w:right w:val="none" w:sz="0" w:space="0" w:color="auto"/>
      </w:divBdr>
    </w:div>
    <w:div w:id="1128888501">
      <w:bodyDiv w:val="1"/>
      <w:marLeft w:val="0"/>
      <w:marRight w:val="0"/>
      <w:marTop w:val="0"/>
      <w:marBottom w:val="0"/>
      <w:divBdr>
        <w:top w:val="none" w:sz="0" w:space="0" w:color="auto"/>
        <w:left w:val="none" w:sz="0" w:space="0" w:color="auto"/>
        <w:bottom w:val="none" w:sz="0" w:space="0" w:color="auto"/>
        <w:right w:val="none" w:sz="0" w:space="0" w:color="auto"/>
      </w:divBdr>
    </w:div>
    <w:div w:id="166589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12</Pages>
  <Words>3356</Words>
  <Characters>20478</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2021120034_x000d_
SPC pkt. 2, 6.5</dc:description>
  <cp:lastModifiedBy>Betty Winther Andersen</cp:lastModifiedBy>
  <cp:revision>4</cp:revision>
  <cp:lastPrinted>2012-08-22T08:53:00Z</cp:lastPrinted>
  <dcterms:created xsi:type="dcterms:W3CDTF">2022-05-09T08:43:00Z</dcterms:created>
  <dcterms:modified xsi:type="dcterms:W3CDTF">2022-05-09T08:45:00Z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