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C" w:rsidRPr="00955972" w:rsidRDefault="0049129C" w:rsidP="0049129C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701E8CC9" wp14:editId="5F0BEE8F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BF" w:rsidRPr="009748E9" w:rsidRDefault="00B003BF" w:rsidP="00B003BF">
      <w:pPr>
        <w:pStyle w:val="Titel"/>
        <w:jc w:val="left"/>
        <w:rPr>
          <w:b w:val="0"/>
          <w:szCs w:val="24"/>
        </w:rPr>
      </w:pPr>
    </w:p>
    <w:p w:rsidR="00B003BF" w:rsidRPr="0049129C" w:rsidRDefault="00D30D3A" w:rsidP="0049129C">
      <w:pPr>
        <w:pStyle w:val="Titel"/>
        <w:jc w:val="right"/>
        <w:rPr>
          <w:szCs w:val="24"/>
        </w:rPr>
      </w:pPr>
      <w:r>
        <w:rPr>
          <w:szCs w:val="24"/>
        </w:rPr>
        <w:t>22</w:t>
      </w:r>
      <w:r w:rsidR="0049129C" w:rsidRPr="0049129C">
        <w:rPr>
          <w:szCs w:val="24"/>
        </w:rPr>
        <w:t>. december 2015</w:t>
      </w:r>
    </w:p>
    <w:p w:rsidR="0049129C" w:rsidRDefault="0049129C" w:rsidP="00B003BF">
      <w:pPr>
        <w:pStyle w:val="Titel"/>
        <w:jc w:val="left"/>
        <w:rPr>
          <w:b w:val="0"/>
          <w:szCs w:val="24"/>
        </w:rPr>
      </w:pPr>
    </w:p>
    <w:p w:rsidR="0049129C" w:rsidRDefault="0049129C" w:rsidP="00B003BF">
      <w:pPr>
        <w:pStyle w:val="Titel"/>
        <w:jc w:val="left"/>
        <w:rPr>
          <w:b w:val="0"/>
          <w:szCs w:val="24"/>
        </w:rPr>
      </w:pPr>
    </w:p>
    <w:p w:rsidR="0049129C" w:rsidRPr="009748E9" w:rsidRDefault="0049129C" w:rsidP="00B003BF">
      <w:pPr>
        <w:pStyle w:val="Titel"/>
        <w:jc w:val="left"/>
        <w:rPr>
          <w:b w:val="0"/>
          <w:szCs w:val="24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49104B" w:rsidRDefault="001D2FC6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Betahistin</w:t>
      </w:r>
      <w:proofErr w:type="spellEnd"/>
      <w:r>
        <w:rPr>
          <w:b/>
          <w:sz w:val="24"/>
          <w:szCs w:val="24"/>
        </w:rPr>
        <w:t xml:space="preserve"> </w:t>
      </w:r>
      <w:r w:rsidR="00D30D3A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Generics</w:t>
      </w:r>
      <w:proofErr w:type="spellEnd"/>
      <w:r w:rsidR="00D30D3A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, tabletter</w:t>
      </w:r>
    </w:p>
    <w:p w:rsidR="00B003BF" w:rsidRPr="00EC0B9B" w:rsidRDefault="00B003BF" w:rsidP="00B003BF">
      <w:pPr>
        <w:jc w:val="both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jc w:val="both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0.</w:t>
      </w:r>
      <w:r w:rsidRPr="008429A0">
        <w:rPr>
          <w:b/>
          <w:sz w:val="24"/>
          <w:szCs w:val="24"/>
        </w:rPr>
        <w:tab/>
        <w:t>D.SP.NR.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1D2FC6" w:rsidRPr="008429A0">
        <w:rPr>
          <w:sz w:val="24"/>
          <w:szCs w:val="24"/>
        </w:rPr>
        <w:t>28233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1.</w:t>
      </w:r>
      <w:r w:rsidRPr="008429A0">
        <w:rPr>
          <w:b/>
          <w:sz w:val="24"/>
          <w:szCs w:val="24"/>
        </w:rPr>
        <w:tab/>
        <w:t>LÆGEMIDLETS NAVN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proofErr w:type="spellStart"/>
      <w:r w:rsidR="001D2FC6" w:rsidRPr="008429A0">
        <w:rPr>
          <w:sz w:val="24"/>
          <w:szCs w:val="24"/>
        </w:rPr>
        <w:t>Betahistin</w:t>
      </w:r>
      <w:proofErr w:type="spellEnd"/>
      <w:r w:rsidR="001D2FC6" w:rsidRPr="008429A0">
        <w:rPr>
          <w:sz w:val="24"/>
          <w:szCs w:val="24"/>
        </w:rPr>
        <w:t xml:space="preserve"> </w:t>
      </w:r>
      <w:r w:rsidR="00D30D3A">
        <w:rPr>
          <w:sz w:val="24"/>
          <w:szCs w:val="24"/>
        </w:rPr>
        <w:t>"</w:t>
      </w:r>
      <w:proofErr w:type="spellStart"/>
      <w:r w:rsidR="001D2FC6" w:rsidRPr="008429A0">
        <w:rPr>
          <w:sz w:val="24"/>
          <w:szCs w:val="24"/>
        </w:rPr>
        <w:t>Orifarm</w:t>
      </w:r>
      <w:proofErr w:type="spellEnd"/>
      <w:r w:rsidR="001D2FC6" w:rsidRPr="008429A0">
        <w:rPr>
          <w:sz w:val="24"/>
          <w:szCs w:val="24"/>
        </w:rPr>
        <w:t xml:space="preserve"> </w:t>
      </w:r>
      <w:proofErr w:type="spellStart"/>
      <w:r w:rsidR="001D2FC6" w:rsidRPr="008429A0">
        <w:rPr>
          <w:sz w:val="24"/>
          <w:szCs w:val="24"/>
        </w:rPr>
        <w:t>Generics</w:t>
      </w:r>
      <w:proofErr w:type="spellEnd"/>
      <w:r w:rsidR="00D30D3A">
        <w:rPr>
          <w:sz w:val="24"/>
          <w:szCs w:val="24"/>
        </w:rPr>
        <w:t>"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2.</w:t>
      </w:r>
      <w:r w:rsidRPr="008429A0">
        <w:rPr>
          <w:b/>
          <w:sz w:val="24"/>
          <w:szCs w:val="24"/>
        </w:rPr>
        <w:tab/>
        <w:t>KVALITATIV OG KVANTITATIV SAMMENSÆTNING</w:t>
      </w:r>
    </w:p>
    <w:p w:rsidR="009748E9" w:rsidRPr="008429A0" w:rsidRDefault="009748E9" w:rsidP="009748E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Hver tablet indeholder 8 mg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C86BE2">
        <w:rPr>
          <w:sz w:val="24"/>
          <w:szCs w:val="24"/>
        </w:rPr>
        <w:t>.</w:t>
      </w:r>
    </w:p>
    <w:p w:rsidR="008429A0" w:rsidRPr="008429A0" w:rsidRDefault="009748E9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Hjælpestof, som behandleren skal være opmærksom på:</w:t>
      </w:r>
      <w:r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én tablet indeholder 66,5 mg </w:t>
      </w:r>
      <w:proofErr w:type="spellStart"/>
      <w:r w:rsidR="008429A0" w:rsidRPr="008429A0">
        <w:rPr>
          <w:sz w:val="24"/>
          <w:szCs w:val="24"/>
        </w:rPr>
        <w:t>la</w:t>
      </w:r>
      <w:r>
        <w:rPr>
          <w:sz w:val="24"/>
          <w:szCs w:val="24"/>
        </w:rPr>
        <w:t>c</w:t>
      </w:r>
      <w:r w:rsidR="008429A0" w:rsidRPr="008429A0">
        <w:rPr>
          <w:sz w:val="24"/>
          <w:szCs w:val="24"/>
        </w:rPr>
        <w:t>tose</w:t>
      </w:r>
      <w:proofErr w:type="spellEnd"/>
      <w:r>
        <w:rPr>
          <w:sz w:val="24"/>
          <w:szCs w:val="24"/>
        </w:rPr>
        <w:t>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9748E9" w:rsidRDefault="009748E9" w:rsidP="009748E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Hver tablet indeholder 16 mg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C86BE2">
        <w:rPr>
          <w:sz w:val="24"/>
          <w:szCs w:val="24"/>
        </w:rPr>
        <w:t>.</w:t>
      </w:r>
    </w:p>
    <w:p w:rsidR="008429A0" w:rsidRPr="008429A0" w:rsidRDefault="009748E9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Hjælpestof, som behandleren skal være opmærksom på:</w:t>
      </w:r>
      <w:r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én tablet indeholder 133,0 mg </w:t>
      </w:r>
      <w:proofErr w:type="spellStart"/>
      <w:r w:rsidR="008429A0" w:rsidRPr="008429A0">
        <w:rPr>
          <w:sz w:val="24"/>
          <w:szCs w:val="24"/>
        </w:rPr>
        <w:t>la</w:t>
      </w:r>
      <w:r>
        <w:rPr>
          <w:sz w:val="24"/>
          <w:szCs w:val="24"/>
        </w:rPr>
        <w:t>c</w:t>
      </w:r>
      <w:r w:rsidR="008429A0" w:rsidRPr="008429A0">
        <w:rPr>
          <w:sz w:val="24"/>
          <w:szCs w:val="24"/>
        </w:rPr>
        <w:t>tose</w:t>
      </w:r>
      <w:proofErr w:type="spellEnd"/>
      <w:r>
        <w:rPr>
          <w:sz w:val="24"/>
          <w:szCs w:val="24"/>
        </w:rPr>
        <w:t>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9748E9" w:rsidRPr="008429A0" w:rsidRDefault="009748E9" w:rsidP="009748E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Hver tablet indeholder 24 mg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C86BE2">
        <w:rPr>
          <w:sz w:val="24"/>
          <w:szCs w:val="24"/>
        </w:rPr>
        <w:t>.</w:t>
      </w:r>
    </w:p>
    <w:p w:rsidR="008429A0" w:rsidRPr="008429A0" w:rsidRDefault="009748E9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Hjælpestof, som behandleren skal være opmærksom på:</w:t>
      </w:r>
      <w:r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én tablet indeholder 199,5 mg </w:t>
      </w:r>
      <w:proofErr w:type="spellStart"/>
      <w:r w:rsidR="008429A0" w:rsidRPr="008429A0">
        <w:rPr>
          <w:sz w:val="24"/>
          <w:szCs w:val="24"/>
        </w:rPr>
        <w:t>la</w:t>
      </w:r>
      <w:r>
        <w:rPr>
          <w:sz w:val="24"/>
          <w:szCs w:val="24"/>
        </w:rPr>
        <w:t>c</w:t>
      </w:r>
      <w:r w:rsidR="008429A0" w:rsidRPr="008429A0">
        <w:rPr>
          <w:sz w:val="24"/>
          <w:szCs w:val="24"/>
        </w:rPr>
        <w:t>tose</w:t>
      </w:r>
      <w:proofErr w:type="spellEnd"/>
      <w:r>
        <w:rPr>
          <w:sz w:val="24"/>
          <w:szCs w:val="24"/>
        </w:rPr>
        <w:t>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9748E9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Alle hjælpestoffer er anført under pkt. 6.1.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3.</w:t>
      </w:r>
      <w:r w:rsidRPr="008429A0">
        <w:rPr>
          <w:b/>
          <w:sz w:val="24"/>
          <w:szCs w:val="24"/>
        </w:rPr>
        <w:tab/>
        <w:t>LÆGEMIDDELFORM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Tabletter</w:t>
      </w:r>
      <w:r w:rsidR="000652C2">
        <w:rPr>
          <w:sz w:val="24"/>
          <w:szCs w:val="24"/>
        </w:rPr>
        <w:t>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0652C2" w:rsidP="008429A0">
      <w:pPr>
        <w:ind w:left="851" w:hanging="851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429A0" w:rsidRPr="008429A0">
        <w:rPr>
          <w:b/>
          <w:i/>
          <w:sz w:val="24"/>
          <w:szCs w:val="24"/>
        </w:rPr>
        <w:t>Beskrivelse af lægemidlet</w:t>
      </w:r>
      <w:r w:rsidR="008429A0" w:rsidRPr="008429A0">
        <w:rPr>
          <w:b/>
          <w:sz w:val="24"/>
          <w:szCs w:val="24"/>
        </w:rPr>
        <w:t>: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</w:t>
      </w:r>
      <w:r w:rsidR="00D30D3A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Generics</w:t>
      </w:r>
      <w:proofErr w:type="spellEnd"/>
      <w:r w:rsidR="00D30D3A">
        <w:rPr>
          <w:sz w:val="24"/>
          <w:szCs w:val="24"/>
        </w:rPr>
        <w:t>"</w:t>
      </w:r>
      <w:r w:rsidR="008429A0" w:rsidRPr="008429A0">
        <w:rPr>
          <w:sz w:val="24"/>
          <w:szCs w:val="24"/>
        </w:rPr>
        <w:t xml:space="preserve"> 8 mg: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Hvid til råhvid, rund, skråkantet tablet i to planer med en diameter på ca. 7 mm. Den ene side er præget med B8, den anden side er glat.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</w:t>
      </w:r>
      <w:r w:rsidR="00D30D3A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Generics</w:t>
      </w:r>
      <w:proofErr w:type="spellEnd"/>
      <w:r w:rsidR="00D30D3A">
        <w:rPr>
          <w:sz w:val="24"/>
          <w:szCs w:val="24"/>
        </w:rPr>
        <w:t>"</w:t>
      </w:r>
      <w:r w:rsidR="008429A0" w:rsidRPr="008429A0">
        <w:rPr>
          <w:sz w:val="24"/>
          <w:szCs w:val="24"/>
        </w:rPr>
        <w:t xml:space="preserve"> 16 mg: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Hvid til råhvid, rund, skråkantet tablet i to planer med en diameter på ca. 9 mm. Den ene side er præget med B16, den anden side har en delekærv.</w:t>
      </w:r>
    </w:p>
    <w:p w:rsidR="001F721B" w:rsidRDefault="001F72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</w:t>
      </w:r>
      <w:r w:rsidR="00D30D3A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Generics</w:t>
      </w:r>
      <w:proofErr w:type="spellEnd"/>
      <w:r w:rsidR="00D30D3A">
        <w:rPr>
          <w:sz w:val="24"/>
          <w:szCs w:val="24"/>
        </w:rPr>
        <w:t>"</w:t>
      </w:r>
      <w:r w:rsidR="008429A0" w:rsidRPr="008429A0">
        <w:rPr>
          <w:sz w:val="24"/>
          <w:szCs w:val="24"/>
        </w:rPr>
        <w:t xml:space="preserve"> 24 mg: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Hvid til råhvid, rund, </w:t>
      </w:r>
      <w:proofErr w:type="spellStart"/>
      <w:r w:rsidR="008429A0" w:rsidRPr="008429A0">
        <w:rPr>
          <w:sz w:val="24"/>
          <w:szCs w:val="24"/>
        </w:rPr>
        <w:t>bikonveks</w:t>
      </w:r>
      <w:proofErr w:type="spellEnd"/>
      <w:r w:rsidR="008429A0" w:rsidRPr="008429A0">
        <w:rPr>
          <w:sz w:val="24"/>
          <w:szCs w:val="24"/>
        </w:rPr>
        <w:t>, skråkantet tablet med en diameter på ca. 11 mm. Den ene side er glat, den anden side har en delekærv.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16 mg-tabletten kan deles i to lige store doser.</w:t>
      </w:r>
    </w:p>
    <w:p w:rsidR="00792F32" w:rsidRPr="008429A0" w:rsidRDefault="00792F32" w:rsidP="0049129C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 xml:space="preserve">24 mg-tabletten har kun delekærv for at muliggøre deling af tabletten, så den er nemmere at sluge. </w:t>
      </w:r>
      <w:r>
        <w:rPr>
          <w:sz w:val="24"/>
          <w:szCs w:val="24"/>
        </w:rPr>
        <w:t xml:space="preserve">Tabletten kan ikke deles i to lige store doser. 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</w:t>
      </w:r>
      <w:r w:rsidRPr="008429A0">
        <w:rPr>
          <w:b/>
          <w:sz w:val="24"/>
          <w:szCs w:val="24"/>
        </w:rPr>
        <w:tab/>
        <w:t>KLINISKE OPLYSNINGER</w:t>
      </w: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  <w:u w:val="single"/>
        </w:rPr>
      </w:pPr>
      <w:r w:rsidRPr="008429A0">
        <w:rPr>
          <w:b/>
          <w:sz w:val="24"/>
          <w:szCs w:val="24"/>
        </w:rPr>
        <w:t>4.1</w:t>
      </w:r>
      <w:r w:rsidRPr="008429A0">
        <w:rPr>
          <w:b/>
          <w:sz w:val="24"/>
          <w:szCs w:val="24"/>
        </w:rPr>
        <w:tab/>
        <w:t>Terapeutiske indikationer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Ménières</w:t>
      </w:r>
      <w:proofErr w:type="spellEnd"/>
      <w:r w:rsidR="008429A0" w:rsidRPr="008429A0">
        <w:rPr>
          <w:sz w:val="24"/>
          <w:szCs w:val="24"/>
        </w:rPr>
        <w:t xml:space="preserve"> sygdom eller partielle symptomer på </w:t>
      </w:r>
      <w:proofErr w:type="spellStart"/>
      <w:r w:rsidR="008429A0" w:rsidRPr="008429A0">
        <w:rPr>
          <w:sz w:val="24"/>
          <w:szCs w:val="24"/>
        </w:rPr>
        <w:t>Ménière</w:t>
      </w:r>
      <w:proofErr w:type="spellEnd"/>
      <w:r w:rsidR="008429A0" w:rsidRPr="008429A0">
        <w:rPr>
          <w:sz w:val="24"/>
          <w:szCs w:val="24"/>
        </w:rPr>
        <w:t>-lignende syndrom:</w:t>
      </w:r>
    </w:p>
    <w:p w:rsidR="008429A0" w:rsidRPr="000652C2" w:rsidRDefault="008429A0" w:rsidP="00C86BE2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429A0">
        <w:rPr>
          <w:sz w:val="24"/>
          <w:szCs w:val="24"/>
        </w:rPr>
        <w:t>vertigo</w:t>
      </w:r>
      <w:proofErr w:type="spellEnd"/>
      <w:r w:rsidRPr="008429A0">
        <w:rPr>
          <w:sz w:val="24"/>
          <w:szCs w:val="24"/>
        </w:rPr>
        <w:t xml:space="preserve"> med kvalme og opkastning</w:t>
      </w:r>
    </w:p>
    <w:p w:rsidR="008429A0" w:rsidRPr="008429A0" w:rsidRDefault="008429A0" w:rsidP="00C86BE2">
      <w:pPr>
        <w:numPr>
          <w:ilvl w:val="0"/>
          <w:numId w:val="6"/>
        </w:numPr>
        <w:ind w:left="1276" w:hanging="425"/>
        <w:rPr>
          <w:sz w:val="24"/>
          <w:szCs w:val="24"/>
          <w:lang w:val="en-GB"/>
        </w:rPr>
      </w:pPr>
      <w:r w:rsidRPr="008429A0">
        <w:rPr>
          <w:sz w:val="24"/>
          <w:szCs w:val="24"/>
        </w:rPr>
        <w:t>tinnitus</w:t>
      </w:r>
    </w:p>
    <w:p w:rsidR="008429A0" w:rsidRPr="008429A0" w:rsidRDefault="008429A0" w:rsidP="00C86BE2">
      <w:pPr>
        <w:numPr>
          <w:ilvl w:val="0"/>
          <w:numId w:val="6"/>
        </w:numPr>
        <w:ind w:left="1276" w:hanging="425"/>
        <w:rPr>
          <w:b/>
          <w:bCs/>
          <w:sz w:val="24"/>
          <w:szCs w:val="24"/>
          <w:lang w:val="en-GB"/>
        </w:rPr>
      </w:pPr>
      <w:r w:rsidRPr="008429A0">
        <w:rPr>
          <w:sz w:val="24"/>
          <w:szCs w:val="24"/>
        </w:rPr>
        <w:t>høretab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4.2</w:t>
      </w:r>
      <w:r w:rsidRPr="008429A0">
        <w:rPr>
          <w:b/>
          <w:sz w:val="24"/>
          <w:szCs w:val="24"/>
        </w:rPr>
        <w:tab/>
        <w:t>Dosering og indgivelsesmåde</w:t>
      </w:r>
    </w:p>
    <w:p w:rsidR="0049129C" w:rsidRDefault="0049129C" w:rsidP="0049129C">
      <w:pPr>
        <w:ind w:left="851"/>
        <w:rPr>
          <w:sz w:val="24"/>
          <w:szCs w:val="24"/>
          <w:u w:val="single"/>
        </w:rPr>
      </w:pPr>
    </w:p>
    <w:p w:rsidR="00792F32" w:rsidRPr="006E3E11" w:rsidRDefault="00792F32" w:rsidP="0049129C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:rsidR="00792F32" w:rsidRPr="008429A0" w:rsidRDefault="00792F32" w:rsidP="00792F32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>Den daglige dosis varierer fra 24 mg til 48 mg og bør fordeles på to eller tre adskilte doser for at opnå en mere jævn plasmakoncentration.</w:t>
      </w:r>
    </w:p>
    <w:p w:rsidR="008429A0" w:rsidRPr="008429A0" w:rsidRDefault="008429A0" w:rsidP="00792F32">
      <w:pPr>
        <w:ind w:left="851" w:hanging="851"/>
        <w:rPr>
          <w:sz w:val="24"/>
          <w:szCs w:val="24"/>
        </w:rPr>
      </w:pPr>
    </w:p>
    <w:p w:rsidR="00AE2170" w:rsidRPr="008429A0" w:rsidRDefault="00C86BE2" w:rsidP="00AE217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Dosen bør fastlægges individuelt alt efter graden af patientbehandling.</w:t>
      </w:r>
      <w:r w:rsidR="00AE2170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Der ses først en bedring efter to ugers behandling, og det bedste resultat opnås efter nogle måneder.</w:t>
      </w:r>
      <w:r w:rsidR="00AE2170" w:rsidRPr="008429A0">
        <w:rPr>
          <w:sz w:val="24"/>
          <w:szCs w:val="24"/>
        </w:rPr>
        <w:t xml:space="preserve"> </w:t>
      </w:r>
    </w:p>
    <w:p w:rsidR="00C86BE2" w:rsidRDefault="00C86BE2" w:rsidP="00AE2170">
      <w:pPr>
        <w:ind w:left="851" w:hanging="851"/>
        <w:rPr>
          <w:sz w:val="24"/>
          <w:szCs w:val="24"/>
        </w:rPr>
      </w:pPr>
    </w:p>
    <w:p w:rsidR="00AE2170" w:rsidRPr="008429A0" w:rsidRDefault="00C86BE2" w:rsidP="00AE217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Pædiatrisk population:</w:t>
      </w:r>
      <w:r w:rsidR="00AE2170" w:rsidRPr="008429A0">
        <w:rPr>
          <w:sz w:val="24"/>
          <w:szCs w:val="24"/>
        </w:rPr>
        <w:t xml:space="preserve"> </w:t>
      </w:r>
    </w:p>
    <w:p w:rsidR="00AE2170" w:rsidRPr="008429A0" w:rsidRDefault="00C86BE2" w:rsidP="00AE217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anbefales ikke til børn under 18 år på grund af utilstrækkelige data om sikkerhed og virkning.</w:t>
      </w:r>
      <w:r w:rsidR="00AE2170" w:rsidRPr="008429A0">
        <w:rPr>
          <w:sz w:val="24"/>
          <w:szCs w:val="24"/>
        </w:rPr>
        <w:t xml:space="preserve"> </w:t>
      </w:r>
    </w:p>
    <w:p w:rsidR="00C86BE2" w:rsidRDefault="00C86BE2" w:rsidP="00AE2170">
      <w:pPr>
        <w:ind w:left="851" w:hanging="851"/>
        <w:rPr>
          <w:sz w:val="24"/>
          <w:szCs w:val="24"/>
        </w:rPr>
      </w:pPr>
    </w:p>
    <w:p w:rsidR="00AE2170" w:rsidRPr="008429A0" w:rsidRDefault="00C86BE2" w:rsidP="00AE217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Ældre:</w:t>
      </w:r>
      <w:r w:rsidR="00AE2170" w:rsidRPr="008429A0">
        <w:rPr>
          <w:sz w:val="24"/>
          <w:szCs w:val="24"/>
        </w:rPr>
        <w:t xml:space="preserve"> 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Da der foreligger begrænsede data for ældre, skal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anvendes med forsigtighed hos denne population.</w:t>
      </w:r>
    </w:p>
    <w:p w:rsidR="00C86BE2" w:rsidRDefault="00C86BE2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Nedsat nyrefunktion:</w:t>
      </w:r>
    </w:p>
    <w:p w:rsidR="00AE2170" w:rsidRPr="008429A0" w:rsidRDefault="00C86BE2" w:rsidP="00AE217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Der foreligger ingen data for patienter med nedsat nyrefunktion.</w:t>
      </w:r>
      <w:r w:rsidR="00AE2170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Der bør udvises forsigtighed hos denne patientgruppe.</w:t>
      </w:r>
      <w:r w:rsidR="00AE2170" w:rsidRPr="008429A0">
        <w:rPr>
          <w:sz w:val="24"/>
          <w:szCs w:val="24"/>
        </w:rPr>
        <w:t xml:space="preserve"> </w:t>
      </w:r>
    </w:p>
    <w:p w:rsidR="00C86BE2" w:rsidRDefault="00C86BE2" w:rsidP="00AE2170">
      <w:pPr>
        <w:ind w:left="851" w:hanging="851"/>
        <w:rPr>
          <w:sz w:val="24"/>
          <w:szCs w:val="24"/>
        </w:rPr>
      </w:pPr>
    </w:p>
    <w:p w:rsidR="00AE2170" w:rsidRPr="008429A0" w:rsidRDefault="00C86BE2" w:rsidP="00AE217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Nedsat leverfunktion:</w:t>
      </w:r>
      <w:r w:rsidR="00AE2170" w:rsidRPr="008429A0">
        <w:rPr>
          <w:sz w:val="24"/>
          <w:szCs w:val="24"/>
        </w:rPr>
        <w:t xml:space="preserve"> </w:t>
      </w:r>
    </w:p>
    <w:p w:rsidR="00B003BF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Der foreligger ingen data for patienter med nedsat leverfunktion.</w:t>
      </w:r>
      <w:r w:rsidR="00AE2170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Der bør udvises forsigtighed hos denne patientgruppe.</w:t>
      </w:r>
    </w:p>
    <w:p w:rsidR="00792F32" w:rsidRDefault="00792F32" w:rsidP="008429A0">
      <w:pPr>
        <w:ind w:left="851" w:hanging="851"/>
        <w:rPr>
          <w:sz w:val="24"/>
          <w:szCs w:val="24"/>
        </w:rPr>
      </w:pPr>
    </w:p>
    <w:p w:rsidR="00792F32" w:rsidRDefault="00792F32" w:rsidP="0049129C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</w:t>
      </w:r>
    </w:p>
    <w:p w:rsidR="00792F32" w:rsidRPr="008429A0" w:rsidRDefault="00792F32" w:rsidP="00792F32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>Det anbefales at sluge tabletterne hele eller at sluge de halve tabletter hele.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4.3</w:t>
      </w:r>
      <w:r w:rsidRPr="008429A0">
        <w:rPr>
          <w:b/>
          <w:sz w:val="24"/>
          <w:szCs w:val="24"/>
        </w:rPr>
        <w:tab/>
        <w:t>Kontraindikationer</w:t>
      </w:r>
    </w:p>
    <w:p w:rsidR="00AE2170" w:rsidRPr="00AE2170" w:rsidRDefault="008429A0" w:rsidP="00C86BE2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AE2170">
        <w:rPr>
          <w:sz w:val="24"/>
          <w:szCs w:val="24"/>
        </w:rPr>
        <w:t>Overfølsomhed over for det aktive stof eller over for et eller flere af hjælpestofferne anført i pkt. 6.1.</w:t>
      </w:r>
    </w:p>
    <w:p w:rsidR="00B003BF" w:rsidRPr="00AE2170" w:rsidRDefault="008429A0" w:rsidP="00C86BE2">
      <w:pPr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AE2170">
        <w:rPr>
          <w:sz w:val="24"/>
          <w:szCs w:val="24"/>
        </w:rPr>
        <w:t>Fæokromocytom</w:t>
      </w:r>
      <w:proofErr w:type="spellEnd"/>
      <w:r w:rsidRPr="00AE2170">
        <w:rPr>
          <w:sz w:val="24"/>
          <w:szCs w:val="24"/>
        </w:rPr>
        <w:t>.</w:t>
      </w:r>
    </w:p>
    <w:p w:rsidR="001F721B" w:rsidRDefault="001F72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4.4</w:t>
      </w:r>
      <w:r w:rsidRPr="008429A0">
        <w:rPr>
          <w:b/>
          <w:sz w:val="24"/>
          <w:szCs w:val="24"/>
        </w:rPr>
        <w:tab/>
        <w:t>Særlige advarsler og forsigtighedsregler vedrørende brugen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Forsigtighed tilrådes ved behandling af patienter med:</w:t>
      </w:r>
    </w:p>
    <w:p w:rsidR="008429A0" w:rsidRPr="008429A0" w:rsidRDefault="008429A0" w:rsidP="00C86BE2">
      <w:pPr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8429A0">
        <w:rPr>
          <w:sz w:val="24"/>
          <w:szCs w:val="24"/>
        </w:rPr>
        <w:t>Peptisk</w:t>
      </w:r>
      <w:proofErr w:type="spellEnd"/>
      <w:r w:rsidRPr="008429A0">
        <w:rPr>
          <w:sz w:val="24"/>
          <w:szCs w:val="24"/>
        </w:rPr>
        <w:t xml:space="preserve"> </w:t>
      </w:r>
      <w:proofErr w:type="spellStart"/>
      <w:r w:rsidRPr="008429A0">
        <w:rPr>
          <w:sz w:val="24"/>
          <w:szCs w:val="24"/>
        </w:rPr>
        <w:t>ulcera</w:t>
      </w:r>
      <w:proofErr w:type="spellEnd"/>
      <w:r w:rsidRPr="008429A0">
        <w:rPr>
          <w:sz w:val="24"/>
          <w:szCs w:val="24"/>
        </w:rPr>
        <w:t xml:space="preserve"> (herunder denne lidelse i anamnesen), eftersom der undertiden kan forekomme dyspepsi hos patienter, som bliver behandlet med </w:t>
      </w:r>
      <w:proofErr w:type="spellStart"/>
      <w:r w:rsidRPr="008429A0">
        <w:rPr>
          <w:sz w:val="24"/>
          <w:szCs w:val="24"/>
        </w:rPr>
        <w:t>betahistindihydrochlorid</w:t>
      </w:r>
      <w:proofErr w:type="spellEnd"/>
      <w:r w:rsidRPr="008429A0">
        <w:rPr>
          <w:sz w:val="24"/>
          <w:szCs w:val="24"/>
        </w:rPr>
        <w:t>.</w:t>
      </w:r>
    </w:p>
    <w:p w:rsidR="008429A0" w:rsidRPr="008429A0" w:rsidRDefault="008429A0" w:rsidP="00C86BE2">
      <w:pPr>
        <w:numPr>
          <w:ilvl w:val="0"/>
          <w:numId w:val="8"/>
        </w:numPr>
        <w:ind w:left="1276" w:hanging="425"/>
        <w:rPr>
          <w:sz w:val="24"/>
          <w:szCs w:val="24"/>
          <w:lang w:val="en-US"/>
        </w:rPr>
      </w:pPr>
      <w:r w:rsidRPr="008429A0">
        <w:rPr>
          <w:sz w:val="24"/>
          <w:szCs w:val="24"/>
        </w:rPr>
        <w:t>Bronkial astma.</w:t>
      </w:r>
    </w:p>
    <w:p w:rsidR="00AE2170" w:rsidRPr="00EA6008" w:rsidRDefault="008429A0" w:rsidP="00C86BE2">
      <w:pPr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AE2170">
        <w:rPr>
          <w:sz w:val="24"/>
          <w:szCs w:val="24"/>
        </w:rPr>
        <w:t>Urticaria</w:t>
      </w:r>
      <w:proofErr w:type="spellEnd"/>
      <w:r w:rsidRPr="00AE2170">
        <w:rPr>
          <w:sz w:val="24"/>
          <w:szCs w:val="24"/>
        </w:rPr>
        <w:t xml:space="preserve">, </w:t>
      </w:r>
      <w:proofErr w:type="spellStart"/>
      <w:r w:rsidRPr="00AE2170">
        <w:rPr>
          <w:sz w:val="24"/>
          <w:szCs w:val="24"/>
        </w:rPr>
        <w:t>eksantem</w:t>
      </w:r>
      <w:proofErr w:type="spellEnd"/>
      <w:r w:rsidRPr="00AE2170">
        <w:rPr>
          <w:sz w:val="24"/>
          <w:szCs w:val="24"/>
        </w:rPr>
        <w:t xml:space="preserve"> eller allergisk </w:t>
      </w:r>
      <w:proofErr w:type="spellStart"/>
      <w:r w:rsidRPr="00AE2170">
        <w:rPr>
          <w:sz w:val="24"/>
          <w:szCs w:val="24"/>
        </w:rPr>
        <w:t>rhinitis</w:t>
      </w:r>
      <w:proofErr w:type="spellEnd"/>
      <w:r w:rsidRPr="00AE2170">
        <w:rPr>
          <w:sz w:val="24"/>
          <w:szCs w:val="24"/>
        </w:rPr>
        <w:t>, da disse sym</w:t>
      </w:r>
      <w:r w:rsidR="00AE2170" w:rsidRPr="00AE2170">
        <w:rPr>
          <w:sz w:val="24"/>
          <w:szCs w:val="24"/>
        </w:rPr>
        <w:t>p</w:t>
      </w:r>
      <w:r w:rsidRPr="00AE2170">
        <w:rPr>
          <w:sz w:val="24"/>
          <w:szCs w:val="24"/>
        </w:rPr>
        <w:t>tomer kan blive forværret.</w:t>
      </w:r>
    </w:p>
    <w:p w:rsidR="008429A0" w:rsidRPr="00AE2170" w:rsidRDefault="008429A0" w:rsidP="00C86BE2">
      <w:pPr>
        <w:numPr>
          <w:ilvl w:val="0"/>
          <w:numId w:val="8"/>
        </w:numPr>
        <w:ind w:left="1276" w:hanging="425"/>
        <w:rPr>
          <w:sz w:val="24"/>
          <w:szCs w:val="24"/>
          <w:lang w:val="en-US"/>
        </w:rPr>
      </w:pPr>
      <w:r w:rsidRPr="00AE2170">
        <w:rPr>
          <w:sz w:val="24"/>
          <w:szCs w:val="24"/>
        </w:rPr>
        <w:t xml:space="preserve">Udtalt </w:t>
      </w:r>
      <w:proofErr w:type="spellStart"/>
      <w:r w:rsidRPr="00AE2170">
        <w:rPr>
          <w:sz w:val="24"/>
          <w:szCs w:val="24"/>
        </w:rPr>
        <w:t>hypotension</w:t>
      </w:r>
      <w:proofErr w:type="spellEnd"/>
      <w:r w:rsidRPr="00AE2170">
        <w:rPr>
          <w:sz w:val="24"/>
          <w:szCs w:val="24"/>
        </w:rPr>
        <w:t>.</w:t>
      </w:r>
    </w:p>
    <w:p w:rsidR="008429A0" w:rsidRPr="008429A0" w:rsidRDefault="008429A0" w:rsidP="00C86BE2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429A0">
        <w:rPr>
          <w:sz w:val="24"/>
          <w:szCs w:val="24"/>
        </w:rPr>
        <w:t>Samtidig administration af antihistaminer (se pkt. 4.5).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Patienter med bronkial astma og </w:t>
      </w:r>
      <w:proofErr w:type="spellStart"/>
      <w:r w:rsidR="008429A0" w:rsidRPr="008429A0">
        <w:rPr>
          <w:sz w:val="24"/>
          <w:szCs w:val="24"/>
        </w:rPr>
        <w:t>peptisk</w:t>
      </w:r>
      <w:proofErr w:type="spellEnd"/>
      <w:r w:rsidR="008429A0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ulcera</w:t>
      </w:r>
      <w:proofErr w:type="spellEnd"/>
      <w:r w:rsidR="008429A0" w:rsidRPr="008429A0">
        <w:rPr>
          <w:sz w:val="24"/>
          <w:szCs w:val="24"/>
        </w:rPr>
        <w:t xml:space="preserve"> i anamnesen skal monitoreres omhyggeligt under behandlingen.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Forsigtighed tilrådes hos patienter med nedsat nyre- eller leverfunktion, eftersom der ikke foreligger nogen data for brugen hos disse patientgrupper.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792F32" w:rsidRPr="008429A0" w:rsidRDefault="00C86BE2" w:rsidP="00792F32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792F32" w:rsidRPr="008429A0">
        <w:rPr>
          <w:sz w:val="24"/>
          <w:szCs w:val="24"/>
        </w:rPr>
        <w:t xml:space="preserve">Dette lægemiddel indeholder </w:t>
      </w:r>
      <w:proofErr w:type="spellStart"/>
      <w:r w:rsidR="00792F32" w:rsidRPr="008429A0">
        <w:rPr>
          <w:sz w:val="24"/>
          <w:szCs w:val="24"/>
        </w:rPr>
        <w:t>la</w:t>
      </w:r>
      <w:r w:rsidR="00792F32">
        <w:rPr>
          <w:sz w:val="24"/>
          <w:szCs w:val="24"/>
        </w:rPr>
        <w:t>c</w:t>
      </w:r>
      <w:r w:rsidR="00792F32" w:rsidRPr="008429A0">
        <w:rPr>
          <w:sz w:val="24"/>
          <w:szCs w:val="24"/>
        </w:rPr>
        <w:t>tose</w:t>
      </w:r>
      <w:proofErr w:type="spellEnd"/>
      <w:r w:rsidR="00792F32" w:rsidRPr="008429A0">
        <w:rPr>
          <w:sz w:val="24"/>
          <w:szCs w:val="24"/>
        </w:rPr>
        <w:t xml:space="preserve">. </w:t>
      </w:r>
      <w:r w:rsidR="00792F32">
        <w:rPr>
          <w:sz w:val="24"/>
          <w:szCs w:val="24"/>
        </w:rPr>
        <w:t>Bør ikke anvendes til p</w:t>
      </w:r>
      <w:r w:rsidR="00792F32" w:rsidRPr="008429A0">
        <w:rPr>
          <w:sz w:val="24"/>
          <w:szCs w:val="24"/>
        </w:rPr>
        <w:t xml:space="preserve">atienter med arvelig </w:t>
      </w:r>
      <w:proofErr w:type="spellStart"/>
      <w:r w:rsidR="00792F32" w:rsidRPr="008429A0">
        <w:rPr>
          <w:sz w:val="24"/>
          <w:szCs w:val="24"/>
        </w:rPr>
        <w:t>gala</w:t>
      </w:r>
      <w:r w:rsidR="00792F32">
        <w:rPr>
          <w:sz w:val="24"/>
          <w:szCs w:val="24"/>
        </w:rPr>
        <w:t>c</w:t>
      </w:r>
      <w:r w:rsidR="00792F32" w:rsidRPr="008429A0">
        <w:rPr>
          <w:sz w:val="24"/>
          <w:szCs w:val="24"/>
        </w:rPr>
        <w:t>toseintolerans</w:t>
      </w:r>
      <w:proofErr w:type="spellEnd"/>
      <w:r w:rsidR="00792F32" w:rsidRPr="008429A0">
        <w:rPr>
          <w:sz w:val="24"/>
          <w:szCs w:val="24"/>
        </w:rPr>
        <w:t xml:space="preserve">, </w:t>
      </w:r>
      <w:r w:rsidR="00792F32">
        <w:rPr>
          <w:sz w:val="24"/>
          <w:szCs w:val="24"/>
        </w:rPr>
        <w:t xml:space="preserve">en særlig form af hereditær </w:t>
      </w:r>
      <w:proofErr w:type="spellStart"/>
      <w:r w:rsidR="00792F32">
        <w:rPr>
          <w:sz w:val="24"/>
          <w:szCs w:val="24"/>
        </w:rPr>
        <w:t>lactasemangel</w:t>
      </w:r>
      <w:proofErr w:type="spellEnd"/>
      <w:r w:rsidR="00792F32">
        <w:rPr>
          <w:sz w:val="24"/>
          <w:szCs w:val="24"/>
        </w:rPr>
        <w:t xml:space="preserve"> (</w:t>
      </w:r>
      <w:r w:rsidR="00792F32" w:rsidRPr="008429A0">
        <w:rPr>
          <w:sz w:val="24"/>
          <w:szCs w:val="24"/>
        </w:rPr>
        <w:t xml:space="preserve">Lapps </w:t>
      </w:r>
      <w:proofErr w:type="spellStart"/>
      <w:r w:rsidR="00792F32">
        <w:rPr>
          <w:sz w:val="24"/>
          <w:szCs w:val="24"/>
        </w:rPr>
        <w:t>L</w:t>
      </w:r>
      <w:r w:rsidR="00792F32" w:rsidRPr="008429A0">
        <w:rPr>
          <w:sz w:val="24"/>
          <w:szCs w:val="24"/>
        </w:rPr>
        <w:t>a</w:t>
      </w:r>
      <w:r w:rsidR="00792F32">
        <w:rPr>
          <w:sz w:val="24"/>
          <w:szCs w:val="24"/>
        </w:rPr>
        <w:t>c</w:t>
      </w:r>
      <w:r w:rsidR="00792F32" w:rsidRPr="008429A0">
        <w:rPr>
          <w:sz w:val="24"/>
          <w:szCs w:val="24"/>
        </w:rPr>
        <w:t>tase</w:t>
      </w:r>
      <w:proofErr w:type="spellEnd"/>
      <w:r w:rsidR="00792F32">
        <w:rPr>
          <w:sz w:val="24"/>
          <w:szCs w:val="24"/>
        </w:rPr>
        <w:t xml:space="preserve"> </w:t>
      </w:r>
      <w:proofErr w:type="spellStart"/>
      <w:r w:rsidR="00792F32">
        <w:rPr>
          <w:sz w:val="24"/>
          <w:szCs w:val="24"/>
        </w:rPr>
        <w:t>deficiency</w:t>
      </w:r>
      <w:proofErr w:type="spellEnd"/>
      <w:r w:rsidR="00792F32">
        <w:rPr>
          <w:sz w:val="24"/>
          <w:szCs w:val="24"/>
        </w:rPr>
        <w:t>)</w:t>
      </w:r>
      <w:r w:rsidR="00792F32" w:rsidRPr="008429A0">
        <w:rPr>
          <w:sz w:val="24"/>
          <w:szCs w:val="24"/>
        </w:rPr>
        <w:t xml:space="preserve"> eller </w:t>
      </w:r>
      <w:proofErr w:type="spellStart"/>
      <w:r w:rsidR="00792F32" w:rsidRPr="008429A0">
        <w:rPr>
          <w:sz w:val="24"/>
          <w:szCs w:val="24"/>
        </w:rPr>
        <w:t>glu</w:t>
      </w:r>
      <w:r w:rsidR="00792F32">
        <w:rPr>
          <w:sz w:val="24"/>
          <w:szCs w:val="24"/>
        </w:rPr>
        <w:t>c</w:t>
      </w:r>
      <w:r w:rsidR="00792F32" w:rsidRPr="008429A0">
        <w:rPr>
          <w:sz w:val="24"/>
          <w:szCs w:val="24"/>
        </w:rPr>
        <w:t>ose</w:t>
      </w:r>
      <w:proofErr w:type="spellEnd"/>
      <w:r w:rsidR="00792F32" w:rsidRPr="008429A0">
        <w:rPr>
          <w:sz w:val="24"/>
          <w:szCs w:val="24"/>
        </w:rPr>
        <w:t>-/</w:t>
      </w:r>
      <w:proofErr w:type="spellStart"/>
      <w:r w:rsidR="00792F32" w:rsidRPr="008429A0">
        <w:rPr>
          <w:sz w:val="24"/>
          <w:szCs w:val="24"/>
        </w:rPr>
        <w:t>gala</w:t>
      </w:r>
      <w:r w:rsidR="00792F32">
        <w:rPr>
          <w:sz w:val="24"/>
          <w:szCs w:val="24"/>
        </w:rPr>
        <w:t>c</w:t>
      </w:r>
      <w:r w:rsidR="00792F32" w:rsidRPr="008429A0">
        <w:rPr>
          <w:sz w:val="24"/>
          <w:szCs w:val="24"/>
        </w:rPr>
        <w:t>tosemalabsorption</w:t>
      </w:r>
      <w:proofErr w:type="spellEnd"/>
      <w:r w:rsidR="00792F32">
        <w:rPr>
          <w:sz w:val="24"/>
          <w:szCs w:val="24"/>
        </w:rPr>
        <w:t>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4.5</w:t>
      </w:r>
      <w:r w:rsidRPr="008429A0">
        <w:rPr>
          <w:b/>
          <w:sz w:val="24"/>
          <w:szCs w:val="24"/>
        </w:rPr>
        <w:tab/>
        <w:t>Interaktion med andre lægemidler og andre former for interaktion</w:t>
      </w:r>
    </w:p>
    <w:p w:rsidR="008429A0" w:rsidRPr="008429A0" w:rsidRDefault="00B003BF" w:rsidP="00AE217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Der er ikke udført interaktionsstudier </w:t>
      </w:r>
      <w:r w:rsidR="008429A0" w:rsidRPr="008429A0">
        <w:rPr>
          <w:i/>
          <w:sz w:val="24"/>
          <w:szCs w:val="24"/>
        </w:rPr>
        <w:t xml:space="preserve">in </w:t>
      </w:r>
      <w:proofErr w:type="spellStart"/>
      <w:r w:rsidR="008429A0" w:rsidRPr="008429A0">
        <w:rPr>
          <w:i/>
          <w:sz w:val="24"/>
          <w:szCs w:val="24"/>
        </w:rPr>
        <w:t>vivo</w:t>
      </w:r>
      <w:proofErr w:type="spellEnd"/>
      <w:r w:rsidR="008429A0" w:rsidRPr="008429A0">
        <w:rPr>
          <w:sz w:val="24"/>
          <w:szCs w:val="24"/>
        </w:rPr>
        <w:t>.</w:t>
      </w:r>
      <w:r w:rsidR="00AE2170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Baseret på </w:t>
      </w:r>
      <w:r w:rsidR="008429A0" w:rsidRPr="008429A0">
        <w:rPr>
          <w:i/>
          <w:sz w:val="24"/>
          <w:szCs w:val="24"/>
        </w:rPr>
        <w:t xml:space="preserve">in </w:t>
      </w:r>
      <w:proofErr w:type="spellStart"/>
      <w:r w:rsidR="008429A0" w:rsidRPr="008429A0">
        <w:rPr>
          <w:i/>
          <w:sz w:val="24"/>
          <w:szCs w:val="24"/>
        </w:rPr>
        <w:t>vitro</w:t>
      </w:r>
      <w:proofErr w:type="spellEnd"/>
      <w:r w:rsidR="008429A0" w:rsidRPr="008429A0">
        <w:rPr>
          <w:sz w:val="24"/>
          <w:szCs w:val="24"/>
        </w:rPr>
        <w:t xml:space="preserve">-data forventes ingen </w:t>
      </w:r>
      <w:r w:rsidR="008429A0" w:rsidRPr="008429A0">
        <w:rPr>
          <w:i/>
          <w:sz w:val="24"/>
          <w:szCs w:val="24"/>
        </w:rPr>
        <w:t xml:space="preserve">in </w:t>
      </w:r>
      <w:proofErr w:type="spellStart"/>
      <w:r w:rsidR="008429A0" w:rsidRPr="008429A0">
        <w:rPr>
          <w:i/>
          <w:sz w:val="24"/>
          <w:szCs w:val="24"/>
        </w:rPr>
        <w:t>vivo</w:t>
      </w:r>
      <w:proofErr w:type="spellEnd"/>
      <w:r w:rsidR="008429A0" w:rsidRPr="008429A0">
        <w:rPr>
          <w:sz w:val="24"/>
          <w:szCs w:val="24"/>
        </w:rPr>
        <w:t xml:space="preserve">-hæmning af </w:t>
      </w:r>
      <w:proofErr w:type="spellStart"/>
      <w:r w:rsidR="008429A0" w:rsidRPr="008429A0">
        <w:rPr>
          <w:sz w:val="24"/>
          <w:szCs w:val="24"/>
        </w:rPr>
        <w:t>cytochrom</w:t>
      </w:r>
      <w:proofErr w:type="spellEnd"/>
      <w:r w:rsidR="008429A0" w:rsidRPr="008429A0">
        <w:rPr>
          <w:sz w:val="24"/>
          <w:szCs w:val="24"/>
        </w:rPr>
        <w:t xml:space="preserve"> P450-enzymerne.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429A0" w:rsidRPr="008429A0">
        <w:rPr>
          <w:i/>
          <w:sz w:val="24"/>
          <w:szCs w:val="24"/>
        </w:rPr>
        <w:t xml:space="preserve">In </w:t>
      </w:r>
      <w:proofErr w:type="spellStart"/>
      <w:r w:rsidR="008429A0" w:rsidRPr="008429A0">
        <w:rPr>
          <w:i/>
          <w:sz w:val="24"/>
          <w:szCs w:val="24"/>
        </w:rPr>
        <w:t>vitro</w:t>
      </w:r>
      <w:proofErr w:type="spellEnd"/>
      <w:r w:rsidR="008429A0" w:rsidRPr="008429A0">
        <w:rPr>
          <w:sz w:val="24"/>
          <w:szCs w:val="24"/>
        </w:rPr>
        <w:t xml:space="preserve">-data indikerer, at lægemidler, som hæmmer </w:t>
      </w:r>
      <w:proofErr w:type="spellStart"/>
      <w:r w:rsidR="008429A0" w:rsidRPr="008429A0">
        <w:rPr>
          <w:sz w:val="24"/>
          <w:szCs w:val="24"/>
        </w:rPr>
        <w:t>monoaminooxidase</w:t>
      </w:r>
      <w:proofErr w:type="spellEnd"/>
      <w:r w:rsidR="008429A0" w:rsidRPr="008429A0">
        <w:rPr>
          <w:sz w:val="24"/>
          <w:szCs w:val="24"/>
        </w:rPr>
        <w:t xml:space="preserve"> (MAO), herunder MAO subtype B (f.eks. </w:t>
      </w:r>
      <w:proofErr w:type="spellStart"/>
      <w:r w:rsidR="008429A0" w:rsidRPr="008429A0">
        <w:rPr>
          <w:sz w:val="24"/>
          <w:szCs w:val="24"/>
        </w:rPr>
        <w:t>selegilin</w:t>
      </w:r>
      <w:proofErr w:type="spellEnd"/>
      <w:r w:rsidR="008429A0" w:rsidRPr="008429A0">
        <w:rPr>
          <w:sz w:val="24"/>
          <w:szCs w:val="24"/>
        </w:rPr>
        <w:t xml:space="preserve">), forårsager hæmning af </w:t>
      </w:r>
      <w:proofErr w:type="spellStart"/>
      <w:r w:rsidR="008429A0" w:rsidRPr="008429A0">
        <w:rPr>
          <w:sz w:val="24"/>
          <w:szCs w:val="24"/>
        </w:rPr>
        <w:t>betahistinmetabolismen</w:t>
      </w:r>
      <w:proofErr w:type="spellEnd"/>
      <w:r w:rsidR="008429A0" w:rsidRPr="008429A0">
        <w:rPr>
          <w:sz w:val="24"/>
          <w:szCs w:val="24"/>
        </w:rPr>
        <w:t>.</w:t>
      </w:r>
      <w:r w:rsidR="00AE2170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Forsigtighed anbefales, når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og MAO-</w:t>
      </w:r>
      <w:proofErr w:type="spellStart"/>
      <w:r w:rsidR="008429A0" w:rsidRPr="008429A0">
        <w:rPr>
          <w:sz w:val="24"/>
          <w:szCs w:val="24"/>
        </w:rPr>
        <w:t>hæmmere</w:t>
      </w:r>
      <w:proofErr w:type="spellEnd"/>
      <w:r w:rsidR="008429A0" w:rsidRPr="008429A0">
        <w:rPr>
          <w:sz w:val="24"/>
          <w:szCs w:val="24"/>
        </w:rPr>
        <w:t xml:space="preserve"> (herunder selektive MAO-B-</w:t>
      </w:r>
      <w:proofErr w:type="spellStart"/>
      <w:r w:rsidR="008429A0" w:rsidRPr="008429A0">
        <w:rPr>
          <w:sz w:val="24"/>
          <w:szCs w:val="24"/>
        </w:rPr>
        <w:t>hæmmere</w:t>
      </w:r>
      <w:proofErr w:type="spellEnd"/>
      <w:r w:rsidR="008429A0" w:rsidRPr="008429A0">
        <w:rPr>
          <w:sz w:val="24"/>
          <w:szCs w:val="24"/>
        </w:rPr>
        <w:t>) anvendes samtidig.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Det vigtigste </w:t>
      </w:r>
      <w:proofErr w:type="spellStart"/>
      <w:r w:rsidR="008429A0" w:rsidRPr="008429A0">
        <w:rPr>
          <w:sz w:val="24"/>
          <w:szCs w:val="24"/>
        </w:rPr>
        <w:t>metaboliseringsenzym</w:t>
      </w:r>
      <w:proofErr w:type="spellEnd"/>
      <w:r w:rsidR="008429A0" w:rsidRPr="008429A0">
        <w:rPr>
          <w:sz w:val="24"/>
          <w:szCs w:val="24"/>
        </w:rPr>
        <w:t xml:space="preserve"> for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er ukendt.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Der er ikke udført kontrollerede interaktionsstudier.</w:t>
      </w:r>
      <w:r w:rsidR="00AE2170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Kombination med andre lægemidler anbefales ikke, da der ikke foreligger nogen interaktionsdata.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Da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er en histaminanalog, kan interaktion med antihistaminer teoretisk set påvirke virkningen af et af disse lægemidler.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Der er et rapporteret tilfælde af en interaktion med </w:t>
      </w:r>
      <w:proofErr w:type="spellStart"/>
      <w:r w:rsidR="008429A0" w:rsidRPr="008429A0">
        <w:rPr>
          <w:sz w:val="24"/>
          <w:szCs w:val="24"/>
        </w:rPr>
        <w:t>ethanol</w:t>
      </w:r>
      <w:proofErr w:type="spellEnd"/>
      <w:r w:rsidR="008429A0" w:rsidRPr="008429A0">
        <w:rPr>
          <w:sz w:val="24"/>
          <w:szCs w:val="24"/>
        </w:rPr>
        <w:t xml:space="preserve"> og et stof indeholdende </w:t>
      </w:r>
      <w:proofErr w:type="spellStart"/>
      <w:r w:rsidR="008429A0" w:rsidRPr="008429A0">
        <w:rPr>
          <w:sz w:val="24"/>
          <w:szCs w:val="24"/>
        </w:rPr>
        <w:t>pyrimethamin</w:t>
      </w:r>
      <w:proofErr w:type="spellEnd"/>
      <w:r w:rsidR="008429A0" w:rsidRPr="008429A0">
        <w:rPr>
          <w:sz w:val="24"/>
          <w:szCs w:val="24"/>
        </w:rPr>
        <w:t xml:space="preserve"> med </w:t>
      </w:r>
      <w:proofErr w:type="spellStart"/>
      <w:r w:rsidR="008429A0" w:rsidRPr="008429A0">
        <w:rPr>
          <w:sz w:val="24"/>
          <w:szCs w:val="24"/>
        </w:rPr>
        <w:t>dapson</w:t>
      </w:r>
      <w:proofErr w:type="spellEnd"/>
      <w:r w:rsidR="008429A0" w:rsidRPr="008429A0">
        <w:rPr>
          <w:sz w:val="24"/>
          <w:szCs w:val="24"/>
        </w:rPr>
        <w:t xml:space="preserve"> samt et andet rapporteret tilfælde af, at </w:t>
      </w:r>
      <w:proofErr w:type="spellStart"/>
      <w:r w:rsidR="008429A0" w:rsidRPr="008429A0">
        <w:rPr>
          <w:sz w:val="24"/>
          <w:szCs w:val="24"/>
        </w:rPr>
        <w:t>betahistins</w:t>
      </w:r>
      <w:proofErr w:type="spellEnd"/>
      <w:r w:rsidR="008429A0" w:rsidRPr="008429A0">
        <w:rPr>
          <w:sz w:val="24"/>
          <w:szCs w:val="24"/>
        </w:rPr>
        <w:t xml:space="preserve"> virkning bliver forstærket med </w:t>
      </w:r>
      <w:proofErr w:type="spellStart"/>
      <w:r w:rsidR="008429A0" w:rsidRPr="008429A0">
        <w:rPr>
          <w:sz w:val="24"/>
          <w:szCs w:val="24"/>
        </w:rPr>
        <w:t>salbutamol</w:t>
      </w:r>
      <w:proofErr w:type="spellEnd"/>
      <w:r w:rsidR="008429A0" w:rsidRPr="008429A0">
        <w:rPr>
          <w:sz w:val="24"/>
          <w:szCs w:val="24"/>
        </w:rPr>
        <w:t>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4.6</w:t>
      </w:r>
      <w:r w:rsidRPr="008429A0">
        <w:rPr>
          <w:b/>
          <w:sz w:val="24"/>
          <w:szCs w:val="24"/>
        </w:rPr>
        <w:tab/>
        <w:t>Graviditet og amning</w:t>
      </w:r>
    </w:p>
    <w:p w:rsidR="00C86BE2" w:rsidRDefault="00C86BE2" w:rsidP="00AE2170">
      <w:pPr>
        <w:ind w:left="851" w:hanging="851"/>
        <w:rPr>
          <w:sz w:val="24"/>
          <w:szCs w:val="24"/>
          <w:u w:val="single"/>
        </w:rPr>
      </w:pPr>
    </w:p>
    <w:p w:rsidR="00C86BE2" w:rsidRPr="008429A0" w:rsidRDefault="00C86BE2" w:rsidP="00C86BE2">
      <w:pPr>
        <w:ind w:left="851"/>
        <w:rPr>
          <w:sz w:val="24"/>
          <w:szCs w:val="24"/>
        </w:rPr>
      </w:pPr>
      <w:r w:rsidRPr="008429A0">
        <w:rPr>
          <w:sz w:val="24"/>
          <w:szCs w:val="24"/>
          <w:u w:val="single"/>
        </w:rPr>
        <w:t>Fertilitet</w:t>
      </w:r>
    </w:p>
    <w:p w:rsidR="00C86BE2" w:rsidRPr="008429A0" w:rsidRDefault="00C86BE2" w:rsidP="00C86BE2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 xml:space="preserve">Der foreligger ingen data om </w:t>
      </w:r>
      <w:proofErr w:type="spellStart"/>
      <w:r w:rsidRPr="008429A0">
        <w:rPr>
          <w:sz w:val="24"/>
          <w:szCs w:val="24"/>
        </w:rPr>
        <w:t>betahistin</w:t>
      </w:r>
      <w:proofErr w:type="spellEnd"/>
      <w:r w:rsidRPr="008429A0">
        <w:rPr>
          <w:sz w:val="24"/>
          <w:szCs w:val="24"/>
        </w:rPr>
        <w:t xml:space="preserve"> og påvirkning af fertiliteten.</w:t>
      </w:r>
    </w:p>
    <w:p w:rsidR="00C86BE2" w:rsidRDefault="00C86BE2" w:rsidP="00AE2170">
      <w:pPr>
        <w:ind w:left="851" w:hanging="851"/>
        <w:rPr>
          <w:sz w:val="24"/>
          <w:szCs w:val="24"/>
          <w:u w:val="single"/>
        </w:rPr>
      </w:pPr>
    </w:p>
    <w:p w:rsidR="00AE2170" w:rsidRPr="008429A0" w:rsidRDefault="008429A0" w:rsidP="00C86BE2">
      <w:pPr>
        <w:ind w:left="851"/>
        <w:rPr>
          <w:sz w:val="24"/>
          <w:szCs w:val="24"/>
        </w:rPr>
      </w:pPr>
      <w:r w:rsidRPr="008429A0">
        <w:rPr>
          <w:sz w:val="24"/>
          <w:szCs w:val="24"/>
          <w:u w:val="single"/>
        </w:rPr>
        <w:t>Graviditet</w:t>
      </w:r>
    </w:p>
    <w:p w:rsidR="008429A0" w:rsidRDefault="008429A0" w:rsidP="00C86BE2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 xml:space="preserve">Der er ingen relevante data fra anvendelse af </w:t>
      </w:r>
      <w:proofErr w:type="spellStart"/>
      <w:r w:rsidRPr="008429A0">
        <w:rPr>
          <w:sz w:val="24"/>
          <w:szCs w:val="24"/>
        </w:rPr>
        <w:t>betahistin</w:t>
      </w:r>
      <w:proofErr w:type="spellEnd"/>
      <w:r w:rsidRPr="008429A0">
        <w:rPr>
          <w:sz w:val="24"/>
          <w:szCs w:val="24"/>
        </w:rPr>
        <w:t xml:space="preserve"> til gravide kvinder.</w:t>
      </w:r>
      <w:r w:rsidR="00AE2170" w:rsidRPr="008429A0">
        <w:rPr>
          <w:sz w:val="24"/>
          <w:szCs w:val="24"/>
        </w:rPr>
        <w:t xml:space="preserve"> </w:t>
      </w:r>
      <w:r w:rsidRPr="008429A0">
        <w:rPr>
          <w:sz w:val="24"/>
          <w:szCs w:val="24"/>
        </w:rPr>
        <w:t>Data fra dyreforsøg er utilstrækkelige, hvad angår virkninger på graviditeten, embryonal/</w:t>
      </w:r>
      <w:proofErr w:type="spellStart"/>
      <w:r w:rsidRPr="008429A0">
        <w:rPr>
          <w:sz w:val="24"/>
          <w:szCs w:val="24"/>
        </w:rPr>
        <w:t>føtal</w:t>
      </w:r>
      <w:proofErr w:type="spellEnd"/>
      <w:r w:rsidRPr="008429A0">
        <w:rPr>
          <w:sz w:val="24"/>
          <w:szCs w:val="24"/>
        </w:rPr>
        <w:t xml:space="preserve"> udvikling, fødsel og </w:t>
      </w:r>
      <w:proofErr w:type="spellStart"/>
      <w:r w:rsidRPr="008429A0">
        <w:rPr>
          <w:sz w:val="24"/>
          <w:szCs w:val="24"/>
        </w:rPr>
        <w:t>postnatal</w:t>
      </w:r>
      <w:proofErr w:type="spellEnd"/>
      <w:r w:rsidRPr="008429A0">
        <w:rPr>
          <w:sz w:val="24"/>
          <w:szCs w:val="24"/>
        </w:rPr>
        <w:t xml:space="preserve"> udvikling.</w:t>
      </w:r>
      <w:r w:rsidR="00AE2170" w:rsidRPr="008429A0">
        <w:rPr>
          <w:sz w:val="24"/>
          <w:szCs w:val="24"/>
        </w:rPr>
        <w:t xml:space="preserve"> </w:t>
      </w:r>
      <w:r w:rsidRPr="008429A0">
        <w:rPr>
          <w:sz w:val="24"/>
          <w:szCs w:val="24"/>
        </w:rPr>
        <w:t>Den potentielle risiko for mennesker er ukendt.</w:t>
      </w:r>
      <w:r w:rsidR="00AE2170" w:rsidRPr="008429A0">
        <w:rPr>
          <w:sz w:val="24"/>
          <w:szCs w:val="24"/>
        </w:rPr>
        <w:t xml:space="preserve"> </w:t>
      </w:r>
      <w:proofErr w:type="spellStart"/>
      <w:r w:rsidRPr="008429A0">
        <w:rPr>
          <w:sz w:val="24"/>
          <w:szCs w:val="24"/>
        </w:rPr>
        <w:t>Betahistin</w:t>
      </w:r>
      <w:proofErr w:type="spellEnd"/>
      <w:r w:rsidRPr="008429A0">
        <w:rPr>
          <w:sz w:val="24"/>
          <w:szCs w:val="24"/>
        </w:rPr>
        <w:t xml:space="preserve"> bør kun anvendes under graviditeten på tvingende indikation.</w:t>
      </w:r>
    </w:p>
    <w:p w:rsidR="00AE2170" w:rsidRPr="008429A0" w:rsidRDefault="00AE2170" w:rsidP="00C86BE2">
      <w:pPr>
        <w:ind w:left="851"/>
        <w:rPr>
          <w:sz w:val="24"/>
          <w:szCs w:val="24"/>
        </w:rPr>
      </w:pPr>
    </w:p>
    <w:p w:rsidR="008429A0" w:rsidRPr="008429A0" w:rsidRDefault="008429A0" w:rsidP="00C86BE2">
      <w:pPr>
        <w:ind w:left="851"/>
        <w:rPr>
          <w:sz w:val="24"/>
          <w:szCs w:val="24"/>
          <w:u w:val="single"/>
        </w:rPr>
      </w:pPr>
      <w:r w:rsidRPr="008429A0">
        <w:rPr>
          <w:sz w:val="24"/>
          <w:szCs w:val="24"/>
          <w:u w:val="single"/>
        </w:rPr>
        <w:t>Amning</w:t>
      </w:r>
    </w:p>
    <w:p w:rsidR="008429A0" w:rsidRPr="008429A0" w:rsidRDefault="008429A0" w:rsidP="00C86BE2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 xml:space="preserve">Det er ukendt, om </w:t>
      </w:r>
      <w:proofErr w:type="spellStart"/>
      <w:r w:rsidRPr="008429A0">
        <w:rPr>
          <w:sz w:val="24"/>
          <w:szCs w:val="24"/>
        </w:rPr>
        <w:t>betahistin</w:t>
      </w:r>
      <w:proofErr w:type="spellEnd"/>
      <w:r w:rsidRPr="008429A0">
        <w:rPr>
          <w:sz w:val="24"/>
          <w:szCs w:val="24"/>
        </w:rPr>
        <w:t xml:space="preserve"> udskilles i human mælk.</w:t>
      </w:r>
      <w:r w:rsidR="00AE2170" w:rsidRPr="008429A0">
        <w:rPr>
          <w:sz w:val="24"/>
          <w:szCs w:val="24"/>
        </w:rPr>
        <w:t xml:space="preserve"> </w:t>
      </w:r>
      <w:r w:rsidRPr="008429A0">
        <w:rPr>
          <w:sz w:val="24"/>
          <w:szCs w:val="24"/>
        </w:rPr>
        <w:t xml:space="preserve">Der foreligger ingen dyreforsøg om udskillelse af </w:t>
      </w:r>
      <w:proofErr w:type="spellStart"/>
      <w:r w:rsidRPr="008429A0">
        <w:rPr>
          <w:sz w:val="24"/>
          <w:szCs w:val="24"/>
        </w:rPr>
        <w:t>betahistin</w:t>
      </w:r>
      <w:proofErr w:type="spellEnd"/>
      <w:r w:rsidRPr="008429A0">
        <w:rPr>
          <w:sz w:val="24"/>
          <w:szCs w:val="24"/>
        </w:rPr>
        <w:t xml:space="preserve"> i mælk.</w:t>
      </w:r>
      <w:r w:rsidR="00AE2170" w:rsidRPr="008429A0">
        <w:rPr>
          <w:sz w:val="24"/>
          <w:szCs w:val="24"/>
        </w:rPr>
        <w:t xml:space="preserve"> </w:t>
      </w:r>
      <w:r w:rsidRPr="008429A0">
        <w:rPr>
          <w:sz w:val="24"/>
          <w:szCs w:val="24"/>
        </w:rPr>
        <w:t>Lægemidlets vigtighed for moderen bør opvejes mod fordelene ved amning og de potentielle risici for barnet.</w:t>
      </w:r>
    </w:p>
    <w:p w:rsidR="00B003BF" w:rsidRPr="008429A0" w:rsidRDefault="00B003BF" w:rsidP="00C86BE2">
      <w:pPr>
        <w:ind w:left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4.7</w:t>
      </w:r>
      <w:r w:rsidRPr="008429A0">
        <w:rPr>
          <w:b/>
          <w:sz w:val="24"/>
          <w:szCs w:val="24"/>
        </w:rPr>
        <w:tab/>
        <w:t>Virkninger på evnen til at føre motorkøretøj eller betjene maskiner</w:t>
      </w:r>
    </w:p>
    <w:p w:rsidR="00C86BE2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C86BE2">
        <w:rPr>
          <w:sz w:val="24"/>
          <w:szCs w:val="24"/>
        </w:rPr>
        <w:t>Ikke mærkning.</w:t>
      </w:r>
    </w:p>
    <w:p w:rsidR="00B003BF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er indiceret til </w:t>
      </w:r>
      <w:proofErr w:type="spellStart"/>
      <w:r w:rsidR="008429A0" w:rsidRPr="008429A0">
        <w:rPr>
          <w:sz w:val="24"/>
          <w:szCs w:val="24"/>
        </w:rPr>
        <w:t>morbus</w:t>
      </w:r>
      <w:proofErr w:type="spellEnd"/>
      <w:r w:rsidR="008429A0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Ménière</w:t>
      </w:r>
      <w:proofErr w:type="spellEnd"/>
      <w:r w:rsidR="008429A0" w:rsidRPr="008429A0">
        <w:rPr>
          <w:sz w:val="24"/>
          <w:szCs w:val="24"/>
        </w:rPr>
        <w:t xml:space="preserve"> og symptomatisk </w:t>
      </w:r>
      <w:proofErr w:type="spellStart"/>
      <w:r w:rsidR="008429A0" w:rsidRPr="008429A0">
        <w:rPr>
          <w:sz w:val="24"/>
          <w:szCs w:val="24"/>
        </w:rPr>
        <w:t>vertigo</w:t>
      </w:r>
      <w:proofErr w:type="spellEnd"/>
      <w:r w:rsidR="008429A0" w:rsidRPr="008429A0">
        <w:rPr>
          <w:sz w:val="24"/>
          <w:szCs w:val="24"/>
        </w:rPr>
        <w:t>.</w:t>
      </w:r>
      <w:r w:rsidR="00F25B6B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Begge lidelser kan have en negativ virkning på evnen til at føre motorkøretøj og betjene maskiner.</w:t>
      </w:r>
      <w:r w:rsidR="00F25B6B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I kliniske studier, der specifikt var designet til at undersøge evnen til at føre motorkøretøj og betjene maskiner, påvirkede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ikke eller kun i ubetydelig grad denne evne.</w:t>
      </w:r>
      <w:r w:rsidR="00F25B6B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kan dog medføre døsighed, hvilket kan påvirke evnen til at føre motorkøretøj og betjene maskiner.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4.8</w:t>
      </w:r>
      <w:r w:rsidRPr="008429A0">
        <w:rPr>
          <w:b/>
          <w:sz w:val="24"/>
          <w:szCs w:val="24"/>
        </w:rPr>
        <w:tab/>
        <w:t>Bivirkninger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Følgende bivirkninger er forekommet med nedenstående hyppigheder hos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>-behandlede patienter i placebokontrollerede kliniske forsøg [meget almindelig (</w:t>
      </w:r>
      <w:r w:rsidR="008429A0" w:rsidRPr="008429A0">
        <w:rPr>
          <w:sz w:val="24"/>
          <w:szCs w:val="24"/>
        </w:rPr>
        <w:sym w:font="Symbol" w:char="00B3"/>
      </w:r>
      <w:r w:rsidR="008429A0" w:rsidRPr="008429A0">
        <w:rPr>
          <w:sz w:val="24"/>
          <w:szCs w:val="24"/>
        </w:rPr>
        <w:t>1/10), almindelig (</w:t>
      </w:r>
      <w:r w:rsidR="008429A0" w:rsidRPr="008429A0">
        <w:rPr>
          <w:sz w:val="24"/>
          <w:szCs w:val="24"/>
        </w:rPr>
        <w:sym w:font="Symbol" w:char="00B3"/>
      </w:r>
      <w:r w:rsidR="008429A0" w:rsidRPr="008429A0">
        <w:rPr>
          <w:sz w:val="24"/>
          <w:szCs w:val="24"/>
        </w:rPr>
        <w:t>1/100 til &lt;1/10), ikke almindelig (</w:t>
      </w:r>
      <w:r w:rsidR="008429A0" w:rsidRPr="008429A0">
        <w:rPr>
          <w:sz w:val="24"/>
          <w:szCs w:val="24"/>
        </w:rPr>
        <w:sym w:font="Symbol" w:char="00B3"/>
      </w:r>
      <w:r w:rsidR="008429A0" w:rsidRPr="008429A0">
        <w:rPr>
          <w:sz w:val="24"/>
          <w:szCs w:val="24"/>
        </w:rPr>
        <w:t>1/1.000 til &lt;1/100), sjælden (</w:t>
      </w:r>
      <w:r w:rsidR="008429A0" w:rsidRPr="008429A0">
        <w:rPr>
          <w:sz w:val="24"/>
          <w:szCs w:val="24"/>
        </w:rPr>
        <w:sym w:font="Symbol" w:char="00B3"/>
      </w:r>
      <w:r w:rsidR="008429A0" w:rsidRPr="008429A0">
        <w:rPr>
          <w:sz w:val="24"/>
          <w:szCs w:val="24"/>
        </w:rPr>
        <w:t>1/10.000 til &lt;1/1.000), meget sjælden (&lt;1/10.000), ikke kendt (kan ikke estimeres ud fra forhåndenværende data)].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699"/>
        <w:gridCol w:w="5929"/>
      </w:tblGrid>
      <w:tr w:rsidR="008429A0" w:rsidRPr="008429A0" w:rsidTr="0049129C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A0" w:rsidRPr="008429A0" w:rsidRDefault="008429A0" w:rsidP="00C86BE2">
            <w:pPr>
              <w:rPr>
                <w:b/>
                <w:sz w:val="24"/>
                <w:szCs w:val="24"/>
                <w:lang w:val="en-US"/>
              </w:rPr>
            </w:pPr>
            <w:r w:rsidRPr="008429A0">
              <w:rPr>
                <w:b/>
                <w:sz w:val="24"/>
                <w:szCs w:val="24"/>
              </w:rPr>
              <w:t>Immunsystemet</w:t>
            </w:r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  <w:r w:rsidRPr="008429A0">
              <w:rPr>
                <w:sz w:val="24"/>
                <w:szCs w:val="24"/>
              </w:rPr>
              <w:t>Ikke kendt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  <w:r w:rsidRPr="008429A0">
              <w:rPr>
                <w:sz w:val="24"/>
                <w:szCs w:val="24"/>
              </w:rPr>
              <w:t>Overfølsomhedsreaktioner, f.eks. anafylaksi.</w:t>
            </w:r>
          </w:p>
        </w:tc>
      </w:tr>
      <w:tr w:rsidR="008429A0" w:rsidRPr="008429A0" w:rsidTr="0049129C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0" w:rsidRPr="008429A0" w:rsidRDefault="008429A0" w:rsidP="00C86BE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429A0">
              <w:rPr>
                <w:b/>
                <w:sz w:val="24"/>
                <w:szCs w:val="24"/>
                <w:lang w:val="en-US"/>
              </w:rPr>
              <w:t>Nervesystemet</w:t>
            </w:r>
            <w:proofErr w:type="spellEnd"/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  <w:proofErr w:type="spellStart"/>
            <w:r w:rsidRPr="008429A0">
              <w:rPr>
                <w:sz w:val="24"/>
                <w:szCs w:val="24"/>
                <w:lang w:val="en-US"/>
              </w:rPr>
              <w:t>Almindelig</w:t>
            </w:r>
            <w:proofErr w:type="spellEnd"/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  <w:r w:rsidRPr="008429A0">
              <w:rPr>
                <w:sz w:val="24"/>
                <w:szCs w:val="24"/>
              </w:rPr>
              <w:t>Ikke kendt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  <w:proofErr w:type="spellStart"/>
            <w:r w:rsidRPr="008429A0">
              <w:rPr>
                <w:sz w:val="24"/>
                <w:szCs w:val="24"/>
                <w:lang w:val="en-US"/>
              </w:rPr>
              <w:t>Hovedpine</w:t>
            </w:r>
            <w:proofErr w:type="spellEnd"/>
            <w:r w:rsidRPr="008429A0">
              <w:rPr>
                <w:sz w:val="24"/>
                <w:szCs w:val="24"/>
                <w:lang w:val="en-US"/>
              </w:rPr>
              <w:t>.</w:t>
            </w:r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  <w:lang w:val="en-US"/>
              </w:rPr>
            </w:pPr>
            <w:r w:rsidRPr="008429A0">
              <w:rPr>
                <w:sz w:val="24"/>
                <w:szCs w:val="24"/>
              </w:rPr>
              <w:t>Døsighed.</w:t>
            </w:r>
          </w:p>
        </w:tc>
      </w:tr>
      <w:tr w:rsidR="008429A0" w:rsidRPr="008429A0" w:rsidTr="0049129C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0" w:rsidRPr="008429A0" w:rsidRDefault="008429A0" w:rsidP="00C86BE2">
            <w:pPr>
              <w:rPr>
                <w:b/>
                <w:sz w:val="24"/>
                <w:szCs w:val="24"/>
              </w:rPr>
            </w:pPr>
            <w:r w:rsidRPr="008429A0">
              <w:rPr>
                <w:b/>
                <w:sz w:val="24"/>
                <w:szCs w:val="24"/>
              </w:rPr>
              <w:t>Mave-tarm-kanalen</w:t>
            </w: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  <w:r w:rsidRPr="008429A0">
              <w:rPr>
                <w:sz w:val="24"/>
                <w:szCs w:val="24"/>
              </w:rPr>
              <w:t>Almindelig</w:t>
            </w: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  <w:r w:rsidRPr="008429A0">
              <w:rPr>
                <w:sz w:val="24"/>
                <w:szCs w:val="24"/>
              </w:rPr>
              <w:t>Ikke kendt</w:t>
            </w:r>
            <w:r w:rsidRPr="008429A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0" w:rsidRPr="008429A0" w:rsidRDefault="008429A0" w:rsidP="00C86BE2">
            <w:pPr>
              <w:rPr>
                <w:bCs/>
                <w:sz w:val="24"/>
                <w:szCs w:val="24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  <w:r w:rsidRPr="008429A0">
              <w:rPr>
                <w:sz w:val="24"/>
                <w:szCs w:val="24"/>
              </w:rPr>
              <w:t xml:space="preserve">Kvalme, dyspepsi. </w:t>
            </w: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  <w:r w:rsidRPr="008429A0">
              <w:rPr>
                <w:sz w:val="24"/>
                <w:szCs w:val="24"/>
              </w:rPr>
              <w:t xml:space="preserve">Let mavebesvær (f.eks. opkastning, </w:t>
            </w:r>
            <w:proofErr w:type="spellStart"/>
            <w:r w:rsidRPr="008429A0">
              <w:rPr>
                <w:sz w:val="24"/>
                <w:szCs w:val="24"/>
              </w:rPr>
              <w:t>gastrointestinale</w:t>
            </w:r>
            <w:proofErr w:type="spellEnd"/>
            <w:r w:rsidRPr="008429A0">
              <w:rPr>
                <w:sz w:val="24"/>
                <w:szCs w:val="24"/>
              </w:rPr>
              <w:t xml:space="preserve"> smerter, </w:t>
            </w:r>
            <w:proofErr w:type="spellStart"/>
            <w:r w:rsidRPr="008429A0">
              <w:rPr>
                <w:sz w:val="24"/>
                <w:szCs w:val="24"/>
              </w:rPr>
              <w:t>abdominal</w:t>
            </w:r>
            <w:proofErr w:type="spellEnd"/>
            <w:r w:rsidRPr="008429A0">
              <w:rPr>
                <w:sz w:val="24"/>
                <w:szCs w:val="24"/>
              </w:rPr>
              <w:t xml:space="preserve"> </w:t>
            </w:r>
            <w:proofErr w:type="spellStart"/>
            <w:r w:rsidRPr="008429A0">
              <w:rPr>
                <w:sz w:val="24"/>
                <w:szCs w:val="24"/>
              </w:rPr>
              <w:t>distension</w:t>
            </w:r>
            <w:proofErr w:type="spellEnd"/>
            <w:r w:rsidRPr="008429A0">
              <w:rPr>
                <w:sz w:val="24"/>
                <w:szCs w:val="24"/>
              </w:rPr>
              <w:t xml:space="preserve"> og </w:t>
            </w:r>
            <w:proofErr w:type="spellStart"/>
            <w:r w:rsidRPr="008429A0">
              <w:rPr>
                <w:sz w:val="24"/>
                <w:szCs w:val="24"/>
              </w:rPr>
              <w:t>oppustethed</w:t>
            </w:r>
            <w:proofErr w:type="spellEnd"/>
            <w:r w:rsidRPr="008429A0">
              <w:rPr>
                <w:sz w:val="24"/>
                <w:szCs w:val="24"/>
              </w:rPr>
              <w:t>).</w:t>
            </w:r>
            <w:r w:rsidR="002E40E9" w:rsidRPr="008429A0">
              <w:rPr>
                <w:sz w:val="24"/>
                <w:szCs w:val="24"/>
              </w:rPr>
              <w:t xml:space="preserve"> </w:t>
            </w:r>
            <w:r w:rsidRPr="008429A0">
              <w:rPr>
                <w:sz w:val="24"/>
                <w:szCs w:val="24"/>
              </w:rPr>
              <w:t>Disse bivirkninger forsvinder normalt, hvis dosen nedsættes eller tages sammen med et måltid</w:t>
            </w:r>
            <w:r w:rsidR="002E40E9">
              <w:rPr>
                <w:sz w:val="24"/>
                <w:szCs w:val="24"/>
              </w:rPr>
              <w:t>.</w:t>
            </w:r>
          </w:p>
        </w:tc>
      </w:tr>
      <w:tr w:rsidR="008429A0" w:rsidRPr="008429A0" w:rsidTr="0049129C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A0" w:rsidRPr="008429A0" w:rsidRDefault="008429A0" w:rsidP="00C86BE2">
            <w:pPr>
              <w:rPr>
                <w:b/>
                <w:sz w:val="24"/>
                <w:szCs w:val="24"/>
              </w:rPr>
            </w:pPr>
            <w:r w:rsidRPr="008429A0">
              <w:rPr>
                <w:b/>
                <w:sz w:val="24"/>
                <w:szCs w:val="24"/>
              </w:rPr>
              <w:t>Hud og subkutane væv</w:t>
            </w:r>
          </w:p>
          <w:p w:rsidR="008429A0" w:rsidRPr="008429A0" w:rsidRDefault="008429A0" w:rsidP="00C86BE2">
            <w:pPr>
              <w:rPr>
                <w:sz w:val="24"/>
                <w:szCs w:val="24"/>
              </w:rPr>
            </w:pPr>
            <w:r w:rsidRPr="008429A0">
              <w:rPr>
                <w:sz w:val="24"/>
                <w:szCs w:val="24"/>
              </w:rPr>
              <w:t>Ikke kendt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0" w:rsidRPr="008429A0" w:rsidRDefault="008429A0" w:rsidP="00C86BE2">
            <w:pPr>
              <w:rPr>
                <w:sz w:val="24"/>
                <w:szCs w:val="24"/>
              </w:rPr>
            </w:pPr>
          </w:p>
          <w:p w:rsidR="008429A0" w:rsidRPr="008429A0" w:rsidRDefault="008429A0" w:rsidP="00C86BE2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429A0">
              <w:rPr>
                <w:sz w:val="24"/>
                <w:szCs w:val="24"/>
              </w:rPr>
              <w:t>Kutane</w:t>
            </w:r>
            <w:proofErr w:type="spellEnd"/>
            <w:r w:rsidRPr="008429A0">
              <w:rPr>
                <w:sz w:val="24"/>
                <w:szCs w:val="24"/>
              </w:rPr>
              <w:t xml:space="preserve"> og subkutane overfølsomhedsreaktioner, navnlig </w:t>
            </w:r>
            <w:proofErr w:type="spellStart"/>
            <w:r w:rsidRPr="008429A0">
              <w:rPr>
                <w:sz w:val="24"/>
                <w:szCs w:val="24"/>
              </w:rPr>
              <w:t>angioneurotisk</w:t>
            </w:r>
            <w:proofErr w:type="spellEnd"/>
            <w:r w:rsidRPr="008429A0">
              <w:rPr>
                <w:sz w:val="24"/>
                <w:szCs w:val="24"/>
              </w:rPr>
              <w:t xml:space="preserve"> ødem, </w:t>
            </w:r>
            <w:proofErr w:type="spellStart"/>
            <w:r w:rsidRPr="008429A0">
              <w:rPr>
                <w:sz w:val="24"/>
                <w:szCs w:val="24"/>
              </w:rPr>
              <w:t>urticaria</w:t>
            </w:r>
            <w:proofErr w:type="spellEnd"/>
            <w:r w:rsidRPr="008429A0">
              <w:rPr>
                <w:sz w:val="24"/>
                <w:szCs w:val="24"/>
              </w:rPr>
              <w:t xml:space="preserve">, udslæt og </w:t>
            </w:r>
            <w:proofErr w:type="spellStart"/>
            <w:r w:rsidRPr="008429A0">
              <w:rPr>
                <w:sz w:val="24"/>
                <w:szCs w:val="24"/>
              </w:rPr>
              <w:t>pruritus</w:t>
            </w:r>
            <w:proofErr w:type="spellEnd"/>
            <w:r w:rsidRPr="008429A0">
              <w:rPr>
                <w:sz w:val="24"/>
                <w:szCs w:val="24"/>
              </w:rPr>
              <w:t>.</w:t>
            </w:r>
          </w:p>
        </w:tc>
      </w:tr>
    </w:tbl>
    <w:p w:rsidR="00B003BF" w:rsidRDefault="00B003BF" w:rsidP="008429A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9129C" w:rsidRPr="003952CE" w:rsidRDefault="0049129C" w:rsidP="0049129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49129C" w:rsidRPr="003952CE" w:rsidRDefault="0049129C" w:rsidP="0049129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 w:rsidRPr="003952CE">
        <w:rPr>
          <w:sz w:val="24"/>
          <w:szCs w:val="24"/>
        </w:rPr>
        <w:t>benefit</w:t>
      </w:r>
      <w:proofErr w:type="spellEnd"/>
      <w:r w:rsidRPr="003952CE">
        <w:rPr>
          <w:sz w:val="24"/>
          <w:szCs w:val="24"/>
        </w:rPr>
        <w:t>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>-forholdet for lægemidlet. Læger og sundhedspersonale anmodes om at indberette alle formodede bivirkninger via:</w:t>
      </w:r>
    </w:p>
    <w:p w:rsidR="0049129C" w:rsidRPr="003952CE" w:rsidRDefault="0049129C" w:rsidP="0049129C">
      <w:pPr>
        <w:tabs>
          <w:tab w:val="left" w:pos="2440"/>
        </w:tabs>
        <w:ind w:left="851"/>
        <w:rPr>
          <w:sz w:val="24"/>
          <w:szCs w:val="24"/>
        </w:rPr>
      </w:pPr>
    </w:p>
    <w:p w:rsidR="0049129C" w:rsidRPr="003952CE" w:rsidRDefault="0049129C" w:rsidP="0049129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49129C" w:rsidRPr="003952CE" w:rsidRDefault="0049129C" w:rsidP="0049129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49129C" w:rsidRPr="003952CE" w:rsidRDefault="0049129C" w:rsidP="0049129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49129C" w:rsidRPr="003952CE" w:rsidRDefault="0049129C" w:rsidP="0049129C">
      <w:pPr>
        <w:ind w:left="851"/>
        <w:rPr>
          <w:sz w:val="24"/>
          <w:szCs w:val="24"/>
          <w:lang w:val="en-US"/>
        </w:rPr>
      </w:pPr>
      <w:proofErr w:type="spellStart"/>
      <w:r w:rsidRPr="003952CE">
        <w:rPr>
          <w:sz w:val="24"/>
          <w:szCs w:val="24"/>
          <w:lang w:val="en-US"/>
        </w:rPr>
        <w:t>Websted</w:t>
      </w:r>
      <w:proofErr w:type="spellEnd"/>
      <w:r w:rsidRPr="003952CE">
        <w:rPr>
          <w:sz w:val="24"/>
          <w:szCs w:val="24"/>
          <w:lang w:val="en-US"/>
        </w:rPr>
        <w:t xml:space="preserve">: </w:t>
      </w:r>
      <w:r w:rsidR="00050236">
        <w:fldChar w:fldCharType="begin"/>
      </w:r>
      <w:r w:rsidR="00050236" w:rsidRPr="00050236">
        <w:rPr>
          <w:lang w:val="en-US"/>
        </w:rPr>
        <w:instrText xml:space="preserve"> HYPERLINK "http://www.meldenbivirkning.dk" </w:instrText>
      </w:r>
      <w:r w:rsidR="00050236">
        <w:fldChar w:fldCharType="separate"/>
      </w:r>
      <w:r w:rsidRPr="003952CE">
        <w:rPr>
          <w:rStyle w:val="Hyperlink"/>
          <w:sz w:val="24"/>
          <w:szCs w:val="24"/>
          <w:lang w:val="en-US"/>
        </w:rPr>
        <w:t>www.meldenbivirkning.dk</w:t>
      </w:r>
      <w:r w:rsidR="00050236">
        <w:rPr>
          <w:rStyle w:val="Hyperlink"/>
          <w:sz w:val="24"/>
          <w:szCs w:val="24"/>
          <w:lang w:val="en-US"/>
        </w:rPr>
        <w:fldChar w:fldCharType="end"/>
      </w:r>
    </w:p>
    <w:p w:rsidR="0049129C" w:rsidRPr="003952CE" w:rsidRDefault="0049129C" w:rsidP="0049129C">
      <w:pPr>
        <w:ind w:left="851"/>
        <w:rPr>
          <w:sz w:val="24"/>
          <w:szCs w:val="24"/>
          <w:lang w:val="en-US"/>
        </w:rPr>
      </w:pPr>
      <w:r w:rsidRPr="003952CE">
        <w:rPr>
          <w:sz w:val="24"/>
          <w:szCs w:val="24"/>
          <w:lang w:val="en-US"/>
        </w:rPr>
        <w:t xml:space="preserve">E-mail: </w:t>
      </w:r>
      <w:r w:rsidR="00050236">
        <w:fldChar w:fldCharType="begin"/>
      </w:r>
      <w:r w:rsidR="00050236" w:rsidRPr="00050236">
        <w:rPr>
          <w:lang w:val="en-US"/>
        </w:rPr>
        <w:instrText xml:space="preserve"> HYPERLINK "mailto:dkma@dkma.dk" </w:instrText>
      </w:r>
      <w:r w:rsidR="00050236">
        <w:fldChar w:fldCharType="separate"/>
      </w:r>
      <w:r w:rsidRPr="003952CE">
        <w:rPr>
          <w:rStyle w:val="Hyperlink"/>
          <w:sz w:val="24"/>
          <w:szCs w:val="24"/>
          <w:lang w:val="en-US"/>
        </w:rPr>
        <w:t>dkma@dkma.dk</w:t>
      </w:r>
      <w:r w:rsidR="00050236">
        <w:rPr>
          <w:rStyle w:val="Hyperlink"/>
          <w:sz w:val="24"/>
          <w:szCs w:val="24"/>
          <w:lang w:val="en-US"/>
        </w:rPr>
        <w:fldChar w:fldCharType="end"/>
      </w:r>
    </w:p>
    <w:p w:rsidR="0049129C" w:rsidRDefault="0049129C">
      <w:pPr>
        <w:rPr>
          <w:sz w:val="24"/>
          <w:szCs w:val="24"/>
          <w:lang w:val="en-US" w:eastAsia="da-DK"/>
        </w:rPr>
      </w:pPr>
      <w:r>
        <w:rPr>
          <w:szCs w:val="24"/>
          <w:lang w:val="en-US"/>
        </w:rPr>
        <w:br w:type="page"/>
      </w:r>
    </w:p>
    <w:p w:rsidR="00792F32" w:rsidRPr="0049129C" w:rsidRDefault="00792F32" w:rsidP="008429A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4.9</w:t>
      </w:r>
      <w:r w:rsidRPr="008429A0">
        <w:rPr>
          <w:b/>
          <w:sz w:val="24"/>
          <w:szCs w:val="24"/>
        </w:rPr>
        <w:tab/>
        <w:t>Overdosering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Symptomer på overdosering: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Der er rapporteret få tilfælde af overdosering.</w:t>
      </w:r>
      <w:r w:rsidR="002E40E9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Nogle patienter oplevede lette til moderate symptomer med doser på op til 640 mg (f.eks. kvalme, </w:t>
      </w:r>
      <w:proofErr w:type="spellStart"/>
      <w:r w:rsidR="008429A0" w:rsidRPr="008429A0">
        <w:rPr>
          <w:sz w:val="24"/>
          <w:szCs w:val="24"/>
        </w:rPr>
        <w:t>somnolens</w:t>
      </w:r>
      <w:proofErr w:type="spellEnd"/>
      <w:r w:rsidR="008429A0" w:rsidRPr="008429A0">
        <w:rPr>
          <w:sz w:val="24"/>
          <w:szCs w:val="24"/>
        </w:rPr>
        <w:t xml:space="preserve">, </w:t>
      </w:r>
      <w:proofErr w:type="spellStart"/>
      <w:r w:rsidR="008429A0" w:rsidRPr="008429A0">
        <w:rPr>
          <w:sz w:val="24"/>
          <w:szCs w:val="24"/>
        </w:rPr>
        <w:t>abdominale</w:t>
      </w:r>
      <w:proofErr w:type="spellEnd"/>
      <w:r w:rsidR="008429A0" w:rsidRPr="008429A0">
        <w:rPr>
          <w:sz w:val="24"/>
          <w:szCs w:val="24"/>
        </w:rPr>
        <w:t xml:space="preserve"> smerter).</w:t>
      </w:r>
      <w:r w:rsidR="002E40E9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Mere alvorlige komplikationer (f.eks.</w:t>
      </w:r>
      <w:r w:rsidR="002E40E9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krampe, lunge- eller hjertekomplikationer) er set i tilfælde af forsætlig overdosering af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>, især i kombination med andre overdoserede lægemidler.</w:t>
      </w: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I tilfælde af overdosering kan der forventes virkninger, som svarer til virkningerne af histamin, og som medfører følgende symptomer:</w:t>
      </w:r>
      <w:r w:rsidR="002E40E9">
        <w:rPr>
          <w:sz w:val="24"/>
          <w:szCs w:val="24"/>
        </w:rPr>
        <w:t xml:space="preserve"> H</w:t>
      </w:r>
      <w:r w:rsidR="008429A0" w:rsidRPr="008429A0">
        <w:rPr>
          <w:sz w:val="24"/>
          <w:szCs w:val="24"/>
        </w:rPr>
        <w:t xml:space="preserve">ovedpine, ansigtsrødme, svimmelhed, </w:t>
      </w:r>
      <w:proofErr w:type="spellStart"/>
      <w:r w:rsidR="008429A0" w:rsidRPr="008429A0">
        <w:rPr>
          <w:sz w:val="24"/>
          <w:szCs w:val="24"/>
        </w:rPr>
        <w:t>takykardi</w:t>
      </w:r>
      <w:proofErr w:type="spellEnd"/>
      <w:r w:rsidR="008429A0" w:rsidRPr="008429A0">
        <w:rPr>
          <w:sz w:val="24"/>
          <w:szCs w:val="24"/>
        </w:rPr>
        <w:t xml:space="preserve">, </w:t>
      </w:r>
      <w:proofErr w:type="spellStart"/>
      <w:r w:rsidR="008429A0" w:rsidRPr="008429A0">
        <w:rPr>
          <w:sz w:val="24"/>
          <w:szCs w:val="24"/>
        </w:rPr>
        <w:t>hypotension</w:t>
      </w:r>
      <w:proofErr w:type="spellEnd"/>
      <w:r w:rsidR="008429A0" w:rsidRPr="008429A0">
        <w:rPr>
          <w:sz w:val="24"/>
          <w:szCs w:val="24"/>
        </w:rPr>
        <w:t xml:space="preserve">, </w:t>
      </w:r>
      <w:proofErr w:type="spellStart"/>
      <w:r w:rsidR="008429A0" w:rsidRPr="008429A0">
        <w:rPr>
          <w:sz w:val="24"/>
          <w:szCs w:val="24"/>
        </w:rPr>
        <w:t>bronkospasme</w:t>
      </w:r>
      <w:proofErr w:type="spellEnd"/>
      <w:r w:rsidR="008429A0" w:rsidRPr="008429A0">
        <w:rPr>
          <w:sz w:val="24"/>
          <w:szCs w:val="24"/>
        </w:rPr>
        <w:t xml:space="preserve"> og ødemer, navnlig i slimhinderne i de øvre luftveje (</w:t>
      </w:r>
      <w:proofErr w:type="spellStart"/>
      <w:r w:rsidR="008429A0" w:rsidRPr="008429A0">
        <w:rPr>
          <w:sz w:val="24"/>
          <w:szCs w:val="24"/>
        </w:rPr>
        <w:t>Quinckes</w:t>
      </w:r>
      <w:proofErr w:type="spellEnd"/>
      <w:r w:rsidR="008429A0" w:rsidRPr="008429A0">
        <w:rPr>
          <w:sz w:val="24"/>
          <w:szCs w:val="24"/>
        </w:rPr>
        <w:t xml:space="preserve"> ødem).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Der er ingen specifik </w:t>
      </w:r>
      <w:proofErr w:type="spellStart"/>
      <w:r w:rsidR="008429A0" w:rsidRPr="008429A0">
        <w:rPr>
          <w:sz w:val="24"/>
          <w:szCs w:val="24"/>
        </w:rPr>
        <w:t>antidot</w:t>
      </w:r>
      <w:proofErr w:type="spellEnd"/>
      <w:r w:rsidR="008429A0" w:rsidRPr="008429A0">
        <w:rPr>
          <w:sz w:val="24"/>
          <w:szCs w:val="24"/>
        </w:rPr>
        <w:t>.</w:t>
      </w:r>
      <w:r w:rsidR="002E40E9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Ud over de generelle foranstaltninger med henblik på elimination af toksiner (ventrikelskylning og administration af aktivt kul) er behandlingen symptomatisk.</w:t>
      </w:r>
      <w:r w:rsidR="002E40E9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Behandling af overdosering bør omfatte normale understøttende tiltag.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4.10</w:t>
      </w:r>
      <w:r w:rsidRPr="008429A0">
        <w:rPr>
          <w:b/>
          <w:sz w:val="24"/>
          <w:szCs w:val="24"/>
        </w:rPr>
        <w:tab/>
        <w:t>Udlevering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C86BE2">
        <w:rPr>
          <w:sz w:val="24"/>
          <w:szCs w:val="24"/>
        </w:rPr>
        <w:t>B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5.</w:t>
      </w:r>
      <w:r w:rsidRPr="008429A0">
        <w:rPr>
          <w:b/>
          <w:sz w:val="24"/>
          <w:szCs w:val="24"/>
        </w:rPr>
        <w:tab/>
        <w:t>FARMAKOLOGISKE EGENSKABER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5.0</w:t>
      </w:r>
      <w:r w:rsidRPr="008429A0">
        <w:rPr>
          <w:b/>
          <w:sz w:val="24"/>
          <w:szCs w:val="24"/>
        </w:rPr>
        <w:tab/>
        <w:t>Terapeutisk klassifikation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2E40E9">
        <w:rPr>
          <w:sz w:val="24"/>
          <w:szCs w:val="24"/>
        </w:rPr>
        <w:t>ATC-kode N</w:t>
      </w:r>
      <w:r w:rsidR="0049129C">
        <w:rPr>
          <w:sz w:val="24"/>
          <w:szCs w:val="24"/>
        </w:rPr>
        <w:t xml:space="preserve"> </w:t>
      </w:r>
      <w:r w:rsidR="002E40E9">
        <w:rPr>
          <w:sz w:val="24"/>
          <w:szCs w:val="24"/>
        </w:rPr>
        <w:t>07</w:t>
      </w:r>
      <w:r w:rsidR="0049129C">
        <w:rPr>
          <w:sz w:val="24"/>
          <w:szCs w:val="24"/>
        </w:rPr>
        <w:t xml:space="preserve"> </w:t>
      </w:r>
      <w:r w:rsidR="002E40E9">
        <w:rPr>
          <w:sz w:val="24"/>
          <w:szCs w:val="24"/>
        </w:rPr>
        <w:t>CA</w:t>
      </w:r>
      <w:r w:rsidR="0049129C">
        <w:rPr>
          <w:sz w:val="24"/>
          <w:szCs w:val="24"/>
        </w:rPr>
        <w:t xml:space="preserve"> </w:t>
      </w:r>
      <w:r w:rsidR="002E40E9">
        <w:rPr>
          <w:sz w:val="24"/>
          <w:szCs w:val="24"/>
        </w:rPr>
        <w:t xml:space="preserve">01. </w:t>
      </w:r>
      <w:r w:rsidR="008429A0" w:rsidRPr="008429A0">
        <w:rPr>
          <w:sz w:val="24"/>
          <w:szCs w:val="24"/>
        </w:rPr>
        <w:t>Midler mod svimmelhed.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5.1</w:t>
      </w:r>
      <w:r w:rsidRPr="008429A0">
        <w:rPr>
          <w:b/>
          <w:sz w:val="24"/>
          <w:szCs w:val="24"/>
        </w:rPr>
        <w:tab/>
      </w:r>
      <w:proofErr w:type="spellStart"/>
      <w:r w:rsidRPr="008429A0">
        <w:rPr>
          <w:b/>
          <w:sz w:val="24"/>
          <w:szCs w:val="24"/>
        </w:rPr>
        <w:t>Farmakodynamiske</w:t>
      </w:r>
      <w:proofErr w:type="spellEnd"/>
      <w:r w:rsidRPr="008429A0">
        <w:rPr>
          <w:b/>
          <w:sz w:val="24"/>
          <w:szCs w:val="24"/>
        </w:rPr>
        <w:t xml:space="preserve"> egenskaber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er et stof, der tilhører gruppen af beta-2-pyridylalkylaminer.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Betahistins</w:t>
      </w:r>
      <w:proofErr w:type="spellEnd"/>
      <w:r w:rsidR="008429A0" w:rsidRPr="008429A0">
        <w:rPr>
          <w:sz w:val="24"/>
          <w:szCs w:val="24"/>
        </w:rPr>
        <w:t xml:space="preserve"> struktur er relateret til det endogene </w:t>
      </w:r>
      <w:proofErr w:type="spellStart"/>
      <w:r w:rsidR="008429A0" w:rsidRPr="008429A0">
        <w:rPr>
          <w:sz w:val="24"/>
          <w:szCs w:val="24"/>
        </w:rPr>
        <w:t>amin</w:t>
      </w:r>
      <w:proofErr w:type="spellEnd"/>
      <w:r w:rsidR="008429A0" w:rsidRPr="008429A0">
        <w:rPr>
          <w:sz w:val="24"/>
          <w:szCs w:val="24"/>
        </w:rPr>
        <w:t xml:space="preserve"> histamins struktur.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Betahistins</w:t>
      </w:r>
      <w:proofErr w:type="spellEnd"/>
      <w:r w:rsidR="008429A0" w:rsidRPr="008429A0">
        <w:rPr>
          <w:sz w:val="24"/>
          <w:szCs w:val="24"/>
        </w:rPr>
        <w:t xml:space="preserve"> nøjagtige virkningsmekanisme med hensyn til dets biokemiske virkninger samt dets receptorspecificitet og </w:t>
      </w:r>
      <w:r w:rsidR="008429A0" w:rsidRPr="008429A0">
        <w:rPr>
          <w:sz w:val="24"/>
          <w:szCs w:val="24"/>
        </w:rPr>
        <w:noBreakHyphen/>
        <w:t>affinitet er endnu ikke klarlagt.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Dyreforsøg har vist en forbedret blodgennemstrømning i </w:t>
      </w:r>
      <w:proofErr w:type="spellStart"/>
      <w:r w:rsidR="008429A0" w:rsidRPr="008429A0">
        <w:rPr>
          <w:sz w:val="24"/>
          <w:szCs w:val="24"/>
        </w:rPr>
        <w:t>stria</w:t>
      </w:r>
      <w:proofErr w:type="spellEnd"/>
      <w:r w:rsidR="008429A0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vascularis</w:t>
      </w:r>
      <w:proofErr w:type="spellEnd"/>
      <w:r w:rsidR="008429A0" w:rsidRPr="008429A0">
        <w:rPr>
          <w:sz w:val="24"/>
          <w:szCs w:val="24"/>
        </w:rPr>
        <w:t xml:space="preserve"> i det indre øre, hvilket sandsynligvis skyldes en afslappende virkning på de </w:t>
      </w:r>
      <w:proofErr w:type="spellStart"/>
      <w:r w:rsidR="008429A0" w:rsidRPr="008429A0">
        <w:rPr>
          <w:sz w:val="24"/>
          <w:szCs w:val="24"/>
        </w:rPr>
        <w:t>prækapillære</w:t>
      </w:r>
      <w:proofErr w:type="spellEnd"/>
      <w:r w:rsidR="008429A0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sphincteres</w:t>
      </w:r>
      <w:proofErr w:type="spellEnd"/>
      <w:r w:rsidR="008429A0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mikrocirkulation</w:t>
      </w:r>
      <w:proofErr w:type="spellEnd"/>
      <w:r w:rsidR="008429A0" w:rsidRPr="008429A0">
        <w:rPr>
          <w:sz w:val="24"/>
          <w:szCs w:val="24"/>
        </w:rPr>
        <w:t xml:space="preserve"> i det indre øre.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B003BF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Farmakologiske studier har vist en let H1-agonistisk virkning samt en betydelig H3-agonistisk virkning af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i centralnervesystemet og det autonome nervesystem.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Desuden blev der påvist en dosisafhængig hæmmende virkning af </w:t>
      </w:r>
      <w:proofErr w:type="spellStart"/>
      <w:r w:rsidR="008429A0" w:rsidRPr="008429A0">
        <w:rPr>
          <w:sz w:val="24"/>
          <w:szCs w:val="24"/>
        </w:rPr>
        <w:t>betahistin</w:t>
      </w:r>
      <w:proofErr w:type="spellEnd"/>
      <w:r w:rsidR="008429A0" w:rsidRPr="008429A0">
        <w:rPr>
          <w:sz w:val="24"/>
          <w:szCs w:val="24"/>
        </w:rPr>
        <w:t xml:space="preserve"> på aktiviteten i laterale og </w:t>
      </w:r>
      <w:proofErr w:type="spellStart"/>
      <w:r w:rsidR="008429A0" w:rsidRPr="008429A0">
        <w:rPr>
          <w:sz w:val="24"/>
          <w:szCs w:val="24"/>
        </w:rPr>
        <w:t>mediale</w:t>
      </w:r>
      <w:proofErr w:type="spellEnd"/>
      <w:r w:rsidR="008429A0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vestibulære</w:t>
      </w:r>
      <w:proofErr w:type="spellEnd"/>
      <w:r w:rsidR="008429A0" w:rsidRPr="008429A0">
        <w:rPr>
          <w:sz w:val="24"/>
          <w:szCs w:val="24"/>
        </w:rPr>
        <w:t xml:space="preserve"> kerner.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I sidste instans forbliver relevansen af disse observationer i forbindelse med behandlingen af </w:t>
      </w:r>
      <w:proofErr w:type="spellStart"/>
      <w:r w:rsidR="008429A0" w:rsidRPr="008429A0">
        <w:rPr>
          <w:sz w:val="24"/>
          <w:szCs w:val="24"/>
        </w:rPr>
        <w:t>Ménières</w:t>
      </w:r>
      <w:proofErr w:type="spellEnd"/>
      <w:r w:rsidR="008429A0" w:rsidRPr="008429A0">
        <w:rPr>
          <w:sz w:val="24"/>
          <w:szCs w:val="24"/>
        </w:rPr>
        <w:t xml:space="preserve"> symptomkompleks uklar.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5.2</w:t>
      </w:r>
      <w:r w:rsidRPr="008429A0">
        <w:rPr>
          <w:b/>
          <w:sz w:val="24"/>
          <w:szCs w:val="24"/>
        </w:rPr>
        <w:tab/>
      </w:r>
      <w:proofErr w:type="spellStart"/>
      <w:r w:rsidRPr="008429A0">
        <w:rPr>
          <w:b/>
          <w:sz w:val="24"/>
          <w:szCs w:val="24"/>
        </w:rPr>
        <w:t>Farmakokinetiske</w:t>
      </w:r>
      <w:proofErr w:type="spellEnd"/>
      <w:r w:rsidRPr="008429A0">
        <w:rPr>
          <w:b/>
          <w:sz w:val="24"/>
          <w:szCs w:val="24"/>
        </w:rPr>
        <w:t xml:space="preserve"> egenskaber</w:t>
      </w:r>
    </w:p>
    <w:p w:rsidR="008E4223" w:rsidRPr="008429A0" w:rsidRDefault="00B003BF" w:rsidP="008E4223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 xml:space="preserve"> administreret oralt absorberes hurtigt og næsten fuldstændigt fra hele mave-tarm-kanalen.</w:t>
      </w:r>
      <w:r w:rsidR="008E4223" w:rsidRPr="008429A0">
        <w:rPr>
          <w:sz w:val="24"/>
          <w:szCs w:val="24"/>
        </w:rPr>
        <w:t xml:space="preserve"> </w:t>
      </w:r>
    </w:p>
    <w:p w:rsid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Efter absorption </w:t>
      </w:r>
      <w:proofErr w:type="spellStart"/>
      <w:r w:rsidR="008429A0" w:rsidRPr="008429A0">
        <w:rPr>
          <w:sz w:val="24"/>
          <w:szCs w:val="24"/>
        </w:rPr>
        <w:t>metaboliseres</w:t>
      </w:r>
      <w:proofErr w:type="spellEnd"/>
      <w:r w:rsidR="008429A0" w:rsidRPr="008429A0">
        <w:rPr>
          <w:sz w:val="24"/>
          <w:szCs w:val="24"/>
        </w:rPr>
        <w:t xml:space="preserve"> lægemidlet hurtigt og næsten fuldstændigt til 2-pyridyleddikesyre (der ikke har nogen farmakologisk virkning).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Plasmakoncentrationerne af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 xml:space="preserve"> er meget lave (under kvantificeringsgrænsen på 100 </w:t>
      </w:r>
      <w:proofErr w:type="spellStart"/>
      <w:r w:rsidR="008429A0" w:rsidRPr="008429A0">
        <w:rPr>
          <w:sz w:val="24"/>
          <w:szCs w:val="24"/>
        </w:rPr>
        <w:t>pg</w:t>
      </w:r>
      <w:proofErr w:type="spellEnd"/>
      <w:r w:rsidR="008429A0" w:rsidRPr="008429A0">
        <w:rPr>
          <w:sz w:val="24"/>
          <w:szCs w:val="24"/>
        </w:rPr>
        <w:t>/ml).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Derfor er alle </w:t>
      </w:r>
      <w:proofErr w:type="spellStart"/>
      <w:r w:rsidR="008429A0" w:rsidRPr="008429A0">
        <w:rPr>
          <w:sz w:val="24"/>
          <w:szCs w:val="24"/>
        </w:rPr>
        <w:t>farmakokinetiske</w:t>
      </w:r>
      <w:proofErr w:type="spellEnd"/>
      <w:r w:rsidR="008429A0" w:rsidRPr="008429A0">
        <w:rPr>
          <w:sz w:val="24"/>
          <w:szCs w:val="24"/>
        </w:rPr>
        <w:t xml:space="preserve"> analyser baseret på kvantificeringer af 2-pyridyleddikesyre i plasma og urin.</w:t>
      </w:r>
    </w:p>
    <w:p w:rsidR="008E4223" w:rsidRPr="008429A0" w:rsidRDefault="008E4223" w:rsidP="008429A0">
      <w:pPr>
        <w:ind w:left="851" w:hanging="851"/>
        <w:rPr>
          <w:sz w:val="24"/>
          <w:szCs w:val="24"/>
        </w:rPr>
      </w:pPr>
    </w:p>
    <w:p w:rsidR="008429A0" w:rsidRPr="008E4223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E4223">
        <w:rPr>
          <w:sz w:val="24"/>
          <w:szCs w:val="24"/>
        </w:rPr>
        <w:t>Maksimal plasmakoncentration af 2-pyridyleddikesyre opnås senest en time efter oral dosis, og halveringstiden er ca. 3,5 timer.</w:t>
      </w:r>
      <w:r w:rsidR="008E4223" w:rsidRPr="008E4223">
        <w:rPr>
          <w:sz w:val="24"/>
          <w:szCs w:val="24"/>
        </w:rPr>
        <w:t xml:space="preserve"> </w:t>
      </w:r>
      <w:r w:rsidR="008429A0" w:rsidRPr="008E4223">
        <w:rPr>
          <w:sz w:val="24"/>
          <w:szCs w:val="24"/>
        </w:rPr>
        <w:t>2-pyridyleddikesyre udskilles i urinen.</w:t>
      </w:r>
    </w:p>
    <w:p w:rsidR="008429A0" w:rsidRPr="008E4223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Når der anvendes en dosis på 8 - 48 mg, kan ca. 85 % af den oprindelige dosis påvises i urinen.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Udskillelsen af selve stoffet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 xml:space="preserve"> via nyrerne eller udskillelsen i fæces er af ringe betydning.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B003BF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Genfindingshastigheden er konstant med en oral dosis på 8 - 48 mg, hvilket viser, at </w:t>
      </w:r>
      <w:proofErr w:type="spellStart"/>
      <w:r w:rsidR="008429A0" w:rsidRPr="008429A0">
        <w:rPr>
          <w:sz w:val="24"/>
          <w:szCs w:val="24"/>
        </w:rPr>
        <w:t>farmakokinetikken</w:t>
      </w:r>
      <w:proofErr w:type="spellEnd"/>
      <w:r w:rsidR="008429A0" w:rsidRPr="008429A0">
        <w:rPr>
          <w:sz w:val="24"/>
          <w:szCs w:val="24"/>
        </w:rPr>
        <w:t xml:space="preserve"> er lineær.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Dette indikerer, at stofskiftevejen er mættet.</w:t>
      </w:r>
      <w:r w:rsidR="008E4223" w:rsidRPr="008429A0">
        <w:rPr>
          <w:sz w:val="24"/>
          <w:szCs w:val="24"/>
        </w:rPr>
        <w:t xml:space="preserve"> </w:t>
      </w:r>
      <w:proofErr w:type="spellStart"/>
      <w:r w:rsidR="008429A0" w:rsidRPr="008429A0">
        <w:rPr>
          <w:sz w:val="24"/>
          <w:szCs w:val="24"/>
        </w:rPr>
        <w:t>C</w:t>
      </w:r>
      <w:r w:rsidR="008429A0" w:rsidRPr="00B2398C">
        <w:rPr>
          <w:sz w:val="24"/>
          <w:szCs w:val="24"/>
          <w:vertAlign w:val="subscript"/>
        </w:rPr>
        <w:t>max</w:t>
      </w:r>
      <w:proofErr w:type="spellEnd"/>
      <w:r w:rsidR="008429A0" w:rsidRPr="008429A0">
        <w:rPr>
          <w:sz w:val="24"/>
          <w:szCs w:val="24"/>
        </w:rPr>
        <w:t xml:space="preserve"> er lavere efter et måltid end i fastende tilstand.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 xml:space="preserve">Der er dog ingen forskel på de to situationer, når det gælder den totale absorption af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 xml:space="preserve">, hvilket indikerer, at fødeindtagelse kun nedsætter </w:t>
      </w:r>
      <w:proofErr w:type="spellStart"/>
      <w:r w:rsidR="008429A0" w:rsidRPr="008429A0">
        <w:rPr>
          <w:sz w:val="24"/>
          <w:szCs w:val="24"/>
        </w:rPr>
        <w:t>betahistindihydrochlorids</w:t>
      </w:r>
      <w:proofErr w:type="spellEnd"/>
      <w:r w:rsidR="008429A0" w:rsidRPr="008429A0">
        <w:rPr>
          <w:sz w:val="24"/>
          <w:szCs w:val="24"/>
        </w:rPr>
        <w:t xml:space="preserve"> absorptionshastighed.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5.3</w:t>
      </w:r>
      <w:r w:rsidRPr="008429A0">
        <w:rPr>
          <w:b/>
          <w:sz w:val="24"/>
          <w:szCs w:val="24"/>
        </w:rPr>
        <w:tab/>
        <w:t>Prækliniske sikkerhedsdata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En oral dosis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 xml:space="preserve"> på op til 250 mg i tre måneder forårsagede ingen bivirkninger hos hunde eller rotter.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Der blev observeret bivirkninger på nervesystemet hos hunde og bavianer efter intravenøse doser på 120 mg/kg og derover.</w:t>
      </w:r>
      <w:r w:rsidR="008E4223" w:rsidRPr="008429A0">
        <w:rPr>
          <w:sz w:val="24"/>
          <w:szCs w:val="24"/>
        </w:rPr>
        <w:t xml:space="preserve"> </w:t>
      </w:r>
      <w:r w:rsidR="008429A0" w:rsidRPr="008429A0">
        <w:rPr>
          <w:sz w:val="24"/>
          <w:szCs w:val="24"/>
        </w:rPr>
        <w:t>Der blev observeret opkastning hos hunde og lejlighedsvis hos bavianer efter en oral dosis på 300 mg/kg og en intravenøs dosis på 120 mg/kg.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B003BF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 xml:space="preserve">Det er ikke påvist, at </w:t>
      </w:r>
      <w:proofErr w:type="spellStart"/>
      <w:r w:rsidR="008429A0" w:rsidRPr="008429A0">
        <w:rPr>
          <w:sz w:val="24"/>
          <w:szCs w:val="24"/>
        </w:rPr>
        <w:t>betahistindihydrochlorid</w:t>
      </w:r>
      <w:proofErr w:type="spellEnd"/>
      <w:r w:rsidR="008429A0" w:rsidRPr="008429A0">
        <w:rPr>
          <w:sz w:val="24"/>
          <w:szCs w:val="24"/>
        </w:rPr>
        <w:t xml:space="preserve"> har nogen mutagene virkninger.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</w:t>
      </w:r>
      <w:r w:rsidRPr="008429A0">
        <w:rPr>
          <w:b/>
          <w:sz w:val="24"/>
          <w:szCs w:val="24"/>
        </w:rPr>
        <w:tab/>
        <w:t>FARMACEUTISKE OPLYSNINGER</w:t>
      </w: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6.1</w:t>
      </w:r>
      <w:r w:rsidRPr="008429A0">
        <w:rPr>
          <w:b/>
          <w:sz w:val="24"/>
          <w:szCs w:val="24"/>
        </w:rPr>
        <w:tab/>
        <w:t>Hjælpestoffer</w:t>
      </w:r>
    </w:p>
    <w:p w:rsidR="008E4223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proofErr w:type="spellStart"/>
      <w:r w:rsidR="008429A0" w:rsidRPr="008E4223">
        <w:rPr>
          <w:sz w:val="24"/>
          <w:szCs w:val="24"/>
        </w:rPr>
        <w:t>Mikrokrystallinsk</w:t>
      </w:r>
      <w:proofErr w:type="spellEnd"/>
      <w:r w:rsidR="008429A0" w:rsidRPr="008E4223">
        <w:rPr>
          <w:sz w:val="24"/>
          <w:szCs w:val="24"/>
        </w:rPr>
        <w:t xml:space="preserve"> cellulose</w:t>
      </w:r>
    </w:p>
    <w:p w:rsidR="008E4223" w:rsidRDefault="008E4223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</w:t>
      </w:r>
      <w:r w:rsidR="008429A0" w:rsidRPr="008E4223">
        <w:rPr>
          <w:sz w:val="24"/>
          <w:szCs w:val="24"/>
        </w:rPr>
        <w:t>rospovidon</w:t>
      </w:r>
      <w:proofErr w:type="spellEnd"/>
    </w:p>
    <w:p w:rsidR="008E4223" w:rsidRDefault="008E4223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</w:t>
      </w:r>
      <w:r w:rsidR="008429A0" w:rsidRPr="008E4223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="008429A0" w:rsidRPr="008E4223">
        <w:rPr>
          <w:sz w:val="24"/>
          <w:szCs w:val="24"/>
        </w:rPr>
        <w:t>tosemonohydrat</w:t>
      </w:r>
      <w:proofErr w:type="spellEnd"/>
    </w:p>
    <w:p w:rsidR="008E4223" w:rsidRDefault="008E4223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</w:t>
      </w:r>
      <w:r w:rsidR="008429A0" w:rsidRPr="008E4223">
        <w:rPr>
          <w:sz w:val="24"/>
          <w:szCs w:val="24"/>
        </w:rPr>
        <w:t>ovidon</w:t>
      </w:r>
      <w:proofErr w:type="spellEnd"/>
      <w:r w:rsidR="008429A0" w:rsidRPr="008E4223">
        <w:rPr>
          <w:sz w:val="24"/>
          <w:szCs w:val="24"/>
        </w:rPr>
        <w:t xml:space="preserve"> K90</w:t>
      </w:r>
    </w:p>
    <w:p w:rsidR="008E4223" w:rsidRDefault="008E4223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K</w:t>
      </w:r>
      <w:r w:rsidR="008429A0" w:rsidRPr="008E4223">
        <w:rPr>
          <w:sz w:val="24"/>
          <w:szCs w:val="24"/>
        </w:rPr>
        <w:t xml:space="preserve">olloid vandfri </w:t>
      </w:r>
      <w:proofErr w:type="spellStart"/>
      <w:r w:rsidR="008429A0" w:rsidRPr="008E4223">
        <w:rPr>
          <w:sz w:val="24"/>
          <w:szCs w:val="24"/>
        </w:rPr>
        <w:t>silica</w:t>
      </w:r>
      <w:proofErr w:type="spellEnd"/>
    </w:p>
    <w:p w:rsidR="00B003BF" w:rsidRPr="008E4223" w:rsidRDefault="008E4223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8429A0" w:rsidRPr="008E4223">
        <w:rPr>
          <w:sz w:val="24"/>
          <w:szCs w:val="24"/>
        </w:rPr>
        <w:t>tearinsyre.</w:t>
      </w:r>
    </w:p>
    <w:p w:rsidR="00B003BF" w:rsidRPr="008E4223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6.2</w:t>
      </w:r>
      <w:r w:rsidRPr="008429A0">
        <w:rPr>
          <w:b/>
          <w:sz w:val="24"/>
          <w:szCs w:val="24"/>
        </w:rPr>
        <w:tab/>
        <w:t>Uforligeligheder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Ikke relevant.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6.3</w:t>
      </w:r>
      <w:r w:rsidRPr="008429A0">
        <w:rPr>
          <w:b/>
          <w:sz w:val="24"/>
          <w:szCs w:val="24"/>
        </w:rPr>
        <w:tab/>
        <w:t>Opbevaringstid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3 år.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6.4</w:t>
      </w:r>
      <w:r w:rsidRPr="008429A0">
        <w:rPr>
          <w:b/>
          <w:sz w:val="24"/>
          <w:szCs w:val="24"/>
        </w:rPr>
        <w:tab/>
        <w:t>Særlige opbevaringsforhold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Må ikke opbevares ved temperaturer over 25 °C.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B003BF" w:rsidRPr="008429A0" w:rsidRDefault="00C86BE2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Opbevares i den originale yderpakning for at beskytte mod fugt og lys.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6.5</w:t>
      </w:r>
      <w:r w:rsidRPr="008429A0">
        <w:rPr>
          <w:b/>
          <w:sz w:val="24"/>
          <w:szCs w:val="24"/>
        </w:rPr>
        <w:tab/>
        <w:t>Emballagetyper og pakningsstørrelser</w:t>
      </w:r>
    </w:p>
    <w:p w:rsidR="008429A0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PVC/PVDC/Al-blister</w:t>
      </w:r>
      <w:r w:rsidR="00B2398C">
        <w:rPr>
          <w:sz w:val="24"/>
          <w:szCs w:val="24"/>
        </w:rPr>
        <w:t>.</w:t>
      </w:r>
    </w:p>
    <w:p w:rsidR="008429A0" w:rsidRPr="008429A0" w:rsidRDefault="008429A0" w:rsidP="008429A0">
      <w:pPr>
        <w:ind w:left="851" w:hanging="851"/>
        <w:rPr>
          <w:sz w:val="24"/>
          <w:szCs w:val="24"/>
        </w:rPr>
      </w:pPr>
    </w:p>
    <w:p w:rsidR="008429A0" w:rsidRPr="008429A0" w:rsidRDefault="008429A0" w:rsidP="00C86BE2">
      <w:pPr>
        <w:ind w:left="851"/>
        <w:rPr>
          <w:iCs/>
          <w:sz w:val="24"/>
          <w:szCs w:val="24"/>
          <w:lang w:val="nb-NO"/>
        </w:rPr>
      </w:pPr>
      <w:r w:rsidRPr="008429A0">
        <w:rPr>
          <w:sz w:val="24"/>
          <w:szCs w:val="24"/>
          <w:lang w:val="nb-NO"/>
        </w:rPr>
        <w:t>Pakningsstørrelser:</w:t>
      </w:r>
    </w:p>
    <w:p w:rsidR="008429A0" w:rsidRPr="008429A0" w:rsidRDefault="008429A0" w:rsidP="00C86BE2">
      <w:pPr>
        <w:ind w:left="851"/>
        <w:rPr>
          <w:iCs/>
          <w:sz w:val="24"/>
          <w:szCs w:val="24"/>
          <w:lang w:val="nb-NO"/>
        </w:rPr>
      </w:pPr>
      <w:r w:rsidRPr="008429A0">
        <w:rPr>
          <w:sz w:val="24"/>
          <w:szCs w:val="24"/>
          <w:lang w:val="nb-NO"/>
        </w:rPr>
        <w:t xml:space="preserve">Betahistin </w:t>
      </w:r>
      <w:r w:rsidR="00D30D3A">
        <w:rPr>
          <w:sz w:val="24"/>
          <w:szCs w:val="24"/>
          <w:lang w:val="nb-NO"/>
        </w:rPr>
        <w:t>"</w:t>
      </w:r>
      <w:r w:rsidR="00C86BE2">
        <w:rPr>
          <w:sz w:val="24"/>
          <w:szCs w:val="24"/>
          <w:lang w:val="nb-NO"/>
        </w:rPr>
        <w:t>Orifarm Generics</w:t>
      </w:r>
      <w:r w:rsidR="00D30D3A">
        <w:rPr>
          <w:sz w:val="24"/>
          <w:szCs w:val="24"/>
          <w:lang w:val="nb-NO"/>
        </w:rPr>
        <w:t>"</w:t>
      </w:r>
      <w:r w:rsidRPr="008429A0">
        <w:rPr>
          <w:sz w:val="24"/>
          <w:szCs w:val="24"/>
          <w:lang w:val="nb-NO"/>
        </w:rPr>
        <w:t xml:space="preserve"> 8 mg tabletter:</w:t>
      </w:r>
      <w:r w:rsidR="004B54CC">
        <w:rPr>
          <w:sz w:val="24"/>
          <w:szCs w:val="24"/>
          <w:lang w:val="nb-NO"/>
        </w:rPr>
        <w:t xml:space="preserve"> </w:t>
      </w:r>
      <w:r w:rsidRPr="008429A0">
        <w:rPr>
          <w:sz w:val="24"/>
          <w:szCs w:val="24"/>
          <w:lang w:val="nb-NO"/>
        </w:rPr>
        <w:t>98, 100, 120 tabletter</w:t>
      </w:r>
      <w:r w:rsidR="004B54CC">
        <w:rPr>
          <w:sz w:val="24"/>
          <w:szCs w:val="24"/>
          <w:lang w:val="nb-NO"/>
        </w:rPr>
        <w:t>.</w:t>
      </w:r>
    </w:p>
    <w:p w:rsidR="008429A0" w:rsidRPr="008429A0" w:rsidRDefault="008429A0" w:rsidP="00C86BE2">
      <w:pPr>
        <w:ind w:left="851"/>
        <w:rPr>
          <w:iCs/>
          <w:sz w:val="24"/>
          <w:szCs w:val="24"/>
          <w:lang w:val="nb-NO"/>
        </w:rPr>
      </w:pPr>
      <w:r w:rsidRPr="008429A0">
        <w:rPr>
          <w:sz w:val="24"/>
          <w:szCs w:val="24"/>
          <w:lang w:val="nb-NO"/>
        </w:rPr>
        <w:t xml:space="preserve">Betahistin </w:t>
      </w:r>
      <w:r w:rsidR="00D30D3A">
        <w:rPr>
          <w:sz w:val="24"/>
          <w:szCs w:val="24"/>
          <w:lang w:val="nb-NO"/>
        </w:rPr>
        <w:t>"</w:t>
      </w:r>
      <w:r w:rsidR="00C86BE2">
        <w:rPr>
          <w:sz w:val="24"/>
          <w:szCs w:val="24"/>
          <w:lang w:val="nb-NO"/>
        </w:rPr>
        <w:t>Orifarm Generics</w:t>
      </w:r>
      <w:r w:rsidR="00D30D3A">
        <w:rPr>
          <w:sz w:val="24"/>
          <w:szCs w:val="24"/>
          <w:lang w:val="nb-NO"/>
        </w:rPr>
        <w:t>"</w:t>
      </w:r>
      <w:r w:rsidRPr="008429A0">
        <w:rPr>
          <w:sz w:val="24"/>
          <w:szCs w:val="24"/>
          <w:lang w:val="nb-NO"/>
        </w:rPr>
        <w:t xml:space="preserve"> 16 mg tabletter:</w:t>
      </w:r>
      <w:r w:rsidR="004B54CC">
        <w:rPr>
          <w:sz w:val="24"/>
          <w:szCs w:val="24"/>
          <w:lang w:val="nb-NO"/>
        </w:rPr>
        <w:t xml:space="preserve"> </w:t>
      </w:r>
      <w:r w:rsidRPr="008429A0">
        <w:rPr>
          <w:sz w:val="24"/>
          <w:szCs w:val="24"/>
          <w:lang w:val="nb-NO"/>
        </w:rPr>
        <w:t>80, 84, 98, 100 tabletter</w:t>
      </w:r>
      <w:r w:rsidR="004B54CC">
        <w:rPr>
          <w:sz w:val="24"/>
          <w:szCs w:val="24"/>
          <w:lang w:val="nb-NO"/>
        </w:rPr>
        <w:t>.</w:t>
      </w:r>
    </w:p>
    <w:p w:rsidR="008429A0" w:rsidRPr="004B54CC" w:rsidRDefault="008429A0" w:rsidP="00C86BE2">
      <w:pPr>
        <w:ind w:left="851"/>
        <w:rPr>
          <w:iCs/>
          <w:sz w:val="24"/>
          <w:szCs w:val="24"/>
          <w:lang w:val="nb-NO"/>
        </w:rPr>
      </w:pPr>
      <w:r w:rsidRPr="008429A0">
        <w:rPr>
          <w:sz w:val="24"/>
          <w:szCs w:val="24"/>
          <w:lang w:val="nb-NO"/>
        </w:rPr>
        <w:t xml:space="preserve">Betahistin </w:t>
      </w:r>
      <w:r w:rsidR="00D30D3A">
        <w:rPr>
          <w:sz w:val="24"/>
          <w:szCs w:val="24"/>
          <w:lang w:val="nb-NO"/>
        </w:rPr>
        <w:t>"</w:t>
      </w:r>
      <w:r w:rsidR="00C86BE2">
        <w:rPr>
          <w:sz w:val="24"/>
          <w:szCs w:val="24"/>
          <w:lang w:val="nb-NO"/>
        </w:rPr>
        <w:t>Orifarm Generics</w:t>
      </w:r>
      <w:r w:rsidR="00D30D3A">
        <w:rPr>
          <w:sz w:val="24"/>
          <w:szCs w:val="24"/>
          <w:lang w:val="nb-NO"/>
        </w:rPr>
        <w:t>"</w:t>
      </w:r>
      <w:r w:rsidRPr="004B54CC">
        <w:rPr>
          <w:sz w:val="24"/>
          <w:szCs w:val="24"/>
          <w:lang w:val="nb-NO"/>
        </w:rPr>
        <w:t xml:space="preserve"> 24 mg tabletter:</w:t>
      </w:r>
      <w:r w:rsidR="004B54CC">
        <w:rPr>
          <w:sz w:val="24"/>
          <w:szCs w:val="24"/>
          <w:lang w:val="nb-NO"/>
        </w:rPr>
        <w:t xml:space="preserve"> </w:t>
      </w:r>
      <w:r w:rsidRPr="004B54CC">
        <w:rPr>
          <w:sz w:val="24"/>
          <w:szCs w:val="24"/>
          <w:lang w:val="nb-NO"/>
        </w:rPr>
        <w:t>98, 100 tabletter</w:t>
      </w:r>
      <w:r w:rsidR="004B54CC">
        <w:rPr>
          <w:sz w:val="24"/>
          <w:szCs w:val="24"/>
          <w:lang w:val="nb-NO"/>
        </w:rPr>
        <w:t>.</w:t>
      </w:r>
    </w:p>
    <w:p w:rsidR="004B54CC" w:rsidRDefault="004B54CC" w:rsidP="00C86BE2">
      <w:pPr>
        <w:ind w:left="851"/>
        <w:rPr>
          <w:sz w:val="24"/>
          <w:szCs w:val="24"/>
        </w:rPr>
      </w:pPr>
    </w:p>
    <w:p w:rsidR="00B003BF" w:rsidRPr="008429A0" w:rsidRDefault="008429A0" w:rsidP="00C86BE2">
      <w:pPr>
        <w:ind w:left="851"/>
        <w:rPr>
          <w:sz w:val="24"/>
          <w:szCs w:val="24"/>
        </w:rPr>
      </w:pPr>
      <w:r w:rsidRPr="008429A0">
        <w:rPr>
          <w:sz w:val="24"/>
          <w:szCs w:val="24"/>
        </w:rPr>
        <w:t>Ikke alle pakningsstørrelser er nødvendigvis markedsført.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6.6</w:t>
      </w:r>
      <w:r w:rsidRPr="008429A0">
        <w:rPr>
          <w:b/>
          <w:sz w:val="24"/>
          <w:szCs w:val="24"/>
        </w:rPr>
        <w:tab/>
        <w:t>Regler for destruktion og anden håndtering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Ikke anvendt lægemiddel samt affald heraf skal bortskaffes i henhold til lokale retningslinjer.</w:t>
      </w:r>
    </w:p>
    <w:p w:rsidR="00B003BF" w:rsidRPr="008429A0" w:rsidRDefault="00B003BF" w:rsidP="008429A0">
      <w:pPr>
        <w:ind w:left="851" w:hanging="851"/>
        <w:jc w:val="both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7.</w:t>
      </w:r>
      <w:r w:rsidRPr="008429A0">
        <w:rPr>
          <w:b/>
          <w:sz w:val="24"/>
          <w:szCs w:val="24"/>
        </w:rPr>
        <w:tab/>
        <w:t>INDEHAVER AF MARKEDSFØRINGSTILLADELSEN</w:t>
      </w:r>
    </w:p>
    <w:p w:rsidR="008429A0" w:rsidRPr="00EA6008" w:rsidRDefault="00B003BF" w:rsidP="008429A0">
      <w:pPr>
        <w:ind w:left="851" w:hanging="851"/>
        <w:rPr>
          <w:bCs/>
          <w:sz w:val="24"/>
          <w:szCs w:val="24"/>
        </w:rPr>
      </w:pPr>
      <w:r w:rsidRPr="008429A0">
        <w:rPr>
          <w:sz w:val="24"/>
          <w:szCs w:val="24"/>
        </w:rPr>
        <w:tab/>
      </w:r>
      <w:proofErr w:type="spellStart"/>
      <w:r w:rsidR="008429A0" w:rsidRPr="00EA6008">
        <w:rPr>
          <w:bCs/>
          <w:sz w:val="24"/>
          <w:szCs w:val="24"/>
        </w:rPr>
        <w:t>Orifarm</w:t>
      </w:r>
      <w:proofErr w:type="spellEnd"/>
      <w:r w:rsidR="008429A0" w:rsidRPr="00EA6008">
        <w:rPr>
          <w:bCs/>
          <w:sz w:val="24"/>
          <w:szCs w:val="24"/>
        </w:rPr>
        <w:t xml:space="preserve"> </w:t>
      </w:r>
      <w:proofErr w:type="spellStart"/>
      <w:r w:rsidR="008429A0" w:rsidRPr="00EA6008">
        <w:rPr>
          <w:bCs/>
          <w:sz w:val="24"/>
          <w:szCs w:val="24"/>
        </w:rPr>
        <w:t>Generics</w:t>
      </w:r>
      <w:proofErr w:type="spellEnd"/>
      <w:r w:rsidR="008429A0" w:rsidRPr="00EA6008">
        <w:rPr>
          <w:bCs/>
          <w:sz w:val="24"/>
          <w:szCs w:val="24"/>
        </w:rPr>
        <w:t xml:space="preserve"> A/S</w:t>
      </w:r>
    </w:p>
    <w:p w:rsidR="008429A0" w:rsidRPr="00EA6008" w:rsidRDefault="004B54CC" w:rsidP="008429A0">
      <w:pPr>
        <w:ind w:left="851" w:hanging="851"/>
        <w:rPr>
          <w:bCs/>
          <w:sz w:val="24"/>
          <w:szCs w:val="24"/>
        </w:rPr>
      </w:pPr>
      <w:r w:rsidRPr="00EA6008">
        <w:rPr>
          <w:bCs/>
          <w:sz w:val="24"/>
          <w:szCs w:val="24"/>
        </w:rPr>
        <w:tab/>
      </w:r>
      <w:r w:rsidR="008429A0" w:rsidRPr="00EA6008">
        <w:rPr>
          <w:bCs/>
          <w:sz w:val="24"/>
          <w:szCs w:val="24"/>
        </w:rPr>
        <w:t>Energivej 15</w:t>
      </w:r>
    </w:p>
    <w:p w:rsidR="008429A0" w:rsidRPr="008429A0" w:rsidRDefault="004B54CC" w:rsidP="008429A0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429A0" w:rsidRPr="008429A0">
        <w:rPr>
          <w:bCs/>
          <w:sz w:val="24"/>
          <w:szCs w:val="24"/>
        </w:rPr>
        <w:t>5260 Odense S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8.</w:t>
      </w:r>
      <w:r w:rsidRPr="008429A0">
        <w:rPr>
          <w:b/>
          <w:sz w:val="24"/>
          <w:szCs w:val="24"/>
        </w:rPr>
        <w:tab/>
        <w:t>MARKEDSFØRINGSTILLADELSESNUMMER (NUMRE)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8 mg:</w:t>
      </w:r>
      <w:r w:rsidR="004B54CC">
        <w:rPr>
          <w:sz w:val="24"/>
          <w:szCs w:val="24"/>
        </w:rPr>
        <w:tab/>
        <w:t>50237</w:t>
      </w:r>
    </w:p>
    <w:p w:rsidR="008429A0" w:rsidRPr="008429A0" w:rsidRDefault="004B54CC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16 mg:</w:t>
      </w:r>
      <w:r>
        <w:rPr>
          <w:sz w:val="24"/>
          <w:szCs w:val="24"/>
        </w:rPr>
        <w:tab/>
        <w:t>50238</w:t>
      </w:r>
    </w:p>
    <w:p w:rsidR="008429A0" w:rsidRPr="008429A0" w:rsidRDefault="004B54CC" w:rsidP="008429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24 mg:</w:t>
      </w:r>
      <w:r>
        <w:rPr>
          <w:sz w:val="24"/>
          <w:szCs w:val="24"/>
        </w:rPr>
        <w:tab/>
        <w:t>50239</w:t>
      </w:r>
    </w:p>
    <w:p w:rsidR="00B003BF" w:rsidRPr="008429A0" w:rsidRDefault="00B003BF" w:rsidP="008429A0">
      <w:pPr>
        <w:ind w:left="851" w:hanging="851"/>
        <w:jc w:val="both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9.</w:t>
      </w:r>
      <w:r w:rsidRPr="008429A0">
        <w:rPr>
          <w:b/>
          <w:sz w:val="24"/>
          <w:szCs w:val="24"/>
        </w:rPr>
        <w:tab/>
        <w:t>DATO FOR FØRSTE MARKEDSFØRINGSTILLADELSE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8429A0" w:rsidRPr="008429A0">
        <w:rPr>
          <w:sz w:val="24"/>
          <w:szCs w:val="24"/>
        </w:rPr>
        <w:t>11. juni 2013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</w:p>
    <w:p w:rsidR="00B003BF" w:rsidRPr="008429A0" w:rsidRDefault="00B003BF" w:rsidP="008429A0">
      <w:pPr>
        <w:ind w:left="851" w:hanging="851"/>
        <w:rPr>
          <w:b/>
          <w:sz w:val="24"/>
          <w:szCs w:val="24"/>
        </w:rPr>
      </w:pPr>
      <w:r w:rsidRPr="008429A0">
        <w:rPr>
          <w:b/>
          <w:sz w:val="24"/>
          <w:szCs w:val="24"/>
        </w:rPr>
        <w:t>10.</w:t>
      </w:r>
      <w:r w:rsidRPr="008429A0">
        <w:rPr>
          <w:b/>
          <w:sz w:val="24"/>
          <w:szCs w:val="24"/>
        </w:rPr>
        <w:tab/>
        <w:t>DATO FOR ÆNDRING AF TEKSTEN</w:t>
      </w:r>
    </w:p>
    <w:p w:rsidR="00B003BF" w:rsidRPr="008429A0" w:rsidRDefault="00B003BF" w:rsidP="008429A0">
      <w:pPr>
        <w:ind w:left="851" w:hanging="851"/>
        <w:rPr>
          <w:sz w:val="24"/>
          <w:szCs w:val="24"/>
        </w:rPr>
      </w:pPr>
      <w:r w:rsidRPr="008429A0">
        <w:rPr>
          <w:sz w:val="24"/>
          <w:szCs w:val="24"/>
        </w:rPr>
        <w:tab/>
      </w:r>
      <w:r w:rsidR="0049129C">
        <w:rPr>
          <w:sz w:val="24"/>
          <w:szCs w:val="24"/>
        </w:rPr>
        <w:t>2</w:t>
      </w:r>
      <w:r w:rsidR="00D30D3A">
        <w:rPr>
          <w:sz w:val="24"/>
          <w:szCs w:val="24"/>
        </w:rPr>
        <w:t>2</w:t>
      </w:r>
      <w:r w:rsidR="0049129C">
        <w:rPr>
          <w:sz w:val="24"/>
          <w:szCs w:val="24"/>
        </w:rPr>
        <w:t>. december 2015</w:t>
      </w:r>
    </w:p>
    <w:sectPr w:rsidR="00B003BF" w:rsidRPr="008429A0" w:rsidSect="0049129C">
      <w:foot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1B" w:rsidRDefault="001F721B">
      <w:r>
        <w:separator/>
      </w:r>
    </w:p>
  </w:endnote>
  <w:endnote w:type="continuationSeparator" w:id="0">
    <w:p w:rsidR="001F721B" w:rsidRDefault="001F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1B" w:rsidRDefault="001F721B">
    <w:pPr>
      <w:pStyle w:val="Sidefod"/>
      <w:pBdr>
        <w:bottom w:val="single" w:sz="6" w:space="1" w:color="auto"/>
      </w:pBdr>
    </w:pPr>
  </w:p>
  <w:p w:rsidR="001F721B" w:rsidRDefault="001F721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1F721B" w:rsidRPr="00B373D7" w:rsidRDefault="00B75EA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1F721B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30D3A">
      <w:rPr>
        <w:i/>
        <w:noProof/>
        <w:sz w:val="18"/>
        <w:szCs w:val="18"/>
      </w:rPr>
      <w:t>Betahistin Orifarm Generics, tabletter 8 mg, 16 mg og 24 mg</w:t>
    </w:r>
    <w:r w:rsidRPr="00B373D7">
      <w:rPr>
        <w:i/>
        <w:sz w:val="18"/>
        <w:szCs w:val="18"/>
      </w:rPr>
      <w:fldChar w:fldCharType="end"/>
    </w:r>
    <w:r w:rsidR="001F721B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1F721B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050236">
      <w:rPr>
        <w:rStyle w:val="Sidetal"/>
        <w:i/>
        <w:noProof/>
        <w:sz w:val="18"/>
        <w:szCs w:val="18"/>
      </w:rPr>
      <w:t>7</w:t>
    </w:r>
    <w:r w:rsidRPr="00B373D7">
      <w:rPr>
        <w:rStyle w:val="Sidetal"/>
        <w:i/>
        <w:sz w:val="18"/>
        <w:szCs w:val="18"/>
      </w:rPr>
      <w:fldChar w:fldCharType="end"/>
    </w:r>
    <w:r w:rsidR="001F721B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1F721B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050236">
      <w:rPr>
        <w:rStyle w:val="Sidetal"/>
        <w:i/>
        <w:noProof/>
        <w:sz w:val="18"/>
        <w:szCs w:val="18"/>
      </w:rPr>
      <w:t>7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1B" w:rsidRDefault="001F721B">
      <w:r>
        <w:separator/>
      </w:r>
    </w:p>
  </w:footnote>
  <w:footnote w:type="continuationSeparator" w:id="0">
    <w:p w:rsidR="001F721B" w:rsidRDefault="001F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05F6"/>
    <w:multiLevelType w:val="hybridMultilevel"/>
    <w:tmpl w:val="959292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B936988"/>
    <w:multiLevelType w:val="hybridMultilevel"/>
    <w:tmpl w:val="96166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6457E"/>
    <w:multiLevelType w:val="hybridMultilevel"/>
    <w:tmpl w:val="90F0A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C0"/>
    <w:rsid w:val="000259B9"/>
    <w:rsid w:val="00041491"/>
    <w:rsid w:val="00050236"/>
    <w:rsid w:val="00050D16"/>
    <w:rsid w:val="000652C2"/>
    <w:rsid w:val="00074F2A"/>
    <w:rsid w:val="000A1CA8"/>
    <w:rsid w:val="000A466B"/>
    <w:rsid w:val="000E4EE6"/>
    <w:rsid w:val="001D2FC6"/>
    <w:rsid w:val="001F721B"/>
    <w:rsid w:val="00283A2B"/>
    <w:rsid w:val="002B30AD"/>
    <w:rsid w:val="002C2C01"/>
    <w:rsid w:val="002E40E9"/>
    <w:rsid w:val="003A29AE"/>
    <w:rsid w:val="003A32D7"/>
    <w:rsid w:val="003B4074"/>
    <w:rsid w:val="003C769A"/>
    <w:rsid w:val="00423769"/>
    <w:rsid w:val="0045746C"/>
    <w:rsid w:val="0049104B"/>
    <w:rsid w:val="0049129C"/>
    <w:rsid w:val="004B54CC"/>
    <w:rsid w:val="004E3B12"/>
    <w:rsid w:val="00565F0F"/>
    <w:rsid w:val="005755C0"/>
    <w:rsid w:val="00594A86"/>
    <w:rsid w:val="00596D86"/>
    <w:rsid w:val="006560B1"/>
    <w:rsid w:val="006756DD"/>
    <w:rsid w:val="006C0520"/>
    <w:rsid w:val="00740EEC"/>
    <w:rsid w:val="0078011A"/>
    <w:rsid w:val="00782AF4"/>
    <w:rsid w:val="00790EE7"/>
    <w:rsid w:val="00792F32"/>
    <w:rsid w:val="007B6649"/>
    <w:rsid w:val="0082576E"/>
    <w:rsid w:val="008429A0"/>
    <w:rsid w:val="00882A54"/>
    <w:rsid w:val="008D4431"/>
    <w:rsid w:val="008E4223"/>
    <w:rsid w:val="00907F75"/>
    <w:rsid w:val="0093258A"/>
    <w:rsid w:val="00955897"/>
    <w:rsid w:val="009748E9"/>
    <w:rsid w:val="009C7BA3"/>
    <w:rsid w:val="009D1F5A"/>
    <w:rsid w:val="00AE2170"/>
    <w:rsid w:val="00B003BF"/>
    <w:rsid w:val="00B2398C"/>
    <w:rsid w:val="00B373D7"/>
    <w:rsid w:val="00B704BB"/>
    <w:rsid w:val="00B75EAB"/>
    <w:rsid w:val="00C36276"/>
    <w:rsid w:val="00C42586"/>
    <w:rsid w:val="00C86BE2"/>
    <w:rsid w:val="00C95551"/>
    <w:rsid w:val="00CB20D7"/>
    <w:rsid w:val="00D020B0"/>
    <w:rsid w:val="00D11748"/>
    <w:rsid w:val="00D30D3A"/>
    <w:rsid w:val="00D366CF"/>
    <w:rsid w:val="00D46027"/>
    <w:rsid w:val="00E108AA"/>
    <w:rsid w:val="00E3749A"/>
    <w:rsid w:val="00E7437F"/>
    <w:rsid w:val="00E865B8"/>
    <w:rsid w:val="00EA6008"/>
    <w:rsid w:val="00EC0B9B"/>
    <w:rsid w:val="00ED5E9F"/>
    <w:rsid w:val="00F25B6B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19B1-742A-4EB6-8A2A-C1FD3B5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paragraph" w:styleId="Listeafsnit">
    <w:name w:val="List Paragraph"/>
    <w:basedOn w:val="Normal"/>
    <w:uiPriority w:val="34"/>
    <w:qFormat/>
    <w:rsid w:val="008429A0"/>
    <w:pPr>
      <w:ind w:left="720"/>
      <w:contextualSpacing/>
    </w:pPr>
  </w:style>
  <w:style w:type="table" w:styleId="Tabel-Gitter">
    <w:name w:val="Table Grid"/>
    <w:basedOn w:val="Tabel-Normal"/>
    <w:uiPriority w:val="59"/>
    <w:rsid w:val="0084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1639</Words>
  <Characters>10867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2015102127, var. 2, pkt. 3, 4.2, 4.4, 4.8</dc:description>
  <cp:lastModifiedBy>GITTE JØRGENSEN - 9630</cp:lastModifiedBy>
  <cp:revision>7</cp:revision>
  <cp:lastPrinted>2015-12-21T13:05:00Z</cp:lastPrinted>
  <dcterms:created xsi:type="dcterms:W3CDTF">2015-12-21T12:54:00Z</dcterms:created>
  <dcterms:modified xsi:type="dcterms:W3CDTF">2015-12-22T07:46:00Z</dcterms:modified>
</cp:coreProperties>
</file>