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EC9CB" w14:textId="3AFFE6E8" w:rsidR="009260DE" w:rsidRPr="005B2FB7" w:rsidRDefault="0021526C" w:rsidP="00773048">
      <w:pPr>
        <w:rPr>
          <w:sz w:val="24"/>
          <w:szCs w:val="24"/>
        </w:rPr>
      </w:pPr>
      <w:bookmarkStart w:id="0" w:name="_GoBack"/>
      <w:bookmarkEnd w:id="0"/>
      <w:r w:rsidRPr="00B21901">
        <w:rPr>
          <w:noProof/>
          <w:sz w:val="24"/>
          <w:szCs w:val="24"/>
          <w:lang w:eastAsia="da-DK"/>
        </w:rPr>
        <w:drawing>
          <wp:anchor distT="0" distB="0" distL="114300" distR="114300" simplePos="0" relativeHeight="251658240" behindDoc="0" locked="0" layoutInCell="1" allowOverlap="1" wp14:anchorId="30547187" wp14:editId="3294252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21901">
        <w:rPr>
          <w:sz w:val="24"/>
          <w:szCs w:val="24"/>
        </w:rPr>
        <w:br w:type="textWrapping" w:clear="all"/>
      </w:r>
    </w:p>
    <w:p w14:paraId="39104E1C" w14:textId="5105FB96" w:rsidR="009260DE" w:rsidRPr="00B21901" w:rsidRDefault="009260DE" w:rsidP="009260DE">
      <w:pPr>
        <w:pStyle w:val="Titel"/>
        <w:tabs>
          <w:tab w:val="right" w:pos="9356"/>
        </w:tabs>
        <w:jc w:val="left"/>
        <w:rPr>
          <w:b w:val="0"/>
          <w:szCs w:val="24"/>
          <w:lang w:eastAsia="en-US"/>
        </w:rPr>
      </w:pPr>
      <w:r w:rsidRPr="00B21901">
        <w:rPr>
          <w:b w:val="0"/>
          <w:szCs w:val="24"/>
          <w:lang w:eastAsia="en-US"/>
        </w:rPr>
        <w:tab/>
      </w:r>
      <w:r w:rsidR="005B2FB7">
        <w:rPr>
          <w:szCs w:val="24"/>
        </w:rPr>
        <w:t>8. november 2021</w:t>
      </w:r>
    </w:p>
    <w:p w14:paraId="41914816" w14:textId="77777777" w:rsidR="009260DE" w:rsidRPr="00B21901" w:rsidRDefault="009260DE" w:rsidP="009260DE">
      <w:pPr>
        <w:pStyle w:val="Titel"/>
        <w:tabs>
          <w:tab w:val="left" w:pos="8222"/>
        </w:tabs>
        <w:jc w:val="left"/>
        <w:rPr>
          <w:b w:val="0"/>
          <w:szCs w:val="24"/>
        </w:rPr>
      </w:pPr>
    </w:p>
    <w:p w14:paraId="0A96D832" w14:textId="3FD85CED" w:rsidR="00664AE1" w:rsidRPr="00B21901" w:rsidRDefault="00664AE1" w:rsidP="009260DE">
      <w:pPr>
        <w:pStyle w:val="Titel"/>
        <w:jc w:val="left"/>
        <w:rPr>
          <w:b w:val="0"/>
          <w:szCs w:val="24"/>
        </w:rPr>
      </w:pPr>
    </w:p>
    <w:p w14:paraId="4A689A0F" w14:textId="77777777" w:rsidR="009260DE" w:rsidRPr="00B21901" w:rsidRDefault="009260DE" w:rsidP="009260DE">
      <w:pPr>
        <w:pStyle w:val="Titel"/>
        <w:jc w:val="left"/>
        <w:rPr>
          <w:b w:val="0"/>
          <w:szCs w:val="24"/>
        </w:rPr>
      </w:pPr>
    </w:p>
    <w:p w14:paraId="29EB1794" w14:textId="77777777" w:rsidR="009260DE" w:rsidRPr="00B21901" w:rsidRDefault="009260DE" w:rsidP="009260DE">
      <w:pPr>
        <w:jc w:val="center"/>
        <w:rPr>
          <w:b/>
          <w:sz w:val="24"/>
          <w:szCs w:val="24"/>
        </w:rPr>
      </w:pPr>
      <w:r w:rsidRPr="00B21901">
        <w:rPr>
          <w:b/>
          <w:sz w:val="24"/>
          <w:szCs w:val="24"/>
        </w:rPr>
        <w:t>PRODUKTRESUMÉ</w:t>
      </w:r>
    </w:p>
    <w:p w14:paraId="3AF45259" w14:textId="77777777" w:rsidR="009260DE" w:rsidRPr="00B21901" w:rsidRDefault="009260DE" w:rsidP="009260DE">
      <w:pPr>
        <w:jc w:val="center"/>
        <w:rPr>
          <w:b/>
          <w:sz w:val="24"/>
          <w:szCs w:val="24"/>
        </w:rPr>
      </w:pPr>
    </w:p>
    <w:p w14:paraId="4A07E20B" w14:textId="77777777" w:rsidR="009260DE" w:rsidRPr="00B21901" w:rsidRDefault="009260DE" w:rsidP="009260DE">
      <w:pPr>
        <w:jc w:val="center"/>
        <w:rPr>
          <w:b/>
          <w:sz w:val="24"/>
          <w:szCs w:val="24"/>
        </w:rPr>
      </w:pPr>
      <w:r w:rsidRPr="00B21901">
        <w:rPr>
          <w:b/>
          <w:sz w:val="24"/>
          <w:szCs w:val="24"/>
        </w:rPr>
        <w:t>for</w:t>
      </w:r>
    </w:p>
    <w:p w14:paraId="2B77A54D" w14:textId="77777777" w:rsidR="000B058C" w:rsidRPr="00B21901" w:rsidRDefault="000B058C" w:rsidP="009260DE">
      <w:pPr>
        <w:jc w:val="center"/>
        <w:rPr>
          <w:b/>
          <w:sz w:val="24"/>
          <w:szCs w:val="24"/>
        </w:rPr>
      </w:pPr>
    </w:p>
    <w:p w14:paraId="280D44A1" w14:textId="0A058EF9" w:rsidR="009260DE" w:rsidRPr="00B21901" w:rsidRDefault="0019308A" w:rsidP="009260DE">
      <w:pPr>
        <w:jc w:val="center"/>
        <w:rPr>
          <w:b/>
          <w:sz w:val="24"/>
          <w:szCs w:val="24"/>
        </w:rPr>
      </w:pPr>
      <w:proofErr w:type="spellStart"/>
      <w:r w:rsidRPr="00B21901">
        <w:rPr>
          <w:b/>
          <w:sz w:val="24"/>
          <w:szCs w:val="24"/>
        </w:rPr>
        <w:t>Betahistine</w:t>
      </w:r>
      <w:proofErr w:type="spellEnd"/>
      <w:r w:rsidRPr="00B21901">
        <w:rPr>
          <w:b/>
          <w:sz w:val="24"/>
          <w:szCs w:val="24"/>
        </w:rPr>
        <w:t xml:space="preserve"> "</w:t>
      </w:r>
      <w:r w:rsidR="007150D0">
        <w:rPr>
          <w:b/>
          <w:sz w:val="24"/>
          <w:szCs w:val="24"/>
        </w:rPr>
        <w:t>Sandoz</w:t>
      </w:r>
      <w:r w:rsidRPr="00B21901">
        <w:rPr>
          <w:b/>
          <w:sz w:val="24"/>
          <w:szCs w:val="24"/>
        </w:rPr>
        <w:t>", tabletter</w:t>
      </w:r>
    </w:p>
    <w:p w14:paraId="200E9D2C" w14:textId="77777777" w:rsidR="009260DE" w:rsidRPr="00B21901" w:rsidRDefault="009260DE" w:rsidP="009260DE">
      <w:pPr>
        <w:jc w:val="both"/>
        <w:rPr>
          <w:sz w:val="24"/>
          <w:szCs w:val="24"/>
        </w:rPr>
      </w:pPr>
    </w:p>
    <w:p w14:paraId="6BB05BCD" w14:textId="77777777" w:rsidR="009260DE" w:rsidRPr="00B21901" w:rsidRDefault="009260DE" w:rsidP="009260DE">
      <w:pPr>
        <w:jc w:val="both"/>
        <w:rPr>
          <w:sz w:val="24"/>
          <w:szCs w:val="24"/>
        </w:rPr>
      </w:pPr>
    </w:p>
    <w:p w14:paraId="67BEB7DD" w14:textId="77777777" w:rsidR="009260DE" w:rsidRPr="00B21901" w:rsidRDefault="009260DE" w:rsidP="009260DE">
      <w:pPr>
        <w:tabs>
          <w:tab w:val="left" w:pos="851"/>
        </w:tabs>
        <w:ind w:left="851" w:hanging="851"/>
        <w:rPr>
          <w:b/>
          <w:sz w:val="24"/>
          <w:szCs w:val="24"/>
        </w:rPr>
      </w:pPr>
      <w:r w:rsidRPr="00B21901">
        <w:rPr>
          <w:b/>
          <w:sz w:val="24"/>
          <w:szCs w:val="24"/>
        </w:rPr>
        <w:t>0.</w:t>
      </w:r>
      <w:r w:rsidRPr="00B21901">
        <w:rPr>
          <w:b/>
          <w:sz w:val="24"/>
          <w:szCs w:val="24"/>
        </w:rPr>
        <w:tab/>
        <w:t>D.SP.NR.</w:t>
      </w:r>
    </w:p>
    <w:p w14:paraId="1AA084CF" w14:textId="19FD1F87" w:rsidR="009260DE" w:rsidRPr="00B21901" w:rsidRDefault="0019308A" w:rsidP="009260DE">
      <w:pPr>
        <w:tabs>
          <w:tab w:val="left" w:pos="851"/>
        </w:tabs>
        <w:ind w:left="851"/>
        <w:rPr>
          <w:sz w:val="24"/>
          <w:szCs w:val="24"/>
        </w:rPr>
      </w:pPr>
      <w:r w:rsidRPr="00B21901">
        <w:rPr>
          <w:sz w:val="24"/>
          <w:szCs w:val="24"/>
        </w:rPr>
        <w:t>31913</w:t>
      </w:r>
    </w:p>
    <w:p w14:paraId="1B13C5C7" w14:textId="77777777" w:rsidR="009260DE" w:rsidRPr="00B21901" w:rsidRDefault="009260DE" w:rsidP="009260DE">
      <w:pPr>
        <w:tabs>
          <w:tab w:val="left" w:pos="851"/>
        </w:tabs>
        <w:ind w:left="851"/>
        <w:rPr>
          <w:sz w:val="24"/>
          <w:szCs w:val="24"/>
        </w:rPr>
      </w:pPr>
    </w:p>
    <w:p w14:paraId="60972F32" w14:textId="77777777" w:rsidR="009260DE" w:rsidRPr="00B21901" w:rsidRDefault="009260DE" w:rsidP="009260DE">
      <w:pPr>
        <w:tabs>
          <w:tab w:val="left" w:pos="851"/>
        </w:tabs>
        <w:ind w:left="851" w:hanging="851"/>
        <w:rPr>
          <w:b/>
          <w:sz w:val="24"/>
          <w:szCs w:val="24"/>
        </w:rPr>
      </w:pPr>
      <w:r w:rsidRPr="00B21901">
        <w:rPr>
          <w:b/>
          <w:sz w:val="24"/>
          <w:szCs w:val="24"/>
        </w:rPr>
        <w:t>1.</w:t>
      </w:r>
      <w:r w:rsidRPr="00B21901">
        <w:rPr>
          <w:b/>
          <w:sz w:val="24"/>
          <w:szCs w:val="24"/>
        </w:rPr>
        <w:tab/>
        <w:t>LÆGEMIDLETS NAVN</w:t>
      </w:r>
    </w:p>
    <w:p w14:paraId="22FA6B15" w14:textId="5253BF41" w:rsidR="009260DE" w:rsidRPr="00B21901" w:rsidRDefault="0019308A" w:rsidP="009260DE">
      <w:pPr>
        <w:tabs>
          <w:tab w:val="left" w:pos="851"/>
        </w:tabs>
        <w:ind w:left="851"/>
        <w:rPr>
          <w:sz w:val="24"/>
          <w:szCs w:val="24"/>
        </w:rPr>
      </w:pPr>
      <w:proofErr w:type="spellStart"/>
      <w:r w:rsidRPr="00B21901">
        <w:rPr>
          <w:sz w:val="24"/>
          <w:szCs w:val="24"/>
        </w:rPr>
        <w:t>Betahistine</w:t>
      </w:r>
      <w:proofErr w:type="spellEnd"/>
      <w:r w:rsidRPr="00B21901">
        <w:rPr>
          <w:sz w:val="24"/>
          <w:szCs w:val="24"/>
        </w:rPr>
        <w:t xml:space="preserve"> "</w:t>
      </w:r>
      <w:r w:rsidR="007150D0">
        <w:rPr>
          <w:sz w:val="24"/>
          <w:szCs w:val="24"/>
        </w:rPr>
        <w:t>Sandoz</w:t>
      </w:r>
      <w:r w:rsidRPr="00B21901">
        <w:rPr>
          <w:sz w:val="24"/>
          <w:szCs w:val="24"/>
        </w:rPr>
        <w:t>"</w:t>
      </w:r>
    </w:p>
    <w:p w14:paraId="7BEAB6E7" w14:textId="77777777" w:rsidR="009260DE" w:rsidRPr="00B21901" w:rsidRDefault="009260DE" w:rsidP="009260DE">
      <w:pPr>
        <w:tabs>
          <w:tab w:val="left" w:pos="851"/>
        </w:tabs>
        <w:ind w:left="851"/>
        <w:rPr>
          <w:sz w:val="24"/>
          <w:szCs w:val="24"/>
        </w:rPr>
      </w:pPr>
    </w:p>
    <w:p w14:paraId="7677B78C" w14:textId="77777777" w:rsidR="009260DE" w:rsidRPr="00B21901" w:rsidRDefault="009260DE" w:rsidP="009260DE">
      <w:pPr>
        <w:tabs>
          <w:tab w:val="left" w:pos="851"/>
        </w:tabs>
        <w:ind w:left="851" w:hanging="851"/>
        <w:rPr>
          <w:b/>
          <w:sz w:val="24"/>
          <w:szCs w:val="24"/>
        </w:rPr>
      </w:pPr>
      <w:r w:rsidRPr="00B21901">
        <w:rPr>
          <w:b/>
          <w:sz w:val="24"/>
          <w:szCs w:val="24"/>
        </w:rPr>
        <w:t>2.</w:t>
      </w:r>
      <w:r w:rsidRPr="00B21901">
        <w:rPr>
          <w:b/>
          <w:sz w:val="24"/>
          <w:szCs w:val="24"/>
        </w:rPr>
        <w:tab/>
        <w:t>KVALITATIV OG KVANTITATIV SAMMENSÆTNING</w:t>
      </w:r>
    </w:p>
    <w:p w14:paraId="4946E94B" w14:textId="03D95AD8" w:rsidR="00987513" w:rsidRPr="00B21901" w:rsidRDefault="00987513" w:rsidP="00DB70E2">
      <w:pPr>
        <w:tabs>
          <w:tab w:val="left" w:pos="1843"/>
        </w:tabs>
        <w:autoSpaceDE w:val="0"/>
        <w:autoSpaceDN w:val="0"/>
        <w:adjustRightInd w:val="0"/>
        <w:ind w:left="1841" w:hanging="990"/>
        <w:rPr>
          <w:sz w:val="24"/>
          <w:szCs w:val="24"/>
          <w:lang w:eastAsia="da-DK"/>
        </w:rPr>
      </w:pPr>
      <w:r w:rsidRPr="00B21901">
        <w:rPr>
          <w:sz w:val="24"/>
          <w:szCs w:val="24"/>
        </w:rPr>
        <w:t xml:space="preserve">8 mg: </w:t>
      </w:r>
      <w:r w:rsidR="00DB70E2">
        <w:rPr>
          <w:sz w:val="24"/>
          <w:szCs w:val="24"/>
        </w:rPr>
        <w:tab/>
      </w:r>
      <w:r w:rsidRPr="00B21901">
        <w:rPr>
          <w:sz w:val="24"/>
          <w:szCs w:val="24"/>
        </w:rPr>
        <w:t xml:space="preserve">Hver tablet indeholder 8 mg </w:t>
      </w:r>
      <w:proofErr w:type="spellStart"/>
      <w:r w:rsidRPr="00B21901">
        <w:rPr>
          <w:sz w:val="24"/>
          <w:szCs w:val="24"/>
        </w:rPr>
        <w:t>betahistindihydrochlorid</w:t>
      </w:r>
      <w:proofErr w:type="spellEnd"/>
      <w:r w:rsidRPr="00B21901">
        <w:rPr>
          <w:sz w:val="24"/>
          <w:szCs w:val="24"/>
        </w:rPr>
        <w:t xml:space="preserve"> svarende til 5,2 mg </w:t>
      </w:r>
      <w:proofErr w:type="spellStart"/>
      <w:r w:rsidRPr="00B21901">
        <w:rPr>
          <w:sz w:val="24"/>
          <w:szCs w:val="24"/>
        </w:rPr>
        <w:t>betahistin</w:t>
      </w:r>
      <w:proofErr w:type="spellEnd"/>
      <w:r w:rsidRPr="00B21901">
        <w:rPr>
          <w:sz w:val="24"/>
          <w:szCs w:val="24"/>
        </w:rPr>
        <w:t>.</w:t>
      </w:r>
    </w:p>
    <w:p w14:paraId="4070B33E" w14:textId="447EB70F" w:rsidR="00987513" w:rsidRPr="00B21901" w:rsidRDefault="00987513" w:rsidP="00DB70E2">
      <w:pPr>
        <w:tabs>
          <w:tab w:val="left" w:pos="1843"/>
        </w:tabs>
        <w:autoSpaceDE w:val="0"/>
        <w:autoSpaceDN w:val="0"/>
        <w:adjustRightInd w:val="0"/>
        <w:ind w:left="1841" w:hanging="990"/>
        <w:rPr>
          <w:sz w:val="24"/>
          <w:szCs w:val="24"/>
        </w:rPr>
      </w:pPr>
      <w:r w:rsidRPr="00B21901">
        <w:rPr>
          <w:sz w:val="24"/>
          <w:szCs w:val="24"/>
        </w:rPr>
        <w:t xml:space="preserve">16 mg: </w:t>
      </w:r>
      <w:r w:rsidR="00DB70E2">
        <w:rPr>
          <w:sz w:val="24"/>
          <w:szCs w:val="24"/>
        </w:rPr>
        <w:tab/>
      </w:r>
      <w:r w:rsidRPr="00B21901">
        <w:rPr>
          <w:sz w:val="24"/>
          <w:szCs w:val="24"/>
        </w:rPr>
        <w:t xml:space="preserve">Hver tablet indeholder 16 mg </w:t>
      </w:r>
      <w:proofErr w:type="spellStart"/>
      <w:r w:rsidRPr="00B21901">
        <w:rPr>
          <w:sz w:val="24"/>
          <w:szCs w:val="24"/>
        </w:rPr>
        <w:t>betahistindihydrochlorid</w:t>
      </w:r>
      <w:proofErr w:type="spellEnd"/>
      <w:r w:rsidRPr="00B21901">
        <w:rPr>
          <w:sz w:val="24"/>
          <w:szCs w:val="24"/>
        </w:rPr>
        <w:t xml:space="preserve"> svarende til 10,4 mg </w:t>
      </w:r>
      <w:proofErr w:type="spellStart"/>
      <w:r w:rsidRPr="00B21901">
        <w:rPr>
          <w:sz w:val="24"/>
          <w:szCs w:val="24"/>
        </w:rPr>
        <w:t>betahistin</w:t>
      </w:r>
      <w:proofErr w:type="spellEnd"/>
      <w:r w:rsidRPr="00B21901">
        <w:rPr>
          <w:sz w:val="24"/>
          <w:szCs w:val="24"/>
        </w:rPr>
        <w:t>.</w:t>
      </w:r>
    </w:p>
    <w:p w14:paraId="3E9938ED" w14:textId="77777777" w:rsidR="00987513" w:rsidRPr="00B21901" w:rsidRDefault="00987513" w:rsidP="00987513">
      <w:pPr>
        <w:autoSpaceDE w:val="0"/>
        <w:autoSpaceDN w:val="0"/>
        <w:adjustRightInd w:val="0"/>
        <w:ind w:left="851" w:hanging="851"/>
        <w:rPr>
          <w:sz w:val="24"/>
          <w:szCs w:val="24"/>
        </w:rPr>
      </w:pPr>
    </w:p>
    <w:p w14:paraId="1729A90D" w14:textId="77777777" w:rsidR="00987513" w:rsidRPr="00B21901" w:rsidRDefault="00987513" w:rsidP="00987513">
      <w:pPr>
        <w:autoSpaceDE w:val="0"/>
        <w:autoSpaceDN w:val="0"/>
        <w:adjustRightInd w:val="0"/>
        <w:ind w:left="851"/>
        <w:rPr>
          <w:sz w:val="24"/>
          <w:szCs w:val="24"/>
        </w:rPr>
      </w:pPr>
      <w:r w:rsidRPr="00B21901">
        <w:rPr>
          <w:sz w:val="24"/>
          <w:szCs w:val="24"/>
        </w:rPr>
        <w:t>Hjælpestof, som behandleren skal være opmærksom på:</w:t>
      </w:r>
    </w:p>
    <w:p w14:paraId="3447201B" w14:textId="50CFCAE3" w:rsidR="00987513" w:rsidRPr="00B21901" w:rsidRDefault="00987513" w:rsidP="005B2FB7">
      <w:pPr>
        <w:tabs>
          <w:tab w:val="left" w:pos="1843"/>
        </w:tabs>
        <w:autoSpaceDE w:val="0"/>
        <w:autoSpaceDN w:val="0"/>
        <w:adjustRightInd w:val="0"/>
        <w:ind w:left="851"/>
        <w:rPr>
          <w:sz w:val="24"/>
          <w:szCs w:val="24"/>
        </w:rPr>
      </w:pPr>
      <w:r w:rsidRPr="00B21901">
        <w:rPr>
          <w:sz w:val="24"/>
          <w:szCs w:val="24"/>
        </w:rPr>
        <w:t xml:space="preserve">8 mg: </w:t>
      </w:r>
      <w:r w:rsidR="005B2FB7">
        <w:rPr>
          <w:sz w:val="24"/>
          <w:szCs w:val="24"/>
        </w:rPr>
        <w:tab/>
      </w:r>
      <w:r w:rsidRPr="00B21901">
        <w:rPr>
          <w:sz w:val="24"/>
          <w:szCs w:val="24"/>
        </w:rPr>
        <w:t xml:space="preserve">Hver tablet indeholder 70 mg </w:t>
      </w:r>
      <w:proofErr w:type="spellStart"/>
      <w:r w:rsidRPr="00B21901">
        <w:rPr>
          <w:sz w:val="24"/>
          <w:szCs w:val="24"/>
        </w:rPr>
        <w:t>lactosemonohydrat</w:t>
      </w:r>
      <w:proofErr w:type="spellEnd"/>
      <w:r w:rsidRPr="00B21901">
        <w:rPr>
          <w:sz w:val="24"/>
          <w:szCs w:val="24"/>
        </w:rPr>
        <w:t xml:space="preserve">. </w:t>
      </w:r>
    </w:p>
    <w:p w14:paraId="27A7711E" w14:textId="4EA74A92" w:rsidR="00987513" w:rsidRPr="00B21901" w:rsidRDefault="00987513" w:rsidP="005B2FB7">
      <w:pPr>
        <w:tabs>
          <w:tab w:val="left" w:pos="1843"/>
        </w:tabs>
        <w:autoSpaceDE w:val="0"/>
        <w:autoSpaceDN w:val="0"/>
        <w:adjustRightInd w:val="0"/>
        <w:ind w:left="851"/>
        <w:rPr>
          <w:sz w:val="24"/>
          <w:szCs w:val="24"/>
        </w:rPr>
      </w:pPr>
      <w:r w:rsidRPr="00B21901">
        <w:rPr>
          <w:sz w:val="24"/>
          <w:szCs w:val="24"/>
        </w:rPr>
        <w:t xml:space="preserve">16 mg: </w:t>
      </w:r>
      <w:r w:rsidR="005B2FB7">
        <w:rPr>
          <w:sz w:val="24"/>
          <w:szCs w:val="24"/>
        </w:rPr>
        <w:tab/>
      </w:r>
      <w:r w:rsidRPr="00B21901">
        <w:rPr>
          <w:sz w:val="24"/>
          <w:szCs w:val="24"/>
        </w:rPr>
        <w:t xml:space="preserve">Hver tablet indeholder 140 mg </w:t>
      </w:r>
      <w:proofErr w:type="spellStart"/>
      <w:r w:rsidRPr="00B21901">
        <w:rPr>
          <w:sz w:val="24"/>
          <w:szCs w:val="24"/>
        </w:rPr>
        <w:t>lactosemonohydrat</w:t>
      </w:r>
      <w:proofErr w:type="spellEnd"/>
      <w:r w:rsidRPr="00B21901">
        <w:rPr>
          <w:sz w:val="24"/>
          <w:szCs w:val="24"/>
        </w:rPr>
        <w:t xml:space="preserve">. </w:t>
      </w:r>
    </w:p>
    <w:p w14:paraId="5DAB6669" w14:textId="77777777" w:rsidR="00987513" w:rsidRPr="00B21901" w:rsidRDefault="00987513" w:rsidP="00987513">
      <w:pPr>
        <w:autoSpaceDE w:val="0"/>
        <w:autoSpaceDN w:val="0"/>
        <w:adjustRightInd w:val="0"/>
        <w:ind w:left="851"/>
        <w:rPr>
          <w:sz w:val="24"/>
          <w:szCs w:val="24"/>
        </w:rPr>
      </w:pPr>
    </w:p>
    <w:p w14:paraId="1384B42C" w14:textId="77777777" w:rsidR="00987513" w:rsidRPr="00B21901" w:rsidRDefault="00987513" w:rsidP="00987513">
      <w:pPr>
        <w:autoSpaceDE w:val="0"/>
        <w:autoSpaceDN w:val="0"/>
        <w:adjustRightInd w:val="0"/>
        <w:ind w:left="851"/>
        <w:rPr>
          <w:sz w:val="24"/>
          <w:szCs w:val="24"/>
        </w:rPr>
      </w:pPr>
      <w:r w:rsidRPr="00B21901">
        <w:rPr>
          <w:sz w:val="24"/>
          <w:szCs w:val="24"/>
        </w:rPr>
        <w:t>Alle hjælpestoffer er anført under pkt. 6.1.</w:t>
      </w:r>
    </w:p>
    <w:p w14:paraId="6F19A8B2" w14:textId="77777777" w:rsidR="009260DE" w:rsidRPr="00B21901" w:rsidRDefault="009260DE" w:rsidP="009260DE">
      <w:pPr>
        <w:tabs>
          <w:tab w:val="left" w:pos="851"/>
        </w:tabs>
        <w:ind w:left="851"/>
        <w:rPr>
          <w:sz w:val="24"/>
          <w:szCs w:val="24"/>
        </w:rPr>
      </w:pPr>
    </w:p>
    <w:p w14:paraId="4669B77D" w14:textId="77777777" w:rsidR="009260DE" w:rsidRPr="00B21901" w:rsidRDefault="009260DE" w:rsidP="009260DE">
      <w:pPr>
        <w:tabs>
          <w:tab w:val="left" w:pos="851"/>
        </w:tabs>
        <w:ind w:left="851" w:hanging="851"/>
        <w:rPr>
          <w:b/>
          <w:sz w:val="24"/>
          <w:szCs w:val="24"/>
        </w:rPr>
      </w:pPr>
      <w:r w:rsidRPr="00B21901">
        <w:rPr>
          <w:b/>
          <w:sz w:val="24"/>
          <w:szCs w:val="24"/>
        </w:rPr>
        <w:t>3.</w:t>
      </w:r>
      <w:r w:rsidRPr="00B21901">
        <w:rPr>
          <w:b/>
          <w:sz w:val="24"/>
          <w:szCs w:val="24"/>
        </w:rPr>
        <w:tab/>
        <w:t>LÆGEMIDDELFORM</w:t>
      </w:r>
    </w:p>
    <w:p w14:paraId="2C27EAD7" w14:textId="77777777" w:rsidR="003A45A9" w:rsidRPr="00B21901" w:rsidRDefault="003A45A9" w:rsidP="003A45A9">
      <w:pPr>
        <w:autoSpaceDE w:val="0"/>
        <w:autoSpaceDN w:val="0"/>
        <w:adjustRightInd w:val="0"/>
        <w:ind w:left="851"/>
        <w:rPr>
          <w:sz w:val="24"/>
          <w:szCs w:val="24"/>
          <w:lang w:eastAsia="da-DK"/>
        </w:rPr>
      </w:pPr>
      <w:r w:rsidRPr="00B21901">
        <w:rPr>
          <w:sz w:val="24"/>
          <w:szCs w:val="24"/>
        </w:rPr>
        <w:t>Tabletter</w:t>
      </w:r>
    </w:p>
    <w:p w14:paraId="12690F01" w14:textId="77777777" w:rsidR="003A45A9" w:rsidRPr="00B21901" w:rsidRDefault="003A45A9" w:rsidP="003A45A9">
      <w:pPr>
        <w:autoSpaceDE w:val="0"/>
        <w:autoSpaceDN w:val="0"/>
        <w:adjustRightInd w:val="0"/>
        <w:ind w:left="851" w:hanging="851"/>
        <w:rPr>
          <w:sz w:val="24"/>
          <w:szCs w:val="24"/>
        </w:rPr>
      </w:pPr>
    </w:p>
    <w:p w14:paraId="6371451F" w14:textId="47FF291A" w:rsidR="003A45A9" w:rsidRPr="00B21901" w:rsidRDefault="003A45A9" w:rsidP="003A45A9">
      <w:pPr>
        <w:autoSpaceDE w:val="0"/>
        <w:autoSpaceDN w:val="0"/>
        <w:adjustRightInd w:val="0"/>
        <w:ind w:left="851"/>
        <w:rPr>
          <w:sz w:val="24"/>
          <w:szCs w:val="24"/>
        </w:rPr>
      </w:pPr>
      <w:proofErr w:type="spellStart"/>
      <w:r w:rsidRPr="00B21901">
        <w:rPr>
          <w:sz w:val="24"/>
          <w:szCs w:val="24"/>
        </w:rPr>
        <w:t>Betahistine</w:t>
      </w:r>
      <w:proofErr w:type="spellEnd"/>
      <w:r w:rsidRPr="00B21901">
        <w:rPr>
          <w:sz w:val="24"/>
          <w:szCs w:val="24"/>
        </w:rPr>
        <w:t xml:space="preserve"> </w:t>
      </w:r>
      <w:r w:rsidR="00B21901">
        <w:rPr>
          <w:sz w:val="24"/>
          <w:szCs w:val="24"/>
        </w:rPr>
        <w:t>"</w:t>
      </w:r>
      <w:r w:rsidR="007150D0">
        <w:rPr>
          <w:sz w:val="24"/>
          <w:szCs w:val="24"/>
        </w:rPr>
        <w:t>Sandoz</w:t>
      </w:r>
      <w:r w:rsidR="00B21901">
        <w:rPr>
          <w:sz w:val="24"/>
          <w:szCs w:val="24"/>
        </w:rPr>
        <w:t>"</w:t>
      </w:r>
      <w:r w:rsidRPr="00B21901">
        <w:rPr>
          <w:sz w:val="24"/>
          <w:szCs w:val="24"/>
        </w:rPr>
        <w:t xml:space="preserve"> 8 mg: hvid eller næsten hvid, cylinderformet, biplan tablet med skrå kanter på begge sider, der er præget med ”B8” på den ene side og blank på den anden side. Diameteren er cirka 7 mm.</w:t>
      </w:r>
    </w:p>
    <w:p w14:paraId="0B75931A" w14:textId="77777777" w:rsidR="003A45A9" w:rsidRPr="00B21901" w:rsidRDefault="003A45A9" w:rsidP="003A45A9">
      <w:pPr>
        <w:autoSpaceDE w:val="0"/>
        <w:autoSpaceDN w:val="0"/>
        <w:adjustRightInd w:val="0"/>
        <w:ind w:left="851"/>
        <w:rPr>
          <w:sz w:val="24"/>
          <w:szCs w:val="24"/>
        </w:rPr>
      </w:pPr>
    </w:p>
    <w:p w14:paraId="389901F2" w14:textId="6CF24CE1" w:rsidR="003A45A9" w:rsidRPr="00B21901" w:rsidRDefault="003A45A9" w:rsidP="003A45A9">
      <w:pPr>
        <w:autoSpaceDE w:val="0"/>
        <w:autoSpaceDN w:val="0"/>
        <w:adjustRightInd w:val="0"/>
        <w:ind w:left="851"/>
        <w:rPr>
          <w:sz w:val="24"/>
          <w:szCs w:val="24"/>
        </w:rPr>
      </w:pPr>
      <w:proofErr w:type="spellStart"/>
      <w:r w:rsidRPr="00B21901">
        <w:rPr>
          <w:sz w:val="24"/>
          <w:szCs w:val="24"/>
        </w:rPr>
        <w:t>Betahistine</w:t>
      </w:r>
      <w:proofErr w:type="spellEnd"/>
      <w:r w:rsidRPr="00B21901">
        <w:rPr>
          <w:sz w:val="24"/>
          <w:szCs w:val="24"/>
        </w:rPr>
        <w:t xml:space="preserve"> </w:t>
      </w:r>
      <w:r w:rsidR="00B21901">
        <w:rPr>
          <w:sz w:val="24"/>
          <w:szCs w:val="24"/>
        </w:rPr>
        <w:t>"</w:t>
      </w:r>
      <w:r w:rsidR="007150D0">
        <w:rPr>
          <w:sz w:val="24"/>
          <w:szCs w:val="24"/>
        </w:rPr>
        <w:t>Sandoz</w:t>
      </w:r>
      <w:r w:rsidR="00B21901">
        <w:rPr>
          <w:sz w:val="24"/>
          <w:szCs w:val="24"/>
        </w:rPr>
        <w:t>"</w:t>
      </w:r>
      <w:r w:rsidRPr="00B21901">
        <w:rPr>
          <w:sz w:val="24"/>
          <w:szCs w:val="24"/>
        </w:rPr>
        <w:t xml:space="preserve"> 16 mg: hvid eller næsten hvid, cylinderformet, biplan tablet med skrå kanter på begge sider, der er præget med ”B16” på den ene side og har delekærv på den anden side. Diameteren er cirka 9 mm.</w:t>
      </w:r>
    </w:p>
    <w:p w14:paraId="60EC6EEA" w14:textId="77777777" w:rsidR="003A45A9" w:rsidRPr="00B21901" w:rsidRDefault="003A45A9" w:rsidP="003A45A9">
      <w:pPr>
        <w:autoSpaceDE w:val="0"/>
        <w:autoSpaceDN w:val="0"/>
        <w:adjustRightInd w:val="0"/>
        <w:ind w:left="851"/>
        <w:rPr>
          <w:sz w:val="24"/>
          <w:szCs w:val="24"/>
        </w:rPr>
      </w:pPr>
      <w:r w:rsidRPr="00B21901">
        <w:rPr>
          <w:sz w:val="24"/>
          <w:szCs w:val="24"/>
        </w:rPr>
        <w:t>Tabletten kan deles i to lige store doser.</w:t>
      </w:r>
    </w:p>
    <w:p w14:paraId="04A3AF19" w14:textId="77777777" w:rsidR="009260DE" w:rsidRPr="00B21901" w:rsidRDefault="009260DE" w:rsidP="009260DE">
      <w:pPr>
        <w:tabs>
          <w:tab w:val="left" w:pos="851"/>
        </w:tabs>
        <w:ind w:left="851"/>
        <w:rPr>
          <w:sz w:val="24"/>
          <w:szCs w:val="24"/>
        </w:rPr>
      </w:pPr>
    </w:p>
    <w:p w14:paraId="1680FED1" w14:textId="4C4182D4" w:rsidR="00DB70E2" w:rsidRDefault="00DB70E2">
      <w:pPr>
        <w:rPr>
          <w:sz w:val="24"/>
          <w:szCs w:val="24"/>
        </w:rPr>
      </w:pPr>
      <w:r>
        <w:rPr>
          <w:sz w:val="24"/>
          <w:szCs w:val="24"/>
        </w:rPr>
        <w:br w:type="page"/>
      </w:r>
    </w:p>
    <w:p w14:paraId="0844EAB1" w14:textId="77777777" w:rsidR="009260DE" w:rsidRPr="00B21901" w:rsidRDefault="009260DE" w:rsidP="009260DE">
      <w:pPr>
        <w:tabs>
          <w:tab w:val="left" w:pos="851"/>
        </w:tabs>
        <w:ind w:left="851"/>
        <w:rPr>
          <w:sz w:val="24"/>
          <w:szCs w:val="24"/>
        </w:rPr>
      </w:pPr>
    </w:p>
    <w:p w14:paraId="6DBC5C42" w14:textId="77777777" w:rsidR="009260DE" w:rsidRPr="00B21901" w:rsidRDefault="009260DE" w:rsidP="009260DE">
      <w:pPr>
        <w:tabs>
          <w:tab w:val="left" w:pos="851"/>
        </w:tabs>
        <w:ind w:left="851" w:hanging="851"/>
        <w:rPr>
          <w:b/>
          <w:sz w:val="24"/>
          <w:szCs w:val="24"/>
        </w:rPr>
      </w:pPr>
      <w:r w:rsidRPr="00B21901">
        <w:rPr>
          <w:b/>
          <w:sz w:val="24"/>
          <w:szCs w:val="24"/>
        </w:rPr>
        <w:t>4.</w:t>
      </w:r>
      <w:r w:rsidRPr="00B21901">
        <w:rPr>
          <w:b/>
          <w:sz w:val="24"/>
          <w:szCs w:val="24"/>
        </w:rPr>
        <w:tab/>
        <w:t>KLINISKE OPLYSNINGER</w:t>
      </w:r>
    </w:p>
    <w:p w14:paraId="6E2C42FD" w14:textId="77777777" w:rsidR="009260DE" w:rsidRPr="00B21901" w:rsidRDefault="009260DE" w:rsidP="009260DE">
      <w:pPr>
        <w:tabs>
          <w:tab w:val="left" w:pos="851"/>
        </w:tabs>
        <w:ind w:left="851"/>
        <w:rPr>
          <w:b/>
          <w:sz w:val="24"/>
          <w:szCs w:val="24"/>
        </w:rPr>
      </w:pPr>
    </w:p>
    <w:p w14:paraId="3312DD38" w14:textId="77777777" w:rsidR="009260DE" w:rsidRPr="00B21901" w:rsidRDefault="009260DE" w:rsidP="009260DE">
      <w:pPr>
        <w:tabs>
          <w:tab w:val="left" w:pos="851"/>
        </w:tabs>
        <w:ind w:left="851" w:hanging="851"/>
        <w:rPr>
          <w:b/>
          <w:sz w:val="24"/>
          <w:szCs w:val="24"/>
          <w:u w:val="single"/>
        </w:rPr>
      </w:pPr>
      <w:r w:rsidRPr="00B21901">
        <w:rPr>
          <w:b/>
          <w:sz w:val="24"/>
          <w:szCs w:val="24"/>
        </w:rPr>
        <w:t>4.1</w:t>
      </w:r>
      <w:r w:rsidRPr="00B21901">
        <w:rPr>
          <w:b/>
          <w:sz w:val="24"/>
          <w:szCs w:val="24"/>
        </w:rPr>
        <w:tab/>
        <w:t>Terapeutiske indikationer</w:t>
      </w:r>
    </w:p>
    <w:p w14:paraId="3D0B1463" w14:textId="77777777" w:rsidR="003A45A9" w:rsidRPr="00B21901" w:rsidRDefault="003A45A9" w:rsidP="003A45A9">
      <w:pPr>
        <w:autoSpaceDE w:val="0"/>
        <w:autoSpaceDN w:val="0"/>
        <w:adjustRightInd w:val="0"/>
        <w:ind w:left="851"/>
        <w:rPr>
          <w:sz w:val="24"/>
          <w:szCs w:val="24"/>
        </w:rPr>
      </w:pPr>
      <w:proofErr w:type="spellStart"/>
      <w:r w:rsidRPr="00B21901">
        <w:rPr>
          <w:sz w:val="24"/>
          <w:szCs w:val="24"/>
        </w:rPr>
        <w:t>Betahistin</w:t>
      </w:r>
      <w:proofErr w:type="spellEnd"/>
      <w:r w:rsidRPr="00B21901">
        <w:rPr>
          <w:sz w:val="24"/>
          <w:szCs w:val="24"/>
        </w:rPr>
        <w:t xml:space="preserve"> er indiceret til behandling af </w:t>
      </w:r>
      <w:proofErr w:type="spellStart"/>
      <w:r w:rsidRPr="00B21901">
        <w:rPr>
          <w:sz w:val="24"/>
          <w:szCs w:val="24"/>
        </w:rPr>
        <w:t>Menières</w:t>
      </w:r>
      <w:proofErr w:type="spellEnd"/>
      <w:r w:rsidRPr="00B21901">
        <w:rPr>
          <w:sz w:val="24"/>
          <w:szCs w:val="24"/>
        </w:rPr>
        <w:t xml:space="preserve"> sygdom med symptomer såsom </w:t>
      </w:r>
      <w:proofErr w:type="spellStart"/>
      <w:r w:rsidRPr="00B21901">
        <w:rPr>
          <w:sz w:val="24"/>
          <w:szCs w:val="24"/>
        </w:rPr>
        <w:t>vertigo</w:t>
      </w:r>
      <w:proofErr w:type="spellEnd"/>
      <w:r w:rsidRPr="00B21901">
        <w:rPr>
          <w:sz w:val="24"/>
          <w:szCs w:val="24"/>
        </w:rPr>
        <w:t xml:space="preserve"> (ofte forbundet med kvalme og/eller opkastning), tinnitus og høretab.</w:t>
      </w:r>
    </w:p>
    <w:p w14:paraId="036AE294" w14:textId="77777777" w:rsidR="009260DE" w:rsidRPr="00B21901" w:rsidRDefault="009260DE" w:rsidP="009260DE">
      <w:pPr>
        <w:tabs>
          <w:tab w:val="left" w:pos="851"/>
        </w:tabs>
        <w:ind w:left="851"/>
        <w:rPr>
          <w:sz w:val="24"/>
          <w:szCs w:val="24"/>
        </w:rPr>
      </w:pPr>
    </w:p>
    <w:p w14:paraId="3682EF8E" w14:textId="77777777" w:rsidR="009260DE" w:rsidRPr="00B21901" w:rsidRDefault="009260DE" w:rsidP="009260DE">
      <w:pPr>
        <w:tabs>
          <w:tab w:val="left" w:pos="851"/>
        </w:tabs>
        <w:ind w:left="851" w:hanging="851"/>
        <w:rPr>
          <w:b/>
          <w:sz w:val="24"/>
          <w:szCs w:val="24"/>
        </w:rPr>
      </w:pPr>
      <w:r w:rsidRPr="00B21901">
        <w:rPr>
          <w:b/>
          <w:sz w:val="24"/>
          <w:szCs w:val="24"/>
        </w:rPr>
        <w:t>4.2</w:t>
      </w:r>
      <w:r w:rsidRPr="00B21901">
        <w:rPr>
          <w:b/>
          <w:sz w:val="24"/>
          <w:szCs w:val="24"/>
        </w:rPr>
        <w:tab/>
        <w:t>Dosering og indgivelsesmåde</w:t>
      </w:r>
    </w:p>
    <w:p w14:paraId="3DDFA3FC" w14:textId="77777777" w:rsidR="00853514" w:rsidRDefault="00853514" w:rsidP="003A45A9">
      <w:pPr>
        <w:ind w:left="851"/>
        <w:rPr>
          <w:i/>
          <w:sz w:val="24"/>
          <w:szCs w:val="24"/>
        </w:rPr>
      </w:pPr>
    </w:p>
    <w:p w14:paraId="69729AD5" w14:textId="1A5EB202" w:rsidR="003A45A9" w:rsidRPr="00B21901" w:rsidRDefault="003A45A9" w:rsidP="003A45A9">
      <w:pPr>
        <w:ind w:left="851"/>
        <w:rPr>
          <w:i/>
          <w:iCs/>
          <w:sz w:val="24"/>
          <w:szCs w:val="24"/>
          <w:lang w:eastAsia="da-DK"/>
        </w:rPr>
      </w:pPr>
      <w:r w:rsidRPr="00B21901">
        <w:rPr>
          <w:i/>
          <w:sz w:val="24"/>
          <w:szCs w:val="24"/>
        </w:rPr>
        <w:t>Dosering</w:t>
      </w:r>
    </w:p>
    <w:p w14:paraId="6CAACD3F" w14:textId="77777777" w:rsidR="003A45A9" w:rsidRPr="00B21901" w:rsidRDefault="003A45A9" w:rsidP="003A45A9">
      <w:pPr>
        <w:ind w:left="851"/>
        <w:rPr>
          <w:iCs/>
          <w:sz w:val="24"/>
          <w:szCs w:val="24"/>
        </w:rPr>
      </w:pPr>
      <w:r w:rsidRPr="00B21901">
        <w:rPr>
          <w:sz w:val="24"/>
          <w:szCs w:val="24"/>
        </w:rPr>
        <w:t>Den daglige dosis varierer fra 24 til 48 mg og bør fordeles på to eller tre individuelle doser for at opnå en mere jævn plasmakoncentration.</w:t>
      </w:r>
    </w:p>
    <w:p w14:paraId="6F90CAFE" w14:textId="77777777" w:rsidR="003A45A9" w:rsidRPr="00B21901" w:rsidRDefault="003A45A9" w:rsidP="003A45A9">
      <w:pPr>
        <w:ind w:left="851" w:hanging="851"/>
        <w:rPr>
          <w:iCs/>
          <w:sz w:val="24"/>
          <w:szCs w:val="24"/>
        </w:rPr>
      </w:pPr>
    </w:p>
    <w:p w14:paraId="20C85BB3" w14:textId="77777777" w:rsidR="003A45A9" w:rsidRPr="00B21901" w:rsidRDefault="003A45A9" w:rsidP="003A45A9">
      <w:pPr>
        <w:ind w:left="851"/>
        <w:rPr>
          <w:iCs/>
          <w:sz w:val="24"/>
          <w:szCs w:val="24"/>
        </w:rPr>
      </w:pPr>
      <w:r w:rsidRPr="00B21901">
        <w:rPr>
          <w:sz w:val="24"/>
          <w:szCs w:val="24"/>
        </w:rPr>
        <w:t>De hele eller halve tabletter bør synkes hele.</w:t>
      </w:r>
    </w:p>
    <w:p w14:paraId="4172AB62" w14:textId="77777777" w:rsidR="003A45A9" w:rsidRPr="00B21901" w:rsidRDefault="003A45A9" w:rsidP="003A45A9">
      <w:pPr>
        <w:ind w:left="851" w:hanging="851"/>
        <w:rPr>
          <w:iCs/>
          <w:sz w:val="24"/>
          <w:szCs w:val="24"/>
        </w:rPr>
      </w:pPr>
    </w:p>
    <w:p w14:paraId="6725A1C5" w14:textId="77777777" w:rsidR="003A45A9" w:rsidRPr="00B21901" w:rsidRDefault="003A45A9" w:rsidP="003A45A9">
      <w:pPr>
        <w:ind w:left="851"/>
        <w:rPr>
          <w:iCs/>
          <w:sz w:val="24"/>
          <w:szCs w:val="24"/>
        </w:rPr>
      </w:pPr>
      <w:r w:rsidRPr="00B21901">
        <w:rPr>
          <w:sz w:val="24"/>
          <w:szCs w:val="24"/>
        </w:rPr>
        <w:t>Dosen bør tilpasses individuelt alt efter graden af patientbehandling. Der ses først en bedring efter to ugers behandling, og det bedste resultat opnås efter nogle måneder.</w:t>
      </w:r>
    </w:p>
    <w:p w14:paraId="29BBF43C" w14:textId="77777777" w:rsidR="003A45A9" w:rsidRPr="00B21901" w:rsidRDefault="003A45A9" w:rsidP="003A45A9">
      <w:pPr>
        <w:ind w:left="851" w:hanging="851"/>
        <w:rPr>
          <w:iCs/>
          <w:sz w:val="24"/>
          <w:szCs w:val="24"/>
        </w:rPr>
      </w:pPr>
    </w:p>
    <w:p w14:paraId="2A956A54" w14:textId="77777777" w:rsidR="003A45A9" w:rsidRPr="00B21901" w:rsidRDefault="003A45A9" w:rsidP="003A45A9">
      <w:pPr>
        <w:ind w:left="851"/>
        <w:rPr>
          <w:i/>
          <w:iCs/>
          <w:sz w:val="24"/>
          <w:szCs w:val="24"/>
        </w:rPr>
      </w:pPr>
      <w:r w:rsidRPr="00B21901">
        <w:rPr>
          <w:i/>
          <w:sz w:val="24"/>
          <w:szCs w:val="24"/>
        </w:rPr>
        <w:t>Pædiatrisk population:</w:t>
      </w:r>
    </w:p>
    <w:p w14:paraId="411CEBC3" w14:textId="77777777" w:rsidR="003A45A9" w:rsidRPr="00B21901" w:rsidRDefault="003A45A9" w:rsidP="003A45A9">
      <w:pPr>
        <w:ind w:left="851"/>
        <w:rPr>
          <w:iCs/>
          <w:sz w:val="24"/>
          <w:szCs w:val="24"/>
        </w:rPr>
      </w:pPr>
      <w:proofErr w:type="spellStart"/>
      <w:r w:rsidRPr="00B21901">
        <w:rPr>
          <w:sz w:val="24"/>
          <w:szCs w:val="24"/>
        </w:rPr>
        <w:t>Betahistin</w:t>
      </w:r>
      <w:proofErr w:type="spellEnd"/>
      <w:r w:rsidRPr="00B21901">
        <w:rPr>
          <w:sz w:val="24"/>
          <w:szCs w:val="24"/>
        </w:rPr>
        <w:t xml:space="preserve"> anbefales ikke til børn under 18 år på grund af utilstrækkelige data om sikkerhed og virkning.</w:t>
      </w:r>
    </w:p>
    <w:p w14:paraId="0D8D6A1D" w14:textId="77777777" w:rsidR="003A45A9" w:rsidRPr="00B21901" w:rsidRDefault="003A45A9" w:rsidP="003A45A9">
      <w:pPr>
        <w:ind w:left="851" w:hanging="851"/>
        <w:rPr>
          <w:i/>
          <w:iCs/>
          <w:sz w:val="24"/>
          <w:szCs w:val="24"/>
        </w:rPr>
      </w:pPr>
    </w:p>
    <w:p w14:paraId="052C9EF3" w14:textId="77777777" w:rsidR="003A45A9" w:rsidRPr="00B21901" w:rsidRDefault="003A45A9" w:rsidP="003A45A9">
      <w:pPr>
        <w:ind w:left="851"/>
        <w:rPr>
          <w:i/>
          <w:iCs/>
          <w:sz w:val="24"/>
          <w:szCs w:val="24"/>
        </w:rPr>
      </w:pPr>
      <w:r w:rsidRPr="00B21901">
        <w:rPr>
          <w:i/>
          <w:sz w:val="24"/>
          <w:szCs w:val="24"/>
        </w:rPr>
        <w:t>Ældre:</w:t>
      </w:r>
    </w:p>
    <w:p w14:paraId="1BDA7D89" w14:textId="77777777" w:rsidR="003A45A9" w:rsidRPr="00B21901" w:rsidRDefault="003A45A9" w:rsidP="003A45A9">
      <w:pPr>
        <w:ind w:left="851"/>
        <w:rPr>
          <w:iCs/>
          <w:sz w:val="24"/>
          <w:szCs w:val="24"/>
        </w:rPr>
      </w:pPr>
      <w:r w:rsidRPr="00B21901">
        <w:rPr>
          <w:sz w:val="24"/>
          <w:szCs w:val="24"/>
        </w:rPr>
        <w:t xml:space="preserve">Da der foreligger begrænsede data for ældre, bør </w:t>
      </w:r>
      <w:proofErr w:type="spellStart"/>
      <w:r w:rsidRPr="00B21901">
        <w:rPr>
          <w:sz w:val="24"/>
          <w:szCs w:val="24"/>
        </w:rPr>
        <w:t>betahistin</w:t>
      </w:r>
      <w:proofErr w:type="spellEnd"/>
      <w:r w:rsidRPr="00B21901">
        <w:rPr>
          <w:sz w:val="24"/>
          <w:szCs w:val="24"/>
        </w:rPr>
        <w:t xml:space="preserve"> anvendes med forsigtighed i denne population</w:t>
      </w:r>
    </w:p>
    <w:p w14:paraId="280EBF85" w14:textId="77777777" w:rsidR="003A45A9" w:rsidRPr="00B21901" w:rsidRDefault="003A45A9" w:rsidP="003A45A9">
      <w:pPr>
        <w:ind w:left="851" w:hanging="851"/>
        <w:rPr>
          <w:i/>
          <w:iCs/>
          <w:sz w:val="24"/>
          <w:szCs w:val="24"/>
        </w:rPr>
      </w:pPr>
    </w:p>
    <w:p w14:paraId="58D6277C" w14:textId="77777777" w:rsidR="003A45A9" w:rsidRPr="00B21901" w:rsidRDefault="003A45A9" w:rsidP="003A45A9">
      <w:pPr>
        <w:ind w:left="851"/>
        <w:rPr>
          <w:i/>
          <w:iCs/>
          <w:sz w:val="24"/>
          <w:szCs w:val="24"/>
        </w:rPr>
      </w:pPr>
      <w:r w:rsidRPr="00B21901">
        <w:rPr>
          <w:i/>
          <w:sz w:val="24"/>
          <w:szCs w:val="24"/>
        </w:rPr>
        <w:t>Nedsat nyrefunktion:</w:t>
      </w:r>
    </w:p>
    <w:p w14:paraId="2AB5958B" w14:textId="77777777" w:rsidR="003A45A9" w:rsidRPr="00B21901" w:rsidRDefault="003A45A9" w:rsidP="003A45A9">
      <w:pPr>
        <w:ind w:left="851"/>
        <w:rPr>
          <w:iCs/>
          <w:sz w:val="24"/>
          <w:szCs w:val="24"/>
        </w:rPr>
      </w:pPr>
      <w:r w:rsidRPr="00B21901">
        <w:rPr>
          <w:sz w:val="24"/>
          <w:szCs w:val="24"/>
        </w:rPr>
        <w:t>Der foreligger ingen data for patienter med nedsat nyrefunktion. Der bør udvises forsigtighed i denne patientgruppe.</w:t>
      </w:r>
    </w:p>
    <w:p w14:paraId="1336B2A4" w14:textId="77777777" w:rsidR="003A45A9" w:rsidRPr="00B21901" w:rsidRDefault="003A45A9" w:rsidP="003A45A9">
      <w:pPr>
        <w:ind w:left="851" w:hanging="851"/>
        <w:rPr>
          <w:i/>
          <w:iCs/>
          <w:sz w:val="24"/>
          <w:szCs w:val="24"/>
        </w:rPr>
      </w:pPr>
    </w:p>
    <w:p w14:paraId="346FF972" w14:textId="77777777" w:rsidR="003A45A9" w:rsidRPr="00B21901" w:rsidRDefault="003A45A9" w:rsidP="003A45A9">
      <w:pPr>
        <w:ind w:left="851"/>
        <w:rPr>
          <w:i/>
          <w:iCs/>
          <w:sz w:val="24"/>
          <w:szCs w:val="24"/>
        </w:rPr>
      </w:pPr>
      <w:r w:rsidRPr="00B21901">
        <w:rPr>
          <w:i/>
          <w:sz w:val="24"/>
          <w:szCs w:val="24"/>
        </w:rPr>
        <w:t>Nedsat leverfunktion:</w:t>
      </w:r>
    </w:p>
    <w:p w14:paraId="46C16946" w14:textId="77777777" w:rsidR="003A45A9" w:rsidRPr="00B21901" w:rsidRDefault="003A45A9" w:rsidP="003A45A9">
      <w:pPr>
        <w:ind w:left="851"/>
        <w:rPr>
          <w:iCs/>
          <w:sz w:val="24"/>
          <w:szCs w:val="24"/>
        </w:rPr>
      </w:pPr>
      <w:r w:rsidRPr="00B21901">
        <w:rPr>
          <w:sz w:val="24"/>
          <w:szCs w:val="24"/>
        </w:rPr>
        <w:t>Der foreligger ingen data for patienter med nedsat leverfunktion. Der bør udvises forsigtighed i denne patientgruppe.</w:t>
      </w:r>
    </w:p>
    <w:p w14:paraId="4C820F9C" w14:textId="77777777" w:rsidR="009260DE" w:rsidRPr="00B21901" w:rsidRDefault="009260DE" w:rsidP="009260DE">
      <w:pPr>
        <w:tabs>
          <w:tab w:val="left" w:pos="851"/>
        </w:tabs>
        <w:ind w:left="851"/>
        <w:rPr>
          <w:sz w:val="24"/>
          <w:szCs w:val="24"/>
        </w:rPr>
      </w:pPr>
    </w:p>
    <w:p w14:paraId="349DB42E" w14:textId="77777777" w:rsidR="009260DE" w:rsidRPr="00B21901" w:rsidRDefault="009260DE" w:rsidP="009260DE">
      <w:pPr>
        <w:tabs>
          <w:tab w:val="left" w:pos="851"/>
        </w:tabs>
        <w:ind w:left="851" w:hanging="851"/>
        <w:rPr>
          <w:b/>
          <w:sz w:val="24"/>
          <w:szCs w:val="24"/>
        </w:rPr>
      </w:pPr>
      <w:r w:rsidRPr="00B21901">
        <w:rPr>
          <w:b/>
          <w:sz w:val="24"/>
          <w:szCs w:val="24"/>
        </w:rPr>
        <w:t>4.3</w:t>
      </w:r>
      <w:r w:rsidRPr="00B21901">
        <w:rPr>
          <w:b/>
          <w:sz w:val="24"/>
          <w:szCs w:val="24"/>
        </w:rPr>
        <w:tab/>
        <w:t>Kontraindikationer</w:t>
      </w:r>
    </w:p>
    <w:p w14:paraId="2CB333A9" w14:textId="77777777" w:rsidR="003A45A9" w:rsidRPr="00B21901" w:rsidRDefault="003A45A9" w:rsidP="003A45A9">
      <w:pPr>
        <w:pStyle w:val="Listeafsnit"/>
        <w:numPr>
          <w:ilvl w:val="0"/>
          <w:numId w:val="6"/>
        </w:numPr>
        <w:spacing w:after="0"/>
        <w:ind w:left="1276" w:hanging="425"/>
        <w:rPr>
          <w:rFonts w:ascii="Times New Roman" w:hAnsi="Times New Roman" w:cs="Times New Roman"/>
          <w:sz w:val="24"/>
          <w:szCs w:val="24"/>
        </w:rPr>
      </w:pPr>
      <w:r w:rsidRPr="00B21901">
        <w:rPr>
          <w:rFonts w:ascii="Times New Roman" w:hAnsi="Times New Roman" w:cs="Times New Roman"/>
          <w:sz w:val="24"/>
          <w:szCs w:val="24"/>
        </w:rPr>
        <w:t>Overfølsomhed over for det aktive stof eller over for et eller flere af hjælpestofferne anført i pkt. 6.1.</w:t>
      </w:r>
    </w:p>
    <w:p w14:paraId="71D1A16D" w14:textId="77777777" w:rsidR="003A45A9" w:rsidRPr="00B21901" w:rsidRDefault="003A45A9" w:rsidP="003A45A9">
      <w:pPr>
        <w:pStyle w:val="Listeafsnit"/>
        <w:numPr>
          <w:ilvl w:val="0"/>
          <w:numId w:val="6"/>
        </w:numPr>
        <w:spacing w:after="0"/>
        <w:ind w:left="1276" w:hanging="425"/>
        <w:rPr>
          <w:rFonts w:ascii="Times New Roman" w:hAnsi="Times New Roman" w:cs="Times New Roman"/>
          <w:sz w:val="24"/>
          <w:szCs w:val="24"/>
        </w:rPr>
      </w:pPr>
      <w:proofErr w:type="spellStart"/>
      <w:r w:rsidRPr="00B21901">
        <w:rPr>
          <w:rFonts w:ascii="Times New Roman" w:hAnsi="Times New Roman" w:cs="Times New Roman"/>
          <w:sz w:val="24"/>
          <w:szCs w:val="24"/>
        </w:rPr>
        <w:t>Fæokromocytom</w:t>
      </w:r>
      <w:proofErr w:type="spellEnd"/>
      <w:r w:rsidRPr="00B21901">
        <w:rPr>
          <w:rFonts w:ascii="Times New Roman" w:hAnsi="Times New Roman" w:cs="Times New Roman"/>
          <w:sz w:val="24"/>
          <w:szCs w:val="24"/>
        </w:rPr>
        <w:t>.</w:t>
      </w:r>
    </w:p>
    <w:p w14:paraId="68F34FFF" w14:textId="77777777" w:rsidR="009260DE" w:rsidRPr="00B21901" w:rsidRDefault="009260DE" w:rsidP="009260DE">
      <w:pPr>
        <w:tabs>
          <w:tab w:val="left" w:pos="851"/>
        </w:tabs>
        <w:ind w:left="851"/>
        <w:rPr>
          <w:sz w:val="24"/>
          <w:szCs w:val="24"/>
        </w:rPr>
      </w:pPr>
    </w:p>
    <w:p w14:paraId="5950D934" w14:textId="77777777" w:rsidR="009260DE" w:rsidRPr="00B21901" w:rsidRDefault="009260DE" w:rsidP="009260DE">
      <w:pPr>
        <w:tabs>
          <w:tab w:val="left" w:pos="851"/>
        </w:tabs>
        <w:ind w:left="851" w:hanging="851"/>
        <w:rPr>
          <w:b/>
          <w:sz w:val="24"/>
          <w:szCs w:val="24"/>
        </w:rPr>
      </w:pPr>
      <w:r w:rsidRPr="00B21901">
        <w:rPr>
          <w:b/>
          <w:sz w:val="24"/>
          <w:szCs w:val="24"/>
        </w:rPr>
        <w:t>4.4</w:t>
      </w:r>
      <w:r w:rsidRPr="00B21901">
        <w:rPr>
          <w:b/>
          <w:sz w:val="24"/>
          <w:szCs w:val="24"/>
        </w:rPr>
        <w:tab/>
        <w:t>Særlige advarsler og forsigtighedsregler vedrørende brugen</w:t>
      </w:r>
    </w:p>
    <w:p w14:paraId="40FA7BDF" w14:textId="77777777" w:rsidR="003A45A9" w:rsidRPr="00B21901" w:rsidRDefault="003A45A9" w:rsidP="003A45A9">
      <w:pPr>
        <w:autoSpaceDE w:val="0"/>
        <w:autoSpaceDN w:val="0"/>
        <w:adjustRightInd w:val="0"/>
        <w:ind w:left="851"/>
        <w:rPr>
          <w:sz w:val="24"/>
          <w:szCs w:val="24"/>
          <w:lang w:eastAsia="da-DK"/>
        </w:rPr>
      </w:pPr>
      <w:r w:rsidRPr="00B21901">
        <w:rPr>
          <w:sz w:val="24"/>
          <w:szCs w:val="24"/>
        </w:rPr>
        <w:t>Det anbefales at udvise forsigtighed hos patienter med:</w:t>
      </w:r>
    </w:p>
    <w:p w14:paraId="646EEF21" w14:textId="77777777" w:rsidR="003A45A9" w:rsidRPr="00B21901" w:rsidRDefault="003A45A9" w:rsidP="003A45A9">
      <w:pPr>
        <w:pStyle w:val="Listeafsnit"/>
        <w:numPr>
          <w:ilvl w:val="0"/>
          <w:numId w:val="7"/>
        </w:numPr>
        <w:spacing w:after="0" w:line="240" w:lineRule="auto"/>
        <w:ind w:left="1276" w:hanging="425"/>
        <w:rPr>
          <w:rFonts w:ascii="Times New Roman" w:hAnsi="Times New Roman" w:cs="Times New Roman"/>
          <w:sz w:val="24"/>
          <w:szCs w:val="24"/>
        </w:rPr>
      </w:pPr>
      <w:r w:rsidRPr="00B21901">
        <w:rPr>
          <w:rFonts w:ascii="Times New Roman" w:hAnsi="Times New Roman" w:cs="Times New Roman"/>
          <w:sz w:val="24"/>
          <w:szCs w:val="24"/>
        </w:rPr>
        <w:t xml:space="preserve">Ulcus </w:t>
      </w:r>
      <w:proofErr w:type="spellStart"/>
      <w:r w:rsidRPr="00B21901">
        <w:rPr>
          <w:rFonts w:ascii="Times New Roman" w:hAnsi="Times New Roman" w:cs="Times New Roman"/>
          <w:sz w:val="24"/>
          <w:szCs w:val="24"/>
        </w:rPr>
        <w:t>pepticum</w:t>
      </w:r>
      <w:proofErr w:type="spellEnd"/>
      <w:r w:rsidRPr="00B21901">
        <w:rPr>
          <w:rFonts w:ascii="Times New Roman" w:hAnsi="Times New Roman" w:cs="Times New Roman"/>
          <w:sz w:val="24"/>
          <w:szCs w:val="24"/>
        </w:rPr>
        <w:t xml:space="preserve"> (herunder denne lidelse i anamnesen), eftersom dyspepsi undertiden kan forekomme hos patienter i behandling med </w:t>
      </w:r>
      <w:proofErr w:type="spellStart"/>
      <w:r w:rsidRPr="00B21901">
        <w:rPr>
          <w:rFonts w:ascii="Times New Roman" w:hAnsi="Times New Roman" w:cs="Times New Roman"/>
          <w:sz w:val="24"/>
          <w:szCs w:val="24"/>
        </w:rPr>
        <w:t>betahistindihydrochlorid</w:t>
      </w:r>
      <w:proofErr w:type="spellEnd"/>
      <w:r w:rsidRPr="00B21901">
        <w:rPr>
          <w:rFonts w:ascii="Times New Roman" w:hAnsi="Times New Roman" w:cs="Times New Roman"/>
          <w:sz w:val="24"/>
          <w:szCs w:val="24"/>
        </w:rPr>
        <w:t>.</w:t>
      </w:r>
    </w:p>
    <w:p w14:paraId="0ED8AC05" w14:textId="77777777" w:rsidR="003A45A9" w:rsidRPr="00B21901" w:rsidRDefault="003A45A9" w:rsidP="003A45A9">
      <w:pPr>
        <w:pStyle w:val="Listeafsnit"/>
        <w:numPr>
          <w:ilvl w:val="0"/>
          <w:numId w:val="7"/>
        </w:numPr>
        <w:spacing w:after="0" w:line="240" w:lineRule="auto"/>
        <w:ind w:left="1276" w:hanging="425"/>
        <w:rPr>
          <w:rFonts w:ascii="Times New Roman" w:hAnsi="Times New Roman" w:cs="Times New Roman"/>
          <w:sz w:val="24"/>
          <w:szCs w:val="24"/>
        </w:rPr>
      </w:pPr>
      <w:r w:rsidRPr="00B21901">
        <w:rPr>
          <w:rFonts w:ascii="Times New Roman" w:hAnsi="Times New Roman" w:cs="Times New Roman"/>
          <w:sz w:val="24"/>
          <w:szCs w:val="24"/>
        </w:rPr>
        <w:t>Bronkial astma.</w:t>
      </w:r>
    </w:p>
    <w:p w14:paraId="294BE5EE" w14:textId="77777777" w:rsidR="003A45A9" w:rsidRPr="00B21901" w:rsidRDefault="003A45A9" w:rsidP="003A45A9">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21901">
        <w:rPr>
          <w:rFonts w:ascii="Times New Roman" w:hAnsi="Times New Roman" w:cs="Times New Roman"/>
          <w:sz w:val="24"/>
          <w:szCs w:val="24"/>
        </w:rPr>
        <w:t>Urticaria</w:t>
      </w:r>
      <w:proofErr w:type="spellEnd"/>
      <w:r w:rsidRPr="00B21901">
        <w:rPr>
          <w:rFonts w:ascii="Times New Roman" w:hAnsi="Times New Roman" w:cs="Times New Roman"/>
          <w:sz w:val="24"/>
          <w:szCs w:val="24"/>
        </w:rPr>
        <w:t xml:space="preserve">, </w:t>
      </w:r>
      <w:proofErr w:type="spellStart"/>
      <w:r w:rsidRPr="00B21901">
        <w:rPr>
          <w:rFonts w:ascii="Times New Roman" w:hAnsi="Times New Roman" w:cs="Times New Roman"/>
          <w:sz w:val="24"/>
          <w:szCs w:val="24"/>
        </w:rPr>
        <w:t>eksantem</w:t>
      </w:r>
      <w:proofErr w:type="spellEnd"/>
      <w:r w:rsidRPr="00B21901">
        <w:rPr>
          <w:rFonts w:ascii="Times New Roman" w:hAnsi="Times New Roman" w:cs="Times New Roman"/>
          <w:sz w:val="24"/>
          <w:szCs w:val="24"/>
        </w:rPr>
        <w:t xml:space="preserve"> eller allergisk </w:t>
      </w:r>
      <w:proofErr w:type="spellStart"/>
      <w:r w:rsidRPr="00B21901">
        <w:rPr>
          <w:rFonts w:ascii="Times New Roman" w:hAnsi="Times New Roman" w:cs="Times New Roman"/>
          <w:sz w:val="24"/>
          <w:szCs w:val="24"/>
        </w:rPr>
        <w:t>rhinitis</w:t>
      </w:r>
      <w:proofErr w:type="spellEnd"/>
      <w:r w:rsidRPr="00B21901">
        <w:rPr>
          <w:rFonts w:ascii="Times New Roman" w:hAnsi="Times New Roman" w:cs="Times New Roman"/>
          <w:sz w:val="24"/>
          <w:szCs w:val="24"/>
        </w:rPr>
        <w:t>, da disse symptomer kan blive forværret.</w:t>
      </w:r>
    </w:p>
    <w:p w14:paraId="5FC09215" w14:textId="77777777" w:rsidR="003A45A9" w:rsidRPr="00B21901" w:rsidRDefault="003A45A9" w:rsidP="003A45A9">
      <w:pPr>
        <w:pStyle w:val="Listeafsnit"/>
        <w:numPr>
          <w:ilvl w:val="0"/>
          <w:numId w:val="7"/>
        </w:numPr>
        <w:spacing w:after="0" w:line="240" w:lineRule="auto"/>
        <w:ind w:left="1276" w:hanging="425"/>
        <w:rPr>
          <w:rFonts w:ascii="Times New Roman" w:hAnsi="Times New Roman" w:cs="Times New Roman"/>
          <w:sz w:val="24"/>
          <w:szCs w:val="24"/>
        </w:rPr>
      </w:pPr>
      <w:r w:rsidRPr="00B21901">
        <w:rPr>
          <w:rFonts w:ascii="Times New Roman" w:hAnsi="Times New Roman" w:cs="Times New Roman"/>
          <w:sz w:val="24"/>
          <w:szCs w:val="24"/>
        </w:rPr>
        <w:t>Udtalt hypotension.</w:t>
      </w:r>
    </w:p>
    <w:p w14:paraId="79B1196D" w14:textId="77777777" w:rsidR="003A45A9" w:rsidRPr="00B21901" w:rsidRDefault="003A45A9" w:rsidP="003A45A9">
      <w:pPr>
        <w:pStyle w:val="Listeafsnit"/>
        <w:numPr>
          <w:ilvl w:val="0"/>
          <w:numId w:val="7"/>
        </w:numPr>
        <w:spacing w:after="0" w:line="240" w:lineRule="auto"/>
        <w:ind w:left="1276" w:hanging="425"/>
        <w:rPr>
          <w:rFonts w:ascii="Times New Roman" w:hAnsi="Times New Roman" w:cs="Times New Roman"/>
          <w:sz w:val="24"/>
          <w:szCs w:val="24"/>
        </w:rPr>
      </w:pPr>
      <w:r w:rsidRPr="00B21901">
        <w:rPr>
          <w:rFonts w:ascii="Times New Roman" w:hAnsi="Times New Roman" w:cs="Times New Roman"/>
          <w:sz w:val="24"/>
          <w:szCs w:val="24"/>
        </w:rPr>
        <w:t>Samtidig administration af antihistaminer (se pkt. 4.5).</w:t>
      </w:r>
    </w:p>
    <w:p w14:paraId="1A2956B9" w14:textId="77777777" w:rsidR="003A45A9" w:rsidRPr="00B21901" w:rsidRDefault="003A45A9" w:rsidP="003A45A9">
      <w:pPr>
        <w:autoSpaceDE w:val="0"/>
        <w:autoSpaceDN w:val="0"/>
        <w:adjustRightInd w:val="0"/>
        <w:ind w:left="851" w:hanging="851"/>
        <w:rPr>
          <w:sz w:val="24"/>
          <w:szCs w:val="24"/>
        </w:rPr>
      </w:pPr>
    </w:p>
    <w:p w14:paraId="3EF0AEE1" w14:textId="77777777" w:rsidR="003A45A9" w:rsidRPr="00B21901" w:rsidRDefault="003A45A9" w:rsidP="003A45A9">
      <w:pPr>
        <w:autoSpaceDE w:val="0"/>
        <w:autoSpaceDN w:val="0"/>
        <w:adjustRightInd w:val="0"/>
        <w:ind w:left="851"/>
        <w:rPr>
          <w:sz w:val="24"/>
          <w:szCs w:val="24"/>
        </w:rPr>
      </w:pPr>
      <w:r w:rsidRPr="00B21901">
        <w:rPr>
          <w:sz w:val="24"/>
          <w:szCs w:val="24"/>
        </w:rPr>
        <w:t xml:space="preserve">Patienter med bronkial astma og </w:t>
      </w:r>
      <w:proofErr w:type="spellStart"/>
      <w:r w:rsidRPr="00B21901">
        <w:rPr>
          <w:sz w:val="24"/>
          <w:szCs w:val="24"/>
        </w:rPr>
        <w:t>anamnetisk</w:t>
      </w:r>
      <w:proofErr w:type="spellEnd"/>
      <w:r w:rsidRPr="00B21901">
        <w:rPr>
          <w:sz w:val="24"/>
          <w:szCs w:val="24"/>
        </w:rPr>
        <w:t xml:space="preserve"> ulcus </w:t>
      </w:r>
      <w:proofErr w:type="spellStart"/>
      <w:r w:rsidRPr="00B21901">
        <w:rPr>
          <w:sz w:val="24"/>
          <w:szCs w:val="24"/>
        </w:rPr>
        <w:t>pepticum</w:t>
      </w:r>
      <w:proofErr w:type="spellEnd"/>
      <w:r w:rsidRPr="00B21901">
        <w:rPr>
          <w:sz w:val="24"/>
          <w:szCs w:val="24"/>
        </w:rPr>
        <w:t xml:space="preserve"> skal monitoreres nøje under behandlingen.</w:t>
      </w:r>
    </w:p>
    <w:p w14:paraId="3271C601" w14:textId="77777777" w:rsidR="003A45A9" w:rsidRPr="00B21901" w:rsidRDefault="003A45A9" w:rsidP="003A45A9">
      <w:pPr>
        <w:autoSpaceDE w:val="0"/>
        <w:autoSpaceDN w:val="0"/>
        <w:adjustRightInd w:val="0"/>
        <w:ind w:left="851"/>
        <w:rPr>
          <w:sz w:val="24"/>
          <w:szCs w:val="24"/>
        </w:rPr>
      </w:pPr>
      <w:r w:rsidRPr="00B21901">
        <w:rPr>
          <w:sz w:val="24"/>
          <w:szCs w:val="24"/>
        </w:rPr>
        <w:t>Der bør udvises forsigtighed hos patienter med nedsat nyre- eller leverfunktion, da der ikke foreligger nogen data vedrørende brug i disse patientgrupper.</w:t>
      </w:r>
    </w:p>
    <w:p w14:paraId="51C5ED27" w14:textId="77777777" w:rsidR="003A45A9" w:rsidRPr="00B21901" w:rsidRDefault="003A45A9" w:rsidP="003A45A9">
      <w:pPr>
        <w:autoSpaceDE w:val="0"/>
        <w:autoSpaceDN w:val="0"/>
        <w:adjustRightInd w:val="0"/>
        <w:ind w:left="851"/>
        <w:rPr>
          <w:sz w:val="24"/>
          <w:szCs w:val="24"/>
        </w:rPr>
      </w:pPr>
    </w:p>
    <w:p w14:paraId="3127D460" w14:textId="77777777" w:rsidR="003A45A9" w:rsidRPr="00B21901" w:rsidRDefault="003A45A9" w:rsidP="003A45A9">
      <w:pPr>
        <w:autoSpaceDE w:val="0"/>
        <w:autoSpaceDN w:val="0"/>
        <w:adjustRightInd w:val="0"/>
        <w:ind w:left="851"/>
        <w:rPr>
          <w:sz w:val="24"/>
          <w:szCs w:val="24"/>
          <w:u w:val="single"/>
        </w:rPr>
      </w:pPr>
      <w:proofErr w:type="spellStart"/>
      <w:r w:rsidRPr="00B21901">
        <w:rPr>
          <w:sz w:val="24"/>
          <w:szCs w:val="24"/>
          <w:u w:val="single"/>
        </w:rPr>
        <w:t>Lactose</w:t>
      </w:r>
      <w:proofErr w:type="spellEnd"/>
    </w:p>
    <w:p w14:paraId="600B2D3B" w14:textId="77777777" w:rsidR="003A45A9" w:rsidRPr="00B21901" w:rsidRDefault="003A45A9" w:rsidP="003A45A9">
      <w:pPr>
        <w:autoSpaceDE w:val="0"/>
        <w:autoSpaceDN w:val="0"/>
        <w:adjustRightInd w:val="0"/>
        <w:ind w:left="851"/>
        <w:rPr>
          <w:sz w:val="24"/>
          <w:szCs w:val="24"/>
        </w:rPr>
      </w:pPr>
      <w:r w:rsidRPr="00B21901">
        <w:rPr>
          <w:sz w:val="24"/>
          <w:szCs w:val="24"/>
        </w:rPr>
        <w:t xml:space="preserve">Tabletter indeholder </w:t>
      </w:r>
      <w:proofErr w:type="spellStart"/>
      <w:r w:rsidRPr="00B21901">
        <w:rPr>
          <w:sz w:val="24"/>
          <w:szCs w:val="24"/>
        </w:rPr>
        <w:t>lactose</w:t>
      </w:r>
      <w:proofErr w:type="spellEnd"/>
      <w:r w:rsidRPr="00B21901">
        <w:rPr>
          <w:sz w:val="24"/>
          <w:szCs w:val="24"/>
        </w:rPr>
        <w:t xml:space="preserve">. Bør ikke anvendes til patienter med hereditær </w:t>
      </w:r>
      <w:proofErr w:type="spellStart"/>
      <w:r w:rsidRPr="00B21901">
        <w:rPr>
          <w:sz w:val="24"/>
          <w:szCs w:val="24"/>
        </w:rPr>
        <w:t>galactoseintolerans</w:t>
      </w:r>
      <w:proofErr w:type="spellEnd"/>
      <w:r w:rsidRPr="00B21901">
        <w:rPr>
          <w:sz w:val="24"/>
          <w:szCs w:val="24"/>
        </w:rPr>
        <w:t xml:space="preserve">, total </w:t>
      </w:r>
      <w:proofErr w:type="spellStart"/>
      <w:r w:rsidRPr="00B21901">
        <w:rPr>
          <w:sz w:val="24"/>
          <w:szCs w:val="24"/>
        </w:rPr>
        <w:t>lactasemangel</w:t>
      </w:r>
      <w:proofErr w:type="spellEnd"/>
      <w:r w:rsidRPr="00B21901">
        <w:rPr>
          <w:sz w:val="24"/>
          <w:szCs w:val="24"/>
        </w:rPr>
        <w:t xml:space="preserve"> eller </w:t>
      </w:r>
      <w:proofErr w:type="spellStart"/>
      <w:r w:rsidRPr="00B21901">
        <w:rPr>
          <w:sz w:val="24"/>
          <w:szCs w:val="24"/>
        </w:rPr>
        <w:t>glucose</w:t>
      </w:r>
      <w:proofErr w:type="spellEnd"/>
      <w:r w:rsidRPr="00B21901">
        <w:rPr>
          <w:sz w:val="24"/>
          <w:szCs w:val="24"/>
        </w:rPr>
        <w:t>/</w:t>
      </w:r>
      <w:proofErr w:type="spellStart"/>
      <w:r w:rsidRPr="00B21901">
        <w:rPr>
          <w:sz w:val="24"/>
          <w:szCs w:val="24"/>
        </w:rPr>
        <w:t>galactosemalabsorption</w:t>
      </w:r>
      <w:proofErr w:type="spellEnd"/>
      <w:r w:rsidRPr="00B21901">
        <w:rPr>
          <w:sz w:val="24"/>
          <w:szCs w:val="24"/>
        </w:rPr>
        <w:t xml:space="preserve">. </w:t>
      </w:r>
    </w:p>
    <w:p w14:paraId="3C590DF5" w14:textId="77777777" w:rsidR="009260DE" w:rsidRPr="00B21901" w:rsidRDefault="009260DE" w:rsidP="009260DE">
      <w:pPr>
        <w:tabs>
          <w:tab w:val="left" w:pos="851"/>
        </w:tabs>
        <w:ind w:left="851"/>
        <w:rPr>
          <w:sz w:val="24"/>
          <w:szCs w:val="24"/>
        </w:rPr>
      </w:pPr>
    </w:p>
    <w:p w14:paraId="3F7937C9" w14:textId="77777777" w:rsidR="009260DE" w:rsidRPr="00B21901" w:rsidRDefault="009260DE" w:rsidP="009260DE">
      <w:pPr>
        <w:tabs>
          <w:tab w:val="left" w:pos="851"/>
        </w:tabs>
        <w:ind w:left="851" w:hanging="851"/>
        <w:rPr>
          <w:b/>
          <w:sz w:val="24"/>
          <w:szCs w:val="24"/>
        </w:rPr>
      </w:pPr>
      <w:r w:rsidRPr="00B21901">
        <w:rPr>
          <w:b/>
          <w:sz w:val="24"/>
          <w:szCs w:val="24"/>
        </w:rPr>
        <w:lastRenderedPageBreak/>
        <w:t>4.5</w:t>
      </w:r>
      <w:r w:rsidRPr="00B21901">
        <w:rPr>
          <w:b/>
          <w:sz w:val="24"/>
          <w:szCs w:val="24"/>
        </w:rPr>
        <w:tab/>
        <w:t>Interaktion med andre lægemidler og andre former for interaktion</w:t>
      </w:r>
    </w:p>
    <w:p w14:paraId="241271CD" w14:textId="77777777" w:rsidR="003A45A9" w:rsidRPr="00B21901" w:rsidRDefault="003A45A9" w:rsidP="003A45A9">
      <w:pPr>
        <w:ind w:left="851"/>
        <w:rPr>
          <w:sz w:val="24"/>
          <w:szCs w:val="24"/>
          <w:lang w:eastAsia="da-DK"/>
        </w:rPr>
      </w:pPr>
      <w:r w:rsidRPr="00B21901">
        <w:rPr>
          <w:sz w:val="24"/>
          <w:szCs w:val="24"/>
        </w:rPr>
        <w:t xml:space="preserve">Det vigtigste </w:t>
      </w:r>
      <w:proofErr w:type="spellStart"/>
      <w:r w:rsidRPr="00B21901">
        <w:rPr>
          <w:sz w:val="24"/>
          <w:szCs w:val="24"/>
        </w:rPr>
        <w:t>metaboliseringsenzym</w:t>
      </w:r>
      <w:proofErr w:type="spellEnd"/>
      <w:r w:rsidRPr="00B21901">
        <w:rPr>
          <w:sz w:val="24"/>
          <w:szCs w:val="24"/>
        </w:rPr>
        <w:t xml:space="preserve"> for </w:t>
      </w:r>
      <w:proofErr w:type="spellStart"/>
      <w:r w:rsidRPr="00B21901">
        <w:rPr>
          <w:sz w:val="24"/>
          <w:szCs w:val="24"/>
        </w:rPr>
        <w:t>betahistin</w:t>
      </w:r>
      <w:proofErr w:type="spellEnd"/>
      <w:r w:rsidRPr="00B21901">
        <w:rPr>
          <w:sz w:val="24"/>
          <w:szCs w:val="24"/>
        </w:rPr>
        <w:t xml:space="preserve"> er ukendt. Der er ikke udført kontrollerede interaktionsstudier. Kombination med andre lægemidler frarådes, da der ikke foreligger nogen interaktionsdata.</w:t>
      </w:r>
    </w:p>
    <w:p w14:paraId="72A49904" w14:textId="77777777" w:rsidR="003A45A9" w:rsidRPr="00B21901" w:rsidRDefault="003A45A9" w:rsidP="003A45A9">
      <w:pPr>
        <w:ind w:left="851" w:hanging="851"/>
        <w:rPr>
          <w:sz w:val="24"/>
          <w:szCs w:val="24"/>
        </w:rPr>
      </w:pPr>
    </w:p>
    <w:p w14:paraId="2F8F1C99" w14:textId="77777777" w:rsidR="003A45A9" w:rsidRPr="00B21901" w:rsidRDefault="003A45A9" w:rsidP="003A45A9">
      <w:pPr>
        <w:ind w:left="851"/>
        <w:rPr>
          <w:sz w:val="24"/>
          <w:szCs w:val="24"/>
        </w:rPr>
      </w:pPr>
      <w:r w:rsidRPr="00B21901">
        <w:rPr>
          <w:sz w:val="24"/>
          <w:szCs w:val="24"/>
        </w:rPr>
        <w:t xml:space="preserve">In </w:t>
      </w:r>
      <w:proofErr w:type="spellStart"/>
      <w:r w:rsidRPr="00B21901">
        <w:rPr>
          <w:sz w:val="24"/>
          <w:szCs w:val="24"/>
        </w:rPr>
        <w:t>vitro</w:t>
      </w:r>
      <w:proofErr w:type="spellEnd"/>
      <w:r w:rsidRPr="00B21901">
        <w:rPr>
          <w:sz w:val="24"/>
          <w:szCs w:val="24"/>
        </w:rPr>
        <w:t xml:space="preserve">-data tyder på, at lægemidler, der hæmmer </w:t>
      </w:r>
      <w:proofErr w:type="spellStart"/>
      <w:r w:rsidRPr="00B21901">
        <w:rPr>
          <w:sz w:val="24"/>
          <w:szCs w:val="24"/>
        </w:rPr>
        <w:t>monoaminooxidase</w:t>
      </w:r>
      <w:proofErr w:type="spellEnd"/>
      <w:r w:rsidRPr="00B21901">
        <w:rPr>
          <w:sz w:val="24"/>
          <w:szCs w:val="24"/>
        </w:rPr>
        <w:t xml:space="preserve"> (MAO), herunder MAO-subtype B (f.eks. </w:t>
      </w:r>
      <w:proofErr w:type="spellStart"/>
      <w:r w:rsidRPr="00B21901">
        <w:rPr>
          <w:sz w:val="24"/>
          <w:szCs w:val="24"/>
        </w:rPr>
        <w:t>selegilin</w:t>
      </w:r>
      <w:proofErr w:type="spellEnd"/>
      <w:r w:rsidRPr="00B21901">
        <w:rPr>
          <w:sz w:val="24"/>
          <w:szCs w:val="24"/>
        </w:rPr>
        <w:t xml:space="preserve">), forårsager hæmning af </w:t>
      </w:r>
      <w:proofErr w:type="spellStart"/>
      <w:r w:rsidRPr="00B21901">
        <w:rPr>
          <w:sz w:val="24"/>
          <w:szCs w:val="24"/>
        </w:rPr>
        <w:t>betahistinmetabolismen</w:t>
      </w:r>
      <w:proofErr w:type="spellEnd"/>
      <w:r w:rsidRPr="00B21901">
        <w:rPr>
          <w:sz w:val="24"/>
          <w:szCs w:val="24"/>
        </w:rPr>
        <w:t xml:space="preserve">. Det anbefales at udvise forsigtighed ved samtidig brug af </w:t>
      </w:r>
      <w:proofErr w:type="spellStart"/>
      <w:r w:rsidRPr="00B21901">
        <w:rPr>
          <w:sz w:val="24"/>
          <w:szCs w:val="24"/>
        </w:rPr>
        <w:t>betahistin</w:t>
      </w:r>
      <w:proofErr w:type="spellEnd"/>
      <w:r w:rsidRPr="00B21901">
        <w:rPr>
          <w:sz w:val="24"/>
          <w:szCs w:val="24"/>
        </w:rPr>
        <w:t xml:space="preserve"> og MAO-</w:t>
      </w:r>
      <w:proofErr w:type="spellStart"/>
      <w:r w:rsidRPr="00B21901">
        <w:rPr>
          <w:sz w:val="24"/>
          <w:szCs w:val="24"/>
        </w:rPr>
        <w:t>hæmmere</w:t>
      </w:r>
      <w:proofErr w:type="spellEnd"/>
      <w:r w:rsidRPr="00B21901">
        <w:rPr>
          <w:sz w:val="24"/>
          <w:szCs w:val="24"/>
        </w:rPr>
        <w:t xml:space="preserve"> (inklusive selektive MAO-B-</w:t>
      </w:r>
      <w:proofErr w:type="spellStart"/>
      <w:r w:rsidRPr="00B21901">
        <w:rPr>
          <w:sz w:val="24"/>
          <w:szCs w:val="24"/>
        </w:rPr>
        <w:t>hæmmere</w:t>
      </w:r>
      <w:proofErr w:type="spellEnd"/>
      <w:r w:rsidRPr="00B21901">
        <w:rPr>
          <w:sz w:val="24"/>
          <w:szCs w:val="24"/>
        </w:rPr>
        <w:t>).</w:t>
      </w:r>
    </w:p>
    <w:p w14:paraId="2048F406" w14:textId="77777777" w:rsidR="003A45A9" w:rsidRPr="00B21901" w:rsidRDefault="003A45A9" w:rsidP="003A45A9">
      <w:pPr>
        <w:ind w:left="851" w:hanging="851"/>
        <w:rPr>
          <w:sz w:val="24"/>
          <w:szCs w:val="24"/>
        </w:rPr>
      </w:pPr>
    </w:p>
    <w:p w14:paraId="29C646E0" w14:textId="77777777" w:rsidR="003A45A9" w:rsidRPr="00B21901" w:rsidRDefault="003A45A9" w:rsidP="003A45A9">
      <w:pPr>
        <w:ind w:left="851"/>
        <w:rPr>
          <w:sz w:val="24"/>
          <w:szCs w:val="24"/>
        </w:rPr>
      </w:pPr>
      <w:r w:rsidRPr="00B21901">
        <w:rPr>
          <w:sz w:val="24"/>
          <w:szCs w:val="24"/>
        </w:rPr>
        <w:t xml:space="preserve">Der er ikke udført interaktionsstudier in </w:t>
      </w:r>
      <w:proofErr w:type="spellStart"/>
      <w:r w:rsidRPr="00B21901">
        <w:rPr>
          <w:sz w:val="24"/>
          <w:szCs w:val="24"/>
        </w:rPr>
        <w:t>vivo</w:t>
      </w:r>
      <w:proofErr w:type="spellEnd"/>
      <w:r w:rsidRPr="00B21901">
        <w:rPr>
          <w:sz w:val="24"/>
          <w:szCs w:val="24"/>
        </w:rPr>
        <w:t xml:space="preserve">. Baseret på in </w:t>
      </w:r>
      <w:proofErr w:type="spellStart"/>
      <w:r w:rsidRPr="00B21901">
        <w:rPr>
          <w:sz w:val="24"/>
          <w:szCs w:val="24"/>
        </w:rPr>
        <w:t>vitro</w:t>
      </w:r>
      <w:proofErr w:type="spellEnd"/>
      <w:r w:rsidRPr="00B21901">
        <w:rPr>
          <w:sz w:val="24"/>
          <w:szCs w:val="24"/>
        </w:rPr>
        <w:t xml:space="preserve">-data forventes der ingen </w:t>
      </w:r>
      <w:proofErr w:type="spellStart"/>
      <w:r w:rsidRPr="00B21901">
        <w:rPr>
          <w:b/>
          <w:i/>
          <w:sz w:val="24"/>
          <w:szCs w:val="24"/>
        </w:rPr>
        <w:t>betahistin</w:t>
      </w:r>
      <w:proofErr w:type="spellEnd"/>
      <w:r w:rsidRPr="00B21901">
        <w:rPr>
          <w:b/>
          <w:i/>
          <w:sz w:val="24"/>
          <w:szCs w:val="24"/>
        </w:rPr>
        <w:t>-forårsaget</w:t>
      </w:r>
      <w:r w:rsidRPr="00B21901">
        <w:rPr>
          <w:sz w:val="24"/>
          <w:szCs w:val="24"/>
        </w:rPr>
        <w:t xml:space="preserve"> hæmning af </w:t>
      </w:r>
      <w:proofErr w:type="spellStart"/>
      <w:r w:rsidRPr="00B21901">
        <w:rPr>
          <w:sz w:val="24"/>
          <w:szCs w:val="24"/>
        </w:rPr>
        <w:t>cytochrom</w:t>
      </w:r>
      <w:proofErr w:type="spellEnd"/>
      <w:r w:rsidRPr="00B21901">
        <w:rPr>
          <w:sz w:val="24"/>
          <w:szCs w:val="24"/>
        </w:rPr>
        <w:t xml:space="preserve"> P450-enzymer in </w:t>
      </w:r>
      <w:proofErr w:type="spellStart"/>
      <w:r w:rsidRPr="00B21901">
        <w:rPr>
          <w:sz w:val="24"/>
          <w:szCs w:val="24"/>
        </w:rPr>
        <w:t>vivo</w:t>
      </w:r>
      <w:proofErr w:type="spellEnd"/>
      <w:r w:rsidRPr="00B21901">
        <w:rPr>
          <w:sz w:val="24"/>
          <w:szCs w:val="24"/>
        </w:rPr>
        <w:t>.</w:t>
      </w:r>
    </w:p>
    <w:p w14:paraId="3699B7CC" w14:textId="77777777" w:rsidR="003A45A9" w:rsidRPr="00B21901" w:rsidRDefault="003A45A9" w:rsidP="003A45A9">
      <w:pPr>
        <w:ind w:left="851"/>
        <w:rPr>
          <w:sz w:val="24"/>
          <w:szCs w:val="24"/>
        </w:rPr>
      </w:pPr>
      <w:r w:rsidRPr="00B21901">
        <w:rPr>
          <w:sz w:val="24"/>
          <w:szCs w:val="24"/>
        </w:rPr>
        <w:t xml:space="preserve">Da </w:t>
      </w:r>
      <w:proofErr w:type="spellStart"/>
      <w:r w:rsidRPr="00B21901">
        <w:rPr>
          <w:sz w:val="24"/>
          <w:szCs w:val="24"/>
        </w:rPr>
        <w:t>betahistin</w:t>
      </w:r>
      <w:proofErr w:type="spellEnd"/>
      <w:r w:rsidRPr="00B21901">
        <w:rPr>
          <w:sz w:val="24"/>
          <w:szCs w:val="24"/>
        </w:rPr>
        <w:t xml:space="preserve"> er en histaminanalog, kan interaktion mellem </w:t>
      </w:r>
      <w:proofErr w:type="spellStart"/>
      <w:r w:rsidRPr="00B21901">
        <w:rPr>
          <w:sz w:val="24"/>
          <w:szCs w:val="24"/>
        </w:rPr>
        <w:t>betahistin</w:t>
      </w:r>
      <w:proofErr w:type="spellEnd"/>
      <w:r w:rsidRPr="00B21901">
        <w:rPr>
          <w:sz w:val="24"/>
          <w:szCs w:val="24"/>
        </w:rPr>
        <w:t xml:space="preserve"> og antihistaminer teoretisk set påvirke virkningen af et af disse lægemidler.</w:t>
      </w:r>
    </w:p>
    <w:p w14:paraId="422CDE55" w14:textId="77777777" w:rsidR="003A45A9" w:rsidRPr="00B21901" w:rsidRDefault="003A45A9" w:rsidP="003A45A9">
      <w:pPr>
        <w:ind w:left="851" w:hanging="851"/>
        <w:rPr>
          <w:sz w:val="24"/>
          <w:szCs w:val="24"/>
        </w:rPr>
      </w:pPr>
    </w:p>
    <w:p w14:paraId="4E5A38D2" w14:textId="77777777" w:rsidR="003A45A9" w:rsidRPr="00B21901" w:rsidRDefault="003A45A9" w:rsidP="003A45A9">
      <w:pPr>
        <w:ind w:left="851"/>
        <w:rPr>
          <w:sz w:val="24"/>
          <w:szCs w:val="24"/>
        </w:rPr>
      </w:pPr>
      <w:r w:rsidRPr="00B21901">
        <w:rPr>
          <w:sz w:val="24"/>
          <w:szCs w:val="24"/>
        </w:rPr>
        <w:t xml:space="preserve">Der er indberettet et tilfælde af en interaktion med </w:t>
      </w:r>
      <w:proofErr w:type="spellStart"/>
      <w:r w:rsidRPr="00B21901">
        <w:rPr>
          <w:sz w:val="24"/>
          <w:szCs w:val="24"/>
        </w:rPr>
        <w:t>ethanol</w:t>
      </w:r>
      <w:proofErr w:type="spellEnd"/>
      <w:r w:rsidRPr="00B21901">
        <w:rPr>
          <w:sz w:val="24"/>
          <w:szCs w:val="24"/>
        </w:rPr>
        <w:t xml:space="preserve"> og et stof indeholdende </w:t>
      </w:r>
      <w:proofErr w:type="spellStart"/>
      <w:r w:rsidRPr="00B21901">
        <w:rPr>
          <w:sz w:val="24"/>
          <w:szCs w:val="24"/>
        </w:rPr>
        <w:t>pyrimethamin</w:t>
      </w:r>
      <w:proofErr w:type="spellEnd"/>
      <w:r w:rsidRPr="00B21901">
        <w:rPr>
          <w:sz w:val="24"/>
          <w:szCs w:val="24"/>
        </w:rPr>
        <w:t xml:space="preserve"> med </w:t>
      </w:r>
      <w:proofErr w:type="spellStart"/>
      <w:r w:rsidRPr="00B21901">
        <w:rPr>
          <w:sz w:val="24"/>
          <w:szCs w:val="24"/>
        </w:rPr>
        <w:t>dapson</w:t>
      </w:r>
      <w:proofErr w:type="spellEnd"/>
      <w:r w:rsidRPr="00B21901">
        <w:rPr>
          <w:sz w:val="24"/>
          <w:szCs w:val="24"/>
        </w:rPr>
        <w:t xml:space="preserve"> og et andet tilfælde med forstærket virkning af </w:t>
      </w:r>
      <w:proofErr w:type="spellStart"/>
      <w:r w:rsidRPr="00B21901">
        <w:rPr>
          <w:sz w:val="24"/>
          <w:szCs w:val="24"/>
        </w:rPr>
        <w:t>betahistin</w:t>
      </w:r>
      <w:proofErr w:type="spellEnd"/>
      <w:r w:rsidRPr="00B21901">
        <w:rPr>
          <w:sz w:val="24"/>
          <w:szCs w:val="24"/>
        </w:rPr>
        <w:t xml:space="preserve"> ved samtidig administration af </w:t>
      </w:r>
      <w:proofErr w:type="spellStart"/>
      <w:r w:rsidRPr="00B21901">
        <w:rPr>
          <w:sz w:val="24"/>
          <w:szCs w:val="24"/>
        </w:rPr>
        <w:t>salbutamol</w:t>
      </w:r>
      <w:proofErr w:type="spellEnd"/>
      <w:r w:rsidRPr="00B21901">
        <w:rPr>
          <w:sz w:val="24"/>
          <w:szCs w:val="24"/>
        </w:rPr>
        <w:t>.</w:t>
      </w:r>
    </w:p>
    <w:p w14:paraId="37724FD2" w14:textId="77777777" w:rsidR="009260DE" w:rsidRPr="00B21901" w:rsidRDefault="009260DE" w:rsidP="009260DE">
      <w:pPr>
        <w:tabs>
          <w:tab w:val="left" w:pos="851"/>
        </w:tabs>
        <w:ind w:left="851"/>
        <w:rPr>
          <w:sz w:val="24"/>
          <w:szCs w:val="24"/>
        </w:rPr>
      </w:pPr>
    </w:p>
    <w:p w14:paraId="376CEBF4" w14:textId="77777777" w:rsidR="009260DE" w:rsidRPr="00B21901" w:rsidRDefault="009260DE" w:rsidP="009260DE">
      <w:pPr>
        <w:tabs>
          <w:tab w:val="left" w:pos="851"/>
        </w:tabs>
        <w:ind w:left="851" w:hanging="851"/>
        <w:rPr>
          <w:b/>
          <w:sz w:val="24"/>
          <w:szCs w:val="24"/>
        </w:rPr>
      </w:pPr>
      <w:r w:rsidRPr="00B21901">
        <w:rPr>
          <w:b/>
          <w:sz w:val="24"/>
          <w:szCs w:val="24"/>
        </w:rPr>
        <w:t>4.6</w:t>
      </w:r>
      <w:r w:rsidRPr="00B21901">
        <w:rPr>
          <w:b/>
          <w:sz w:val="24"/>
          <w:szCs w:val="24"/>
        </w:rPr>
        <w:tab/>
        <w:t>Graviditet og amning</w:t>
      </w:r>
    </w:p>
    <w:p w14:paraId="4B113EC7" w14:textId="77777777" w:rsidR="00853514" w:rsidRDefault="00853514" w:rsidP="003A45A9">
      <w:pPr>
        <w:ind w:left="851"/>
        <w:rPr>
          <w:sz w:val="24"/>
          <w:szCs w:val="24"/>
          <w:u w:val="single"/>
        </w:rPr>
      </w:pPr>
    </w:p>
    <w:p w14:paraId="405E02EF" w14:textId="47A2C94C" w:rsidR="003A45A9" w:rsidRPr="00B21901" w:rsidRDefault="003A45A9" w:rsidP="003A45A9">
      <w:pPr>
        <w:ind w:left="851"/>
        <w:rPr>
          <w:sz w:val="24"/>
          <w:szCs w:val="24"/>
          <w:u w:val="single"/>
        </w:rPr>
      </w:pPr>
      <w:r w:rsidRPr="00B21901">
        <w:rPr>
          <w:sz w:val="24"/>
          <w:szCs w:val="24"/>
          <w:u w:val="single"/>
        </w:rPr>
        <w:t xml:space="preserve">Fertilitet </w:t>
      </w:r>
    </w:p>
    <w:p w14:paraId="71A3609D" w14:textId="77777777" w:rsidR="003A45A9" w:rsidRPr="00B21901" w:rsidRDefault="003A45A9" w:rsidP="003A45A9">
      <w:pPr>
        <w:ind w:left="851"/>
        <w:rPr>
          <w:sz w:val="24"/>
          <w:szCs w:val="24"/>
        </w:rPr>
      </w:pPr>
      <w:r w:rsidRPr="00B21901">
        <w:rPr>
          <w:sz w:val="24"/>
          <w:szCs w:val="24"/>
        </w:rPr>
        <w:t xml:space="preserve">Der foreligger ingen data om </w:t>
      </w:r>
      <w:proofErr w:type="spellStart"/>
      <w:r w:rsidRPr="00B21901">
        <w:rPr>
          <w:sz w:val="24"/>
          <w:szCs w:val="24"/>
        </w:rPr>
        <w:t>betahistin</w:t>
      </w:r>
      <w:proofErr w:type="spellEnd"/>
      <w:r w:rsidRPr="00B21901">
        <w:rPr>
          <w:sz w:val="24"/>
          <w:szCs w:val="24"/>
        </w:rPr>
        <w:t xml:space="preserve"> og påvirkning af fertiliteten.</w:t>
      </w:r>
    </w:p>
    <w:p w14:paraId="23BE666A" w14:textId="77777777" w:rsidR="003A45A9" w:rsidRPr="00B21901" w:rsidRDefault="003A45A9" w:rsidP="003A45A9">
      <w:pPr>
        <w:ind w:left="851"/>
        <w:rPr>
          <w:sz w:val="24"/>
          <w:szCs w:val="24"/>
          <w:u w:val="single"/>
        </w:rPr>
      </w:pPr>
    </w:p>
    <w:p w14:paraId="5A6BC241" w14:textId="77777777" w:rsidR="003A45A9" w:rsidRPr="00B21901" w:rsidRDefault="003A45A9" w:rsidP="003A45A9">
      <w:pPr>
        <w:ind w:left="851"/>
        <w:rPr>
          <w:sz w:val="24"/>
          <w:szCs w:val="24"/>
          <w:u w:val="single"/>
          <w:lang w:eastAsia="da-DK"/>
        </w:rPr>
      </w:pPr>
      <w:r w:rsidRPr="00B21901">
        <w:rPr>
          <w:sz w:val="24"/>
          <w:szCs w:val="24"/>
          <w:u w:val="single"/>
        </w:rPr>
        <w:t>Graviditet</w:t>
      </w:r>
    </w:p>
    <w:p w14:paraId="730817F8" w14:textId="77777777" w:rsidR="003A45A9" w:rsidRPr="00B21901" w:rsidRDefault="003A45A9" w:rsidP="003A45A9">
      <w:pPr>
        <w:ind w:left="851"/>
        <w:rPr>
          <w:sz w:val="24"/>
          <w:szCs w:val="24"/>
        </w:rPr>
      </w:pPr>
      <w:r w:rsidRPr="00B21901">
        <w:rPr>
          <w:noProof/>
          <w:sz w:val="24"/>
          <w:szCs w:val="24"/>
        </w:rPr>
        <w:t>Der er ikke tilstrækkelige data vedrørende brug af betahistin i gravide kvinder.</w:t>
      </w:r>
      <w:r w:rsidRPr="00B21901">
        <w:rPr>
          <w:sz w:val="24"/>
          <w:szCs w:val="24"/>
        </w:rPr>
        <w:t xml:space="preserve"> Data fra dyreforsøg er utilstrækkelige, hvad angår virkninger på graviditeten, embryonal/</w:t>
      </w:r>
      <w:proofErr w:type="spellStart"/>
      <w:r w:rsidRPr="00B21901">
        <w:rPr>
          <w:sz w:val="24"/>
          <w:szCs w:val="24"/>
        </w:rPr>
        <w:t>føtal</w:t>
      </w:r>
      <w:proofErr w:type="spellEnd"/>
      <w:r w:rsidRPr="00B21901">
        <w:rPr>
          <w:sz w:val="24"/>
          <w:szCs w:val="24"/>
        </w:rPr>
        <w:t xml:space="preserve"> udvikling, fødsel og </w:t>
      </w:r>
      <w:proofErr w:type="spellStart"/>
      <w:r w:rsidRPr="00B21901">
        <w:rPr>
          <w:sz w:val="24"/>
          <w:szCs w:val="24"/>
        </w:rPr>
        <w:t>postnatal</w:t>
      </w:r>
      <w:proofErr w:type="spellEnd"/>
      <w:r w:rsidRPr="00B21901">
        <w:rPr>
          <w:sz w:val="24"/>
          <w:szCs w:val="24"/>
        </w:rPr>
        <w:t xml:space="preserve"> udvikling. Den potentielle risiko for mennesker er ukendt. </w:t>
      </w:r>
      <w:proofErr w:type="spellStart"/>
      <w:r w:rsidRPr="00B21901">
        <w:rPr>
          <w:sz w:val="24"/>
          <w:szCs w:val="24"/>
        </w:rPr>
        <w:t>Betahistin</w:t>
      </w:r>
      <w:proofErr w:type="spellEnd"/>
      <w:r w:rsidRPr="00B21901">
        <w:rPr>
          <w:sz w:val="24"/>
          <w:szCs w:val="24"/>
        </w:rPr>
        <w:t xml:space="preserve"> bør kun anvendes under graviditeten på tvingende indikation.</w:t>
      </w:r>
    </w:p>
    <w:p w14:paraId="188C7590" w14:textId="77777777" w:rsidR="003A45A9" w:rsidRPr="00B21901" w:rsidRDefault="003A45A9" w:rsidP="003A45A9">
      <w:pPr>
        <w:ind w:left="851"/>
        <w:rPr>
          <w:sz w:val="24"/>
          <w:szCs w:val="24"/>
        </w:rPr>
      </w:pPr>
    </w:p>
    <w:p w14:paraId="5F86E183" w14:textId="77777777" w:rsidR="003A45A9" w:rsidRPr="00B21901" w:rsidRDefault="003A45A9" w:rsidP="003A45A9">
      <w:pPr>
        <w:ind w:left="851"/>
        <w:rPr>
          <w:sz w:val="24"/>
          <w:szCs w:val="24"/>
          <w:u w:val="single"/>
        </w:rPr>
      </w:pPr>
      <w:r w:rsidRPr="00B21901">
        <w:rPr>
          <w:sz w:val="24"/>
          <w:szCs w:val="24"/>
          <w:u w:val="single"/>
        </w:rPr>
        <w:t xml:space="preserve">Amning </w:t>
      </w:r>
    </w:p>
    <w:p w14:paraId="54865460" w14:textId="77777777" w:rsidR="003A45A9" w:rsidRPr="00B21901" w:rsidRDefault="003A45A9" w:rsidP="003A45A9">
      <w:pPr>
        <w:ind w:left="851"/>
        <w:rPr>
          <w:sz w:val="24"/>
          <w:szCs w:val="24"/>
        </w:rPr>
      </w:pPr>
      <w:r w:rsidRPr="00B21901">
        <w:rPr>
          <w:sz w:val="24"/>
          <w:szCs w:val="24"/>
        </w:rPr>
        <w:t xml:space="preserve">Det er ukendt, om </w:t>
      </w:r>
      <w:proofErr w:type="spellStart"/>
      <w:r w:rsidRPr="00B21901">
        <w:rPr>
          <w:sz w:val="24"/>
          <w:szCs w:val="24"/>
        </w:rPr>
        <w:t>betahistin</w:t>
      </w:r>
      <w:proofErr w:type="spellEnd"/>
      <w:r w:rsidRPr="00B21901">
        <w:rPr>
          <w:sz w:val="24"/>
          <w:szCs w:val="24"/>
        </w:rPr>
        <w:t xml:space="preserve"> udskilles i human mælk. </w:t>
      </w:r>
    </w:p>
    <w:p w14:paraId="405FD565" w14:textId="77777777" w:rsidR="003A45A9" w:rsidRPr="00B21901" w:rsidRDefault="003A45A9" w:rsidP="003A45A9">
      <w:pPr>
        <w:ind w:left="851"/>
        <w:rPr>
          <w:sz w:val="24"/>
          <w:szCs w:val="24"/>
        </w:rPr>
      </w:pPr>
      <w:r w:rsidRPr="00B21901">
        <w:rPr>
          <w:sz w:val="24"/>
          <w:szCs w:val="24"/>
        </w:rPr>
        <w:t xml:space="preserve">Der foreligger ingen dyreforsøg om udskillelse af </w:t>
      </w:r>
      <w:proofErr w:type="spellStart"/>
      <w:r w:rsidRPr="00B21901">
        <w:rPr>
          <w:sz w:val="24"/>
          <w:szCs w:val="24"/>
        </w:rPr>
        <w:t>betahistin</w:t>
      </w:r>
      <w:proofErr w:type="spellEnd"/>
      <w:r w:rsidRPr="00B21901">
        <w:rPr>
          <w:sz w:val="24"/>
          <w:szCs w:val="24"/>
        </w:rPr>
        <w:t xml:space="preserve"> i mælk. Lægemidlets vigtighed for moderen bør opvejes mod fordelene ved amning og de potentielle risici for barnet.</w:t>
      </w:r>
    </w:p>
    <w:p w14:paraId="136AF586" w14:textId="77777777" w:rsidR="009260DE" w:rsidRPr="00B21901" w:rsidRDefault="009260DE" w:rsidP="009260DE">
      <w:pPr>
        <w:tabs>
          <w:tab w:val="left" w:pos="851"/>
        </w:tabs>
        <w:ind w:left="851"/>
        <w:rPr>
          <w:sz w:val="24"/>
          <w:szCs w:val="24"/>
        </w:rPr>
      </w:pPr>
    </w:p>
    <w:p w14:paraId="0959D91E" w14:textId="77777777" w:rsidR="009260DE" w:rsidRPr="00B21901" w:rsidRDefault="009260DE" w:rsidP="009260DE">
      <w:pPr>
        <w:tabs>
          <w:tab w:val="left" w:pos="851"/>
        </w:tabs>
        <w:ind w:left="851" w:hanging="851"/>
        <w:rPr>
          <w:b/>
          <w:sz w:val="24"/>
          <w:szCs w:val="24"/>
        </w:rPr>
      </w:pPr>
      <w:r w:rsidRPr="00B21901">
        <w:rPr>
          <w:b/>
          <w:sz w:val="24"/>
          <w:szCs w:val="24"/>
        </w:rPr>
        <w:t>4.7</w:t>
      </w:r>
      <w:r w:rsidRPr="00B21901">
        <w:rPr>
          <w:b/>
          <w:sz w:val="24"/>
          <w:szCs w:val="24"/>
        </w:rPr>
        <w:tab/>
        <w:t>Virkninger på evnen til at føre motorkøretøj eller betjene maskiner</w:t>
      </w:r>
    </w:p>
    <w:p w14:paraId="36FA29A7" w14:textId="77777777" w:rsidR="003A45A9" w:rsidRPr="00B21901" w:rsidRDefault="003A45A9" w:rsidP="003A45A9">
      <w:pPr>
        <w:ind w:left="851"/>
        <w:rPr>
          <w:sz w:val="24"/>
          <w:szCs w:val="24"/>
        </w:rPr>
      </w:pPr>
      <w:r w:rsidRPr="00B21901">
        <w:rPr>
          <w:sz w:val="24"/>
          <w:szCs w:val="24"/>
        </w:rPr>
        <w:t>Ikke mærkning.</w:t>
      </w:r>
    </w:p>
    <w:p w14:paraId="361CAF54" w14:textId="4E31B050" w:rsidR="003A45A9" w:rsidRPr="00B21901" w:rsidRDefault="003A45A9" w:rsidP="003A45A9">
      <w:pPr>
        <w:ind w:left="851"/>
        <w:rPr>
          <w:sz w:val="24"/>
          <w:szCs w:val="24"/>
          <w:lang w:eastAsia="da-DK"/>
        </w:rPr>
      </w:pPr>
      <w:proofErr w:type="spellStart"/>
      <w:r w:rsidRPr="00B21901">
        <w:rPr>
          <w:sz w:val="24"/>
          <w:szCs w:val="24"/>
        </w:rPr>
        <w:t>Morbus</w:t>
      </w:r>
      <w:proofErr w:type="spellEnd"/>
      <w:r w:rsidRPr="00B21901">
        <w:rPr>
          <w:sz w:val="24"/>
          <w:szCs w:val="24"/>
        </w:rPr>
        <w:t xml:space="preserve"> </w:t>
      </w:r>
      <w:proofErr w:type="spellStart"/>
      <w:r w:rsidRPr="00B21901">
        <w:rPr>
          <w:sz w:val="24"/>
          <w:szCs w:val="24"/>
        </w:rPr>
        <w:t>Menière</w:t>
      </w:r>
      <w:proofErr w:type="spellEnd"/>
      <w:r w:rsidRPr="00B21901">
        <w:rPr>
          <w:sz w:val="24"/>
          <w:szCs w:val="24"/>
        </w:rPr>
        <w:t xml:space="preserve"> kan påvirke evnen til at føre motorkøretøj eller betjene maskiner. I</w:t>
      </w:r>
      <w:r w:rsidR="00DB70E2">
        <w:rPr>
          <w:sz w:val="24"/>
          <w:szCs w:val="24"/>
        </w:rPr>
        <w:t> </w:t>
      </w:r>
      <w:r w:rsidRPr="00B21901">
        <w:rPr>
          <w:sz w:val="24"/>
          <w:szCs w:val="24"/>
        </w:rPr>
        <w:t xml:space="preserve">kliniske studier, der var specifikt udviklet til at undersøge evnen til at føre motorkøretøj og betjene maskiner, havde </w:t>
      </w:r>
      <w:proofErr w:type="spellStart"/>
      <w:r w:rsidRPr="00B21901">
        <w:rPr>
          <w:sz w:val="24"/>
          <w:szCs w:val="24"/>
        </w:rPr>
        <w:t>betahistin</w:t>
      </w:r>
      <w:proofErr w:type="spellEnd"/>
      <w:r w:rsidRPr="00B21901">
        <w:rPr>
          <w:sz w:val="24"/>
          <w:szCs w:val="24"/>
        </w:rPr>
        <w:t xml:space="preserve"> ingen eller ubetydelige virkninger. </w:t>
      </w:r>
      <w:proofErr w:type="spellStart"/>
      <w:r w:rsidRPr="00B21901">
        <w:rPr>
          <w:sz w:val="24"/>
          <w:szCs w:val="24"/>
        </w:rPr>
        <w:t>Betahistin</w:t>
      </w:r>
      <w:proofErr w:type="spellEnd"/>
      <w:r w:rsidRPr="00B21901">
        <w:rPr>
          <w:sz w:val="24"/>
          <w:szCs w:val="24"/>
        </w:rPr>
        <w:t xml:space="preserve"> kan dog forårsage døsighed, som kan påvirke evnen til at føre motorkøretøj og betjene maskiner.</w:t>
      </w:r>
    </w:p>
    <w:p w14:paraId="14441FFF" w14:textId="56EC3C73" w:rsidR="00DB70E2" w:rsidRDefault="00DB70E2">
      <w:pPr>
        <w:rPr>
          <w:sz w:val="24"/>
          <w:szCs w:val="24"/>
        </w:rPr>
      </w:pPr>
      <w:r>
        <w:rPr>
          <w:sz w:val="24"/>
          <w:szCs w:val="24"/>
        </w:rPr>
        <w:br w:type="page"/>
      </w:r>
    </w:p>
    <w:p w14:paraId="3FD7F1CD" w14:textId="77777777" w:rsidR="009260DE" w:rsidRPr="00B21901" w:rsidRDefault="009260DE" w:rsidP="009260DE">
      <w:pPr>
        <w:tabs>
          <w:tab w:val="left" w:pos="851"/>
        </w:tabs>
        <w:ind w:left="851"/>
        <w:rPr>
          <w:sz w:val="24"/>
          <w:szCs w:val="24"/>
        </w:rPr>
      </w:pPr>
    </w:p>
    <w:p w14:paraId="148C2493" w14:textId="77777777" w:rsidR="009260DE" w:rsidRPr="00B21901" w:rsidRDefault="009260DE" w:rsidP="009260DE">
      <w:pPr>
        <w:tabs>
          <w:tab w:val="left" w:pos="851"/>
        </w:tabs>
        <w:ind w:left="851" w:hanging="851"/>
        <w:rPr>
          <w:b/>
          <w:sz w:val="24"/>
          <w:szCs w:val="24"/>
        </w:rPr>
      </w:pPr>
      <w:r w:rsidRPr="00B21901">
        <w:rPr>
          <w:b/>
          <w:sz w:val="24"/>
          <w:szCs w:val="24"/>
        </w:rPr>
        <w:t>4.8</w:t>
      </w:r>
      <w:r w:rsidRPr="00B21901">
        <w:rPr>
          <w:b/>
          <w:sz w:val="24"/>
          <w:szCs w:val="24"/>
        </w:rPr>
        <w:tab/>
        <w:t>Bivirkninger</w:t>
      </w:r>
    </w:p>
    <w:p w14:paraId="5B80E573" w14:textId="663E9A80" w:rsidR="003A45A9" w:rsidRPr="00B21901" w:rsidRDefault="003A45A9" w:rsidP="003A45A9">
      <w:pPr>
        <w:ind w:left="851"/>
        <w:rPr>
          <w:sz w:val="24"/>
          <w:szCs w:val="24"/>
        </w:rPr>
      </w:pPr>
      <w:r w:rsidRPr="00B21901">
        <w:rPr>
          <w:sz w:val="24"/>
          <w:szCs w:val="24"/>
        </w:rPr>
        <w:t xml:space="preserve">Følgende bivirkninger er set med nedenfor anførte hyppigheder hos patienter behandlet med </w:t>
      </w:r>
      <w:proofErr w:type="spellStart"/>
      <w:r w:rsidRPr="00B21901">
        <w:rPr>
          <w:sz w:val="24"/>
          <w:szCs w:val="24"/>
        </w:rPr>
        <w:t>betahistindihydrochlorid</w:t>
      </w:r>
      <w:proofErr w:type="spellEnd"/>
      <w:r w:rsidRPr="00B21901">
        <w:rPr>
          <w:sz w:val="24"/>
          <w:szCs w:val="24"/>
        </w:rPr>
        <w:t xml:space="preserve"> i placebokontrollerede kliniske studier [meget almindelig (≥</w:t>
      </w:r>
      <w:r w:rsidR="00853514">
        <w:rPr>
          <w:sz w:val="24"/>
          <w:szCs w:val="24"/>
        </w:rPr>
        <w:t> </w:t>
      </w:r>
      <w:r w:rsidRPr="00B21901">
        <w:rPr>
          <w:sz w:val="24"/>
          <w:szCs w:val="24"/>
        </w:rPr>
        <w:t>1/10), almindelig (≥ 1/100 til &lt; 1/10), ikke almindelig (≥ 1/1.000 til &lt; 1/100), sjælden (≥</w:t>
      </w:r>
      <w:r w:rsidR="00853514">
        <w:rPr>
          <w:sz w:val="24"/>
          <w:szCs w:val="24"/>
        </w:rPr>
        <w:t> </w:t>
      </w:r>
      <w:r w:rsidRPr="00B21901">
        <w:rPr>
          <w:sz w:val="24"/>
          <w:szCs w:val="24"/>
        </w:rPr>
        <w:t>1/10.000 til &lt; 1/1.000), meget sjælden (&lt; 1/10.000), ikke kendt (kan ikke estimeres ud fra forhåndenværende data)].</w:t>
      </w:r>
    </w:p>
    <w:p w14:paraId="7AEF5141" w14:textId="77777777" w:rsidR="003A45A9" w:rsidRPr="00B21901" w:rsidRDefault="003A45A9" w:rsidP="003A45A9">
      <w:pPr>
        <w:ind w:left="851" w:hanging="851"/>
        <w:rPr>
          <w:sz w:val="24"/>
          <w:szCs w:val="24"/>
          <w:u w:val="single"/>
        </w:rPr>
      </w:pPr>
    </w:p>
    <w:tbl>
      <w:tblPr>
        <w:tblStyle w:val="Tabel-Gitter"/>
        <w:tblW w:w="4564" w:type="pct"/>
        <w:tblInd w:w="846" w:type="dxa"/>
        <w:tblLook w:val="04A0" w:firstRow="1" w:lastRow="0" w:firstColumn="1" w:lastColumn="0" w:noHBand="0" w:noVBand="1"/>
      </w:tblPr>
      <w:tblGrid>
        <w:gridCol w:w="2123"/>
        <w:gridCol w:w="1698"/>
        <w:gridCol w:w="4967"/>
      </w:tblGrid>
      <w:tr w:rsidR="003A45A9" w:rsidRPr="00B21901" w14:paraId="630DFE3C" w14:textId="77777777" w:rsidTr="00D92B18">
        <w:tc>
          <w:tcPr>
            <w:tcW w:w="1208" w:type="pct"/>
            <w:tcBorders>
              <w:top w:val="single" w:sz="4" w:space="0" w:color="auto"/>
              <w:left w:val="single" w:sz="4" w:space="0" w:color="auto"/>
              <w:bottom w:val="single" w:sz="4" w:space="0" w:color="auto"/>
              <w:right w:val="single" w:sz="4" w:space="0" w:color="auto"/>
            </w:tcBorders>
            <w:hideMark/>
          </w:tcPr>
          <w:p w14:paraId="4A0D1AB5" w14:textId="77777777" w:rsidR="003A45A9" w:rsidRPr="00B21901" w:rsidRDefault="003A45A9">
            <w:pPr>
              <w:rPr>
                <w:rFonts w:ascii="Times New Roman" w:hAnsi="Times New Roman" w:cs="Times New Roman"/>
                <w:b/>
                <w:sz w:val="24"/>
                <w:szCs w:val="24"/>
              </w:rPr>
            </w:pPr>
            <w:proofErr w:type="spellStart"/>
            <w:r w:rsidRPr="00B21901">
              <w:rPr>
                <w:rFonts w:ascii="Times New Roman" w:hAnsi="Times New Roman" w:cs="Times New Roman"/>
                <w:b/>
                <w:sz w:val="24"/>
                <w:szCs w:val="24"/>
              </w:rPr>
              <w:lastRenderedPageBreak/>
              <w:t>MedDRA</w:t>
            </w:r>
            <w:proofErr w:type="spellEnd"/>
            <w:r w:rsidRPr="00B21901">
              <w:rPr>
                <w:rFonts w:ascii="Times New Roman" w:hAnsi="Times New Roman" w:cs="Times New Roman"/>
                <w:b/>
                <w:sz w:val="24"/>
                <w:szCs w:val="24"/>
              </w:rPr>
              <w:t xml:space="preserve"> systemorganklasse</w:t>
            </w:r>
          </w:p>
        </w:tc>
        <w:tc>
          <w:tcPr>
            <w:tcW w:w="966" w:type="pct"/>
            <w:tcBorders>
              <w:top w:val="single" w:sz="4" w:space="0" w:color="auto"/>
              <w:left w:val="single" w:sz="4" w:space="0" w:color="auto"/>
              <w:bottom w:val="single" w:sz="4" w:space="0" w:color="auto"/>
              <w:right w:val="single" w:sz="4" w:space="0" w:color="auto"/>
            </w:tcBorders>
            <w:hideMark/>
          </w:tcPr>
          <w:p w14:paraId="73C66166" w14:textId="77777777" w:rsidR="003A45A9" w:rsidRPr="00B21901" w:rsidRDefault="003A45A9">
            <w:pPr>
              <w:rPr>
                <w:rFonts w:ascii="Times New Roman" w:hAnsi="Times New Roman" w:cs="Times New Roman"/>
                <w:b/>
                <w:sz w:val="24"/>
                <w:szCs w:val="24"/>
              </w:rPr>
            </w:pPr>
            <w:r w:rsidRPr="00B21901">
              <w:rPr>
                <w:rFonts w:ascii="Times New Roman" w:hAnsi="Times New Roman" w:cs="Times New Roman"/>
                <w:b/>
                <w:sz w:val="24"/>
                <w:szCs w:val="24"/>
              </w:rPr>
              <w:t>Hyppighed</w:t>
            </w:r>
          </w:p>
        </w:tc>
        <w:tc>
          <w:tcPr>
            <w:tcW w:w="2825" w:type="pct"/>
            <w:tcBorders>
              <w:top w:val="single" w:sz="4" w:space="0" w:color="auto"/>
              <w:left w:val="single" w:sz="4" w:space="0" w:color="auto"/>
              <w:bottom w:val="single" w:sz="4" w:space="0" w:color="auto"/>
              <w:right w:val="single" w:sz="4" w:space="0" w:color="auto"/>
            </w:tcBorders>
            <w:hideMark/>
          </w:tcPr>
          <w:p w14:paraId="1C93897B" w14:textId="77777777" w:rsidR="003A45A9" w:rsidRPr="00B21901" w:rsidRDefault="003A45A9">
            <w:pPr>
              <w:rPr>
                <w:rFonts w:ascii="Times New Roman" w:hAnsi="Times New Roman" w:cs="Times New Roman"/>
                <w:b/>
                <w:sz w:val="24"/>
                <w:szCs w:val="24"/>
              </w:rPr>
            </w:pPr>
            <w:r w:rsidRPr="00B21901">
              <w:rPr>
                <w:rFonts w:ascii="Times New Roman" w:hAnsi="Times New Roman" w:cs="Times New Roman"/>
                <w:b/>
                <w:sz w:val="24"/>
                <w:szCs w:val="24"/>
              </w:rPr>
              <w:t>Bivirkning</w:t>
            </w:r>
          </w:p>
        </w:tc>
      </w:tr>
      <w:tr w:rsidR="003A45A9" w:rsidRPr="00B21901" w14:paraId="61D2A3D2" w14:textId="77777777" w:rsidTr="00D92B18">
        <w:trPr>
          <w:trHeight w:val="403"/>
        </w:trPr>
        <w:tc>
          <w:tcPr>
            <w:tcW w:w="1208" w:type="pct"/>
            <w:tcBorders>
              <w:top w:val="single" w:sz="4" w:space="0" w:color="auto"/>
              <w:left w:val="single" w:sz="4" w:space="0" w:color="auto"/>
              <w:bottom w:val="single" w:sz="4" w:space="0" w:color="auto"/>
              <w:right w:val="single" w:sz="4" w:space="0" w:color="auto"/>
            </w:tcBorders>
            <w:hideMark/>
          </w:tcPr>
          <w:p w14:paraId="2ADF39BC"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b/>
                <w:sz w:val="24"/>
                <w:szCs w:val="24"/>
              </w:rPr>
              <w:t xml:space="preserve">Immunsystemet </w:t>
            </w:r>
          </w:p>
        </w:tc>
        <w:tc>
          <w:tcPr>
            <w:tcW w:w="966" w:type="pct"/>
            <w:tcBorders>
              <w:top w:val="single" w:sz="4" w:space="0" w:color="auto"/>
              <w:left w:val="single" w:sz="4" w:space="0" w:color="auto"/>
              <w:bottom w:val="single" w:sz="4" w:space="0" w:color="auto"/>
              <w:right w:val="single" w:sz="4" w:space="0" w:color="auto"/>
            </w:tcBorders>
            <w:hideMark/>
          </w:tcPr>
          <w:p w14:paraId="50B6B764"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Ikke kendt</w:t>
            </w:r>
          </w:p>
        </w:tc>
        <w:tc>
          <w:tcPr>
            <w:tcW w:w="2825" w:type="pct"/>
            <w:tcBorders>
              <w:top w:val="single" w:sz="4" w:space="0" w:color="auto"/>
              <w:left w:val="single" w:sz="4" w:space="0" w:color="auto"/>
              <w:bottom w:val="single" w:sz="4" w:space="0" w:color="auto"/>
              <w:right w:val="single" w:sz="4" w:space="0" w:color="auto"/>
            </w:tcBorders>
            <w:hideMark/>
          </w:tcPr>
          <w:p w14:paraId="0CA645DB" w14:textId="77777777" w:rsidR="003A45A9" w:rsidRPr="00B21901" w:rsidRDefault="003A45A9">
            <w:pPr>
              <w:pStyle w:val="Default"/>
              <w:rPr>
                <w:rFonts w:ascii="Times New Roman" w:hAnsi="Times New Roman" w:cs="Times New Roman"/>
              </w:rPr>
            </w:pPr>
            <w:r w:rsidRPr="00B21901">
              <w:rPr>
                <w:rFonts w:ascii="Times New Roman" w:hAnsi="Times New Roman" w:cs="Times New Roman"/>
              </w:rPr>
              <w:t xml:space="preserve">Overfølsomhedsreaktioner, f.eks. anafylaksi. </w:t>
            </w:r>
          </w:p>
        </w:tc>
      </w:tr>
      <w:tr w:rsidR="003A45A9" w:rsidRPr="00B21901" w14:paraId="3B24E68C" w14:textId="77777777" w:rsidTr="00D92B18">
        <w:tc>
          <w:tcPr>
            <w:tcW w:w="1208" w:type="pct"/>
            <w:tcBorders>
              <w:top w:val="single" w:sz="4" w:space="0" w:color="auto"/>
              <w:left w:val="single" w:sz="4" w:space="0" w:color="auto"/>
              <w:bottom w:val="single" w:sz="4" w:space="0" w:color="auto"/>
              <w:right w:val="single" w:sz="4" w:space="0" w:color="auto"/>
            </w:tcBorders>
          </w:tcPr>
          <w:p w14:paraId="38C5D716" w14:textId="63586622" w:rsidR="003A45A9" w:rsidRPr="00B21901" w:rsidRDefault="003A45A9" w:rsidP="00E1315B">
            <w:pPr>
              <w:rPr>
                <w:rFonts w:ascii="Times New Roman" w:hAnsi="Times New Roman" w:cs="Times New Roman"/>
                <w:sz w:val="24"/>
                <w:szCs w:val="24"/>
              </w:rPr>
            </w:pPr>
            <w:r w:rsidRPr="00B21901">
              <w:rPr>
                <w:rFonts w:ascii="Times New Roman" w:hAnsi="Times New Roman" w:cs="Times New Roman"/>
                <w:b/>
                <w:sz w:val="24"/>
                <w:szCs w:val="24"/>
              </w:rPr>
              <w:t>Nervesystemet</w:t>
            </w:r>
          </w:p>
        </w:tc>
        <w:tc>
          <w:tcPr>
            <w:tcW w:w="966" w:type="pct"/>
            <w:tcBorders>
              <w:top w:val="single" w:sz="4" w:space="0" w:color="auto"/>
              <w:left w:val="single" w:sz="4" w:space="0" w:color="auto"/>
              <w:bottom w:val="single" w:sz="4" w:space="0" w:color="auto"/>
              <w:right w:val="single" w:sz="4" w:space="0" w:color="auto"/>
            </w:tcBorders>
            <w:hideMark/>
          </w:tcPr>
          <w:p w14:paraId="18D936F2"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Almindelig</w:t>
            </w:r>
          </w:p>
          <w:p w14:paraId="601D8E1F"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br/>
              <w:t>Ikke kendt</w:t>
            </w:r>
          </w:p>
        </w:tc>
        <w:tc>
          <w:tcPr>
            <w:tcW w:w="2825" w:type="pct"/>
            <w:tcBorders>
              <w:top w:val="single" w:sz="4" w:space="0" w:color="auto"/>
              <w:left w:val="single" w:sz="4" w:space="0" w:color="auto"/>
              <w:bottom w:val="single" w:sz="4" w:space="0" w:color="auto"/>
              <w:right w:val="single" w:sz="4" w:space="0" w:color="auto"/>
            </w:tcBorders>
          </w:tcPr>
          <w:p w14:paraId="68E21B8B"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Hovedpine</w:t>
            </w:r>
          </w:p>
          <w:p w14:paraId="45478CFF" w14:textId="77777777" w:rsidR="003A45A9" w:rsidRPr="00B21901" w:rsidRDefault="003A45A9">
            <w:pPr>
              <w:rPr>
                <w:rFonts w:ascii="Times New Roman" w:hAnsi="Times New Roman" w:cs="Times New Roman"/>
                <w:sz w:val="24"/>
                <w:szCs w:val="24"/>
              </w:rPr>
            </w:pPr>
          </w:p>
          <w:p w14:paraId="64F8E2E2"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Døsighed</w:t>
            </w:r>
          </w:p>
        </w:tc>
      </w:tr>
      <w:tr w:rsidR="003A45A9" w:rsidRPr="00B21901" w14:paraId="13F79618" w14:textId="77777777" w:rsidTr="00D92B18">
        <w:tc>
          <w:tcPr>
            <w:tcW w:w="1208" w:type="pct"/>
            <w:tcBorders>
              <w:top w:val="single" w:sz="4" w:space="0" w:color="auto"/>
              <w:left w:val="single" w:sz="4" w:space="0" w:color="auto"/>
              <w:bottom w:val="single" w:sz="4" w:space="0" w:color="auto"/>
              <w:right w:val="single" w:sz="4" w:space="0" w:color="auto"/>
            </w:tcBorders>
          </w:tcPr>
          <w:p w14:paraId="2286C512" w14:textId="78A8648E" w:rsidR="003A45A9" w:rsidRPr="00B21901" w:rsidRDefault="003A45A9" w:rsidP="00E1315B">
            <w:pPr>
              <w:rPr>
                <w:rFonts w:ascii="Times New Roman" w:hAnsi="Times New Roman" w:cs="Times New Roman"/>
                <w:sz w:val="24"/>
                <w:szCs w:val="24"/>
              </w:rPr>
            </w:pPr>
            <w:r w:rsidRPr="00B21901">
              <w:rPr>
                <w:rFonts w:ascii="Times New Roman" w:hAnsi="Times New Roman" w:cs="Times New Roman"/>
                <w:b/>
                <w:sz w:val="24"/>
                <w:szCs w:val="24"/>
              </w:rPr>
              <w:t>Mave-tarm-kanalen</w:t>
            </w:r>
          </w:p>
        </w:tc>
        <w:tc>
          <w:tcPr>
            <w:tcW w:w="966" w:type="pct"/>
            <w:tcBorders>
              <w:top w:val="single" w:sz="4" w:space="0" w:color="auto"/>
              <w:left w:val="single" w:sz="4" w:space="0" w:color="auto"/>
              <w:bottom w:val="single" w:sz="4" w:space="0" w:color="auto"/>
              <w:right w:val="single" w:sz="4" w:space="0" w:color="auto"/>
            </w:tcBorders>
          </w:tcPr>
          <w:p w14:paraId="274305ED"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Almindelig</w:t>
            </w:r>
            <w:r w:rsidRPr="00B21901">
              <w:rPr>
                <w:rFonts w:ascii="Times New Roman" w:hAnsi="Times New Roman" w:cs="Times New Roman"/>
                <w:sz w:val="24"/>
                <w:szCs w:val="24"/>
              </w:rPr>
              <w:br/>
            </w:r>
            <w:r w:rsidRPr="00B21901">
              <w:rPr>
                <w:rFonts w:ascii="Times New Roman" w:hAnsi="Times New Roman" w:cs="Times New Roman"/>
                <w:sz w:val="24"/>
                <w:szCs w:val="24"/>
              </w:rPr>
              <w:br/>
              <w:t>Ikke kendt</w:t>
            </w:r>
          </w:p>
          <w:p w14:paraId="51472C63" w14:textId="77777777" w:rsidR="003A45A9" w:rsidRPr="00B21901" w:rsidRDefault="003A45A9">
            <w:pPr>
              <w:rPr>
                <w:rFonts w:ascii="Times New Roman" w:hAnsi="Times New Roman" w:cs="Times New Roman"/>
                <w:sz w:val="24"/>
                <w:szCs w:val="24"/>
              </w:rPr>
            </w:pPr>
          </w:p>
        </w:tc>
        <w:tc>
          <w:tcPr>
            <w:tcW w:w="2825" w:type="pct"/>
            <w:tcBorders>
              <w:top w:val="single" w:sz="4" w:space="0" w:color="auto"/>
              <w:left w:val="single" w:sz="4" w:space="0" w:color="auto"/>
              <w:bottom w:val="single" w:sz="4" w:space="0" w:color="auto"/>
              <w:right w:val="single" w:sz="4" w:space="0" w:color="auto"/>
            </w:tcBorders>
          </w:tcPr>
          <w:p w14:paraId="327EC342"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Kvalme, dyspepsi</w:t>
            </w:r>
          </w:p>
          <w:p w14:paraId="44158707" w14:textId="77777777" w:rsidR="003A45A9" w:rsidRPr="00B21901" w:rsidRDefault="003A45A9">
            <w:pPr>
              <w:rPr>
                <w:rFonts w:ascii="Times New Roman" w:hAnsi="Times New Roman" w:cs="Times New Roman"/>
                <w:sz w:val="24"/>
                <w:szCs w:val="24"/>
              </w:rPr>
            </w:pPr>
          </w:p>
          <w:p w14:paraId="08E9FF66"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 xml:space="preserve">Milde mavegener (f.eks. opkastning, </w:t>
            </w:r>
            <w:proofErr w:type="spellStart"/>
            <w:r w:rsidRPr="00B21901">
              <w:rPr>
                <w:rFonts w:ascii="Times New Roman" w:hAnsi="Times New Roman" w:cs="Times New Roman"/>
                <w:sz w:val="24"/>
                <w:szCs w:val="24"/>
              </w:rPr>
              <w:t>gastrointestinal</w:t>
            </w:r>
            <w:proofErr w:type="spellEnd"/>
            <w:r w:rsidRPr="00B21901">
              <w:rPr>
                <w:rFonts w:ascii="Times New Roman" w:hAnsi="Times New Roman" w:cs="Times New Roman"/>
                <w:sz w:val="24"/>
                <w:szCs w:val="24"/>
              </w:rPr>
              <w:t xml:space="preserve"> smerte, </w:t>
            </w:r>
            <w:proofErr w:type="spellStart"/>
            <w:r w:rsidRPr="00B21901">
              <w:rPr>
                <w:rFonts w:ascii="Times New Roman" w:hAnsi="Times New Roman" w:cs="Times New Roman"/>
                <w:sz w:val="24"/>
                <w:szCs w:val="24"/>
              </w:rPr>
              <w:t>abdominal</w:t>
            </w:r>
            <w:proofErr w:type="spellEnd"/>
            <w:r w:rsidRPr="00B21901">
              <w:rPr>
                <w:rFonts w:ascii="Times New Roman" w:hAnsi="Times New Roman" w:cs="Times New Roman"/>
                <w:sz w:val="24"/>
                <w:szCs w:val="24"/>
              </w:rPr>
              <w:t xml:space="preserve"> </w:t>
            </w:r>
            <w:proofErr w:type="spellStart"/>
            <w:r w:rsidRPr="00B21901">
              <w:rPr>
                <w:rFonts w:ascii="Times New Roman" w:hAnsi="Times New Roman" w:cs="Times New Roman"/>
                <w:sz w:val="24"/>
                <w:szCs w:val="24"/>
              </w:rPr>
              <w:t>distension</w:t>
            </w:r>
            <w:proofErr w:type="spellEnd"/>
            <w:r w:rsidRPr="00B21901">
              <w:rPr>
                <w:rFonts w:ascii="Times New Roman" w:hAnsi="Times New Roman" w:cs="Times New Roman"/>
                <w:sz w:val="24"/>
                <w:szCs w:val="24"/>
              </w:rPr>
              <w:t xml:space="preserve"> og oppustethed). Disse kan som regel håndteres ved at tage dosen i forbindelse med måltider eller ved at nedsætte dosen.</w:t>
            </w:r>
          </w:p>
        </w:tc>
      </w:tr>
      <w:tr w:rsidR="003A45A9" w:rsidRPr="00B21901" w14:paraId="4083443C" w14:textId="77777777" w:rsidTr="00D92B18">
        <w:trPr>
          <w:trHeight w:val="561"/>
        </w:trPr>
        <w:tc>
          <w:tcPr>
            <w:tcW w:w="1208" w:type="pct"/>
            <w:tcBorders>
              <w:top w:val="single" w:sz="4" w:space="0" w:color="auto"/>
              <w:left w:val="single" w:sz="4" w:space="0" w:color="auto"/>
              <w:bottom w:val="single" w:sz="4" w:space="0" w:color="auto"/>
              <w:right w:val="single" w:sz="4" w:space="0" w:color="auto"/>
            </w:tcBorders>
            <w:hideMark/>
          </w:tcPr>
          <w:p w14:paraId="1C45C660" w14:textId="77777777" w:rsidR="003A45A9" w:rsidRPr="00B21901" w:rsidRDefault="003A45A9">
            <w:pPr>
              <w:rPr>
                <w:rFonts w:ascii="Times New Roman" w:hAnsi="Times New Roman" w:cs="Times New Roman"/>
                <w:b/>
                <w:sz w:val="24"/>
                <w:szCs w:val="24"/>
              </w:rPr>
            </w:pPr>
            <w:r w:rsidRPr="00B21901">
              <w:rPr>
                <w:rFonts w:ascii="Times New Roman" w:hAnsi="Times New Roman" w:cs="Times New Roman"/>
                <w:b/>
                <w:sz w:val="24"/>
                <w:szCs w:val="24"/>
              </w:rPr>
              <w:t>Hud og subkutane væv</w:t>
            </w:r>
          </w:p>
        </w:tc>
        <w:tc>
          <w:tcPr>
            <w:tcW w:w="966" w:type="pct"/>
            <w:tcBorders>
              <w:top w:val="single" w:sz="4" w:space="0" w:color="auto"/>
              <w:left w:val="single" w:sz="4" w:space="0" w:color="auto"/>
              <w:bottom w:val="single" w:sz="4" w:space="0" w:color="auto"/>
              <w:right w:val="single" w:sz="4" w:space="0" w:color="auto"/>
            </w:tcBorders>
            <w:hideMark/>
          </w:tcPr>
          <w:p w14:paraId="3BD8186F" w14:textId="77777777" w:rsidR="003A45A9" w:rsidRPr="00B21901" w:rsidRDefault="003A45A9">
            <w:pPr>
              <w:rPr>
                <w:rFonts w:ascii="Times New Roman" w:hAnsi="Times New Roman" w:cs="Times New Roman"/>
                <w:sz w:val="24"/>
                <w:szCs w:val="24"/>
              </w:rPr>
            </w:pPr>
            <w:r w:rsidRPr="00B21901">
              <w:rPr>
                <w:rFonts w:ascii="Times New Roman" w:hAnsi="Times New Roman" w:cs="Times New Roman"/>
                <w:sz w:val="24"/>
                <w:szCs w:val="24"/>
              </w:rPr>
              <w:t>Ikke kendt</w:t>
            </w:r>
          </w:p>
        </w:tc>
        <w:tc>
          <w:tcPr>
            <w:tcW w:w="2825" w:type="pct"/>
            <w:tcBorders>
              <w:top w:val="single" w:sz="4" w:space="0" w:color="auto"/>
              <w:left w:val="single" w:sz="4" w:space="0" w:color="auto"/>
              <w:bottom w:val="single" w:sz="4" w:space="0" w:color="auto"/>
              <w:right w:val="single" w:sz="4" w:space="0" w:color="auto"/>
            </w:tcBorders>
            <w:hideMark/>
          </w:tcPr>
          <w:p w14:paraId="6C2E1FB5" w14:textId="77777777" w:rsidR="003A45A9" w:rsidRPr="00B21901" w:rsidRDefault="003A45A9">
            <w:pPr>
              <w:rPr>
                <w:rFonts w:ascii="Times New Roman" w:hAnsi="Times New Roman" w:cs="Times New Roman"/>
                <w:sz w:val="24"/>
                <w:szCs w:val="24"/>
              </w:rPr>
            </w:pPr>
            <w:proofErr w:type="spellStart"/>
            <w:r w:rsidRPr="00B21901">
              <w:rPr>
                <w:rFonts w:ascii="Times New Roman" w:hAnsi="Times New Roman" w:cs="Times New Roman"/>
                <w:sz w:val="24"/>
                <w:szCs w:val="24"/>
              </w:rPr>
              <w:t>Kutane</w:t>
            </w:r>
            <w:proofErr w:type="spellEnd"/>
            <w:r w:rsidRPr="00B21901">
              <w:rPr>
                <w:rFonts w:ascii="Times New Roman" w:hAnsi="Times New Roman" w:cs="Times New Roman"/>
                <w:sz w:val="24"/>
                <w:szCs w:val="24"/>
              </w:rPr>
              <w:t xml:space="preserve"> og subkutane overfølsomhedsreaktioner, især </w:t>
            </w:r>
            <w:proofErr w:type="spellStart"/>
            <w:r w:rsidRPr="00B21901">
              <w:rPr>
                <w:rFonts w:ascii="Times New Roman" w:hAnsi="Times New Roman" w:cs="Times New Roman"/>
                <w:sz w:val="24"/>
                <w:szCs w:val="24"/>
              </w:rPr>
              <w:t>angioneurotisk</w:t>
            </w:r>
            <w:proofErr w:type="spellEnd"/>
            <w:r w:rsidRPr="00B21901">
              <w:rPr>
                <w:rFonts w:ascii="Times New Roman" w:hAnsi="Times New Roman" w:cs="Times New Roman"/>
                <w:sz w:val="24"/>
                <w:szCs w:val="24"/>
              </w:rPr>
              <w:t xml:space="preserve"> ødem, </w:t>
            </w:r>
            <w:proofErr w:type="spellStart"/>
            <w:r w:rsidRPr="00B21901">
              <w:rPr>
                <w:rFonts w:ascii="Times New Roman" w:hAnsi="Times New Roman" w:cs="Times New Roman"/>
                <w:sz w:val="24"/>
                <w:szCs w:val="24"/>
              </w:rPr>
              <w:t>urticaria</w:t>
            </w:r>
            <w:proofErr w:type="spellEnd"/>
            <w:r w:rsidRPr="00B21901">
              <w:rPr>
                <w:rFonts w:ascii="Times New Roman" w:hAnsi="Times New Roman" w:cs="Times New Roman"/>
                <w:sz w:val="24"/>
                <w:szCs w:val="24"/>
              </w:rPr>
              <w:t xml:space="preserve">, udslæt og </w:t>
            </w:r>
            <w:proofErr w:type="spellStart"/>
            <w:r w:rsidRPr="00B21901">
              <w:rPr>
                <w:rFonts w:ascii="Times New Roman" w:hAnsi="Times New Roman" w:cs="Times New Roman"/>
                <w:sz w:val="24"/>
                <w:szCs w:val="24"/>
              </w:rPr>
              <w:t>pruritus</w:t>
            </w:r>
            <w:proofErr w:type="spellEnd"/>
            <w:r w:rsidRPr="00B21901">
              <w:rPr>
                <w:rFonts w:ascii="Times New Roman" w:hAnsi="Times New Roman" w:cs="Times New Roman"/>
                <w:sz w:val="24"/>
                <w:szCs w:val="24"/>
              </w:rPr>
              <w:t>.</w:t>
            </w:r>
          </w:p>
        </w:tc>
      </w:tr>
    </w:tbl>
    <w:p w14:paraId="06DD97C7" w14:textId="77777777" w:rsidR="003A45A9" w:rsidRPr="00B21901" w:rsidRDefault="003A45A9" w:rsidP="003A45A9">
      <w:pPr>
        <w:ind w:left="851" w:hanging="851"/>
        <w:rPr>
          <w:sz w:val="24"/>
          <w:szCs w:val="24"/>
          <w:lang w:bidi="da-DK"/>
        </w:rPr>
      </w:pPr>
    </w:p>
    <w:p w14:paraId="7E1468EF" w14:textId="77777777" w:rsidR="003A45A9" w:rsidRPr="00B21901" w:rsidRDefault="003A45A9" w:rsidP="003A45A9">
      <w:pPr>
        <w:autoSpaceDE w:val="0"/>
        <w:autoSpaceDN w:val="0"/>
        <w:adjustRightInd w:val="0"/>
        <w:ind w:left="851"/>
        <w:rPr>
          <w:sz w:val="24"/>
          <w:szCs w:val="24"/>
          <w:u w:val="single"/>
        </w:rPr>
      </w:pPr>
      <w:r w:rsidRPr="00B21901">
        <w:rPr>
          <w:sz w:val="24"/>
          <w:szCs w:val="24"/>
          <w:u w:val="single"/>
        </w:rPr>
        <w:t>Indberetning af formodede bivirkninger</w:t>
      </w:r>
    </w:p>
    <w:p w14:paraId="700A8924" w14:textId="77777777" w:rsidR="003A45A9" w:rsidRPr="00B21901" w:rsidRDefault="003A45A9" w:rsidP="003A45A9">
      <w:pPr>
        <w:autoSpaceDE w:val="0"/>
        <w:autoSpaceDN w:val="0"/>
        <w:adjustRightInd w:val="0"/>
        <w:ind w:left="851"/>
        <w:rPr>
          <w:sz w:val="24"/>
          <w:szCs w:val="24"/>
        </w:rPr>
      </w:pPr>
      <w:r w:rsidRPr="00B21901">
        <w:rPr>
          <w:sz w:val="24"/>
          <w:szCs w:val="24"/>
        </w:rPr>
        <w:t>Når lægemidlet er godkendt, er indberetning af formodede bivirkninger vigtig. Det muliggør løbende overvågning af benefit/</w:t>
      </w:r>
      <w:proofErr w:type="spellStart"/>
      <w:r w:rsidRPr="00B21901">
        <w:rPr>
          <w:sz w:val="24"/>
          <w:szCs w:val="24"/>
        </w:rPr>
        <w:t>risk</w:t>
      </w:r>
      <w:proofErr w:type="spellEnd"/>
      <w:r w:rsidRPr="00B21901">
        <w:rPr>
          <w:sz w:val="24"/>
          <w:szCs w:val="24"/>
        </w:rPr>
        <w:t>-forholdet for lægemidlet. Sundhedspersoner anmodes om at indberette alle formodede bivirkninger via:</w:t>
      </w:r>
    </w:p>
    <w:p w14:paraId="5F3C0EB5" w14:textId="77777777" w:rsidR="003A45A9" w:rsidRPr="00B21901" w:rsidRDefault="003A45A9" w:rsidP="003A45A9">
      <w:pPr>
        <w:autoSpaceDE w:val="0"/>
        <w:autoSpaceDN w:val="0"/>
        <w:adjustRightInd w:val="0"/>
        <w:ind w:left="851"/>
        <w:rPr>
          <w:sz w:val="24"/>
          <w:szCs w:val="24"/>
        </w:rPr>
      </w:pPr>
    </w:p>
    <w:p w14:paraId="1E0D0D7F" w14:textId="77777777" w:rsidR="003A45A9" w:rsidRPr="00B21901" w:rsidRDefault="003A45A9" w:rsidP="003A45A9">
      <w:pPr>
        <w:autoSpaceDE w:val="0"/>
        <w:autoSpaceDN w:val="0"/>
        <w:adjustRightInd w:val="0"/>
        <w:ind w:left="851"/>
        <w:rPr>
          <w:sz w:val="24"/>
          <w:szCs w:val="24"/>
        </w:rPr>
      </w:pPr>
      <w:r w:rsidRPr="00B21901">
        <w:rPr>
          <w:sz w:val="24"/>
          <w:szCs w:val="24"/>
        </w:rPr>
        <w:t>Lægemiddelstyrelsen</w:t>
      </w:r>
    </w:p>
    <w:p w14:paraId="75CB8F82" w14:textId="77777777" w:rsidR="003A45A9" w:rsidRPr="00B21901" w:rsidRDefault="003A45A9" w:rsidP="003A45A9">
      <w:pPr>
        <w:autoSpaceDE w:val="0"/>
        <w:autoSpaceDN w:val="0"/>
        <w:adjustRightInd w:val="0"/>
        <w:ind w:left="851"/>
        <w:rPr>
          <w:sz w:val="24"/>
          <w:szCs w:val="24"/>
        </w:rPr>
      </w:pPr>
      <w:r w:rsidRPr="00B21901">
        <w:rPr>
          <w:sz w:val="24"/>
          <w:szCs w:val="24"/>
        </w:rPr>
        <w:t>Axel Heides Gade 1</w:t>
      </w:r>
    </w:p>
    <w:p w14:paraId="1D4D6E48" w14:textId="77777777" w:rsidR="003A45A9" w:rsidRPr="00B21901" w:rsidRDefault="003A45A9" w:rsidP="003A45A9">
      <w:pPr>
        <w:autoSpaceDE w:val="0"/>
        <w:autoSpaceDN w:val="0"/>
        <w:adjustRightInd w:val="0"/>
        <w:ind w:left="851"/>
        <w:rPr>
          <w:sz w:val="24"/>
          <w:szCs w:val="24"/>
        </w:rPr>
      </w:pPr>
      <w:r w:rsidRPr="00B21901">
        <w:rPr>
          <w:sz w:val="24"/>
          <w:szCs w:val="24"/>
        </w:rPr>
        <w:t>DK-2300 København S</w:t>
      </w:r>
    </w:p>
    <w:p w14:paraId="3E8C83F7" w14:textId="77777777" w:rsidR="003A45A9" w:rsidRPr="00B21901" w:rsidRDefault="003A45A9" w:rsidP="003A45A9">
      <w:pPr>
        <w:autoSpaceDE w:val="0"/>
        <w:autoSpaceDN w:val="0"/>
        <w:adjustRightInd w:val="0"/>
        <w:ind w:left="851"/>
        <w:rPr>
          <w:sz w:val="24"/>
          <w:szCs w:val="24"/>
        </w:rPr>
      </w:pPr>
      <w:r w:rsidRPr="00B21901">
        <w:rPr>
          <w:sz w:val="24"/>
          <w:szCs w:val="24"/>
        </w:rPr>
        <w:t xml:space="preserve">Websted: </w:t>
      </w:r>
      <w:hyperlink r:id="rId8" w:history="1">
        <w:r w:rsidRPr="00B21901">
          <w:rPr>
            <w:rStyle w:val="Hyperlink"/>
            <w:sz w:val="24"/>
            <w:szCs w:val="24"/>
          </w:rPr>
          <w:t>www.meldenbivirkning.dk</w:t>
        </w:r>
      </w:hyperlink>
    </w:p>
    <w:p w14:paraId="137A3A1C" w14:textId="77777777" w:rsidR="009260DE" w:rsidRPr="00B21901" w:rsidRDefault="009260DE" w:rsidP="009260DE">
      <w:pPr>
        <w:pStyle w:val="Sidehoved"/>
        <w:tabs>
          <w:tab w:val="left" w:pos="851"/>
        </w:tabs>
        <w:ind w:left="851"/>
        <w:rPr>
          <w:szCs w:val="24"/>
        </w:rPr>
      </w:pPr>
    </w:p>
    <w:p w14:paraId="53140E0D" w14:textId="77777777" w:rsidR="009260DE" w:rsidRPr="00B21901" w:rsidRDefault="009260DE" w:rsidP="009260DE">
      <w:pPr>
        <w:tabs>
          <w:tab w:val="left" w:pos="851"/>
        </w:tabs>
        <w:ind w:left="851" w:hanging="851"/>
        <w:rPr>
          <w:b/>
          <w:sz w:val="24"/>
          <w:szCs w:val="24"/>
        </w:rPr>
      </w:pPr>
      <w:r w:rsidRPr="00B21901">
        <w:rPr>
          <w:b/>
          <w:sz w:val="24"/>
          <w:szCs w:val="24"/>
        </w:rPr>
        <w:t>4.9</w:t>
      </w:r>
      <w:r w:rsidRPr="00B21901">
        <w:rPr>
          <w:b/>
          <w:sz w:val="24"/>
          <w:szCs w:val="24"/>
        </w:rPr>
        <w:tab/>
        <w:t>Overdosering</w:t>
      </w:r>
    </w:p>
    <w:p w14:paraId="47A848EE" w14:textId="77777777" w:rsidR="003A45A9" w:rsidRPr="00B21901" w:rsidRDefault="003A45A9" w:rsidP="003A45A9">
      <w:pPr>
        <w:ind w:left="851"/>
        <w:rPr>
          <w:sz w:val="24"/>
          <w:szCs w:val="24"/>
          <w:lang w:eastAsia="da-DK"/>
        </w:rPr>
      </w:pPr>
      <w:r w:rsidRPr="00B21901">
        <w:rPr>
          <w:sz w:val="24"/>
          <w:szCs w:val="24"/>
        </w:rPr>
        <w:t xml:space="preserve">Der er indberettet nogle få tilfælde af overdosering. Nogle patienter oplevede milde til moderate symptomer med doser op til 640 mg (f.eks. kvalme, døsighed, mavesmerter). Der er set mere alvorlige komplikationer (f.eks. kramper og lunge- eller hjertekomplikationer) efter forsætlig overdosering af </w:t>
      </w:r>
      <w:proofErr w:type="spellStart"/>
      <w:r w:rsidRPr="00B21901">
        <w:rPr>
          <w:sz w:val="24"/>
          <w:szCs w:val="24"/>
        </w:rPr>
        <w:t>betahistin</w:t>
      </w:r>
      <w:proofErr w:type="spellEnd"/>
      <w:r w:rsidRPr="00B21901">
        <w:rPr>
          <w:sz w:val="24"/>
          <w:szCs w:val="24"/>
        </w:rPr>
        <w:t xml:space="preserve">, især i kombination med overdosering af andre stoffer. </w:t>
      </w:r>
    </w:p>
    <w:p w14:paraId="1E02BA17" w14:textId="77777777" w:rsidR="003A45A9" w:rsidRPr="00B21901" w:rsidRDefault="003A45A9" w:rsidP="003A45A9">
      <w:pPr>
        <w:ind w:left="851" w:hanging="851"/>
        <w:rPr>
          <w:sz w:val="24"/>
          <w:szCs w:val="24"/>
        </w:rPr>
      </w:pPr>
    </w:p>
    <w:p w14:paraId="69A9BFD9" w14:textId="77777777" w:rsidR="003A45A9" w:rsidRPr="00B21901" w:rsidRDefault="003A45A9" w:rsidP="003A45A9">
      <w:pPr>
        <w:ind w:left="851"/>
        <w:rPr>
          <w:sz w:val="24"/>
          <w:szCs w:val="24"/>
        </w:rPr>
      </w:pPr>
      <w:r w:rsidRPr="00B21901">
        <w:rPr>
          <w:sz w:val="24"/>
          <w:szCs w:val="24"/>
        </w:rPr>
        <w:t xml:space="preserve">I tilfælde af overdosering kan der forventes virkninger, som svarer til virkningerne af histamin, og som resulterer i følgende symptomer: hovedpine, ansigtsrødme, svimmelhed, </w:t>
      </w:r>
      <w:proofErr w:type="spellStart"/>
      <w:r w:rsidRPr="00B21901">
        <w:rPr>
          <w:sz w:val="24"/>
          <w:szCs w:val="24"/>
        </w:rPr>
        <w:t>takykardi</w:t>
      </w:r>
      <w:proofErr w:type="spellEnd"/>
      <w:r w:rsidRPr="00B21901">
        <w:rPr>
          <w:sz w:val="24"/>
          <w:szCs w:val="24"/>
        </w:rPr>
        <w:t xml:space="preserve">, hypotension, </w:t>
      </w:r>
      <w:proofErr w:type="spellStart"/>
      <w:r w:rsidRPr="00B21901">
        <w:rPr>
          <w:sz w:val="24"/>
          <w:szCs w:val="24"/>
        </w:rPr>
        <w:t>bronkospasme</w:t>
      </w:r>
      <w:proofErr w:type="spellEnd"/>
      <w:r w:rsidRPr="00B21901">
        <w:rPr>
          <w:sz w:val="24"/>
          <w:szCs w:val="24"/>
        </w:rPr>
        <w:t xml:space="preserve"> og ødemer, primær i slimhinderne i de øvre luftveje (</w:t>
      </w:r>
      <w:proofErr w:type="spellStart"/>
      <w:r w:rsidRPr="00B21901">
        <w:rPr>
          <w:sz w:val="24"/>
          <w:szCs w:val="24"/>
        </w:rPr>
        <w:t>Quinckes</w:t>
      </w:r>
      <w:proofErr w:type="spellEnd"/>
      <w:r w:rsidRPr="00B21901">
        <w:rPr>
          <w:sz w:val="24"/>
          <w:szCs w:val="24"/>
        </w:rPr>
        <w:t xml:space="preserve"> ødem). </w:t>
      </w:r>
    </w:p>
    <w:p w14:paraId="3031CA37" w14:textId="77777777" w:rsidR="003A45A9" w:rsidRPr="00B21901" w:rsidRDefault="003A45A9" w:rsidP="003A45A9">
      <w:pPr>
        <w:ind w:left="851" w:hanging="851"/>
        <w:rPr>
          <w:sz w:val="24"/>
          <w:szCs w:val="24"/>
        </w:rPr>
      </w:pPr>
    </w:p>
    <w:p w14:paraId="0127666B" w14:textId="77777777" w:rsidR="003A45A9" w:rsidRPr="00B21901" w:rsidRDefault="003A45A9" w:rsidP="003A45A9">
      <w:pPr>
        <w:ind w:left="851"/>
        <w:rPr>
          <w:sz w:val="24"/>
          <w:szCs w:val="24"/>
        </w:rPr>
      </w:pPr>
      <w:r w:rsidRPr="00B21901">
        <w:rPr>
          <w:sz w:val="24"/>
          <w:szCs w:val="24"/>
        </w:rPr>
        <w:t xml:space="preserve">Der er ingen specifik </w:t>
      </w:r>
      <w:proofErr w:type="spellStart"/>
      <w:r w:rsidRPr="00B21901">
        <w:rPr>
          <w:sz w:val="24"/>
          <w:szCs w:val="24"/>
        </w:rPr>
        <w:t>antidot</w:t>
      </w:r>
      <w:proofErr w:type="spellEnd"/>
      <w:r w:rsidRPr="00B21901">
        <w:rPr>
          <w:sz w:val="24"/>
          <w:szCs w:val="24"/>
        </w:rPr>
        <w:t xml:space="preserve">. Udover generelle foranstaltninger med henblik på elimination af toksiner (ventrikelskylning, administration af aktivt kul) er behandlingen symptomatisk. Behandling af overdosering bør omfatte almene understøttende tiltag. </w:t>
      </w:r>
    </w:p>
    <w:p w14:paraId="1D6F3985" w14:textId="77777777" w:rsidR="009260DE" w:rsidRPr="00B21901" w:rsidRDefault="009260DE" w:rsidP="009260DE">
      <w:pPr>
        <w:tabs>
          <w:tab w:val="left" w:pos="851"/>
        </w:tabs>
        <w:ind w:left="851"/>
        <w:rPr>
          <w:sz w:val="24"/>
          <w:szCs w:val="24"/>
        </w:rPr>
      </w:pPr>
    </w:p>
    <w:p w14:paraId="4EFE6E78" w14:textId="77777777" w:rsidR="009260DE" w:rsidRPr="00B21901" w:rsidRDefault="009260DE" w:rsidP="009260DE">
      <w:pPr>
        <w:tabs>
          <w:tab w:val="left" w:pos="851"/>
        </w:tabs>
        <w:ind w:left="851" w:hanging="851"/>
        <w:rPr>
          <w:b/>
          <w:sz w:val="24"/>
          <w:szCs w:val="24"/>
        </w:rPr>
      </w:pPr>
      <w:r w:rsidRPr="00B21901">
        <w:rPr>
          <w:b/>
          <w:sz w:val="24"/>
          <w:szCs w:val="24"/>
        </w:rPr>
        <w:t>4.10</w:t>
      </w:r>
      <w:r w:rsidRPr="00B21901">
        <w:rPr>
          <w:b/>
          <w:sz w:val="24"/>
          <w:szCs w:val="24"/>
        </w:rPr>
        <w:tab/>
        <w:t>Udlevering</w:t>
      </w:r>
    </w:p>
    <w:p w14:paraId="11E0D28E" w14:textId="4F341B13" w:rsidR="009260DE" w:rsidRPr="00B21901" w:rsidRDefault="003A45A9" w:rsidP="009260DE">
      <w:pPr>
        <w:tabs>
          <w:tab w:val="left" w:pos="851"/>
        </w:tabs>
        <w:ind w:left="851"/>
        <w:rPr>
          <w:sz w:val="24"/>
          <w:szCs w:val="24"/>
        </w:rPr>
      </w:pPr>
      <w:r w:rsidRPr="00B21901">
        <w:rPr>
          <w:sz w:val="24"/>
          <w:szCs w:val="24"/>
        </w:rPr>
        <w:t>B</w:t>
      </w:r>
    </w:p>
    <w:p w14:paraId="78FA46B5" w14:textId="77777777" w:rsidR="009260DE" w:rsidRPr="00B21901" w:rsidRDefault="009260DE" w:rsidP="009260DE">
      <w:pPr>
        <w:tabs>
          <w:tab w:val="left" w:pos="851"/>
        </w:tabs>
        <w:ind w:left="851"/>
        <w:rPr>
          <w:sz w:val="24"/>
          <w:szCs w:val="24"/>
        </w:rPr>
      </w:pPr>
    </w:p>
    <w:p w14:paraId="347785A4" w14:textId="77777777" w:rsidR="009260DE" w:rsidRPr="00B21901" w:rsidRDefault="009260DE" w:rsidP="009260DE">
      <w:pPr>
        <w:tabs>
          <w:tab w:val="left" w:pos="851"/>
        </w:tabs>
        <w:ind w:left="851"/>
        <w:rPr>
          <w:sz w:val="24"/>
          <w:szCs w:val="24"/>
        </w:rPr>
      </w:pPr>
    </w:p>
    <w:p w14:paraId="684EB007" w14:textId="77777777" w:rsidR="009260DE" w:rsidRPr="00B21901" w:rsidRDefault="009260DE" w:rsidP="009260DE">
      <w:pPr>
        <w:tabs>
          <w:tab w:val="left" w:pos="851"/>
        </w:tabs>
        <w:ind w:left="851" w:hanging="851"/>
        <w:rPr>
          <w:b/>
          <w:sz w:val="24"/>
          <w:szCs w:val="24"/>
        </w:rPr>
      </w:pPr>
      <w:r w:rsidRPr="00B21901">
        <w:rPr>
          <w:b/>
          <w:sz w:val="24"/>
          <w:szCs w:val="24"/>
        </w:rPr>
        <w:t>5.</w:t>
      </w:r>
      <w:r w:rsidRPr="00B21901">
        <w:rPr>
          <w:b/>
          <w:sz w:val="24"/>
          <w:szCs w:val="24"/>
        </w:rPr>
        <w:tab/>
        <w:t>FARMAKOLOGISKE EGENSKABER</w:t>
      </w:r>
    </w:p>
    <w:p w14:paraId="2DC3F960" w14:textId="77777777" w:rsidR="009260DE" w:rsidRPr="00B21901" w:rsidRDefault="009260DE" w:rsidP="009260DE">
      <w:pPr>
        <w:tabs>
          <w:tab w:val="left" w:pos="851"/>
        </w:tabs>
        <w:ind w:left="851"/>
        <w:rPr>
          <w:sz w:val="24"/>
          <w:szCs w:val="24"/>
        </w:rPr>
      </w:pPr>
    </w:p>
    <w:p w14:paraId="5242A2E1" w14:textId="77777777" w:rsidR="009260DE" w:rsidRPr="00B21901" w:rsidRDefault="009260DE" w:rsidP="009260DE">
      <w:pPr>
        <w:tabs>
          <w:tab w:val="left" w:pos="851"/>
        </w:tabs>
        <w:ind w:left="851" w:hanging="851"/>
        <w:rPr>
          <w:b/>
          <w:sz w:val="24"/>
          <w:szCs w:val="24"/>
        </w:rPr>
      </w:pPr>
      <w:r w:rsidRPr="00B21901">
        <w:rPr>
          <w:b/>
          <w:sz w:val="24"/>
          <w:szCs w:val="24"/>
        </w:rPr>
        <w:t>5.0</w:t>
      </w:r>
      <w:r w:rsidRPr="00B21901">
        <w:rPr>
          <w:b/>
          <w:sz w:val="24"/>
          <w:szCs w:val="24"/>
        </w:rPr>
        <w:tab/>
        <w:t>Terapeutisk klassifikation</w:t>
      </w:r>
    </w:p>
    <w:p w14:paraId="524C3875" w14:textId="77777777" w:rsidR="003A45A9" w:rsidRPr="00B21901" w:rsidRDefault="003A45A9" w:rsidP="003A45A9">
      <w:pPr>
        <w:ind w:left="851"/>
        <w:rPr>
          <w:sz w:val="24"/>
          <w:szCs w:val="24"/>
        </w:rPr>
      </w:pPr>
      <w:r w:rsidRPr="00B21901">
        <w:rPr>
          <w:sz w:val="24"/>
          <w:szCs w:val="24"/>
        </w:rPr>
        <w:t xml:space="preserve">ATC-kode: N 07 CA 01. Midler mod svimmelhed. </w:t>
      </w:r>
    </w:p>
    <w:p w14:paraId="21462DE9" w14:textId="77777777" w:rsidR="009260DE" w:rsidRPr="00B21901" w:rsidRDefault="009260DE" w:rsidP="009260DE">
      <w:pPr>
        <w:tabs>
          <w:tab w:val="left" w:pos="851"/>
        </w:tabs>
        <w:ind w:left="851"/>
        <w:rPr>
          <w:sz w:val="24"/>
          <w:szCs w:val="24"/>
        </w:rPr>
      </w:pPr>
    </w:p>
    <w:p w14:paraId="0D20A408" w14:textId="77777777" w:rsidR="009260DE" w:rsidRPr="00B21901" w:rsidRDefault="009260DE" w:rsidP="009260DE">
      <w:pPr>
        <w:tabs>
          <w:tab w:val="num" w:pos="851"/>
        </w:tabs>
        <w:ind w:left="851" w:hanging="851"/>
        <w:rPr>
          <w:b/>
          <w:sz w:val="24"/>
          <w:szCs w:val="24"/>
        </w:rPr>
      </w:pPr>
      <w:r w:rsidRPr="00B21901">
        <w:rPr>
          <w:b/>
          <w:sz w:val="24"/>
          <w:szCs w:val="24"/>
        </w:rPr>
        <w:t>5.1</w:t>
      </w:r>
      <w:r w:rsidRPr="00B21901">
        <w:rPr>
          <w:b/>
          <w:sz w:val="24"/>
          <w:szCs w:val="24"/>
        </w:rPr>
        <w:tab/>
      </w:r>
      <w:proofErr w:type="spellStart"/>
      <w:r w:rsidRPr="00B21901">
        <w:rPr>
          <w:b/>
          <w:sz w:val="24"/>
          <w:szCs w:val="24"/>
        </w:rPr>
        <w:t>Farmakodynamiske</w:t>
      </w:r>
      <w:proofErr w:type="spellEnd"/>
      <w:r w:rsidRPr="00B21901">
        <w:rPr>
          <w:b/>
          <w:sz w:val="24"/>
          <w:szCs w:val="24"/>
        </w:rPr>
        <w:t xml:space="preserve"> egenskaber</w:t>
      </w:r>
    </w:p>
    <w:p w14:paraId="08697B21" w14:textId="77777777" w:rsidR="003A45A9" w:rsidRPr="00B21901" w:rsidRDefault="003A45A9" w:rsidP="003A45A9">
      <w:pPr>
        <w:ind w:left="851"/>
        <w:rPr>
          <w:sz w:val="24"/>
          <w:szCs w:val="24"/>
          <w:lang w:eastAsia="da-DK"/>
        </w:rPr>
      </w:pPr>
      <w:proofErr w:type="spellStart"/>
      <w:r w:rsidRPr="00B21901">
        <w:rPr>
          <w:sz w:val="24"/>
          <w:szCs w:val="24"/>
        </w:rPr>
        <w:t>Betahistin</w:t>
      </w:r>
      <w:proofErr w:type="spellEnd"/>
      <w:r w:rsidRPr="00B21901">
        <w:rPr>
          <w:sz w:val="24"/>
          <w:szCs w:val="24"/>
        </w:rPr>
        <w:t xml:space="preserve"> er et stof, der tilhører gruppen af beta-2-pyridylalkylaminer.</w:t>
      </w:r>
    </w:p>
    <w:p w14:paraId="51A552BD" w14:textId="77777777" w:rsidR="003A45A9" w:rsidRPr="00B21901" w:rsidRDefault="003A45A9" w:rsidP="003A45A9">
      <w:pPr>
        <w:ind w:left="851" w:hanging="851"/>
        <w:rPr>
          <w:sz w:val="24"/>
          <w:szCs w:val="24"/>
        </w:rPr>
      </w:pPr>
    </w:p>
    <w:p w14:paraId="4E640DE0" w14:textId="77777777" w:rsidR="003A45A9" w:rsidRPr="00B21901" w:rsidRDefault="003A45A9" w:rsidP="003A45A9">
      <w:pPr>
        <w:ind w:left="851"/>
        <w:rPr>
          <w:sz w:val="24"/>
          <w:szCs w:val="24"/>
        </w:rPr>
      </w:pPr>
      <w:proofErr w:type="spellStart"/>
      <w:r w:rsidRPr="00B21901">
        <w:rPr>
          <w:sz w:val="24"/>
          <w:szCs w:val="24"/>
        </w:rPr>
        <w:t>Betahistins</w:t>
      </w:r>
      <w:proofErr w:type="spellEnd"/>
      <w:r w:rsidRPr="00B21901">
        <w:rPr>
          <w:sz w:val="24"/>
          <w:szCs w:val="24"/>
        </w:rPr>
        <w:t xml:space="preserve"> struktur er beslægtet med strukturen af det endogene </w:t>
      </w:r>
      <w:proofErr w:type="spellStart"/>
      <w:r w:rsidRPr="00B21901">
        <w:rPr>
          <w:sz w:val="24"/>
          <w:szCs w:val="24"/>
        </w:rPr>
        <w:t>amin</w:t>
      </w:r>
      <w:proofErr w:type="spellEnd"/>
      <w:r w:rsidRPr="00B21901">
        <w:rPr>
          <w:sz w:val="24"/>
          <w:szCs w:val="24"/>
        </w:rPr>
        <w:t xml:space="preserve"> histamin.</w:t>
      </w:r>
    </w:p>
    <w:p w14:paraId="6F7535D2" w14:textId="77777777" w:rsidR="003A45A9" w:rsidRPr="00B21901" w:rsidRDefault="003A45A9" w:rsidP="003A45A9">
      <w:pPr>
        <w:ind w:left="851" w:hanging="851"/>
        <w:rPr>
          <w:sz w:val="24"/>
          <w:szCs w:val="24"/>
        </w:rPr>
      </w:pPr>
    </w:p>
    <w:p w14:paraId="7E9EA542" w14:textId="77777777" w:rsidR="003A45A9" w:rsidRPr="00B21901" w:rsidRDefault="003A45A9" w:rsidP="003A45A9">
      <w:pPr>
        <w:ind w:left="851"/>
        <w:rPr>
          <w:sz w:val="24"/>
          <w:szCs w:val="24"/>
        </w:rPr>
      </w:pPr>
      <w:proofErr w:type="spellStart"/>
      <w:r w:rsidRPr="00B21901">
        <w:rPr>
          <w:sz w:val="24"/>
          <w:szCs w:val="24"/>
        </w:rPr>
        <w:t>Betahistins</w:t>
      </w:r>
      <w:proofErr w:type="spellEnd"/>
      <w:r w:rsidRPr="00B21901">
        <w:rPr>
          <w:sz w:val="24"/>
          <w:szCs w:val="24"/>
        </w:rPr>
        <w:t xml:space="preserve"> nøjagtige virkningsmekanisme med hensyn til dets biokemiske virkninger og dets receptorspecificitet og -affinitet er endnu ikke klarlagt.</w:t>
      </w:r>
    </w:p>
    <w:p w14:paraId="2736CB71" w14:textId="77777777" w:rsidR="003A45A9" w:rsidRPr="00B21901" w:rsidRDefault="003A45A9" w:rsidP="003A45A9">
      <w:pPr>
        <w:ind w:left="851" w:hanging="851"/>
        <w:rPr>
          <w:sz w:val="24"/>
          <w:szCs w:val="24"/>
        </w:rPr>
      </w:pPr>
    </w:p>
    <w:p w14:paraId="7C276844" w14:textId="77777777" w:rsidR="003A45A9" w:rsidRPr="00B21901" w:rsidRDefault="003A45A9" w:rsidP="003A45A9">
      <w:pPr>
        <w:ind w:left="851"/>
        <w:rPr>
          <w:sz w:val="24"/>
          <w:szCs w:val="24"/>
        </w:rPr>
      </w:pPr>
      <w:r w:rsidRPr="00B21901">
        <w:rPr>
          <w:sz w:val="24"/>
          <w:szCs w:val="24"/>
        </w:rPr>
        <w:t xml:space="preserve">I dyrestudier er der påvist forbedret cirkulation i </w:t>
      </w:r>
      <w:proofErr w:type="spellStart"/>
      <w:r w:rsidRPr="00B21901">
        <w:rPr>
          <w:sz w:val="24"/>
          <w:szCs w:val="24"/>
        </w:rPr>
        <w:t>striae</w:t>
      </w:r>
      <w:proofErr w:type="spellEnd"/>
      <w:r w:rsidRPr="00B21901">
        <w:rPr>
          <w:sz w:val="24"/>
          <w:szCs w:val="24"/>
        </w:rPr>
        <w:t xml:space="preserve"> </w:t>
      </w:r>
      <w:proofErr w:type="spellStart"/>
      <w:r w:rsidRPr="00B21901">
        <w:rPr>
          <w:sz w:val="24"/>
          <w:szCs w:val="24"/>
        </w:rPr>
        <w:t>vascularis</w:t>
      </w:r>
      <w:proofErr w:type="spellEnd"/>
      <w:r w:rsidRPr="00B21901">
        <w:rPr>
          <w:sz w:val="24"/>
          <w:szCs w:val="24"/>
        </w:rPr>
        <w:t xml:space="preserve"> i det indre øre, som sandsynligvis skyldes afslapning af de </w:t>
      </w:r>
      <w:proofErr w:type="spellStart"/>
      <w:r w:rsidRPr="00B21901">
        <w:rPr>
          <w:sz w:val="24"/>
          <w:szCs w:val="24"/>
        </w:rPr>
        <w:t>prækapillære</w:t>
      </w:r>
      <w:proofErr w:type="spellEnd"/>
      <w:r w:rsidRPr="00B21901">
        <w:rPr>
          <w:sz w:val="24"/>
          <w:szCs w:val="24"/>
        </w:rPr>
        <w:t xml:space="preserve"> </w:t>
      </w:r>
      <w:proofErr w:type="spellStart"/>
      <w:r w:rsidRPr="00B21901">
        <w:rPr>
          <w:sz w:val="24"/>
          <w:szCs w:val="24"/>
        </w:rPr>
        <w:t>sphinctere</w:t>
      </w:r>
      <w:proofErr w:type="spellEnd"/>
      <w:r w:rsidRPr="00B21901">
        <w:rPr>
          <w:sz w:val="24"/>
          <w:szCs w:val="24"/>
        </w:rPr>
        <w:t xml:space="preserve"> i det indre øres mikrocirkulation.</w:t>
      </w:r>
    </w:p>
    <w:p w14:paraId="0ED7FE14" w14:textId="77777777" w:rsidR="003A45A9" w:rsidRPr="00B21901" w:rsidRDefault="003A45A9" w:rsidP="003A45A9">
      <w:pPr>
        <w:ind w:left="851" w:hanging="851"/>
        <w:rPr>
          <w:sz w:val="24"/>
          <w:szCs w:val="24"/>
        </w:rPr>
      </w:pPr>
    </w:p>
    <w:p w14:paraId="0F3B0508" w14:textId="77777777" w:rsidR="003A45A9" w:rsidRPr="00B21901" w:rsidRDefault="003A45A9" w:rsidP="003A45A9">
      <w:pPr>
        <w:ind w:left="851"/>
        <w:rPr>
          <w:sz w:val="24"/>
          <w:szCs w:val="24"/>
        </w:rPr>
      </w:pPr>
      <w:r w:rsidRPr="00B21901">
        <w:rPr>
          <w:sz w:val="24"/>
          <w:szCs w:val="24"/>
        </w:rPr>
        <w:t xml:space="preserve">I farmakologiske studier er der påvist lette H1-agonistiske og betydelige H3-antagonistiske virkninger af </w:t>
      </w:r>
      <w:proofErr w:type="spellStart"/>
      <w:r w:rsidRPr="00B21901">
        <w:rPr>
          <w:sz w:val="24"/>
          <w:szCs w:val="24"/>
        </w:rPr>
        <w:t>betahistin</w:t>
      </w:r>
      <w:proofErr w:type="spellEnd"/>
      <w:r w:rsidRPr="00B21901">
        <w:rPr>
          <w:sz w:val="24"/>
          <w:szCs w:val="24"/>
        </w:rPr>
        <w:t xml:space="preserve"> i CNS og det autonome nervesystem. Der blev desuden påvist en dosisafhængig hæmmende virkning af </w:t>
      </w:r>
      <w:proofErr w:type="spellStart"/>
      <w:r w:rsidRPr="00B21901">
        <w:rPr>
          <w:sz w:val="24"/>
          <w:szCs w:val="24"/>
        </w:rPr>
        <w:t>betahistin</w:t>
      </w:r>
      <w:proofErr w:type="spellEnd"/>
      <w:r w:rsidRPr="00B21901">
        <w:rPr>
          <w:sz w:val="24"/>
          <w:szCs w:val="24"/>
        </w:rPr>
        <w:t xml:space="preserve"> på aktiviteten i laterale og </w:t>
      </w:r>
      <w:proofErr w:type="spellStart"/>
      <w:r w:rsidRPr="00B21901">
        <w:rPr>
          <w:sz w:val="24"/>
          <w:szCs w:val="24"/>
        </w:rPr>
        <w:t>mediale</w:t>
      </w:r>
      <w:proofErr w:type="spellEnd"/>
      <w:r w:rsidRPr="00B21901">
        <w:rPr>
          <w:sz w:val="24"/>
          <w:szCs w:val="24"/>
        </w:rPr>
        <w:t xml:space="preserve"> </w:t>
      </w:r>
      <w:proofErr w:type="spellStart"/>
      <w:r w:rsidRPr="00B21901">
        <w:rPr>
          <w:sz w:val="24"/>
          <w:szCs w:val="24"/>
        </w:rPr>
        <w:t>vestibulære</w:t>
      </w:r>
      <w:proofErr w:type="spellEnd"/>
      <w:r w:rsidRPr="00B21901">
        <w:rPr>
          <w:sz w:val="24"/>
          <w:szCs w:val="24"/>
        </w:rPr>
        <w:t xml:space="preserve"> kerner. Relevansen af disse fund i forbindelse med behandling af </w:t>
      </w:r>
      <w:proofErr w:type="spellStart"/>
      <w:r w:rsidRPr="00B21901">
        <w:rPr>
          <w:sz w:val="24"/>
          <w:szCs w:val="24"/>
        </w:rPr>
        <w:t>Menières</w:t>
      </w:r>
      <w:proofErr w:type="spellEnd"/>
      <w:r w:rsidRPr="00B21901">
        <w:rPr>
          <w:sz w:val="24"/>
          <w:szCs w:val="24"/>
        </w:rPr>
        <w:t xml:space="preserve"> symptomkompleks er fortsat uklar.</w:t>
      </w:r>
    </w:p>
    <w:p w14:paraId="41E71FF3" w14:textId="77777777" w:rsidR="009260DE" w:rsidRPr="00B21901" w:rsidRDefault="009260DE" w:rsidP="009260DE">
      <w:pPr>
        <w:tabs>
          <w:tab w:val="left" w:pos="851"/>
        </w:tabs>
        <w:ind w:left="851"/>
        <w:rPr>
          <w:sz w:val="24"/>
          <w:szCs w:val="24"/>
        </w:rPr>
      </w:pPr>
    </w:p>
    <w:p w14:paraId="5AC17488" w14:textId="77777777" w:rsidR="009260DE" w:rsidRPr="00B21901" w:rsidRDefault="009260DE" w:rsidP="009260DE">
      <w:pPr>
        <w:tabs>
          <w:tab w:val="left" w:pos="851"/>
        </w:tabs>
        <w:ind w:left="851" w:hanging="851"/>
        <w:rPr>
          <w:b/>
          <w:sz w:val="24"/>
          <w:szCs w:val="24"/>
        </w:rPr>
      </w:pPr>
      <w:r w:rsidRPr="00B21901">
        <w:rPr>
          <w:b/>
          <w:sz w:val="24"/>
          <w:szCs w:val="24"/>
        </w:rPr>
        <w:t>5.2</w:t>
      </w:r>
      <w:r w:rsidRPr="00B21901">
        <w:rPr>
          <w:b/>
          <w:sz w:val="24"/>
          <w:szCs w:val="24"/>
        </w:rPr>
        <w:tab/>
      </w:r>
      <w:proofErr w:type="spellStart"/>
      <w:r w:rsidRPr="00B21901">
        <w:rPr>
          <w:b/>
          <w:sz w:val="24"/>
          <w:szCs w:val="24"/>
        </w:rPr>
        <w:t>Farmakokinetiske</w:t>
      </w:r>
      <w:proofErr w:type="spellEnd"/>
      <w:r w:rsidRPr="00B21901">
        <w:rPr>
          <w:b/>
          <w:sz w:val="24"/>
          <w:szCs w:val="24"/>
        </w:rPr>
        <w:t xml:space="preserve"> egenskaber</w:t>
      </w:r>
    </w:p>
    <w:p w14:paraId="27F587B3" w14:textId="77777777" w:rsidR="003A45A9" w:rsidRPr="00B21901" w:rsidRDefault="003A45A9" w:rsidP="003A45A9">
      <w:pPr>
        <w:autoSpaceDE w:val="0"/>
        <w:autoSpaceDN w:val="0"/>
        <w:adjustRightInd w:val="0"/>
        <w:ind w:left="851"/>
        <w:rPr>
          <w:bCs/>
          <w:sz w:val="24"/>
          <w:szCs w:val="24"/>
          <w:lang w:eastAsia="da-DK"/>
        </w:rPr>
      </w:pPr>
      <w:r w:rsidRPr="00B21901">
        <w:rPr>
          <w:sz w:val="24"/>
          <w:szCs w:val="24"/>
        </w:rPr>
        <w:t xml:space="preserve">Oralt administreret </w:t>
      </w:r>
      <w:proofErr w:type="spellStart"/>
      <w:r w:rsidRPr="00B21901">
        <w:rPr>
          <w:sz w:val="24"/>
          <w:szCs w:val="24"/>
        </w:rPr>
        <w:t>betahistindihydrochlorid</w:t>
      </w:r>
      <w:proofErr w:type="spellEnd"/>
      <w:r w:rsidRPr="00B21901">
        <w:rPr>
          <w:sz w:val="24"/>
          <w:szCs w:val="24"/>
        </w:rPr>
        <w:t xml:space="preserve"> absorberes hurtigt og næsten fuldstændigt fra hele mave-tarm-kanalen.</w:t>
      </w:r>
    </w:p>
    <w:p w14:paraId="11639EC5" w14:textId="77777777" w:rsidR="003A45A9" w:rsidRPr="00B21901" w:rsidRDefault="003A45A9" w:rsidP="003A45A9">
      <w:pPr>
        <w:autoSpaceDE w:val="0"/>
        <w:autoSpaceDN w:val="0"/>
        <w:adjustRightInd w:val="0"/>
        <w:ind w:left="851" w:hanging="851"/>
        <w:rPr>
          <w:bCs/>
          <w:sz w:val="24"/>
          <w:szCs w:val="24"/>
        </w:rPr>
      </w:pPr>
    </w:p>
    <w:p w14:paraId="35CE9CA5" w14:textId="77777777" w:rsidR="003A45A9" w:rsidRPr="00B21901" w:rsidRDefault="003A45A9" w:rsidP="003A45A9">
      <w:pPr>
        <w:autoSpaceDE w:val="0"/>
        <w:autoSpaceDN w:val="0"/>
        <w:adjustRightInd w:val="0"/>
        <w:ind w:left="851"/>
        <w:rPr>
          <w:bCs/>
          <w:sz w:val="24"/>
          <w:szCs w:val="24"/>
        </w:rPr>
      </w:pPr>
      <w:r w:rsidRPr="00B21901">
        <w:rPr>
          <w:sz w:val="24"/>
          <w:szCs w:val="24"/>
        </w:rPr>
        <w:t xml:space="preserve">Efter absorption </w:t>
      </w:r>
      <w:proofErr w:type="spellStart"/>
      <w:r w:rsidRPr="00B21901">
        <w:rPr>
          <w:sz w:val="24"/>
          <w:szCs w:val="24"/>
        </w:rPr>
        <w:t>metaboliseres</w:t>
      </w:r>
      <w:proofErr w:type="spellEnd"/>
      <w:r w:rsidRPr="00B21901">
        <w:rPr>
          <w:sz w:val="24"/>
          <w:szCs w:val="24"/>
        </w:rPr>
        <w:t xml:space="preserve"> lægemidlet hurtigt og næsten fuldstændigt til 2-pyridyl-eddikesyre (som ikke har nogen farmakologisk virkning). Plasmakoncentrationerne af </w:t>
      </w:r>
      <w:proofErr w:type="spellStart"/>
      <w:r w:rsidRPr="00B21901">
        <w:rPr>
          <w:sz w:val="24"/>
          <w:szCs w:val="24"/>
        </w:rPr>
        <w:t>betahistindihydrochlorid</w:t>
      </w:r>
      <w:proofErr w:type="spellEnd"/>
      <w:r w:rsidRPr="00B21901">
        <w:rPr>
          <w:sz w:val="24"/>
          <w:szCs w:val="24"/>
        </w:rPr>
        <w:t xml:space="preserve"> er ekstremt lave (under kvantificeringsgrænsen på 100 </w:t>
      </w:r>
      <w:proofErr w:type="spellStart"/>
      <w:r w:rsidRPr="00B21901">
        <w:rPr>
          <w:sz w:val="24"/>
          <w:szCs w:val="24"/>
        </w:rPr>
        <w:t>pg</w:t>
      </w:r>
      <w:proofErr w:type="spellEnd"/>
      <w:r w:rsidRPr="00B21901">
        <w:rPr>
          <w:sz w:val="24"/>
          <w:szCs w:val="24"/>
        </w:rPr>
        <w:t xml:space="preserve">/ml). Derfor er alle </w:t>
      </w:r>
      <w:proofErr w:type="spellStart"/>
      <w:r w:rsidRPr="00B21901">
        <w:rPr>
          <w:sz w:val="24"/>
          <w:szCs w:val="24"/>
        </w:rPr>
        <w:t>farmakokinetiske</w:t>
      </w:r>
      <w:proofErr w:type="spellEnd"/>
      <w:r w:rsidRPr="00B21901">
        <w:rPr>
          <w:sz w:val="24"/>
          <w:szCs w:val="24"/>
        </w:rPr>
        <w:t xml:space="preserve"> analyser baseret på kvantificeringer af 2-pyridyl-eddikesyre i plasma og urin.</w:t>
      </w:r>
    </w:p>
    <w:p w14:paraId="525C3ECE" w14:textId="77777777" w:rsidR="003A45A9" w:rsidRPr="00B21901" w:rsidRDefault="003A45A9" w:rsidP="003A45A9">
      <w:pPr>
        <w:autoSpaceDE w:val="0"/>
        <w:autoSpaceDN w:val="0"/>
        <w:adjustRightInd w:val="0"/>
        <w:ind w:left="851" w:hanging="851"/>
        <w:rPr>
          <w:bCs/>
          <w:sz w:val="24"/>
          <w:szCs w:val="24"/>
        </w:rPr>
      </w:pPr>
    </w:p>
    <w:p w14:paraId="37E24F03" w14:textId="77777777" w:rsidR="003A45A9" w:rsidRPr="00B21901" w:rsidRDefault="003A45A9" w:rsidP="003A45A9">
      <w:pPr>
        <w:autoSpaceDE w:val="0"/>
        <w:autoSpaceDN w:val="0"/>
        <w:adjustRightInd w:val="0"/>
        <w:ind w:left="851"/>
        <w:rPr>
          <w:bCs/>
          <w:sz w:val="24"/>
          <w:szCs w:val="24"/>
        </w:rPr>
      </w:pPr>
      <w:r w:rsidRPr="00B21901">
        <w:rPr>
          <w:sz w:val="24"/>
          <w:szCs w:val="24"/>
        </w:rPr>
        <w:t>Den maksimale plasmakoncentration af 2-pyridyl-eddikesyre opnås i løbet af en time efter oral administration, og halveringstiden er cirka 3,5 timer. 2-pyridyl-eddikesyre udskilles i urinen.</w:t>
      </w:r>
    </w:p>
    <w:p w14:paraId="7FFDE853" w14:textId="77777777" w:rsidR="003A45A9" w:rsidRPr="00B21901" w:rsidRDefault="003A45A9" w:rsidP="003A45A9">
      <w:pPr>
        <w:autoSpaceDE w:val="0"/>
        <w:autoSpaceDN w:val="0"/>
        <w:adjustRightInd w:val="0"/>
        <w:ind w:left="851" w:hanging="851"/>
        <w:rPr>
          <w:bCs/>
          <w:sz w:val="24"/>
          <w:szCs w:val="24"/>
        </w:rPr>
      </w:pPr>
    </w:p>
    <w:p w14:paraId="4AC6A7DF" w14:textId="77777777" w:rsidR="003A45A9" w:rsidRPr="00B21901" w:rsidRDefault="003A45A9" w:rsidP="003A45A9">
      <w:pPr>
        <w:autoSpaceDE w:val="0"/>
        <w:autoSpaceDN w:val="0"/>
        <w:adjustRightInd w:val="0"/>
        <w:ind w:left="851"/>
        <w:rPr>
          <w:bCs/>
          <w:sz w:val="24"/>
          <w:szCs w:val="24"/>
        </w:rPr>
      </w:pPr>
      <w:r w:rsidRPr="00B21901">
        <w:rPr>
          <w:sz w:val="24"/>
          <w:szCs w:val="24"/>
        </w:rPr>
        <w:t xml:space="preserve">Ved brug af en dosis på 8-48 mg kan cirka 85 % af den oprindelige dosis spores i urinen Udskillelsen af moderstoffet </w:t>
      </w:r>
      <w:proofErr w:type="spellStart"/>
      <w:r w:rsidRPr="00B21901">
        <w:rPr>
          <w:sz w:val="24"/>
          <w:szCs w:val="24"/>
        </w:rPr>
        <w:t>betahistindihydrochlorid</w:t>
      </w:r>
      <w:proofErr w:type="spellEnd"/>
      <w:r w:rsidRPr="00B21901">
        <w:rPr>
          <w:sz w:val="24"/>
          <w:szCs w:val="24"/>
        </w:rPr>
        <w:t xml:space="preserve"> via nyrerne eller fæces er af ringe betydning.</w:t>
      </w:r>
    </w:p>
    <w:p w14:paraId="4222E942" w14:textId="77777777" w:rsidR="003A45A9" w:rsidRPr="00B21901" w:rsidRDefault="003A45A9" w:rsidP="003A45A9">
      <w:pPr>
        <w:autoSpaceDE w:val="0"/>
        <w:autoSpaceDN w:val="0"/>
        <w:adjustRightInd w:val="0"/>
        <w:ind w:left="851" w:hanging="851"/>
        <w:rPr>
          <w:bCs/>
          <w:sz w:val="24"/>
          <w:szCs w:val="24"/>
        </w:rPr>
      </w:pPr>
    </w:p>
    <w:p w14:paraId="505B5B3F" w14:textId="77777777" w:rsidR="003A45A9" w:rsidRPr="00B21901" w:rsidRDefault="003A45A9" w:rsidP="003A45A9">
      <w:pPr>
        <w:autoSpaceDE w:val="0"/>
        <w:autoSpaceDN w:val="0"/>
        <w:adjustRightInd w:val="0"/>
        <w:ind w:left="851"/>
        <w:rPr>
          <w:b/>
          <w:bCs/>
          <w:sz w:val="24"/>
          <w:szCs w:val="24"/>
        </w:rPr>
      </w:pPr>
      <w:r w:rsidRPr="00B21901">
        <w:rPr>
          <w:sz w:val="24"/>
          <w:szCs w:val="24"/>
        </w:rPr>
        <w:t xml:space="preserve">Genfindingshastigheden er konstant med en oral dosis på 8-48 mg, hvilket viser, at farmakokinetikken er lineær. Dette indikerer, at stofskiftevejen er mættet. </w:t>
      </w:r>
      <w:proofErr w:type="spellStart"/>
      <w:r w:rsidRPr="00B21901">
        <w:rPr>
          <w:sz w:val="24"/>
          <w:szCs w:val="24"/>
        </w:rPr>
        <w:t>C</w:t>
      </w:r>
      <w:r w:rsidRPr="00B21901">
        <w:rPr>
          <w:sz w:val="24"/>
          <w:szCs w:val="24"/>
          <w:vertAlign w:val="subscript"/>
        </w:rPr>
        <w:t>max</w:t>
      </w:r>
      <w:proofErr w:type="spellEnd"/>
      <w:r w:rsidRPr="00B21901">
        <w:rPr>
          <w:sz w:val="24"/>
          <w:szCs w:val="24"/>
        </w:rPr>
        <w:t xml:space="preserve"> er lavere efter et måltid end i faste. Der er imidlertid ingen forskelle mellem disse to situationer, hvad angår total absorption af </w:t>
      </w:r>
      <w:proofErr w:type="spellStart"/>
      <w:r w:rsidRPr="00B21901">
        <w:rPr>
          <w:sz w:val="24"/>
          <w:szCs w:val="24"/>
        </w:rPr>
        <w:t>betahistindihydrochlorid</w:t>
      </w:r>
      <w:proofErr w:type="spellEnd"/>
      <w:r w:rsidRPr="00B21901">
        <w:rPr>
          <w:sz w:val="24"/>
          <w:szCs w:val="24"/>
        </w:rPr>
        <w:t xml:space="preserve">, hvilket indikerer, at fødeindtagelse alene forsinker absorptionen af </w:t>
      </w:r>
      <w:proofErr w:type="spellStart"/>
      <w:r w:rsidRPr="00B21901">
        <w:rPr>
          <w:sz w:val="24"/>
          <w:szCs w:val="24"/>
        </w:rPr>
        <w:t>betahistindihydrochlorid</w:t>
      </w:r>
      <w:proofErr w:type="spellEnd"/>
      <w:r w:rsidRPr="00B21901">
        <w:rPr>
          <w:sz w:val="24"/>
          <w:szCs w:val="24"/>
        </w:rPr>
        <w:t>.</w:t>
      </w:r>
    </w:p>
    <w:p w14:paraId="09B4348C" w14:textId="77777777" w:rsidR="009260DE" w:rsidRPr="00B21901" w:rsidRDefault="009260DE" w:rsidP="009260DE">
      <w:pPr>
        <w:tabs>
          <w:tab w:val="left" w:pos="851"/>
        </w:tabs>
        <w:ind w:left="851"/>
        <w:rPr>
          <w:sz w:val="24"/>
          <w:szCs w:val="24"/>
        </w:rPr>
      </w:pPr>
    </w:p>
    <w:p w14:paraId="61509CE6" w14:textId="77777777" w:rsidR="009260DE" w:rsidRPr="00B21901" w:rsidRDefault="009260DE" w:rsidP="009260DE">
      <w:pPr>
        <w:tabs>
          <w:tab w:val="left" w:pos="851"/>
        </w:tabs>
        <w:ind w:left="851" w:hanging="851"/>
        <w:rPr>
          <w:b/>
          <w:sz w:val="24"/>
          <w:szCs w:val="24"/>
        </w:rPr>
      </w:pPr>
      <w:r w:rsidRPr="00B21901">
        <w:rPr>
          <w:b/>
          <w:sz w:val="24"/>
          <w:szCs w:val="24"/>
        </w:rPr>
        <w:t>5.3</w:t>
      </w:r>
      <w:r w:rsidRPr="00B21901">
        <w:rPr>
          <w:b/>
          <w:sz w:val="24"/>
          <w:szCs w:val="24"/>
        </w:rPr>
        <w:tab/>
        <w:t>Prækliniske sikkerhedsdata</w:t>
      </w:r>
    </w:p>
    <w:p w14:paraId="2CC117F1" w14:textId="77777777" w:rsidR="003A45A9" w:rsidRPr="00B21901" w:rsidRDefault="003A45A9" w:rsidP="003A45A9">
      <w:pPr>
        <w:ind w:left="851"/>
        <w:rPr>
          <w:sz w:val="24"/>
          <w:szCs w:val="24"/>
        </w:rPr>
      </w:pPr>
      <w:r w:rsidRPr="00B21901">
        <w:rPr>
          <w:sz w:val="24"/>
          <w:szCs w:val="24"/>
        </w:rPr>
        <w:t xml:space="preserve">En oral dosis </w:t>
      </w:r>
      <w:proofErr w:type="spellStart"/>
      <w:r w:rsidRPr="00B21901">
        <w:rPr>
          <w:sz w:val="24"/>
          <w:szCs w:val="24"/>
        </w:rPr>
        <w:t>betahistindihydrochlorid</w:t>
      </w:r>
      <w:proofErr w:type="spellEnd"/>
      <w:r w:rsidRPr="00B21901">
        <w:rPr>
          <w:sz w:val="24"/>
          <w:szCs w:val="24"/>
        </w:rPr>
        <w:t xml:space="preserve"> på op til 250 mg i tre måneder forårsagede ingen bivirkninger hos hunde eller rotter. Der blev observeret bivirkninger på nervesystemet hos hunde og bavianer efter intravenøse doser på 120 mg/kg og derover. Der blev observeret opkastning hos hunde og lejlighedsvis hos bavianer efter en oral dosis på 300 mg/kg og en intravenøs dosis på 120 mg/kg.</w:t>
      </w:r>
    </w:p>
    <w:p w14:paraId="06C03984" w14:textId="77777777" w:rsidR="003A45A9" w:rsidRPr="00B21901" w:rsidRDefault="003A45A9" w:rsidP="003A45A9">
      <w:pPr>
        <w:ind w:left="851" w:hanging="851"/>
        <w:rPr>
          <w:sz w:val="24"/>
          <w:szCs w:val="24"/>
        </w:rPr>
      </w:pPr>
    </w:p>
    <w:p w14:paraId="176B42F0" w14:textId="77777777" w:rsidR="003A45A9" w:rsidRPr="00B21901" w:rsidRDefault="003A45A9" w:rsidP="003A45A9">
      <w:pPr>
        <w:ind w:left="851" w:hanging="851"/>
        <w:rPr>
          <w:sz w:val="24"/>
          <w:szCs w:val="24"/>
        </w:rPr>
      </w:pPr>
      <w:r w:rsidRPr="00B21901">
        <w:rPr>
          <w:sz w:val="24"/>
          <w:szCs w:val="24"/>
        </w:rPr>
        <w:tab/>
        <w:t xml:space="preserve">Det er ikke påvist, at </w:t>
      </w:r>
      <w:proofErr w:type="spellStart"/>
      <w:r w:rsidRPr="00B21901">
        <w:rPr>
          <w:sz w:val="24"/>
          <w:szCs w:val="24"/>
        </w:rPr>
        <w:t>betahistindihydrochlorid</w:t>
      </w:r>
      <w:proofErr w:type="spellEnd"/>
      <w:r w:rsidRPr="00B21901">
        <w:rPr>
          <w:sz w:val="24"/>
          <w:szCs w:val="24"/>
        </w:rPr>
        <w:t xml:space="preserve"> har nogen mutagene virkninger.</w:t>
      </w:r>
    </w:p>
    <w:p w14:paraId="531342FB" w14:textId="77777777" w:rsidR="009260DE" w:rsidRPr="00B21901" w:rsidRDefault="009260DE" w:rsidP="009260DE">
      <w:pPr>
        <w:tabs>
          <w:tab w:val="left" w:pos="851"/>
        </w:tabs>
        <w:ind w:left="851"/>
        <w:rPr>
          <w:sz w:val="24"/>
          <w:szCs w:val="24"/>
        </w:rPr>
      </w:pPr>
    </w:p>
    <w:p w14:paraId="24FD7406" w14:textId="77777777" w:rsidR="009260DE" w:rsidRPr="00B21901" w:rsidRDefault="009260DE" w:rsidP="009260DE">
      <w:pPr>
        <w:tabs>
          <w:tab w:val="left" w:pos="851"/>
        </w:tabs>
        <w:ind w:left="851"/>
        <w:rPr>
          <w:sz w:val="24"/>
          <w:szCs w:val="24"/>
        </w:rPr>
      </w:pPr>
    </w:p>
    <w:p w14:paraId="2A58BFAE" w14:textId="77777777" w:rsidR="009260DE" w:rsidRPr="00B21901" w:rsidRDefault="009260DE" w:rsidP="009260DE">
      <w:pPr>
        <w:tabs>
          <w:tab w:val="left" w:pos="851"/>
        </w:tabs>
        <w:ind w:left="851" w:hanging="851"/>
        <w:rPr>
          <w:b/>
          <w:sz w:val="24"/>
          <w:szCs w:val="24"/>
        </w:rPr>
      </w:pPr>
      <w:r w:rsidRPr="00B21901">
        <w:rPr>
          <w:b/>
          <w:sz w:val="24"/>
          <w:szCs w:val="24"/>
        </w:rPr>
        <w:t>6.</w:t>
      </w:r>
      <w:r w:rsidRPr="00B21901">
        <w:rPr>
          <w:b/>
          <w:sz w:val="24"/>
          <w:szCs w:val="24"/>
        </w:rPr>
        <w:tab/>
        <w:t>FARMACEUTISKE OPLYSNINGER</w:t>
      </w:r>
    </w:p>
    <w:p w14:paraId="29BE4437" w14:textId="77777777" w:rsidR="009260DE" w:rsidRPr="00B21901" w:rsidRDefault="009260DE" w:rsidP="009260DE">
      <w:pPr>
        <w:tabs>
          <w:tab w:val="left" w:pos="851"/>
        </w:tabs>
        <w:ind w:left="851"/>
        <w:rPr>
          <w:sz w:val="24"/>
          <w:szCs w:val="24"/>
        </w:rPr>
      </w:pPr>
    </w:p>
    <w:p w14:paraId="034BA8D5" w14:textId="77777777" w:rsidR="009260DE" w:rsidRPr="00B21901" w:rsidRDefault="009260DE" w:rsidP="009260DE">
      <w:pPr>
        <w:tabs>
          <w:tab w:val="left" w:pos="851"/>
        </w:tabs>
        <w:ind w:left="851" w:hanging="851"/>
        <w:rPr>
          <w:b/>
          <w:sz w:val="24"/>
          <w:szCs w:val="24"/>
        </w:rPr>
      </w:pPr>
      <w:r w:rsidRPr="00B21901">
        <w:rPr>
          <w:b/>
          <w:sz w:val="24"/>
          <w:szCs w:val="24"/>
        </w:rPr>
        <w:t>6.1</w:t>
      </w:r>
      <w:r w:rsidRPr="00B21901">
        <w:rPr>
          <w:b/>
          <w:sz w:val="24"/>
          <w:szCs w:val="24"/>
        </w:rPr>
        <w:tab/>
        <w:t>Hjælpestoffer</w:t>
      </w:r>
    </w:p>
    <w:p w14:paraId="1BD1CE92" w14:textId="77777777" w:rsidR="003A45A9" w:rsidRPr="00B21901" w:rsidRDefault="003A45A9" w:rsidP="003A45A9">
      <w:pPr>
        <w:autoSpaceDE w:val="0"/>
        <w:autoSpaceDN w:val="0"/>
        <w:adjustRightInd w:val="0"/>
        <w:ind w:left="851"/>
        <w:rPr>
          <w:color w:val="000000"/>
          <w:sz w:val="24"/>
          <w:szCs w:val="24"/>
        </w:rPr>
      </w:pPr>
      <w:proofErr w:type="spellStart"/>
      <w:r w:rsidRPr="00B21901">
        <w:rPr>
          <w:color w:val="000000"/>
          <w:sz w:val="24"/>
          <w:szCs w:val="24"/>
        </w:rPr>
        <w:t>Povidon</w:t>
      </w:r>
      <w:proofErr w:type="spellEnd"/>
    </w:p>
    <w:p w14:paraId="5AEE6FFC" w14:textId="77777777" w:rsidR="003A45A9" w:rsidRPr="00B21901" w:rsidRDefault="003A45A9" w:rsidP="003A45A9">
      <w:pPr>
        <w:autoSpaceDE w:val="0"/>
        <w:autoSpaceDN w:val="0"/>
        <w:adjustRightInd w:val="0"/>
        <w:ind w:left="851"/>
        <w:rPr>
          <w:color w:val="000000"/>
          <w:sz w:val="24"/>
          <w:szCs w:val="24"/>
        </w:rPr>
      </w:pPr>
      <w:r w:rsidRPr="00B21901">
        <w:rPr>
          <w:color w:val="000000"/>
          <w:sz w:val="24"/>
          <w:szCs w:val="24"/>
        </w:rPr>
        <w:t>Cellulose, mikrokrystallinsk</w:t>
      </w:r>
    </w:p>
    <w:p w14:paraId="084AF230" w14:textId="77777777" w:rsidR="003A45A9" w:rsidRPr="00B21901" w:rsidRDefault="003A45A9" w:rsidP="003A45A9">
      <w:pPr>
        <w:autoSpaceDE w:val="0"/>
        <w:autoSpaceDN w:val="0"/>
        <w:adjustRightInd w:val="0"/>
        <w:ind w:left="851"/>
        <w:rPr>
          <w:color w:val="000000"/>
          <w:sz w:val="24"/>
          <w:szCs w:val="24"/>
          <w:lang w:val="en-US"/>
        </w:rPr>
      </w:pPr>
      <w:proofErr w:type="spellStart"/>
      <w:r w:rsidRPr="00B21901">
        <w:rPr>
          <w:color w:val="000000"/>
          <w:sz w:val="24"/>
          <w:szCs w:val="24"/>
          <w:lang w:val="en-US"/>
        </w:rPr>
        <w:t>Lactosemonohydra</w:t>
      </w:r>
      <w:proofErr w:type="spellEnd"/>
    </w:p>
    <w:p w14:paraId="3E39D489" w14:textId="77777777" w:rsidR="003A45A9" w:rsidRPr="00B21901" w:rsidRDefault="003A45A9" w:rsidP="003A45A9">
      <w:pPr>
        <w:autoSpaceDE w:val="0"/>
        <w:autoSpaceDN w:val="0"/>
        <w:adjustRightInd w:val="0"/>
        <w:ind w:left="851"/>
        <w:rPr>
          <w:color w:val="000000"/>
          <w:sz w:val="24"/>
          <w:szCs w:val="24"/>
          <w:lang w:val="en-US"/>
        </w:rPr>
      </w:pPr>
      <w:r w:rsidRPr="00B21901">
        <w:rPr>
          <w:color w:val="000000"/>
          <w:sz w:val="24"/>
          <w:szCs w:val="24"/>
          <w:lang w:val="en-US"/>
        </w:rPr>
        <w:t xml:space="preserve">Silica, </w:t>
      </w:r>
      <w:proofErr w:type="spellStart"/>
      <w:r w:rsidRPr="00B21901">
        <w:rPr>
          <w:color w:val="000000"/>
          <w:sz w:val="24"/>
          <w:szCs w:val="24"/>
          <w:lang w:val="en-US"/>
        </w:rPr>
        <w:t>kolloid</w:t>
      </w:r>
      <w:proofErr w:type="spellEnd"/>
      <w:r w:rsidRPr="00B21901">
        <w:rPr>
          <w:color w:val="000000"/>
          <w:sz w:val="24"/>
          <w:szCs w:val="24"/>
          <w:lang w:val="en-US"/>
        </w:rPr>
        <w:t xml:space="preserve"> </w:t>
      </w:r>
      <w:proofErr w:type="spellStart"/>
      <w:r w:rsidRPr="00B21901">
        <w:rPr>
          <w:color w:val="000000"/>
          <w:sz w:val="24"/>
          <w:szCs w:val="24"/>
          <w:lang w:val="en-US"/>
        </w:rPr>
        <w:t>vandfri</w:t>
      </w:r>
      <w:proofErr w:type="spellEnd"/>
    </w:p>
    <w:p w14:paraId="4B9B4EFB" w14:textId="77777777" w:rsidR="003A45A9" w:rsidRPr="00B21901" w:rsidRDefault="003A45A9" w:rsidP="003A45A9">
      <w:pPr>
        <w:autoSpaceDE w:val="0"/>
        <w:autoSpaceDN w:val="0"/>
        <w:adjustRightInd w:val="0"/>
        <w:ind w:left="851"/>
        <w:rPr>
          <w:color w:val="000000"/>
          <w:sz w:val="24"/>
          <w:szCs w:val="24"/>
          <w:lang w:val="en-US"/>
        </w:rPr>
      </w:pPr>
      <w:proofErr w:type="spellStart"/>
      <w:r w:rsidRPr="00B21901">
        <w:rPr>
          <w:color w:val="000000"/>
          <w:sz w:val="24"/>
          <w:szCs w:val="24"/>
          <w:lang w:val="en-US"/>
        </w:rPr>
        <w:t>Crospovidon</w:t>
      </w:r>
      <w:proofErr w:type="spellEnd"/>
      <w:r w:rsidRPr="00B21901">
        <w:rPr>
          <w:color w:val="000000"/>
          <w:sz w:val="24"/>
          <w:szCs w:val="24"/>
          <w:lang w:val="en-US"/>
        </w:rPr>
        <w:t xml:space="preserve"> (type A)</w:t>
      </w:r>
    </w:p>
    <w:p w14:paraId="2031CA67" w14:textId="77777777" w:rsidR="003A45A9" w:rsidRPr="00B21901" w:rsidRDefault="003A45A9" w:rsidP="003A45A9">
      <w:pPr>
        <w:autoSpaceDE w:val="0"/>
        <w:autoSpaceDN w:val="0"/>
        <w:adjustRightInd w:val="0"/>
        <w:ind w:left="851"/>
        <w:rPr>
          <w:sz w:val="24"/>
          <w:szCs w:val="24"/>
        </w:rPr>
      </w:pPr>
      <w:r w:rsidRPr="00B21901">
        <w:rPr>
          <w:color w:val="000000"/>
          <w:sz w:val="24"/>
          <w:szCs w:val="24"/>
        </w:rPr>
        <w:t>Stearinsyre</w:t>
      </w:r>
    </w:p>
    <w:p w14:paraId="630C73D1" w14:textId="77777777" w:rsidR="009260DE" w:rsidRPr="00B21901" w:rsidRDefault="009260DE" w:rsidP="009260DE">
      <w:pPr>
        <w:tabs>
          <w:tab w:val="left" w:pos="851"/>
        </w:tabs>
        <w:ind w:left="851"/>
        <w:rPr>
          <w:sz w:val="24"/>
          <w:szCs w:val="24"/>
        </w:rPr>
      </w:pPr>
    </w:p>
    <w:p w14:paraId="6FC40F00" w14:textId="77777777" w:rsidR="009260DE" w:rsidRPr="00B21901" w:rsidRDefault="009260DE" w:rsidP="009260DE">
      <w:pPr>
        <w:tabs>
          <w:tab w:val="left" w:pos="851"/>
        </w:tabs>
        <w:ind w:left="851" w:hanging="851"/>
        <w:rPr>
          <w:b/>
          <w:sz w:val="24"/>
          <w:szCs w:val="24"/>
        </w:rPr>
      </w:pPr>
      <w:r w:rsidRPr="00B21901">
        <w:rPr>
          <w:b/>
          <w:sz w:val="24"/>
          <w:szCs w:val="24"/>
        </w:rPr>
        <w:t>6.2</w:t>
      </w:r>
      <w:r w:rsidRPr="00B21901">
        <w:rPr>
          <w:b/>
          <w:sz w:val="24"/>
          <w:szCs w:val="24"/>
        </w:rPr>
        <w:tab/>
        <w:t>Uforligeligheder</w:t>
      </w:r>
    </w:p>
    <w:p w14:paraId="7AE00BF6" w14:textId="77777777" w:rsidR="003A45A9" w:rsidRPr="00B21901" w:rsidRDefault="003A45A9" w:rsidP="003A45A9">
      <w:pPr>
        <w:autoSpaceDE w:val="0"/>
        <w:autoSpaceDN w:val="0"/>
        <w:adjustRightInd w:val="0"/>
        <w:ind w:left="851"/>
        <w:rPr>
          <w:sz w:val="24"/>
          <w:szCs w:val="24"/>
          <w:lang w:eastAsia="da-DK"/>
        </w:rPr>
      </w:pPr>
      <w:r w:rsidRPr="00B21901">
        <w:rPr>
          <w:sz w:val="24"/>
          <w:szCs w:val="24"/>
        </w:rPr>
        <w:t>Ikke relevant.</w:t>
      </w:r>
    </w:p>
    <w:p w14:paraId="0D0CEC6F" w14:textId="77777777" w:rsidR="009260DE" w:rsidRPr="00B21901" w:rsidRDefault="009260DE" w:rsidP="009260DE">
      <w:pPr>
        <w:tabs>
          <w:tab w:val="left" w:pos="851"/>
        </w:tabs>
        <w:ind w:left="851"/>
        <w:rPr>
          <w:sz w:val="24"/>
          <w:szCs w:val="24"/>
        </w:rPr>
      </w:pPr>
    </w:p>
    <w:p w14:paraId="43D72402" w14:textId="77777777" w:rsidR="009260DE" w:rsidRPr="00B21901" w:rsidRDefault="009260DE" w:rsidP="009260DE">
      <w:pPr>
        <w:tabs>
          <w:tab w:val="left" w:pos="851"/>
        </w:tabs>
        <w:ind w:left="851" w:hanging="851"/>
        <w:rPr>
          <w:b/>
          <w:sz w:val="24"/>
          <w:szCs w:val="24"/>
        </w:rPr>
      </w:pPr>
      <w:r w:rsidRPr="00B21901">
        <w:rPr>
          <w:b/>
          <w:sz w:val="24"/>
          <w:szCs w:val="24"/>
        </w:rPr>
        <w:t>6.3</w:t>
      </w:r>
      <w:r w:rsidRPr="00B21901">
        <w:rPr>
          <w:b/>
          <w:sz w:val="24"/>
          <w:szCs w:val="24"/>
        </w:rPr>
        <w:tab/>
        <w:t>Opbevaringstid</w:t>
      </w:r>
    </w:p>
    <w:p w14:paraId="2C9B28B3" w14:textId="77777777" w:rsidR="003A45A9" w:rsidRPr="00B21901" w:rsidRDefault="009260DE" w:rsidP="003A45A9">
      <w:pPr>
        <w:autoSpaceDE w:val="0"/>
        <w:autoSpaceDN w:val="0"/>
        <w:adjustRightInd w:val="0"/>
        <w:ind w:left="851" w:hanging="851"/>
        <w:rPr>
          <w:sz w:val="24"/>
          <w:szCs w:val="24"/>
        </w:rPr>
      </w:pPr>
      <w:r w:rsidRPr="00B21901">
        <w:rPr>
          <w:sz w:val="24"/>
          <w:szCs w:val="24"/>
        </w:rPr>
        <w:tab/>
      </w:r>
      <w:r w:rsidR="003A45A9" w:rsidRPr="00B21901">
        <w:rPr>
          <w:sz w:val="24"/>
          <w:szCs w:val="24"/>
        </w:rPr>
        <w:t>3 år.</w:t>
      </w:r>
    </w:p>
    <w:p w14:paraId="579F6343" w14:textId="77777777" w:rsidR="009260DE" w:rsidRPr="00B21901" w:rsidRDefault="009260DE" w:rsidP="009260DE">
      <w:pPr>
        <w:tabs>
          <w:tab w:val="left" w:pos="851"/>
        </w:tabs>
        <w:ind w:left="851"/>
        <w:rPr>
          <w:sz w:val="24"/>
          <w:szCs w:val="24"/>
        </w:rPr>
      </w:pPr>
    </w:p>
    <w:p w14:paraId="18AFDDE1" w14:textId="77777777" w:rsidR="009260DE" w:rsidRPr="00B21901" w:rsidRDefault="009260DE" w:rsidP="009260DE">
      <w:pPr>
        <w:tabs>
          <w:tab w:val="left" w:pos="851"/>
        </w:tabs>
        <w:ind w:left="851" w:hanging="851"/>
        <w:rPr>
          <w:b/>
          <w:sz w:val="24"/>
          <w:szCs w:val="24"/>
        </w:rPr>
      </w:pPr>
      <w:r w:rsidRPr="00B21901">
        <w:rPr>
          <w:b/>
          <w:sz w:val="24"/>
          <w:szCs w:val="24"/>
        </w:rPr>
        <w:t>6.4</w:t>
      </w:r>
      <w:r w:rsidRPr="00B21901">
        <w:rPr>
          <w:b/>
          <w:sz w:val="24"/>
          <w:szCs w:val="24"/>
        </w:rPr>
        <w:tab/>
        <w:t>Særlige opbevaringsforhold</w:t>
      </w:r>
    </w:p>
    <w:p w14:paraId="07548950" w14:textId="77777777" w:rsidR="003A45A9" w:rsidRPr="00B21901" w:rsidRDefault="003A45A9" w:rsidP="003A45A9">
      <w:pPr>
        <w:autoSpaceDE w:val="0"/>
        <w:autoSpaceDN w:val="0"/>
        <w:adjustRightInd w:val="0"/>
        <w:ind w:left="1702" w:hanging="851"/>
        <w:rPr>
          <w:sz w:val="24"/>
          <w:szCs w:val="24"/>
        </w:rPr>
      </w:pPr>
      <w:r w:rsidRPr="00B21901">
        <w:rPr>
          <w:sz w:val="24"/>
          <w:szCs w:val="24"/>
        </w:rPr>
        <w:t>Opbevares ved temperaturer under 25 °C.</w:t>
      </w:r>
    </w:p>
    <w:p w14:paraId="7BF17E0D" w14:textId="77777777" w:rsidR="009260DE" w:rsidRPr="00B21901" w:rsidRDefault="009260DE" w:rsidP="009260DE">
      <w:pPr>
        <w:tabs>
          <w:tab w:val="left" w:pos="851"/>
        </w:tabs>
        <w:ind w:left="851"/>
        <w:rPr>
          <w:sz w:val="24"/>
          <w:szCs w:val="24"/>
        </w:rPr>
      </w:pPr>
    </w:p>
    <w:p w14:paraId="7A7DBACC" w14:textId="77777777" w:rsidR="009260DE" w:rsidRPr="00B21901" w:rsidRDefault="009260DE" w:rsidP="009260DE">
      <w:pPr>
        <w:tabs>
          <w:tab w:val="left" w:pos="851"/>
        </w:tabs>
        <w:ind w:left="851" w:hanging="851"/>
        <w:rPr>
          <w:b/>
          <w:sz w:val="24"/>
          <w:szCs w:val="24"/>
        </w:rPr>
      </w:pPr>
      <w:r w:rsidRPr="00B21901">
        <w:rPr>
          <w:b/>
          <w:sz w:val="24"/>
          <w:szCs w:val="24"/>
        </w:rPr>
        <w:t>6.5</w:t>
      </w:r>
      <w:r w:rsidRPr="00B21901">
        <w:rPr>
          <w:b/>
          <w:sz w:val="24"/>
          <w:szCs w:val="24"/>
        </w:rPr>
        <w:tab/>
        <w:t>Emballagetyper og pakningsstørrelser</w:t>
      </w:r>
    </w:p>
    <w:p w14:paraId="7EECA751" w14:textId="77777777" w:rsidR="003A45A9" w:rsidRPr="00B21901" w:rsidRDefault="003A45A9" w:rsidP="003A45A9">
      <w:pPr>
        <w:autoSpaceDE w:val="0"/>
        <w:autoSpaceDN w:val="0"/>
        <w:adjustRightInd w:val="0"/>
        <w:ind w:left="851"/>
        <w:rPr>
          <w:sz w:val="24"/>
          <w:szCs w:val="24"/>
          <w:lang w:eastAsia="da-DK"/>
        </w:rPr>
      </w:pPr>
      <w:r w:rsidRPr="00B21901">
        <w:rPr>
          <w:sz w:val="24"/>
          <w:szCs w:val="24"/>
        </w:rPr>
        <w:t>Blisterpakninger af PVC/</w:t>
      </w:r>
      <w:proofErr w:type="spellStart"/>
      <w:r w:rsidRPr="00B21901">
        <w:rPr>
          <w:sz w:val="24"/>
          <w:szCs w:val="24"/>
        </w:rPr>
        <w:t>PVdC</w:t>
      </w:r>
      <w:proofErr w:type="spellEnd"/>
      <w:r w:rsidRPr="00B21901">
        <w:rPr>
          <w:sz w:val="24"/>
          <w:szCs w:val="24"/>
        </w:rPr>
        <w:t xml:space="preserve">-aluminiumsfolie. </w:t>
      </w:r>
    </w:p>
    <w:p w14:paraId="36A96C57" w14:textId="77777777" w:rsidR="00E1315B" w:rsidRPr="00B21901" w:rsidRDefault="00E1315B" w:rsidP="003A45A9">
      <w:pPr>
        <w:pStyle w:val="Default"/>
        <w:ind w:left="851"/>
        <w:rPr>
          <w:color w:val="auto"/>
          <w:u w:val="single"/>
        </w:rPr>
      </w:pPr>
    </w:p>
    <w:p w14:paraId="25569676" w14:textId="6F269830" w:rsidR="003A45A9" w:rsidRPr="00B21901" w:rsidRDefault="003A45A9" w:rsidP="003A45A9">
      <w:pPr>
        <w:pStyle w:val="Default"/>
        <w:ind w:left="851"/>
        <w:rPr>
          <w:color w:val="auto"/>
        </w:rPr>
      </w:pPr>
      <w:r w:rsidRPr="00B21901">
        <w:rPr>
          <w:color w:val="auto"/>
          <w:u w:val="single"/>
        </w:rPr>
        <w:t>8 mg</w:t>
      </w:r>
      <w:r w:rsidRPr="00B21901">
        <w:rPr>
          <w:color w:val="auto"/>
        </w:rPr>
        <w:t xml:space="preserve"> </w:t>
      </w:r>
    </w:p>
    <w:p w14:paraId="25150055" w14:textId="77777777" w:rsidR="003A45A9" w:rsidRPr="00B21901" w:rsidRDefault="003A45A9" w:rsidP="003A45A9">
      <w:pPr>
        <w:pStyle w:val="Default"/>
        <w:ind w:left="851"/>
        <w:rPr>
          <w:color w:val="auto"/>
        </w:rPr>
      </w:pPr>
      <w:r w:rsidRPr="00B21901">
        <w:rPr>
          <w:color w:val="auto"/>
        </w:rPr>
        <w:t>Pakningsstørrelser: 30, 50,100 og 120 tabletter.</w:t>
      </w:r>
    </w:p>
    <w:p w14:paraId="31BA8CC1" w14:textId="77777777" w:rsidR="003A45A9" w:rsidRPr="00B21901" w:rsidRDefault="003A45A9" w:rsidP="003A45A9">
      <w:pPr>
        <w:pStyle w:val="Default"/>
        <w:ind w:left="851"/>
        <w:rPr>
          <w:color w:val="auto"/>
        </w:rPr>
      </w:pPr>
    </w:p>
    <w:p w14:paraId="5CB693B7" w14:textId="77777777" w:rsidR="003A45A9" w:rsidRPr="00B21901" w:rsidRDefault="003A45A9" w:rsidP="003A45A9">
      <w:pPr>
        <w:pStyle w:val="Default"/>
        <w:ind w:left="851"/>
        <w:rPr>
          <w:color w:val="auto"/>
        </w:rPr>
      </w:pPr>
      <w:r w:rsidRPr="00B21901">
        <w:rPr>
          <w:color w:val="auto"/>
          <w:u w:val="single"/>
        </w:rPr>
        <w:t>16 mg</w:t>
      </w:r>
    </w:p>
    <w:p w14:paraId="3794423A" w14:textId="77777777" w:rsidR="003A45A9" w:rsidRPr="00B21901" w:rsidRDefault="003A45A9" w:rsidP="003A45A9">
      <w:pPr>
        <w:pStyle w:val="Default"/>
        <w:ind w:left="851"/>
        <w:rPr>
          <w:color w:val="auto"/>
        </w:rPr>
      </w:pPr>
      <w:r w:rsidRPr="00B21901">
        <w:rPr>
          <w:color w:val="auto"/>
        </w:rPr>
        <w:t>Pakningsstørrelser: 20, 30, 42, 50, 60, 84 og 100 tabletter.</w:t>
      </w:r>
    </w:p>
    <w:p w14:paraId="4DBD7ED7" w14:textId="77777777" w:rsidR="003A45A9" w:rsidRPr="00B21901" w:rsidRDefault="003A45A9" w:rsidP="003A45A9">
      <w:pPr>
        <w:pStyle w:val="Default"/>
        <w:ind w:left="851" w:hanging="851"/>
        <w:rPr>
          <w:color w:val="auto"/>
        </w:rPr>
      </w:pPr>
    </w:p>
    <w:p w14:paraId="79B7DACA" w14:textId="77777777" w:rsidR="003A45A9" w:rsidRPr="00B21901" w:rsidRDefault="003A45A9" w:rsidP="003A45A9">
      <w:pPr>
        <w:autoSpaceDE w:val="0"/>
        <w:autoSpaceDN w:val="0"/>
        <w:adjustRightInd w:val="0"/>
        <w:ind w:left="851"/>
        <w:rPr>
          <w:sz w:val="24"/>
          <w:szCs w:val="24"/>
        </w:rPr>
      </w:pPr>
      <w:r w:rsidRPr="00B21901">
        <w:rPr>
          <w:sz w:val="24"/>
          <w:szCs w:val="24"/>
        </w:rPr>
        <w:t>Ikke alle pakningsstørrelser er nødvendigvis markedsført.</w:t>
      </w:r>
    </w:p>
    <w:p w14:paraId="32C50F4C" w14:textId="77777777" w:rsidR="009260DE" w:rsidRPr="00B21901" w:rsidRDefault="009260DE" w:rsidP="009260DE">
      <w:pPr>
        <w:tabs>
          <w:tab w:val="left" w:pos="851"/>
        </w:tabs>
        <w:ind w:left="851"/>
        <w:rPr>
          <w:sz w:val="24"/>
          <w:szCs w:val="24"/>
        </w:rPr>
      </w:pPr>
    </w:p>
    <w:p w14:paraId="4CE8B52B" w14:textId="77777777" w:rsidR="009260DE" w:rsidRPr="00B21901" w:rsidRDefault="009260DE" w:rsidP="009260DE">
      <w:pPr>
        <w:tabs>
          <w:tab w:val="left" w:pos="851"/>
        </w:tabs>
        <w:ind w:left="851" w:hanging="851"/>
        <w:rPr>
          <w:b/>
          <w:sz w:val="24"/>
          <w:szCs w:val="24"/>
        </w:rPr>
      </w:pPr>
      <w:r w:rsidRPr="00B21901">
        <w:rPr>
          <w:b/>
          <w:sz w:val="24"/>
          <w:szCs w:val="24"/>
        </w:rPr>
        <w:t>6.6</w:t>
      </w:r>
      <w:r w:rsidRPr="00B21901">
        <w:rPr>
          <w:b/>
          <w:sz w:val="24"/>
          <w:szCs w:val="24"/>
        </w:rPr>
        <w:tab/>
        <w:t>Regler for destruktion og anden håndtering</w:t>
      </w:r>
    </w:p>
    <w:p w14:paraId="0802DB47" w14:textId="77777777" w:rsidR="003A45A9" w:rsidRPr="00B21901" w:rsidRDefault="003A45A9" w:rsidP="003A45A9">
      <w:pPr>
        <w:autoSpaceDE w:val="0"/>
        <w:autoSpaceDN w:val="0"/>
        <w:adjustRightInd w:val="0"/>
        <w:ind w:left="851"/>
        <w:rPr>
          <w:sz w:val="24"/>
          <w:szCs w:val="24"/>
          <w:lang w:eastAsia="da-DK"/>
        </w:rPr>
      </w:pPr>
      <w:r w:rsidRPr="00B21901">
        <w:rPr>
          <w:sz w:val="24"/>
          <w:szCs w:val="24"/>
        </w:rPr>
        <w:t>Ingen særlige forholdsregler.</w:t>
      </w:r>
    </w:p>
    <w:p w14:paraId="70A2ECC9" w14:textId="77777777" w:rsidR="003A45A9" w:rsidRPr="00B21901" w:rsidRDefault="003A45A9" w:rsidP="003A45A9">
      <w:pPr>
        <w:tabs>
          <w:tab w:val="left" w:pos="851"/>
        </w:tabs>
        <w:ind w:left="851" w:hanging="851"/>
        <w:rPr>
          <w:sz w:val="24"/>
          <w:szCs w:val="24"/>
        </w:rPr>
      </w:pPr>
    </w:p>
    <w:p w14:paraId="3562CB7D" w14:textId="77777777" w:rsidR="003A45A9" w:rsidRPr="00B21901" w:rsidRDefault="003A45A9" w:rsidP="003A45A9">
      <w:pPr>
        <w:autoSpaceDE w:val="0"/>
        <w:autoSpaceDN w:val="0"/>
        <w:adjustRightInd w:val="0"/>
        <w:ind w:left="851"/>
        <w:rPr>
          <w:sz w:val="24"/>
          <w:szCs w:val="24"/>
        </w:rPr>
      </w:pPr>
      <w:r w:rsidRPr="00B21901">
        <w:rPr>
          <w:sz w:val="24"/>
          <w:szCs w:val="24"/>
        </w:rPr>
        <w:t>Ikke anvendt lægemiddel samt affald heraf skal bortskaffes i henhold til lokale retningslinjer</w:t>
      </w:r>
    </w:p>
    <w:p w14:paraId="0AED0D48" w14:textId="77777777" w:rsidR="009260DE" w:rsidRPr="00B21901" w:rsidRDefault="009260DE" w:rsidP="009260DE">
      <w:pPr>
        <w:tabs>
          <w:tab w:val="left" w:pos="851"/>
        </w:tabs>
        <w:ind w:left="851"/>
        <w:jc w:val="both"/>
        <w:rPr>
          <w:sz w:val="24"/>
          <w:szCs w:val="24"/>
        </w:rPr>
      </w:pPr>
    </w:p>
    <w:p w14:paraId="4323429F" w14:textId="77777777" w:rsidR="009260DE" w:rsidRPr="00B21901" w:rsidRDefault="009260DE" w:rsidP="009260DE">
      <w:pPr>
        <w:tabs>
          <w:tab w:val="left" w:pos="851"/>
        </w:tabs>
        <w:ind w:left="851" w:hanging="851"/>
        <w:rPr>
          <w:b/>
          <w:sz w:val="24"/>
          <w:szCs w:val="24"/>
        </w:rPr>
      </w:pPr>
      <w:r w:rsidRPr="00B21901">
        <w:rPr>
          <w:b/>
          <w:sz w:val="24"/>
          <w:szCs w:val="24"/>
        </w:rPr>
        <w:t>7.</w:t>
      </w:r>
      <w:r w:rsidRPr="00B21901">
        <w:rPr>
          <w:b/>
          <w:sz w:val="24"/>
          <w:szCs w:val="24"/>
        </w:rPr>
        <w:tab/>
        <w:t>INDEHAVER AF MARKEDSFØRINGSTILLADELSEN</w:t>
      </w:r>
    </w:p>
    <w:p w14:paraId="7A880D01" w14:textId="77777777" w:rsidR="00421AFF" w:rsidRPr="00B55E19" w:rsidRDefault="00421AFF" w:rsidP="00421AFF">
      <w:pPr>
        <w:autoSpaceDE w:val="0"/>
        <w:autoSpaceDN w:val="0"/>
        <w:adjustRightInd w:val="0"/>
        <w:ind w:left="851"/>
        <w:rPr>
          <w:sz w:val="24"/>
          <w:szCs w:val="24"/>
          <w:lang w:val="en-US"/>
        </w:rPr>
      </w:pPr>
      <w:r w:rsidRPr="00B55E19">
        <w:rPr>
          <w:sz w:val="24"/>
          <w:szCs w:val="24"/>
          <w:lang w:val="en-US"/>
        </w:rPr>
        <w:t>Sandoz A/S</w:t>
      </w:r>
      <w:r w:rsidRPr="00B55E19">
        <w:rPr>
          <w:sz w:val="24"/>
          <w:szCs w:val="24"/>
          <w:lang w:val="en-US"/>
        </w:rPr>
        <w:br/>
        <w:t xml:space="preserve">Edvard </w:t>
      </w:r>
      <w:proofErr w:type="spellStart"/>
      <w:r w:rsidRPr="00B55E19">
        <w:rPr>
          <w:sz w:val="24"/>
          <w:szCs w:val="24"/>
          <w:lang w:val="en-US"/>
        </w:rPr>
        <w:t>Thomsens</w:t>
      </w:r>
      <w:proofErr w:type="spellEnd"/>
      <w:r w:rsidRPr="00B55E19">
        <w:rPr>
          <w:sz w:val="24"/>
          <w:szCs w:val="24"/>
          <w:lang w:val="en-US"/>
        </w:rPr>
        <w:t xml:space="preserve"> </w:t>
      </w:r>
      <w:proofErr w:type="spellStart"/>
      <w:r w:rsidRPr="00B55E19">
        <w:rPr>
          <w:sz w:val="24"/>
          <w:szCs w:val="24"/>
          <w:lang w:val="en-US"/>
        </w:rPr>
        <w:t>Vej</w:t>
      </w:r>
      <w:proofErr w:type="spellEnd"/>
      <w:r w:rsidRPr="00B55E19">
        <w:rPr>
          <w:sz w:val="24"/>
          <w:szCs w:val="24"/>
          <w:lang w:val="en-US"/>
        </w:rPr>
        <w:t xml:space="preserve"> 14</w:t>
      </w:r>
    </w:p>
    <w:p w14:paraId="5067E20A" w14:textId="77777777" w:rsidR="00421AFF" w:rsidRPr="00B21901" w:rsidRDefault="00421AFF" w:rsidP="00421AFF">
      <w:pPr>
        <w:autoSpaceDE w:val="0"/>
        <w:autoSpaceDN w:val="0"/>
        <w:adjustRightInd w:val="0"/>
        <w:ind w:left="851"/>
        <w:rPr>
          <w:sz w:val="24"/>
          <w:szCs w:val="24"/>
        </w:rPr>
      </w:pPr>
      <w:r w:rsidRPr="00B21901">
        <w:rPr>
          <w:sz w:val="24"/>
          <w:szCs w:val="24"/>
        </w:rPr>
        <w:t>2300 København S</w:t>
      </w:r>
    </w:p>
    <w:p w14:paraId="64B03A93" w14:textId="77777777" w:rsidR="009260DE" w:rsidRPr="00B21901" w:rsidRDefault="009260DE" w:rsidP="009260DE">
      <w:pPr>
        <w:tabs>
          <w:tab w:val="left" w:pos="851"/>
        </w:tabs>
        <w:ind w:left="851"/>
        <w:rPr>
          <w:sz w:val="24"/>
          <w:szCs w:val="24"/>
        </w:rPr>
      </w:pPr>
    </w:p>
    <w:p w14:paraId="57C3FD35" w14:textId="77777777" w:rsidR="009260DE" w:rsidRPr="00B21901" w:rsidRDefault="009260DE" w:rsidP="009260DE">
      <w:pPr>
        <w:tabs>
          <w:tab w:val="left" w:pos="851"/>
        </w:tabs>
        <w:ind w:left="851" w:hanging="851"/>
        <w:rPr>
          <w:b/>
          <w:sz w:val="24"/>
          <w:szCs w:val="24"/>
        </w:rPr>
      </w:pPr>
      <w:r w:rsidRPr="00B21901">
        <w:rPr>
          <w:b/>
          <w:sz w:val="24"/>
          <w:szCs w:val="24"/>
        </w:rPr>
        <w:t>8.</w:t>
      </w:r>
      <w:r w:rsidRPr="00B21901">
        <w:rPr>
          <w:b/>
          <w:sz w:val="24"/>
          <w:szCs w:val="24"/>
        </w:rPr>
        <w:tab/>
        <w:t>MARKEDSFØRINGSTILLADELSESNUMMER (NUMRE)</w:t>
      </w:r>
    </w:p>
    <w:p w14:paraId="7BEF5222" w14:textId="0769CA1F" w:rsidR="00421AFF" w:rsidRPr="00B21901" w:rsidRDefault="003B7B4F" w:rsidP="00421AFF">
      <w:pPr>
        <w:tabs>
          <w:tab w:val="left" w:pos="851"/>
          <w:tab w:val="left" w:pos="1843"/>
        </w:tabs>
        <w:ind w:left="851" w:hanging="851"/>
        <w:rPr>
          <w:sz w:val="24"/>
          <w:szCs w:val="24"/>
        </w:rPr>
      </w:pPr>
      <w:r w:rsidRPr="00B21901">
        <w:rPr>
          <w:sz w:val="24"/>
          <w:szCs w:val="24"/>
        </w:rPr>
        <w:tab/>
      </w:r>
      <w:r w:rsidR="00421AFF" w:rsidRPr="00B21901">
        <w:rPr>
          <w:sz w:val="24"/>
          <w:szCs w:val="24"/>
        </w:rPr>
        <w:t>8 mg:</w:t>
      </w:r>
      <w:r w:rsidR="00421AFF" w:rsidRPr="00B21901">
        <w:rPr>
          <w:sz w:val="24"/>
          <w:szCs w:val="24"/>
        </w:rPr>
        <w:tab/>
      </w:r>
      <w:r w:rsidR="00773048" w:rsidRPr="00B21901">
        <w:rPr>
          <w:sz w:val="24"/>
          <w:szCs w:val="24"/>
        </w:rPr>
        <w:t>63847</w:t>
      </w:r>
    </w:p>
    <w:p w14:paraId="272EDEBC" w14:textId="24B2221A" w:rsidR="00421AFF" w:rsidRPr="00B21901" w:rsidRDefault="00421AFF" w:rsidP="00421AFF">
      <w:pPr>
        <w:tabs>
          <w:tab w:val="left" w:pos="851"/>
          <w:tab w:val="left" w:pos="1843"/>
        </w:tabs>
        <w:ind w:left="851" w:hanging="851"/>
        <w:rPr>
          <w:sz w:val="24"/>
          <w:szCs w:val="24"/>
        </w:rPr>
      </w:pPr>
      <w:r w:rsidRPr="00B21901">
        <w:rPr>
          <w:sz w:val="24"/>
          <w:szCs w:val="24"/>
        </w:rPr>
        <w:tab/>
        <w:t>16 mg:</w:t>
      </w:r>
      <w:r w:rsidR="00773048" w:rsidRPr="00B21901">
        <w:rPr>
          <w:sz w:val="24"/>
          <w:szCs w:val="24"/>
        </w:rPr>
        <w:t xml:space="preserve"> </w:t>
      </w:r>
      <w:r w:rsidR="003B7B4F" w:rsidRPr="00B21901">
        <w:rPr>
          <w:sz w:val="24"/>
          <w:szCs w:val="24"/>
        </w:rPr>
        <w:tab/>
      </w:r>
      <w:r w:rsidR="00773048" w:rsidRPr="00B21901">
        <w:rPr>
          <w:sz w:val="24"/>
          <w:szCs w:val="24"/>
        </w:rPr>
        <w:t>63848</w:t>
      </w:r>
    </w:p>
    <w:p w14:paraId="651A5203" w14:textId="77777777" w:rsidR="009260DE" w:rsidRPr="00B21901" w:rsidRDefault="009260DE" w:rsidP="009260DE">
      <w:pPr>
        <w:tabs>
          <w:tab w:val="left" w:pos="851"/>
        </w:tabs>
        <w:ind w:left="851"/>
        <w:jc w:val="both"/>
        <w:rPr>
          <w:sz w:val="24"/>
          <w:szCs w:val="24"/>
        </w:rPr>
      </w:pPr>
    </w:p>
    <w:p w14:paraId="3DC916C8" w14:textId="77777777" w:rsidR="009260DE" w:rsidRPr="00B21901" w:rsidRDefault="009260DE" w:rsidP="009260DE">
      <w:pPr>
        <w:tabs>
          <w:tab w:val="left" w:pos="851"/>
        </w:tabs>
        <w:ind w:left="851" w:hanging="851"/>
        <w:rPr>
          <w:b/>
          <w:sz w:val="24"/>
          <w:szCs w:val="24"/>
        </w:rPr>
      </w:pPr>
      <w:r w:rsidRPr="00B21901">
        <w:rPr>
          <w:b/>
          <w:sz w:val="24"/>
          <w:szCs w:val="24"/>
        </w:rPr>
        <w:t>9.</w:t>
      </w:r>
      <w:r w:rsidRPr="00B21901">
        <w:rPr>
          <w:b/>
          <w:sz w:val="24"/>
          <w:szCs w:val="24"/>
        </w:rPr>
        <w:tab/>
        <w:t>DATO FOR FØRSTE MARKEDSFØRINGSTILLADELSE</w:t>
      </w:r>
    </w:p>
    <w:p w14:paraId="667BBA64" w14:textId="2C9AD607" w:rsidR="009260DE" w:rsidRPr="00B21901" w:rsidRDefault="00055104" w:rsidP="009260DE">
      <w:pPr>
        <w:tabs>
          <w:tab w:val="left" w:pos="851"/>
        </w:tabs>
        <w:ind w:left="851"/>
        <w:rPr>
          <w:sz w:val="24"/>
          <w:szCs w:val="24"/>
        </w:rPr>
      </w:pPr>
      <w:r>
        <w:rPr>
          <w:sz w:val="24"/>
          <w:szCs w:val="24"/>
        </w:rPr>
        <w:t>12. marts 2021</w:t>
      </w:r>
    </w:p>
    <w:p w14:paraId="5B7CA03B" w14:textId="77777777" w:rsidR="009260DE" w:rsidRPr="00B21901" w:rsidRDefault="009260DE" w:rsidP="009260DE">
      <w:pPr>
        <w:tabs>
          <w:tab w:val="left" w:pos="851"/>
        </w:tabs>
        <w:ind w:left="851"/>
        <w:rPr>
          <w:sz w:val="24"/>
          <w:szCs w:val="24"/>
        </w:rPr>
      </w:pPr>
    </w:p>
    <w:p w14:paraId="2C95FDD8" w14:textId="77777777" w:rsidR="009260DE" w:rsidRPr="00B21901" w:rsidRDefault="009260DE" w:rsidP="009260DE">
      <w:pPr>
        <w:tabs>
          <w:tab w:val="left" w:pos="851"/>
        </w:tabs>
        <w:ind w:left="851" w:hanging="851"/>
        <w:rPr>
          <w:b/>
          <w:sz w:val="24"/>
          <w:szCs w:val="24"/>
        </w:rPr>
      </w:pPr>
      <w:r w:rsidRPr="00B21901">
        <w:rPr>
          <w:b/>
          <w:sz w:val="24"/>
          <w:szCs w:val="24"/>
        </w:rPr>
        <w:t>10.</w:t>
      </w:r>
      <w:r w:rsidRPr="00B21901">
        <w:rPr>
          <w:b/>
          <w:sz w:val="24"/>
          <w:szCs w:val="24"/>
        </w:rPr>
        <w:tab/>
        <w:t>DATO FOR ÆNDRING AF TEKSTEN</w:t>
      </w:r>
    </w:p>
    <w:p w14:paraId="11381A45" w14:textId="70825F06" w:rsidR="009260DE" w:rsidRPr="00B21901" w:rsidRDefault="004D47E9" w:rsidP="009260DE">
      <w:pPr>
        <w:tabs>
          <w:tab w:val="left" w:pos="851"/>
        </w:tabs>
        <w:ind w:left="851"/>
        <w:rPr>
          <w:sz w:val="24"/>
          <w:szCs w:val="24"/>
        </w:rPr>
      </w:pPr>
      <w:r>
        <w:rPr>
          <w:sz w:val="24"/>
          <w:szCs w:val="24"/>
        </w:rPr>
        <w:lastRenderedPageBreak/>
        <w:t>8. november 2021</w:t>
      </w:r>
    </w:p>
    <w:sectPr w:rsidR="009260DE" w:rsidRPr="00B219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1AFB9" w14:textId="77777777" w:rsidR="006E75B6" w:rsidRDefault="006E75B6">
      <w:r>
        <w:separator/>
      </w:r>
    </w:p>
  </w:endnote>
  <w:endnote w:type="continuationSeparator" w:id="0">
    <w:p w14:paraId="7378016D" w14:textId="77777777" w:rsidR="006E75B6" w:rsidRDefault="006E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26A3" w14:textId="77777777" w:rsidR="000259B9" w:rsidRDefault="000259B9">
    <w:pPr>
      <w:pStyle w:val="Sidefod"/>
      <w:pBdr>
        <w:bottom w:val="single" w:sz="6" w:space="1" w:color="auto"/>
      </w:pBdr>
    </w:pPr>
  </w:p>
  <w:p w14:paraId="08F32278" w14:textId="77777777" w:rsidR="000259B9" w:rsidRDefault="000259B9" w:rsidP="00C42586">
    <w:pPr>
      <w:pStyle w:val="Sidefod"/>
      <w:tabs>
        <w:tab w:val="clear" w:pos="4819"/>
        <w:tab w:val="left" w:pos="8505"/>
      </w:tabs>
      <w:rPr>
        <w:i/>
        <w:sz w:val="18"/>
        <w:szCs w:val="18"/>
      </w:rPr>
    </w:pPr>
  </w:p>
  <w:p w14:paraId="727E149B" w14:textId="3638E3B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53514">
      <w:rPr>
        <w:i/>
        <w:noProof/>
        <w:sz w:val="18"/>
        <w:szCs w:val="18"/>
      </w:rPr>
      <w:t xml:space="preserve">Betahistine </w:t>
    </w:r>
    <w:r w:rsidR="007150D0">
      <w:rPr>
        <w:i/>
        <w:noProof/>
        <w:sz w:val="18"/>
        <w:szCs w:val="18"/>
      </w:rPr>
      <w:t>Sandoz</w:t>
    </w:r>
    <w:r w:rsidR="00853514">
      <w:rPr>
        <w:i/>
        <w:noProof/>
        <w:sz w:val="18"/>
        <w:szCs w:val="18"/>
      </w:rPr>
      <w:t>, tabletter 8 mg og 16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94E50" w14:textId="77777777" w:rsidR="006E75B6" w:rsidRDefault="006E75B6">
      <w:r>
        <w:separator/>
      </w:r>
    </w:p>
  </w:footnote>
  <w:footnote w:type="continuationSeparator" w:id="0">
    <w:p w14:paraId="57BA8591" w14:textId="77777777" w:rsidR="006E75B6" w:rsidRDefault="006E7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8F19BD"/>
    <w:multiLevelType w:val="hybridMultilevel"/>
    <w:tmpl w:val="2D3CD1F8"/>
    <w:lvl w:ilvl="0" w:tplc="18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920E7B"/>
    <w:multiLevelType w:val="hybridMultilevel"/>
    <w:tmpl w:val="1FFA192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B6"/>
    <w:rsid w:val="000259B9"/>
    <w:rsid w:val="00041491"/>
    <w:rsid w:val="00050D16"/>
    <w:rsid w:val="00055104"/>
    <w:rsid w:val="00074F2A"/>
    <w:rsid w:val="000A1CA8"/>
    <w:rsid w:val="000A466B"/>
    <w:rsid w:val="000B058C"/>
    <w:rsid w:val="000E4EE6"/>
    <w:rsid w:val="001454E2"/>
    <w:rsid w:val="0019308A"/>
    <w:rsid w:val="001C428D"/>
    <w:rsid w:val="00206CE8"/>
    <w:rsid w:val="0021526C"/>
    <w:rsid w:val="00283A2B"/>
    <w:rsid w:val="002B30AD"/>
    <w:rsid w:val="002C2C01"/>
    <w:rsid w:val="003A29AE"/>
    <w:rsid w:val="003A32D7"/>
    <w:rsid w:val="003A45A9"/>
    <w:rsid w:val="003B4074"/>
    <w:rsid w:val="003B7B4F"/>
    <w:rsid w:val="003C769A"/>
    <w:rsid w:val="003F1838"/>
    <w:rsid w:val="00421AFF"/>
    <w:rsid w:val="0045746C"/>
    <w:rsid w:val="0049104B"/>
    <w:rsid w:val="004D47E9"/>
    <w:rsid w:val="004E3B12"/>
    <w:rsid w:val="00532310"/>
    <w:rsid w:val="00543C18"/>
    <w:rsid w:val="00565F0F"/>
    <w:rsid w:val="00594A86"/>
    <w:rsid w:val="00596D86"/>
    <w:rsid w:val="005B2FB7"/>
    <w:rsid w:val="00637F5A"/>
    <w:rsid w:val="006560B1"/>
    <w:rsid w:val="00664AE1"/>
    <w:rsid w:val="006756DD"/>
    <w:rsid w:val="006E75B6"/>
    <w:rsid w:val="007150D0"/>
    <w:rsid w:val="00737275"/>
    <w:rsid w:val="00740EEC"/>
    <w:rsid w:val="00773048"/>
    <w:rsid w:val="0078011A"/>
    <w:rsid w:val="00782AF4"/>
    <w:rsid w:val="00790EE7"/>
    <w:rsid w:val="007B6649"/>
    <w:rsid w:val="0082576E"/>
    <w:rsid w:val="00853514"/>
    <w:rsid w:val="00907F75"/>
    <w:rsid w:val="009260DE"/>
    <w:rsid w:val="0093258A"/>
    <w:rsid w:val="00987513"/>
    <w:rsid w:val="009C7BA3"/>
    <w:rsid w:val="009D1F5A"/>
    <w:rsid w:val="00B003BF"/>
    <w:rsid w:val="00B21901"/>
    <w:rsid w:val="00B373D7"/>
    <w:rsid w:val="00B55E19"/>
    <w:rsid w:val="00C36276"/>
    <w:rsid w:val="00C42586"/>
    <w:rsid w:val="00C60CCD"/>
    <w:rsid w:val="00C84483"/>
    <w:rsid w:val="00C95551"/>
    <w:rsid w:val="00CB20D7"/>
    <w:rsid w:val="00D020B0"/>
    <w:rsid w:val="00D11748"/>
    <w:rsid w:val="00D366CF"/>
    <w:rsid w:val="00D92B18"/>
    <w:rsid w:val="00DB70E2"/>
    <w:rsid w:val="00E108AA"/>
    <w:rsid w:val="00E1315B"/>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8338"/>
  <w15:chartTrackingRefBased/>
  <w15:docId w15:val="{C25330F8-80D8-458A-AA0F-E3C6D9D0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A45A9"/>
    <w:pPr>
      <w:spacing w:after="160" w:line="252" w:lineRule="auto"/>
      <w:ind w:left="720"/>
      <w:contextualSpacing/>
    </w:pPr>
    <w:rPr>
      <w:rFonts w:asciiTheme="minorHAnsi" w:eastAsiaTheme="minorHAnsi" w:hAnsiTheme="minorHAnsi" w:cstheme="minorBidi"/>
      <w:sz w:val="22"/>
      <w:szCs w:val="22"/>
      <w:lang w:eastAsia="da-DK" w:bidi="da-DK"/>
    </w:rPr>
  </w:style>
  <w:style w:type="character" w:styleId="Hyperlink">
    <w:name w:val="Hyperlink"/>
    <w:basedOn w:val="Standardskrifttypeiafsnit"/>
    <w:uiPriority w:val="99"/>
    <w:semiHidden/>
    <w:unhideWhenUsed/>
    <w:rsid w:val="003A45A9"/>
    <w:rPr>
      <w:color w:val="0563C1" w:themeColor="hyperlink"/>
      <w:u w:val="single"/>
    </w:rPr>
  </w:style>
  <w:style w:type="paragraph" w:customStyle="1" w:styleId="Default">
    <w:name w:val="Default"/>
    <w:rsid w:val="003A45A9"/>
    <w:pPr>
      <w:autoSpaceDE w:val="0"/>
      <w:autoSpaceDN w:val="0"/>
      <w:adjustRightInd w:val="0"/>
    </w:pPr>
    <w:rPr>
      <w:rFonts w:eastAsiaTheme="minorHAnsi"/>
      <w:color w:val="000000"/>
      <w:sz w:val="24"/>
      <w:szCs w:val="24"/>
      <w:lang w:bidi="da-DK"/>
    </w:rPr>
  </w:style>
  <w:style w:type="table" w:styleId="Tabel-Gitter">
    <w:name w:val="Table Grid"/>
    <w:basedOn w:val="Tabel-Normal"/>
    <w:uiPriority w:val="39"/>
    <w:rsid w:val="003A45A9"/>
    <w:rPr>
      <w:rFonts w:asciiTheme="minorHAnsi" w:eastAsiaTheme="minorHAnsi" w:hAnsiTheme="minorHAnsi" w:cstheme="minorBidi"/>
      <w:sz w:val="22"/>
      <w:szCs w:val="22"/>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671507">
      <w:bodyDiv w:val="1"/>
      <w:marLeft w:val="0"/>
      <w:marRight w:val="0"/>
      <w:marTop w:val="0"/>
      <w:marBottom w:val="0"/>
      <w:divBdr>
        <w:top w:val="none" w:sz="0" w:space="0" w:color="auto"/>
        <w:left w:val="none" w:sz="0" w:space="0" w:color="auto"/>
        <w:bottom w:val="none" w:sz="0" w:space="0" w:color="auto"/>
        <w:right w:val="none" w:sz="0" w:space="0" w:color="auto"/>
      </w:divBdr>
    </w:div>
    <w:div w:id="443352783">
      <w:bodyDiv w:val="1"/>
      <w:marLeft w:val="0"/>
      <w:marRight w:val="0"/>
      <w:marTop w:val="0"/>
      <w:marBottom w:val="0"/>
      <w:divBdr>
        <w:top w:val="none" w:sz="0" w:space="0" w:color="auto"/>
        <w:left w:val="none" w:sz="0" w:space="0" w:color="auto"/>
        <w:bottom w:val="none" w:sz="0" w:space="0" w:color="auto"/>
        <w:right w:val="none" w:sz="0" w:space="0" w:color="auto"/>
      </w:divBdr>
    </w:div>
    <w:div w:id="591474331">
      <w:bodyDiv w:val="1"/>
      <w:marLeft w:val="0"/>
      <w:marRight w:val="0"/>
      <w:marTop w:val="0"/>
      <w:marBottom w:val="0"/>
      <w:divBdr>
        <w:top w:val="none" w:sz="0" w:space="0" w:color="auto"/>
        <w:left w:val="none" w:sz="0" w:space="0" w:color="auto"/>
        <w:bottom w:val="none" w:sz="0" w:space="0" w:color="auto"/>
        <w:right w:val="none" w:sz="0" w:space="0" w:color="auto"/>
      </w:divBdr>
    </w:div>
    <w:div w:id="715857956">
      <w:bodyDiv w:val="1"/>
      <w:marLeft w:val="0"/>
      <w:marRight w:val="0"/>
      <w:marTop w:val="0"/>
      <w:marBottom w:val="0"/>
      <w:divBdr>
        <w:top w:val="none" w:sz="0" w:space="0" w:color="auto"/>
        <w:left w:val="none" w:sz="0" w:space="0" w:color="auto"/>
        <w:bottom w:val="none" w:sz="0" w:space="0" w:color="auto"/>
        <w:right w:val="none" w:sz="0" w:space="0" w:color="auto"/>
      </w:divBdr>
    </w:div>
    <w:div w:id="812678488">
      <w:bodyDiv w:val="1"/>
      <w:marLeft w:val="0"/>
      <w:marRight w:val="0"/>
      <w:marTop w:val="0"/>
      <w:marBottom w:val="0"/>
      <w:divBdr>
        <w:top w:val="none" w:sz="0" w:space="0" w:color="auto"/>
        <w:left w:val="none" w:sz="0" w:space="0" w:color="auto"/>
        <w:bottom w:val="none" w:sz="0" w:space="0" w:color="auto"/>
        <w:right w:val="none" w:sz="0" w:space="0" w:color="auto"/>
      </w:divBdr>
    </w:div>
    <w:div w:id="867790944">
      <w:bodyDiv w:val="1"/>
      <w:marLeft w:val="0"/>
      <w:marRight w:val="0"/>
      <w:marTop w:val="0"/>
      <w:marBottom w:val="0"/>
      <w:divBdr>
        <w:top w:val="none" w:sz="0" w:space="0" w:color="auto"/>
        <w:left w:val="none" w:sz="0" w:space="0" w:color="auto"/>
        <w:bottom w:val="none" w:sz="0" w:space="0" w:color="auto"/>
        <w:right w:val="none" w:sz="0" w:space="0" w:color="auto"/>
      </w:divBdr>
    </w:div>
    <w:div w:id="1041053323">
      <w:bodyDiv w:val="1"/>
      <w:marLeft w:val="0"/>
      <w:marRight w:val="0"/>
      <w:marTop w:val="0"/>
      <w:marBottom w:val="0"/>
      <w:divBdr>
        <w:top w:val="none" w:sz="0" w:space="0" w:color="auto"/>
        <w:left w:val="none" w:sz="0" w:space="0" w:color="auto"/>
        <w:bottom w:val="none" w:sz="0" w:space="0" w:color="auto"/>
        <w:right w:val="none" w:sz="0" w:space="0" w:color="auto"/>
      </w:divBdr>
    </w:div>
    <w:div w:id="1042632536">
      <w:bodyDiv w:val="1"/>
      <w:marLeft w:val="0"/>
      <w:marRight w:val="0"/>
      <w:marTop w:val="0"/>
      <w:marBottom w:val="0"/>
      <w:divBdr>
        <w:top w:val="none" w:sz="0" w:space="0" w:color="auto"/>
        <w:left w:val="none" w:sz="0" w:space="0" w:color="auto"/>
        <w:bottom w:val="none" w:sz="0" w:space="0" w:color="auto"/>
        <w:right w:val="none" w:sz="0" w:space="0" w:color="auto"/>
      </w:divBdr>
    </w:div>
    <w:div w:id="1044133920">
      <w:bodyDiv w:val="1"/>
      <w:marLeft w:val="0"/>
      <w:marRight w:val="0"/>
      <w:marTop w:val="0"/>
      <w:marBottom w:val="0"/>
      <w:divBdr>
        <w:top w:val="none" w:sz="0" w:space="0" w:color="auto"/>
        <w:left w:val="none" w:sz="0" w:space="0" w:color="auto"/>
        <w:bottom w:val="none" w:sz="0" w:space="0" w:color="auto"/>
        <w:right w:val="none" w:sz="0" w:space="0" w:color="auto"/>
      </w:divBdr>
    </w:div>
    <w:div w:id="1045445853">
      <w:bodyDiv w:val="1"/>
      <w:marLeft w:val="0"/>
      <w:marRight w:val="0"/>
      <w:marTop w:val="0"/>
      <w:marBottom w:val="0"/>
      <w:divBdr>
        <w:top w:val="none" w:sz="0" w:space="0" w:color="auto"/>
        <w:left w:val="none" w:sz="0" w:space="0" w:color="auto"/>
        <w:bottom w:val="none" w:sz="0" w:space="0" w:color="auto"/>
        <w:right w:val="none" w:sz="0" w:space="0" w:color="auto"/>
      </w:divBdr>
    </w:div>
    <w:div w:id="1086611985">
      <w:bodyDiv w:val="1"/>
      <w:marLeft w:val="0"/>
      <w:marRight w:val="0"/>
      <w:marTop w:val="0"/>
      <w:marBottom w:val="0"/>
      <w:divBdr>
        <w:top w:val="none" w:sz="0" w:space="0" w:color="auto"/>
        <w:left w:val="none" w:sz="0" w:space="0" w:color="auto"/>
        <w:bottom w:val="none" w:sz="0" w:space="0" w:color="auto"/>
        <w:right w:val="none" w:sz="0" w:space="0" w:color="auto"/>
      </w:divBdr>
    </w:div>
    <w:div w:id="1109158665">
      <w:bodyDiv w:val="1"/>
      <w:marLeft w:val="0"/>
      <w:marRight w:val="0"/>
      <w:marTop w:val="0"/>
      <w:marBottom w:val="0"/>
      <w:divBdr>
        <w:top w:val="none" w:sz="0" w:space="0" w:color="auto"/>
        <w:left w:val="none" w:sz="0" w:space="0" w:color="auto"/>
        <w:bottom w:val="none" w:sz="0" w:space="0" w:color="auto"/>
        <w:right w:val="none" w:sz="0" w:space="0" w:color="auto"/>
      </w:divBdr>
    </w:div>
    <w:div w:id="1124617763">
      <w:bodyDiv w:val="1"/>
      <w:marLeft w:val="0"/>
      <w:marRight w:val="0"/>
      <w:marTop w:val="0"/>
      <w:marBottom w:val="0"/>
      <w:divBdr>
        <w:top w:val="none" w:sz="0" w:space="0" w:color="auto"/>
        <w:left w:val="none" w:sz="0" w:space="0" w:color="auto"/>
        <w:bottom w:val="none" w:sz="0" w:space="0" w:color="auto"/>
        <w:right w:val="none" w:sz="0" w:space="0" w:color="auto"/>
      </w:divBdr>
    </w:div>
    <w:div w:id="1315601202">
      <w:bodyDiv w:val="1"/>
      <w:marLeft w:val="0"/>
      <w:marRight w:val="0"/>
      <w:marTop w:val="0"/>
      <w:marBottom w:val="0"/>
      <w:divBdr>
        <w:top w:val="none" w:sz="0" w:space="0" w:color="auto"/>
        <w:left w:val="none" w:sz="0" w:space="0" w:color="auto"/>
        <w:bottom w:val="none" w:sz="0" w:space="0" w:color="auto"/>
        <w:right w:val="none" w:sz="0" w:space="0" w:color="auto"/>
      </w:divBdr>
    </w:div>
    <w:div w:id="1342244387">
      <w:bodyDiv w:val="1"/>
      <w:marLeft w:val="0"/>
      <w:marRight w:val="0"/>
      <w:marTop w:val="0"/>
      <w:marBottom w:val="0"/>
      <w:divBdr>
        <w:top w:val="none" w:sz="0" w:space="0" w:color="auto"/>
        <w:left w:val="none" w:sz="0" w:space="0" w:color="auto"/>
        <w:bottom w:val="none" w:sz="0" w:space="0" w:color="auto"/>
        <w:right w:val="none" w:sz="0" w:space="0" w:color="auto"/>
      </w:divBdr>
    </w:div>
    <w:div w:id="1374571743">
      <w:bodyDiv w:val="1"/>
      <w:marLeft w:val="0"/>
      <w:marRight w:val="0"/>
      <w:marTop w:val="0"/>
      <w:marBottom w:val="0"/>
      <w:divBdr>
        <w:top w:val="none" w:sz="0" w:space="0" w:color="auto"/>
        <w:left w:val="none" w:sz="0" w:space="0" w:color="auto"/>
        <w:bottom w:val="none" w:sz="0" w:space="0" w:color="auto"/>
        <w:right w:val="none" w:sz="0" w:space="0" w:color="auto"/>
      </w:divBdr>
    </w:div>
    <w:div w:id="1497527959">
      <w:bodyDiv w:val="1"/>
      <w:marLeft w:val="0"/>
      <w:marRight w:val="0"/>
      <w:marTop w:val="0"/>
      <w:marBottom w:val="0"/>
      <w:divBdr>
        <w:top w:val="none" w:sz="0" w:space="0" w:color="auto"/>
        <w:left w:val="none" w:sz="0" w:space="0" w:color="auto"/>
        <w:bottom w:val="none" w:sz="0" w:space="0" w:color="auto"/>
        <w:right w:val="none" w:sz="0" w:space="0" w:color="auto"/>
      </w:divBdr>
    </w:div>
    <w:div w:id="1605727442">
      <w:bodyDiv w:val="1"/>
      <w:marLeft w:val="0"/>
      <w:marRight w:val="0"/>
      <w:marTop w:val="0"/>
      <w:marBottom w:val="0"/>
      <w:divBdr>
        <w:top w:val="none" w:sz="0" w:space="0" w:color="auto"/>
        <w:left w:val="none" w:sz="0" w:space="0" w:color="auto"/>
        <w:bottom w:val="none" w:sz="0" w:space="0" w:color="auto"/>
        <w:right w:val="none" w:sz="0" w:space="0" w:color="auto"/>
      </w:divBdr>
    </w:div>
    <w:div w:id="1872495520">
      <w:bodyDiv w:val="1"/>
      <w:marLeft w:val="0"/>
      <w:marRight w:val="0"/>
      <w:marTop w:val="0"/>
      <w:marBottom w:val="0"/>
      <w:divBdr>
        <w:top w:val="none" w:sz="0" w:space="0" w:color="auto"/>
        <w:left w:val="none" w:sz="0" w:space="0" w:color="auto"/>
        <w:bottom w:val="none" w:sz="0" w:space="0" w:color="auto"/>
        <w:right w:val="none" w:sz="0" w:space="0" w:color="auto"/>
      </w:divBdr>
    </w:div>
    <w:div w:id="1955750212">
      <w:bodyDiv w:val="1"/>
      <w:marLeft w:val="0"/>
      <w:marRight w:val="0"/>
      <w:marTop w:val="0"/>
      <w:marBottom w:val="0"/>
      <w:divBdr>
        <w:top w:val="none" w:sz="0" w:space="0" w:color="auto"/>
        <w:left w:val="none" w:sz="0" w:space="0" w:color="auto"/>
        <w:bottom w:val="none" w:sz="0" w:space="0" w:color="auto"/>
        <w:right w:val="none" w:sz="0" w:space="0" w:color="auto"/>
      </w:divBdr>
    </w:div>
    <w:div w:id="1978101042">
      <w:bodyDiv w:val="1"/>
      <w:marLeft w:val="0"/>
      <w:marRight w:val="0"/>
      <w:marTop w:val="0"/>
      <w:marBottom w:val="0"/>
      <w:divBdr>
        <w:top w:val="none" w:sz="0" w:space="0" w:color="auto"/>
        <w:left w:val="none" w:sz="0" w:space="0" w:color="auto"/>
        <w:bottom w:val="none" w:sz="0" w:space="0" w:color="auto"/>
        <w:right w:val="none" w:sz="0" w:space="0" w:color="auto"/>
      </w:divBdr>
    </w:div>
    <w:div w:id="2020815879">
      <w:bodyDiv w:val="1"/>
      <w:marLeft w:val="0"/>
      <w:marRight w:val="0"/>
      <w:marTop w:val="0"/>
      <w:marBottom w:val="0"/>
      <w:divBdr>
        <w:top w:val="none" w:sz="0" w:space="0" w:color="auto"/>
        <w:left w:val="none" w:sz="0" w:space="0" w:color="auto"/>
        <w:bottom w:val="none" w:sz="0" w:space="0" w:color="auto"/>
        <w:right w:val="none" w:sz="0" w:space="0" w:color="auto"/>
      </w:divBdr>
    </w:div>
    <w:div w:id="21267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6</TotalTime>
  <Pages>7</Pages>
  <Words>1539</Words>
  <Characters>10115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2021043563: MAH ændring fra Billev Pharma ApS til Sandoz A/S_x000d_
2021043086: var 1G, navneændring fra Betahistine Billev</dc:description>
  <cp:lastModifiedBy>Gitte Jørgensen</cp:lastModifiedBy>
  <cp:revision>7</cp:revision>
  <cp:lastPrinted>2012-08-22T08:53:00Z</cp:lastPrinted>
  <dcterms:created xsi:type="dcterms:W3CDTF">2021-11-08T08:11:00Z</dcterms:created>
  <dcterms:modified xsi:type="dcterms:W3CDTF">2021-11-08T08:18:00Z</dcterms:modified>
</cp:coreProperties>
</file>