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46E6" w:rsidRPr="008F49E1" w:rsidRDefault="008946E6" w:rsidP="008946E6">
      <w:pPr>
        <w:rPr>
          <w:sz w:val="24"/>
          <w:szCs w:val="24"/>
        </w:rPr>
      </w:pPr>
      <w:r w:rsidRPr="009260DE">
        <w:rPr>
          <w:noProof/>
          <w:sz w:val="24"/>
          <w:szCs w:val="24"/>
          <w:lang w:eastAsia="da-DK"/>
        </w:rPr>
        <w:drawing>
          <wp:anchor distT="0" distB="0" distL="114300" distR="114300" simplePos="0" relativeHeight="251659264" behindDoc="0" locked="0" layoutInCell="1" allowOverlap="1" wp14:anchorId="51DD01DD" wp14:editId="269D5C2B">
            <wp:simplePos x="0" y="0"/>
            <wp:positionH relativeFrom="column">
              <wp:posOffset>0</wp:posOffset>
            </wp:positionH>
            <wp:positionV relativeFrom="paragraph">
              <wp:posOffset>76200</wp:posOffset>
            </wp:positionV>
            <wp:extent cx="2428875" cy="685800"/>
            <wp:effectExtent l="0" t="0" r="9525" b="0"/>
            <wp:wrapSquare wrapText="bothSides"/>
            <wp:docPr id="1" name="Billede 3" descr="C:\Users\marh\AppData\Local\Microsoft\Windows\Temporary Internet Files\Content.Outlook\3DQ1N8R9\LMST_auto_s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lede 3" descr="C:\Users\marh\AppData\Local\Microsoft\Windows\Temporary Internet Files\Content.Outlook\3DQ1N8R9\LMST_auto_stor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sz w:val="24"/>
          <w:szCs w:val="24"/>
        </w:rPr>
        <w:br w:type="textWrapping" w:clear="all"/>
      </w:r>
    </w:p>
    <w:p w:rsidR="008946E6" w:rsidRPr="00C84483" w:rsidRDefault="008946E6" w:rsidP="008946E6">
      <w:pPr>
        <w:pStyle w:val="Titel"/>
        <w:tabs>
          <w:tab w:val="right" w:pos="9356"/>
        </w:tabs>
        <w:jc w:val="left"/>
        <w:rPr>
          <w:b w:val="0"/>
          <w:szCs w:val="24"/>
          <w:lang w:eastAsia="en-US"/>
        </w:rPr>
      </w:pPr>
      <w:r w:rsidRPr="00C84483">
        <w:rPr>
          <w:b w:val="0"/>
          <w:szCs w:val="24"/>
          <w:lang w:eastAsia="en-US"/>
        </w:rPr>
        <w:tab/>
      </w:r>
      <w:r>
        <w:rPr>
          <w:szCs w:val="24"/>
        </w:rPr>
        <w:t>1</w:t>
      </w:r>
      <w:r w:rsidR="00517A89">
        <w:rPr>
          <w:szCs w:val="24"/>
        </w:rPr>
        <w:t>6. februar</w:t>
      </w:r>
      <w:r>
        <w:rPr>
          <w:szCs w:val="24"/>
        </w:rPr>
        <w:t xml:space="preserve"> 20</w:t>
      </w:r>
      <w:r w:rsidR="00517A89">
        <w:rPr>
          <w:szCs w:val="24"/>
        </w:rPr>
        <w:t>22</w:t>
      </w:r>
    </w:p>
    <w:p w:rsidR="008946E6" w:rsidRPr="00C84483" w:rsidRDefault="008946E6" w:rsidP="008946E6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:rsidR="008946E6" w:rsidRPr="00C84483" w:rsidRDefault="008946E6" w:rsidP="008946E6">
      <w:pPr>
        <w:pStyle w:val="Titel"/>
        <w:jc w:val="left"/>
        <w:rPr>
          <w:b w:val="0"/>
          <w:szCs w:val="24"/>
        </w:rPr>
      </w:pPr>
    </w:p>
    <w:p w:rsidR="008946E6" w:rsidRPr="00C84483" w:rsidRDefault="008946E6" w:rsidP="008946E6">
      <w:pPr>
        <w:pStyle w:val="Titel"/>
        <w:jc w:val="left"/>
        <w:rPr>
          <w:b w:val="0"/>
          <w:szCs w:val="24"/>
        </w:rPr>
      </w:pPr>
    </w:p>
    <w:p w:rsidR="008946E6" w:rsidRPr="00C84483" w:rsidRDefault="008946E6" w:rsidP="008946E6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PRODUKTRESUMÉ</w:t>
      </w:r>
    </w:p>
    <w:p w:rsidR="008946E6" w:rsidRPr="00C84483" w:rsidRDefault="008946E6" w:rsidP="008946E6">
      <w:pPr>
        <w:jc w:val="center"/>
        <w:rPr>
          <w:b/>
          <w:sz w:val="24"/>
          <w:szCs w:val="24"/>
        </w:rPr>
      </w:pPr>
    </w:p>
    <w:p w:rsidR="008946E6" w:rsidRDefault="008946E6" w:rsidP="008946E6">
      <w:pPr>
        <w:jc w:val="center"/>
        <w:rPr>
          <w:b/>
          <w:sz w:val="24"/>
          <w:szCs w:val="24"/>
        </w:rPr>
      </w:pPr>
      <w:r w:rsidRPr="00C84483">
        <w:rPr>
          <w:b/>
          <w:sz w:val="24"/>
          <w:szCs w:val="24"/>
        </w:rPr>
        <w:t>for</w:t>
      </w:r>
    </w:p>
    <w:p w:rsidR="008946E6" w:rsidRPr="00C84483" w:rsidRDefault="008946E6" w:rsidP="008946E6">
      <w:pPr>
        <w:jc w:val="center"/>
        <w:rPr>
          <w:b/>
          <w:sz w:val="24"/>
          <w:szCs w:val="24"/>
        </w:rPr>
      </w:pPr>
    </w:p>
    <w:p w:rsidR="008946E6" w:rsidRPr="00C84483" w:rsidRDefault="008946E6" w:rsidP="008946E6">
      <w:pPr>
        <w:jc w:val="center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Betahistine</w:t>
      </w:r>
      <w:proofErr w:type="spellEnd"/>
      <w:r>
        <w:rPr>
          <w:b/>
          <w:sz w:val="24"/>
          <w:szCs w:val="24"/>
        </w:rPr>
        <w:t xml:space="preserve"> "</w:t>
      </w:r>
      <w:proofErr w:type="spellStart"/>
      <w:r>
        <w:rPr>
          <w:b/>
          <w:sz w:val="24"/>
          <w:szCs w:val="24"/>
        </w:rPr>
        <w:t>Stada</w:t>
      </w:r>
      <w:proofErr w:type="spellEnd"/>
      <w:r>
        <w:rPr>
          <w:b/>
          <w:sz w:val="24"/>
          <w:szCs w:val="24"/>
        </w:rPr>
        <w:t>", tabletter</w:t>
      </w:r>
    </w:p>
    <w:p w:rsidR="008946E6" w:rsidRPr="00C84483" w:rsidRDefault="008946E6" w:rsidP="008946E6">
      <w:pPr>
        <w:jc w:val="both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jc w:val="both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0.</w:t>
      </w:r>
      <w:r w:rsidRPr="00604092">
        <w:rPr>
          <w:b/>
          <w:sz w:val="24"/>
          <w:szCs w:val="24"/>
        </w:rPr>
        <w:tab/>
        <w:t>D.SP.NR.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r w:rsidRPr="00604092">
        <w:rPr>
          <w:sz w:val="24"/>
          <w:szCs w:val="24"/>
        </w:rPr>
        <w:t>30872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1.</w:t>
      </w:r>
      <w:r w:rsidRPr="00604092">
        <w:rPr>
          <w:b/>
          <w:sz w:val="24"/>
          <w:szCs w:val="24"/>
        </w:rPr>
        <w:tab/>
        <w:t>LÆGEMIDLETS NAVN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604092">
        <w:rPr>
          <w:sz w:val="24"/>
          <w:szCs w:val="24"/>
        </w:rPr>
        <w:t>Betahistine</w:t>
      </w:r>
      <w:proofErr w:type="spellEnd"/>
      <w:r w:rsidRPr="00604092">
        <w:rPr>
          <w:sz w:val="24"/>
          <w:szCs w:val="24"/>
        </w:rPr>
        <w:t xml:space="preserve"> "</w:t>
      </w:r>
      <w:proofErr w:type="spellStart"/>
      <w:r w:rsidRPr="00604092">
        <w:rPr>
          <w:sz w:val="24"/>
          <w:szCs w:val="24"/>
        </w:rPr>
        <w:t>Stada</w:t>
      </w:r>
      <w:proofErr w:type="spellEnd"/>
      <w:r w:rsidRPr="00604092">
        <w:rPr>
          <w:sz w:val="24"/>
          <w:szCs w:val="24"/>
        </w:rPr>
        <w:t>"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2.</w:t>
      </w:r>
      <w:r w:rsidRPr="00604092">
        <w:rPr>
          <w:b/>
          <w:sz w:val="24"/>
          <w:szCs w:val="24"/>
        </w:rPr>
        <w:tab/>
        <w:t>KVALITATIV OG KVANTITATIV SAMMENSÆTNING</w:t>
      </w: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 xml:space="preserve">8 mg </w:t>
      </w: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En tablet indeholder 8 mg </w:t>
      </w:r>
      <w:proofErr w:type="spellStart"/>
      <w:r w:rsidRPr="00604092">
        <w:rPr>
          <w:spacing w:val="-3"/>
          <w:sz w:val="24"/>
          <w:szCs w:val="24"/>
        </w:rPr>
        <w:t>betahistindihydrochlorid</w:t>
      </w:r>
      <w:proofErr w:type="spellEnd"/>
    </w:p>
    <w:p w:rsidR="008946E6" w:rsidRPr="00604092" w:rsidRDefault="008946E6" w:rsidP="008946E6">
      <w:pPr>
        <w:spacing w:line="260" w:lineRule="exact"/>
        <w:ind w:left="851"/>
        <w:rPr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 xml:space="preserve">16 mg </w:t>
      </w: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En tablet indeholder 16 mg </w:t>
      </w:r>
      <w:proofErr w:type="spellStart"/>
      <w:r w:rsidRPr="00604092">
        <w:rPr>
          <w:spacing w:val="-3"/>
          <w:sz w:val="24"/>
          <w:szCs w:val="24"/>
        </w:rPr>
        <w:t>betahistindihydrochlorid</w:t>
      </w:r>
      <w:proofErr w:type="spellEnd"/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 xml:space="preserve">24 mg </w:t>
      </w: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En tablet indeholder 24 mg </w:t>
      </w:r>
      <w:proofErr w:type="spellStart"/>
      <w:r w:rsidRPr="00604092">
        <w:rPr>
          <w:spacing w:val="-3"/>
          <w:sz w:val="24"/>
          <w:szCs w:val="24"/>
        </w:rPr>
        <w:t>betahistindihydrochlorid</w:t>
      </w:r>
      <w:proofErr w:type="spellEnd"/>
    </w:p>
    <w:p w:rsidR="008946E6" w:rsidRPr="00604092" w:rsidRDefault="008946E6" w:rsidP="008946E6">
      <w:pPr>
        <w:spacing w:line="260" w:lineRule="exact"/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spacing w:line="260" w:lineRule="exact"/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r w:rsidRPr="00604092">
        <w:rPr>
          <w:sz w:val="24"/>
          <w:szCs w:val="24"/>
        </w:rPr>
        <w:t>Alle hjælpestoffer er anført under pkt. 6.1.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3.</w:t>
      </w:r>
      <w:r w:rsidRPr="00604092">
        <w:rPr>
          <w:b/>
          <w:sz w:val="24"/>
          <w:szCs w:val="24"/>
        </w:rPr>
        <w:tab/>
        <w:t>LÆGEMIDDELFORM</w:t>
      </w:r>
    </w:p>
    <w:p w:rsidR="008946E6" w:rsidRPr="00604092" w:rsidRDefault="008946E6" w:rsidP="008946E6">
      <w:pPr>
        <w:suppressAutoHyphens/>
        <w:ind w:left="851"/>
        <w:rPr>
          <w:sz w:val="24"/>
          <w:szCs w:val="24"/>
        </w:rPr>
      </w:pPr>
      <w:r w:rsidRPr="00604092">
        <w:rPr>
          <w:spacing w:val="-3"/>
          <w:sz w:val="24"/>
          <w:szCs w:val="24"/>
        </w:rPr>
        <w:t>Tabletter</w:t>
      </w:r>
    </w:p>
    <w:p w:rsidR="008946E6" w:rsidRPr="00604092" w:rsidRDefault="008946E6" w:rsidP="008946E6">
      <w:pPr>
        <w:suppressAutoHyphens/>
        <w:ind w:left="851"/>
        <w:rPr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 xml:space="preserve">8 mg 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Hvide til </w:t>
      </w:r>
      <w:proofErr w:type="spellStart"/>
      <w:r w:rsidRPr="00604092">
        <w:rPr>
          <w:spacing w:val="-3"/>
          <w:sz w:val="24"/>
          <w:szCs w:val="24"/>
        </w:rPr>
        <w:t>rå-hvide</w:t>
      </w:r>
      <w:proofErr w:type="spellEnd"/>
      <w:r w:rsidRPr="00604092">
        <w:rPr>
          <w:spacing w:val="-3"/>
          <w:sz w:val="24"/>
          <w:szCs w:val="24"/>
        </w:rPr>
        <w:t xml:space="preserve">, runde (diameter 7,0 mm), flade </w:t>
      </w:r>
      <w:proofErr w:type="spellStart"/>
      <w:r w:rsidRPr="00604092">
        <w:rPr>
          <w:spacing w:val="-3"/>
          <w:sz w:val="24"/>
          <w:szCs w:val="24"/>
        </w:rPr>
        <w:t>uovertrukne</w:t>
      </w:r>
      <w:proofErr w:type="spellEnd"/>
      <w:r w:rsidRPr="00604092">
        <w:rPr>
          <w:spacing w:val="-3"/>
          <w:sz w:val="24"/>
          <w:szCs w:val="24"/>
        </w:rPr>
        <w:t xml:space="preserve"> tabletter, mærket med et X på den ene side og 87 på den anden side.</w:t>
      </w:r>
    </w:p>
    <w:p w:rsidR="008946E6" w:rsidRPr="00604092" w:rsidRDefault="008946E6" w:rsidP="008946E6">
      <w:pPr>
        <w:spacing w:line="260" w:lineRule="exact"/>
        <w:ind w:left="851"/>
        <w:rPr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 xml:space="preserve">16 mg 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Hvide til </w:t>
      </w:r>
      <w:proofErr w:type="spellStart"/>
      <w:r w:rsidRPr="00604092">
        <w:rPr>
          <w:spacing w:val="-3"/>
          <w:sz w:val="24"/>
          <w:szCs w:val="24"/>
        </w:rPr>
        <w:t>rå-hvide</w:t>
      </w:r>
      <w:proofErr w:type="spellEnd"/>
      <w:r w:rsidRPr="00604092">
        <w:rPr>
          <w:spacing w:val="-3"/>
          <w:sz w:val="24"/>
          <w:szCs w:val="24"/>
        </w:rPr>
        <w:t xml:space="preserve">, runde (diameter 8,5 mm), </w:t>
      </w:r>
      <w:proofErr w:type="spellStart"/>
      <w:r w:rsidRPr="00604092">
        <w:rPr>
          <w:spacing w:val="-3"/>
          <w:sz w:val="24"/>
          <w:szCs w:val="24"/>
        </w:rPr>
        <w:t>uovertrukne</w:t>
      </w:r>
      <w:proofErr w:type="spellEnd"/>
      <w:r w:rsidRPr="00604092">
        <w:rPr>
          <w:spacing w:val="-3"/>
          <w:sz w:val="24"/>
          <w:szCs w:val="24"/>
        </w:rPr>
        <w:t xml:space="preserve"> tabletter, mærket med et X på den ene side og 88 på den anden side.</w:t>
      </w: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Tabletten kan deles i to lige store doser.</w:t>
      </w: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 xml:space="preserve">24 mg 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Hvide til </w:t>
      </w:r>
      <w:proofErr w:type="spellStart"/>
      <w:r w:rsidRPr="00604092">
        <w:rPr>
          <w:spacing w:val="-3"/>
          <w:sz w:val="24"/>
          <w:szCs w:val="24"/>
        </w:rPr>
        <w:t>rå-hvide</w:t>
      </w:r>
      <w:proofErr w:type="spellEnd"/>
      <w:r w:rsidRPr="00604092">
        <w:rPr>
          <w:spacing w:val="-3"/>
          <w:sz w:val="24"/>
          <w:szCs w:val="24"/>
        </w:rPr>
        <w:t xml:space="preserve">, runde (diameter 10,0 mm), </w:t>
      </w:r>
      <w:proofErr w:type="spellStart"/>
      <w:r w:rsidRPr="00604092">
        <w:rPr>
          <w:spacing w:val="-3"/>
          <w:sz w:val="24"/>
          <w:szCs w:val="24"/>
        </w:rPr>
        <w:t>uovertrukne</w:t>
      </w:r>
      <w:proofErr w:type="spellEnd"/>
      <w:r w:rsidRPr="00604092">
        <w:rPr>
          <w:spacing w:val="-3"/>
          <w:sz w:val="24"/>
          <w:szCs w:val="24"/>
        </w:rPr>
        <w:t xml:space="preserve"> tabletter, mærket med et X på den ene side og 89 på den anden side.</w:t>
      </w:r>
    </w:p>
    <w:p w:rsidR="008946E6" w:rsidRPr="00604092" w:rsidRDefault="008946E6" w:rsidP="008946E6">
      <w:pPr>
        <w:suppressAutoHyphens/>
        <w:ind w:left="851"/>
        <w:jc w:val="both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Tabletten kan deles i to lige store doser.</w:t>
      </w:r>
    </w:p>
    <w:p w:rsidR="008946E6" w:rsidRPr="00604092" w:rsidRDefault="008946E6" w:rsidP="008946E6">
      <w:pPr>
        <w:suppressAutoHyphens/>
        <w:ind w:left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</w:t>
      </w:r>
      <w:r w:rsidRPr="00604092">
        <w:rPr>
          <w:b/>
          <w:sz w:val="24"/>
          <w:szCs w:val="24"/>
        </w:rPr>
        <w:tab/>
        <w:t>KLINISKE OPLYSNINGER</w:t>
      </w: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  <w:u w:val="single"/>
        </w:rPr>
      </w:pPr>
      <w:r w:rsidRPr="00604092">
        <w:rPr>
          <w:b/>
          <w:sz w:val="24"/>
          <w:szCs w:val="24"/>
        </w:rPr>
        <w:t>4.1</w:t>
      </w:r>
      <w:r w:rsidRPr="00604092">
        <w:rPr>
          <w:b/>
          <w:sz w:val="24"/>
          <w:szCs w:val="24"/>
        </w:rPr>
        <w:tab/>
        <w:t>Terapeutiske indikationer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>
        <w:rPr>
          <w:noProof/>
          <w:sz w:val="24"/>
          <w:szCs w:val="24"/>
        </w:rPr>
        <w:t>Betahistine "Stada"</w:t>
      </w:r>
      <w:r w:rsidRPr="00604092">
        <w:rPr>
          <w:noProof/>
          <w:sz w:val="24"/>
          <w:szCs w:val="24"/>
        </w:rPr>
        <w:t xml:space="preserve"> er indiceret til behandling af Morbus Menière, hvilket kan medføre vertigo, tinnitus og høretab.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4.2</w:t>
      </w:r>
      <w:r w:rsidRPr="00604092">
        <w:rPr>
          <w:b/>
          <w:sz w:val="24"/>
          <w:szCs w:val="24"/>
        </w:rPr>
        <w:tab/>
        <w:t>Dosering og indgivelsesmåde</w:t>
      </w:r>
    </w:p>
    <w:p w:rsidR="008946E6" w:rsidRDefault="008946E6" w:rsidP="008946E6">
      <w:pPr>
        <w:ind w:left="851"/>
        <w:rPr>
          <w:noProof/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  <w:u w:val="single"/>
        </w:rPr>
      </w:pPr>
      <w:r w:rsidRPr="00604092">
        <w:rPr>
          <w:noProof/>
          <w:sz w:val="24"/>
          <w:szCs w:val="24"/>
          <w:u w:val="single"/>
        </w:rPr>
        <w:t>Dosering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i/>
          <w:noProof/>
          <w:sz w:val="24"/>
          <w:szCs w:val="24"/>
        </w:rPr>
        <w:t>Voksne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Inital oral dosis er 16 mg tre gange daglig.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Vedligeholdelsesdoser ligger generelt i området 24 - 48 mg daglig. Daglig dosis må ikke overstige 48 mg. Dosering kan tilpasses til individuelle patientbehov. Nogle gange kan forbedring først observeres efter et par ugers behandling.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i/>
          <w:noProof/>
          <w:sz w:val="24"/>
          <w:szCs w:val="24"/>
          <w:u w:val="single"/>
        </w:rPr>
      </w:pPr>
      <w:r w:rsidRPr="00604092">
        <w:rPr>
          <w:i/>
          <w:noProof/>
          <w:sz w:val="24"/>
          <w:szCs w:val="24"/>
          <w:u w:val="single"/>
        </w:rPr>
        <w:t>Særlige patientgrupper</w:t>
      </w:r>
    </w:p>
    <w:p w:rsidR="008946E6" w:rsidRPr="00604092" w:rsidRDefault="008946E6" w:rsidP="008946E6">
      <w:pPr>
        <w:ind w:left="851"/>
        <w:rPr>
          <w:i/>
          <w:sz w:val="24"/>
          <w:szCs w:val="24"/>
        </w:rPr>
      </w:pPr>
    </w:p>
    <w:p w:rsidR="008946E6" w:rsidRPr="00604092" w:rsidRDefault="008946E6" w:rsidP="008946E6">
      <w:pPr>
        <w:ind w:left="851"/>
        <w:rPr>
          <w:i/>
          <w:sz w:val="24"/>
          <w:szCs w:val="24"/>
        </w:rPr>
      </w:pPr>
      <w:r w:rsidRPr="00604092">
        <w:rPr>
          <w:i/>
          <w:sz w:val="24"/>
          <w:szCs w:val="24"/>
        </w:rPr>
        <w:t>Nedsat nyre- og leverfunktion</w:t>
      </w:r>
    </w:p>
    <w:p w:rsidR="008946E6" w:rsidRPr="00604092" w:rsidRDefault="008946E6" w:rsidP="008946E6">
      <w:pPr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Der er ingen specifikke kliniske forsøg tilgængelige for disse patientgrupper, men ifølge erfaring efter markedsføring synes dosisjustering ikke at være nødvendig. Der bør udvises forsigtighed i disse patientgrupper.</w:t>
      </w:r>
    </w:p>
    <w:p w:rsidR="008946E6" w:rsidRPr="00604092" w:rsidRDefault="008946E6" w:rsidP="008946E6">
      <w:pPr>
        <w:ind w:left="851"/>
        <w:rPr>
          <w:i/>
          <w:sz w:val="24"/>
          <w:szCs w:val="24"/>
        </w:rPr>
      </w:pPr>
    </w:p>
    <w:p w:rsidR="008946E6" w:rsidRPr="00604092" w:rsidRDefault="008946E6" w:rsidP="008946E6">
      <w:pPr>
        <w:ind w:left="851"/>
        <w:rPr>
          <w:i/>
          <w:sz w:val="24"/>
          <w:szCs w:val="24"/>
        </w:rPr>
      </w:pPr>
      <w:r w:rsidRPr="00604092">
        <w:rPr>
          <w:i/>
          <w:sz w:val="24"/>
          <w:szCs w:val="24"/>
        </w:rPr>
        <w:t>Ældre</w:t>
      </w:r>
    </w:p>
    <w:p w:rsidR="008946E6" w:rsidRPr="00604092" w:rsidRDefault="008946E6" w:rsidP="008946E6">
      <w:pPr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Selv om der er begrænsede data fra kliniske studier for denne patientgruppe, antyder udstrakt erfaring efter markedsføring, at dosisjustering ikke er nødvendig hos denne patientpopulation</w:t>
      </w:r>
    </w:p>
    <w:p w:rsidR="008946E6" w:rsidRPr="00604092" w:rsidRDefault="008946E6" w:rsidP="008946E6">
      <w:pPr>
        <w:ind w:left="851"/>
        <w:rPr>
          <w:i/>
          <w:sz w:val="24"/>
          <w:szCs w:val="24"/>
        </w:rPr>
      </w:pPr>
    </w:p>
    <w:p w:rsidR="008946E6" w:rsidRPr="00604092" w:rsidRDefault="008946E6" w:rsidP="008946E6">
      <w:pPr>
        <w:ind w:left="851"/>
        <w:rPr>
          <w:i/>
          <w:sz w:val="24"/>
          <w:szCs w:val="24"/>
        </w:rPr>
      </w:pPr>
      <w:r w:rsidRPr="00604092">
        <w:rPr>
          <w:i/>
          <w:sz w:val="24"/>
          <w:szCs w:val="24"/>
        </w:rPr>
        <w:t>Pædiatrisk population</w:t>
      </w:r>
    </w:p>
    <w:p w:rsidR="008946E6" w:rsidRPr="00604092" w:rsidRDefault="008946E6" w:rsidP="008946E6">
      <w:pPr>
        <w:ind w:left="851"/>
        <w:rPr>
          <w:spacing w:val="-3"/>
          <w:sz w:val="24"/>
          <w:szCs w:val="24"/>
        </w:rPr>
      </w:pP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bør ikke anvendes til børn og unge under 18 år pga. utilstrækkelig dokumentation for sikkerhed og virkning.</w:t>
      </w:r>
    </w:p>
    <w:p w:rsidR="008946E6" w:rsidRPr="00604092" w:rsidRDefault="008946E6" w:rsidP="008946E6">
      <w:pPr>
        <w:ind w:left="851"/>
        <w:rPr>
          <w:i/>
          <w:sz w:val="24"/>
          <w:szCs w:val="24"/>
        </w:rPr>
      </w:pP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  <w:r w:rsidRPr="00604092">
        <w:rPr>
          <w:sz w:val="24"/>
          <w:szCs w:val="24"/>
          <w:u w:val="single"/>
        </w:rPr>
        <w:t>Administration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Tabletterne bør indtages med mad eller efter et måltid sammen med et glas vand.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4.3</w:t>
      </w:r>
      <w:r w:rsidRPr="00604092">
        <w:rPr>
          <w:b/>
          <w:sz w:val="24"/>
          <w:szCs w:val="24"/>
        </w:rPr>
        <w:tab/>
        <w:t>Kontraindikationer</w:t>
      </w:r>
    </w:p>
    <w:p w:rsidR="008946E6" w:rsidRPr="00604092" w:rsidRDefault="008946E6" w:rsidP="008946E6">
      <w:pPr>
        <w:numPr>
          <w:ilvl w:val="0"/>
          <w:numId w:val="6"/>
        </w:numPr>
        <w:ind w:left="1276" w:hanging="425"/>
        <w:rPr>
          <w:sz w:val="24"/>
          <w:szCs w:val="24"/>
        </w:rPr>
      </w:pPr>
      <w:r w:rsidRPr="00604092">
        <w:rPr>
          <w:sz w:val="24"/>
          <w:szCs w:val="24"/>
        </w:rPr>
        <w:t xml:space="preserve">Overfølsomhed over for det aktive stof eller over for et eller flere af hjælpestofferne anført i pkt. 6.1 </w:t>
      </w:r>
    </w:p>
    <w:p w:rsidR="008946E6" w:rsidRPr="00604092" w:rsidRDefault="008946E6" w:rsidP="008946E6">
      <w:pPr>
        <w:numPr>
          <w:ilvl w:val="0"/>
          <w:numId w:val="6"/>
        </w:numPr>
        <w:ind w:left="1276" w:hanging="425"/>
        <w:rPr>
          <w:sz w:val="24"/>
          <w:szCs w:val="24"/>
        </w:rPr>
      </w:pPr>
      <w:proofErr w:type="spellStart"/>
      <w:r w:rsidRPr="00604092">
        <w:rPr>
          <w:sz w:val="24"/>
          <w:szCs w:val="24"/>
        </w:rPr>
        <w:t>Betahistin</w:t>
      </w:r>
      <w:proofErr w:type="spellEnd"/>
      <w:r w:rsidRPr="00604092">
        <w:rPr>
          <w:sz w:val="24"/>
          <w:szCs w:val="24"/>
        </w:rPr>
        <w:t xml:space="preserve"> er kontraindiceret hos patienter med </w:t>
      </w:r>
      <w:proofErr w:type="spellStart"/>
      <w:r w:rsidRPr="00604092">
        <w:rPr>
          <w:sz w:val="24"/>
          <w:szCs w:val="24"/>
        </w:rPr>
        <w:t>fæokromocytom</w:t>
      </w:r>
      <w:proofErr w:type="spellEnd"/>
      <w:r w:rsidRPr="00604092">
        <w:rPr>
          <w:sz w:val="24"/>
          <w:szCs w:val="24"/>
        </w:rPr>
        <w:t xml:space="preserve">. Da </w:t>
      </w:r>
      <w:proofErr w:type="spellStart"/>
      <w:r w:rsidRPr="00604092">
        <w:rPr>
          <w:sz w:val="24"/>
          <w:szCs w:val="24"/>
        </w:rPr>
        <w:t>betahistin</w:t>
      </w:r>
      <w:proofErr w:type="spellEnd"/>
      <w:r w:rsidRPr="00604092">
        <w:rPr>
          <w:sz w:val="24"/>
          <w:szCs w:val="24"/>
        </w:rPr>
        <w:t xml:space="preserve"> er en syntetisk analog af histamin, kan det inducere frigivelsen af </w:t>
      </w:r>
      <w:proofErr w:type="spellStart"/>
      <w:r w:rsidRPr="00604092">
        <w:rPr>
          <w:sz w:val="24"/>
          <w:szCs w:val="24"/>
        </w:rPr>
        <w:t>katekolaminer</w:t>
      </w:r>
      <w:proofErr w:type="spellEnd"/>
      <w:r w:rsidRPr="00604092">
        <w:rPr>
          <w:sz w:val="24"/>
          <w:szCs w:val="24"/>
        </w:rPr>
        <w:t xml:space="preserve"> fra tumoren resulterende i alvorlig hypertension.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4.4</w:t>
      </w:r>
      <w:r w:rsidRPr="00604092">
        <w:rPr>
          <w:b/>
          <w:sz w:val="24"/>
          <w:szCs w:val="24"/>
        </w:rPr>
        <w:tab/>
        <w:t>Særlige advarsler og forsigtighedsregler vedrørende brugen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sz w:val="24"/>
          <w:szCs w:val="24"/>
        </w:rPr>
        <w:t>Der bør udvises forsigtighed under behandlingen af patienter med mavesår eller mavesår i anamnesen, da lejlighedsvis dyspepsi kan opstå hos patienter i behand</w:t>
      </w:r>
      <w:r>
        <w:rPr>
          <w:sz w:val="24"/>
          <w:szCs w:val="24"/>
        </w:rPr>
        <w:t>l</w:t>
      </w:r>
      <w:r w:rsidRPr="00604092">
        <w:rPr>
          <w:sz w:val="24"/>
          <w:szCs w:val="24"/>
        </w:rPr>
        <w:t xml:space="preserve">ing med </w:t>
      </w:r>
      <w:proofErr w:type="spellStart"/>
      <w:r w:rsidRPr="00604092">
        <w:rPr>
          <w:sz w:val="24"/>
          <w:szCs w:val="24"/>
        </w:rPr>
        <w:t>betahistin</w:t>
      </w:r>
      <w:proofErr w:type="spellEnd"/>
      <w:r w:rsidRPr="00604092">
        <w:rPr>
          <w:sz w:val="24"/>
          <w:szCs w:val="24"/>
        </w:rPr>
        <w:t>.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sz w:val="24"/>
          <w:szCs w:val="24"/>
        </w:rPr>
        <w:t xml:space="preserve">Klinisk intolerance overfor </w:t>
      </w:r>
      <w:proofErr w:type="spellStart"/>
      <w:r w:rsidRPr="00604092">
        <w:rPr>
          <w:sz w:val="24"/>
          <w:szCs w:val="24"/>
        </w:rPr>
        <w:t>betahistin</w:t>
      </w:r>
      <w:proofErr w:type="spellEnd"/>
      <w:r w:rsidRPr="00604092">
        <w:rPr>
          <w:sz w:val="24"/>
          <w:szCs w:val="24"/>
        </w:rPr>
        <w:t xml:space="preserve"> hos patienter med </w:t>
      </w:r>
      <w:proofErr w:type="spellStart"/>
      <w:r w:rsidRPr="00604092">
        <w:rPr>
          <w:sz w:val="24"/>
          <w:szCs w:val="24"/>
        </w:rPr>
        <w:t>asthma</w:t>
      </w:r>
      <w:proofErr w:type="spellEnd"/>
      <w:r w:rsidRPr="00604092">
        <w:rPr>
          <w:sz w:val="24"/>
          <w:szCs w:val="24"/>
        </w:rPr>
        <w:t xml:space="preserve"> </w:t>
      </w:r>
      <w:proofErr w:type="spellStart"/>
      <w:r w:rsidRPr="00604092">
        <w:rPr>
          <w:sz w:val="24"/>
          <w:szCs w:val="24"/>
        </w:rPr>
        <w:t>bronchiale</w:t>
      </w:r>
      <w:proofErr w:type="spellEnd"/>
      <w:r w:rsidRPr="00604092">
        <w:rPr>
          <w:sz w:val="24"/>
          <w:szCs w:val="24"/>
        </w:rPr>
        <w:t xml:space="preserve"> er blevet påvist i relativt få patienter. Disse patienter skal nøje monitoreres under behandlingen med </w:t>
      </w:r>
      <w:proofErr w:type="spellStart"/>
      <w:r w:rsidRPr="00604092">
        <w:rPr>
          <w:sz w:val="24"/>
          <w:szCs w:val="24"/>
        </w:rPr>
        <w:t>betahistin</w:t>
      </w:r>
      <w:proofErr w:type="spellEnd"/>
      <w:r w:rsidRPr="00604092">
        <w:rPr>
          <w:sz w:val="24"/>
          <w:szCs w:val="24"/>
        </w:rPr>
        <w:t>.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sz w:val="24"/>
          <w:szCs w:val="24"/>
        </w:rPr>
        <w:lastRenderedPageBreak/>
        <w:t xml:space="preserve">Der bør udvises forsigtighed ved udskrivelse af </w:t>
      </w:r>
      <w:proofErr w:type="spellStart"/>
      <w:r w:rsidRPr="00604092">
        <w:rPr>
          <w:sz w:val="24"/>
          <w:szCs w:val="24"/>
        </w:rPr>
        <w:t>betahistin</w:t>
      </w:r>
      <w:proofErr w:type="spellEnd"/>
      <w:r w:rsidRPr="00604092">
        <w:rPr>
          <w:sz w:val="24"/>
          <w:szCs w:val="24"/>
        </w:rPr>
        <w:t xml:space="preserve"> til patienter med enten </w:t>
      </w:r>
      <w:proofErr w:type="spellStart"/>
      <w:r w:rsidRPr="00604092">
        <w:rPr>
          <w:sz w:val="24"/>
          <w:szCs w:val="24"/>
        </w:rPr>
        <w:t>uriticaria</w:t>
      </w:r>
      <w:proofErr w:type="spellEnd"/>
      <w:r w:rsidRPr="00604092">
        <w:rPr>
          <w:sz w:val="24"/>
          <w:szCs w:val="24"/>
        </w:rPr>
        <w:t xml:space="preserve">, udslæt eller allergisk </w:t>
      </w:r>
      <w:proofErr w:type="spellStart"/>
      <w:r w:rsidRPr="00604092">
        <w:rPr>
          <w:sz w:val="24"/>
          <w:szCs w:val="24"/>
        </w:rPr>
        <w:t>rhinitis</w:t>
      </w:r>
      <w:proofErr w:type="spellEnd"/>
      <w:r w:rsidRPr="00604092">
        <w:rPr>
          <w:sz w:val="24"/>
          <w:szCs w:val="24"/>
        </w:rPr>
        <w:t xml:space="preserve"> pga. mulighed for forværring af disse symptomer.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sz w:val="24"/>
          <w:szCs w:val="24"/>
        </w:rPr>
        <w:t>Der bør udvises forsigtighed hos patienter med alvorlig hypotension.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4.5</w:t>
      </w:r>
      <w:r w:rsidRPr="00604092">
        <w:rPr>
          <w:b/>
          <w:sz w:val="24"/>
          <w:szCs w:val="24"/>
        </w:rPr>
        <w:tab/>
        <w:t>Interaktion med andre lægemidler og andre former for interaktion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 xml:space="preserve">Der er ikke udført </w:t>
      </w:r>
      <w:r w:rsidRPr="00604092">
        <w:rPr>
          <w:i/>
          <w:noProof/>
          <w:sz w:val="24"/>
          <w:szCs w:val="24"/>
        </w:rPr>
        <w:t>in vivo</w:t>
      </w:r>
      <w:r w:rsidRPr="00604092">
        <w:rPr>
          <w:noProof/>
          <w:sz w:val="24"/>
          <w:szCs w:val="24"/>
        </w:rPr>
        <w:t xml:space="preserve"> interaktionsstudier. Baseret på </w:t>
      </w:r>
      <w:r w:rsidRPr="00604092">
        <w:rPr>
          <w:i/>
          <w:noProof/>
          <w:sz w:val="24"/>
          <w:szCs w:val="24"/>
        </w:rPr>
        <w:t>in vitro</w:t>
      </w:r>
      <w:r w:rsidRPr="00604092">
        <w:rPr>
          <w:noProof/>
          <w:sz w:val="24"/>
          <w:szCs w:val="24"/>
        </w:rPr>
        <w:t xml:space="preserve"> data forventes ingen </w:t>
      </w:r>
      <w:r w:rsidRPr="00604092">
        <w:rPr>
          <w:i/>
          <w:noProof/>
          <w:sz w:val="24"/>
          <w:szCs w:val="24"/>
        </w:rPr>
        <w:t>in vivo</w:t>
      </w:r>
      <w:r w:rsidRPr="00604092">
        <w:rPr>
          <w:noProof/>
          <w:sz w:val="24"/>
          <w:szCs w:val="24"/>
        </w:rPr>
        <w:t xml:space="preserve"> hæmning af Cytochrom P450 enzymerne. 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i/>
          <w:noProof/>
          <w:sz w:val="24"/>
          <w:szCs w:val="24"/>
        </w:rPr>
        <w:t>In vitro</w:t>
      </w:r>
      <w:r w:rsidRPr="00604092">
        <w:rPr>
          <w:noProof/>
          <w:sz w:val="24"/>
          <w:szCs w:val="24"/>
        </w:rPr>
        <w:t xml:space="preserve"> data indikerer, at lægemidler, som hæmmer monoamino-oxidase (MAO) inkl. MAO subtype B (f.eks. selegilin) forårsager hæmning af betahistinmetabolismen. Forsigtighed tilrådes, når betahistin og MAO-hæmmere (inkl. selektive MAO-B hæmmere) anvendes samtidig.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Da betahistin er en histaminanalog, kan interaktion mellem betahistin og antihistaminer teoretisk set påvirke effekten af et af disse lægemidler.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4.6</w:t>
      </w:r>
      <w:r w:rsidRPr="00604092">
        <w:rPr>
          <w:b/>
          <w:sz w:val="24"/>
          <w:szCs w:val="24"/>
        </w:rPr>
        <w:tab/>
        <w:t>Graviditet og amning</w:t>
      </w:r>
    </w:p>
    <w:p w:rsidR="008946E6" w:rsidRDefault="008946E6" w:rsidP="008946E6">
      <w:pPr>
        <w:ind w:left="851"/>
        <w:rPr>
          <w:noProof/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  <w:u w:val="single"/>
        </w:rPr>
      </w:pPr>
      <w:r w:rsidRPr="00604092">
        <w:rPr>
          <w:noProof/>
          <w:sz w:val="24"/>
          <w:szCs w:val="24"/>
          <w:u w:val="single"/>
        </w:rPr>
        <w:t>Graviditet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Der er ikke tilstrækkelige data vedrørende brug af betahistin i gravide kvinder.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Dyrestudier indikerer hverken direkte eller indirekte skadelige virkninger hvad angår reproduktions</w:t>
      </w:r>
      <w:r w:rsidRPr="00604092">
        <w:rPr>
          <w:spacing w:val="-3"/>
          <w:sz w:val="24"/>
          <w:szCs w:val="24"/>
        </w:rPr>
        <w:softHyphen/>
        <w:t xml:space="preserve">toksicitet ved klinisk relevant terapeutisk eksponering. For en sikkerheds skyld bør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undgås under graviditeten.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  <w:u w:val="single"/>
        </w:rPr>
        <w:t>Amning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Det vides ikke, hvorvidt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udskilles i modermælk. 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udskilles i mælken hos rotter. I dyrestudier var påvirkninger begrænset til meget høje doser.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Lægemidlets betydning for moderen bør vægtes imod fordelene ved amning og den potentielle risiko for barnet.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  <w:u w:val="single"/>
        </w:rPr>
      </w:pPr>
      <w:r w:rsidRPr="00604092">
        <w:rPr>
          <w:noProof/>
          <w:sz w:val="24"/>
          <w:szCs w:val="24"/>
          <w:u w:val="single"/>
        </w:rPr>
        <w:t>Fertilitet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Dyrestudier har ikke vist effekt på fertilitet hos rotter.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4.7</w:t>
      </w:r>
      <w:r w:rsidRPr="00604092">
        <w:rPr>
          <w:b/>
          <w:sz w:val="24"/>
          <w:szCs w:val="24"/>
        </w:rPr>
        <w:tab/>
        <w:t>Virkninger på evnen til at føre motorkøretøj eller betjene maskiner</w:t>
      </w:r>
    </w:p>
    <w:p w:rsidR="008946E6" w:rsidRDefault="008946E6" w:rsidP="008946E6">
      <w:pPr>
        <w:suppressAutoHyphens/>
        <w:ind w:left="851"/>
        <w:rPr>
          <w:spacing w:val="-3"/>
          <w:sz w:val="24"/>
          <w:szCs w:val="24"/>
        </w:rPr>
      </w:pPr>
      <w:r>
        <w:rPr>
          <w:spacing w:val="-3"/>
          <w:sz w:val="24"/>
          <w:szCs w:val="24"/>
        </w:rPr>
        <w:t>Ikke mærkning.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proofErr w:type="spellStart"/>
      <w:r w:rsidRPr="00604092">
        <w:rPr>
          <w:spacing w:val="-3"/>
          <w:sz w:val="24"/>
          <w:szCs w:val="24"/>
        </w:rPr>
        <w:t>Morbus</w:t>
      </w:r>
      <w:proofErr w:type="spellEnd"/>
      <w:r w:rsidRPr="00604092">
        <w:rPr>
          <w:spacing w:val="-3"/>
          <w:sz w:val="24"/>
          <w:szCs w:val="24"/>
        </w:rPr>
        <w:t xml:space="preserve"> </w:t>
      </w:r>
      <w:proofErr w:type="spellStart"/>
      <w:r w:rsidRPr="00604092">
        <w:rPr>
          <w:spacing w:val="-3"/>
          <w:sz w:val="24"/>
          <w:szCs w:val="24"/>
        </w:rPr>
        <w:t>Menière</w:t>
      </w:r>
      <w:proofErr w:type="spellEnd"/>
      <w:r w:rsidRPr="00604092">
        <w:rPr>
          <w:spacing w:val="-3"/>
          <w:sz w:val="24"/>
          <w:szCs w:val="24"/>
        </w:rPr>
        <w:t xml:space="preserve"> kan påvirke evnen til at føre motorkøretøj og betjene maskiner negativt. I kliniske forsøg specifikt designet til at undersøge evnen til at føre motorkøretøj og betjene maskiner havde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ingen eller kun ubetydelig effekt.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kan dog forårsage døsighed, som kan påvirke evnen til at føre motorkøretøj eller betjene maskiner.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4.8</w:t>
      </w:r>
      <w:r w:rsidRPr="00604092">
        <w:rPr>
          <w:b/>
          <w:sz w:val="24"/>
          <w:szCs w:val="24"/>
        </w:rPr>
        <w:tab/>
        <w:t>Bivirkninger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Følgende bivirkninger er set med nedenstående frekvenser hos </w:t>
      </w:r>
      <w:proofErr w:type="spellStart"/>
      <w:r w:rsidRPr="00604092">
        <w:rPr>
          <w:spacing w:val="-3"/>
          <w:sz w:val="24"/>
          <w:szCs w:val="24"/>
        </w:rPr>
        <w:t>betahistinbehandlede</w:t>
      </w:r>
      <w:proofErr w:type="spellEnd"/>
      <w:r w:rsidRPr="00604092">
        <w:rPr>
          <w:spacing w:val="-3"/>
          <w:sz w:val="24"/>
          <w:szCs w:val="24"/>
        </w:rPr>
        <w:t xml:space="preserve"> patienter i placebo-kontrollerede kliniske forsøg: Meget almindelig (≥ 1/10), almindelig (≥ 1/100 til &lt; 1/10), ikke almindelig (≥ 1/1.000 til &lt; 1/100), sjælden (≥ 1/10.000 til &lt; 1/1.000), meget sjælden (&lt;1/10.000).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</w:p>
    <w:p w:rsidR="008946E6" w:rsidRPr="00604092" w:rsidRDefault="008946E6" w:rsidP="008946E6">
      <w:pPr>
        <w:ind w:left="851"/>
        <w:rPr>
          <w:b/>
          <w:sz w:val="24"/>
          <w:szCs w:val="24"/>
        </w:rPr>
      </w:pPr>
      <w:proofErr w:type="spellStart"/>
      <w:r w:rsidRPr="00604092">
        <w:rPr>
          <w:b/>
          <w:sz w:val="24"/>
          <w:szCs w:val="24"/>
        </w:rPr>
        <w:t>Mave-tarmkanalen</w:t>
      </w:r>
      <w:proofErr w:type="spellEnd"/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i/>
          <w:sz w:val="24"/>
          <w:szCs w:val="24"/>
        </w:rPr>
        <w:t>Almindelig</w:t>
      </w:r>
      <w:r w:rsidRPr="00604092">
        <w:rPr>
          <w:sz w:val="24"/>
          <w:szCs w:val="24"/>
        </w:rPr>
        <w:tab/>
        <w:t>kvalme og dyspepsi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b/>
          <w:sz w:val="24"/>
          <w:szCs w:val="24"/>
        </w:rPr>
        <w:lastRenderedPageBreak/>
        <w:t>Nervesystemet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i/>
          <w:sz w:val="24"/>
          <w:szCs w:val="24"/>
        </w:rPr>
        <w:t>Almindelig</w:t>
      </w:r>
      <w:r w:rsidRPr="00604092">
        <w:rPr>
          <w:sz w:val="24"/>
          <w:szCs w:val="24"/>
        </w:rPr>
        <w:tab/>
        <w:t>hovedpine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Ud over de hændelser, der er rapporteret under kliniske forsøg, er følgende bivirkninger blevet rapporteret spontant efter markedsføring og i videnskabelig litteratur. En frekvens kan ikke estimeres ud fra de tilgængelige data og klassificeres derfor som "ikke kendt".</w:t>
      </w: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b/>
          <w:noProof/>
          <w:sz w:val="24"/>
          <w:szCs w:val="24"/>
        </w:rPr>
      </w:pPr>
      <w:r w:rsidRPr="00604092">
        <w:rPr>
          <w:b/>
          <w:noProof/>
          <w:sz w:val="24"/>
          <w:szCs w:val="24"/>
        </w:rPr>
        <w:t>Immunsystemet</w:t>
      </w: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>Overfølsomhedsreaktioner, f.eks. anafylaksi er blevet rapporteret.</w:t>
      </w: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b/>
          <w:sz w:val="24"/>
          <w:szCs w:val="24"/>
        </w:rPr>
      </w:pPr>
      <w:proofErr w:type="spellStart"/>
      <w:r w:rsidRPr="00604092">
        <w:rPr>
          <w:b/>
          <w:sz w:val="24"/>
          <w:szCs w:val="24"/>
        </w:rPr>
        <w:t>Mave-tarmkanalen</w:t>
      </w:r>
      <w:proofErr w:type="spellEnd"/>
    </w:p>
    <w:p w:rsidR="008946E6" w:rsidRPr="00604092" w:rsidRDefault="008946E6" w:rsidP="008946E6">
      <w:pPr>
        <w:pStyle w:val="Titel"/>
        <w:ind w:left="851"/>
        <w:jc w:val="left"/>
        <w:rPr>
          <w:b w:val="0"/>
          <w:i/>
          <w:spacing w:val="-3"/>
          <w:szCs w:val="24"/>
        </w:rPr>
      </w:pPr>
      <w:r w:rsidRPr="00604092">
        <w:rPr>
          <w:b w:val="0"/>
          <w:spacing w:val="-3"/>
          <w:szCs w:val="24"/>
        </w:rPr>
        <w:t xml:space="preserve">Milde </w:t>
      </w:r>
      <w:proofErr w:type="spellStart"/>
      <w:r w:rsidRPr="00604092">
        <w:rPr>
          <w:b w:val="0"/>
          <w:spacing w:val="-3"/>
          <w:szCs w:val="24"/>
        </w:rPr>
        <w:t>gastrointestinale</w:t>
      </w:r>
      <w:proofErr w:type="spellEnd"/>
      <w:r w:rsidRPr="00604092">
        <w:rPr>
          <w:b w:val="0"/>
          <w:spacing w:val="-3"/>
          <w:szCs w:val="24"/>
        </w:rPr>
        <w:t xml:space="preserve"> lidelser (f.eks. opkastning, mavesmerter, </w:t>
      </w:r>
      <w:proofErr w:type="spellStart"/>
      <w:r w:rsidRPr="00604092">
        <w:rPr>
          <w:b w:val="0"/>
          <w:spacing w:val="-3"/>
          <w:szCs w:val="24"/>
        </w:rPr>
        <w:t>abdominal</w:t>
      </w:r>
      <w:proofErr w:type="spellEnd"/>
      <w:r w:rsidRPr="00604092">
        <w:rPr>
          <w:b w:val="0"/>
          <w:spacing w:val="-3"/>
          <w:szCs w:val="24"/>
        </w:rPr>
        <w:t xml:space="preserve"> </w:t>
      </w:r>
      <w:proofErr w:type="spellStart"/>
      <w:r w:rsidRPr="00604092">
        <w:rPr>
          <w:b w:val="0"/>
          <w:spacing w:val="-3"/>
          <w:szCs w:val="24"/>
        </w:rPr>
        <w:t>distension</w:t>
      </w:r>
      <w:proofErr w:type="spellEnd"/>
      <w:r w:rsidRPr="00604092">
        <w:rPr>
          <w:b w:val="0"/>
          <w:spacing w:val="-3"/>
          <w:szCs w:val="24"/>
        </w:rPr>
        <w:t xml:space="preserve"> og oppustethed) er blevet observeret. Dette kan normalt håndteres ved at indtage dosis under måltider eller ved at sænke dosis.</w:t>
      </w:r>
    </w:p>
    <w:p w:rsidR="008946E6" w:rsidRPr="00604092" w:rsidRDefault="008946E6" w:rsidP="008946E6">
      <w:pPr>
        <w:pStyle w:val="Titel"/>
        <w:ind w:left="851"/>
        <w:jc w:val="left"/>
        <w:rPr>
          <w:noProof/>
          <w:szCs w:val="24"/>
        </w:rPr>
      </w:pPr>
    </w:p>
    <w:p w:rsidR="008946E6" w:rsidRPr="00604092" w:rsidRDefault="008946E6" w:rsidP="008946E6">
      <w:pPr>
        <w:pStyle w:val="Titel"/>
        <w:ind w:left="851"/>
        <w:jc w:val="left"/>
        <w:rPr>
          <w:noProof/>
          <w:szCs w:val="24"/>
        </w:rPr>
      </w:pPr>
      <w:r w:rsidRPr="00604092">
        <w:rPr>
          <w:noProof/>
          <w:szCs w:val="24"/>
        </w:rPr>
        <w:t>Hud og subkutan</w:t>
      </w:r>
      <w:r>
        <w:rPr>
          <w:noProof/>
          <w:szCs w:val="24"/>
        </w:rPr>
        <w:t>e</w:t>
      </w:r>
      <w:r w:rsidRPr="00604092">
        <w:rPr>
          <w:noProof/>
          <w:szCs w:val="24"/>
        </w:rPr>
        <w:t xml:space="preserve"> væv </w:t>
      </w:r>
    </w:p>
    <w:p w:rsidR="008946E6" w:rsidRPr="00604092" w:rsidRDefault="008946E6" w:rsidP="008946E6">
      <w:pPr>
        <w:pStyle w:val="Titel"/>
        <w:ind w:left="851"/>
        <w:jc w:val="left"/>
        <w:rPr>
          <w:b w:val="0"/>
          <w:i/>
          <w:spacing w:val="-3"/>
          <w:szCs w:val="24"/>
        </w:rPr>
      </w:pPr>
      <w:proofErr w:type="spellStart"/>
      <w:r w:rsidRPr="00604092">
        <w:rPr>
          <w:b w:val="0"/>
          <w:spacing w:val="-3"/>
          <w:szCs w:val="24"/>
        </w:rPr>
        <w:t>Kutane</w:t>
      </w:r>
      <w:proofErr w:type="spellEnd"/>
      <w:r w:rsidRPr="00604092">
        <w:rPr>
          <w:b w:val="0"/>
          <w:spacing w:val="-3"/>
          <w:szCs w:val="24"/>
        </w:rPr>
        <w:t xml:space="preserve"> og subkutane overfølsomhedsreaktioner er blevet rapporteret, især </w:t>
      </w:r>
      <w:proofErr w:type="spellStart"/>
      <w:r w:rsidRPr="00604092">
        <w:rPr>
          <w:b w:val="0"/>
          <w:spacing w:val="-3"/>
          <w:szCs w:val="24"/>
        </w:rPr>
        <w:t>angioneurotisk</w:t>
      </w:r>
      <w:proofErr w:type="spellEnd"/>
      <w:r w:rsidRPr="00604092">
        <w:rPr>
          <w:b w:val="0"/>
          <w:spacing w:val="-3"/>
          <w:szCs w:val="24"/>
        </w:rPr>
        <w:t xml:space="preserve"> ødem, </w:t>
      </w:r>
      <w:proofErr w:type="spellStart"/>
      <w:r w:rsidRPr="00604092">
        <w:rPr>
          <w:b w:val="0"/>
          <w:spacing w:val="-3"/>
          <w:szCs w:val="24"/>
        </w:rPr>
        <w:t>urticaria</w:t>
      </w:r>
      <w:proofErr w:type="spellEnd"/>
      <w:r w:rsidRPr="00604092">
        <w:rPr>
          <w:b w:val="0"/>
          <w:spacing w:val="-3"/>
          <w:szCs w:val="24"/>
        </w:rPr>
        <w:t xml:space="preserve">, udslæt og </w:t>
      </w:r>
      <w:proofErr w:type="spellStart"/>
      <w:r w:rsidRPr="00604092">
        <w:rPr>
          <w:b w:val="0"/>
          <w:spacing w:val="-3"/>
          <w:szCs w:val="24"/>
        </w:rPr>
        <w:t>pruritus</w:t>
      </w:r>
      <w:proofErr w:type="spellEnd"/>
      <w:r w:rsidRPr="00604092">
        <w:rPr>
          <w:b w:val="0"/>
          <w:spacing w:val="-3"/>
          <w:szCs w:val="24"/>
        </w:rPr>
        <w:t xml:space="preserve">. </w:t>
      </w: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noProof/>
          <w:sz w:val="24"/>
          <w:szCs w:val="24"/>
          <w:u w:val="single"/>
        </w:rPr>
      </w:pP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sz w:val="24"/>
          <w:szCs w:val="24"/>
          <w:u w:val="single"/>
        </w:rPr>
      </w:pPr>
      <w:r w:rsidRPr="00604092">
        <w:rPr>
          <w:noProof/>
          <w:sz w:val="24"/>
          <w:szCs w:val="24"/>
          <w:u w:val="single"/>
        </w:rPr>
        <w:t>Indberetning af formodede bivirkninger</w:t>
      </w: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noProof/>
          <w:sz w:val="24"/>
          <w:szCs w:val="24"/>
          <w:highlight w:val="lightGray"/>
        </w:rPr>
      </w:pPr>
      <w:r w:rsidRPr="00604092">
        <w:rPr>
          <w:noProof/>
          <w:sz w:val="24"/>
          <w:szCs w:val="24"/>
        </w:rPr>
        <w:t>Når lægemidlet er godkendt, er indberetning af formodede bivirkninger vigtig.</w:t>
      </w:r>
      <w:r w:rsidRPr="00604092">
        <w:rPr>
          <w:sz w:val="24"/>
          <w:szCs w:val="24"/>
        </w:rPr>
        <w:t xml:space="preserve"> </w:t>
      </w:r>
      <w:r w:rsidRPr="00604092">
        <w:rPr>
          <w:noProof/>
          <w:sz w:val="24"/>
          <w:szCs w:val="24"/>
        </w:rPr>
        <w:t>Det muliggør løbende overvågning af benefit/risk-forholdet for lægemidlet.</w:t>
      </w:r>
      <w:r w:rsidRPr="00604092">
        <w:rPr>
          <w:sz w:val="24"/>
          <w:szCs w:val="24"/>
        </w:rPr>
        <w:t xml:space="preserve"> </w:t>
      </w:r>
      <w:r w:rsidRPr="00604092">
        <w:rPr>
          <w:noProof/>
          <w:sz w:val="24"/>
          <w:szCs w:val="24"/>
        </w:rPr>
        <w:t xml:space="preserve">Læger og sundhedspersonale anmodes om at indberette alle formodede bivirkninger via </w:t>
      </w:r>
    </w:p>
    <w:p w:rsidR="008946E6" w:rsidRPr="00604092" w:rsidRDefault="008946E6" w:rsidP="008946E6">
      <w:pPr>
        <w:ind w:left="851"/>
        <w:rPr>
          <w:rFonts w:eastAsia="Calibri"/>
          <w:color w:val="000000"/>
          <w:sz w:val="24"/>
          <w:szCs w:val="24"/>
          <w:lang w:eastAsia="zh-CN"/>
        </w:rPr>
      </w:pPr>
      <w:r w:rsidRPr="00604092">
        <w:rPr>
          <w:sz w:val="24"/>
          <w:szCs w:val="24"/>
        </w:rPr>
        <w:t>Lægemiddelstyrelsen</w:t>
      </w:r>
    </w:p>
    <w:p w:rsidR="008946E6" w:rsidRPr="00604092" w:rsidRDefault="008946E6" w:rsidP="008946E6">
      <w:pPr>
        <w:ind w:left="851"/>
        <w:rPr>
          <w:rFonts w:eastAsia="Calibri"/>
          <w:noProof/>
          <w:sz w:val="24"/>
          <w:szCs w:val="24"/>
          <w:lang w:eastAsia="zh-CN"/>
        </w:rPr>
      </w:pPr>
      <w:r w:rsidRPr="00604092">
        <w:rPr>
          <w:rFonts w:eastAsia="Calibri"/>
          <w:sz w:val="24"/>
          <w:szCs w:val="24"/>
          <w:lang w:eastAsia="zh-CN"/>
        </w:rPr>
        <w:t>Axel Heides Gade 1</w:t>
      </w:r>
    </w:p>
    <w:p w:rsidR="008946E6" w:rsidRPr="00604092" w:rsidRDefault="008946E6" w:rsidP="008946E6">
      <w:pPr>
        <w:ind w:left="851"/>
        <w:rPr>
          <w:rFonts w:eastAsia="Calibri"/>
          <w:noProof/>
          <w:sz w:val="24"/>
          <w:szCs w:val="24"/>
          <w:lang w:eastAsia="zh-CN"/>
        </w:rPr>
      </w:pPr>
      <w:r w:rsidRPr="00604092">
        <w:rPr>
          <w:rFonts w:eastAsia="Calibri"/>
          <w:noProof/>
          <w:sz w:val="24"/>
          <w:szCs w:val="24"/>
          <w:lang w:eastAsia="zh-CN"/>
        </w:rPr>
        <w:t xml:space="preserve">DK-2300 </w:t>
      </w:r>
      <w:r w:rsidRPr="00604092">
        <w:rPr>
          <w:rFonts w:eastAsia="Calibri"/>
          <w:sz w:val="24"/>
          <w:szCs w:val="24"/>
          <w:lang w:eastAsia="zh-CN"/>
        </w:rPr>
        <w:t>København S</w:t>
      </w:r>
    </w:p>
    <w:p w:rsidR="008946E6" w:rsidRPr="00604092" w:rsidRDefault="008946E6" w:rsidP="008946E6">
      <w:pPr>
        <w:suppressAutoHyphens/>
        <w:ind w:left="851"/>
        <w:rPr>
          <w:rFonts w:eastAsia="Calibri"/>
          <w:noProof/>
          <w:sz w:val="24"/>
          <w:szCs w:val="24"/>
          <w:lang w:val="en-US" w:eastAsia="zh-CN"/>
        </w:rPr>
      </w:pPr>
      <w:proofErr w:type="spellStart"/>
      <w:r w:rsidRPr="00604092">
        <w:rPr>
          <w:rFonts w:eastAsia="Calibri"/>
          <w:sz w:val="24"/>
          <w:szCs w:val="24"/>
          <w:lang w:val="en-US" w:eastAsia="zh-CN"/>
        </w:rPr>
        <w:t>Websted</w:t>
      </w:r>
      <w:proofErr w:type="spellEnd"/>
      <w:r w:rsidRPr="00604092">
        <w:rPr>
          <w:rFonts w:eastAsia="Calibri"/>
          <w:noProof/>
          <w:sz w:val="24"/>
          <w:szCs w:val="24"/>
          <w:lang w:val="en-US" w:eastAsia="zh-CN"/>
        </w:rPr>
        <w:t xml:space="preserve">: </w:t>
      </w:r>
      <w:hyperlink r:id="rId8" w:history="1">
        <w:r w:rsidRPr="00604092">
          <w:rPr>
            <w:rStyle w:val="Hyperlink"/>
            <w:rFonts w:eastAsia="Calibri"/>
            <w:noProof/>
            <w:sz w:val="24"/>
            <w:szCs w:val="24"/>
            <w:lang w:val="en-US" w:eastAsia="zh-CN"/>
          </w:rPr>
          <w:t>www.meldenbivirkning.dk</w:t>
        </w:r>
      </w:hyperlink>
    </w:p>
    <w:p w:rsidR="008946E6" w:rsidRPr="00604092" w:rsidRDefault="008946E6" w:rsidP="008946E6">
      <w:pPr>
        <w:suppressAutoHyphens/>
        <w:ind w:left="851"/>
        <w:rPr>
          <w:rFonts w:eastAsia="Calibri"/>
          <w:noProof/>
          <w:sz w:val="24"/>
          <w:szCs w:val="24"/>
          <w:lang w:val="en-US" w:eastAsia="zh-CN"/>
        </w:rPr>
      </w:pPr>
      <w:r w:rsidRPr="00604092">
        <w:rPr>
          <w:rFonts w:eastAsia="Calibri"/>
          <w:sz w:val="24"/>
          <w:szCs w:val="24"/>
          <w:lang w:val="en-US" w:eastAsia="zh-CN"/>
        </w:rPr>
        <w:t xml:space="preserve">E-mail: </w:t>
      </w:r>
      <w:r w:rsidRPr="00604092">
        <w:rPr>
          <w:rFonts w:eastAsia="Calibri"/>
          <w:noProof/>
          <w:sz w:val="24"/>
          <w:szCs w:val="24"/>
          <w:lang w:val="en-US" w:eastAsia="zh-CN"/>
        </w:rPr>
        <w:t>dkma@dkma.dk</w:t>
      </w:r>
    </w:p>
    <w:p w:rsidR="008946E6" w:rsidRPr="00604092" w:rsidRDefault="008946E6" w:rsidP="008946E6">
      <w:pPr>
        <w:pStyle w:val="Sidehoved"/>
        <w:tabs>
          <w:tab w:val="clear" w:pos="4819"/>
          <w:tab w:val="clear" w:pos="9638"/>
        </w:tabs>
        <w:ind w:left="851" w:hanging="851"/>
        <w:rPr>
          <w:szCs w:val="24"/>
          <w:lang w:val="en-US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4.9</w:t>
      </w:r>
      <w:r w:rsidRPr="00604092">
        <w:rPr>
          <w:b/>
          <w:sz w:val="24"/>
          <w:szCs w:val="24"/>
        </w:rPr>
        <w:tab/>
        <w:t>Overdosering</w:t>
      </w:r>
    </w:p>
    <w:p w:rsidR="008946E6" w:rsidRDefault="008946E6" w:rsidP="008946E6">
      <w:pPr>
        <w:ind w:left="851"/>
        <w:rPr>
          <w:noProof/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  <w:u w:val="single"/>
        </w:rPr>
        <w:t>Symptomer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 xml:space="preserve">Der er rapporteret få tilfælde af overdosering. Nogle patienter oplevede milde til moderate symptomer med doser på op til 640 mg (f.eks. kvalme, somnolens, mavesmerter). </w:t>
      </w:r>
      <w:r w:rsidRPr="00604092">
        <w:rPr>
          <w:noProof/>
          <w:sz w:val="24"/>
          <w:szCs w:val="24"/>
          <w:lang w:val="nb-NO"/>
        </w:rPr>
        <w:t xml:space="preserve">Andre symptomer på overdosering med betahistin er opkastning, dyspepsi, ataksi og anfald. </w:t>
      </w:r>
      <w:r w:rsidRPr="00604092">
        <w:rPr>
          <w:noProof/>
          <w:sz w:val="24"/>
          <w:szCs w:val="24"/>
        </w:rPr>
        <w:t>Mere alvorlige komplikationer (konvulsioner, lunge- eller hjertekomplikationer) blev observeret i tilfælde af forsætlig overdosering af betahistin, især i kombination med andre overdoserede lægemidler.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  <w:r w:rsidRPr="00604092">
        <w:rPr>
          <w:sz w:val="24"/>
          <w:szCs w:val="24"/>
          <w:u w:val="single"/>
        </w:rPr>
        <w:t>Behandling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sz w:val="24"/>
          <w:szCs w:val="24"/>
        </w:rPr>
        <w:t xml:space="preserve">Ingen specifik modgift. Gastrisk </w:t>
      </w:r>
      <w:proofErr w:type="spellStart"/>
      <w:r w:rsidRPr="00604092">
        <w:rPr>
          <w:sz w:val="24"/>
          <w:szCs w:val="24"/>
        </w:rPr>
        <w:t>lavage</w:t>
      </w:r>
      <w:proofErr w:type="spellEnd"/>
      <w:r w:rsidRPr="00604092">
        <w:rPr>
          <w:sz w:val="24"/>
          <w:szCs w:val="24"/>
        </w:rPr>
        <w:t xml:space="preserve"> og symptomatisk behandling anbefales inden for en time efter indtagelse. Behandling af overdosering bør omfatte </w:t>
      </w:r>
      <w:r w:rsidRPr="00604092">
        <w:rPr>
          <w:spacing w:val="-3"/>
          <w:sz w:val="24"/>
          <w:szCs w:val="24"/>
        </w:rPr>
        <w:t>normale understøttende tiltag</w:t>
      </w:r>
      <w:r w:rsidRPr="00604092">
        <w:rPr>
          <w:sz w:val="24"/>
          <w:szCs w:val="24"/>
        </w:rPr>
        <w:t>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4.10</w:t>
      </w:r>
      <w:r w:rsidRPr="00604092">
        <w:rPr>
          <w:b/>
          <w:sz w:val="24"/>
          <w:szCs w:val="24"/>
        </w:rPr>
        <w:tab/>
        <w:t>Udlevering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>
        <w:rPr>
          <w:sz w:val="24"/>
          <w:szCs w:val="24"/>
        </w:rPr>
        <w:t>B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Default="008946E6" w:rsidP="008946E6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5.</w:t>
      </w:r>
      <w:r w:rsidRPr="00604092">
        <w:rPr>
          <w:b/>
          <w:sz w:val="24"/>
          <w:szCs w:val="24"/>
        </w:rPr>
        <w:tab/>
        <w:t>FARMAKOLOGISKE EGENSKABER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5.0</w:t>
      </w:r>
      <w:r w:rsidRPr="00604092">
        <w:rPr>
          <w:b/>
          <w:sz w:val="24"/>
          <w:szCs w:val="24"/>
        </w:rPr>
        <w:tab/>
        <w:t>Terapeutisk klassifikation</w:t>
      </w:r>
    </w:p>
    <w:p w:rsidR="008946E6" w:rsidRPr="00604092" w:rsidRDefault="008946E6" w:rsidP="008946E6">
      <w:pPr>
        <w:suppressAutoHyphens/>
        <w:ind w:left="851"/>
        <w:rPr>
          <w:noProof/>
          <w:sz w:val="24"/>
          <w:szCs w:val="24"/>
        </w:rPr>
      </w:pPr>
      <w:r>
        <w:rPr>
          <w:sz w:val="24"/>
          <w:szCs w:val="24"/>
        </w:rPr>
        <w:t xml:space="preserve">ATC-kode: </w:t>
      </w:r>
      <w:r w:rsidRPr="00604092">
        <w:rPr>
          <w:spacing w:val="-3"/>
          <w:sz w:val="24"/>
          <w:szCs w:val="24"/>
        </w:rPr>
        <w:t>N 07 CA 01</w:t>
      </w:r>
      <w:r>
        <w:rPr>
          <w:spacing w:val="-3"/>
          <w:sz w:val="24"/>
          <w:szCs w:val="24"/>
        </w:rPr>
        <w:t xml:space="preserve">. </w:t>
      </w:r>
      <w:r w:rsidRPr="00604092">
        <w:rPr>
          <w:spacing w:val="-3"/>
          <w:sz w:val="24"/>
          <w:szCs w:val="24"/>
        </w:rPr>
        <w:t>Midler mod svimmelhed.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5.1</w:t>
      </w:r>
      <w:r w:rsidRPr="00604092">
        <w:rPr>
          <w:b/>
          <w:sz w:val="24"/>
          <w:szCs w:val="24"/>
        </w:rPr>
        <w:tab/>
      </w:r>
      <w:proofErr w:type="spellStart"/>
      <w:r w:rsidRPr="00604092">
        <w:rPr>
          <w:b/>
          <w:sz w:val="24"/>
          <w:szCs w:val="24"/>
        </w:rPr>
        <w:t>Farmakodynamiske</w:t>
      </w:r>
      <w:proofErr w:type="spellEnd"/>
      <w:r w:rsidRPr="00604092">
        <w:rPr>
          <w:b/>
          <w:sz w:val="24"/>
          <w:szCs w:val="24"/>
        </w:rPr>
        <w:t xml:space="preserve"> egenskaber</w:t>
      </w:r>
    </w:p>
    <w:p w:rsidR="008946E6" w:rsidRPr="00604092" w:rsidRDefault="008946E6" w:rsidP="008946E6">
      <w:pPr>
        <w:suppressAutoHyphens/>
        <w:ind w:left="851"/>
        <w:rPr>
          <w:sz w:val="24"/>
          <w:szCs w:val="24"/>
        </w:rPr>
      </w:pPr>
      <w:proofErr w:type="spellStart"/>
      <w:r w:rsidRPr="00604092">
        <w:rPr>
          <w:sz w:val="24"/>
          <w:szCs w:val="24"/>
        </w:rPr>
        <w:t>Betahistins</w:t>
      </w:r>
      <w:proofErr w:type="spellEnd"/>
      <w:r w:rsidRPr="00604092">
        <w:rPr>
          <w:sz w:val="24"/>
          <w:szCs w:val="24"/>
        </w:rPr>
        <w:t xml:space="preserve"> virkningsmekanisme er kun delvis forstået.</w:t>
      </w:r>
    </w:p>
    <w:p w:rsidR="008946E6" w:rsidRPr="00604092" w:rsidRDefault="008946E6" w:rsidP="008946E6">
      <w:pPr>
        <w:suppressAutoHyphens/>
        <w:ind w:left="851"/>
        <w:rPr>
          <w:sz w:val="24"/>
          <w:szCs w:val="24"/>
        </w:rPr>
      </w:pPr>
      <w:r w:rsidRPr="00604092">
        <w:rPr>
          <w:sz w:val="24"/>
          <w:szCs w:val="24"/>
        </w:rPr>
        <w:t xml:space="preserve">Der findes adskillige plausible hypoteser, som understøttes af dyreforsøg og humane data:  </w:t>
      </w:r>
    </w:p>
    <w:p w:rsidR="008946E6" w:rsidRPr="00604092" w:rsidRDefault="008946E6" w:rsidP="008946E6">
      <w:pPr>
        <w:suppressAutoHyphens/>
        <w:ind w:left="851"/>
        <w:rPr>
          <w:bCs/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bCs/>
          <w:noProof/>
          <w:sz w:val="24"/>
          <w:szCs w:val="24"/>
          <w:u w:val="single"/>
        </w:rPr>
      </w:pPr>
      <w:r w:rsidRPr="00604092">
        <w:rPr>
          <w:bCs/>
          <w:noProof/>
          <w:sz w:val="24"/>
          <w:szCs w:val="24"/>
          <w:u w:val="single"/>
        </w:rPr>
        <w:t>Betahistin påvirker det histaminerge system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>Betahistin virker både som en partiel histamin H</w:t>
      </w:r>
      <w:r w:rsidRPr="00604092">
        <w:rPr>
          <w:bCs/>
          <w:noProof/>
          <w:sz w:val="24"/>
          <w:szCs w:val="24"/>
          <w:vertAlign w:val="subscript"/>
        </w:rPr>
        <w:t>1</w:t>
      </w:r>
      <w:r w:rsidRPr="000242D5">
        <w:rPr>
          <w:bCs/>
          <w:noProof/>
          <w:sz w:val="24"/>
          <w:szCs w:val="24"/>
        </w:rPr>
        <w:t>-</w:t>
      </w:r>
      <w:r w:rsidRPr="00604092">
        <w:rPr>
          <w:bCs/>
          <w:noProof/>
          <w:sz w:val="24"/>
          <w:szCs w:val="24"/>
        </w:rPr>
        <w:t>receptor agonist og histamin H</w:t>
      </w:r>
      <w:r w:rsidRPr="00604092">
        <w:rPr>
          <w:bCs/>
          <w:noProof/>
          <w:sz w:val="24"/>
          <w:szCs w:val="24"/>
          <w:vertAlign w:val="subscript"/>
        </w:rPr>
        <w:t>3</w:t>
      </w:r>
      <w:r>
        <w:rPr>
          <w:bCs/>
          <w:noProof/>
          <w:sz w:val="24"/>
          <w:szCs w:val="24"/>
        </w:rPr>
        <w:t>-</w:t>
      </w:r>
      <w:r w:rsidRPr="00604092">
        <w:rPr>
          <w:bCs/>
          <w:noProof/>
          <w:sz w:val="24"/>
          <w:szCs w:val="24"/>
        </w:rPr>
        <w:t>receptor antagonist også i neuronalt væv og har kun ubetydelig H</w:t>
      </w:r>
      <w:r w:rsidRPr="00604092">
        <w:rPr>
          <w:bCs/>
          <w:noProof/>
          <w:sz w:val="24"/>
          <w:szCs w:val="24"/>
          <w:vertAlign w:val="subscript"/>
        </w:rPr>
        <w:t>2</w:t>
      </w:r>
      <w:r>
        <w:rPr>
          <w:bCs/>
          <w:noProof/>
          <w:sz w:val="24"/>
          <w:szCs w:val="24"/>
        </w:rPr>
        <w:t>-</w:t>
      </w:r>
      <w:r w:rsidRPr="00604092">
        <w:rPr>
          <w:bCs/>
          <w:noProof/>
          <w:sz w:val="24"/>
          <w:szCs w:val="24"/>
        </w:rPr>
        <w:t xml:space="preserve">receptor aktivitet. 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>Betahistin øger histaminomsætning og frigivelse ved at blokere præsynaptiske H</w:t>
      </w:r>
      <w:r w:rsidRPr="00604092">
        <w:rPr>
          <w:bCs/>
          <w:noProof/>
          <w:sz w:val="24"/>
          <w:szCs w:val="24"/>
          <w:vertAlign w:val="subscript"/>
        </w:rPr>
        <w:t>3</w:t>
      </w:r>
      <w:r>
        <w:rPr>
          <w:bCs/>
          <w:noProof/>
          <w:sz w:val="24"/>
          <w:szCs w:val="24"/>
        </w:rPr>
        <w:t>-</w:t>
      </w:r>
      <w:r w:rsidRPr="00604092">
        <w:rPr>
          <w:bCs/>
          <w:noProof/>
          <w:sz w:val="24"/>
          <w:szCs w:val="24"/>
        </w:rPr>
        <w:t>receptorer og inducere H</w:t>
      </w:r>
      <w:r w:rsidRPr="00604092">
        <w:rPr>
          <w:bCs/>
          <w:noProof/>
          <w:sz w:val="24"/>
          <w:szCs w:val="24"/>
          <w:vertAlign w:val="subscript"/>
        </w:rPr>
        <w:t>3</w:t>
      </w:r>
      <w:r>
        <w:rPr>
          <w:bCs/>
          <w:noProof/>
          <w:sz w:val="24"/>
          <w:szCs w:val="24"/>
        </w:rPr>
        <w:t>-</w:t>
      </w:r>
      <w:r w:rsidRPr="00604092">
        <w:rPr>
          <w:bCs/>
          <w:noProof/>
          <w:sz w:val="24"/>
          <w:szCs w:val="24"/>
        </w:rPr>
        <w:t>receptor nedregulering.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bCs/>
          <w:noProof/>
          <w:sz w:val="24"/>
          <w:szCs w:val="24"/>
          <w:u w:val="single"/>
        </w:rPr>
      </w:pPr>
      <w:r w:rsidRPr="00604092">
        <w:rPr>
          <w:bCs/>
          <w:noProof/>
          <w:sz w:val="24"/>
          <w:szCs w:val="24"/>
          <w:u w:val="single"/>
        </w:rPr>
        <w:t>Betahistin kan øge blodgennemstrømningen til cochlearregionen såvel som til hele hjernen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 xml:space="preserve">I farmakologiske dyreforsøg er det vist, at betahistinhydrochlorid forbedrer blodgennemstrømningen i stria vascularis i det indre øre formodentlig gennem en afslappende virkning på de prækapillære sphincteres mikrocirkulation i det indre øre. 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>Betahistin har også vist sig at øge den cerebrale blodgennemstrømning hos mennesker.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bCs/>
          <w:noProof/>
          <w:sz w:val="24"/>
          <w:szCs w:val="24"/>
          <w:u w:val="single"/>
        </w:rPr>
      </w:pPr>
      <w:r w:rsidRPr="00604092">
        <w:rPr>
          <w:bCs/>
          <w:noProof/>
          <w:sz w:val="24"/>
          <w:szCs w:val="24"/>
          <w:u w:val="single"/>
        </w:rPr>
        <w:t>Betahistin faciliterer vestibulær kompensation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 xml:space="preserve">Betahistin fremskynder vestibulær regeneration efter unilateral neurectomi på dyr ved at fremme og facilitere central vestibulær kompensation. Denne virkning, der er karakteriseret ved en opregulering af histaminomsætning og </w:t>
      </w:r>
      <w:r>
        <w:rPr>
          <w:bCs/>
          <w:noProof/>
          <w:sz w:val="24"/>
          <w:szCs w:val="24"/>
        </w:rPr>
        <w:t>-</w:t>
      </w:r>
      <w:r w:rsidRPr="00604092">
        <w:rPr>
          <w:bCs/>
          <w:noProof/>
          <w:sz w:val="24"/>
          <w:szCs w:val="24"/>
        </w:rPr>
        <w:t>frigivelse medieres via H</w:t>
      </w:r>
      <w:r w:rsidRPr="00604092">
        <w:rPr>
          <w:bCs/>
          <w:noProof/>
          <w:sz w:val="24"/>
          <w:szCs w:val="24"/>
          <w:vertAlign w:val="subscript"/>
        </w:rPr>
        <w:t>3</w:t>
      </w:r>
      <w:r>
        <w:rPr>
          <w:bCs/>
          <w:noProof/>
          <w:sz w:val="24"/>
          <w:szCs w:val="24"/>
        </w:rPr>
        <w:t>-</w:t>
      </w:r>
      <w:r w:rsidRPr="00604092">
        <w:rPr>
          <w:bCs/>
          <w:noProof/>
          <w:sz w:val="24"/>
          <w:szCs w:val="24"/>
        </w:rPr>
        <w:t>receptor antagonismen. Hos mennesker blev regenerationstiden efter vestibulær neurectomi også nedsat ved behandling med betahistin.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</w:p>
    <w:p w:rsidR="008946E6" w:rsidRPr="00604092" w:rsidRDefault="008946E6" w:rsidP="008946E6">
      <w:pPr>
        <w:ind w:left="851"/>
        <w:rPr>
          <w:bCs/>
          <w:noProof/>
          <w:sz w:val="24"/>
          <w:szCs w:val="24"/>
          <w:u w:val="single"/>
        </w:rPr>
      </w:pPr>
      <w:r w:rsidRPr="00604092">
        <w:rPr>
          <w:bCs/>
          <w:noProof/>
          <w:sz w:val="24"/>
          <w:szCs w:val="24"/>
          <w:u w:val="single"/>
        </w:rPr>
        <w:t>Betahistin ændrer den neuronale aktivitet i de vestibulære kerner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>Betahistin har også en dosisafhængig hæmmende virkning på generation af spikes i laterale og mediale vestibulære kerner.</w:t>
      </w:r>
    </w:p>
    <w:p w:rsidR="008946E6" w:rsidRPr="00604092" w:rsidRDefault="008946E6" w:rsidP="008946E6">
      <w:pPr>
        <w:ind w:left="851"/>
        <w:rPr>
          <w:bCs/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>De farmakodynamiske egenskaber, som er påvist i dyr, kan muligvis bidrage til betahistins terapeutiske effekt i det vestibulære system.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bCs/>
          <w:noProof/>
          <w:sz w:val="24"/>
          <w:szCs w:val="24"/>
        </w:rPr>
        <w:t>Betahistins effekt påvistes i forsøg på patienter med vestibulær vertigo og Ménière´s sygdom, med nedsættelse af sværhedsgraden og af hyppigheden af svimmelhedsanfald.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5.2</w:t>
      </w:r>
      <w:r w:rsidRPr="00604092">
        <w:rPr>
          <w:b/>
          <w:sz w:val="24"/>
          <w:szCs w:val="24"/>
        </w:rPr>
        <w:tab/>
      </w:r>
      <w:proofErr w:type="spellStart"/>
      <w:r w:rsidRPr="00604092">
        <w:rPr>
          <w:b/>
          <w:sz w:val="24"/>
          <w:szCs w:val="24"/>
        </w:rPr>
        <w:t>Farmakokinetiske</w:t>
      </w:r>
      <w:proofErr w:type="spellEnd"/>
      <w:r w:rsidRPr="00604092">
        <w:rPr>
          <w:b/>
          <w:sz w:val="24"/>
          <w:szCs w:val="24"/>
        </w:rPr>
        <w:t xml:space="preserve"> egenskaber</w:t>
      </w:r>
    </w:p>
    <w:p w:rsidR="008946E6" w:rsidRDefault="008946E6" w:rsidP="008946E6">
      <w:pPr>
        <w:ind w:left="851"/>
        <w:rPr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  <w:r w:rsidRPr="00604092">
        <w:rPr>
          <w:sz w:val="24"/>
          <w:szCs w:val="24"/>
          <w:u w:val="single"/>
        </w:rPr>
        <w:t>Absorption</w:t>
      </w:r>
    </w:p>
    <w:p w:rsidR="008946E6" w:rsidRPr="00604092" w:rsidRDefault="008946E6" w:rsidP="008946E6">
      <w:pPr>
        <w:ind w:left="851"/>
        <w:rPr>
          <w:spacing w:val="-3"/>
          <w:sz w:val="24"/>
          <w:szCs w:val="24"/>
        </w:rPr>
      </w:pPr>
      <w:proofErr w:type="spellStart"/>
      <w:r w:rsidRPr="00604092">
        <w:rPr>
          <w:spacing w:val="-3"/>
          <w:sz w:val="24"/>
          <w:szCs w:val="24"/>
        </w:rPr>
        <w:t>Betahistinhydrochlorid</w:t>
      </w:r>
      <w:proofErr w:type="spellEnd"/>
      <w:r w:rsidRPr="00604092">
        <w:rPr>
          <w:spacing w:val="-3"/>
          <w:sz w:val="24"/>
          <w:szCs w:val="24"/>
        </w:rPr>
        <w:t xml:space="preserve"> absorberes hurtigt og næsten fuldstændigt fra alle dele af </w:t>
      </w:r>
      <w:proofErr w:type="spellStart"/>
      <w:r w:rsidRPr="00604092">
        <w:rPr>
          <w:spacing w:val="-3"/>
          <w:sz w:val="24"/>
          <w:szCs w:val="24"/>
        </w:rPr>
        <w:t>mave-tarmkanalen</w:t>
      </w:r>
      <w:proofErr w:type="spellEnd"/>
      <w:r w:rsidRPr="00604092">
        <w:rPr>
          <w:spacing w:val="-3"/>
          <w:sz w:val="24"/>
          <w:szCs w:val="24"/>
        </w:rPr>
        <w:t xml:space="preserve"> efter oral administration. Efter absorption </w:t>
      </w:r>
      <w:proofErr w:type="spellStart"/>
      <w:r w:rsidRPr="00604092">
        <w:rPr>
          <w:spacing w:val="-3"/>
          <w:sz w:val="24"/>
          <w:szCs w:val="24"/>
        </w:rPr>
        <w:t>metaboliseres</w:t>
      </w:r>
      <w:proofErr w:type="spellEnd"/>
      <w:r w:rsidRPr="00604092">
        <w:rPr>
          <w:spacing w:val="-3"/>
          <w:sz w:val="24"/>
          <w:szCs w:val="24"/>
        </w:rPr>
        <w:t xml:space="preserve"> lægemiddelstoffet hurtigt og næsten fuldstændigt til 2-pyridyleddikesyre. </w:t>
      </w:r>
      <w:proofErr w:type="spellStart"/>
      <w:r w:rsidRPr="00604092">
        <w:rPr>
          <w:spacing w:val="-3"/>
          <w:sz w:val="24"/>
          <w:szCs w:val="24"/>
        </w:rPr>
        <w:t>Betahistinplasmaniveauer</w:t>
      </w:r>
      <w:proofErr w:type="spellEnd"/>
      <w:r w:rsidRPr="00604092">
        <w:rPr>
          <w:spacing w:val="-3"/>
          <w:sz w:val="24"/>
          <w:szCs w:val="24"/>
        </w:rPr>
        <w:t xml:space="preserve"> er meget lave. </w:t>
      </w:r>
      <w:proofErr w:type="spellStart"/>
      <w:r w:rsidRPr="00604092">
        <w:rPr>
          <w:spacing w:val="-3"/>
          <w:sz w:val="24"/>
          <w:szCs w:val="24"/>
        </w:rPr>
        <w:t>Farmakokinetiske</w:t>
      </w:r>
      <w:proofErr w:type="spellEnd"/>
      <w:r w:rsidRPr="00604092">
        <w:rPr>
          <w:spacing w:val="-3"/>
          <w:sz w:val="24"/>
          <w:szCs w:val="24"/>
        </w:rPr>
        <w:t xml:space="preserve"> analyser er derfor baseret på 2-</w:t>
      </w:r>
      <w:proofErr w:type="gramStart"/>
      <w:r w:rsidRPr="00604092">
        <w:rPr>
          <w:spacing w:val="-3"/>
          <w:sz w:val="24"/>
          <w:szCs w:val="24"/>
        </w:rPr>
        <w:t>PAA målinger</w:t>
      </w:r>
      <w:proofErr w:type="gramEnd"/>
      <w:r w:rsidRPr="00604092">
        <w:rPr>
          <w:spacing w:val="-3"/>
          <w:sz w:val="24"/>
          <w:szCs w:val="24"/>
        </w:rPr>
        <w:t xml:space="preserve"> i plasma og urin. </w:t>
      </w:r>
    </w:p>
    <w:p w:rsidR="008946E6" w:rsidRPr="00604092" w:rsidRDefault="008946E6" w:rsidP="008946E6">
      <w:pPr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Ved ikke-fastende tilstand er </w:t>
      </w:r>
      <w:proofErr w:type="spellStart"/>
      <w:r w:rsidRPr="00604092">
        <w:rPr>
          <w:spacing w:val="-3"/>
          <w:sz w:val="24"/>
          <w:szCs w:val="24"/>
        </w:rPr>
        <w:t>C</w:t>
      </w:r>
      <w:r w:rsidRPr="00FF2E8C">
        <w:rPr>
          <w:spacing w:val="-3"/>
          <w:sz w:val="24"/>
          <w:szCs w:val="24"/>
          <w:vertAlign w:val="subscript"/>
        </w:rPr>
        <w:t>max</w:t>
      </w:r>
      <w:proofErr w:type="spellEnd"/>
      <w:r w:rsidRPr="00604092">
        <w:rPr>
          <w:spacing w:val="-3"/>
          <w:sz w:val="24"/>
          <w:szCs w:val="24"/>
        </w:rPr>
        <w:t xml:space="preserve"> lavere end ved fastende tilstand. Den totale </w:t>
      </w:r>
      <w:proofErr w:type="spellStart"/>
      <w:r w:rsidRPr="00604092">
        <w:rPr>
          <w:spacing w:val="-3"/>
          <w:sz w:val="24"/>
          <w:szCs w:val="24"/>
        </w:rPr>
        <w:t>betahistinabsorption</w:t>
      </w:r>
      <w:proofErr w:type="spellEnd"/>
      <w:r w:rsidRPr="00604092">
        <w:rPr>
          <w:spacing w:val="-3"/>
          <w:sz w:val="24"/>
          <w:szCs w:val="24"/>
        </w:rPr>
        <w:t xml:space="preserve"> er imidlertid den samme i begge tilstande, hvilket antyder, at fødeindtagelse kun nedsætter hastigheden af </w:t>
      </w:r>
      <w:proofErr w:type="spellStart"/>
      <w:r w:rsidRPr="00604092">
        <w:rPr>
          <w:spacing w:val="-3"/>
          <w:sz w:val="24"/>
          <w:szCs w:val="24"/>
        </w:rPr>
        <w:t>betahistinabsorptionen</w:t>
      </w:r>
      <w:proofErr w:type="spellEnd"/>
      <w:r w:rsidRPr="00604092">
        <w:rPr>
          <w:spacing w:val="-3"/>
          <w:sz w:val="24"/>
          <w:szCs w:val="24"/>
        </w:rPr>
        <w:t>.</w:t>
      </w: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noProof/>
          <w:sz w:val="24"/>
          <w:szCs w:val="24"/>
          <w:u w:val="single"/>
        </w:rPr>
      </w:pPr>
      <w:r w:rsidRPr="00604092">
        <w:rPr>
          <w:noProof/>
          <w:sz w:val="24"/>
          <w:szCs w:val="24"/>
          <w:u w:val="single"/>
        </w:rPr>
        <w:t>Fordeling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proofErr w:type="spellStart"/>
      <w:r w:rsidRPr="00604092">
        <w:rPr>
          <w:spacing w:val="-3"/>
          <w:sz w:val="24"/>
          <w:szCs w:val="24"/>
        </w:rPr>
        <w:t>Betahistins</w:t>
      </w:r>
      <w:proofErr w:type="spellEnd"/>
      <w:r w:rsidRPr="00604092">
        <w:rPr>
          <w:spacing w:val="-3"/>
          <w:sz w:val="24"/>
          <w:szCs w:val="24"/>
        </w:rPr>
        <w:t xml:space="preserve"> plasmaproteinbinding er mindre end 5</w:t>
      </w:r>
      <w:r>
        <w:rPr>
          <w:spacing w:val="-3"/>
          <w:sz w:val="24"/>
          <w:szCs w:val="24"/>
        </w:rPr>
        <w:t xml:space="preserve"> %</w:t>
      </w:r>
      <w:r w:rsidRPr="00604092">
        <w:rPr>
          <w:spacing w:val="-3"/>
          <w:sz w:val="24"/>
          <w:szCs w:val="24"/>
        </w:rPr>
        <w:t>.</w:t>
      </w: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  <w:r w:rsidRPr="00604092">
        <w:rPr>
          <w:sz w:val="24"/>
          <w:szCs w:val="24"/>
          <w:u w:val="single"/>
        </w:rPr>
        <w:lastRenderedPageBreak/>
        <w:t>Biotransformation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Efter absorption </w:t>
      </w:r>
      <w:proofErr w:type="spellStart"/>
      <w:r w:rsidRPr="00604092">
        <w:rPr>
          <w:spacing w:val="-3"/>
          <w:sz w:val="24"/>
          <w:szCs w:val="24"/>
        </w:rPr>
        <w:t>metaboliseres</w:t>
      </w:r>
      <w:proofErr w:type="spellEnd"/>
      <w:r w:rsidRPr="00604092">
        <w:rPr>
          <w:spacing w:val="-3"/>
          <w:sz w:val="24"/>
          <w:szCs w:val="24"/>
        </w:rPr>
        <w:t xml:space="preserve">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hurtigt og næsten fuldstændigt til 2-PAA (som ikke har farmakologisk aktivitet). 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Efter oral administration af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når 2-PAAs koncentration i plasma (og urin) </w:t>
      </w:r>
      <w:proofErr w:type="spellStart"/>
      <w:r w:rsidRPr="00604092">
        <w:rPr>
          <w:spacing w:val="-3"/>
          <w:sz w:val="24"/>
          <w:szCs w:val="24"/>
        </w:rPr>
        <w:t>maximum</w:t>
      </w:r>
      <w:proofErr w:type="spellEnd"/>
      <w:r w:rsidRPr="00604092">
        <w:rPr>
          <w:spacing w:val="-3"/>
          <w:sz w:val="24"/>
          <w:szCs w:val="24"/>
        </w:rPr>
        <w:t xml:space="preserve"> 1 time efter indgift og aftager med en halveringstid på ca. 3,5 timer.</w:t>
      </w: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  <w:r w:rsidRPr="00604092">
        <w:rPr>
          <w:sz w:val="24"/>
          <w:szCs w:val="24"/>
          <w:u w:val="single"/>
        </w:rPr>
        <w:t>Elimination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2-PAA udskilles hurtigt i urinen. I dosisområdet 8-48 mg genfindes ca. 85</w:t>
      </w:r>
      <w:r>
        <w:rPr>
          <w:spacing w:val="-3"/>
          <w:sz w:val="24"/>
          <w:szCs w:val="24"/>
        </w:rPr>
        <w:t xml:space="preserve"> %</w:t>
      </w:r>
      <w:r w:rsidRPr="00604092">
        <w:rPr>
          <w:spacing w:val="-3"/>
          <w:sz w:val="24"/>
          <w:szCs w:val="24"/>
        </w:rPr>
        <w:t xml:space="preserve"> af den oprindelige dosis i urinen. </w:t>
      </w:r>
      <w:proofErr w:type="spellStart"/>
      <w:r w:rsidRPr="00604092">
        <w:rPr>
          <w:spacing w:val="-3"/>
          <w:sz w:val="24"/>
          <w:szCs w:val="24"/>
        </w:rPr>
        <w:t>Renal</w:t>
      </w:r>
      <w:proofErr w:type="spellEnd"/>
      <w:r w:rsidRPr="00604092">
        <w:rPr>
          <w:spacing w:val="-3"/>
          <w:sz w:val="24"/>
          <w:szCs w:val="24"/>
        </w:rPr>
        <w:t xml:space="preserve"> og </w:t>
      </w:r>
      <w:proofErr w:type="spellStart"/>
      <w:r w:rsidRPr="00604092">
        <w:rPr>
          <w:spacing w:val="-3"/>
          <w:sz w:val="24"/>
          <w:szCs w:val="24"/>
        </w:rPr>
        <w:t>fæcal</w:t>
      </w:r>
      <w:proofErr w:type="spellEnd"/>
      <w:r w:rsidRPr="00604092">
        <w:rPr>
          <w:spacing w:val="-3"/>
          <w:sz w:val="24"/>
          <w:szCs w:val="24"/>
        </w:rPr>
        <w:t xml:space="preserve"> udskillelse af intakt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er af ringe betydning.</w:t>
      </w: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</w:p>
    <w:p w:rsidR="008946E6" w:rsidRPr="00604092" w:rsidRDefault="008946E6" w:rsidP="008946E6">
      <w:pPr>
        <w:ind w:left="851"/>
        <w:rPr>
          <w:sz w:val="24"/>
          <w:szCs w:val="24"/>
          <w:u w:val="single"/>
        </w:rPr>
      </w:pPr>
      <w:r w:rsidRPr="00604092">
        <w:rPr>
          <w:sz w:val="24"/>
          <w:szCs w:val="24"/>
          <w:u w:val="single"/>
        </w:rPr>
        <w:t>Linearitet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Genfindingshastigheden er konstant ved oral indgift inden</w:t>
      </w:r>
      <w:r>
        <w:rPr>
          <w:spacing w:val="-3"/>
          <w:sz w:val="24"/>
          <w:szCs w:val="24"/>
        </w:rPr>
        <w:t xml:space="preserve"> </w:t>
      </w:r>
      <w:r w:rsidRPr="00604092">
        <w:rPr>
          <w:spacing w:val="-3"/>
          <w:sz w:val="24"/>
          <w:szCs w:val="24"/>
        </w:rPr>
        <w:t xml:space="preserve">for dosisområdet 8-48 mg. Dette indikerer, at </w:t>
      </w:r>
      <w:proofErr w:type="spellStart"/>
      <w:r w:rsidRPr="00604092">
        <w:rPr>
          <w:spacing w:val="-3"/>
          <w:sz w:val="24"/>
          <w:szCs w:val="24"/>
        </w:rPr>
        <w:t>betahistins</w:t>
      </w:r>
      <w:proofErr w:type="spellEnd"/>
      <w:r w:rsidRPr="00604092">
        <w:rPr>
          <w:spacing w:val="-3"/>
          <w:sz w:val="24"/>
          <w:szCs w:val="24"/>
        </w:rPr>
        <w:t xml:space="preserve"> farmakokinetik er lineær og antyder, at omsætningen er umættet.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5.3</w:t>
      </w:r>
      <w:r w:rsidRPr="00604092">
        <w:rPr>
          <w:b/>
          <w:sz w:val="24"/>
          <w:szCs w:val="24"/>
        </w:rPr>
        <w:tab/>
        <w:t>Prækliniske sikkerhedsdata</w:t>
      </w:r>
    </w:p>
    <w:p w:rsidR="008946E6" w:rsidRDefault="008946E6" w:rsidP="008946E6">
      <w:pPr>
        <w:suppressAutoHyphens/>
        <w:ind w:left="851"/>
        <w:rPr>
          <w:spacing w:val="-3"/>
          <w:sz w:val="24"/>
          <w:szCs w:val="24"/>
          <w:u w:val="single"/>
        </w:rPr>
      </w:pP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>Kronisk toksicitet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Der er set bivirkninger i nervesystemet hos hunde og bavianer efter </w:t>
      </w:r>
      <w:proofErr w:type="spellStart"/>
      <w:r w:rsidRPr="00604092">
        <w:rPr>
          <w:spacing w:val="-3"/>
          <w:sz w:val="24"/>
          <w:szCs w:val="24"/>
        </w:rPr>
        <w:t>i.v</w:t>
      </w:r>
      <w:proofErr w:type="spellEnd"/>
      <w:r w:rsidRPr="00604092">
        <w:rPr>
          <w:spacing w:val="-3"/>
          <w:sz w:val="24"/>
          <w:szCs w:val="24"/>
        </w:rPr>
        <w:t>. doser på og over 120 mg/kg.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Kronisk oral toksicitetstest i 18 måneder hos rotter ved en dosis på 500 mg/kg og i 6 måneder hos hunde ved en dosis på 25 mg/kg viste, at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tolereres godt uden nogen definitiv toksicitet.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 xml:space="preserve">Mutagent og </w:t>
      </w:r>
      <w:proofErr w:type="spellStart"/>
      <w:r w:rsidRPr="00604092">
        <w:rPr>
          <w:spacing w:val="-3"/>
          <w:sz w:val="24"/>
          <w:szCs w:val="24"/>
          <w:u w:val="single"/>
        </w:rPr>
        <w:t>carcinogent</w:t>
      </w:r>
      <w:proofErr w:type="spellEnd"/>
      <w:r w:rsidRPr="00604092">
        <w:rPr>
          <w:spacing w:val="-3"/>
          <w:sz w:val="24"/>
          <w:szCs w:val="24"/>
          <w:u w:val="single"/>
        </w:rPr>
        <w:t xml:space="preserve"> potentiale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viser ikke genotoksisk potentiale.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I et 18 måneders kronisk toksicitetsstudie på rotter viste </w:t>
      </w:r>
      <w:proofErr w:type="spellStart"/>
      <w:r w:rsidRPr="00604092">
        <w:rPr>
          <w:spacing w:val="-3"/>
          <w:sz w:val="24"/>
          <w:szCs w:val="24"/>
        </w:rPr>
        <w:t>betahistin</w:t>
      </w:r>
      <w:proofErr w:type="spellEnd"/>
      <w:r w:rsidRPr="00604092">
        <w:rPr>
          <w:spacing w:val="-3"/>
          <w:sz w:val="24"/>
          <w:szCs w:val="24"/>
        </w:rPr>
        <w:t xml:space="preserve"> ved en dosering up til 500 mg/kg ikke tegn på </w:t>
      </w:r>
      <w:proofErr w:type="spellStart"/>
      <w:r w:rsidRPr="00604092">
        <w:rPr>
          <w:spacing w:val="-3"/>
          <w:sz w:val="24"/>
          <w:szCs w:val="24"/>
        </w:rPr>
        <w:t>karcinogent</w:t>
      </w:r>
      <w:proofErr w:type="spellEnd"/>
      <w:r w:rsidRPr="00604092">
        <w:rPr>
          <w:spacing w:val="-3"/>
          <w:sz w:val="24"/>
          <w:szCs w:val="24"/>
        </w:rPr>
        <w:t xml:space="preserve"> potentiale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  <w:u w:val="single"/>
        </w:rPr>
      </w:pPr>
      <w:r w:rsidRPr="00604092">
        <w:rPr>
          <w:spacing w:val="-3"/>
          <w:sz w:val="24"/>
          <w:szCs w:val="24"/>
          <w:u w:val="single"/>
        </w:rPr>
        <w:t>Reproduktionstoksicitet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 xml:space="preserve">I reproduktionstoksicitetsstudier blev der kun iagttaget virkninger ved doser, der anses for at overstige den maksimale humane eksponering i væsentlig grad. Disse virkninger vurderes derfor til at være af ringe klinisk relevans. </w:t>
      </w:r>
    </w:p>
    <w:p w:rsidR="008946E6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6.</w:t>
      </w:r>
      <w:r w:rsidRPr="00604092">
        <w:rPr>
          <w:b/>
          <w:sz w:val="24"/>
          <w:szCs w:val="24"/>
        </w:rPr>
        <w:tab/>
        <w:t>FARMACEUTISKE OPLYSNINGER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6.1</w:t>
      </w:r>
      <w:r w:rsidRPr="00604092">
        <w:rPr>
          <w:b/>
          <w:sz w:val="24"/>
          <w:szCs w:val="24"/>
        </w:rPr>
        <w:tab/>
        <w:t>Hjælpestoffer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</w:rPr>
      </w:pPr>
      <w:r w:rsidRPr="00604092">
        <w:rPr>
          <w:spacing w:val="-3"/>
          <w:sz w:val="24"/>
          <w:szCs w:val="24"/>
        </w:rPr>
        <w:t>Cellulose, mikrokrystallinsk.</w:t>
      </w:r>
    </w:p>
    <w:p w:rsidR="008946E6" w:rsidRPr="00295720" w:rsidRDefault="008946E6" w:rsidP="008946E6">
      <w:pPr>
        <w:suppressAutoHyphens/>
        <w:ind w:left="851"/>
        <w:rPr>
          <w:spacing w:val="-3"/>
          <w:sz w:val="24"/>
          <w:szCs w:val="24"/>
          <w:lang w:val="en-US"/>
        </w:rPr>
      </w:pPr>
      <w:r w:rsidRPr="00295720">
        <w:rPr>
          <w:spacing w:val="-3"/>
          <w:sz w:val="24"/>
          <w:szCs w:val="24"/>
          <w:lang w:val="en-US"/>
        </w:rPr>
        <w:t>Mannitol.</w:t>
      </w:r>
    </w:p>
    <w:p w:rsidR="008946E6" w:rsidRPr="00295720" w:rsidRDefault="008946E6" w:rsidP="008946E6">
      <w:pPr>
        <w:suppressAutoHyphens/>
        <w:ind w:left="851"/>
        <w:rPr>
          <w:spacing w:val="-3"/>
          <w:sz w:val="24"/>
          <w:szCs w:val="24"/>
          <w:lang w:val="en-US"/>
        </w:rPr>
      </w:pPr>
      <w:proofErr w:type="spellStart"/>
      <w:r w:rsidRPr="00295720">
        <w:rPr>
          <w:spacing w:val="-3"/>
          <w:sz w:val="24"/>
          <w:szCs w:val="24"/>
          <w:lang w:val="en-US"/>
        </w:rPr>
        <w:t>Povidon</w:t>
      </w:r>
      <w:proofErr w:type="spellEnd"/>
    </w:p>
    <w:p w:rsidR="008946E6" w:rsidRPr="00295720" w:rsidRDefault="008946E6" w:rsidP="008946E6">
      <w:pPr>
        <w:suppressAutoHyphens/>
        <w:ind w:left="851"/>
        <w:rPr>
          <w:spacing w:val="-3"/>
          <w:sz w:val="24"/>
          <w:szCs w:val="24"/>
          <w:lang w:val="en-US"/>
        </w:rPr>
      </w:pPr>
      <w:proofErr w:type="spellStart"/>
      <w:r w:rsidRPr="00295720">
        <w:rPr>
          <w:spacing w:val="-3"/>
          <w:sz w:val="24"/>
          <w:szCs w:val="24"/>
          <w:lang w:val="en-US"/>
        </w:rPr>
        <w:t>Crospovidon</w:t>
      </w:r>
      <w:proofErr w:type="spellEnd"/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  <w:lang w:val="nb-NO"/>
        </w:rPr>
      </w:pPr>
      <w:r w:rsidRPr="00604092">
        <w:rPr>
          <w:spacing w:val="-3"/>
          <w:sz w:val="24"/>
          <w:szCs w:val="24"/>
          <w:lang w:val="nb-NO"/>
        </w:rPr>
        <w:t>Citronsyre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  <w:lang w:val="nb-NO"/>
        </w:rPr>
      </w:pPr>
      <w:r w:rsidRPr="00604092">
        <w:rPr>
          <w:spacing w:val="-3"/>
          <w:sz w:val="24"/>
          <w:szCs w:val="24"/>
          <w:lang w:val="nb-NO"/>
        </w:rPr>
        <w:t>Silica, kolloid vandfri.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  <w:lang w:val="nb-NO"/>
        </w:rPr>
      </w:pPr>
      <w:r w:rsidRPr="00604092">
        <w:rPr>
          <w:spacing w:val="-3"/>
          <w:sz w:val="24"/>
          <w:szCs w:val="24"/>
          <w:lang w:val="nb-NO"/>
        </w:rPr>
        <w:t>Talcum.</w:t>
      </w:r>
    </w:p>
    <w:p w:rsidR="008946E6" w:rsidRPr="00604092" w:rsidRDefault="008946E6" w:rsidP="008946E6">
      <w:pPr>
        <w:suppressAutoHyphens/>
        <w:ind w:left="851"/>
        <w:rPr>
          <w:spacing w:val="-3"/>
          <w:sz w:val="24"/>
          <w:szCs w:val="24"/>
          <w:lang w:val="nb-NO"/>
        </w:rPr>
      </w:pPr>
      <w:r w:rsidRPr="00604092">
        <w:rPr>
          <w:spacing w:val="-3"/>
          <w:sz w:val="24"/>
          <w:szCs w:val="24"/>
          <w:lang w:val="nb-NO"/>
        </w:rPr>
        <w:t>Stearinsyre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6.2</w:t>
      </w:r>
      <w:r w:rsidRPr="00604092">
        <w:rPr>
          <w:b/>
          <w:sz w:val="24"/>
          <w:szCs w:val="24"/>
        </w:rPr>
        <w:tab/>
        <w:t>Uforligeligheder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sz w:val="24"/>
          <w:szCs w:val="24"/>
        </w:rPr>
        <w:t>Ikke relevant.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6.3</w:t>
      </w:r>
      <w:r w:rsidRPr="00604092">
        <w:rPr>
          <w:b/>
          <w:sz w:val="24"/>
          <w:szCs w:val="24"/>
        </w:rPr>
        <w:tab/>
        <w:t>Opbevaringstid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  <w:r w:rsidRPr="00604092">
        <w:rPr>
          <w:sz w:val="24"/>
          <w:szCs w:val="24"/>
        </w:rPr>
        <w:tab/>
        <w:t>2 år.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6.4</w:t>
      </w:r>
      <w:r w:rsidRPr="00604092">
        <w:rPr>
          <w:b/>
          <w:sz w:val="24"/>
          <w:szCs w:val="24"/>
        </w:rPr>
        <w:tab/>
        <w:t>Særlige opbevaringsforhold</w:t>
      </w:r>
    </w:p>
    <w:p w:rsidR="008946E6" w:rsidRPr="00604092" w:rsidRDefault="008946E6" w:rsidP="008946E6">
      <w:pPr>
        <w:ind w:left="851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 xml:space="preserve">Dette lægemiddel kræver ingen særlige </w:t>
      </w:r>
      <w:r>
        <w:rPr>
          <w:noProof/>
          <w:sz w:val="24"/>
          <w:szCs w:val="24"/>
        </w:rPr>
        <w:t xml:space="preserve">forholdsregler vedrørende </w:t>
      </w:r>
      <w:r w:rsidRPr="00604092">
        <w:rPr>
          <w:noProof/>
          <w:sz w:val="24"/>
          <w:szCs w:val="24"/>
        </w:rPr>
        <w:t>opbevaring</w:t>
      </w:r>
      <w:r>
        <w:rPr>
          <w:noProof/>
          <w:sz w:val="24"/>
          <w:szCs w:val="24"/>
        </w:rPr>
        <w:t>en.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6.5</w:t>
      </w:r>
      <w:r w:rsidRPr="00604092">
        <w:rPr>
          <w:b/>
          <w:sz w:val="24"/>
          <w:szCs w:val="24"/>
        </w:rPr>
        <w:tab/>
        <w:t>Emballagetyper og pakningsstørrelser</w:t>
      </w:r>
    </w:p>
    <w:p w:rsidR="008946E6" w:rsidRDefault="008946E6" w:rsidP="008946E6">
      <w:pPr>
        <w:ind w:left="851"/>
        <w:rPr>
          <w:sz w:val="24"/>
          <w:szCs w:val="24"/>
        </w:rPr>
      </w:pPr>
      <w:r w:rsidRPr="00604092">
        <w:rPr>
          <w:sz w:val="24"/>
          <w:szCs w:val="24"/>
        </w:rPr>
        <w:t>Blister af Poly</w:t>
      </w:r>
      <w:r>
        <w:rPr>
          <w:sz w:val="24"/>
          <w:szCs w:val="24"/>
        </w:rPr>
        <w:t>amid/Aluminium/PVC/Aluminium.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>
        <w:rPr>
          <w:sz w:val="24"/>
          <w:szCs w:val="24"/>
        </w:rPr>
        <w:t>Pakningsstørrelser</w:t>
      </w:r>
      <w:r w:rsidRPr="00604092">
        <w:rPr>
          <w:sz w:val="24"/>
          <w:szCs w:val="24"/>
        </w:rPr>
        <w:t>: 20, 30, 50, 60 og 100 tabletter</w:t>
      </w:r>
      <w:r>
        <w:rPr>
          <w:sz w:val="24"/>
          <w:szCs w:val="24"/>
        </w:rPr>
        <w:t>.</w:t>
      </w:r>
    </w:p>
    <w:p w:rsidR="008946E6" w:rsidRPr="00604092" w:rsidRDefault="008946E6" w:rsidP="008946E6">
      <w:pPr>
        <w:suppressAutoHyphens/>
        <w:ind w:left="851"/>
        <w:rPr>
          <w:sz w:val="24"/>
          <w:szCs w:val="24"/>
        </w:rPr>
      </w:pPr>
    </w:p>
    <w:p w:rsidR="008946E6" w:rsidRPr="00604092" w:rsidRDefault="008946E6" w:rsidP="008946E6">
      <w:pPr>
        <w:suppressAutoHyphens/>
        <w:ind w:left="851"/>
        <w:rPr>
          <w:sz w:val="24"/>
          <w:szCs w:val="24"/>
        </w:rPr>
      </w:pPr>
      <w:r w:rsidRPr="00604092">
        <w:rPr>
          <w:sz w:val="24"/>
          <w:szCs w:val="24"/>
        </w:rPr>
        <w:t>Ikke alle pakningsstørrelser er nødvendigvis markedsført.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6.6</w:t>
      </w:r>
      <w:r w:rsidRPr="00604092">
        <w:rPr>
          <w:b/>
          <w:sz w:val="24"/>
          <w:szCs w:val="24"/>
        </w:rPr>
        <w:tab/>
        <w:t>Regler for destruktion og anden håndtering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 w:rsidRPr="00604092">
        <w:rPr>
          <w:spacing w:val="-3"/>
          <w:sz w:val="24"/>
          <w:szCs w:val="24"/>
        </w:rPr>
        <w:t>Ingen særlige forholdsregler.</w:t>
      </w:r>
    </w:p>
    <w:p w:rsidR="008946E6" w:rsidRPr="00604092" w:rsidRDefault="008946E6" w:rsidP="008946E6">
      <w:pPr>
        <w:ind w:left="851" w:hanging="851"/>
        <w:jc w:val="both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7.</w:t>
      </w:r>
      <w:r w:rsidRPr="00604092">
        <w:rPr>
          <w:b/>
          <w:sz w:val="24"/>
          <w:szCs w:val="24"/>
        </w:rPr>
        <w:tab/>
        <w:t>INDEHAVER AF MARKEDSFØRINGSTILLADELSEN</w:t>
      </w:r>
    </w:p>
    <w:p w:rsidR="008946E6" w:rsidRPr="000242D5" w:rsidRDefault="008946E6" w:rsidP="008946E6">
      <w:pPr>
        <w:autoSpaceDE w:val="0"/>
        <w:autoSpaceDN w:val="0"/>
        <w:adjustRightInd w:val="0"/>
        <w:ind w:left="851"/>
        <w:rPr>
          <w:sz w:val="24"/>
          <w:szCs w:val="24"/>
          <w:lang w:val="sv-SE" w:eastAsia="da-DK"/>
        </w:rPr>
      </w:pPr>
      <w:r w:rsidRPr="000242D5">
        <w:rPr>
          <w:sz w:val="24"/>
          <w:szCs w:val="24"/>
          <w:lang w:val="sv-SE" w:eastAsia="da-DK"/>
        </w:rPr>
        <w:t xml:space="preserve">STADA </w:t>
      </w:r>
      <w:proofErr w:type="spellStart"/>
      <w:r w:rsidRPr="000242D5">
        <w:rPr>
          <w:sz w:val="24"/>
          <w:szCs w:val="24"/>
          <w:lang w:val="sv-SE" w:eastAsia="da-DK"/>
        </w:rPr>
        <w:t>Arzneimittel</w:t>
      </w:r>
      <w:proofErr w:type="spellEnd"/>
      <w:r w:rsidRPr="000242D5">
        <w:rPr>
          <w:sz w:val="24"/>
          <w:szCs w:val="24"/>
          <w:lang w:val="sv-SE" w:eastAsia="da-DK"/>
        </w:rPr>
        <w:t xml:space="preserve"> AG</w:t>
      </w:r>
    </w:p>
    <w:p w:rsidR="008946E6" w:rsidRPr="000242D5" w:rsidRDefault="008946E6" w:rsidP="008946E6">
      <w:pPr>
        <w:autoSpaceDE w:val="0"/>
        <w:autoSpaceDN w:val="0"/>
        <w:adjustRightInd w:val="0"/>
        <w:ind w:left="851"/>
        <w:rPr>
          <w:sz w:val="24"/>
          <w:szCs w:val="24"/>
          <w:lang w:val="sv-SE" w:eastAsia="da-DK"/>
        </w:rPr>
      </w:pPr>
      <w:proofErr w:type="spellStart"/>
      <w:r w:rsidRPr="000242D5">
        <w:rPr>
          <w:sz w:val="24"/>
          <w:szCs w:val="24"/>
          <w:lang w:val="sv-SE" w:eastAsia="da-DK"/>
        </w:rPr>
        <w:t>Stadastrasse</w:t>
      </w:r>
      <w:proofErr w:type="spellEnd"/>
      <w:r w:rsidRPr="000242D5">
        <w:rPr>
          <w:sz w:val="24"/>
          <w:szCs w:val="24"/>
          <w:lang w:val="sv-SE" w:eastAsia="da-DK"/>
        </w:rPr>
        <w:t xml:space="preserve"> </w:t>
      </w:r>
      <w:proofErr w:type="gramStart"/>
      <w:r w:rsidRPr="000242D5">
        <w:rPr>
          <w:sz w:val="24"/>
          <w:szCs w:val="24"/>
          <w:lang w:val="sv-SE" w:eastAsia="da-DK"/>
        </w:rPr>
        <w:t>2-18</w:t>
      </w:r>
      <w:proofErr w:type="gramEnd"/>
      <w:r w:rsidRPr="000242D5">
        <w:rPr>
          <w:sz w:val="24"/>
          <w:szCs w:val="24"/>
          <w:lang w:val="sv-SE" w:eastAsia="da-DK"/>
        </w:rPr>
        <w:t xml:space="preserve">, </w:t>
      </w:r>
    </w:p>
    <w:p w:rsidR="008946E6" w:rsidRPr="000242D5" w:rsidRDefault="008946E6" w:rsidP="008946E6">
      <w:pPr>
        <w:autoSpaceDE w:val="0"/>
        <w:autoSpaceDN w:val="0"/>
        <w:adjustRightInd w:val="0"/>
        <w:ind w:left="851"/>
        <w:rPr>
          <w:sz w:val="24"/>
          <w:szCs w:val="24"/>
          <w:lang w:val="sv-SE" w:eastAsia="da-DK"/>
        </w:rPr>
      </w:pPr>
      <w:proofErr w:type="gramStart"/>
      <w:r w:rsidRPr="000242D5">
        <w:rPr>
          <w:sz w:val="24"/>
          <w:szCs w:val="24"/>
          <w:lang w:val="sv-SE" w:eastAsia="da-DK"/>
        </w:rPr>
        <w:t>61118</w:t>
      </w:r>
      <w:proofErr w:type="gramEnd"/>
      <w:r w:rsidRPr="000242D5">
        <w:rPr>
          <w:sz w:val="24"/>
          <w:szCs w:val="24"/>
          <w:lang w:val="sv-SE" w:eastAsia="da-DK"/>
        </w:rPr>
        <w:t xml:space="preserve"> Bad </w:t>
      </w:r>
      <w:proofErr w:type="spellStart"/>
      <w:r w:rsidRPr="000242D5">
        <w:rPr>
          <w:sz w:val="24"/>
          <w:szCs w:val="24"/>
          <w:lang w:val="sv-SE" w:eastAsia="da-DK"/>
        </w:rPr>
        <w:t>Vilbel</w:t>
      </w:r>
      <w:proofErr w:type="spellEnd"/>
      <w:r w:rsidRPr="000242D5">
        <w:rPr>
          <w:sz w:val="24"/>
          <w:szCs w:val="24"/>
          <w:lang w:val="sv-SE" w:eastAsia="da-DK"/>
        </w:rPr>
        <w:t xml:space="preserve">, </w:t>
      </w:r>
    </w:p>
    <w:p w:rsidR="008946E6" w:rsidRPr="00604092" w:rsidRDefault="008946E6" w:rsidP="008946E6">
      <w:pPr>
        <w:autoSpaceDE w:val="0"/>
        <w:autoSpaceDN w:val="0"/>
        <w:adjustRightInd w:val="0"/>
        <w:ind w:left="851"/>
        <w:rPr>
          <w:sz w:val="24"/>
          <w:szCs w:val="24"/>
        </w:rPr>
      </w:pPr>
      <w:r w:rsidRPr="00604092">
        <w:rPr>
          <w:sz w:val="24"/>
          <w:szCs w:val="24"/>
        </w:rPr>
        <w:t>Tyskland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</w:p>
    <w:p w:rsidR="008946E6" w:rsidRPr="00604092" w:rsidRDefault="008946E6" w:rsidP="008946E6">
      <w:pPr>
        <w:numPr>
          <w:ilvl w:val="12"/>
          <w:numId w:val="0"/>
        </w:numPr>
        <w:ind w:left="851" w:right="-2"/>
        <w:rPr>
          <w:b/>
          <w:noProof/>
          <w:sz w:val="24"/>
          <w:szCs w:val="24"/>
        </w:rPr>
      </w:pPr>
      <w:r w:rsidRPr="00604092">
        <w:rPr>
          <w:b/>
          <w:noProof/>
          <w:sz w:val="24"/>
          <w:szCs w:val="24"/>
        </w:rPr>
        <w:t>Repræsentant</w:t>
      </w:r>
    </w:p>
    <w:p w:rsidR="008946E6" w:rsidRPr="00604092" w:rsidRDefault="008946E6" w:rsidP="008946E6">
      <w:pPr>
        <w:numPr>
          <w:ilvl w:val="12"/>
          <w:numId w:val="0"/>
        </w:numPr>
        <w:ind w:left="851" w:right="-2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STADA Nordic ApS</w:t>
      </w:r>
    </w:p>
    <w:p w:rsidR="008946E6" w:rsidRPr="00604092" w:rsidRDefault="008946E6" w:rsidP="008946E6">
      <w:pPr>
        <w:numPr>
          <w:ilvl w:val="12"/>
          <w:numId w:val="0"/>
        </w:numPr>
        <w:ind w:left="851" w:right="-2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Marielundvej 46A</w:t>
      </w:r>
    </w:p>
    <w:p w:rsidR="008946E6" w:rsidRPr="00604092" w:rsidRDefault="008946E6" w:rsidP="008946E6">
      <w:pPr>
        <w:numPr>
          <w:ilvl w:val="12"/>
          <w:numId w:val="0"/>
        </w:numPr>
        <w:ind w:left="851" w:right="-2"/>
        <w:rPr>
          <w:noProof/>
          <w:sz w:val="24"/>
          <w:szCs w:val="24"/>
        </w:rPr>
      </w:pPr>
      <w:r w:rsidRPr="00604092">
        <w:rPr>
          <w:noProof/>
          <w:sz w:val="24"/>
          <w:szCs w:val="24"/>
        </w:rPr>
        <w:t>2730 Herlev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8.</w:t>
      </w:r>
      <w:r w:rsidRPr="00604092">
        <w:rPr>
          <w:b/>
          <w:sz w:val="24"/>
          <w:szCs w:val="24"/>
        </w:rPr>
        <w:tab/>
        <w:t>MARKEDSFØRINGSTILLADELSESNUMMER (NUMRE)</w:t>
      </w:r>
    </w:p>
    <w:p w:rsidR="008946E6" w:rsidRPr="00604092" w:rsidRDefault="008946E6" w:rsidP="008946E6">
      <w:pPr>
        <w:tabs>
          <w:tab w:val="left" w:pos="1701"/>
        </w:tabs>
        <w:ind w:left="851"/>
        <w:rPr>
          <w:sz w:val="24"/>
          <w:szCs w:val="24"/>
        </w:rPr>
      </w:pPr>
      <w:r w:rsidRPr="00604092">
        <w:rPr>
          <w:sz w:val="24"/>
          <w:szCs w:val="24"/>
        </w:rPr>
        <w:t>8 mg:</w:t>
      </w:r>
      <w:r w:rsidRPr="00604092">
        <w:rPr>
          <w:sz w:val="24"/>
          <w:szCs w:val="24"/>
        </w:rPr>
        <w:tab/>
        <w:t>59992</w:t>
      </w:r>
    </w:p>
    <w:p w:rsidR="008946E6" w:rsidRPr="00604092" w:rsidRDefault="008946E6" w:rsidP="008946E6">
      <w:pPr>
        <w:tabs>
          <w:tab w:val="left" w:pos="1701"/>
        </w:tabs>
        <w:ind w:left="851"/>
        <w:rPr>
          <w:sz w:val="24"/>
          <w:szCs w:val="24"/>
        </w:rPr>
      </w:pPr>
      <w:r w:rsidRPr="00604092">
        <w:rPr>
          <w:sz w:val="24"/>
          <w:szCs w:val="24"/>
        </w:rPr>
        <w:t>16 mg:</w:t>
      </w:r>
      <w:r w:rsidRPr="00604092">
        <w:rPr>
          <w:sz w:val="24"/>
          <w:szCs w:val="24"/>
        </w:rPr>
        <w:tab/>
        <w:t>59993</w:t>
      </w:r>
    </w:p>
    <w:p w:rsidR="008946E6" w:rsidRPr="00604092" w:rsidRDefault="008946E6" w:rsidP="008946E6">
      <w:pPr>
        <w:tabs>
          <w:tab w:val="left" w:pos="1701"/>
        </w:tabs>
        <w:ind w:left="851"/>
        <w:rPr>
          <w:sz w:val="24"/>
          <w:szCs w:val="24"/>
        </w:rPr>
      </w:pPr>
      <w:r w:rsidRPr="00604092">
        <w:rPr>
          <w:sz w:val="24"/>
          <w:szCs w:val="24"/>
        </w:rPr>
        <w:t>24 mg:</w:t>
      </w:r>
      <w:r w:rsidRPr="00604092">
        <w:rPr>
          <w:sz w:val="24"/>
          <w:szCs w:val="24"/>
        </w:rPr>
        <w:tab/>
        <w:t>59994</w:t>
      </w:r>
    </w:p>
    <w:p w:rsidR="008946E6" w:rsidRPr="00604092" w:rsidRDefault="008946E6" w:rsidP="008946E6">
      <w:pPr>
        <w:ind w:left="851" w:hanging="851"/>
        <w:jc w:val="both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9.</w:t>
      </w:r>
      <w:r w:rsidRPr="00604092">
        <w:rPr>
          <w:b/>
          <w:sz w:val="24"/>
          <w:szCs w:val="24"/>
        </w:rPr>
        <w:tab/>
        <w:t>DATO FOR FØRSTE MARKEDSFØRINGSTILLADELSE</w:t>
      </w:r>
    </w:p>
    <w:p w:rsidR="008946E6" w:rsidRPr="00604092" w:rsidRDefault="008946E6" w:rsidP="008946E6">
      <w:pPr>
        <w:ind w:left="851"/>
        <w:rPr>
          <w:sz w:val="24"/>
          <w:szCs w:val="24"/>
        </w:rPr>
      </w:pPr>
      <w:r>
        <w:rPr>
          <w:sz w:val="24"/>
          <w:szCs w:val="24"/>
        </w:rPr>
        <w:t>15. juli 2019</w:t>
      </w:r>
    </w:p>
    <w:p w:rsidR="008946E6" w:rsidRPr="00604092" w:rsidRDefault="008946E6" w:rsidP="008946E6">
      <w:pPr>
        <w:ind w:left="851" w:hanging="851"/>
        <w:rPr>
          <w:sz w:val="24"/>
          <w:szCs w:val="24"/>
        </w:rPr>
      </w:pPr>
    </w:p>
    <w:p w:rsidR="008946E6" w:rsidRPr="00604092" w:rsidRDefault="008946E6" w:rsidP="008946E6">
      <w:pPr>
        <w:ind w:left="851" w:hanging="851"/>
        <w:rPr>
          <w:b/>
          <w:sz w:val="24"/>
          <w:szCs w:val="24"/>
        </w:rPr>
      </w:pPr>
      <w:r w:rsidRPr="00604092">
        <w:rPr>
          <w:b/>
          <w:sz w:val="24"/>
          <w:szCs w:val="24"/>
        </w:rPr>
        <w:t>10.</w:t>
      </w:r>
      <w:r w:rsidRPr="00604092">
        <w:rPr>
          <w:b/>
          <w:sz w:val="24"/>
          <w:szCs w:val="24"/>
        </w:rPr>
        <w:tab/>
        <w:t>DATO FOR ÆNDRING AF TEKSTEN</w:t>
      </w:r>
    </w:p>
    <w:p w:rsidR="008946E6" w:rsidRPr="00604092" w:rsidRDefault="00517A89" w:rsidP="008946E6">
      <w:pPr>
        <w:ind w:left="851"/>
        <w:rPr>
          <w:sz w:val="24"/>
          <w:szCs w:val="24"/>
        </w:rPr>
      </w:pPr>
      <w:r>
        <w:rPr>
          <w:sz w:val="24"/>
          <w:szCs w:val="24"/>
        </w:rPr>
        <w:t>16. februar 2022</w:t>
      </w:r>
      <w:bookmarkStart w:id="0" w:name="_GoBack"/>
      <w:bookmarkEnd w:id="0"/>
    </w:p>
    <w:p w:rsidR="008946E6" w:rsidRPr="00E51BA1" w:rsidRDefault="008946E6" w:rsidP="008946E6"/>
    <w:p w:rsidR="008946E6" w:rsidRPr="00D26390" w:rsidRDefault="008946E6" w:rsidP="008946E6"/>
    <w:p w:rsidR="009260DE" w:rsidRPr="008946E6" w:rsidRDefault="009260DE" w:rsidP="008946E6"/>
    <w:sectPr w:rsidR="009260DE" w:rsidRPr="008946E6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46E6" w:rsidRDefault="008946E6">
      <w:r>
        <w:separator/>
      </w:r>
    </w:p>
  </w:endnote>
  <w:endnote w:type="continuationSeparator" w:id="0">
    <w:p w:rsidR="008946E6" w:rsidRDefault="008946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259B9" w:rsidRDefault="000259B9">
    <w:pPr>
      <w:pStyle w:val="Sidefod"/>
      <w:pBdr>
        <w:bottom w:val="single" w:sz="6" w:space="1" w:color="auto"/>
      </w:pBdr>
    </w:pPr>
  </w:p>
  <w:p w:rsidR="000259B9" w:rsidRDefault="000259B9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0259B9" w:rsidRPr="00B373D7" w:rsidRDefault="00782AF4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="000259B9"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8946E6">
      <w:rPr>
        <w:i/>
        <w:noProof/>
        <w:sz w:val="18"/>
        <w:szCs w:val="18"/>
      </w:rPr>
      <w:t>Dokument588</w:t>
    </w:r>
    <w:r w:rsidRPr="00B373D7">
      <w:rPr>
        <w:i/>
        <w:sz w:val="18"/>
        <w:szCs w:val="18"/>
      </w:rPr>
      <w:fldChar w:fldCharType="end"/>
    </w:r>
    <w:r w:rsidR="000259B9"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="000259B9"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="000259B9"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 w:rsidR="00C60CCD"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46E6" w:rsidRDefault="008946E6">
      <w:r>
        <w:separator/>
      </w:r>
    </w:p>
  </w:footnote>
  <w:footnote w:type="continuationSeparator" w:id="0">
    <w:p w:rsidR="008946E6" w:rsidRDefault="008946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3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4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5" w15:restartNumberingAfterBreak="0">
    <w:nsid w:val="766F615B"/>
    <w:multiLevelType w:val="hybridMultilevel"/>
    <w:tmpl w:val="64CC7F7E"/>
    <w:lvl w:ilvl="0" w:tplc="040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6E6"/>
    <w:rsid w:val="000259B9"/>
    <w:rsid w:val="00041491"/>
    <w:rsid w:val="00050D16"/>
    <w:rsid w:val="00074F2A"/>
    <w:rsid w:val="000A1CA8"/>
    <w:rsid w:val="000A466B"/>
    <w:rsid w:val="000B058C"/>
    <w:rsid w:val="000E4EE6"/>
    <w:rsid w:val="001454E2"/>
    <w:rsid w:val="00206CE8"/>
    <w:rsid w:val="0021526C"/>
    <w:rsid w:val="00283A2B"/>
    <w:rsid w:val="00295720"/>
    <w:rsid w:val="002B30AD"/>
    <w:rsid w:val="002C2C01"/>
    <w:rsid w:val="003A29AE"/>
    <w:rsid w:val="003A32D7"/>
    <w:rsid w:val="003B4074"/>
    <w:rsid w:val="003C769A"/>
    <w:rsid w:val="003F1838"/>
    <w:rsid w:val="0045746C"/>
    <w:rsid w:val="0049104B"/>
    <w:rsid w:val="004E3B12"/>
    <w:rsid w:val="00517A89"/>
    <w:rsid w:val="00532310"/>
    <w:rsid w:val="00560ECC"/>
    <w:rsid w:val="00565F0F"/>
    <w:rsid w:val="00594A86"/>
    <w:rsid w:val="00596D86"/>
    <w:rsid w:val="00637F5A"/>
    <w:rsid w:val="006560B1"/>
    <w:rsid w:val="006756DD"/>
    <w:rsid w:val="00737275"/>
    <w:rsid w:val="00740EEC"/>
    <w:rsid w:val="0078011A"/>
    <w:rsid w:val="00782AF4"/>
    <w:rsid w:val="00790EE7"/>
    <w:rsid w:val="007B6649"/>
    <w:rsid w:val="0081546F"/>
    <w:rsid w:val="0082576E"/>
    <w:rsid w:val="008946E6"/>
    <w:rsid w:val="00907F75"/>
    <w:rsid w:val="009260DE"/>
    <w:rsid w:val="0093258A"/>
    <w:rsid w:val="009C7BA3"/>
    <w:rsid w:val="009D1F5A"/>
    <w:rsid w:val="00B003BF"/>
    <w:rsid w:val="00B373D7"/>
    <w:rsid w:val="00C36276"/>
    <w:rsid w:val="00C42586"/>
    <w:rsid w:val="00C60CCD"/>
    <w:rsid w:val="00C84483"/>
    <w:rsid w:val="00C95551"/>
    <w:rsid w:val="00CB20D7"/>
    <w:rsid w:val="00D020B0"/>
    <w:rsid w:val="00D11748"/>
    <w:rsid w:val="00D366CF"/>
    <w:rsid w:val="00E108AA"/>
    <w:rsid w:val="00E31812"/>
    <w:rsid w:val="00E3749A"/>
    <w:rsid w:val="00E7437F"/>
    <w:rsid w:val="00E865B8"/>
    <w:rsid w:val="00EC0B9B"/>
    <w:rsid w:val="00ED5E9F"/>
    <w:rsid w:val="00F33547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812F13"/>
  <w15:chartTrackingRefBased/>
  <w15:docId w15:val="{94ED7A73-9676-4613-9406-C430B2EC8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character" w:styleId="Hyperlink">
    <w:name w:val="Hyperlink"/>
    <w:basedOn w:val="Standardskrifttypeiafsnit"/>
    <w:uiPriority w:val="99"/>
    <w:semiHidden/>
    <w:unhideWhenUsed/>
    <w:rsid w:val="008946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GOD\SPC'er\_SPC%20Skabeloner\SPC%20Hum.dotm" TargetMode="Externa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SPC Hum</Template>
  <TotalTime>0</TotalTime>
  <Pages>7</Pages>
  <Words>1632</Words>
  <Characters>10730</Characters>
  <Application>Microsoft Office Word</Application>
  <DocSecurity>0</DocSecurity>
  <Lines>89</Lines>
  <Paragraphs>24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OPTION</Company>
  <LinksUpToDate>false</LinksUpToDate>
  <CharactersWithSpaces>12338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Helle Søndersted</dc:creator>
  <cp:keywords/>
  <dc:description>2021121549 pkt. 6.1. fjernet monohydrat.</dc:description>
  <cp:lastModifiedBy>Helle Søndersted</cp:lastModifiedBy>
  <cp:revision>2</cp:revision>
  <cp:lastPrinted>2012-08-22T08:53:00Z</cp:lastPrinted>
  <dcterms:created xsi:type="dcterms:W3CDTF">2022-02-16T09:53:00Z</dcterms:created>
  <dcterms:modified xsi:type="dcterms:W3CDTF">2022-02-16T09:53:00Z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ConvertedFromMacroDocument">
    <vt:lpwstr>True</vt:lpwstr>
  </property>
</Properties>
</file>