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35062">
        <w:rPr>
          <w:szCs w:val="24"/>
        </w:rPr>
        <w:t>8. maj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AC2A57" w:rsidRPr="00AC2A57" w:rsidRDefault="00AC2A57" w:rsidP="00AC2A57">
      <w:pPr>
        <w:jc w:val="center"/>
        <w:rPr>
          <w:b/>
          <w:sz w:val="24"/>
          <w:szCs w:val="24"/>
        </w:rPr>
      </w:pPr>
      <w:r w:rsidRPr="00AC2A57">
        <w:rPr>
          <w:b/>
          <w:sz w:val="24"/>
          <w:szCs w:val="24"/>
        </w:rPr>
        <w:t>Betamethason/Salicylsyre "Orifarm"</w:t>
      </w:r>
      <w:r>
        <w:rPr>
          <w:b/>
          <w:sz w:val="24"/>
          <w:szCs w:val="24"/>
        </w:rPr>
        <w:t>, salve</w:t>
      </w:r>
    </w:p>
    <w:p w:rsidR="009260DE" w:rsidRPr="00C84483" w:rsidRDefault="009260DE" w:rsidP="009260DE">
      <w:pPr>
        <w:jc w:val="center"/>
        <w:rPr>
          <w:b/>
          <w:sz w:val="24"/>
          <w:szCs w:val="24"/>
        </w:rPr>
      </w:pP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A1E6F" w:rsidP="009260DE">
      <w:pPr>
        <w:tabs>
          <w:tab w:val="left" w:pos="851"/>
        </w:tabs>
        <w:ind w:left="851"/>
        <w:rPr>
          <w:sz w:val="24"/>
          <w:szCs w:val="24"/>
        </w:rPr>
      </w:pPr>
      <w:r>
        <w:rPr>
          <w:sz w:val="24"/>
          <w:szCs w:val="24"/>
        </w:rPr>
        <w:t>32916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6A1E6F" w:rsidRPr="006A1E6F" w:rsidRDefault="006A1E6F" w:rsidP="006A1E6F">
      <w:pPr>
        <w:tabs>
          <w:tab w:val="left" w:pos="851"/>
        </w:tabs>
        <w:ind w:left="851"/>
        <w:rPr>
          <w:sz w:val="24"/>
          <w:szCs w:val="24"/>
        </w:rPr>
      </w:pPr>
      <w:r w:rsidRPr="006A1E6F">
        <w:rPr>
          <w:sz w:val="24"/>
          <w:szCs w:val="24"/>
        </w:rPr>
        <w:t xml:space="preserve">Betamethason/Salicylsyre "Orifarm"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E5673" w:rsidRPr="00DE5673" w:rsidRDefault="00DE5673" w:rsidP="00DE5673">
      <w:pPr>
        <w:tabs>
          <w:tab w:val="left" w:pos="851"/>
        </w:tabs>
        <w:ind w:left="851"/>
        <w:rPr>
          <w:sz w:val="24"/>
          <w:szCs w:val="24"/>
        </w:rPr>
      </w:pPr>
      <w:r w:rsidRPr="00DE5673">
        <w:rPr>
          <w:sz w:val="24"/>
          <w:szCs w:val="24"/>
        </w:rPr>
        <w:t>1 gram salve indeholder betamethasondipropionat svarende til 0,5 mg/g betamethason og 30 mg/g salicylsyre</w:t>
      </w:r>
      <w:r w:rsidR="00BE3155">
        <w:rPr>
          <w:sz w:val="24"/>
          <w:szCs w:val="24"/>
        </w:rPr>
        <w:t>.</w:t>
      </w:r>
    </w:p>
    <w:p w:rsidR="00DE5673" w:rsidRPr="00DE5673" w:rsidRDefault="00DE5673" w:rsidP="00DE5673">
      <w:pPr>
        <w:tabs>
          <w:tab w:val="left" w:pos="851"/>
        </w:tabs>
        <w:ind w:left="851"/>
        <w:rPr>
          <w:sz w:val="24"/>
          <w:szCs w:val="24"/>
        </w:rPr>
      </w:pPr>
    </w:p>
    <w:p w:rsidR="00DE5673" w:rsidRPr="00DE5673" w:rsidRDefault="00DE5673" w:rsidP="00DE5673">
      <w:pPr>
        <w:tabs>
          <w:tab w:val="left" w:pos="851"/>
        </w:tabs>
        <w:ind w:left="851"/>
        <w:rPr>
          <w:sz w:val="24"/>
          <w:szCs w:val="24"/>
        </w:rPr>
      </w:pPr>
      <w:r w:rsidRPr="00DE567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E3155" w:rsidRDefault="00BE3155" w:rsidP="00BE3155">
      <w:pPr>
        <w:tabs>
          <w:tab w:val="left" w:pos="851"/>
        </w:tabs>
        <w:ind w:left="851"/>
        <w:rPr>
          <w:sz w:val="24"/>
          <w:szCs w:val="24"/>
        </w:rPr>
      </w:pPr>
      <w:r w:rsidRPr="00BE3155">
        <w:rPr>
          <w:sz w:val="24"/>
          <w:szCs w:val="24"/>
        </w:rPr>
        <w:t>Salve</w:t>
      </w:r>
    </w:p>
    <w:p w:rsidR="00BE3155" w:rsidRPr="00BE3155" w:rsidRDefault="00BE3155" w:rsidP="00BE3155">
      <w:pPr>
        <w:tabs>
          <w:tab w:val="left" w:pos="851"/>
        </w:tabs>
        <w:ind w:left="851"/>
        <w:rPr>
          <w:sz w:val="24"/>
          <w:szCs w:val="24"/>
        </w:rPr>
      </w:pPr>
    </w:p>
    <w:p w:rsidR="00BE3155" w:rsidRPr="00BE3155" w:rsidRDefault="00BE3155" w:rsidP="00BE3155">
      <w:pPr>
        <w:tabs>
          <w:tab w:val="left" w:pos="851"/>
        </w:tabs>
        <w:ind w:left="851"/>
        <w:rPr>
          <w:sz w:val="24"/>
          <w:szCs w:val="24"/>
        </w:rPr>
      </w:pPr>
      <w:r w:rsidRPr="00BE3155">
        <w:rPr>
          <w:sz w:val="24"/>
          <w:szCs w:val="24"/>
        </w:rPr>
        <w:t>Hvid, semi-transparent</w:t>
      </w:r>
      <w:r>
        <w:rPr>
          <w:sz w:val="24"/>
          <w:szCs w:val="24"/>
        </w:rPr>
        <w:t>,</w:t>
      </w:r>
      <w:r w:rsidRPr="00BE3155">
        <w:rPr>
          <w:sz w:val="24"/>
          <w:szCs w:val="24"/>
        </w:rPr>
        <w:t xml:space="preserve"> homogen salve</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E3155" w:rsidRPr="00BE3155" w:rsidRDefault="00BE3155" w:rsidP="00BE3155">
      <w:pPr>
        <w:tabs>
          <w:tab w:val="left" w:pos="851"/>
        </w:tabs>
        <w:ind w:left="851"/>
        <w:rPr>
          <w:sz w:val="24"/>
          <w:szCs w:val="24"/>
        </w:rPr>
      </w:pPr>
      <w:r w:rsidRPr="00BE3155">
        <w:rPr>
          <w:sz w:val="24"/>
          <w:szCs w:val="24"/>
        </w:rPr>
        <w:t xml:space="preserve">Psoriasis, eksem og andre steroidfølsomme dermatoser.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BE3155" w:rsidRDefault="00BE3155" w:rsidP="00BE3155">
      <w:pPr>
        <w:tabs>
          <w:tab w:val="left" w:pos="851"/>
        </w:tabs>
        <w:ind w:left="851"/>
        <w:rPr>
          <w:sz w:val="24"/>
          <w:szCs w:val="24"/>
        </w:rPr>
      </w:pPr>
    </w:p>
    <w:p w:rsidR="00BE3155" w:rsidRPr="00BE3155" w:rsidRDefault="00BE3155" w:rsidP="00BE3155">
      <w:pPr>
        <w:tabs>
          <w:tab w:val="left" w:pos="851"/>
        </w:tabs>
        <w:ind w:left="851"/>
        <w:rPr>
          <w:sz w:val="24"/>
          <w:szCs w:val="24"/>
          <w:u w:val="single"/>
        </w:rPr>
      </w:pPr>
      <w:r w:rsidRPr="00BE3155">
        <w:rPr>
          <w:sz w:val="24"/>
          <w:szCs w:val="24"/>
          <w:u w:val="single"/>
        </w:rPr>
        <w:t>Voksne og børn</w:t>
      </w:r>
    </w:p>
    <w:p w:rsidR="00BE3155" w:rsidRPr="00BE3155" w:rsidRDefault="00BE3155" w:rsidP="00BE3155">
      <w:pPr>
        <w:tabs>
          <w:tab w:val="left" w:pos="851"/>
        </w:tabs>
        <w:ind w:left="851"/>
        <w:rPr>
          <w:sz w:val="24"/>
          <w:szCs w:val="24"/>
        </w:rPr>
      </w:pPr>
      <w:r w:rsidRPr="00BE3155">
        <w:rPr>
          <w:sz w:val="24"/>
          <w:szCs w:val="24"/>
        </w:rPr>
        <w:t xml:space="preserve">Påsmøres i et tyndt lag 1-2 gange daglig på det berørte hudområde i et par dage. Derefter bør én behandling daglig være nok. </w:t>
      </w:r>
      <w:r w:rsidRPr="00BE3155">
        <w:rPr>
          <w:bCs/>
          <w:sz w:val="24"/>
          <w:szCs w:val="24"/>
        </w:rPr>
        <w:t xml:space="preserve">Når der først er sket forbedring, </w:t>
      </w:r>
      <w:r w:rsidRPr="00BE3155">
        <w:rPr>
          <w:sz w:val="24"/>
          <w:szCs w:val="24"/>
        </w:rPr>
        <w:t xml:space="preserve">kan afstand mellem behandlingsinterval kan udstrækkes.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B2168" w:rsidRPr="003B2168" w:rsidRDefault="003B2168" w:rsidP="003B2168">
      <w:pPr>
        <w:numPr>
          <w:ilvl w:val="0"/>
          <w:numId w:val="6"/>
        </w:numPr>
        <w:tabs>
          <w:tab w:val="left" w:pos="851"/>
        </w:tabs>
        <w:ind w:left="1134" w:hanging="283"/>
        <w:rPr>
          <w:sz w:val="24"/>
          <w:szCs w:val="24"/>
        </w:rPr>
      </w:pPr>
      <w:r w:rsidRPr="003B2168">
        <w:rPr>
          <w:sz w:val="24"/>
          <w:szCs w:val="24"/>
        </w:rPr>
        <w:t>Overfølsomhed over for de aktive stoffer eller over for et eller flere af hjælpestofferne anført i pkt. 6.1.</w:t>
      </w:r>
    </w:p>
    <w:p w:rsidR="003B2168" w:rsidRPr="003B2168" w:rsidRDefault="003B2168" w:rsidP="003B2168">
      <w:pPr>
        <w:numPr>
          <w:ilvl w:val="0"/>
          <w:numId w:val="6"/>
        </w:numPr>
        <w:tabs>
          <w:tab w:val="left" w:pos="851"/>
        </w:tabs>
        <w:ind w:left="1134" w:hanging="283"/>
        <w:rPr>
          <w:sz w:val="24"/>
          <w:szCs w:val="24"/>
        </w:rPr>
      </w:pPr>
      <w:r w:rsidRPr="003B2168">
        <w:rPr>
          <w:sz w:val="24"/>
          <w:szCs w:val="24"/>
        </w:rPr>
        <w:lastRenderedPageBreak/>
        <w:t>I tilfælde af hudinfektioner forårsaget af bakterier, patogene svampe eller parasitter, bør lokale glukokortikoider kun anvendes, hvis passende infektionsmiddel gives samtidig (se pkt. 4.4).</w:t>
      </w:r>
    </w:p>
    <w:p w:rsidR="003B2168" w:rsidRPr="003B2168" w:rsidRDefault="003B2168" w:rsidP="003B2168">
      <w:pPr>
        <w:numPr>
          <w:ilvl w:val="0"/>
          <w:numId w:val="6"/>
        </w:numPr>
        <w:tabs>
          <w:tab w:val="left" w:pos="851"/>
        </w:tabs>
        <w:ind w:left="1134" w:hanging="283"/>
        <w:rPr>
          <w:sz w:val="24"/>
          <w:szCs w:val="24"/>
        </w:rPr>
      </w:pPr>
      <w:r w:rsidRPr="003B2168">
        <w:rPr>
          <w:sz w:val="24"/>
          <w:szCs w:val="24"/>
        </w:rPr>
        <w:t>Rosacea.</w:t>
      </w:r>
    </w:p>
    <w:p w:rsidR="003B2168" w:rsidRPr="003B2168" w:rsidRDefault="003B2168" w:rsidP="003B2168">
      <w:pPr>
        <w:numPr>
          <w:ilvl w:val="0"/>
          <w:numId w:val="6"/>
        </w:numPr>
        <w:tabs>
          <w:tab w:val="left" w:pos="851"/>
        </w:tabs>
        <w:ind w:left="1134" w:hanging="283"/>
        <w:rPr>
          <w:sz w:val="24"/>
          <w:szCs w:val="24"/>
        </w:rPr>
      </w:pPr>
      <w:r w:rsidRPr="003B2168">
        <w:rPr>
          <w:sz w:val="24"/>
          <w:szCs w:val="24"/>
        </w:rPr>
        <w:t>Perioral dermatit.</w:t>
      </w:r>
    </w:p>
    <w:p w:rsidR="003B2168" w:rsidRPr="003B2168" w:rsidRDefault="003B2168" w:rsidP="003B2168">
      <w:pPr>
        <w:numPr>
          <w:ilvl w:val="0"/>
          <w:numId w:val="6"/>
        </w:numPr>
        <w:tabs>
          <w:tab w:val="left" w:pos="851"/>
        </w:tabs>
        <w:ind w:left="1134" w:hanging="283"/>
        <w:rPr>
          <w:sz w:val="24"/>
          <w:szCs w:val="24"/>
        </w:rPr>
      </w:pPr>
      <w:r w:rsidRPr="003B2168">
        <w:rPr>
          <w:sz w:val="24"/>
          <w:szCs w:val="24"/>
        </w:rPr>
        <w:t xml:space="preserve">Acne vulgaris.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B2168" w:rsidRPr="003B2168" w:rsidRDefault="003B2168" w:rsidP="003B2168">
      <w:pPr>
        <w:tabs>
          <w:tab w:val="left" w:pos="851"/>
        </w:tabs>
        <w:ind w:left="851"/>
        <w:rPr>
          <w:sz w:val="24"/>
          <w:szCs w:val="24"/>
        </w:rPr>
      </w:pPr>
      <w:r w:rsidRPr="003B2168">
        <w:rPr>
          <w:sz w:val="24"/>
          <w:szCs w:val="24"/>
        </w:rPr>
        <w:t>Der bør udvises forsigtighed med topikale glukokortikoider ved behandling af store områder af kroppen og ved langvarig brug.</w:t>
      </w:r>
    </w:p>
    <w:p w:rsidR="003B2168" w:rsidRPr="003B2168" w:rsidRDefault="003B2168" w:rsidP="003B2168">
      <w:pPr>
        <w:tabs>
          <w:tab w:val="left" w:pos="851"/>
        </w:tabs>
        <w:ind w:left="851"/>
        <w:rPr>
          <w:sz w:val="24"/>
          <w:szCs w:val="24"/>
        </w:rPr>
      </w:pPr>
    </w:p>
    <w:p w:rsidR="003B2168" w:rsidRPr="003B2168" w:rsidRDefault="003B2168" w:rsidP="003B2168">
      <w:pPr>
        <w:tabs>
          <w:tab w:val="left" w:pos="851"/>
        </w:tabs>
        <w:ind w:left="851"/>
        <w:rPr>
          <w:sz w:val="24"/>
          <w:szCs w:val="24"/>
        </w:rPr>
      </w:pPr>
      <w:r w:rsidRPr="003B2168">
        <w:rPr>
          <w:sz w:val="24"/>
          <w:szCs w:val="24"/>
        </w:rPr>
        <w:t>Behandling med okklusive forbindinger bør undgås ved inficeret eksem og begrænses til korte perioder og mindre hudområder. Undgå kontakt med øjne. Armhuler, lysker eller andre intertriginøse hudområder samt øjenregionen bør ikke behandles andet end kortvarigt med stærke steroider.</w:t>
      </w:r>
    </w:p>
    <w:p w:rsidR="003B2168" w:rsidRPr="003B2168" w:rsidRDefault="003B2168" w:rsidP="003B2168">
      <w:pPr>
        <w:tabs>
          <w:tab w:val="left" w:pos="851"/>
        </w:tabs>
        <w:ind w:left="851"/>
        <w:rPr>
          <w:sz w:val="24"/>
          <w:szCs w:val="24"/>
        </w:rPr>
      </w:pPr>
      <w:r w:rsidRPr="003B2168">
        <w:rPr>
          <w:sz w:val="24"/>
          <w:szCs w:val="24"/>
        </w:rPr>
        <w:t>Salven må ikke påføres åbne sår.</w:t>
      </w:r>
    </w:p>
    <w:p w:rsidR="003B2168" w:rsidRPr="003B2168" w:rsidRDefault="003B2168" w:rsidP="003B2168">
      <w:pPr>
        <w:tabs>
          <w:tab w:val="left" w:pos="851"/>
        </w:tabs>
        <w:ind w:left="851"/>
        <w:rPr>
          <w:sz w:val="24"/>
          <w:szCs w:val="24"/>
        </w:rPr>
      </w:pPr>
    </w:p>
    <w:p w:rsidR="003B2168" w:rsidRPr="003B2168" w:rsidRDefault="003B2168" w:rsidP="003B2168">
      <w:pPr>
        <w:tabs>
          <w:tab w:val="left" w:pos="851"/>
        </w:tabs>
        <w:ind w:left="851"/>
        <w:rPr>
          <w:sz w:val="24"/>
          <w:szCs w:val="24"/>
        </w:rPr>
      </w:pPr>
      <w:r w:rsidRPr="003B2168">
        <w:rPr>
          <w:sz w:val="24"/>
          <w:szCs w:val="24"/>
        </w:rPr>
        <w:t xml:space="preserve">Glukokortikoider kan maskere, aktivere eller forværre en hudinfektion. Hvis der opstår hudinfektion samtidig, bør der anvendes et passende antimykotisk eller antibakterielt middel. Hvis bedring ikke opnås, bør behandlingen med </w:t>
      </w:r>
      <w:r w:rsidR="00C33346">
        <w:rPr>
          <w:sz w:val="24"/>
          <w:szCs w:val="24"/>
        </w:rPr>
        <w:t>Betamethason/Salicylsyre "Orifarm"</w:t>
      </w:r>
      <w:r w:rsidRPr="003B2168">
        <w:rPr>
          <w:sz w:val="24"/>
          <w:szCs w:val="24"/>
        </w:rPr>
        <w:t xml:space="preserve"> seponeres indtil infektionen er under kontrol.</w:t>
      </w:r>
    </w:p>
    <w:p w:rsidR="003B2168" w:rsidRPr="003B2168" w:rsidRDefault="003B2168" w:rsidP="003B2168">
      <w:pPr>
        <w:tabs>
          <w:tab w:val="left" w:pos="851"/>
        </w:tabs>
        <w:ind w:left="851"/>
        <w:rPr>
          <w:sz w:val="24"/>
          <w:szCs w:val="24"/>
        </w:rPr>
      </w:pPr>
      <w:r w:rsidRPr="003B2168">
        <w:rPr>
          <w:sz w:val="24"/>
          <w:szCs w:val="24"/>
        </w:rPr>
        <w:t>Behandlingen bør ikke afbrydes brat. Som med alle stærke steroider bør behandlingen seponeres</w:t>
      </w:r>
    </w:p>
    <w:p w:rsidR="003B2168" w:rsidRPr="003B2168" w:rsidRDefault="003B2168" w:rsidP="003B2168">
      <w:pPr>
        <w:tabs>
          <w:tab w:val="left" w:pos="851"/>
        </w:tabs>
        <w:ind w:left="851"/>
        <w:rPr>
          <w:sz w:val="24"/>
          <w:szCs w:val="24"/>
        </w:rPr>
      </w:pPr>
      <w:r w:rsidRPr="003B2168">
        <w:rPr>
          <w:sz w:val="24"/>
          <w:szCs w:val="24"/>
        </w:rPr>
        <w:t>gradvist.</w:t>
      </w:r>
    </w:p>
    <w:p w:rsidR="003B2168" w:rsidRPr="003B2168" w:rsidRDefault="003B2168" w:rsidP="003B2168">
      <w:pPr>
        <w:tabs>
          <w:tab w:val="left" w:pos="851"/>
        </w:tabs>
        <w:ind w:left="851"/>
        <w:rPr>
          <w:sz w:val="24"/>
          <w:szCs w:val="24"/>
        </w:rPr>
      </w:pPr>
    </w:p>
    <w:p w:rsidR="003B2168" w:rsidRPr="003B2168" w:rsidRDefault="003B2168" w:rsidP="003B2168">
      <w:pPr>
        <w:tabs>
          <w:tab w:val="left" w:pos="851"/>
        </w:tabs>
        <w:ind w:left="851"/>
        <w:rPr>
          <w:sz w:val="24"/>
          <w:szCs w:val="24"/>
        </w:rPr>
      </w:pPr>
      <w:r w:rsidRPr="003B2168">
        <w:rPr>
          <w:sz w:val="24"/>
          <w:szCs w:val="24"/>
          <w:u w:val="single"/>
        </w:rPr>
        <w:t>Synsforstyrrelser</w:t>
      </w:r>
    </w:p>
    <w:p w:rsidR="003B2168" w:rsidRPr="003B2168" w:rsidRDefault="003B2168" w:rsidP="003B2168">
      <w:pPr>
        <w:tabs>
          <w:tab w:val="left" w:pos="851"/>
        </w:tabs>
        <w:ind w:left="851"/>
        <w:rPr>
          <w:sz w:val="24"/>
          <w:szCs w:val="24"/>
        </w:rPr>
      </w:pPr>
      <w:r w:rsidRPr="003B2168">
        <w:rPr>
          <w:sz w:val="24"/>
          <w:szCs w:val="24"/>
        </w:rPr>
        <w:t>Synsforstyrrelser kan blive indberettet ved brug af systemiske og topikale kortikosteroider. Hvis en patient har symptomer såsom sløret syn eller andre synsforstyrrelser, bør en henvisning til en øjenlæge overvejes for vurdering af mulige årsager til synsforstyrrelser, som kan omfatte katarakt, glaukom eller sjældne sygdomme såsom central serøs chorioretinopati (CSCR) som er blevet indrapporteret efter brug af systemiske og topikale kortikosteroider.</w:t>
      </w:r>
    </w:p>
    <w:p w:rsidR="003B2168" w:rsidRPr="003B2168" w:rsidRDefault="003B2168" w:rsidP="003B2168">
      <w:pPr>
        <w:tabs>
          <w:tab w:val="left" w:pos="851"/>
        </w:tabs>
        <w:ind w:left="851"/>
        <w:rPr>
          <w:sz w:val="24"/>
          <w:szCs w:val="24"/>
        </w:rPr>
      </w:pPr>
    </w:p>
    <w:p w:rsidR="003B2168" w:rsidRPr="003B2168" w:rsidRDefault="003B2168" w:rsidP="003B2168">
      <w:pPr>
        <w:tabs>
          <w:tab w:val="left" w:pos="851"/>
        </w:tabs>
        <w:ind w:left="851"/>
        <w:rPr>
          <w:sz w:val="24"/>
          <w:szCs w:val="24"/>
          <w:u w:val="single"/>
        </w:rPr>
      </w:pPr>
      <w:r w:rsidRPr="003B2168">
        <w:rPr>
          <w:sz w:val="24"/>
          <w:szCs w:val="24"/>
          <w:u w:val="single"/>
        </w:rPr>
        <w:t>Pædiatrisk population</w:t>
      </w:r>
    </w:p>
    <w:p w:rsidR="003B2168" w:rsidRPr="003B2168" w:rsidRDefault="003B2168" w:rsidP="003B2168">
      <w:pPr>
        <w:tabs>
          <w:tab w:val="left" w:pos="851"/>
        </w:tabs>
        <w:ind w:left="851"/>
        <w:rPr>
          <w:sz w:val="24"/>
          <w:szCs w:val="24"/>
        </w:rPr>
      </w:pPr>
      <w:r w:rsidRPr="003B2168">
        <w:rPr>
          <w:sz w:val="24"/>
          <w:szCs w:val="24"/>
        </w:rPr>
        <w:t>Anvendes med forsigtighed ved behandling af børn. De indrapporterede bivirkninger ved systemisk brug af kortikosteroider, herunder hæmning af binyrebarkens funktion, kan også forekomme ved topikalt brug af steroider især hos børn. Børn kan udvise større modtagelighed end voksne over for topikale kortikosteroiders induceret HPA akse hæmning og over for eksogene kortikosteroideffekter, på grund af den større hudoverflade i forhold til kropsvægten.</w:t>
      </w:r>
    </w:p>
    <w:p w:rsidR="003B2168" w:rsidRPr="003B2168" w:rsidRDefault="003B2168" w:rsidP="003B2168">
      <w:pPr>
        <w:tabs>
          <w:tab w:val="left" w:pos="851"/>
        </w:tabs>
        <w:ind w:left="851"/>
        <w:rPr>
          <w:sz w:val="24"/>
          <w:szCs w:val="24"/>
          <w:u w:val="single"/>
        </w:rPr>
      </w:pPr>
      <w:r w:rsidRPr="003B2168">
        <w:rPr>
          <w:sz w:val="24"/>
          <w:szCs w:val="24"/>
        </w:rPr>
        <w:t>Kronisk behandling med kortikosteroider kan påvirke vækst og udvikling hos børn.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F4458" w:rsidRPr="006F4458" w:rsidRDefault="006F4458" w:rsidP="006F4458">
      <w:pPr>
        <w:tabs>
          <w:tab w:val="left" w:pos="849"/>
        </w:tabs>
        <w:ind w:left="851"/>
        <w:rPr>
          <w:sz w:val="24"/>
          <w:szCs w:val="24"/>
        </w:rPr>
      </w:pPr>
      <w:r w:rsidRPr="006F4458">
        <w:rPr>
          <w:sz w:val="24"/>
          <w:szCs w:val="24"/>
        </w:rPr>
        <w:t>Ingen kendte.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6F4458" w:rsidRDefault="006F4458" w:rsidP="006F4458">
      <w:pPr>
        <w:tabs>
          <w:tab w:val="left" w:pos="851"/>
        </w:tabs>
        <w:ind w:left="851"/>
        <w:rPr>
          <w:sz w:val="24"/>
          <w:szCs w:val="24"/>
          <w:u w:val="single"/>
        </w:rPr>
      </w:pPr>
    </w:p>
    <w:p w:rsidR="006F4458" w:rsidRPr="006F4458" w:rsidRDefault="006F4458" w:rsidP="006F4458">
      <w:pPr>
        <w:tabs>
          <w:tab w:val="left" w:pos="851"/>
        </w:tabs>
        <w:ind w:left="851"/>
        <w:rPr>
          <w:sz w:val="24"/>
          <w:szCs w:val="24"/>
          <w:u w:val="single"/>
        </w:rPr>
      </w:pPr>
      <w:r w:rsidRPr="006F4458">
        <w:rPr>
          <w:sz w:val="24"/>
          <w:szCs w:val="24"/>
          <w:u w:val="single"/>
        </w:rPr>
        <w:t>Graviditet</w:t>
      </w:r>
    </w:p>
    <w:p w:rsidR="006F4458" w:rsidRPr="006F4458" w:rsidRDefault="006F4458" w:rsidP="006F4458">
      <w:pPr>
        <w:tabs>
          <w:tab w:val="left" w:pos="851"/>
        </w:tabs>
        <w:ind w:left="851"/>
        <w:rPr>
          <w:sz w:val="24"/>
          <w:szCs w:val="24"/>
        </w:rPr>
      </w:pPr>
      <w:r w:rsidRPr="006F4458">
        <w:rPr>
          <w:sz w:val="24"/>
          <w:szCs w:val="24"/>
        </w:rPr>
        <w:t>Brug af kortikosteroider i dyrestudier har vist forskellige misdannelser (ganespalte, skeletmisdannelser), men dette virker ikke til at være relevant for mennesker. Efter langvarig oral behandling er der observeret nedsat placenta- og fødselsvægt hos mennesker og dyr.</w:t>
      </w:r>
    </w:p>
    <w:p w:rsidR="006F4458" w:rsidRPr="006F4458" w:rsidRDefault="006F4458" w:rsidP="006F4458">
      <w:pPr>
        <w:tabs>
          <w:tab w:val="left" w:pos="851"/>
        </w:tabs>
        <w:ind w:left="851"/>
        <w:rPr>
          <w:sz w:val="24"/>
          <w:szCs w:val="24"/>
        </w:rPr>
      </w:pPr>
      <w:r w:rsidRPr="006F4458">
        <w:rPr>
          <w:sz w:val="24"/>
          <w:szCs w:val="24"/>
        </w:rPr>
        <w:t>Yderligere er der ved behandling over længere tid, risiko for hæmning af binyrebarken hos det nyfødte barn. Ved behandling af større kropsområder i længere periode under graviditet, bør lavpotente steroider ordineres.</w:t>
      </w:r>
    </w:p>
    <w:p w:rsidR="006F4458" w:rsidRPr="006F4458" w:rsidRDefault="006F4458" w:rsidP="006F4458">
      <w:pPr>
        <w:tabs>
          <w:tab w:val="left" w:pos="851"/>
        </w:tabs>
        <w:ind w:left="851"/>
        <w:rPr>
          <w:sz w:val="24"/>
          <w:szCs w:val="24"/>
        </w:rPr>
      </w:pPr>
    </w:p>
    <w:p w:rsidR="006F4458" w:rsidRPr="006F4458" w:rsidRDefault="006F4458" w:rsidP="006F4458">
      <w:pPr>
        <w:tabs>
          <w:tab w:val="left" w:pos="851"/>
        </w:tabs>
        <w:ind w:left="851"/>
        <w:rPr>
          <w:sz w:val="24"/>
          <w:szCs w:val="24"/>
          <w:u w:val="single"/>
        </w:rPr>
      </w:pPr>
      <w:r w:rsidRPr="006F4458">
        <w:rPr>
          <w:sz w:val="24"/>
          <w:szCs w:val="24"/>
          <w:u w:val="single"/>
        </w:rPr>
        <w:t>Amning</w:t>
      </w:r>
    </w:p>
    <w:p w:rsidR="006F4458" w:rsidRPr="006F4458" w:rsidRDefault="006F4458" w:rsidP="006F4458">
      <w:pPr>
        <w:tabs>
          <w:tab w:val="left" w:pos="851"/>
        </w:tabs>
        <w:ind w:left="851"/>
        <w:rPr>
          <w:sz w:val="24"/>
          <w:szCs w:val="24"/>
        </w:rPr>
      </w:pPr>
      <w:r w:rsidRPr="006F4458">
        <w:rPr>
          <w:sz w:val="24"/>
          <w:szCs w:val="24"/>
        </w:rPr>
        <w:t xml:space="preserve">Betamethason udskilles i modermælk, men sandsynligheden for påvirkning af det ammede barn formodes lav ved terapeutiske doser. Påføring af </w:t>
      </w:r>
      <w:r w:rsidR="00C33346">
        <w:rPr>
          <w:sz w:val="24"/>
          <w:szCs w:val="24"/>
        </w:rPr>
        <w:t>Betamethason/Salicylsyre "Orifarm"</w:t>
      </w:r>
      <w:r w:rsidRPr="006F4458">
        <w:rPr>
          <w:sz w:val="24"/>
          <w:szCs w:val="24"/>
        </w:rPr>
        <w:t xml:space="preserve"> på brystområdet bør undgås af ammende kvinder.</w:t>
      </w:r>
    </w:p>
    <w:p w:rsidR="006F4458" w:rsidRPr="006F4458" w:rsidRDefault="006F4458" w:rsidP="006F445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6F4458" w:rsidRPr="006F4458" w:rsidRDefault="006F4458" w:rsidP="006F4458">
      <w:pPr>
        <w:tabs>
          <w:tab w:val="left" w:pos="851"/>
        </w:tabs>
        <w:ind w:left="851"/>
        <w:rPr>
          <w:sz w:val="24"/>
          <w:szCs w:val="24"/>
        </w:rPr>
      </w:pPr>
      <w:r w:rsidRPr="006F4458">
        <w:rPr>
          <w:sz w:val="24"/>
          <w:szCs w:val="24"/>
        </w:rPr>
        <w:t>Ikke mærkning.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F4458" w:rsidRDefault="006F4458" w:rsidP="006F4458">
      <w:pPr>
        <w:ind w:left="851" w:hanging="851"/>
        <w:rPr>
          <w:b/>
          <w:sz w:val="24"/>
          <w:lang w:eastAsia="da-DK"/>
        </w:rPr>
      </w:pPr>
    </w:p>
    <w:tbl>
      <w:tblPr>
        <w:tblStyle w:val="Tabel-Gitter"/>
        <w:tblW w:w="8226" w:type="dxa"/>
        <w:tblInd w:w="846" w:type="dxa"/>
        <w:tblLook w:val="04A0" w:firstRow="1" w:lastRow="0" w:firstColumn="1" w:lastColumn="0" w:noHBand="0" w:noVBand="1"/>
      </w:tblPr>
      <w:tblGrid>
        <w:gridCol w:w="3402"/>
        <w:gridCol w:w="4815"/>
        <w:gridCol w:w="9"/>
      </w:tblGrid>
      <w:tr w:rsidR="006F4458" w:rsidTr="00EA0C58">
        <w:tc>
          <w:tcPr>
            <w:tcW w:w="8226" w:type="dxa"/>
            <w:gridSpan w:val="3"/>
            <w:tcBorders>
              <w:top w:val="single" w:sz="4" w:space="0" w:color="auto"/>
              <w:left w:val="single" w:sz="4" w:space="0" w:color="auto"/>
              <w:bottom w:val="single" w:sz="4" w:space="0" w:color="auto"/>
              <w:right w:val="single" w:sz="4" w:space="0" w:color="auto"/>
            </w:tcBorders>
          </w:tcPr>
          <w:p w:rsidR="006F4458" w:rsidRPr="006F4458" w:rsidRDefault="006F4458" w:rsidP="00EA0C58">
            <w:pPr>
              <w:rPr>
                <w:lang w:val="da-DK"/>
              </w:rPr>
            </w:pPr>
            <w:r w:rsidRPr="006F4458">
              <w:rPr>
                <w:lang w:val="da-DK"/>
              </w:rPr>
              <w:t>Behandlingsrelaterede bivirkninger rapporteret efter systemorganklasse og frekvens</w:t>
            </w:r>
          </w:p>
          <w:p w:rsidR="006F4458" w:rsidRPr="006F4458" w:rsidRDefault="006F4458" w:rsidP="00EA0C58">
            <w:pPr>
              <w:rPr>
                <w:i/>
                <w:iCs/>
                <w:szCs w:val="24"/>
                <w:lang w:val="da-DK"/>
              </w:rPr>
            </w:pPr>
            <w:r w:rsidRPr="006F4458">
              <w:rPr>
                <w:i/>
                <w:iCs/>
                <w:szCs w:val="24"/>
                <w:lang w:val="da-DK"/>
              </w:rPr>
              <w:t>Meget almindelig (</w:t>
            </w:r>
            <w:r>
              <w:rPr>
                <w:rFonts w:ascii="Symbol" w:hAnsi="Symbol"/>
                <w:i/>
                <w:iCs/>
                <w:szCs w:val="24"/>
              </w:rPr>
              <w:sym w:font="Symbol" w:char="F0B3"/>
            </w:r>
            <w:r w:rsidRPr="006F4458">
              <w:rPr>
                <w:i/>
                <w:iCs/>
                <w:szCs w:val="24"/>
                <w:lang w:val="da-DK"/>
              </w:rPr>
              <w:t>1/10); Almindelig (</w:t>
            </w:r>
            <w:r>
              <w:rPr>
                <w:i/>
                <w:iCs/>
                <w:szCs w:val="24"/>
              </w:rPr>
              <w:sym w:font="Symbol" w:char="F0B3"/>
            </w:r>
            <w:r w:rsidRPr="006F4458">
              <w:rPr>
                <w:i/>
                <w:iCs/>
                <w:szCs w:val="24"/>
                <w:lang w:val="da-DK"/>
              </w:rPr>
              <w:t>1/100 til &lt;1/10); Ikke almindelig (</w:t>
            </w:r>
            <w:r>
              <w:rPr>
                <w:rFonts w:ascii="Symbol" w:hAnsi="Symbol"/>
                <w:i/>
                <w:iCs/>
                <w:szCs w:val="24"/>
              </w:rPr>
              <w:sym w:font="Symbol" w:char="F0B3"/>
            </w:r>
            <w:r w:rsidRPr="006F4458">
              <w:rPr>
                <w:i/>
                <w:iCs/>
                <w:szCs w:val="24"/>
                <w:lang w:val="da-DK"/>
              </w:rPr>
              <w:t xml:space="preserve">1/1.000 til </w:t>
            </w:r>
            <w:r>
              <w:rPr>
                <w:rFonts w:ascii="Symbol" w:hAnsi="Symbol"/>
                <w:i/>
                <w:iCs/>
                <w:szCs w:val="24"/>
              </w:rPr>
              <w:sym w:font="Symbol" w:char="F03C"/>
            </w:r>
            <w:r w:rsidRPr="006F4458">
              <w:rPr>
                <w:i/>
                <w:iCs/>
                <w:szCs w:val="24"/>
                <w:lang w:val="da-DK"/>
              </w:rPr>
              <w:t>1/100); Sj</w:t>
            </w:r>
            <w:r>
              <w:rPr>
                <w:i/>
                <w:iCs/>
                <w:szCs w:val="24"/>
                <w:lang w:val="el-GR"/>
              </w:rPr>
              <w:t>æ</w:t>
            </w:r>
            <w:r w:rsidRPr="006F4458">
              <w:rPr>
                <w:i/>
                <w:iCs/>
                <w:szCs w:val="24"/>
                <w:lang w:val="da-DK"/>
              </w:rPr>
              <w:t>lden</w:t>
            </w:r>
            <w:r>
              <w:rPr>
                <w:i/>
                <w:iCs/>
                <w:szCs w:val="24"/>
                <w:lang w:val="el-GR"/>
              </w:rPr>
              <w:t xml:space="preserve"> (</w:t>
            </w:r>
            <w:r>
              <w:rPr>
                <w:rFonts w:ascii="Symbol" w:hAnsi="Symbol"/>
                <w:i/>
                <w:iCs/>
                <w:szCs w:val="24"/>
              </w:rPr>
              <w:sym w:font="Symbol" w:char="F0B3"/>
            </w:r>
            <w:r>
              <w:rPr>
                <w:i/>
                <w:iCs/>
                <w:szCs w:val="24"/>
                <w:lang w:val="el-GR"/>
              </w:rPr>
              <w:t>1/10</w:t>
            </w:r>
            <w:r w:rsidRPr="006F4458">
              <w:rPr>
                <w:i/>
                <w:iCs/>
                <w:szCs w:val="24"/>
                <w:lang w:val="da-DK"/>
              </w:rPr>
              <w:t>.</w:t>
            </w:r>
            <w:r>
              <w:rPr>
                <w:i/>
                <w:iCs/>
                <w:szCs w:val="24"/>
                <w:lang w:val="el-GR"/>
              </w:rPr>
              <w:t>000</w:t>
            </w:r>
            <w:r w:rsidRPr="006F4458">
              <w:rPr>
                <w:i/>
                <w:iCs/>
                <w:szCs w:val="24"/>
                <w:lang w:val="da-DK"/>
              </w:rPr>
              <w:t xml:space="preserve"> til</w:t>
            </w:r>
            <w:r>
              <w:rPr>
                <w:i/>
                <w:iCs/>
                <w:szCs w:val="24"/>
                <w:lang w:val="el-GR"/>
              </w:rPr>
              <w:t xml:space="preserve"> </w:t>
            </w:r>
            <w:r>
              <w:rPr>
                <w:rFonts w:ascii="Symbol" w:hAnsi="Symbol"/>
                <w:i/>
                <w:iCs/>
                <w:szCs w:val="24"/>
              </w:rPr>
              <w:sym w:font="Symbol" w:char="F03C"/>
            </w:r>
            <w:r>
              <w:rPr>
                <w:i/>
                <w:iCs/>
                <w:szCs w:val="24"/>
                <w:lang w:val="el-GR"/>
              </w:rPr>
              <w:t>1/1</w:t>
            </w:r>
            <w:r w:rsidRPr="006F4458">
              <w:rPr>
                <w:i/>
                <w:iCs/>
                <w:szCs w:val="24"/>
                <w:lang w:val="da-DK"/>
              </w:rPr>
              <w:t>.</w:t>
            </w:r>
            <w:r>
              <w:rPr>
                <w:i/>
                <w:iCs/>
                <w:szCs w:val="24"/>
                <w:lang w:val="el-GR"/>
              </w:rPr>
              <w:t>000)</w:t>
            </w:r>
            <w:r w:rsidRPr="006F4458">
              <w:rPr>
                <w:i/>
                <w:iCs/>
                <w:szCs w:val="24"/>
                <w:lang w:val="da-DK"/>
              </w:rPr>
              <w:t>; Meget sjælden (</w:t>
            </w:r>
            <w:r>
              <w:rPr>
                <w:rFonts w:ascii="Symbol" w:hAnsi="Symbol"/>
                <w:i/>
                <w:iCs/>
                <w:szCs w:val="24"/>
              </w:rPr>
              <w:sym w:font="Symbol" w:char="F03C"/>
            </w:r>
            <w:r w:rsidRPr="006F4458">
              <w:rPr>
                <w:i/>
                <w:iCs/>
                <w:szCs w:val="24"/>
                <w:lang w:val="da-DK"/>
              </w:rPr>
              <w:t>1/10.000); ikke kendt (kan ikke estimeres ud fra forhåndenværende data)</w:t>
            </w:r>
          </w:p>
          <w:p w:rsidR="006F4458" w:rsidRPr="006F4458" w:rsidRDefault="006F4458" w:rsidP="00EA0C58">
            <w:pPr>
              <w:rPr>
                <w:i/>
                <w:iCs/>
                <w:lang w:val="da-DK"/>
              </w:rPr>
            </w:pPr>
          </w:p>
        </w:tc>
      </w:tr>
      <w:tr w:rsidR="006F4458" w:rsidTr="00EA0C58">
        <w:trPr>
          <w:gridAfter w:val="1"/>
          <w:wAfter w:w="9" w:type="dxa"/>
        </w:trPr>
        <w:tc>
          <w:tcPr>
            <w:tcW w:w="3402" w:type="dxa"/>
            <w:tcBorders>
              <w:top w:val="single" w:sz="4" w:space="0" w:color="auto"/>
              <w:left w:val="single" w:sz="4" w:space="0" w:color="auto"/>
              <w:bottom w:val="single" w:sz="4" w:space="0" w:color="auto"/>
              <w:right w:val="single" w:sz="4" w:space="0" w:color="auto"/>
            </w:tcBorders>
            <w:hideMark/>
          </w:tcPr>
          <w:p w:rsidR="006F4458" w:rsidRDefault="006F4458" w:rsidP="00EA0C58">
            <w:pPr>
              <w:rPr>
                <w:b/>
                <w:bCs/>
              </w:rPr>
            </w:pPr>
            <w:r>
              <w:rPr>
                <w:b/>
                <w:bCs/>
              </w:rPr>
              <w:t xml:space="preserve">Det endokrine system </w:t>
            </w:r>
          </w:p>
          <w:p w:rsidR="006F4458" w:rsidRDefault="006F4458" w:rsidP="00EA0C58">
            <w:r>
              <w:t xml:space="preserve">Sjælden: </w:t>
            </w:r>
          </w:p>
        </w:tc>
        <w:tc>
          <w:tcPr>
            <w:tcW w:w="4815" w:type="dxa"/>
            <w:tcBorders>
              <w:top w:val="single" w:sz="4" w:space="0" w:color="auto"/>
              <w:left w:val="single" w:sz="4" w:space="0" w:color="auto"/>
              <w:bottom w:val="single" w:sz="4" w:space="0" w:color="auto"/>
              <w:right w:val="single" w:sz="4" w:space="0" w:color="auto"/>
            </w:tcBorders>
          </w:tcPr>
          <w:p w:rsidR="006F4458" w:rsidRDefault="006F4458" w:rsidP="00EA0C58"/>
          <w:p w:rsidR="006F4458" w:rsidRDefault="006F4458" w:rsidP="00EA0C58">
            <w:r>
              <w:rPr>
                <w:szCs w:val="23"/>
              </w:rPr>
              <w:t>Binyrebarkhæmning</w:t>
            </w:r>
            <w:r>
              <w:t xml:space="preserve">. </w:t>
            </w:r>
          </w:p>
        </w:tc>
      </w:tr>
      <w:tr w:rsidR="006F4458" w:rsidTr="00EA0C58">
        <w:trPr>
          <w:gridAfter w:val="1"/>
          <w:wAfter w:w="9" w:type="dxa"/>
        </w:trPr>
        <w:tc>
          <w:tcPr>
            <w:tcW w:w="3402" w:type="dxa"/>
            <w:tcBorders>
              <w:top w:val="single" w:sz="4" w:space="0" w:color="auto"/>
              <w:left w:val="single" w:sz="4" w:space="0" w:color="auto"/>
              <w:bottom w:val="single" w:sz="4" w:space="0" w:color="auto"/>
              <w:right w:val="single" w:sz="4" w:space="0" w:color="auto"/>
            </w:tcBorders>
            <w:hideMark/>
          </w:tcPr>
          <w:p w:rsidR="006F4458" w:rsidRDefault="006F4458" w:rsidP="00EA0C58">
            <w:pPr>
              <w:rPr>
                <w:b/>
                <w:bCs/>
              </w:rPr>
            </w:pPr>
            <w:r>
              <w:rPr>
                <w:b/>
                <w:bCs/>
              </w:rPr>
              <w:t xml:space="preserve">Øjne </w:t>
            </w:r>
          </w:p>
          <w:p w:rsidR="006F4458" w:rsidRDefault="006F4458" w:rsidP="00EA0C58">
            <w:r>
              <w:t>Ikke kendt:</w:t>
            </w:r>
          </w:p>
        </w:tc>
        <w:tc>
          <w:tcPr>
            <w:tcW w:w="4815" w:type="dxa"/>
            <w:tcBorders>
              <w:top w:val="single" w:sz="4" w:space="0" w:color="auto"/>
              <w:left w:val="single" w:sz="4" w:space="0" w:color="auto"/>
              <w:bottom w:val="single" w:sz="4" w:space="0" w:color="auto"/>
              <w:right w:val="single" w:sz="4" w:space="0" w:color="auto"/>
            </w:tcBorders>
          </w:tcPr>
          <w:p w:rsidR="006F4458" w:rsidRPr="006F4458" w:rsidRDefault="006F4458" w:rsidP="00EA0C58">
            <w:pPr>
              <w:rPr>
                <w:lang w:val="da-DK"/>
              </w:rPr>
            </w:pPr>
          </w:p>
          <w:p w:rsidR="006F4458" w:rsidRPr="006F4458" w:rsidRDefault="006F4458" w:rsidP="00EA0C58">
            <w:pPr>
              <w:rPr>
                <w:lang w:val="da-DK"/>
              </w:rPr>
            </w:pPr>
            <w:r w:rsidRPr="006F4458">
              <w:rPr>
                <w:lang w:val="da-DK"/>
              </w:rPr>
              <w:t>Sløret syn (se også pkt. 4.4.).</w:t>
            </w:r>
          </w:p>
        </w:tc>
      </w:tr>
      <w:tr w:rsidR="006F4458" w:rsidTr="00EA0C58">
        <w:trPr>
          <w:gridAfter w:val="1"/>
          <w:wAfter w:w="9" w:type="dxa"/>
        </w:trPr>
        <w:tc>
          <w:tcPr>
            <w:tcW w:w="3402" w:type="dxa"/>
            <w:tcBorders>
              <w:top w:val="single" w:sz="4" w:space="0" w:color="auto"/>
              <w:left w:val="single" w:sz="4" w:space="0" w:color="auto"/>
              <w:bottom w:val="single" w:sz="4" w:space="0" w:color="auto"/>
              <w:right w:val="single" w:sz="4" w:space="0" w:color="auto"/>
            </w:tcBorders>
          </w:tcPr>
          <w:p w:rsidR="006F4458" w:rsidRPr="006F4458" w:rsidRDefault="006F4458" w:rsidP="00EA0C58">
            <w:pPr>
              <w:rPr>
                <w:b/>
                <w:bCs/>
                <w:lang w:val="da-DK"/>
              </w:rPr>
            </w:pPr>
            <w:r w:rsidRPr="006F4458">
              <w:rPr>
                <w:b/>
                <w:bCs/>
                <w:lang w:val="da-DK"/>
              </w:rPr>
              <w:t xml:space="preserve">Hud og subkutane væv </w:t>
            </w:r>
          </w:p>
          <w:p w:rsidR="006F4458" w:rsidRPr="006F4458" w:rsidRDefault="006F4458" w:rsidP="00EA0C58">
            <w:pPr>
              <w:rPr>
                <w:lang w:val="da-DK"/>
              </w:rPr>
            </w:pPr>
            <w:r w:rsidRPr="006F4458">
              <w:rPr>
                <w:lang w:val="da-DK"/>
              </w:rPr>
              <w:t xml:space="preserve">Ikke almindelig: </w:t>
            </w:r>
          </w:p>
          <w:p w:rsidR="006F4458" w:rsidRPr="006F4458" w:rsidRDefault="006F4458" w:rsidP="00EA0C58">
            <w:pPr>
              <w:rPr>
                <w:lang w:val="da-DK"/>
              </w:rPr>
            </w:pPr>
          </w:p>
          <w:p w:rsidR="006F4458" w:rsidRPr="006F4458" w:rsidRDefault="006F4458" w:rsidP="00EA0C58">
            <w:pPr>
              <w:rPr>
                <w:lang w:val="da-DK"/>
              </w:rPr>
            </w:pPr>
          </w:p>
          <w:p w:rsidR="006F4458" w:rsidRPr="006F4458" w:rsidRDefault="006F4458" w:rsidP="00EA0C58">
            <w:pPr>
              <w:rPr>
                <w:lang w:val="da-DK"/>
              </w:rPr>
            </w:pPr>
          </w:p>
          <w:p w:rsidR="006F4458" w:rsidRDefault="006F4458" w:rsidP="00EA0C58">
            <w:r>
              <w:t xml:space="preserve">Sjælden: </w:t>
            </w:r>
          </w:p>
        </w:tc>
        <w:tc>
          <w:tcPr>
            <w:tcW w:w="4815" w:type="dxa"/>
            <w:tcBorders>
              <w:top w:val="single" w:sz="4" w:space="0" w:color="auto"/>
              <w:left w:val="single" w:sz="4" w:space="0" w:color="auto"/>
              <w:bottom w:val="single" w:sz="4" w:space="0" w:color="auto"/>
              <w:right w:val="single" w:sz="4" w:space="0" w:color="auto"/>
            </w:tcBorders>
          </w:tcPr>
          <w:p w:rsidR="006F4458" w:rsidRPr="006F4458" w:rsidRDefault="006F4458" w:rsidP="00EA0C58">
            <w:pPr>
              <w:rPr>
                <w:lang w:val="da-DK"/>
              </w:rPr>
            </w:pPr>
          </w:p>
          <w:p w:rsidR="006F4458" w:rsidRPr="006F4458" w:rsidRDefault="006F4458" w:rsidP="00EA0C58">
            <w:pPr>
              <w:rPr>
                <w:color w:val="FF0000"/>
                <w:lang w:val="da-DK"/>
              </w:rPr>
            </w:pPr>
            <w:r w:rsidRPr="006F4458">
              <w:rPr>
                <w:lang w:val="da-DK"/>
              </w:rPr>
              <w:t xml:space="preserve">Atrofi, striae, sekundære infektioner, papulopustular rosacea-lignende dermatitis (angsigtshud), </w:t>
            </w:r>
            <w:r w:rsidRPr="006F4458">
              <w:rPr>
                <w:szCs w:val="23"/>
                <w:lang w:val="da-DK"/>
              </w:rPr>
              <w:t>kapillærskørhed (ekkymoser</w:t>
            </w:r>
            <w:r w:rsidRPr="006F4458">
              <w:rPr>
                <w:lang w:val="da-DK"/>
              </w:rPr>
              <w:t>), overfølsomhed (over for konseveringsmidler).</w:t>
            </w:r>
          </w:p>
          <w:p w:rsidR="006F4458" w:rsidRPr="006F4458" w:rsidRDefault="006F4458" w:rsidP="00EA0C58">
            <w:pPr>
              <w:rPr>
                <w:color w:val="FF0000"/>
                <w:lang w:val="da-DK"/>
              </w:rPr>
            </w:pPr>
          </w:p>
          <w:p w:rsidR="006F4458" w:rsidRPr="006F4458" w:rsidRDefault="006F4458" w:rsidP="00EA0C58">
            <w:pPr>
              <w:rPr>
                <w:lang w:val="da-DK"/>
              </w:rPr>
            </w:pPr>
            <w:r w:rsidRPr="006F4458">
              <w:rPr>
                <w:szCs w:val="23"/>
                <w:lang w:val="da-DK"/>
              </w:rPr>
              <w:t>Hypo- eller hyperpigmentering</w:t>
            </w:r>
            <w:r w:rsidRPr="006F4458">
              <w:rPr>
                <w:lang w:val="da-DK"/>
              </w:rPr>
              <w:t xml:space="preserve">, </w:t>
            </w:r>
            <w:r w:rsidRPr="006F4458">
              <w:rPr>
                <w:szCs w:val="23"/>
                <w:lang w:val="da-DK"/>
              </w:rPr>
              <w:t>hypertrikose</w:t>
            </w:r>
            <w:r w:rsidRPr="006F4458">
              <w:rPr>
                <w:lang w:val="da-DK"/>
              </w:rPr>
              <w:t>, overfølsomhed (betamethason</w:t>
            </w:r>
            <w:r w:rsidR="007F3F12">
              <w:rPr>
                <w:lang w:val="da-DK"/>
              </w:rPr>
              <w:t>-</w:t>
            </w:r>
            <w:r w:rsidRPr="006F4458">
              <w:rPr>
                <w:lang w:val="da-DK"/>
              </w:rPr>
              <w:t xml:space="preserve">relateret). </w:t>
            </w:r>
          </w:p>
        </w:tc>
      </w:tr>
    </w:tbl>
    <w:p w:rsidR="006F4458" w:rsidRPr="006F4458" w:rsidRDefault="006F4458" w:rsidP="006F4458">
      <w:pPr>
        <w:ind w:left="851"/>
        <w:rPr>
          <w:sz w:val="24"/>
          <w:szCs w:val="24"/>
        </w:rPr>
      </w:pPr>
    </w:p>
    <w:p w:rsidR="006F4458" w:rsidRPr="006F4458" w:rsidRDefault="006F4458" w:rsidP="006F4458">
      <w:pPr>
        <w:ind w:left="851"/>
        <w:rPr>
          <w:sz w:val="24"/>
          <w:szCs w:val="24"/>
        </w:rPr>
      </w:pPr>
      <w:r w:rsidRPr="006F4458">
        <w:rPr>
          <w:sz w:val="24"/>
          <w:szCs w:val="24"/>
        </w:rPr>
        <w:t>Der er en øget risiko for systemiske påvirkninger og lokale bivirkninger ved hyppig behandling af store overflader eller ved behandling i længere tid, samt behandling i intertriginøse hudområder eller under okklusiv forbinding. Følgende sjældne lokale bivirkninger er blevet indrapporteret ved brug af andre topikale kortikosteroider: brændende fornemmelse, irritation, tørhed, perioral dermatitis, allergisk kontakteksem, maceration af huden og miliaria.</w:t>
      </w:r>
    </w:p>
    <w:p w:rsidR="006F4458" w:rsidRPr="006F4458" w:rsidRDefault="006F4458" w:rsidP="006F4458">
      <w:pPr>
        <w:tabs>
          <w:tab w:val="left" w:pos="851"/>
        </w:tabs>
        <w:ind w:left="851"/>
        <w:rPr>
          <w:sz w:val="24"/>
          <w:szCs w:val="24"/>
          <w:u w:val="single"/>
        </w:rPr>
      </w:pPr>
    </w:p>
    <w:p w:rsidR="006F4458" w:rsidRPr="006F4458" w:rsidRDefault="006F4458" w:rsidP="006F4458">
      <w:pPr>
        <w:tabs>
          <w:tab w:val="left" w:pos="851"/>
        </w:tabs>
        <w:ind w:left="851"/>
        <w:rPr>
          <w:sz w:val="24"/>
          <w:szCs w:val="24"/>
          <w:u w:val="single"/>
        </w:rPr>
      </w:pPr>
      <w:r w:rsidRPr="006F4458">
        <w:rPr>
          <w:sz w:val="24"/>
          <w:szCs w:val="24"/>
          <w:u w:val="single"/>
        </w:rPr>
        <w:t>Indberetning af formodede bivirkninger</w:t>
      </w:r>
    </w:p>
    <w:p w:rsidR="006F4458" w:rsidRPr="006F4458" w:rsidRDefault="006F4458" w:rsidP="006F4458">
      <w:pPr>
        <w:tabs>
          <w:tab w:val="left" w:pos="851"/>
        </w:tabs>
        <w:ind w:left="851"/>
        <w:rPr>
          <w:sz w:val="24"/>
          <w:szCs w:val="24"/>
        </w:rPr>
      </w:pPr>
      <w:r w:rsidRPr="006F4458">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6F4458" w:rsidRPr="006F4458" w:rsidRDefault="006F4458" w:rsidP="006F4458">
      <w:pPr>
        <w:tabs>
          <w:tab w:val="left" w:pos="851"/>
        </w:tabs>
        <w:ind w:left="851"/>
        <w:rPr>
          <w:sz w:val="24"/>
          <w:szCs w:val="24"/>
        </w:rPr>
      </w:pPr>
    </w:p>
    <w:p w:rsidR="006F4458" w:rsidRPr="006F4458" w:rsidRDefault="006F4458" w:rsidP="006F4458">
      <w:pPr>
        <w:tabs>
          <w:tab w:val="left" w:pos="851"/>
        </w:tabs>
        <w:ind w:left="851"/>
        <w:rPr>
          <w:sz w:val="24"/>
          <w:szCs w:val="24"/>
        </w:rPr>
      </w:pPr>
      <w:r w:rsidRPr="006F4458">
        <w:rPr>
          <w:sz w:val="24"/>
          <w:szCs w:val="24"/>
        </w:rPr>
        <w:t>Lægemiddelstyrelsen</w:t>
      </w:r>
    </w:p>
    <w:p w:rsidR="006F4458" w:rsidRPr="006F4458" w:rsidRDefault="006F4458" w:rsidP="006F4458">
      <w:pPr>
        <w:tabs>
          <w:tab w:val="left" w:pos="851"/>
        </w:tabs>
        <w:ind w:left="851"/>
        <w:rPr>
          <w:sz w:val="24"/>
          <w:szCs w:val="24"/>
        </w:rPr>
      </w:pPr>
      <w:r w:rsidRPr="006F4458">
        <w:rPr>
          <w:sz w:val="24"/>
          <w:szCs w:val="24"/>
        </w:rPr>
        <w:t>Axel Heides Gade 1</w:t>
      </w:r>
    </w:p>
    <w:p w:rsidR="006F4458" w:rsidRPr="006F4458" w:rsidRDefault="006F4458" w:rsidP="006F4458">
      <w:pPr>
        <w:tabs>
          <w:tab w:val="left" w:pos="851"/>
        </w:tabs>
        <w:ind w:left="851"/>
        <w:rPr>
          <w:sz w:val="24"/>
          <w:szCs w:val="24"/>
        </w:rPr>
      </w:pPr>
      <w:r w:rsidRPr="006F4458">
        <w:rPr>
          <w:sz w:val="24"/>
          <w:szCs w:val="24"/>
        </w:rPr>
        <w:t>DK-2300 København S</w:t>
      </w:r>
    </w:p>
    <w:p w:rsidR="006F4458" w:rsidRPr="006F4458" w:rsidRDefault="006F4458" w:rsidP="006F4458">
      <w:pPr>
        <w:tabs>
          <w:tab w:val="left" w:pos="851"/>
        </w:tabs>
        <w:ind w:left="851"/>
        <w:rPr>
          <w:sz w:val="24"/>
          <w:szCs w:val="24"/>
        </w:rPr>
      </w:pPr>
      <w:r w:rsidRPr="006F4458">
        <w:rPr>
          <w:sz w:val="24"/>
          <w:szCs w:val="24"/>
        </w:rPr>
        <w:t>Websted: www.meldenbivirkning.dk</w:t>
      </w:r>
    </w:p>
    <w:p w:rsidR="006F4458" w:rsidRPr="006F4458" w:rsidRDefault="006F4458" w:rsidP="006F4458">
      <w:pPr>
        <w:pStyle w:val="Sidehoved"/>
        <w:tabs>
          <w:tab w:val="left" w:pos="851"/>
        </w:tabs>
        <w:ind w:left="851"/>
        <w:rPr>
          <w:szCs w:val="24"/>
        </w:rPr>
      </w:pP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A41CB3" w:rsidRPr="00A41CB3" w:rsidRDefault="00A41CB3" w:rsidP="00A41CB3">
      <w:pPr>
        <w:tabs>
          <w:tab w:val="left" w:pos="851"/>
        </w:tabs>
        <w:ind w:left="851"/>
        <w:rPr>
          <w:sz w:val="24"/>
          <w:szCs w:val="24"/>
        </w:rPr>
      </w:pPr>
      <w:r w:rsidRPr="00A41CB3">
        <w:rPr>
          <w:sz w:val="24"/>
          <w:szCs w:val="24"/>
        </w:rPr>
        <w:t>Overdreven langvarig brug af topikale kortikosteroider kan give hypothalamus-hypofyse-binyrebark (HPA) akse suppresion med deraf følgende sekundær binyrebarkhæmning. Hvis suppresion af HPA-aksen er blevet fundet, forsøge med kation at reducere antallet af applikationer eller forsøge at seponere lægemidlet.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41CB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067BC" w:rsidRPr="006067BC" w:rsidRDefault="006067BC" w:rsidP="006067BC">
      <w:pPr>
        <w:tabs>
          <w:tab w:val="left" w:pos="851"/>
        </w:tabs>
        <w:ind w:left="851"/>
        <w:rPr>
          <w:sz w:val="24"/>
          <w:szCs w:val="24"/>
        </w:rPr>
      </w:pPr>
      <w:r w:rsidRPr="006067BC">
        <w:rPr>
          <w:sz w:val="24"/>
          <w:szCs w:val="24"/>
        </w:rPr>
        <w:t>Farmakoterapeutisk klassifikation: Kortikosteroider (gr. III) til udvortes brug, andre kombinationer, ATC-kode: D07XC01.</w:t>
      </w:r>
    </w:p>
    <w:p w:rsidR="006067BC" w:rsidRPr="006067BC" w:rsidRDefault="006067BC" w:rsidP="006067BC">
      <w:pPr>
        <w:tabs>
          <w:tab w:val="left" w:pos="851"/>
        </w:tabs>
        <w:ind w:left="851"/>
        <w:rPr>
          <w:sz w:val="24"/>
          <w:szCs w:val="24"/>
        </w:rPr>
      </w:pPr>
    </w:p>
    <w:p w:rsidR="006067BC" w:rsidRPr="006067BC" w:rsidRDefault="006067BC" w:rsidP="006067BC">
      <w:pPr>
        <w:tabs>
          <w:tab w:val="left" w:pos="851"/>
        </w:tabs>
        <w:ind w:left="851"/>
        <w:rPr>
          <w:sz w:val="24"/>
          <w:szCs w:val="24"/>
        </w:rPr>
      </w:pPr>
      <w:r w:rsidRPr="006067BC">
        <w:rPr>
          <w:sz w:val="24"/>
          <w:szCs w:val="24"/>
        </w:rPr>
        <w:t>Betamethasondipropionat er et syntetisk glukokortikoid med effekt på inflammatoriske, allergiske og kløende dermatoser. Gennem forskellige modifikationer af kortisonstrukturen (1,2-dobbeltbinding, fluoridering og beta-methylering) opnås en øget glukokortikoid og antiinflammatorisk effekt samt en reduceret mineralokortikoid effekt sammenlignet med hydrocortison.</w:t>
      </w:r>
    </w:p>
    <w:p w:rsidR="006067BC" w:rsidRPr="006067BC" w:rsidRDefault="006067BC" w:rsidP="006067BC">
      <w:pPr>
        <w:tabs>
          <w:tab w:val="left" w:pos="851"/>
        </w:tabs>
        <w:ind w:left="851"/>
        <w:rPr>
          <w:sz w:val="24"/>
          <w:szCs w:val="24"/>
        </w:rPr>
      </w:pPr>
      <w:r w:rsidRPr="006067BC">
        <w:rPr>
          <w:sz w:val="24"/>
          <w:szCs w:val="24"/>
        </w:rPr>
        <w:t>Der er set systemisk effekt, men disse har været små, og efter seponering af lægemidlet har binyrebarkens respons været normal ved stimulering.</w:t>
      </w:r>
    </w:p>
    <w:p w:rsidR="006067BC" w:rsidRPr="006067BC" w:rsidRDefault="006067BC" w:rsidP="006067BC">
      <w:pPr>
        <w:tabs>
          <w:tab w:val="left" w:pos="851"/>
        </w:tabs>
        <w:ind w:left="851"/>
        <w:rPr>
          <w:sz w:val="24"/>
          <w:szCs w:val="24"/>
        </w:rPr>
      </w:pPr>
      <w:r w:rsidRPr="006067BC">
        <w:rPr>
          <w:sz w:val="24"/>
          <w:szCs w:val="24"/>
        </w:rPr>
        <w:t xml:space="preserve">I </w:t>
      </w:r>
      <w:r w:rsidR="00C33346">
        <w:rPr>
          <w:sz w:val="24"/>
          <w:szCs w:val="24"/>
        </w:rPr>
        <w:t>Betamethason/Salicylsyre "Orifarm"</w:t>
      </w:r>
      <w:r w:rsidRPr="006067BC">
        <w:rPr>
          <w:sz w:val="24"/>
          <w:szCs w:val="24"/>
        </w:rPr>
        <w:t xml:space="preserve"> er betamethasondipropionat blevet kombineret med salicylsyre, som øger hydreringen af stratum corneum. Da salicylsyre giver præparatet en skvamolytisk til mild keratolytisk effekt, er </w:t>
      </w:r>
      <w:r w:rsidR="00C33346">
        <w:rPr>
          <w:sz w:val="24"/>
          <w:szCs w:val="24"/>
        </w:rPr>
        <w:t>Betamethason/Salicylsyre "Orifarm"</w:t>
      </w:r>
      <w:r w:rsidRPr="006067BC">
        <w:rPr>
          <w:sz w:val="24"/>
          <w:szCs w:val="24"/>
        </w:rPr>
        <w:t xml:space="preserve"> særligt egnet til brug ved behandling af f.eks. psoriasis og andre hyperkeratotiske tilstande.</w:t>
      </w:r>
    </w:p>
    <w:p w:rsidR="006067BC" w:rsidRPr="006067BC" w:rsidRDefault="006067BC" w:rsidP="006067BC">
      <w:pPr>
        <w:tabs>
          <w:tab w:val="left" w:pos="851"/>
        </w:tabs>
        <w:ind w:left="851"/>
        <w:rPr>
          <w:sz w:val="24"/>
          <w:szCs w:val="24"/>
        </w:rPr>
      </w:pPr>
      <w:r w:rsidRPr="006067BC">
        <w:rPr>
          <w:sz w:val="24"/>
          <w:szCs w:val="24"/>
        </w:rPr>
        <w:t>Salven er nem at påføre.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260DE" w:rsidRPr="00C84483" w:rsidRDefault="008B2189" w:rsidP="009260DE">
      <w:pPr>
        <w:tabs>
          <w:tab w:val="left" w:pos="851"/>
        </w:tabs>
        <w:ind w:left="851"/>
        <w:rPr>
          <w:sz w:val="24"/>
          <w:szCs w:val="24"/>
        </w:rPr>
      </w:pP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9260DE" w:rsidRPr="00C84483" w:rsidRDefault="008B2189" w:rsidP="009260DE">
      <w:pPr>
        <w:tabs>
          <w:tab w:val="left" w:pos="851"/>
        </w:tabs>
        <w:ind w:left="851"/>
        <w:rPr>
          <w:sz w:val="24"/>
          <w:szCs w:val="24"/>
        </w:rPr>
      </w:pP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B2189" w:rsidRPr="008B2189" w:rsidRDefault="008B2189" w:rsidP="008B2189">
      <w:pPr>
        <w:tabs>
          <w:tab w:val="left" w:pos="851"/>
        </w:tabs>
        <w:ind w:left="851"/>
        <w:rPr>
          <w:sz w:val="24"/>
          <w:szCs w:val="24"/>
        </w:rPr>
      </w:pPr>
      <w:r w:rsidRPr="008B2189">
        <w:rPr>
          <w:sz w:val="24"/>
          <w:szCs w:val="24"/>
        </w:rPr>
        <w:t>Paraffinolie</w:t>
      </w:r>
    </w:p>
    <w:p w:rsidR="008B2189" w:rsidRPr="008B2189" w:rsidRDefault="008B2189" w:rsidP="008B2189">
      <w:pPr>
        <w:tabs>
          <w:tab w:val="left" w:pos="851"/>
        </w:tabs>
        <w:ind w:left="851"/>
        <w:rPr>
          <w:sz w:val="24"/>
          <w:szCs w:val="24"/>
        </w:rPr>
      </w:pPr>
      <w:r w:rsidRPr="008B2189">
        <w:rPr>
          <w:sz w:val="24"/>
          <w:szCs w:val="24"/>
        </w:rPr>
        <w:t>Paraffin, hvid blød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8B2189"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7049DD">
        <w:rPr>
          <w:sz w:val="24"/>
          <w:szCs w:val="24"/>
        </w:rPr>
        <w:t>4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049DD" w:rsidRPr="007049DD" w:rsidRDefault="007049DD" w:rsidP="007049DD">
      <w:pPr>
        <w:tabs>
          <w:tab w:val="left" w:pos="851"/>
        </w:tabs>
        <w:ind w:left="851"/>
        <w:rPr>
          <w:sz w:val="24"/>
          <w:szCs w:val="24"/>
        </w:rPr>
      </w:pPr>
      <w:r w:rsidRPr="007049DD">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049DD" w:rsidRPr="007049DD" w:rsidRDefault="007049DD" w:rsidP="007049DD">
      <w:pPr>
        <w:tabs>
          <w:tab w:val="left" w:pos="851"/>
        </w:tabs>
        <w:ind w:left="851"/>
        <w:rPr>
          <w:sz w:val="24"/>
          <w:szCs w:val="24"/>
        </w:rPr>
      </w:pPr>
      <w:r w:rsidRPr="007049DD">
        <w:rPr>
          <w:sz w:val="24"/>
          <w:szCs w:val="24"/>
        </w:rPr>
        <w:t>Aluminiumstube med beskyttende membran og plasti</w:t>
      </w:r>
      <w:r w:rsidR="00993892">
        <w:rPr>
          <w:sz w:val="24"/>
          <w:szCs w:val="24"/>
        </w:rPr>
        <w:t>k</w:t>
      </w:r>
      <w:r w:rsidRPr="007049DD">
        <w:rPr>
          <w:sz w:val="24"/>
          <w:szCs w:val="24"/>
        </w:rPr>
        <w:t>hætte.</w:t>
      </w:r>
    </w:p>
    <w:p w:rsidR="007049DD" w:rsidRPr="007049DD" w:rsidRDefault="007049DD" w:rsidP="007049DD">
      <w:pPr>
        <w:tabs>
          <w:tab w:val="left" w:pos="851"/>
        </w:tabs>
        <w:ind w:left="851"/>
        <w:rPr>
          <w:sz w:val="24"/>
          <w:szCs w:val="24"/>
        </w:rPr>
      </w:pPr>
    </w:p>
    <w:p w:rsidR="007049DD" w:rsidRPr="007049DD" w:rsidRDefault="007049DD" w:rsidP="007049DD">
      <w:pPr>
        <w:tabs>
          <w:tab w:val="left" w:pos="851"/>
        </w:tabs>
        <w:ind w:left="851"/>
        <w:rPr>
          <w:sz w:val="24"/>
          <w:szCs w:val="24"/>
        </w:rPr>
      </w:pPr>
      <w:r w:rsidRPr="007049DD">
        <w:rPr>
          <w:sz w:val="24"/>
          <w:szCs w:val="24"/>
        </w:rPr>
        <w:t>Pakningsstørrelser: 30 g, 60 g (2</w:t>
      </w:r>
      <w:r>
        <w:rPr>
          <w:sz w:val="24"/>
          <w:szCs w:val="24"/>
        </w:rPr>
        <w:t>×</w:t>
      </w:r>
      <w:r w:rsidRPr="007049DD">
        <w:rPr>
          <w:sz w:val="24"/>
          <w:szCs w:val="24"/>
        </w:rPr>
        <w:t>30 g) og 90 g (3</w:t>
      </w:r>
      <w:r>
        <w:rPr>
          <w:sz w:val="24"/>
          <w:szCs w:val="24"/>
        </w:rPr>
        <w:t>×</w:t>
      </w:r>
      <w:r w:rsidRPr="007049DD">
        <w:rPr>
          <w:sz w:val="24"/>
          <w:szCs w:val="24"/>
        </w:rPr>
        <w:t>30 g).</w:t>
      </w:r>
    </w:p>
    <w:p w:rsidR="00993892" w:rsidRDefault="00993892" w:rsidP="007049DD">
      <w:pPr>
        <w:tabs>
          <w:tab w:val="left" w:pos="851"/>
        </w:tabs>
        <w:ind w:left="851"/>
        <w:rPr>
          <w:sz w:val="24"/>
          <w:szCs w:val="24"/>
        </w:rPr>
      </w:pPr>
    </w:p>
    <w:p w:rsidR="007049DD" w:rsidRPr="007049DD" w:rsidRDefault="007049DD" w:rsidP="007049DD">
      <w:pPr>
        <w:tabs>
          <w:tab w:val="left" w:pos="851"/>
        </w:tabs>
        <w:ind w:left="851"/>
        <w:rPr>
          <w:sz w:val="24"/>
          <w:szCs w:val="24"/>
        </w:rPr>
      </w:pPr>
      <w:r w:rsidRPr="007049DD">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7F3F12" w:rsidRPr="007F3F12" w:rsidRDefault="007F3F12" w:rsidP="007F3F12">
      <w:pPr>
        <w:tabs>
          <w:tab w:val="left" w:pos="851"/>
        </w:tabs>
        <w:ind w:left="851"/>
        <w:rPr>
          <w:sz w:val="24"/>
          <w:szCs w:val="24"/>
        </w:rPr>
      </w:pPr>
      <w:r w:rsidRPr="007F3F12">
        <w:rPr>
          <w:sz w:val="24"/>
          <w:szCs w:val="24"/>
        </w:rPr>
        <w:t>Ingen særlige forholdsregler ved bortskaffelse.</w:t>
      </w:r>
    </w:p>
    <w:p w:rsidR="007F3F12" w:rsidRPr="007F3F12" w:rsidRDefault="007F3F12" w:rsidP="007F3F12">
      <w:pPr>
        <w:tabs>
          <w:tab w:val="left" w:pos="851"/>
        </w:tabs>
        <w:ind w:left="851"/>
        <w:rPr>
          <w:sz w:val="24"/>
          <w:szCs w:val="24"/>
        </w:rPr>
      </w:pPr>
    </w:p>
    <w:p w:rsidR="007F3F12" w:rsidRPr="007F3F12" w:rsidRDefault="007F3F12" w:rsidP="007F3F12">
      <w:pPr>
        <w:tabs>
          <w:tab w:val="left" w:pos="851"/>
        </w:tabs>
        <w:ind w:left="851"/>
        <w:rPr>
          <w:sz w:val="24"/>
          <w:szCs w:val="24"/>
        </w:rPr>
      </w:pPr>
      <w:r w:rsidRPr="007F3F12">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F3F12" w:rsidRPr="00835062" w:rsidRDefault="007F3F12" w:rsidP="007F3F12">
      <w:pPr>
        <w:tabs>
          <w:tab w:val="left" w:pos="851"/>
        </w:tabs>
        <w:ind w:left="851"/>
        <w:rPr>
          <w:sz w:val="24"/>
          <w:szCs w:val="24"/>
        </w:rPr>
      </w:pPr>
      <w:r w:rsidRPr="00835062">
        <w:rPr>
          <w:sz w:val="24"/>
          <w:szCs w:val="24"/>
        </w:rPr>
        <w:t>Orifarm Healthcare A/S</w:t>
      </w:r>
    </w:p>
    <w:p w:rsidR="007F3F12" w:rsidRPr="00835062" w:rsidRDefault="007F3F12" w:rsidP="007F3F12">
      <w:pPr>
        <w:tabs>
          <w:tab w:val="left" w:pos="851"/>
        </w:tabs>
        <w:ind w:left="851"/>
        <w:rPr>
          <w:sz w:val="24"/>
          <w:szCs w:val="24"/>
        </w:rPr>
      </w:pPr>
      <w:r w:rsidRPr="00835062">
        <w:rPr>
          <w:sz w:val="24"/>
          <w:szCs w:val="24"/>
        </w:rPr>
        <w:t>Energivej 15</w:t>
      </w:r>
    </w:p>
    <w:p w:rsidR="007F3F12" w:rsidRPr="007F3F12" w:rsidRDefault="007F3F12" w:rsidP="007F3F12">
      <w:pPr>
        <w:tabs>
          <w:tab w:val="left" w:pos="851"/>
        </w:tabs>
        <w:ind w:left="851"/>
        <w:rPr>
          <w:sz w:val="24"/>
          <w:szCs w:val="24"/>
        </w:rPr>
      </w:pPr>
      <w:r w:rsidRPr="007F3F12">
        <w:rPr>
          <w:sz w:val="24"/>
          <w:szCs w:val="24"/>
        </w:rPr>
        <w:t>5260 Odense S</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C33346" w:rsidP="009260DE">
      <w:pPr>
        <w:tabs>
          <w:tab w:val="left" w:pos="851"/>
        </w:tabs>
        <w:ind w:left="851"/>
        <w:rPr>
          <w:sz w:val="24"/>
          <w:szCs w:val="24"/>
        </w:rPr>
      </w:pPr>
      <w:r>
        <w:rPr>
          <w:sz w:val="24"/>
          <w:szCs w:val="24"/>
        </w:rPr>
        <w:t>67508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835062" w:rsidP="009260DE">
      <w:pPr>
        <w:tabs>
          <w:tab w:val="left" w:pos="851"/>
        </w:tabs>
        <w:ind w:left="851"/>
        <w:rPr>
          <w:sz w:val="24"/>
          <w:szCs w:val="24"/>
        </w:rPr>
      </w:pPr>
      <w:r>
        <w:rPr>
          <w:sz w:val="24"/>
          <w:szCs w:val="24"/>
        </w:rPr>
        <w:t>8. maj 2023</w:t>
      </w: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33346"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F53" w:rsidRDefault="007D4F53">
      <w:r>
        <w:separator/>
      </w:r>
    </w:p>
  </w:endnote>
  <w:endnote w:type="continuationSeparator" w:id="0">
    <w:p w:rsidR="007D4F53" w:rsidRDefault="007D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B2168">
      <w:rPr>
        <w:i/>
        <w:noProof/>
        <w:sz w:val="18"/>
        <w:szCs w:val="18"/>
      </w:rPr>
      <w:t>Betamethason-Salicylsyre Orifarm, salve 0,5+30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F53" w:rsidRDefault="007D4F53">
      <w:r>
        <w:separator/>
      </w:r>
    </w:p>
  </w:footnote>
  <w:footnote w:type="continuationSeparator" w:id="0">
    <w:p w:rsidR="007D4F53" w:rsidRDefault="007D4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B2B6838"/>
    <w:multiLevelType w:val="hybridMultilevel"/>
    <w:tmpl w:val="13560A6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53"/>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2168"/>
    <w:rsid w:val="003B4074"/>
    <w:rsid w:val="003C769A"/>
    <w:rsid w:val="003D3A90"/>
    <w:rsid w:val="003F1838"/>
    <w:rsid w:val="0045746C"/>
    <w:rsid w:val="0049104B"/>
    <w:rsid w:val="004E3B12"/>
    <w:rsid w:val="00532310"/>
    <w:rsid w:val="00565F0F"/>
    <w:rsid w:val="00594A86"/>
    <w:rsid w:val="00596D86"/>
    <w:rsid w:val="006067BC"/>
    <w:rsid w:val="00637F5A"/>
    <w:rsid w:val="00641C65"/>
    <w:rsid w:val="006560B1"/>
    <w:rsid w:val="006756DD"/>
    <w:rsid w:val="006A1E6F"/>
    <w:rsid w:val="006F4458"/>
    <w:rsid w:val="007049DD"/>
    <w:rsid w:val="007065F7"/>
    <w:rsid w:val="0071241E"/>
    <w:rsid w:val="00737275"/>
    <w:rsid w:val="00740EEC"/>
    <w:rsid w:val="0078011A"/>
    <w:rsid w:val="00782AF4"/>
    <w:rsid w:val="00790EE7"/>
    <w:rsid w:val="007B6649"/>
    <w:rsid w:val="007D4F53"/>
    <w:rsid w:val="007F3F12"/>
    <w:rsid w:val="0082576E"/>
    <w:rsid w:val="00835062"/>
    <w:rsid w:val="008B2189"/>
    <w:rsid w:val="00907F75"/>
    <w:rsid w:val="009260DE"/>
    <w:rsid w:val="0093258A"/>
    <w:rsid w:val="00993892"/>
    <w:rsid w:val="009C7BA3"/>
    <w:rsid w:val="009D1F5A"/>
    <w:rsid w:val="00A10294"/>
    <w:rsid w:val="00A41CB3"/>
    <w:rsid w:val="00AC2A57"/>
    <w:rsid w:val="00B003BF"/>
    <w:rsid w:val="00B373D7"/>
    <w:rsid w:val="00B55271"/>
    <w:rsid w:val="00BD7931"/>
    <w:rsid w:val="00BE3155"/>
    <w:rsid w:val="00BF6243"/>
    <w:rsid w:val="00C33346"/>
    <w:rsid w:val="00C36276"/>
    <w:rsid w:val="00C42586"/>
    <w:rsid w:val="00C45F6B"/>
    <w:rsid w:val="00C60CCD"/>
    <w:rsid w:val="00C84483"/>
    <w:rsid w:val="00C95551"/>
    <w:rsid w:val="00CB20D7"/>
    <w:rsid w:val="00D020B0"/>
    <w:rsid w:val="00D11748"/>
    <w:rsid w:val="00D237F6"/>
    <w:rsid w:val="00D34D98"/>
    <w:rsid w:val="00D366CF"/>
    <w:rsid w:val="00D93992"/>
    <w:rsid w:val="00DE5673"/>
    <w:rsid w:val="00E108AA"/>
    <w:rsid w:val="00E22383"/>
    <w:rsid w:val="00E3749A"/>
    <w:rsid w:val="00E7437F"/>
    <w:rsid w:val="00E865B8"/>
    <w:rsid w:val="00EA0C5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FC27E"/>
  <w15:chartTrackingRefBased/>
  <w15:docId w15:val="{CAC4000E-4E93-4673-94AC-B31AA938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6F445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37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656564">
      <w:bodyDiv w:val="1"/>
      <w:marLeft w:val="0"/>
      <w:marRight w:val="0"/>
      <w:marTop w:val="0"/>
      <w:marBottom w:val="0"/>
      <w:divBdr>
        <w:top w:val="none" w:sz="0" w:space="0" w:color="auto"/>
        <w:left w:val="none" w:sz="0" w:space="0" w:color="auto"/>
        <w:bottom w:val="none" w:sz="0" w:space="0" w:color="auto"/>
        <w:right w:val="none" w:sz="0" w:space="0" w:color="auto"/>
      </w:divBdr>
    </w:div>
    <w:div w:id="222835179">
      <w:bodyDiv w:val="1"/>
      <w:marLeft w:val="0"/>
      <w:marRight w:val="0"/>
      <w:marTop w:val="0"/>
      <w:marBottom w:val="0"/>
      <w:divBdr>
        <w:top w:val="none" w:sz="0" w:space="0" w:color="auto"/>
        <w:left w:val="none" w:sz="0" w:space="0" w:color="auto"/>
        <w:bottom w:val="none" w:sz="0" w:space="0" w:color="auto"/>
        <w:right w:val="none" w:sz="0" w:space="0" w:color="auto"/>
      </w:divBdr>
    </w:div>
    <w:div w:id="302079767">
      <w:bodyDiv w:val="1"/>
      <w:marLeft w:val="0"/>
      <w:marRight w:val="0"/>
      <w:marTop w:val="0"/>
      <w:marBottom w:val="0"/>
      <w:divBdr>
        <w:top w:val="none" w:sz="0" w:space="0" w:color="auto"/>
        <w:left w:val="none" w:sz="0" w:space="0" w:color="auto"/>
        <w:bottom w:val="none" w:sz="0" w:space="0" w:color="auto"/>
        <w:right w:val="none" w:sz="0" w:space="0" w:color="auto"/>
      </w:divBdr>
    </w:div>
    <w:div w:id="364259948">
      <w:bodyDiv w:val="1"/>
      <w:marLeft w:val="0"/>
      <w:marRight w:val="0"/>
      <w:marTop w:val="0"/>
      <w:marBottom w:val="0"/>
      <w:divBdr>
        <w:top w:val="none" w:sz="0" w:space="0" w:color="auto"/>
        <w:left w:val="none" w:sz="0" w:space="0" w:color="auto"/>
        <w:bottom w:val="none" w:sz="0" w:space="0" w:color="auto"/>
        <w:right w:val="none" w:sz="0" w:space="0" w:color="auto"/>
      </w:divBdr>
    </w:div>
    <w:div w:id="394280732">
      <w:bodyDiv w:val="1"/>
      <w:marLeft w:val="0"/>
      <w:marRight w:val="0"/>
      <w:marTop w:val="0"/>
      <w:marBottom w:val="0"/>
      <w:divBdr>
        <w:top w:val="none" w:sz="0" w:space="0" w:color="auto"/>
        <w:left w:val="none" w:sz="0" w:space="0" w:color="auto"/>
        <w:bottom w:val="none" w:sz="0" w:space="0" w:color="auto"/>
        <w:right w:val="none" w:sz="0" w:space="0" w:color="auto"/>
      </w:divBdr>
    </w:div>
    <w:div w:id="437217020">
      <w:bodyDiv w:val="1"/>
      <w:marLeft w:val="0"/>
      <w:marRight w:val="0"/>
      <w:marTop w:val="0"/>
      <w:marBottom w:val="0"/>
      <w:divBdr>
        <w:top w:val="none" w:sz="0" w:space="0" w:color="auto"/>
        <w:left w:val="none" w:sz="0" w:space="0" w:color="auto"/>
        <w:bottom w:val="none" w:sz="0" w:space="0" w:color="auto"/>
        <w:right w:val="none" w:sz="0" w:space="0" w:color="auto"/>
      </w:divBdr>
    </w:div>
    <w:div w:id="455876520">
      <w:bodyDiv w:val="1"/>
      <w:marLeft w:val="0"/>
      <w:marRight w:val="0"/>
      <w:marTop w:val="0"/>
      <w:marBottom w:val="0"/>
      <w:divBdr>
        <w:top w:val="none" w:sz="0" w:space="0" w:color="auto"/>
        <w:left w:val="none" w:sz="0" w:space="0" w:color="auto"/>
        <w:bottom w:val="none" w:sz="0" w:space="0" w:color="auto"/>
        <w:right w:val="none" w:sz="0" w:space="0" w:color="auto"/>
      </w:divBdr>
    </w:div>
    <w:div w:id="458113549">
      <w:bodyDiv w:val="1"/>
      <w:marLeft w:val="0"/>
      <w:marRight w:val="0"/>
      <w:marTop w:val="0"/>
      <w:marBottom w:val="0"/>
      <w:divBdr>
        <w:top w:val="none" w:sz="0" w:space="0" w:color="auto"/>
        <w:left w:val="none" w:sz="0" w:space="0" w:color="auto"/>
        <w:bottom w:val="none" w:sz="0" w:space="0" w:color="auto"/>
        <w:right w:val="none" w:sz="0" w:space="0" w:color="auto"/>
      </w:divBdr>
    </w:div>
    <w:div w:id="491139874">
      <w:bodyDiv w:val="1"/>
      <w:marLeft w:val="0"/>
      <w:marRight w:val="0"/>
      <w:marTop w:val="0"/>
      <w:marBottom w:val="0"/>
      <w:divBdr>
        <w:top w:val="none" w:sz="0" w:space="0" w:color="auto"/>
        <w:left w:val="none" w:sz="0" w:space="0" w:color="auto"/>
        <w:bottom w:val="none" w:sz="0" w:space="0" w:color="auto"/>
        <w:right w:val="none" w:sz="0" w:space="0" w:color="auto"/>
      </w:divBdr>
    </w:div>
    <w:div w:id="514810412">
      <w:bodyDiv w:val="1"/>
      <w:marLeft w:val="0"/>
      <w:marRight w:val="0"/>
      <w:marTop w:val="0"/>
      <w:marBottom w:val="0"/>
      <w:divBdr>
        <w:top w:val="none" w:sz="0" w:space="0" w:color="auto"/>
        <w:left w:val="none" w:sz="0" w:space="0" w:color="auto"/>
        <w:bottom w:val="none" w:sz="0" w:space="0" w:color="auto"/>
        <w:right w:val="none" w:sz="0" w:space="0" w:color="auto"/>
      </w:divBdr>
    </w:div>
    <w:div w:id="560597179">
      <w:bodyDiv w:val="1"/>
      <w:marLeft w:val="0"/>
      <w:marRight w:val="0"/>
      <w:marTop w:val="0"/>
      <w:marBottom w:val="0"/>
      <w:divBdr>
        <w:top w:val="none" w:sz="0" w:space="0" w:color="auto"/>
        <w:left w:val="none" w:sz="0" w:space="0" w:color="auto"/>
        <w:bottom w:val="none" w:sz="0" w:space="0" w:color="auto"/>
        <w:right w:val="none" w:sz="0" w:space="0" w:color="auto"/>
      </w:divBdr>
    </w:div>
    <w:div w:id="584654442">
      <w:bodyDiv w:val="1"/>
      <w:marLeft w:val="0"/>
      <w:marRight w:val="0"/>
      <w:marTop w:val="0"/>
      <w:marBottom w:val="0"/>
      <w:divBdr>
        <w:top w:val="none" w:sz="0" w:space="0" w:color="auto"/>
        <w:left w:val="none" w:sz="0" w:space="0" w:color="auto"/>
        <w:bottom w:val="none" w:sz="0" w:space="0" w:color="auto"/>
        <w:right w:val="none" w:sz="0" w:space="0" w:color="auto"/>
      </w:divBdr>
    </w:div>
    <w:div w:id="598411803">
      <w:bodyDiv w:val="1"/>
      <w:marLeft w:val="0"/>
      <w:marRight w:val="0"/>
      <w:marTop w:val="0"/>
      <w:marBottom w:val="0"/>
      <w:divBdr>
        <w:top w:val="none" w:sz="0" w:space="0" w:color="auto"/>
        <w:left w:val="none" w:sz="0" w:space="0" w:color="auto"/>
        <w:bottom w:val="none" w:sz="0" w:space="0" w:color="auto"/>
        <w:right w:val="none" w:sz="0" w:space="0" w:color="auto"/>
      </w:divBdr>
    </w:div>
    <w:div w:id="640890782">
      <w:bodyDiv w:val="1"/>
      <w:marLeft w:val="0"/>
      <w:marRight w:val="0"/>
      <w:marTop w:val="0"/>
      <w:marBottom w:val="0"/>
      <w:divBdr>
        <w:top w:val="none" w:sz="0" w:space="0" w:color="auto"/>
        <w:left w:val="none" w:sz="0" w:space="0" w:color="auto"/>
        <w:bottom w:val="none" w:sz="0" w:space="0" w:color="auto"/>
        <w:right w:val="none" w:sz="0" w:space="0" w:color="auto"/>
      </w:divBdr>
    </w:div>
    <w:div w:id="727416637">
      <w:bodyDiv w:val="1"/>
      <w:marLeft w:val="0"/>
      <w:marRight w:val="0"/>
      <w:marTop w:val="0"/>
      <w:marBottom w:val="0"/>
      <w:divBdr>
        <w:top w:val="none" w:sz="0" w:space="0" w:color="auto"/>
        <w:left w:val="none" w:sz="0" w:space="0" w:color="auto"/>
        <w:bottom w:val="none" w:sz="0" w:space="0" w:color="auto"/>
        <w:right w:val="none" w:sz="0" w:space="0" w:color="auto"/>
      </w:divBdr>
    </w:div>
    <w:div w:id="748313439">
      <w:bodyDiv w:val="1"/>
      <w:marLeft w:val="0"/>
      <w:marRight w:val="0"/>
      <w:marTop w:val="0"/>
      <w:marBottom w:val="0"/>
      <w:divBdr>
        <w:top w:val="none" w:sz="0" w:space="0" w:color="auto"/>
        <w:left w:val="none" w:sz="0" w:space="0" w:color="auto"/>
        <w:bottom w:val="none" w:sz="0" w:space="0" w:color="auto"/>
        <w:right w:val="none" w:sz="0" w:space="0" w:color="auto"/>
      </w:divBdr>
    </w:div>
    <w:div w:id="884751223">
      <w:bodyDiv w:val="1"/>
      <w:marLeft w:val="0"/>
      <w:marRight w:val="0"/>
      <w:marTop w:val="0"/>
      <w:marBottom w:val="0"/>
      <w:divBdr>
        <w:top w:val="none" w:sz="0" w:space="0" w:color="auto"/>
        <w:left w:val="none" w:sz="0" w:space="0" w:color="auto"/>
        <w:bottom w:val="none" w:sz="0" w:space="0" w:color="auto"/>
        <w:right w:val="none" w:sz="0" w:space="0" w:color="auto"/>
      </w:divBdr>
    </w:div>
    <w:div w:id="930547795">
      <w:bodyDiv w:val="1"/>
      <w:marLeft w:val="0"/>
      <w:marRight w:val="0"/>
      <w:marTop w:val="0"/>
      <w:marBottom w:val="0"/>
      <w:divBdr>
        <w:top w:val="none" w:sz="0" w:space="0" w:color="auto"/>
        <w:left w:val="none" w:sz="0" w:space="0" w:color="auto"/>
        <w:bottom w:val="none" w:sz="0" w:space="0" w:color="auto"/>
        <w:right w:val="none" w:sz="0" w:space="0" w:color="auto"/>
      </w:divBdr>
    </w:div>
    <w:div w:id="1047804886">
      <w:bodyDiv w:val="1"/>
      <w:marLeft w:val="0"/>
      <w:marRight w:val="0"/>
      <w:marTop w:val="0"/>
      <w:marBottom w:val="0"/>
      <w:divBdr>
        <w:top w:val="none" w:sz="0" w:space="0" w:color="auto"/>
        <w:left w:val="none" w:sz="0" w:space="0" w:color="auto"/>
        <w:bottom w:val="none" w:sz="0" w:space="0" w:color="auto"/>
        <w:right w:val="none" w:sz="0" w:space="0" w:color="auto"/>
      </w:divBdr>
    </w:div>
    <w:div w:id="1053698362">
      <w:bodyDiv w:val="1"/>
      <w:marLeft w:val="0"/>
      <w:marRight w:val="0"/>
      <w:marTop w:val="0"/>
      <w:marBottom w:val="0"/>
      <w:divBdr>
        <w:top w:val="none" w:sz="0" w:space="0" w:color="auto"/>
        <w:left w:val="none" w:sz="0" w:space="0" w:color="auto"/>
        <w:bottom w:val="none" w:sz="0" w:space="0" w:color="auto"/>
        <w:right w:val="none" w:sz="0" w:space="0" w:color="auto"/>
      </w:divBdr>
    </w:div>
    <w:div w:id="1099176680">
      <w:bodyDiv w:val="1"/>
      <w:marLeft w:val="0"/>
      <w:marRight w:val="0"/>
      <w:marTop w:val="0"/>
      <w:marBottom w:val="0"/>
      <w:divBdr>
        <w:top w:val="none" w:sz="0" w:space="0" w:color="auto"/>
        <w:left w:val="none" w:sz="0" w:space="0" w:color="auto"/>
        <w:bottom w:val="none" w:sz="0" w:space="0" w:color="auto"/>
        <w:right w:val="none" w:sz="0" w:space="0" w:color="auto"/>
      </w:divBdr>
    </w:div>
    <w:div w:id="1143960091">
      <w:bodyDiv w:val="1"/>
      <w:marLeft w:val="0"/>
      <w:marRight w:val="0"/>
      <w:marTop w:val="0"/>
      <w:marBottom w:val="0"/>
      <w:divBdr>
        <w:top w:val="none" w:sz="0" w:space="0" w:color="auto"/>
        <w:left w:val="none" w:sz="0" w:space="0" w:color="auto"/>
        <w:bottom w:val="none" w:sz="0" w:space="0" w:color="auto"/>
        <w:right w:val="none" w:sz="0" w:space="0" w:color="auto"/>
      </w:divBdr>
    </w:div>
    <w:div w:id="1162694504">
      <w:bodyDiv w:val="1"/>
      <w:marLeft w:val="0"/>
      <w:marRight w:val="0"/>
      <w:marTop w:val="0"/>
      <w:marBottom w:val="0"/>
      <w:divBdr>
        <w:top w:val="none" w:sz="0" w:space="0" w:color="auto"/>
        <w:left w:val="none" w:sz="0" w:space="0" w:color="auto"/>
        <w:bottom w:val="none" w:sz="0" w:space="0" w:color="auto"/>
        <w:right w:val="none" w:sz="0" w:space="0" w:color="auto"/>
      </w:divBdr>
    </w:div>
    <w:div w:id="1210415710">
      <w:bodyDiv w:val="1"/>
      <w:marLeft w:val="0"/>
      <w:marRight w:val="0"/>
      <w:marTop w:val="0"/>
      <w:marBottom w:val="0"/>
      <w:divBdr>
        <w:top w:val="none" w:sz="0" w:space="0" w:color="auto"/>
        <w:left w:val="none" w:sz="0" w:space="0" w:color="auto"/>
        <w:bottom w:val="none" w:sz="0" w:space="0" w:color="auto"/>
        <w:right w:val="none" w:sz="0" w:space="0" w:color="auto"/>
      </w:divBdr>
    </w:div>
    <w:div w:id="1232429990">
      <w:bodyDiv w:val="1"/>
      <w:marLeft w:val="0"/>
      <w:marRight w:val="0"/>
      <w:marTop w:val="0"/>
      <w:marBottom w:val="0"/>
      <w:divBdr>
        <w:top w:val="none" w:sz="0" w:space="0" w:color="auto"/>
        <w:left w:val="none" w:sz="0" w:space="0" w:color="auto"/>
        <w:bottom w:val="none" w:sz="0" w:space="0" w:color="auto"/>
        <w:right w:val="none" w:sz="0" w:space="0" w:color="auto"/>
      </w:divBdr>
    </w:div>
    <w:div w:id="1253052102">
      <w:bodyDiv w:val="1"/>
      <w:marLeft w:val="0"/>
      <w:marRight w:val="0"/>
      <w:marTop w:val="0"/>
      <w:marBottom w:val="0"/>
      <w:divBdr>
        <w:top w:val="none" w:sz="0" w:space="0" w:color="auto"/>
        <w:left w:val="none" w:sz="0" w:space="0" w:color="auto"/>
        <w:bottom w:val="none" w:sz="0" w:space="0" w:color="auto"/>
        <w:right w:val="none" w:sz="0" w:space="0" w:color="auto"/>
      </w:divBdr>
    </w:div>
    <w:div w:id="1338537163">
      <w:bodyDiv w:val="1"/>
      <w:marLeft w:val="0"/>
      <w:marRight w:val="0"/>
      <w:marTop w:val="0"/>
      <w:marBottom w:val="0"/>
      <w:divBdr>
        <w:top w:val="none" w:sz="0" w:space="0" w:color="auto"/>
        <w:left w:val="none" w:sz="0" w:space="0" w:color="auto"/>
        <w:bottom w:val="none" w:sz="0" w:space="0" w:color="auto"/>
        <w:right w:val="none" w:sz="0" w:space="0" w:color="auto"/>
      </w:divBdr>
    </w:div>
    <w:div w:id="1476023535">
      <w:bodyDiv w:val="1"/>
      <w:marLeft w:val="0"/>
      <w:marRight w:val="0"/>
      <w:marTop w:val="0"/>
      <w:marBottom w:val="0"/>
      <w:divBdr>
        <w:top w:val="none" w:sz="0" w:space="0" w:color="auto"/>
        <w:left w:val="none" w:sz="0" w:space="0" w:color="auto"/>
        <w:bottom w:val="none" w:sz="0" w:space="0" w:color="auto"/>
        <w:right w:val="none" w:sz="0" w:space="0" w:color="auto"/>
      </w:divBdr>
    </w:div>
    <w:div w:id="1500850215">
      <w:bodyDiv w:val="1"/>
      <w:marLeft w:val="0"/>
      <w:marRight w:val="0"/>
      <w:marTop w:val="0"/>
      <w:marBottom w:val="0"/>
      <w:divBdr>
        <w:top w:val="none" w:sz="0" w:space="0" w:color="auto"/>
        <w:left w:val="none" w:sz="0" w:space="0" w:color="auto"/>
        <w:bottom w:val="none" w:sz="0" w:space="0" w:color="auto"/>
        <w:right w:val="none" w:sz="0" w:space="0" w:color="auto"/>
      </w:divBdr>
    </w:div>
    <w:div w:id="1507281139">
      <w:bodyDiv w:val="1"/>
      <w:marLeft w:val="0"/>
      <w:marRight w:val="0"/>
      <w:marTop w:val="0"/>
      <w:marBottom w:val="0"/>
      <w:divBdr>
        <w:top w:val="none" w:sz="0" w:space="0" w:color="auto"/>
        <w:left w:val="none" w:sz="0" w:space="0" w:color="auto"/>
        <w:bottom w:val="none" w:sz="0" w:space="0" w:color="auto"/>
        <w:right w:val="none" w:sz="0" w:space="0" w:color="auto"/>
      </w:divBdr>
    </w:div>
    <w:div w:id="1751350736">
      <w:bodyDiv w:val="1"/>
      <w:marLeft w:val="0"/>
      <w:marRight w:val="0"/>
      <w:marTop w:val="0"/>
      <w:marBottom w:val="0"/>
      <w:divBdr>
        <w:top w:val="none" w:sz="0" w:space="0" w:color="auto"/>
        <w:left w:val="none" w:sz="0" w:space="0" w:color="auto"/>
        <w:bottom w:val="none" w:sz="0" w:space="0" w:color="auto"/>
        <w:right w:val="none" w:sz="0" w:space="0" w:color="auto"/>
      </w:divBdr>
    </w:div>
    <w:div w:id="1842310296">
      <w:bodyDiv w:val="1"/>
      <w:marLeft w:val="0"/>
      <w:marRight w:val="0"/>
      <w:marTop w:val="0"/>
      <w:marBottom w:val="0"/>
      <w:divBdr>
        <w:top w:val="none" w:sz="0" w:space="0" w:color="auto"/>
        <w:left w:val="none" w:sz="0" w:space="0" w:color="auto"/>
        <w:bottom w:val="none" w:sz="0" w:space="0" w:color="auto"/>
        <w:right w:val="none" w:sz="0" w:space="0" w:color="auto"/>
      </w:divBdr>
    </w:div>
    <w:div w:id="1868791341">
      <w:bodyDiv w:val="1"/>
      <w:marLeft w:val="0"/>
      <w:marRight w:val="0"/>
      <w:marTop w:val="0"/>
      <w:marBottom w:val="0"/>
      <w:divBdr>
        <w:top w:val="none" w:sz="0" w:space="0" w:color="auto"/>
        <w:left w:val="none" w:sz="0" w:space="0" w:color="auto"/>
        <w:bottom w:val="none" w:sz="0" w:space="0" w:color="auto"/>
        <w:right w:val="none" w:sz="0" w:space="0" w:color="auto"/>
      </w:divBdr>
    </w:div>
    <w:div w:id="1883007789">
      <w:bodyDiv w:val="1"/>
      <w:marLeft w:val="0"/>
      <w:marRight w:val="0"/>
      <w:marTop w:val="0"/>
      <w:marBottom w:val="0"/>
      <w:divBdr>
        <w:top w:val="none" w:sz="0" w:space="0" w:color="auto"/>
        <w:left w:val="none" w:sz="0" w:space="0" w:color="auto"/>
        <w:bottom w:val="none" w:sz="0" w:space="0" w:color="auto"/>
        <w:right w:val="none" w:sz="0" w:space="0" w:color="auto"/>
      </w:divBdr>
    </w:div>
    <w:div w:id="1976257503">
      <w:bodyDiv w:val="1"/>
      <w:marLeft w:val="0"/>
      <w:marRight w:val="0"/>
      <w:marTop w:val="0"/>
      <w:marBottom w:val="0"/>
      <w:divBdr>
        <w:top w:val="none" w:sz="0" w:space="0" w:color="auto"/>
        <w:left w:val="none" w:sz="0" w:space="0" w:color="auto"/>
        <w:bottom w:val="none" w:sz="0" w:space="0" w:color="auto"/>
        <w:right w:val="none" w:sz="0" w:space="0" w:color="auto"/>
      </w:divBdr>
    </w:div>
    <w:div w:id="20373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75</TotalTime>
  <Pages>5</Pages>
  <Words>996</Words>
  <Characters>6997</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2022030957 mt</dc:description>
  <cp:lastModifiedBy>Hanne Thy Iversen</cp:lastModifiedBy>
  <cp:revision>7</cp:revision>
  <cp:lastPrinted>2012-08-22T08:53:00Z</cp:lastPrinted>
  <dcterms:created xsi:type="dcterms:W3CDTF">2023-05-08T09:40:00Z</dcterms:created>
  <dcterms:modified xsi:type="dcterms:W3CDTF">2023-05-08T11:35:00Z</dcterms:modified>
</cp:coreProperties>
</file>