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668E7" w14:textId="77777777" w:rsidR="009260DE" w:rsidRPr="00421687" w:rsidRDefault="0021526C" w:rsidP="009260DE">
      <w:pPr>
        <w:rPr>
          <w:sz w:val="24"/>
          <w:szCs w:val="24"/>
        </w:rPr>
      </w:pPr>
      <w:bookmarkStart w:id="0" w:name="_GoBack"/>
      <w:bookmarkEnd w:id="0"/>
      <w:r w:rsidRPr="00421687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46D24044" wp14:editId="0AF83BC9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421687">
        <w:rPr>
          <w:sz w:val="24"/>
          <w:szCs w:val="24"/>
        </w:rPr>
        <w:br w:type="textWrapping" w:clear="all"/>
      </w:r>
    </w:p>
    <w:p w14:paraId="6E27045B" w14:textId="291D14B2" w:rsidR="009260DE" w:rsidRPr="00421687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421687">
        <w:rPr>
          <w:b w:val="0"/>
          <w:szCs w:val="24"/>
          <w:lang w:eastAsia="en-US"/>
        </w:rPr>
        <w:tab/>
      </w:r>
      <w:r w:rsidR="002A6244">
        <w:rPr>
          <w:szCs w:val="24"/>
        </w:rPr>
        <w:t>18. december 2024</w:t>
      </w:r>
    </w:p>
    <w:p w14:paraId="69DF1AC8" w14:textId="77777777" w:rsidR="009260DE" w:rsidRPr="00421687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2F135116" w14:textId="77777777" w:rsidR="009260DE" w:rsidRPr="00421687" w:rsidRDefault="009260DE" w:rsidP="009260DE">
      <w:pPr>
        <w:pStyle w:val="Titel"/>
        <w:jc w:val="left"/>
        <w:rPr>
          <w:b w:val="0"/>
          <w:szCs w:val="24"/>
        </w:rPr>
      </w:pPr>
    </w:p>
    <w:p w14:paraId="131A7816" w14:textId="77777777" w:rsidR="009260DE" w:rsidRPr="00421687" w:rsidRDefault="009260DE" w:rsidP="009260DE">
      <w:pPr>
        <w:pStyle w:val="Titel"/>
        <w:jc w:val="left"/>
        <w:rPr>
          <w:b w:val="0"/>
          <w:szCs w:val="24"/>
        </w:rPr>
      </w:pPr>
    </w:p>
    <w:p w14:paraId="797D9538" w14:textId="77777777" w:rsidR="009260DE" w:rsidRPr="00421687" w:rsidRDefault="009260DE" w:rsidP="009260DE">
      <w:pPr>
        <w:jc w:val="center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PRODUKTRESUMÉ</w:t>
      </w:r>
    </w:p>
    <w:p w14:paraId="61D26C25" w14:textId="77777777" w:rsidR="009260DE" w:rsidRPr="00421687" w:rsidRDefault="009260DE" w:rsidP="009260DE">
      <w:pPr>
        <w:jc w:val="center"/>
        <w:rPr>
          <w:b/>
          <w:sz w:val="24"/>
          <w:szCs w:val="24"/>
        </w:rPr>
      </w:pPr>
    </w:p>
    <w:p w14:paraId="608BA95F" w14:textId="77777777" w:rsidR="009260DE" w:rsidRPr="00421687" w:rsidRDefault="009260DE" w:rsidP="009260DE">
      <w:pPr>
        <w:jc w:val="center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for</w:t>
      </w:r>
    </w:p>
    <w:p w14:paraId="68ED8ADC" w14:textId="77777777" w:rsidR="000B058C" w:rsidRPr="00421687" w:rsidRDefault="000B058C" w:rsidP="009260DE">
      <w:pPr>
        <w:jc w:val="center"/>
        <w:rPr>
          <w:b/>
          <w:sz w:val="24"/>
          <w:szCs w:val="24"/>
        </w:rPr>
      </w:pPr>
    </w:p>
    <w:p w14:paraId="7BF50298" w14:textId="235A862C" w:rsidR="009260DE" w:rsidRPr="00421687" w:rsidRDefault="005F739A" w:rsidP="009260DE">
      <w:pPr>
        <w:jc w:val="center"/>
        <w:rPr>
          <w:b/>
          <w:sz w:val="24"/>
          <w:szCs w:val="24"/>
        </w:rPr>
      </w:pPr>
      <w:proofErr w:type="spellStart"/>
      <w:r w:rsidRPr="00421687">
        <w:rPr>
          <w:b/>
          <w:sz w:val="24"/>
          <w:szCs w:val="24"/>
        </w:rPr>
        <w:t>Bevitan</w:t>
      </w:r>
      <w:proofErr w:type="spellEnd"/>
      <w:r w:rsidRPr="00421687">
        <w:rPr>
          <w:b/>
          <w:sz w:val="24"/>
          <w:szCs w:val="24"/>
        </w:rPr>
        <w:t>, filmovertrukne tabletter</w:t>
      </w:r>
    </w:p>
    <w:p w14:paraId="017177E9" w14:textId="77777777" w:rsidR="009260DE" w:rsidRPr="00421687" w:rsidRDefault="009260DE" w:rsidP="009260DE">
      <w:pPr>
        <w:jc w:val="both"/>
        <w:rPr>
          <w:sz w:val="24"/>
          <w:szCs w:val="24"/>
        </w:rPr>
      </w:pPr>
    </w:p>
    <w:p w14:paraId="7911CE54" w14:textId="77777777" w:rsidR="009260DE" w:rsidRPr="00421687" w:rsidRDefault="009260DE" w:rsidP="009260DE">
      <w:pPr>
        <w:jc w:val="both"/>
        <w:rPr>
          <w:sz w:val="24"/>
          <w:szCs w:val="24"/>
        </w:rPr>
      </w:pPr>
    </w:p>
    <w:p w14:paraId="3B255E8F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0.</w:t>
      </w:r>
      <w:r w:rsidRPr="00421687">
        <w:rPr>
          <w:b/>
          <w:sz w:val="24"/>
          <w:szCs w:val="24"/>
        </w:rPr>
        <w:tab/>
        <w:t>D.SP.NR.</w:t>
      </w:r>
    </w:p>
    <w:p w14:paraId="23A96480" w14:textId="1BC9346D" w:rsidR="009260DE" w:rsidRPr="00421687" w:rsidRDefault="005F739A" w:rsidP="009260DE">
      <w:pPr>
        <w:tabs>
          <w:tab w:val="left" w:pos="851"/>
        </w:tabs>
        <w:ind w:left="851"/>
        <w:rPr>
          <w:sz w:val="24"/>
          <w:szCs w:val="24"/>
        </w:rPr>
      </w:pPr>
      <w:r w:rsidRPr="00421687">
        <w:rPr>
          <w:sz w:val="24"/>
          <w:szCs w:val="24"/>
        </w:rPr>
        <w:t>34175</w:t>
      </w:r>
    </w:p>
    <w:p w14:paraId="34814018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D849808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1.</w:t>
      </w:r>
      <w:r w:rsidRPr="00421687">
        <w:rPr>
          <w:b/>
          <w:sz w:val="24"/>
          <w:szCs w:val="24"/>
        </w:rPr>
        <w:tab/>
        <w:t>LÆGEMIDLETS NAVN</w:t>
      </w:r>
    </w:p>
    <w:p w14:paraId="42C95767" w14:textId="20E2E890" w:rsidR="009260DE" w:rsidRPr="00421687" w:rsidRDefault="005F739A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21687">
        <w:rPr>
          <w:sz w:val="24"/>
          <w:szCs w:val="24"/>
        </w:rPr>
        <w:t>Bevitan</w:t>
      </w:r>
      <w:proofErr w:type="spellEnd"/>
    </w:p>
    <w:p w14:paraId="412AE4DB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59A889E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2.</w:t>
      </w:r>
      <w:r w:rsidRPr="00421687">
        <w:rPr>
          <w:b/>
          <w:sz w:val="24"/>
          <w:szCs w:val="24"/>
        </w:rPr>
        <w:tab/>
        <w:t>KVALITATIV OG KVANTITATIV SAMMENSÆTNING</w:t>
      </w:r>
    </w:p>
    <w:p w14:paraId="4BBB5B4A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 xml:space="preserve">1 tablet indeholder 1 mg </w:t>
      </w:r>
      <w:proofErr w:type="spellStart"/>
      <w:r w:rsidRPr="00421687">
        <w:rPr>
          <w:sz w:val="24"/>
          <w:szCs w:val="24"/>
        </w:rPr>
        <w:t>cyanocobalamin</w:t>
      </w:r>
      <w:proofErr w:type="spellEnd"/>
      <w:r w:rsidRPr="00421687">
        <w:rPr>
          <w:sz w:val="24"/>
          <w:szCs w:val="24"/>
        </w:rPr>
        <w:t>.</w:t>
      </w:r>
    </w:p>
    <w:p w14:paraId="6DAA0DA8" w14:textId="77777777" w:rsidR="00DE0FC2" w:rsidRPr="00421687" w:rsidRDefault="00DE0FC2" w:rsidP="00421687">
      <w:pPr>
        <w:ind w:left="851"/>
        <w:rPr>
          <w:sz w:val="24"/>
          <w:szCs w:val="24"/>
        </w:rPr>
      </w:pPr>
    </w:p>
    <w:p w14:paraId="2FDAD5D3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>Alle hjælpestoffer er anført under pkt. 6.1.</w:t>
      </w:r>
    </w:p>
    <w:p w14:paraId="731FC282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475F189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3.</w:t>
      </w:r>
      <w:r w:rsidRPr="00421687">
        <w:rPr>
          <w:b/>
          <w:sz w:val="24"/>
          <w:szCs w:val="24"/>
        </w:rPr>
        <w:tab/>
        <w:t>LÆGEMIDDELFORM</w:t>
      </w:r>
    </w:p>
    <w:p w14:paraId="0D7D9ADC" w14:textId="6FCEF929" w:rsidR="00DE0FC2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>Filmovertrukne tabletter</w:t>
      </w:r>
    </w:p>
    <w:p w14:paraId="72398471" w14:textId="77777777" w:rsidR="00986A47" w:rsidRPr="00421687" w:rsidRDefault="00986A47" w:rsidP="00421687">
      <w:pPr>
        <w:ind w:left="851"/>
        <w:rPr>
          <w:sz w:val="24"/>
          <w:szCs w:val="24"/>
        </w:rPr>
      </w:pPr>
    </w:p>
    <w:p w14:paraId="26AAA6EA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 xml:space="preserve">Rund, </w:t>
      </w:r>
      <w:proofErr w:type="spellStart"/>
      <w:r w:rsidRPr="00421687">
        <w:rPr>
          <w:sz w:val="24"/>
          <w:szCs w:val="24"/>
        </w:rPr>
        <w:t>bikonveks</w:t>
      </w:r>
      <w:proofErr w:type="spellEnd"/>
      <w:r w:rsidRPr="00421687">
        <w:rPr>
          <w:sz w:val="24"/>
          <w:szCs w:val="24"/>
        </w:rPr>
        <w:t xml:space="preserve">, lyserød tablet, 8 mm diameter. </w:t>
      </w:r>
    </w:p>
    <w:p w14:paraId="696BD3CC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8A91618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9C18085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4.</w:t>
      </w:r>
      <w:r w:rsidRPr="00421687">
        <w:rPr>
          <w:b/>
          <w:sz w:val="24"/>
          <w:szCs w:val="24"/>
        </w:rPr>
        <w:tab/>
        <w:t>KLINISKE OPLYSNINGER</w:t>
      </w:r>
    </w:p>
    <w:p w14:paraId="4F6C3413" w14:textId="77777777" w:rsidR="009260DE" w:rsidRPr="00421687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05169ADE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421687">
        <w:rPr>
          <w:b/>
          <w:sz w:val="24"/>
          <w:szCs w:val="24"/>
        </w:rPr>
        <w:t>4.1</w:t>
      </w:r>
      <w:r w:rsidRPr="00421687">
        <w:rPr>
          <w:b/>
          <w:sz w:val="24"/>
          <w:szCs w:val="24"/>
        </w:rPr>
        <w:tab/>
        <w:t>Terapeutiske indikationer</w:t>
      </w:r>
    </w:p>
    <w:p w14:paraId="5CB1D1E5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>Profylakse og behandling af perniciøs anæmi og andre vitamin B12-mangeltilstande.</w:t>
      </w:r>
    </w:p>
    <w:p w14:paraId="60BDEE0A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161D876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4.2</w:t>
      </w:r>
      <w:r w:rsidRPr="00421687">
        <w:rPr>
          <w:b/>
          <w:sz w:val="24"/>
          <w:szCs w:val="24"/>
        </w:rPr>
        <w:tab/>
        <w:t xml:space="preserve">Dosering og </w:t>
      </w:r>
      <w:r w:rsidR="002C1EC0" w:rsidRPr="00421687">
        <w:rPr>
          <w:b/>
          <w:sz w:val="24"/>
          <w:szCs w:val="24"/>
        </w:rPr>
        <w:t>administration</w:t>
      </w:r>
    </w:p>
    <w:p w14:paraId="06FA4ED9" w14:textId="77777777" w:rsidR="00421687" w:rsidRDefault="00421687" w:rsidP="00421687">
      <w:pPr>
        <w:ind w:left="851"/>
        <w:rPr>
          <w:sz w:val="24"/>
          <w:szCs w:val="24"/>
          <w:u w:val="single"/>
        </w:rPr>
      </w:pPr>
    </w:p>
    <w:p w14:paraId="5D3EC14E" w14:textId="4B2C8BC1" w:rsidR="00DE0FC2" w:rsidRPr="00421687" w:rsidRDefault="00DE0FC2" w:rsidP="00421687">
      <w:pPr>
        <w:ind w:left="851"/>
        <w:rPr>
          <w:sz w:val="24"/>
          <w:szCs w:val="24"/>
          <w:u w:val="single"/>
        </w:rPr>
      </w:pPr>
      <w:r w:rsidRPr="00421687">
        <w:rPr>
          <w:sz w:val="24"/>
          <w:szCs w:val="24"/>
          <w:u w:val="single"/>
        </w:rPr>
        <w:t>Dosering</w:t>
      </w:r>
    </w:p>
    <w:p w14:paraId="4B8AB4F6" w14:textId="77777777" w:rsidR="00DE0FC2" w:rsidRPr="00421687" w:rsidRDefault="00DE0FC2" w:rsidP="00421687">
      <w:pPr>
        <w:ind w:left="851"/>
        <w:rPr>
          <w:sz w:val="24"/>
          <w:szCs w:val="24"/>
          <w:u w:val="single"/>
        </w:rPr>
      </w:pPr>
    </w:p>
    <w:p w14:paraId="234D233A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i/>
          <w:iCs/>
          <w:sz w:val="24"/>
          <w:szCs w:val="24"/>
        </w:rPr>
        <w:t>Remissionsbehandling:</w:t>
      </w:r>
      <w:r w:rsidRPr="00421687">
        <w:rPr>
          <w:sz w:val="24"/>
          <w:szCs w:val="24"/>
        </w:rPr>
        <w:t xml:space="preserve"> Normalt 1-2 tabletter dagligt indtil fuld remission. Derefter vedligeholdelsesdosis. I tilfælde af etableret eller mistænkt </w:t>
      </w:r>
      <w:proofErr w:type="spellStart"/>
      <w:r w:rsidRPr="00421687">
        <w:rPr>
          <w:sz w:val="24"/>
          <w:szCs w:val="24"/>
        </w:rPr>
        <w:t>neuropati</w:t>
      </w:r>
      <w:proofErr w:type="spellEnd"/>
      <w:r w:rsidRPr="00421687">
        <w:rPr>
          <w:sz w:val="24"/>
          <w:szCs w:val="24"/>
        </w:rPr>
        <w:t xml:space="preserve"> bør behandlingen være parenteral.</w:t>
      </w:r>
    </w:p>
    <w:p w14:paraId="614D2416" w14:textId="77777777" w:rsidR="00DE0FC2" w:rsidRPr="00421687" w:rsidRDefault="00DE0FC2" w:rsidP="00421687">
      <w:pPr>
        <w:ind w:left="851"/>
        <w:rPr>
          <w:sz w:val="24"/>
          <w:szCs w:val="24"/>
        </w:rPr>
      </w:pPr>
    </w:p>
    <w:p w14:paraId="676E4CC9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i/>
          <w:iCs/>
          <w:sz w:val="24"/>
          <w:szCs w:val="24"/>
        </w:rPr>
        <w:t>Vedligeholdelsesdosis/profylakse:</w:t>
      </w:r>
      <w:r w:rsidRPr="00421687">
        <w:rPr>
          <w:sz w:val="24"/>
          <w:szCs w:val="24"/>
        </w:rPr>
        <w:t xml:space="preserve"> Normalt 1 tablet dagligt.</w:t>
      </w:r>
    </w:p>
    <w:p w14:paraId="0D84B156" w14:textId="239AC848" w:rsidR="00986A47" w:rsidRDefault="00986A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40234EC" w14:textId="77777777" w:rsidR="00DE0FC2" w:rsidRPr="00421687" w:rsidRDefault="00DE0FC2" w:rsidP="00421687">
      <w:pPr>
        <w:ind w:left="851"/>
        <w:rPr>
          <w:sz w:val="24"/>
          <w:szCs w:val="24"/>
        </w:rPr>
      </w:pPr>
    </w:p>
    <w:p w14:paraId="3693DC73" w14:textId="77777777" w:rsidR="00DE0FC2" w:rsidRPr="00421687" w:rsidRDefault="00DE0FC2" w:rsidP="00421687">
      <w:pPr>
        <w:ind w:left="851"/>
        <w:rPr>
          <w:sz w:val="24"/>
          <w:szCs w:val="24"/>
          <w:u w:val="single"/>
        </w:rPr>
      </w:pPr>
      <w:r w:rsidRPr="00421687">
        <w:rPr>
          <w:sz w:val="24"/>
          <w:szCs w:val="24"/>
          <w:u w:val="single"/>
        </w:rPr>
        <w:t>Særlige populationer</w:t>
      </w:r>
    </w:p>
    <w:p w14:paraId="617D080F" w14:textId="77777777" w:rsidR="00DE0FC2" w:rsidRPr="00421687" w:rsidRDefault="00DE0FC2" w:rsidP="00421687">
      <w:pPr>
        <w:ind w:left="851"/>
        <w:rPr>
          <w:sz w:val="24"/>
          <w:szCs w:val="24"/>
        </w:rPr>
      </w:pPr>
    </w:p>
    <w:p w14:paraId="14AB10F4" w14:textId="77777777" w:rsidR="00DE0FC2" w:rsidRPr="00421687" w:rsidRDefault="00DE0FC2" w:rsidP="00421687">
      <w:pPr>
        <w:ind w:left="851"/>
        <w:rPr>
          <w:i/>
          <w:iCs/>
          <w:sz w:val="24"/>
          <w:szCs w:val="24"/>
        </w:rPr>
      </w:pPr>
      <w:r w:rsidRPr="00421687">
        <w:rPr>
          <w:i/>
          <w:iCs/>
          <w:sz w:val="24"/>
          <w:szCs w:val="24"/>
        </w:rPr>
        <w:t>Ældre patienter</w:t>
      </w:r>
    </w:p>
    <w:p w14:paraId="01B60A88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>Dosisjustering er ikke nødvendig.</w:t>
      </w:r>
    </w:p>
    <w:p w14:paraId="3FBEA520" w14:textId="77777777" w:rsidR="00DE0FC2" w:rsidRPr="00421687" w:rsidRDefault="00DE0FC2" w:rsidP="00421687">
      <w:pPr>
        <w:ind w:left="851"/>
        <w:rPr>
          <w:sz w:val="24"/>
          <w:szCs w:val="24"/>
        </w:rPr>
      </w:pPr>
    </w:p>
    <w:p w14:paraId="0FD18C6E" w14:textId="77777777" w:rsidR="00DE0FC2" w:rsidRPr="00421687" w:rsidRDefault="00DE0FC2" w:rsidP="00421687">
      <w:pPr>
        <w:ind w:left="851"/>
        <w:rPr>
          <w:i/>
          <w:iCs/>
          <w:sz w:val="24"/>
          <w:szCs w:val="24"/>
        </w:rPr>
      </w:pPr>
      <w:r w:rsidRPr="00421687">
        <w:rPr>
          <w:i/>
          <w:iCs/>
          <w:sz w:val="24"/>
          <w:szCs w:val="24"/>
        </w:rPr>
        <w:t>Patienter med nedsat nyrefunktion</w:t>
      </w:r>
    </w:p>
    <w:p w14:paraId="75050D3B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  <w:lang w:val="nb-NO"/>
        </w:rPr>
        <w:t xml:space="preserve">Dosisjustering er normalt ikke nødvendig. </w:t>
      </w:r>
      <w:r w:rsidRPr="00421687">
        <w:rPr>
          <w:sz w:val="24"/>
          <w:szCs w:val="24"/>
        </w:rPr>
        <w:t>I tilfælde af svært nedsat nyrefunktion bør serumniveauet af vitamin B12 kontrolleres regelmæssigt, og dosis reduceres om nødvendigt (se pkt. 4.4).</w:t>
      </w:r>
    </w:p>
    <w:p w14:paraId="5DD99641" w14:textId="77777777" w:rsidR="00DE0FC2" w:rsidRPr="00421687" w:rsidRDefault="00DE0FC2" w:rsidP="00421687">
      <w:pPr>
        <w:ind w:left="851"/>
        <w:rPr>
          <w:sz w:val="24"/>
          <w:szCs w:val="24"/>
        </w:rPr>
      </w:pPr>
    </w:p>
    <w:p w14:paraId="7F662555" w14:textId="77777777" w:rsidR="00DE0FC2" w:rsidRPr="00421687" w:rsidRDefault="00DE0FC2" w:rsidP="00421687">
      <w:pPr>
        <w:ind w:left="851"/>
        <w:rPr>
          <w:i/>
          <w:iCs/>
          <w:sz w:val="24"/>
          <w:szCs w:val="24"/>
        </w:rPr>
      </w:pPr>
      <w:r w:rsidRPr="00421687">
        <w:rPr>
          <w:i/>
          <w:iCs/>
          <w:sz w:val="24"/>
          <w:szCs w:val="24"/>
        </w:rPr>
        <w:t>Patienter med nedsat leverfunktion</w:t>
      </w:r>
    </w:p>
    <w:p w14:paraId="0CB33966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>Sikkerhed og effekt hos patienter med nedsat leverfunktion er ikke blevet undersøgt.</w:t>
      </w:r>
    </w:p>
    <w:p w14:paraId="52ADB9EC" w14:textId="77777777" w:rsidR="00DE0FC2" w:rsidRPr="00421687" w:rsidRDefault="00DE0FC2" w:rsidP="00421687">
      <w:pPr>
        <w:ind w:left="851"/>
        <w:rPr>
          <w:sz w:val="24"/>
          <w:szCs w:val="24"/>
        </w:rPr>
      </w:pPr>
    </w:p>
    <w:p w14:paraId="6DC27197" w14:textId="77777777" w:rsidR="00DE0FC2" w:rsidRPr="00421687" w:rsidRDefault="00DE0FC2" w:rsidP="00421687">
      <w:pPr>
        <w:ind w:left="851"/>
        <w:rPr>
          <w:i/>
          <w:iCs/>
          <w:sz w:val="24"/>
          <w:szCs w:val="24"/>
        </w:rPr>
      </w:pPr>
      <w:r w:rsidRPr="00421687">
        <w:rPr>
          <w:i/>
          <w:iCs/>
          <w:sz w:val="24"/>
          <w:szCs w:val="24"/>
        </w:rPr>
        <w:t>Pædiatrisk population</w:t>
      </w:r>
    </w:p>
    <w:p w14:paraId="578CAC69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 xml:space="preserve">Sikkerhed og effekt af </w:t>
      </w:r>
      <w:proofErr w:type="spellStart"/>
      <w:r w:rsidRPr="00421687">
        <w:rPr>
          <w:sz w:val="24"/>
          <w:szCs w:val="24"/>
        </w:rPr>
        <w:t>Bevitan</w:t>
      </w:r>
      <w:proofErr w:type="spellEnd"/>
      <w:r w:rsidRPr="00421687">
        <w:rPr>
          <w:sz w:val="24"/>
          <w:szCs w:val="24"/>
        </w:rPr>
        <w:t xml:space="preserve"> hos børn &lt; 18 år er ikke blevet fastlagt. Ingen information er tilgængelig.</w:t>
      </w:r>
    </w:p>
    <w:p w14:paraId="4ABF0A0A" w14:textId="77777777" w:rsidR="00DE0FC2" w:rsidRPr="00421687" w:rsidRDefault="00DE0FC2" w:rsidP="00421687">
      <w:pPr>
        <w:ind w:left="851"/>
        <w:rPr>
          <w:sz w:val="24"/>
          <w:szCs w:val="24"/>
        </w:rPr>
      </w:pPr>
    </w:p>
    <w:p w14:paraId="1DF10FEE" w14:textId="77777777" w:rsidR="00DE0FC2" w:rsidRPr="00421687" w:rsidRDefault="00DE0FC2" w:rsidP="00421687">
      <w:pPr>
        <w:ind w:left="851"/>
        <w:rPr>
          <w:sz w:val="24"/>
          <w:szCs w:val="24"/>
          <w:u w:val="single"/>
        </w:rPr>
      </w:pPr>
      <w:r w:rsidRPr="00421687">
        <w:rPr>
          <w:sz w:val="24"/>
          <w:szCs w:val="24"/>
          <w:u w:val="single"/>
        </w:rPr>
        <w:t>Administration</w:t>
      </w:r>
    </w:p>
    <w:p w14:paraId="43FCDF53" w14:textId="77777777" w:rsidR="00DE0FC2" w:rsidRPr="00421687" w:rsidRDefault="00DE0FC2" w:rsidP="00421687">
      <w:pPr>
        <w:ind w:left="851"/>
        <w:rPr>
          <w:sz w:val="24"/>
          <w:szCs w:val="24"/>
        </w:rPr>
      </w:pPr>
    </w:p>
    <w:p w14:paraId="57104007" w14:textId="77777777" w:rsidR="00DE0FC2" w:rsidRPr="00421687" w:rsidRDefault="00DE0FC2" w:rsidP="00421687">
      <w:pPr>
        <w:ind w:left="851"/>
        <w:rPr>
          <w:sz w:val="24"/>
          <w:szCs w:val="24"/>
        </w:rPr>
      </w:pPr>
      <w:proofErr w:type="spellStart"/>
      <w:r w:rsidRPr="00421687">
        <w:rPr>
          <w:sz w:val="24"/>
          <w:szCs w:val="24"/>
        </w:rPr>
        <w:t>Bevitan</w:t>
      </w:r>
      <w:proofErr w:type="spellEnd"/>
      <w:r w:rsidRPr="00421687">
        <w:rPr>
          <w:sz w:val="24"/>
          <w:szCs w:val="24"/>
        </w:rPr>
        <w:t xml:space="preserve"> tabletter bør tages mellem måltiderne. Tabletten kan synkes hel, delt eller knust.</w:t>
      </w:r>
    </w:p>
    <w:p w14:paraId="6B156AE8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B3290A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4.3</w:t>
      </w:r>
      <w:r w:rsidRPr="00421687">
        <w:rPr>
          <w:b/>
          <w:sz w:val="24"/>
          <w:szCs w:val="24"/>
        </w:rPr>
        <w:tab/>
        <w:t>Kontraindikationer</w:t>
      </w:r>
    </w:p>
    <w:p w14:paraId="7FC83523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 xml:space="preserve">Overfølsomhed over for det aktive stof eller over for et eller flere af hjælpestofferne anført i pkt. 6.1.  </w:t>
      </w:r>
    </w:p>
    <w:p w14:paraId="5D11A0F1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858301F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4.4</w:t>
      </w:r>
      <w:r w:rsidRPr="00421687">
        <w:rPr>
          <w:b/>
          <w:sz w:val="24"/>
          <w:szCs w:val="24"/>
        </w:rPr>
        <w:tab/>
        <w:t>Særlige advarsler og forsigtighedsregler vedrørende brugen</w:t>
      </w:r>
    </w:p>
    <w:p w14:paraId="78D76A3F" w14:textId="77777777" w:rsidR="00DE0FC2" w:rsidRPr="00421687" w:rsidRDefault="00DE0FC2" w:rsidP="00421687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421687">
        <w:rPr>
          <w:sz w:val="24"/>
          <w:szCs w:val="24"/>
          <w:lang w:eastAsia="en-GB"/>
        </w:rPr>
        <w:t>Der bør stilles en differentialdiagnose ved behandlingens start for at afgøre, om der foreligger kostrelateret vitamin B12-mangel, eller om der foreligger kronisk inflammatorisk tarmsygdom eller en anden lidelse, der tyder på utilstrækkelig passiv diffusion af vitamin B12 fra kosten.</w:t>
      </w:r>
    </w:p>
    <w:p w14:paraId="7B13E719" w14:textId="77777777" w:rsidR="00DE0FC2" w:rsidRPr="00421687" w:rsidRDefault="00DE0FC2" w:rsidP="00421687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45959FCB" w14:textId="77777777" w:rsidR="00DE0FC2" w:rsidRPr="00421687" w:rsidRDefault="00DE0FC2" w:rsidP="00421687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421687">
        <w:rPr>
          <w:sz w:val="24"/>
          <w:szCs w:val="24"/>
          <w:lang w:eastAsia="en-GB"/>
        </w:rPr>
        <w:t xml:space="preserve">Hos patienter med hæmatologiske og neurologiske symptomer på vitamin B12-mangel, og i tilfælde hvor hurtig normalisering af de tilknyttede vitamin B12-biomarkører er påkrævet, bør behandlingen startes med parenteral administration af </w:t>
      </w:r>
      <w:proofErr w:type="spellStart"/>
      <w:r w:rsidRPr="00421687">
        <w:rPr>
          <w:sz w:val="24"/>
          <w:szCs w:val="24"/>
          <w:lang w:eastAsia="en-GB"/>
        </w:rPr>
        <w:t>cyanocobalamin</w:t>
      </w:r>
      <w:proofErr w:type="spellEnd"/>
      <w:r w:rsidRPr="00421687">
        <w:rPr>
          <w:sz w:val="24"/>
          <w:szCs w:val="24"/>
          <w:lang w:eastAsia="en-GB"/>
        </w:rPr>
        <w:t>, indtil de biokemiske blodværdier normaliseres, og indtil de kliniske symptomer er aftaget.</w:t>
      </w:r>
    </w:p>
    <w:p w14:paraId="18201660" w14:textId="77777777" w:rsidR="00DE0FC2" w:rsidRPr="00421687" w:rsidRDefault="00DE0FC2" w:rsidP="00421687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22071C5F" w14:textId="77777777" w:rsidR="00DE0FC2" w:rsidRPr="00421687" w:rsidRDefault="00DE0FC2" w:rsidP="00421687">
      <w:pPr>
        <w:ind w:left="851"/>
        <w:rPr>
          <w:sz w:val="24"/>
          <w:szCs w:val="24"/>
          <w:lang w:eastAsia="en-GB"/>
        </w:rPr>
      </w:pPr>
      <w:r w:rsidRPr="00421687">
        <w:rPr>
          <w:sz w:val="24"/>
          <w:szCs w:val="24"/>
          <w:lang w:eastAsia="en-GB"/>
        </w:rPr>
        <w:t xml:space="preserve">Det terapeutiske respons på oral behandling skal overvåges nøje (f.eks. efter 7 dage, derefter månedligt, derefter halvårligt, derefter årligt). Plasmaniveauerne af vitamin B12 eller </w:t>
      </w:r>
      <w:proofErr w:type="spellStart"/>
      <w:r w:rsidRPr="00421687">
        <w:rPr>
          <w:sz w:val="24"/>
          <w:szCs w:val="24"/>
          <w:lang w:eastAsia="en-GB"/>
        </w:rPr>
        <w:t>methylmalonsyre</w:t>
      </w:r>
      <w:proofErr w:type="spellEnd"/>
      <w:r w:rsidRPr="00421687">
        <w:rPr>
          <w:sz w:val="24"/>
          <w:szCs w:val="24"/>
          <w:lang w:eastAsia="en-GB"/>
        </w:rPr>
        <w:t xml:space="preserve"> og blodtælling bør overvåges regelmæssigt for at vurdere behandlingsresponset. Hvis vitamin B12-manglen stadig er dårligt kontrolleret efter 1 måned, skal patientens compliance til behandlingen undersøges, og dosis af </w:t>
      </w:r>
      <w:proofErr w:type="spellStart"/>
      <w:r w:rsidRPr="00421687">
        <w:rPr>
          <w:sz w:val="24"/>
          <w:szCs w:val="24"/>
          <w:lang w:eastAsia="en-GB"/>
        </w:rPr>
        <w:t>cyanocobalamin</w:t>
      </w:r>
      <w:proofErr w:type="spellEnd"/>
      <w:r w:rsidRPr="00421687">
        <w:rPr>
          <w:sz w:val="24"/>
          <w:szCs w:val="24"/>
          <w:lang w:eastAsia="en-GB"/>
        </w:rPr>
        <w:t xml:space="preserve"> eller administrationsmetoden skal om nødvendigt justeres.</w:t>
      </w:r>
    </w:p>
    <w:p w14:paraId="05D82488" w14:textId="77777777" w:rsidR="00DE0FC2" w:rsidRPr="00421687" w:rsidRDefault="00DE0FC2" w:rsidP="00421687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4FFE3BD7" w14:textId="77777777" w:rsidR="00DE0FC2" w:rsidRPr="00421687" w:rsidRDefault="00DE0FC2" w:rsidP="00421687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421687">
        <w:rPr>
          <w:sz w:val="24"/>
          <w:szCs w:val="24"/>
          <w:lang w:eastAsia="en-GB"/>
        </w:rPr>
        <w:t xml:space="preserve">Da overskydende </w:t>
      </w:r>
      <w:proofErr w:type="spellStart"/>
      <w:r w:rsidRPr="00421687">
        <w:rPr>
          <w:sz w:val="24"/>
          <w:szCs w:val="24"/>
          <w:lang w:eastAsia="en-GB"/>
        </w:rPr>
        <w:t>cobalamin</w:t>
      </w:r>
      <w:proofErr w:type="spellEnd"/>
      <w:r w:rsidRPr="00421687">
        <w:rPr>
          <w:sz w:val="24"/>
          <w:szCs w:val="24"/>
          <w:lang w:eastAsia="en-GB"/>
        </w:rPr>
        <w:t xml:space="preserve"> delvist udskilles via nyrerne, kan vitamin B12 potentielt akkumuleres, især hos patienter med svært nedsat nyrefunktion. For at opretholde tilstrækkelige serumkoncentrationer af vitamin B12, bør vitamin B12-serumkoncentrationer kontrolleres regelmæssigt, og behandlingsplanen bør om nødvendigt justeres.</w:t>
      </w:r>
    </w:p>
    <w:p w14:paraId="674A770D" w14:textId="77777777" w:rsidR="00DE0FC2" w:rsidRPr="00421687" w:rsidRDefault="00DE0FC2" w:rsidP="00421687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2EC626A9" w14:textId="27976E05" w:rsidR="00DE0FC2" w:rsidRPr="00421687" w:rsidRDefault="00DE0FC2" w:rsidP="00421687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421687">
        <w:rPr>
          <w:sz w:val="24"/>
          <w:szCs w:val="24"/>
          <w:lang w:eastAsia="en-GB"/>
        </w:rPr>
        <w:lastRenderedPageBreak/>
        <w:t xml:space="preserve">Der bør udvises forsigtighed hos patienter med samtidig </w:t>
      </w:r>
      <w:proofErr w:type="spellStart"/>
      <w:r w:rsidRPr="00421687">
        <w:rPr>
          <w:sz w:val="24"/>
          <w:szCs w:val="24"/>
          <w:lang w:eastAsia="en-GB"/>
        </w:rPr>
        <w:t>folsyremangel</w:t>
      </w:r>
      <w:proofErr w:type="spellEnd"/>
      <w:r w:rsidRPr="00421687">
        <w:rPr>
          <w:sz w:val="24"/>
          <w:szCs w:val="24"/>
          <w:lang w:eastAsia="en-GB"/>
        </w:rPr>
        <w:t xml:space="preserve">. </w:t>
      </w:r>
      <w:proofErr w:type="spellStart"/>
      <w:r w:rsidRPr="00421687">
        <w:rPr>
          <w:sz w:val="24"/>
          <w:szCs w:val="24"/>
          <w:lang w:eastAsia="en-GB"/>
        </w:rPr>
        <w:t>Folatmangel</w:t>
      </w:r>
      <w:proofErr w:type="spellEnd"/>
      <w:r w:rsidRPr="00421687">
        <w:rPr>
          <w:sz w:val="24"/>
          <w:szCs w:val="24"/>
          <w:lang w:eastAsia="en-GB"/>
        </w:rPr>
        <w:t xml:space="preserve"> kan reducere det terapeutiske respons på behandling med vitamin B12. Hos disse patienter skal brug af </w:t>
      </w:r>
      <w:proofErr w:type="spellStart"/>
      <w:r w:rsidRPr="00421687">
        <w:rPr>
          <w:sz w:val="24"/>
          <w:szCs w:val="24"/>
          <w:lang w:eastAsia="en-GB"/>
        </w:rPr>
        <w:t>Bevitan</w:t>
      </w:r>
      <w:proofErr w:type="spellEnd"/>
      <w:r w:rsidRPr="00421687">
        <w:rPr>
          <w:sz w:val="24"/>
          <w:szCs w:val="24"/>
          <w:lang w:eastAsia="en-GB"/>
        </w:rPr>
        <w:t xml:space="preserve"> ledsages af behandling af </w:t>
      </w:r>
      <w:proofErr w:type="spellStart"/>
      <w:r w:rsidRPr="00421687">
        <w:rPr>
          <w:sz w:val="24"/>
          <w:szCs w:val="24"/>
          <w:lang w:eastAsia="en-GB"/>
        </w:rPr>
        <w:t>folatmangel</w:t>
      </w:r>
      <w:proofErr w:type="spellEnd"/>
      <w:r w:rsidRPr="00421687">
        <w:rPr>
          <w:sz w:val="24"/>
          <w:szCs w:val="24"/>
          <w:lang w:eastAsia="en-GB"/>
        </w:rPr>
        <w:t>.</w:t>
      </w:r>
    </w:p>
    <w:p w14:paraId="7AA43E4E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9F73378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4.5</w:t>
      </w:r>
      <w:r w:rsidRPr="00421687">
        <w:rPr>
          <w:b/>
          <w:sz w:val="24"/>
          <w:szCs w:val="24"/>
        </w:rPr>
        <w:tab/>
        <w:t>Interaktion med andre lægemidler og andre former for interaktion</w:t>
      </w:r>
    </w:p>
    <w:p w14:paraId="1C703B90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 xml:space="preserve">Perorale antikonceptionsmidler, </w:t>
      </w:r>
      <w:proofErr w:type="spellStart"/>
      <w:r w:rsidRPr="00421687">
        <w:rPr>
          <w:sz w:val="24"/>
          <w:szCs w:val="24"/>
        </w:rPr>
        <w:t>aminoglycosider</w:t>
      </w:r>
      <w:proofErr w:type="spellEnd"/>
      <w:r w:rsidRPr="00421687">
        <w:rPr>
          <w:sz w:val="24"/>
          <w:szCs w:val="24"/>
        </w:rPr>
        <w:t xml:space="preserve">, aminosalicylsyre, </w:t>
      </w:r>
      <w:proofErr w:type="spellStart"/>
      <w:r w:rsidRPr="00421687">
        <w:rPr>
          <w:sz w:val="24"/>
          <w:szCs w:val="24"/>
        </w:rPr>
        <w:t>antiepileptika</w:t>
      </w:r>
      <w:proofErr w:type="spellEnd"/>
      <w:r w:rsidRPr="00421687">
        <w:rPr>
          <w:sz w:val="24"/>
          <w:szCs w:val="24"/>
        </w:rPr>
        <w:t xml:space="preserve">, </w:t>
      </w:r>
      <w:proofErr w:type="spellStart"/>
      <w:r w:rsidRPr="00421687">
        <w:rPr>
          <w:sz w:val="24"/>
          <w:szCs w:val="24"/>
        </w:rPr>
        <w:t>biguanider</w:t>
      </w:r>
      <w:proofErr w:type="spellEnd"/>
      <w:r w:rsidRPr="00421687">
        <w:rPr>
          <w:sz w:val="24"/>
          <w:szCs w:val="24"/>
        </w:rPr>
        <w:t xml:space="preserve">, </w:t>
      </w:r>
      <w:proofErr w:type="spellStart"/>
      <w:r w:rsidRPr="00421687">
        <w:rPr>
          <w:sz w:val="24"/>
          <w:szCs w:val="24"/>
        </w:rPr>
        <w:t>chloramphenicol</w:t>
      </w:r>
      <w:proofErr w:type="spellEnd"/>
      <w:r w:rsidRPr="00421687">
        <w:rPr>
          <w:sz w:val="24"/>
          <w:szCs w:val="24"/>
        </w:rPr>
        <w:t xml:space="preserve">, </w:t>
      </w:r>
      <w:proofErr w:type="spellStart"/>
      <w:r w:rsidRPr="00421687">
        <w:rPr>
          <w:sz w:val="24"/>
          <w:szCs w:val="24"/>
        </w:rPr>
        <w:t>colestyramin</w:t>
      </w:r>
      <w:proofErr w:type="spellEnd"/>
      <w:r w:rsidRPr="00421687">
        <w:rPr>
          <w:sz w:val="24"/>
          <w:szCs w:val="24"/>
        </w:rPr>
        <w:t xml:space="preserve">, kaliumsalte, </w:t>
      </w:r>
      <w:proofErr w:type="spellStart"/>
      <w:r w:rsidRPr="00421687">
        <w:rPr>
          <w:sz w:val="24"/>
          <w:szCs w:val="24"/>
        </w:rPr>
        <w:t>methyldopa</w:t>
      </w:r>
      <w:proofErr w:type="spellEnd"/>
      <w:r w:rsidRPr="00421687">
        <w:rPr>
          <w:sz w:val="24"/>
          <w:szCs w:val="24"/>
        </w:rPr>
        <w:t xml:space="preserve"> og syreneutraliserende lægemidler (f.eks. </w:t>
      </w:r>
      <w:proofErr w:type="spellStart"/>
      <w:r w:rsidRPr="00421687">
        <w:rPr>
          <w:sz w:val="24"/>
          <w:szCs w:val="24"/>
        </w:rPr>
        <w:t>omeprazol</w:t>
      </w:r>
      <w:proofErr w:type="spellEnd"/>
      <w:r w:rsidRPr="00421687">
        <w:rPr>
          <w:sz w:val="24"/>
          <w:szCs w:val="24"/>
        </w:rPr>
        <w:t xml:space="preserve"> og </w:t>
      </w:r>
      <w:proofErr w:type="spellStart"/>
      <w:r w:rsidRPr="00421687">
        <w:rPr>
          <w:sz w:val="24"/>
          <w:szCs w:val="24"/>
        </w:rPr>
        <w:t>cimetidin</w:t>
      </w:r>
      <w:proofErr w:type="spellEnd"/>
      <w:r w:rsidRPr="00421687">
        <w:rPr>
          <w:sz w:val="24"/>
          <w:szCs w:val="24"/>
        </w:rPr>
        <w:t>) kan reducere optagelsen af vitamin B12 fra mave-tarm-kanalen. Den kliniske relevans af mange af disse interaktioner er formodentlig lille.</w:t>
      </w:r>
    </w:p>
    <w:p w14:paraId="65E70B73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BAF17E9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4.6</w:t>
      </w:r>
      <w:r w:rsidRPr="00421687">
        <w:rPr>
          <w:b/>
          <w:sz w:val="24"/>
          <w:szCs w:val="24"/>
        </w:rPr>
        <w:tab/>
      </w:r>
      <w:r w:rsidR="0071241E" w:rsidRPr="00421687">
        <w:rPr>
          <w:b/>
          <w:sz w:val="24"/>
          <w:szCs w:val="24"/>
        </w:rPr>
        <w:t>Fertilitet, g</w:t>
      </w:r>
      <w:r w:rsidRPr="00421687">
        <w:rPr>
          <w:b/>
          <w:sz w:val="24"/>
          <w:szCs w:val="24"/>
        </w:rPr>
        <w:t>raviditet og amning</w:t>
      </w:r>
    </w:p>
    <w:p w14:paraId="2617B24E" w14:textId="77777777" w:rsidR="004A6E69" w:rsidRDefault="004A6E69" w:rsidP="00421687">
      <w:pPr>
        <w:ind w:left="851"/>
        <w:rPr>
          <w:sz w:val="24"/>
          <w:szCs w:val="24"/>
          <w:u w:val="single"/>
        </w:rPr>
      </w:pPr>
    </w:p>
    <w:p w14:paraId="16B3BE43" w14:textId="795AA924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  <w:u w:val="single"/>
        </w:rPr>
        <w:t>Graviditet</w:t>
      </w:r>
    </w:p>
    <w:p w14:paraId="0896D773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>Ingen kendte risici under graviditet.</w:t>
      </w:r>
    </w:p>
    <w:p w14:paraId="1DD418B7" w14:textId="77777777" w:rsidR="00DE0FC2" w:rsidRPr="00421687" w:rsidRDefault="00DE0FC2" w:rsidP="00421687">
      <w:pPr>
        <w:ind w:left="851"/>
        <w:rPr>
          <w:sz w:val="24"/>
          <w:szCs w:val="24"/>
        </w:rPr>
      </w:pPr>
    </w:p>
    <w:p w14:paraId="6CC4F853" w14:textId="77777777" w:rsidR="00DE0FC2" w:rsidRPr="00421687" w:rsidRDefault="00DE0FC2" w:rsidP="00421687">
      <w:pPr>
        <w:ind w:left="851"/>
        <w:rPr>
          <w:sz w:val="24"/>
          <w:szCs w:val="24"/>
          <w:u w:val="single"/>
        </w:rPr>
      </w:pPr>
      <w:r w:rsidRPr="00421687">
        <w:rPr>
          <w:sz w:val="24"/>
          <w:szCs w:val="24"/>
          <w:u w:val="single"/>
        </w:rPr>
        <w:t>Amning</w:t>
      </w:r>
    </w:p>
    <w:p w14:paraId="5B776BCE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>Udskilles i modermælk, men risikoen for påvirkning af barnet synes usandsynlig ved terapeutiske doser.</w:t>
      </w:r>
    </w:p>
    <w:p w14:paraId="10809645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0119B5A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4.7</w:t>
      </w:r>
      <w:r w:rsidRPr="00421687">
        <w:rPr>
          <w:b/>
          <w:sz w:val="24"/>
          <w:szCs w:val="24"/>
        </w:rPr>
        <w:tab/>
        <w:t xml:space="preserve">Virkning på evnen til at føre motorkøretøj </w:t>
      </w:r>
      <w:r w:rsidR="0071241E" w:rsidRPr="00421687">
        <w:rPr>
          <w:b/>
          <w:sz w:val="24"/>
          <w:szCs w:val="24"/>
        </w:rPr>
        <w:t>og</w:t>
      </w:r>
      <w:r w:rsidRPr="00421687">
        <w:rPr>
          <w:b/>
          <w:sz w:val="24"/>
          <w:szCs w:val="24"/>
        </w:rPr>
        <w:t xml:space="preserve"> betjene maskiner</w:t>
      </w:r>
    </w:p>
    <w:p w14:paraId="38B324AA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>Ikke mærkning.</w:t>
      </w:r>
    </w:p>
    <w:p w14:paraId="4B9255D7" w14:textId="77777777" w:rsidR="00DE0FC2" w:rsidRPr="00421687" w:rsidRDefault="00DE0FC2" w:rsidP="00421687">
      <w:pPr>
        <w:ind w:left="851"/>
        <w:rPr>
          <w:sz w:val="24"/>
          <w:szCs w:val="24"/>
        </w:rPr>
      </w:pPr>
      <w:proofErr w:type="spellStart"/>
      <w:r w:rsidRPr="00421687">
        <w:rPr>
          <w:sz w:val="24"/>
          <w:szCs w:val="24"/>
        </w:rPr>
        <w:t>Bevitan</w:t>
      </w:r>
      <w:proofErr w:type="spellEnd"/>
      <w:r w:rsidRPr="00421687">
        <w:rPr>
          <w:sz w:val="24"/>
          <w:szCs w:val="24"/>
        </w:rPr>
        <w:t xml:space="preserve"> påvirker ikke eller kun i ubetydelig grad evnen til at føre motorkøretøj og betjene maskiner.</w:t>
      </w:r>
    </w:p>
    <w:p w14:paraId="3B263391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3952136" w14:textId="63B4EF24" w:rsidR="009260D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4.8</w:t>
      </w:r>
      <w:r w:rsidRPr="00421687">
        <w:rPr>
          <w:b/>
          <w:sz w:val="24"/>
          <w:szCs w:val="24"/>
        </w:rPr>
        <w:tab/>
        <w:t>Bivirkninger</w:t>
      </w:r>
    </w:p>
    <w:p w14:paraId="2F4714C4" w14:textId="77777777" w:rsidR="00986A47" w:rsidRPr="00986A47" w:rsidRDefault="00986A47" w:rsidP="00986A47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Tabel-Gitter"/>
        <w:tblW w:w="0" w:type="auto"/>
        <w:tblInd w:w="851" w:type="dxa"/>
        <w:tblLook w:val="04A0" w:firstRow="1" w:lastRow="0" w:firstColumn="1" w:lastColumn="0" w:noHBand="0" w:noVBand="1"/>
      </w:tblPr>
      <w:tblGrid>
        <w:gridCol w:w="3014"/>
        <w:gridCol w:w="2863"/>
        <w:gridCol w:w="2900"/>
      </w:tblGrid>
      <w:tr w:rsidR="004A6E69" w:rsidRPr="00CD0B17" w14:paraId="44AC6002" w14:textId="77777777" w:rsidTr="004A6E69">
        <w:tc>
          <w:tcPr>
            <w:tcW w:w="3209" w:type="dxa"/>
          </w:tcPr>
          <w:p w14:paraId="25F03947" w14:textId="61796E26" w:rsidR="004A6E69" w:rsidRPr="00CD0B17" w:rsidRDefault="004A6E69" w:rsidP="004A6E69">
            <w:pPr>
              <w:tabs>
                <w:tab w:val="left" w:pos="851"/>
              </w:tabs>
              <w:rPr>
                <w:b/>
                <w:sz w:val="24"/>
                <w:szCs w:val="24"/>
                <w:lang w:val="da-DK"/>
              </w:rPr>
            </w:pPr>
            <w:r w:rsidRPr="00CD0B17">
              <w:rPr>
                <w:b/>
                <w:bCs/>
                <w:sz w:val="24"/>
                <w:szCs w:val="24"/>
                <w:lang w:val="da-DK"/>
              </w:rPr>
              <w:t>Systemorganklasse</w:t>
            </w:r>
          </w:p>
        </w:tc>
        <w:tc>
          <w:tcPr>
            <w:tcW w:w="3209" w:type="dxa"/>
          </w:tcPr>
          <w:p w14:paraId="0BD218A3" w14:textId="265A5C06" w:rsidR="004A6E69" w:rsidRPr="00CD0B17" w:rsidRDefault="004A6E69" w:rsidP="004A6E69">
            <w:pPr>
              <w:tabs>
                <w:tab w:val="left" w:pos="851"/>
              </w:tabs>
              <w:rPr>
                <w:b/>
                <w:sz w:val="24"/>
                <w:szCs w:val="24"/>
                <w:lang w:val="da-DK"/>
              </w:rPr>
            </w:pPr>
            <w:r w:rsidRPr="00CD0B17">
              <w:rPr>
                <w:b/>
                <w:bCs/>
                <w:sz w:val="24"/>
                <w:szCs w:val="24"/>
                <w:lang w:val="da-DK"/>
              </w:rPr>
              <w:t>Hyppighed</w:t>
            </w:r>
          </w:p>
        </w:tc>
        <w:tc>
          <w:tcPr>
            <w:tcW w:w="3210" w:type="dxa"/>
          </w:tcPr>
          <w:p w14:paraId="1607CF67" w14:textId="41FF584A" w:rsidR="004A6E69" w:rsidRPr="00CD0B17" w:rsidRDefault="004A6E69" w:rsidP="004A6E69">
            <w:pPr>
              <w:tabs>
                <w:tab w:val="left" w:pos="851"/>
              </w:tabs>
              <w:rPr>
                <w:b/>
                <w:sz w:val="24"/>
                <w:szCs w:val="24"/>
                <w:lang w:val="da-DK"/>
              </w:rPr>
            </w:pPr>
            <w:r w:rsidRPr="00CD0B17">
              <w:rPr>
                <w:b/>
                <w:bCs/>
                <w:sz w:val="24"/>
                <w:szCs w:val="24"/>
                <w:lang w:val="da-DK"/>
              </w:rPr>
              <w:t>Bivirkning</w:t>
            </w:r>
          </w:p>
        </w:tc>
      </w:tr>
      <w:tr w:rsidR="004A6E69" w:rsidRPr="00CD0B17" w14:paraId="2D872479" w14:textId="77777777" w:rsidTr="004A6E69">
        <w:tc>
          <w:tcPr>
            <w:tcW w:w="3209" w:type="dxa"/>
          </w:tcPr>
          <w:p w14:paraId="23EC1268" w14:textId="69609BC0" w:rsidR="004A6E69" w:rsidRPr="00CD0B17" w:rsidRDefault="004A6E69" w:rsidP="004A6E69">
            <w:pPr>
              <w:tabs>
                <w:tab w:val="left" w:pos="851"/>
              </w:tabs>
              <w:rPr>
                <w:sz w:val="24"/>
                <w:szCs w:val="24"/>
                <w:lang w:val="da-DK"/>
              </w:rPr>
            </w:pPr>
            <w:r w:rsidRPr="00CD0B17">
              <w:rPr>
                <w:sz w:val="24"/>
                <w:szCs w:val="24"/>
                <w:lang w:val="da-DK"/>
              </w:rPr>
              <w:t>Immunsystemet</w:t>
            </w:r>
          </w:p>
        </w:tc>
        <w:tc>
          <w:tcPr>
            <w:tcW w:w="3209" w:type="dxa"/>
          </w:tcPr>
          <w:p w14:paraId="328AE5EA" w14:textId="0E293FAE" w:rsidR="004A6E69" w:rsidRPr="00CD0B17" w:rsidRDefault="004A6E69" w:rsidP="004A6E69">
            <w:pPr>
              <w:tabs>
                <w:tab w:val="left" w:pos="851"/>
              </w:tabs>
              <w:rPr>
                <w:sz w:val="24"/>
                <w:szCs w:val="24"/>
                <w:lang w:val="da-DK"/>
              </w:rPr>
            </w:pPr>
            <w:r w:rsidRPr="00CD0B17">
              <w:rPr>
                <w:sz w:val="24"/>
                <w:szCs w:val="24"/>
                <w:lang w:val="da-DK"/>
              </w:rPr>
              <w:t>Sjælden (≥ 1/10.000 til &lt; 1/1.000)</w:t>
            </w:r>
          </w:p>
        </w:tc>
        <w:tc>
          <w:tcPr>
            <w:tcW w:w="3210" w:type="dxa"/>
          </w:tcPr>
          <w:p w14:paraId="15A31C73" w14:textId="096B0984" w:rsidR="004A6E69" w:rsidRPr="00CD0B17" w:rsidRDefault="004A6E69" w:rsidP="004A6E69">
            <w:pPr>
              <w:tabs>
                <w:tab w:val="left" w:pos="851"/>
              </w:tabs>
              <w:rPr>
                <w:sz w:val="24"/>
                <w:szCs w:val="24"/>
                <w:lang w:val="da-DK"/>
              </w:rPr>
            </w:pPr>
            <w:r w:rsidRPr="00CD0B17">
              <w:rPr>
                <w:sz w:val="24"/>
                <w:szCs w:val="24"/>
                <w:lang w:val="da-DK"/>
              </w:rPr>
              <w:t>Anafylaksi. Feber.</w:t>
            </w:r>
          </w:p>
        </w:tc>
      </w:tr>
      <w:tr w:rsidR="004A6E69" w:rsidRPr="00CD0B17" w14:paraId="77803026" w14:textId="77777777" w:rsidTr="004A6E69">
        <w:tc>
          <w:tcPr>
            <w:tcW w:w="3209" w:type="dxa"/>
          </w:tcPr>
          <w:p w14:paraId="348EEE61" w14:textId="444FFC2A" w:rsidR="004A6E69" w:rsidRPr="00CD0B17" w:rsidRDefault="004A6E69" w:rsidP="004A6E69">
            <w:pPr>
              <w:tabs>
                <w:tab w:val="left" w:pos="851"/>
              </w:tabs>
              <w:rPr>
                <w:sz w:val="24"/>
                <w:szCs w:val="24"/>
                <w:lang w:val="da-DK"/>
              </w:rPr>
            </w:pPr>
            <w:r w:rsidRPr="00CD0B17">
              <w:rPr>
                <w:sz w:val="24"/>
                <w:szCs w:val="24"/>
                <w:lang w:val="da-DK"/>
              </w:rPr>
              <w:t>Hud og subkutane væv</w:t>
            </w:r>
          </w:p>
        </w:tc>
        <w:tc>
          <w:tcPr>
            <w:tcW w:w="3209" w:type="dxa"/>
          </w:tcPr>
          <w:p w14:paraId="6A5BD075" w14:textId="3AD6AC72" w:rsidR="004A6E69" w:rsidRPr="00CD0B17" w:rsidRDefault="004A6E69" w:rsidP="004A6E69">
            <w:pPr>
              <w:tabs>
                <w:tab w:val="left" w:pos="851"/>
              </w:tabs>
              <w:rPr>
                <w:sz w:val="24"/>
                <w:szCs w:val="24"/>
                <w:lang w:val="da-DK"/>
              </w:rPr>
            </w:pPr>
            <w:r w:rsidRPr="00CD0B17">
              <w:rPr>
                <w:sz w:val="24"/>
                <w:szCs w:val="24"/>
                <w:lang w:val="da-DK"/>
              </w:rPr>
              <w:t>Sjælden (≥ 1/10.000 til &lt; 1/1.000)</w:t>
            </w:r>
          </w:p>
        </w:tc>
        <w:tc>
          <w:tcPr>
            <w:tcW w:w="3210" w:type="dxa"/>
          </w:tcPr>
          <w:p w14:paraId="5F5914CF" w14:textId="5C6A628B" w:rsidR="004A6E69" w:rsidRPr="00CD0B17" w:rsidRDefault="004A6E69" w:rsidP="004A6E69">
            <w:pPr>
              <w:tabs>
                <w:tab w:val="left" w:pos="851"/>
              </w:tabs>
              <w:rPr>
                <w:sz w:val="24"/>
                <w:szCs w:val="24"/>
                <w:lang w:val="da-DK"/>
              </w:rPr>
            </w:pPr>
            <w:proofErr w:type="spellStart"/>
            <w:r w:rsidRPr="00CD0B17">
              <w:rPr>
                <w:sz w:val="24"/>
                <w:szCs w:val="24"/>
                <w:lang w:val="da-DK"/>
              </w:rPr>
              <w:t>Urticaria</w:t>
            </w:r>
            <w:proofErr w:type="spellEnd"/>
            <w:r w:rsidRPr="00CD0B17">
              <w:rPr>
                <w:sz w:val="24"/>
                <w:szCs w:val="24"/>
                <w:lang w:val="da-DK"/>
              </w:rPr>
              <w:t xml:space="preserve">. </w:t>
            </w:r>
            <w:proofErr w:type="spellStart"/>
            <w:r w:rsidRPr="00CD0B17">
              <w:rPr>
                <w:sz w:val="24"/>
                <w:szCs w:val="24"/>
                <w:lang w:val="da-DK"/>
              </w:rPr>
              <w:t>Eksantem</w:t>
            </w:r>
            <w:proofErr w:type="spellEnd"/>
            <w:r w:rsidRPr="00CD0B17">
              <w:rPr>
                <w:sz w:val="24"/>
                <w:szCs w:val="24"/>
                <w:lang w:val="da-DK"/>
              </w:rPr>
              <w:t xml:space="preserve">. </w:t>
            </w:r>
            <w:proofErr w:type="spellStart"/>
            <w:r w:rsidRPr="00CD0B17">
              <w:rPr>
                <w:sz w:val="24"/>
                <w:szCs w:val="24"/>
                <w:lang w:val="da-DK"/>
              </w:rPr>
              <w:t>Eksematøst</w:t>
            </w:r>
            <w:proofErr w:type="spellEnd"/>
            <w:r w:rsidRPr="00CD0B17">
              <w:rPr>
                <w:sz w:val="24"/>
                <w:szCs w:val="24"/>
                <w:lang w:val="da-DK"/>
              </w:rPr>
              <w:t xml:space="preserve"> udslæt. Allergiske reaktioner herunder hudreaktioner og </w:t>
            </w:r>
            <w:proofErr w:type="spellStart"/>
            <w:r w:rsidRPr="00CD0B17">
              <w:rPr>
                <w:sz w:val="24"/>
                <w:szCs w:val="24"/>
                <w:lang w:val="da-DK"/>
              </w:rPr>
              <w:t>angioødem</w:t>
            </w:r>
            <w:proofErr w:type="spellEnd"/>
            <w:r w:rsidRPr="00CD0B17">
              <w:rPr>
                <w:sz w:val="24"/>
                <w:szCs w:val="24"/>
                <w:lang w:val="da-DK"/>
              </w:rPr>
              <w:t>.</w:t>
            </w:r>
          </w:p>
        </w:tc>
      </w:tr>
    </w:tbl>
    <w:p w14:paraId="555B793E" w14:textId="77777777" w:rsidR="004A6E69" w:rsidRPr="004A6E69" w:rsidRDefault="004A6E69" w:rsidP="004A6E69">
      <w:pPr>
        <w:tabs>
          <w:tab w:val="left" w:pos="851"/>
        </w:tabs>
        <w:ind w:left="851"/>
        <w:rPr>
          <w:sz w:val="24"/>
          <w:szCs w:val="24"/>
        </w:rPr>
      </w:pPr>
    </w:p>
    <w:p w14:paraId="4AE3C7C7" w14:textId="77777777" w:rsidR="00DE0FC2" w:rsidRPr="00421687" w:rsidRDefault="00DE0FC2" w:rsidP="00421687">
      <w:pPr>
        <w:ind w:left="851"/>
        <w:rPr>
          <w:sz w:val="24"/>
          <w:szCs w:val="24"/>
          <w:u w:val="single"/>
        </w:rPr>
      </w:pPr>
      <w:r w:rsidRPr="00421687">
        <w:rPr>
          <w:sz w:val="24"/>
          <w:szCs w:val="24"/>
          <w:u w:val="single"/>
        </w:rPr>
        <w:t>Indberetning af formodede bivirkninger</w:t>
      </w:r>
    </w:p>
    <w:p w14:paraId="1F73F3C3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421687">
        <w:rPr>
          <w:sz w:val="24"/>
          <w:szCs w:val="24"/>
        </w:rPr>
        <w:t>risk</w:t>
      </w:r>
      <w:proofErr w:type="spellEnd"/>
      <w:r w:rsidRPr="00421687">
        <w:rPr>
          <w:sz w:val="24"/>
          <w:szCs w:val="24"/>
        </w:rPr>
        <w:t xml:space="preserve">-forholdet for lægemidlet. Sundhedspersoner anmodes om at indberette alle formodede bivirkninger via: </w:t>
      </w:r>
    </w:p>
    <w:p w14:paraId="3E5B4AD8" w14:textId="77777777" w:rsidR="00DE0FC2" w:rsidRPr="00421687" w:rsidRDefault="00DE0FC2" w:rsidP="00421687">
      <w:pPr>
        <w:ind w:left="851"/>
        <w:rPr>
          <w:sz w:val="24"/>
          <w:szCs w:val="24"/>
        </w:rPr>
      </w:pPr>
    </w:p>
    <w:p w14:paraId="4F53137D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>Lægemiddelstyrelsen</w:t>
      </w:r>
    </w:p>
    <w:p w14:paraId="411F8624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>Axel Heides Gade 1</w:t>
      </w:r>
    </w:p>
    <w:p w14:paraId="7169E3D9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>DK-2300 København S</w:t>
      </w:r>
    </w:p>
    <w:p w14:paraId="0656F4B2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 xml:space="preserve">Websted: www.meldenbivirkning.dk  </w:t>
      </w:r>
    </w:p>
    <w:p w14:paraId="539B0B34" w14:textId="77777777" w:rsidR="009260DE" w:rsidRPr="00421687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7E09B496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4.9</w:t>
      </w:r>
      <w:r w:rsidRPr="00421687">
        <w:rPr>
          <w:b/>
          <w:sz w:val="24"/>
          <w:szCs w:val="24"/>
        </w:rPr>
        <w:tab/>
        <w:t>Overdosering</w:t>
      </w:r>
    </w:p>
    <w:p w14:paraId="66CED2C1" w14:textId="77777777" w:rsidR="004A6E69" w:rsidRDefault="004A6E69" w:rsidP="00421687">
      <w:pPr>
        <w:ind w:left="851"/>
        <w:rPr>
          <w:sz w:val="24"/>
          <w:szCs w:val="24"/>
          <w:u w:val="single"/>
          <w:lang w:val="nb-NO"/>
        </w:rPr>
      </w:pPr>
    </w:p>
    <w:p w14:paraId="0C2E007E" w14:textId="58A2561F" w:rsidR="00DE0FC2" w:rsidRPr="00421687" w:rsidRDefault="00DE0FC2" w:rsidP="00421687">
      <w:pPr>
        <w:ind w:left="851"/>
        <w:rPr>
          <w:sz w:val="24"/>
          <w:szCs w:val="24"/>
          <w:u w:val="single"/>
          <w:lang w:val="nb-NO"/>
        </w:rPr>
      </w:pPr>
      <w:r w:rsidRPr="00421687">
        <w:rPr>
          <w:sz w:val="24"/>
          <w:szCs w:val="24"/>
          <w:u w:val="single"/>
          <w:lang w:val="nb-NO"/>
        </w:rPr>
        <w:t xml:space="preserve">Toksicitet </w:t>
      </w:r>
    </w:p>
    <w:p w14:paraId="5BD597F2" w14:textId="77777777" w:rsidR="00DE0FC2" w:rsidRPr="00421687" w:rsidRDefault="00DE0FC2" w:rsidP="00421687">
      <w:pPr>
        <w:ind w:left="851"/>
        <w:rPr>
          <w:sz w:val="24"/>
          <w:szCs w:val="24"/>
          <w:lang w:val="nb-NO"/>
        </w:rPr>
      </w:pPr>
      <w:r w:rsidRPr="00421687">
        <w:rPr>
          <w:sz w:val="24"/>
          <w:szCs w:val="24"/>
          <w:lang w:val="nb-NO"/>
        </w:rPr>
        <w:t xml:space="preserve">Lav akut toksicitet. </w:t>
      </w:r>
    </w:p>
    <w:p w14:paraId="2C330545" w14:textId="77777777" w:rsidR="00DE0FC2" w:rsidRPr="00421687" w:rsidRDefault="00DE0FC2" w:rsidP="00421687">
      <w:pPr>
        <w:ind w:left="851"/>
        <w:rPr>
          <w:sz w:val="24"/>
          <w:szCs w:val="24"/>
          <w:lang w:val="nb-NO"/>
        </w:rPr>
      </w:pPr>
    </w:p>
    <w:p w14:paraId="3C5DE030" w14:textId="77777777" w:rsidR="00DE0FC2" w:rsidRPr="00421687" w:rsidRDefault="00DE0FC2" w:rsidP="00421687">
      <w:pPr>
        <w:ind w:left="851"/>
        <w:rPr>
          <w:sz w:val="24"/>
          <w:szCs w:val="24"/>
          <w:u w:val="single"/>
          <w:lang w:val="nb-NO"/>
        </w:rPr>
      </w:pPr>
      <w:r w:rsidRPr="00421687">
        <w:rPr>
          <w:sz w:val="24"/>
          <w:szCs w:val="24"/>
          <w:u w:val="single"/>
          <w:lang w:val="nb-NO"/>
        </w:rPr>
        <w:lastRenderedPageBreak/>
        <w:t>Symptomer</w:t>
      </w:r>
    </w:p>
    <w:p w14:paraId="786E6D26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 xml:space="preserve">Ikke forventeligt, selv ved meget høje doser. </w:t>
      </w:r>
    </w:p>
    <w:p w14:paraId="3F5E313B" w14:textId="77777777" w:rsidR="00DE0FC2" w:rsidRPr="00421687" w:rsidRDefault="00DE0FC2" w:rsidP="00421687">
      <w:pPr>
        <w:ind w:left="851"/>
        <w:rPr>
          <w:sz w:val="24"/>
          <w:szCs w:val="24"/>
        </w:rPr>
      </w:pPr>
    </w:p>
    <w:p w14:paraId="1B9389F7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  <w:u w:val="single"/>
        </w:rPr>
        <w:t>Behandling</w:t>
      </w:r>
    </w:p>
    <w:p w14:paraId="062080EE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>Det er sandsynligvis ikke nødvendigt. (Symptomatisk i undtagelsestilfælde.)</w:t>
      </w:r>
    </w:p>
    <w:p w14:paraId="24AF3B2D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17DE3BE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4.10</w:t>
      </w:r>
      <w:r w:rsidRPr="00421687">
        <w:rPr>
          <w:b/>
          <w:sz w:val="24"/>
          <w:szCs w:val="24"/>
        </w:rPr>
        <w:tab/>
        <w:t>Udlevering</w:t>
      </w:r>
    </w:p>
    <w:p w14:paraId="0596EB49" w14:textId="014FCD6A" w:rsidR="009260DE" w:rsidRPr="00421687" w:rsidRDefault="00DE0FC2" w:rsidP="009260DE">
      <w:pPr>
        <w:tabs>
          <w:tab w:val="left" w:pos="851"/>
        </w:tabs>
        <w:ind w:left="851"/>
        <w:rPr>
          <w:sz w:val="24"/>
          <w:szCs w:val="24"/>
        </w:rPr>
      </w:pPr>
      <w:r w:rsidRPr="00421687">
        <w:rPr>
          <w:sz w:val="24"/>
          <w:szCs w:val="24"/>
        </w:rPr>
        <w:t>B</w:t>
      </w:r>
    </w:p>
    <w:p w14:paraId="09CCFB5B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7D38F81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A34F93E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5.</w:t>
      </w:r>
      <w:r w:rsidRPr="00421687">
        <w:rPr>
          <w:b/>
          <w:sz w:val="24"/>
          <w:szCs w:val="24"/>
        </w:rPr>
        <w:tab/>
        <w:t>FARMAKOLOGISKE EGENSKABER</w:t>
      </w:r>
    </w:p>
    <w:p w14:paraId="4D4A8DE6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0328A3F" w14:textId="77777777" w:rsidR="009260DE" w:rsidRPr="00421687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5.1</w:t>
      </w:r>
      <w:r w:rsidRPr="00421687">
        <w:rPr>
          <w:b/>
          <w:sz w:val="24"/>
          <w:szCs w:val="24"/>
        </w:rPr>
        <w:tab/>
      </w:r>
      <w:proofErr w:type="spellStart"/>
      <w:r w:rsidRPr="00421687">
        <w:rPr>
          <w:b/>
          <w:sz w:val="24"/>
          <w:szCs w:val="24"/>
        </w:rPr>
        <w:t>Farmakodynamiske</w:t>
      </w:r>
      <w:proofErr w:type="spellEnd"/>
      <w:r w:rsidRPr="00421687">
        <w:rPr>
          <w:b/>
          <w:sz w:val="24"/>
          <w:szCs w:val="24"/>
        </w:rPr>
        <w:t xml:space="preserve"> egenskaber</w:t>
      </w:r>
    </w:p>
    <w:p w14:paraId="0BEF9558" w14:textId="59F70CA6" w:rsidR="00DE0FC2" w:rsidRPr="00421687" w:rsidRDefault="00DE0FC2" w:rsidP="00421687">
      <w:pPr>
        <w:suppressAutoHyphens/>
        <w:ind w:left="851"/>
        <w:rPr>
          <w:sz w:val="24"/>
          <w:szCs w:val="24"/>
        </w:rPr>
      </w:pPr>
      <w:proofErr w:type="spellStart"/>
      <w:r w:rsidRPr="00421687">
        <w:rPr>
          <w:sz w:val="24"/>
          <w:szCs w:val="24"/>
        </w:rPr>
        <w:t>Farmakoterapeutisk</w:t>
      </w:r>
      <w:proofErr w:type="spellEnd"/>
      <w:r w:rsidRPr="00421687">
        <w:rPr>
          <w:sz w:val="24"/>
          <w:szCs w:val="24"/>
        </w:rPr>
        <w:t xml:space="preserve"> klassifikation: Vitamin B12 (</w:t>
      </w:r>
      <w:proofErr w:type="spellStart"/>
      <w:r w:rsidRPr="00421687">
        <w:rPr>
          <w:sz w:val="24"/>
          <w:szCs w:val="24"/>
        </w:rPr>
        <w:t>cyanocobalamin</w:t>
      </w:r>
      <w:proofErr w:type="spellEnd"/>
      <w:r w:rsidRPr="00421687">
        <w:rPr>
          <w:sz w:val="24"/>
          <w:szCs w:val="24"/>
        </w:rPr>
        <w:t xml:space="preserve"> og derivater)</w:t>
      </w:r>
      <w:r w:rsidR="00CD0B17">
        <w:rPr>
          <w:sz w:val="24"/>
          <w:szCs w:val="24"/>
        </w:rPr>
        <w:t>,</w:t>
      </w:r>
      <w:r w:rsidRPr="00421687">
        <w:rPr>
          <w:sz w:val="24"/>
          <w:szCs w:val="24"/>
        </w:rPr>
        <w:t xml:space="preserve"> ATC-kode: B03BA01.</w:t>
      </w:r>
    </w:p>
    <w:p w14:paraId="01411AED" w14:textId="77777777" w:rsidR="00DE0FC2" w:rsidRPr="00421687" w:rsidRDefault="00DE0FC2" w:rsidP="00421687">
      <w:pPr>
        <w:suppressAutoHyphens/>
        <w:ind w:left="851"/>
        <w:rPr>
          <w:sz w:val="24"/>
          <w:szCs w:val="24"/>
        </w:rPr>
      </w:pPr>
    </w:p>
    <w:p w14:paraId="45A6C2B1" w14:textId="77777777" w:rsidR="004A6E69" w:rsidRDefault="00DE0FC2" w:rsidP="00421687">
      <w:pPr>
        <w:suppressAutoHyphens/>
        <w:ind w:left="851"/>
        <w:rPr>
          <w:sz w:val="24"/>
          <w:szCs w:val="24"/>
        </w:rPr>
      </w:pPr>
      <w:r w:rsidRPr="00421687">
        <w:rPr>
          <w:i/>
          <w:iCs/>
          <w:sz w:val="24"/>
          <w:szCs w:val="24"/>
        </w:rPr>
        <w:t>Virkningsmekanisme:</w:t>
      </w:r>
      <w:r w:rsidRPr="00421687">
        <w:rPr>
          <w:sz w:val="24"/>
          <w:szCs w:val="24"/>
        </w:rPr>
        <w:t xml:space="preserve"> </w:t>
      </w:r>
    </w:p>
    <w:p w14:paraId="39B2B44A" w14:textId="27781ABE" w:rsidR="00DE0FC2" w:rsidRPr="00421687" w:rsidRDefault="00DE0FC2" w:rsidP="00421687">
      <w:pPr>
        <w:suppressAutoHyphens/>
        <w:ind w:left="851"/>
        <w:rPr>
          <w:sz w:val="24"/>
          <w:szCs w:val="24"/>
        </w:rPr>
      </w:pPr>
      <w:proofErr w:type="spellStart"/>
      <w:r w:rsidRPr="00421687">
        <w:rPr>
          <w:sz w:val="24"/>
          <w:szCs w:val="24"/>
        </w:rPr>
        <w:t>Bevitan</w:t>
      </w:r>
      <w:proofErr w:type="spellEnd"/>
      <w:r w:rsidRPr="00421687">
        <w:rPr>
          <w:sz w:val="24"/>
          <w:szCs w:val="24"/>
        </w:rPr>
        <w:t xml:space="preserve"> tabletter normaliserer kroppens indhold af </w:t>
      </w:r>
      <w:proofErr w:type="spellStart"/>
      <w:r w:rsidRPr="00421687">
        <w:rPr>
          <w:sz w:val="24"/>
          <w:szCs w:val="24"/>
        </w:rPr>
        <w:t>cyanocobalamin</w:t>
      </w:r>
      <w:proofErr w:type="spellEnd"/>
      <w:r w:rsidRPr="00421687">
        <w:rPr>
          <w:sz w:val="24"/>
          <w:szCs w:val="24"/>
        </w:rPr>
        <w:t xml:space="preserve"> (B12-vitamin), som er essentielt for DNA-syntesen.</w:t>
      </w:r>
    </w:p>
    <w:p w14:paraId="17BB4B96" w14:textId="77777777" w:rsidR="00DE0FC2" w:rsidRPr="00421687" w:rsidRDefault="00DE0FC2" w:rsidP="00421687">
      <w:pPr>
        <w:suppressAutoHyphens/>
        <w:ind w:left="851"/>
        <w:rPr>
          <w:sz w:val="24"/>
          <w:szCs w:val="24"/>
        </w:rPr>
      </w:pPr>
    </w:p>
    <w:p w14:paraId="074F6A20" w14:textId="77777777" w:rsidR="00DE0FC2" w:rsidRPr="00421687" w:rsidRDefault="00DE0FC2" w:rsidP="00421687">
      <w:pPr>
        <w:suppressAutoHyphens/>
        <w:ind w:left="851"/>
        <w:rPr>
          <w:sz w:val="24"/>
          <w:szCs w:val="24"/>
        </w:rPr>
      </w:pPr>
      <w:r w:rsidRPr="00421687">
        <w:rPr>
          <w:sz w:val="24"/>
          <w:szCs w:val="24"/>
        </w:rPr>
        <w:t xml:space="preserve">Vitamin B12 er essentielt for mennesker og er især aktivt i to vigtige enzymsystemer. Den </w:t>
      </w:r>
      <w:proofErr w:type="spellStart"/>
      <w:r w:rsidRPr="00421687">
        <w:rPr>
          <w:sz w:val="24"/>
          <w:szCs w:val="24"/>
        </w:rPr>
        <w:t>adenosylerede</w:t>
      </w:r>
      <w:proofErr w:type="spellEnd"/>
      <w:r w:rsidRPr="00421687">
        <w:rPr>
          <w:sz w:val="24"/>
          <w:szCs w:val="24"/>
        </w:rPr>
        <w:t xml:space="preserve"> form er en </w:t>
      </w:r>
      <w:proofErr w:type="spellStart"/>
      <w:r w:rsidRPr="00421687">
        <w:rPr>
          <w:sz w:val="24"/>
          <w:szCs w:val="24"/>
        </w:rPr>
        <w:t>cofaktor</w:t>
      </w:r>
      <w:proofErr w:type="spellEnd"/>
      <w:r w:rsidRPr="00421687">
        <w:rPr>
          <w:sz w:val="24"/>
          <w:szCs w:val="24"/>
        </w:rPr>
        <w:t xml:space="preserve"> af mitokondrieenzymet </w:t>
      </w:r>
      <w:proofErr w:type="spellStart"/>
      <w:r w:rsidRPr="00421687">
        <w:rPr>
          <w:sz w:val="24"/>
          <w:szCs w:val="24"/>
        </w:rPr>
        <w:t>methylmalonyl-CoA-mutase</w:t>
      </w:r>
      <w:proofErr w:type="spellEnd"/>
      <w:r w:rsidRPr="00421687">
        <w:rPr>
          <w:sz w:val="24"/>
          <w:szCs w:val="24"/>
        </w:rPr>
        <w:t xml:space="preserve">. Denne reaktion er vigtig for normal fedtsyremetabolisme. Den </w:t>
      </w:r>
      <w:proofErr w:type="spellStart"/>
      <w:r w:rsidRPr="00421687">
        <w:rPr>
          <w:sz w:val="24"/>
          <w:szCs w:val="24"/>
        </w:rPr>
        <w:t>methylerede</w:t>
      </w:r>
      <w:proofErr w:type="spellEnd"/>
      <w:r w:rsidRPr="00421687">
        <w:rPr>
          <w:sz w:val="24"/>
          <w:szCs w:val="24"/>
        </w:rPr>
        <w:t xml:space="preserve"> form af vitamin B12 er en </w:t>
      </w:r>
      <w:proofErr w:type="spellStart"/>
      <w:r w:rsidRPr="00421687">
        <w:rPr>
          <w:sz w:val="24"/>
          <w:szCs w:val="24"/>
        </w:rPr>
        <w:t>cofaktor</w:t>
      </w:r>
      <w:proofErr w:type="spellEnd"/>
      <w:r w:rsidRPr="00421687">
        <w:rPr>
          <w:sz w:val="24"/>
          <w:szCs w:val="24"/>
        </w:rPr>
        <w:t xml:space="preserve"> for </w:t>
      </w:r>
      <w:proofErr w:type="spellStart"/>
      <w:r w:rsidRPr="00421687">
        <w:rPr>
          <w:sz w:val="24"/>
          <w:szCs w:val="24"/>
        </w:rPr>
        <w:t>methioninsyntetase</w:t>
      </w:r>
      <w:proofErr w:type="spellEnd"/>
      <w:r w:rsidRPr="00421687">
        <w:rPr>
          <w:sz w:val="24"/>
          <w:szCs w:val="24"/>
        </w:rPr>
        <w:t xml:space="preserve"> og dermed essentiel for normal celledeling. Mangel på </w:t>
      </w:r>
      <w:proofErr w:type="spellStart"/>
      <w:r w:rsidRPr="00421687">
        <w:rPr>
          <w:sz w:val="24"/>
          <w:szCs w:val="24"/>
        </w:rPr>
        <w:t>methylcobalamin</w:t>
      </w:r>
      <w:proofErr w:type="spellEnd"/>
      <w:r w:rsidRPr="00421687">
        <w:rPr>
          <w:sz w:val="24"/>
          <w:szCs w:val="24"/>
        </w:rPr>
        <w:t xml:space="preserve"> menes også at stå bag </w:t>
      </w:r>
      <w:proofErr w:type="spellStart"/>
      <w:r w:rsidRPr="00421687">
        <w:rPr>
          <w:sz w:val="24"/>
          <w:szCs w:val="24"/>
        </w:rPr>
        <w:t>demyeliniseringen</w:t>
      </w:r>
      <w:proofErr w:type="spellEnd"/>
      <w:r w:rsidRPr="00421687">
        <w:rPr>
          <w:sz w:val="24"/>
          <w:szCs w:val="24"/>
        </w:rPr>
        <w:t xml:space="preserve">, der ses ved vitamin B12-mangel. En lidelse i dette system fører til unormal DNA-metabolisme med symptomer fra primære organer med hurtig celledeling, såsom knoglemarv og slimhinder. Undersøgelser har vist, at en mangel på den </w:t>
      </w:r>
      <w:proofErr w:type="spellStart"/>
      <w:r w:rsidRPr="00421687">
        <w:rPr>
          <w:sz w:val="24"/>
          <w:szCs w:val="24"/>
        </w:rPr>
        <w:t>methylerende</w:t>
      </w:r>
      <w:proofErr w:type="spellEnd"/>
      <w:r w:rsidRPr="00421687">
        <w:rPr>
          <w:sz w:val="24"/>
          <w:szCs w:val="24"/>
        </w:rPr>
        <w:t xml:space="preserve"> form er ledsaget af neurologiske skader.</w:t>
      </w:r>
    </w:p>
    <w:p w14:paraId="0CA6FCAF" w14:textId="77777777" w:rsidR="00DE0FC2" w:rsidRPr="00421687" w:rsidRDefault="00DE0FC2" w:rsidP="00421687">
      <w:pPr>
        <w:suppressAutoHyphens/>
        <w:ind w:left="851"/>
        <w:rPr>
          <w:sz w:val="24"/>
          <w:szCs w:val="24"/>
        </w:rPr>
      </w:pPr>
    </w:p>
    <w:p w14:paraId="59054890" w14:textId="77777777" w:rsidR="004A6E69" w:rsidRDefault="00DE0FC2" w:rsidP="00421687">
      <w:pPr>
        <w:suppressAutoHyphens/>
        <w:ind w:left="851"/>
        <w:rPr>
          <w:i/>
          <w:iCs/>
          <w:sz w:val="24"/>
          <w:szCs w:val="24"/>
        </w:rPr>
      </w:pPr>
      <w:proofErr w:type="spellStart"/>
      <w:r w:rsidRPr="00421687">
        <w:rPr>
          <w:i/>
          <w:iCs/>
          <w:sz w:val="24"/>
          <w:szCs w:val="24"/>
        </w:rPr>
        <w:t>Farmakodynamiske</w:t>
      </w:r>
      <w:proofErr w:type="spellEnd"/>
      <w:r w:rsidRPr="00421687">
        <w:rPr>
          <w:i/>
          <w:iCs/>
          <w:sz w:val="24"/>
          <w:szCs w:val="24"/>
        </w:rPr>
        <w:t xml:space="preserve"> effekter: </w:t>
      </w:r>
    </w:p>
    <w:p w14:paraId="7D387BBE" w14:textId="2987C7B6" w:rsidR="00DE0FC2" w:rsidRPr="00421687" w:rsidRDefault="00DE0FC2" w:rsidP="00421687">
      <w:pPr>
        <w:suppressAutoHyphens/>
        <w:ind w:left="851"/>
        <w:rPr>
          <w:sz w:val="24"/>
          <w:szCs w:val="24"/>
        </w:rPr>
      </w:pPr>
      <w:proofErr w:type="spellStart"/>
      <w:r w:rsidRPr="00421687">
        <w:rPr>
          <w:sz w:val="24"/>
          <w:szCs w:val="24"/>
        </w:rPr>
        <w:t>Cyanocobalamin</w:t>
      </w:r>
      <w:proofErr w:type="spellEnd"/>
      <w:r w:rsidRPr="00421687">
        <w:rPr>
          <w:sz w:val="24"/>
          <w:szCs w:val="24"/>
        </w:rPr>
        <w:t xml:space="preserve"> er virksomt mod hæmatologiske, neurologiske og andre symptomer, der er forårsaget af mangel på B12-vitamin, f.eks. ved perniciøs anæmi.</w:t>
      </w:r>
    </w:p>
    <w:p w14:paraId="6B7DF364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9EF373E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5.2</w:t>
      </w:r>
      <w:r w:rsidRPr="00421687">
        <w:rPr>
          <w:b/>
          <w:sz w:val="24"/>
          <w:szCs w:val="24"/>
        </w:rPr>
        <w:tab/>
      </w:r>
      <w:proofErr w:type="spellStart"/>
      <w:r w:rsidRPr="00421687">
        <w:rPr>
          <w:b/>
          <w:sz w:val="24"/>
          <w:szCs w:val="24"/>
        </w:rPr>
        <w:t>Farmakokinetiske</w:t>
      </w:r>
      <w:proofErr w:type="spellEnd"/>
      <w:r w:rsidRPr="00421687">
        <w:rPr>
          <w:b/>
          <w:sz w:val="24"/>
          <w:szCs w:val="24"/>
        </w:rPr>
        <w:t xml:space="preserve"> egenskaber</w:t>
      </w:r>
    </w:p>
    <w:p w14:paraId="18978C6D" w14:textId="77777777" w:rsidR="004A6E69" w:rsidRDefault="004A6E69" w:rsidP="00421687">
      <w:pPr>
        <w:suppressAutoHyphens/>
        <w:ind w:left="851"/>
        <w:rPr>
          <w:i/>
          <w:iCs/>
          <w:sz w:val="24"/>
          <w:szCs w:val="24"/>
        </w:rPr>
      </w:pPr>
    </w:p>
    <w:p w14:paraId="6A870D59" w14:textId="77777777" w:rsidR="004A6E69" w:rsidRDefault="00DE0FC2" w:rsidP="00421687">
      <w:pPr>
        <w:suppressAutoHyphens/>
        <w:ind w:left="851"/>
        <w:rPr>
          <w:sz w:val="24"/>
          <w:szCs w:val="24"/>
        </w:rPr>
      </w:pPr>
      <w:r w:rsidRPr="00421687">
        <w:rPr>
          <w:i/>
          <w:iCs/>
          <w:sz w:val="24"/>
          <w:szCs w:val="24"/>
        </w:rPr>
        <w:t>Absorption:</w:t>
      </w:r>
      <w:r w:rsidRPr="00421687">
        <w:rPr>
          <w:sz w:val="24"/>
          <w:szCs w:val="24"/>
        </w:rPr>
        <w:t xml:space="preserve"> </w:t>
      </w:r>
    </w:p>
    <w:p w14:paraId="26C4779D" w14:textId="08F2ED52" w:rsidR="00DE0FC2" w:rsidRPr="00421687" w:rsidRDefault="00DE0FC2" w:rsidP="00421687">
      <w:pPr>
        <w:suppressAutoHyphens/>
        <w:ind w:left="851"/>
        <w:rPr>
          <w:sz w:val="24"/>
          <w:szCs w:val="24"/>
        </w:rPr>
      </w:pPr>
      <w:r w:rsidRPr="00421687">
        <w:rPr>
          <w:sz w:val="24"/>
          <w:szCs w:val="24"/>
        </w:rPr>
        <w:t>Uden medvirken af "</w:t>
      </w:r>
      <w:proofErr w:type="spellStart"/>
      <w:r w:rsidRPr="00421687">
        <w:rPr>
          <w:sz w:val="24"/>
          <w:szCs w:val="24"/>
        </w:rPr>
        <w:t>intrinsic</w:t>
      </w:r>
      <w:proofErr w:type="spellEnd"/>
      <w:r w:rsidRPr="00421687">
        <w:rPr>
          <w:sz w:val="24"/>
          <w:szCs w:val="24"/>
        </w:rPr>
        <w:t xml:space="preserve"> factor" kan kun ca. 1 % af den oralt indgivne mængde af 1 mg </w:t>
      </w:r>
      <w:proofErr w:type="spellStart"/>
      <w:r w:rsidRPr="00421687">
        <w:rPr>
          <w:sz w:val="24"/>
          <w:szCs w:val="24"/>
        </w:rPr>
        <w:t>cyanocobalamin</w:t>
      </w:r>
      <w:proofErr w:type="spellEnd"/>
      <w:r w:rsidRPr="00421687">
        <w:rPr>
          <w:sz w:val="24"/>
          <w:szCs w:val="24"/>
        </w:rPr>
        <w:t xml:space="preserve"> (ca. 10-12 </w:t>
      </w:r>
      <w:proofErr w:type="spellStart"/>
      <w:r w:rsidRPr="00421687">
        <w:rPr>
          <w:sz w:val="24"/>
          <w:szCs w:val="24"/>
        </w:rPr>
        <w:t>μg</w:t>
      </w:r>
      <w:proofErr w:type="spellEnd"/>
      <w:r w:rsidRPr="00421687">
        <w:rPr>
          <w:sz w:val="24"/>
          <w:szCs w:val="24"/>
        </w:rPr>
        <w:t xml:space="preserve">) absorberes ved passiv diffusion i duodenum og tyndtarm. Denne dosis er tilstrækkelig til vedligeholdelsesbehandling af patienter med perniciøs anæmi og andre former for </w:t>
      </w:r>
      <w:proofErr w:type="spellStart"/>
      <w:r w:rsidRPr="00421687">
        <w:rPr>
          <w:sz w:val="24"/>
          <w:szCs w:val="24"/>
        </w:rPr>
        <w:t>malabsorption</w:t>
      </w:r>
      <w:proofErr w:type="spellEnd"/>
      <w:r w:rsidRPr="00421687">
        <w:rPr>
          <w:sz w:val="24"/>
          <w:szCs w:val="24"/>
        </w:rPr>
        <w:t xml:space="preserve"> af vitamin B12. Oral behandling med højere doser kan også administreres initialt, men i tilfælde af manifest vitamin B12-mangel bør parenteral behandling foretrækkes for hurtigere remission og fyldning af leverdepoter.</w:t>
      </w:r>
    </w:p>
    <w:p w14:paraId="5A2D871E" w14:textId="77777777" w:rsidR="00DE0FC2" w:rsidRPr="00421687" w:rsidRDefault="00DE0FC2" w:rsidP="00421687">
      <w:pPr>
        <w:suppressAutoHyphens/>
        <w:ind w:left="851"/>
        <w:rPr>
          <w:sz w:val="24"/>
          <w:szCs w:val="24"/>
        </w:rPr>
      </w:pPr>
    </w:p>
    <w:p w14:paraId="63560346" w14:textId="77777777" w:rsidR="004A6E69" w:rsidRDefault="00DE0FC2" w:rsidP="00421687">
      <w:pPr>
        <w:suppressAutoHyphens/>
        <w:ind w:left="851"/>
        <w:rPr>
          <w:sz w:val="24"/>
          <w:szCs w:val="24"/>
        </w:rPr>
      </w:pPr>
      <w:r w:rsidRPr="00421687">
        <w:rPr>
          <w:i/>
          <w:iCs/>
          <w:sz w:val="24"/>
          <w:szCs w:val="24"/>
        </w:rPr>
        <w:t>Distribution:</w:t>
      </w:r>
      <w:r w:rsidRPr="00421687">
        <w:rPr>
          <w:sz w:val="24"/>
          <w:szCs w:val="24"/>
        </w:rPr>
        <w:t xml:space="preserve"> </w:t>
      </w:r>
    </w:p>
    <w:p w14:paraId="1FA575DF" w14:textId="5A17EFC3" w:rsidR="00DE0FC2" w:rsidRPr="00421687" w:rsidRDefault="00DE0FC2" w:rsidP="00421687">
      <w:pPr>
        <w:suppressAutoHyphens/>
        <w:ind w:left="851"/>
        <w:rPr>
          <w:sz w:val="24"/>
          <w:szCs w:val="24"/>
        </w:rPr>
      </w:pPr>
      <w:proofErr w:type="spellStart"/>
      <w:r w:rsidRPr="00421687">
        <w:rPr>
          <w:sz w:val="24"/>
          <w:szCs w:val="24"/>
        </w:rPr>
        <w:t>Cyanocobalamin</w:t>
      </w:r>
      <w:proofErr w:type="spellEnd"/>
      <w:r w:rsidRPr="00421687">
        <w:rPr>
          <w:sz w:val="24"/>
          <w:szCs w:val="24"/>
        </w:rPr>
        <w:t xml:space="preserve"> fordeles til blod- og vævsvæske samt akkumuleres i leveren. Bindes til plasmaproteiner.</w:t>
      </w:r>
    </w:p>
    <w:p w14:paraId="29A7BC09" w14:textId="77777777" w:rsidR="00DE0FC2" w:rsidRPr="00421687" w:rsidRDefault="00DE0FC2" w:rsidP="00421687">
      <w:pPr>
        <w:suppressAutoHyphens/>
        <w:ind w:left="851"/>
        <w:rPr>
          <w:sz w:val="24"/>
          <w:szCs w:val="24"/>
        </w:rPr>
      </w:pPr>
    </w:p>
    <w:p w14:paraId="284EBB4E" w14:textId="77777777" w:rsidR="004A6E69" w:rsidRDefault="00DE0FC2" w:rsidP="00421687">
      <w:pPr>
        <w:suppressAutoHyphens/>
        <w:ind w:left="851"/>
        <w:rPr>
          <w:sz w:val="24"/>
          <w:szCs w:val="24"/>
        </w:rPr>
      </w:pPr>
      <w:r w:rsidRPr="00421687">
        <w:rPr>
          <w:i/>
          <w:iCs/>
          <w:sz w:val="24"/>
          <w:szCs w:val="24"/>
        </w:rPr>
        <w:t>Metabolisme:</w:t>
      </w:r>
      <w:r w:rsidRPr="00421687">
        <w:rPr>
          <w:sz w:val="24"/>
          <w:szCs w:val="24"/>
        </w:rPr>
        <w:t xml:space="preserve"> </w:t>
      </w:r>
    </w:p>
    <w:p w14:paraId="22E57ED0" w14:textId="75C882CC" w:rsidR="00DE0FC2" w:rsidRPr="00421687" w:rsidRDefault="00DE0FC2" w:rsidP="00421687">
      <w:pPr>
        <w:suppressAutoHyphens/>
        <w:ind w:left="851"/>
        <w:rPr>
          <w:sz w:val="24"/>
          <w:szCs w:val="24"/>
        </w:rPr>
      </w:pPr>
      <w:proofErr w:type="spellStart"/>
      <w:r w:rsidRPr="00421687">
        <w:rPr>
          <w:sz w:val="24"/>
          <w:szCs w:val="24"/>
        </w:rPr>
        <w:t>Cyanocobalamin</w:t>
      </w:r>
      <w:proofErr w:type="spellEnd"/>
      <w:r w:rsidRPr="00421687">
        <w:rPr>
          <w:sz w:val="24"/>
          <w:szCs w:val="24"/>
        </w:rPr>
        <w:t xml:space="preserve"> </w:t>
      </w:r>
      <w:proofErr w:type="spellStart"/>
      <w:r w:rsidRPr="00421687">
        <w:rPr>
          <w:sz w:val="24"/>
          <w:szCs w:val="24"/>
        </w:rPr>
        <w:t>metaboliseres</w:t>
      </w:r>
      <w:proofErr w:type="spellEnd"/>
      <w:r w:rsidRPr="00421687">
        <w:rPr>
          <w:sz w:val="24"/>
          <w:szCs w:val="24"/>
        </w:rPr>
        <w:t xml:space="preserve"> til </w:t>
      </w:r>
      <w:proofErr w:type="spellStart"/>
      <w:r w:rsidRPr="00421687">
        <w:rPr>
          <w:sz w:val="24"/>
          <w:szCs w:val="24"/>
        </w:rPr>
        <w:t>adenosyl</w:t>
      </w:r>
      <w:proofErr w:type="spellEnd"/>
      <w:r w:rsidRPr="00421687">
        <w:rPr>
          <w:sz w:val="24"/>
          <w:szCs w:val="24"/>
        </w:rPr>
        <w:t xml:space="preserve">- og </w:t>
      </w:r>
      <w:proofErr w:type="spellStart"/>
      <w:r w:rsidRPr="00421687">
        <w:rPr>
          <w:sz w:val="24"/>
          <w:szCs w:val="24"/>
        </w:rPr>
        <w:t>methylcobalamin</w:t>
      </w:r>
      <w:proofErr w:type="spellEnd"/>
      <w:r w:rsidRPr="00421687">
        <w:rPr>
          <w:sz w:val="24"/>
          <w:szCs w:val="24"/>
        </w:rPr>
        <w:t>, som er biologisk aktive.</w:t>
      </w:r>
    </w:p>
    <w:p w14:paraId="593EA75C" w14:textId="77777777" w:rsidR="00DE0FC2" w:rsidRPr="00421687" w:rsidRDefault="00DE0FC2" w:rsidP="00421687">
      <w:pPr>
        <w:suppressAutoHyphens/>
        <w:ind w:left="851"/>
        <w:rPr>
          <w:sz w:val="24"/>
          <w:szCs w:val="24"/>
        </w:rPr>
      </w:pPr>
    </w:p>
    <w:p w14:paraId="5FCA2281" w14:textId="77777777" w:rsidR="004A6E69" w:rsidRDefault="00DE0FC2" w:rsidP="00421687">
      <w:pPr>
        <w:suppressAutoHyphens/>
        <w:ind w:left="851"/>
        <w:rPr>
          <w:sz w:val="24"/>
          <w:szCs w:val="24"/>
        </w:rPr>
      </w:pPr>
      <w:r w:rsidRPr="00421687">
        <w:rPr>
          <w:i/>
          <w:iCs/>
          <w:sz w:val="24"/>
          <w:szCs w:val="24"/>
        </w:rPr>
        <w:lastRenderedPageBreak/>
        <w:t>Elimination:</w:t>
      </w:r>
      <w:r w:rsidRPr="00421687">
        <w:rPr>
          <w:sz w:val="24"/>
          <w:szCs w:val="24"/>
        </w:rPr>
        <w:t xml:space="preserve"> </w:t>
      </w:r>
    </w:p>
    <w:p w14:paraId="53A75E4B" w14:textId="1616771F" w:rsidR="00DE0FC2" w:rsidRPr="00421687" w:rsidRDefault="00DE0FC2" w:rsidP="00421687">
      <w:pPr>
        <w:suppressAutoHyphens/>
        <w:ind w:left="851"/>
        <w:rPr>
          <w:sz w:val="24"/>
          <w:szCs w:val="24"/>
        </w:rPr>
      </w:pPr>
      <w:r w:rsidRPr="00421687">
        <w:rPr>
          <w:sz w:val="24"/>
          <w:szCs w:val="24"/>
        </w:rPr>
        <w:t xml:space="preserve">Efter oral indgift af 1 mg </w:t>
      </w:r>
      <w:proofErr w:type="spellStart"/>
      <w:r w:rsidRPr="00421687">
        <w:rPr>
          <w:sz w:val="24"/>
          <w:szCs w:val="24"/>
        </w:rPr>
        <w:t>cyanocobalamin</w:t>
      </w:r>
      <w:proofErr w:type="spellEnd"/>
      <w:r w:rsidRPr="00421687">
        <w:rPr>
          <w:sz w:val="24"/>
          <w:szCs w:val="24"/>
        </w:rPr>
        <w:t xml:space="preserve"> udskilles ca. 5 % uforandret i urinen. Udskillelsen finder sted, når proteinbindingsgraden overstiges. Plasmahalveringstid: 5-10 timer.</w:t>
      </w:r>
    </w:p>
    <w:p w14:paraId="7CEB0474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F16D5E4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5.3</w:t>
      </w:r>
      <w:r w:rsidRPr="00421687">
        <w:rPr>
          <w:b/>
          <w:sz w:val="24"/>
          <w:szCs w:val="24"/>
        </w:rPr>
        <w:tab/>
      </w:r>
      <w:r w:rsidR="00BD7931" w:rsidRPr="00421687">
        <w:rPr>
          <w:b/>
          <w:sz w:val="24"/>
          <w:szCs w:val="24"/>
        </w:rPr>
        <w:t>Non-</w:t>
      </w:r>
      <w:r w:rsidRPr="00421687">
        <w:rPr>
          <w:b/>
          <w:sz w:val="24"/>
          <w:szCs w:val="24"/>
        </w:rPr>
        <w:t>kliniske sikkerhedsdata</w:t>
      </w:r>
    </w:p>
    <w:p w14:paraId="4E0D1FD1" w14:textId="77777777" w:rsidR="00DE0FC2" w:rsidRPr="00421687" w:rsidRDefault="00DE0FC2" w:rsidP="00421687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421687">
        <w:rPr>
          <w:sz w:val="24"/>
          <w:szCs w:val="24"/>
        </w:rPr>
        <w:t>Der er ingen prækliniske data af relevans for sikkerhedsevalueringen udover det, der allerede er taget i betragtning i produktresuméet.</w:t>
      </w:r>
    </w:p>
    <w:p w14:paraId="6906347E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E18B3FF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4BDF889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6.</w:t>
      </w:r>
      <w:r w:rsidRPr="00421687">
        <w:rPr>
          <w:b/>
          <w:sz w:val="24"/>
          <w:szCs w:val="24"/>
        </w:rPr>
        <w:tab/>
        <w:t>FARMACEUTISKE OPLYSNINGER</w:t>
      </w:r>
    </w:p>
    <w:p w14:paraId="06F44A68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4D738D1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6.1</w:t>
      </w:r>
      <w:r w:rsidRPr="00421687">
        <w:rPr>
          <w:b/>
          <w:sz w:val="24"/>
          <w:szCs w:val="24"/>
        </w:rPr>
        <w:tab/>
        <w:t>Hjælpestoffer</w:t>
      </w:r>
    </w:p>
    <w:p w14:paraId="285C6231" w14:textId="77777777" w:rsidR="00DE0FC2" w:rsidRPr="00421687" w:rsidRDefault="00DE0FC2" w:rsidP="00421687">
      <w:pPr>
        <w:ind w:left="851"/>
        <w:rPr>
          <w:sz w:val="24"/>
          <w:szCs w:val="24"/>
        </w:rPr>
      </w:pPr>
      <w:proofErr w:type="spellStart"/>
      <w:r w:rsidRPr="00421687">
        <w:rPr>
          <w:sz w:val="24"/>
          <w:szCs w:val="24"/>
        </w:rPr>
        <w:t>Mannitol</w:t>
      </w:r>
      <w:proofErr w:type="spellEnd"/>
    </w:p>
    <w:p w14:paraId="7B2FC9B0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>Kartoffelstivelse</w:t>
      </w:r>
    </w:p>
    <w:p w14:paraId="7359679C" w14:textId="77777777" w:rsidR="00DE0FC2" w:rsidRPr="00421687" w:rsidRDefault="00DE0FC2" w:rsidP="00421687">
      <w:pPr>
        <w:ind w:left="851"/>
        <w:rPr>
          <w:sz w:val="24"/>
          <w:szCs w:val="24"/>
        </w:rPr>
      </w:pPr>
      <w:proofErr w:type="spellStart"/>
      <w:r w:rsidRPr="00421687">
        <w:rPr>
          <w:sz w:val="24"/>
          <w:szCs w:val="24"/>
        </w:rPr>
        <w:t>Pregelatineret</w:t>
      </w:r>
      <w:proofErr w:type="spellEnd"/>
      <w:r w:rsidRPr="00421687">
        <w:rPr>
          <w:sz w:val="24"/>
          <w:szCs w:val="24"/>
        </w:rPr>
        <w:t xml:space="preserve"> stivelse</w:t>
      </w:r>
    </w:p>
    <w:p w14:paraId="47E8C37B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>Mikrokrystallinsk cellulose</w:t>
      </w:r>
    </w:p>
    <w:p w14:paraId="47A0309B" w14:textId="77777777" w:rsidR="00DE0FC2" w:rsidRPr="00421687" w:rsidRDefault="00DE0FC2" w:rsidP="00421687">
      <w:pPr>
        <w:ind w:left="851"/>
        <w:rPr>
          <w:sz w:val="24"/>
          <w:szCs w:val="24"/>
        </w:rPr>
      </w:pPr>
      <w:proofErr w:type="spellStart"/>
      <w:r w:rsidRPr="00421687">
        <w:rPr>
          <w:sz w:val="24"/>
          <w:szCs w:val="24"/>
        </w:rPr>
        <w:t>Magnesiumstearat</w:t>
      </w:r>
      <w:proofErr w:type="spellEnd"/>
    </w:p>
    <w:p w14:paraId="67758BDD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>Stearinsyre</w:t>
      </w:r>
    </w:p>
    <w:p w14:paraId="23838A28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>Polyvinylalkohol, delvist hydrolyseret</w:t>
      </w:r>
    </w:p>
    <w:p w14:paraId="0857F774" w14:textId="77777777" w:rsidR="00DE0FC2" w:rsidRPr="00421687" w:rsidRDefault="00DE0FC2" w:rsidP="00421687">
      <w:pPr>
        <w:ind w:left="851"/>
        <w:rPr>
          <w:sz w:val="24"/>
          <w:szCs w:val="24"/>
        </w:rPr>
      </w:pPr>
      <w:proofErr w:type="spellStart"/>
      <w:r w:rsidRPr="00421687">
        <w:rPr>
          <w:sz w:val="24"/>
          <w:szCs w:val="24"/>
        </w:rPr>
        <w:t>Macrogol</w:t>
      </w:r>
      <w:proofErr w:type="spellEnd"/>
    </w:p>
    <w:p w14:paraId="31BCC53A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>Titandioxid (farvestof E 171)</w:t>
      </w:r>
    </w:p>
    <w:p w14:paraId="31E722BB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>Rød jernoxid (farvestof E 172)</w:t>
      </w:r>
    </w:p>
    <w:p w14:paraId="0B2C1F8D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>Gul jernoxid (farvestof E 172)</w:t>
      </w:r>
    </w:p>
    <w:p w14:paraId="36C31FDE" w14:textId="77777777" w:rsidR="00DE0FC2" w:rsidRPr="00421687" w:rsidRDefault="00DE0FC2" w:rsidP="00421687">
      <w:pPr>
        <w:ind w:left="851"/>
        <w:rPr>
          <w:sz w:val="24"/>
          <w:szCs w:val="24"/>
        </w:rPr>
      </w:pPr>
      <w:proofErr w:type="spellStart"/>
      <w:r w:rsidRPr="00421687">
        <w:rPr>
          <w:sz w:val="24"/>
          <w:szCs w:val="24"/>
        </w:rPr>
        <w:t>Talcum</w:t>
      </w:r>
      <w:proofErr w:type="spellEnd"/>
    </w:p>
    <w:p w14:paraId="65BC1BE7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C875896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6.2</w:t>
      </w:r>
      <w:r w:rsidRPr="00421687">
        <w:rPr>
          <w:b/>
          <w:sz w:val="24"/>
          <w:szCs w:val="24"/>
        </w:rPr>
        <w:tab/>
        <w:t>Uforligeligheder</w:t>
      </w:r>
    </w:p>
    <w:p w14:paraId="5BF1E924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>Ikke relevant.</w:t>
      </w:r>
    </w:p>
    <w:p w14:paraId="157CC72D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EF1BDB8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6.3</w:t>
      </w:r>
      <w:r w:rsidRPr="00421687">
        <w:rPr>
          <w:b/>
          <w:sz w:val="24"/>
          <w:szCs w:val="24"/>
        </w:rPr>
        <w:tab/>
        <w:t>Opbevaringstid</w:t>
      </w:r>
    </w:p>
    <w:p w14:paraId="0B3AB885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 xml:space="preserve">2 år. </w:t>
      </w:r>
    </w:p>
    <w:p w14:paraId="15C38C62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9ED45E6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6.4</w:t>
      </w:r>
      <w:r w:rsidRPr="00421687">
        <w:rPr>
          <w:b/>
          <w:sz w:val="24"/>
          <w:szCs w:val="24"/>
        </w:rPr>
        <w:tab/>
        <w:t>Særlige opbevaringsforhold</w:t>
      </w:r>
    </w:p>
    <w:p w14:paraId="7A7CCE36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>Dette lægemiddel kræver ingen særlige forholdsregler vedrørende opbevaringen.</w:t>
      </w:r>
    </w:p>
    <w:p w14:paraId="6FA07BA0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AB39970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6.5</w:t>
      </w:r>
      <w:r w:rsidRPr="00421687">
        <w:rPr>
          <w:b/>
          <w:sz w:val="24"/>
          <w:szCs w:val="24"/>
        </w:rPr>
        <w:tab/>
        <w:t>Emballagetype og pakningsstørrelser</w:t>
      </w:r>
    </w:p>
    <w:p w14:paraId="4DA541A0" w14:textId="77777777" w:rsidR="00DE0FC2" w:rsidRPr="00421687" w:rsidRDefault="00DE0FC2" w:rsidP="00421687">
      <w:pPr>
        <w:suppressAutoHyphens/>
        <w:ind w:left="851"/>
        <w:rPr>
          <w:sz w:val="24"/>
          <w:szCs w:val="24"/>
        </w:rPr>
      </w:pPr>
      <w:proofErr w:type="spellStart"/>
      <w:r w:rsidRPr="00421687">
        <w:rPr>
          <w:sz w:val="24"/>
          <w:szCs w:val="24"/>
        </w:rPr>
        <w:t>Polyethylendåse</w:t>
      </w:r>
      <w:proofErr w:type="spellEnd"/>
      <w:r w:rsidRPr="00421687">
        <w:rPr>
          <w:sz w:val="24"/>
          <w:szCs w:val="24"/>
        </w:rPr>
        <w:t xml:space="preserve"> (sikkerhedsforseglet) med </w:t>
      </w:r>
      <w:proofErr w:type="spellStart"/>
      <w:r w:rsidRPr="00421687">
        <w:rPr>
          <w:sz w:val="24"/>
          <w:szCs w:val="24"/>
        </w:rPr>
        <w:t>polyethylenlåg</w:t>
      </w:r>
      <w:proofErr w:type="spellEnd"/>
      <w:r w:rsidRPr="00421687">
        <w:rPr>
          <w:sz w:val="24"/>
          <w:szCs w:val="24"/>
        </w:rPr>
        <w:t xml:space="preserve"> og forsegling.</w:t>
      </w:r>
    </w:p>
    <w:p w14:paraId="57D37276" w14:textId="77777777" w:rsidR="00DE0FC2" w:rsidRPr="00421687" w:rsidRDefault="00DE0FC2" w:rsidP="00421687">
      <w:pPr>
        <w:suppressAutoHyphens/>
        <w:ind w:left="851"/>
        <w:rPr>
          <w:sz w:val="24"/>
          <w:szCs w:val="24"/>
        </w:rPr>
      </w:pPr>
    </w:p>
    <w:p w14:paraId="65DB02D0" w14:textId="77777777" w:rsidR="00DE0FC2" w:rsidRPr="00421687" w:rsidRDefault="00DE0FC2" w:rsidP="00421687">
      <w:pPr>
        <w:suppressAutoHyphens/>
        <w:ind w:left="851"/>
        <w:rPr>
          <w:sz w:val="24"/>
          <w:szCs w:val="24"/>
        </w:rPr>
      </w:pPr>
      <w:r w:rsidRPr="00421687">
        <w:rPr>
          <w:sz w:val="24"/>
          <w:szCs w:val="24"/>
        </w:rPr>
        <w:t>Pakningsstørrelser: 90, 100, 105 eller 120 tabletter.</w:t>
      </w:r>
    </w:p>
    <w:p w14:paraId="1E07DFA0" w14:textId="77777777" w:rsidR="00DE0FC2" w:rsidRPr="00421687" w:rsidRDefault="00DE0FC2" w:rsidP="00421687">
      <w:pPr>
        <w:suppressAutoHyphens/>
        <w:ind w:left="851"/>
        <w:rPr>
          <w:sz w:val="24"/>
          <w:szCs w:val="24"/>
        </w:rPr>
      </w:pPr>
    </w:p>
    <w:p w14:paraId="2F1AAC7B" w14:textId="77777777" w:rsidR="00DE0FC2" w:rsidRPr="00421687" w:rsidRDefault="00DE0FC2" w:rsidP="00421687">
      <w:pPr>
        <w:suppressAutoHyphens/>
        <w:ind w:left="851"/>
        <w:rPr>
          <w:sz w:val="24"/>
          <w:szCs w:val="24"/>
        </w:rPr>
      </w:pPr>
      <w:r w:rsidRPr="00421687">
        <w:rPr>
          <w:sz w:val="24"/>
          <w:szCs w:val="24"/>
        </w:rPr>
        <w:t>Ikke alle pakningsstørrelser er nødvendigvis markedsført.</w:t>
      </w:r>
    </w:p>
    <w:p w14:paraId="7846B2F3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4C0904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6.6</w:t>
      </w:r>
      <w:r w:rsidRPr="00421687">
        <w:rPr>
          <w:b/>
          <w:sz w:val="24"/>
          <w:szCs w:val="24"/>
        </w:rPr>
        <w:tab/>
        <w:t xml:space="preserve">Regler for </w:t>
      </w:r>
      <w:r w:rsidR="00BD7931" w:rsidRPr="00421687">
        <w:rPr>
          <w:b/>
          <w:sz w:val="24"/>
          <w:szCs w:val="24"/>
        </w:rPr>
        <w:t>bortskaffelse</w:t>
      </w:r>
      <w:r w:rsidRPr="00421687">
        <w:rPr>
          <w:b/>
          <w:sz w:val="24"/>
          <w:szCs w:val="24"/>
        </w:rPr>
        <w:t xml:space="preserve"> og anden håndtering</w:t>
      </w:r>
    </w:p>
    <w:p w14:paraId="626A6678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>Ingen særlige forholdsregler.</w:t>
      </w:r>
    </w:p>
    <w:p w14:paraId="6664E6EA" w14:textId="77777777" w:rsidR="009260DE" w:rsidRPr="00421687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47FB9EC3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7.</w:t>
      </w:r>
      <w:r w:rsidRPr="00421687">
        <w:rPr>
          <w:b/>
          <w:sz w:val="24"/>
          <w:szCs w:val="24"/>
        </w:rPr>
        <w:tab/>
        <w:t>INDEHAVER AF MARKEDSFØRINGSTILLADELSEN</w:t>
      </w:r>
    </w:p>
    <w:p w14:paraId="101D273F" w14:textId="77777777" w:rsidR="00DE0FC2" w:rsidRPr="00421687" w:rsidRDefault="00DE0FC2" w:rsidP="00421687">
      <w:pPr>
        <w:ind w:left="851"/>
        <w:rPr>
          <w:sz w:val="24"/>
          <w:szCs w:val="24"/>
        </w:rPr>
      </w:pPr>
      <w:proofErr w:type="spellStart"/>
      <w:r w:rsidRPr="00421687">
        <w:rPr>
          <w:sz w:val="24"/>
          <w:szCs w:val="24"/>
        </w:rPr>
        <w:t>Evolan</w:t>
      </w:r>
      <w:proofErr w:type="spellEnd"/>
      <w:r w:rsidRPr="00421687">
        <w:rPr>
          <w:sz w:val="24"/>
          <w:szCs w:val="24"/>
        </w:rPr>
        <w:t xml:space="preserve"> Pharma AB</w:t>
      </w:r>
    </w:p>
    <w:p w14:paraId="49775009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>Box 120</w:t>
      </w:r>
    </w:p>
    <w:p w14:paraId="0146534C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 xml:space="preserve">182 12 </w:t>
      </w:r>
      <w:proofErr w:type="spellStart"/>
      <w:r w:rsidRPr="00421687">
        <w:rPr>
          <w:sz w:val="24"/>
          <w:szCs w:val="24"/>
        </w:rPr>
        <w:t>Danderyd</w:t>
      </w:r>
      <w:proofErr w:type="spellEnd"/>
    </w:p>
    <w:p w14:paraId="01F63EEA" w14:textId="77777777" w:rsidR="00DE0FC2" w:rsidRPr="00421687" w:rsidRDefault="00DE0FC2" w:rsidP="00421687">
      <w:pPr>
        <w:ind w:left="851"/>
        <w:rPr>
          <w:sz w:val="24"/>
          <w:szCs w:val="24"/>
        </w:rPr>
      </w:pPr>
      <w:r w:rsidRPr="00421687">
        <w:rPr>
          <w:sz w:val="24"/>
          <w:szCs w:val="24"/>
        </w:rPr>
        <w:t xml:space="preserve">Sverige </w:t>
      </w:r>
    </w:p>
    <w:p w14:paraId="04887090" w14:textId="77777777" w:rsidR="00641C65" w:rsidRPr="00421687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15301F9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lastRenderedPageBreak/>
        <w:t>8.</w:t>
      </w:r>
      <w:r w:rsidRPr="00421687">
        <w:rPr>
          <w:b/>
          <w:sz w:val="24"/>
          <w:szCs w:val="24"/>
        </w:rPr>
        <w:tab/>
        <w:t>MARKEDSFØRINGSTILLADELSESNUMMER (</w:t>
      </w:r>
      <w:r w:rsidR="00BF6243" w:rsidRPr="00421687">
        <w:rPr>
          <w:b/>
          <w:sz w:val="24"/>
          <w:szCs w:val="24"/>
        </w:rPr>
        <w:t>-</w:t>
      </w:r>
      <w:r w:rsidRPr="00421687">
        <w:rPr>
          <w:b/>
          <w:sz w:val="24"/>
          <w:szCs w:val="24"/>
        </w:rPr>
        <w:t>NUMRE)</w:t>
      </w:r>
    </w:p>
    <w:p w14:paraId="687F647B" w14:textId="49365716" w:rsidR="009260DE" w:rsidRPr="00421687" w:rsidRDefault="00DE0FC2" w:rsidP="009260DE">
      <w:pPr>
        <w:tabs>
          <w:tab w:val="left" w:pos="851"/>
        </w:tabs>
        <w:ind w:left="851"/>
        <w:rPr>
          <w:sz w:val="24"/>
          <w:szCs w:val="24"/>
        </w:rPr>
      </w:pPr>
      <w:r w:rsidRPr="00421687">
        <w:rPr>
          <w:sz w:val="24"/>
          <w:szCs w:val="24"/>
        </w:rPr>
        <w:t>72377</w:t>
      </w:r>
    </w:p>
    <w:p w14:paraId="7A3EB05E" w14:textId="77777777" w:rsidR="009260DE" w:rsidRPr="00421687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5200FF9B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9.</w:t>
      </w:r>
      <w:r w:rsidRPr="00421687">
        <w:rPr>
          <w:b/>
          <w:sz w:val="24"/>
          <w:szCs w:val="24"/>
        </w:rPr>
        <w:tab/>
        <w:t>DATO FOR FØRSTE MARKEDSFØRINGSTILLADELSE</w:t>
      </w:r>
    </w:p>
    <w:p w14:paraId="0B5AC816" w14:textId="663BF279" w:rsidR="009260DE" w:rsidRPr="00421687" w:rsidRDefault="002A6244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18. december 2024</w:t>
      </w:r>
    </w:p>
    <w:p w14:paraId="34BAA140" w14:textId="77777777" w:rsidR="009260DE" w:rsidRPr="0042168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6C8E2FF" w14:textId="77777777" w:rsidR="009260DE" w:rsidRPr="0042168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21687">
        <w:rPr>
          <w:b/>
          <w:sz w:val="24"/>
          <w:szCs w:val="24"/>
        </w:rPr>
        <w:t>10.</w:t>
      </w:r>
      <w:r w:rsidRPr="00421687">
        <w:rPr>
          <w:b/>
          <w:sz w:val="24"/>
          <w:szCs w:val="24"/>
        </w:rPr>
        <w:tab/>
        <w:t>DATO FOR ÆNDRING AF TEKSTEN</w:t>
      </w:r>
    </w:p>
    <w:p w14:paraId="13B94D2C" w14:textId="1DB8A82E" w:rsidR="009260DE" w:rsidRPr="00421687" w:rsidRDefault="00DE0FC2" w:rsidP="009260DE">
      <w:pPr>
        <w:tabs>
          <w:tab w:val="left" w:pos="851"/>
        </w:tabs>
        <w:ind w:left="851"/>
        <w:rPr>
          <w:sz w:val="24"/>
          <w:szCs w:val="24"/>
        </w:rPr>
      </w:pPr>
      <w:r w:rsidRPr="00421687">
        <w:rPr>
          <w:sz w:val="24"/>
          <w:szCs w:val="24"/>
        </w:rPr>
        <w:t>-</w:t>
      </w:r>
    </w:p>
    <w:sectPr w:rsidR="009260DE" w:rsidRPr="00421687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ABB7F" w14:textId="77777777" w:rsidR="003F3B94" w:rsidRDefault="003F3B94">
      <w:r>
        <w:separator/>
      </w:r>
    </w:p>
  </w:endnote>
  <w:endnote w:type="continuationSeparator" w:id="0">
    <w:p w14:paraId="0F724B82" w14:textId="77777777" w:rsidR="003F3B94" w:rsidRDefault="003F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6728C" w14:textId="77777777" w:rsidR="000259B9" w:rsidRDefault="000259B9">
    <w:pPr>
      <w:pStyle w:val="Sidefod"/>
      <w:pBdr>
        <w:bottom w:val="single" w:sz="6" w:space="1" w:color="auto"/>
      </w:pBdr>
    </w:pPr>
  </w:p>
  <w:p w14:paraId="6AE53F72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77BFE967" w14:textId="1A1B4143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0D7E35">
      <w:rPr>
        <w:i/>
        <w:noProof/>
        <w:sz w:val="18"/>
        <w:szCs w:val="18"/>
      </w:rPr>
      <w:t>Bevitan, filmovertrukne tabletter 1 mg.docx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D9F3E" w14:textId="77777777" w:rsidR="003F3B94" w:rsidRDefault="003F3B94">
      <w:r>
        <w:separator/>
      </w:r>
    </w:p>
  </w:footnote>
  <w:footnote w:type="continuationSeparator" w:id="0">
    <w:p w14:paraId="0A4908DA" w14:textId="77777777" w:rsidR="003F3B94" w:rsidRDefault="003F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94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D7E35"/>
    <w:rsid w:val="000E4EE6"/>
    <w:rsid w:val="001454E2"/>
    <w:rsid w:val="00206CE8"/>
    <w:rsid w:val="0021526C"/>
    <w:rsid w:val="00283A2B"/>
    <w:rsid w:val="002A6244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3F3B94"/>
    <w:rsid w:val="00421687"/>
    <w:rsid w:val="004251C1"/>
    <w:rsid w:val="0045746C"/>
    <w:rsid w:val="0049104B"/>
    <w:rsid w:val="004A6E69"/>
    <w:rsid w:val="004C7A2D"/>
    <w:rsid w:val="004E3B12"/>
    <w:rsid w:val="00532310"/>
    <w:rsid w:val="00565F0F"/>
    <w:rsid w:val="00594A86"/>
    <w:rsid w:val="00596D86"/>
    <w:rsid w:val="005F739A"/>
    <w:rsid w:val="00637F5A"/>
    <w:rsid w:val="00641C65"/>
    <w:rsid w:val="006560B1"/>
    <w:rsid w:val="006756DD"/>
    <w:rsid w:val="0071241E"/>
    <w:rsid w:val="00737275"/>
    <w:rsid w:val="00740EEC"/>
    <w:rsid w:val="0078011A"/>
    <w:rsid w:val="00782AF4"/>
    <w:rsid w:val="00790EE7"/>
    <w:rsid w:val="007B6649"/>
    <w:rsid w:val="0082576E"/>
    <w:rsid w:val="0089346F"/>
    <w:rsid w:val="00907F75"/>
    <w:rsid w:val="009260DE"/>
    <w:rsid w:val="0093258A"/>
    <w:rsid w:val="00986A47"/>
    <w:rsid w:val="009C7BA3"/>
    <w:rsid w:val="009D1F5A"/>
    <w:rsid w:val="00A10294"/>
    <w:rsid w:val="00B003BF"/>
    <w:rsid w:val="00B373D7"/>
    <w:rsid w:val="00B55271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CD0B17"/>
    <w:rsid w:val="00D020B0"/>
    <w:rsid w:val="00D11748"/>
    <w:rsid w:val="00D237F6"/>
    <w:rsid w:val="00D34D98"/>
    <w:rsid w:val="00D366CF"/>
    <w:rsid w:val="00D93992"/>
    <w:rsid w:val="00DE0FC2"/>
    <w:rsid w:val="00E108AA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17BAE"/>
  <w15:chartTrackingRefBased/>
  <w15:docId w15:val="{F7A4C4B2-646F-457F-B5A1-E4B3FB13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table" w:styleId="Tabel-Gitter">
    <w:name w:val="Table Grid"/>
    <w:basedOn w:val="Tabel-Normal"/>
    <w:rsid w:val="00DE0FC2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24</TotalTime>
  <Pages>6</Pages>
  <Words>1035</Words>
  <Characters>7320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2024082083, MT</dc:description>
  <cp:lastModifiedBy>Gitte Jørgensen</cp:lastModifiedBy>
  <cp:revision>9</cp:revision>
  <cp:lastPrinted>2012-08-22T08:53:00Z</cp:lastPrinted>
  <dcterms:created xsi:type="dcterms:W3CDTF">2024-12-18T13:24:00Z</dcterms:created>
  <dcterms:modified xsi:type="dcterms:W3CDTF">2024-12-18T14:24:00Z</dcterms:modified>
</cp:coreProperties>
</file>