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506E1" w14:textId="77777777" w:rsidR="009260DE" w:rsidRPr="00021BE3" w:rsidRDefault="0021526C" w:rsidP="009260DE">
      <w:pPr>
        <w:rPr>
          <w:sz w:val="24"/>
          <w:szCs w:val="24"/>
        </w:rPr>
      </w:pPr>
      <w:r w:rsidRPr="00021BE3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8240" behindDoc="0" locked="0" layoutInCell="1" allowOverlap="1" wp14:anchorId="7E683C57" wp14:editId="7FDFD3C8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0CCD" w:rsidRPr="00021BE3">
        <w:rPr>
          <w:sz w:val="24"/>
          <w:szCs w:val="24"/>
        </w:rPr>
        <w:br w:type="textWrapping" w:clear="all"/>
      </w:r>
    </w:p>
    <w:p w14:paraId="7BED2650" w14:textId="5996B306" w:rsidR="009260DE" w:rsidRPr="00021BE3" w:rsidRDefault="009260DE" w:rsidP="009260DE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021BE3">
        <w:rPr>
          <w:b w:val="0"/>
          <w:szCs w:val="24"/>
          <w:lang w:eastAsia="en-US"/>
        </w:rPr>
        <w:tab/>
      </w:r>
      <w:r w:rsidR="00B72635">
        <w:rPr>
          <w:szCs w:val="24"/>
        </w:rPr>
        <w:t>28. februar 2024</w:t>
      </w:r>
    </w:p>
    <w:p w14:paraId="53E3D35B" w14:textId="77777777" w:rsidR="009260DE" w:rsidRPr="00021BE3" w:rsidRDefault="009260DE" w:rsidP="009260DE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14:paraId="6630337B" w14:textId="77777777" w:rsidR="009260DE" w:rsidRPr="00021BE3" w:rsidRDefault="009260DE" w:rsidP="009260DE">
      <w:pPr>
        <w:pStyle w:val="Titel"/>
        <w:jc w:val="left"/>
        <w:rPr>
          <w:b w:val="0"/>
          <w:szCs w:val="24"/>
        </w:rPr>
      </w:pPr>
    </w:p>
    <w:p w14:paraId="6233E553" w14:textId="77777777" w:rsidR="009260DE" w:rsidRPr="00021BE3" w:rsidRDefault="009260DE" w:rsidP="009260DE">
      <w:pPr>
        <w:pStyle w:val="Titel"/>
        <w:jc w:val="left"/>
        <w:rPr>
          <w:b w:val="0"/>
          <w:szCs w:val="24"/>
        </w:rPr>
      </w:pPr>
    </w:p>
    <w:p w14:paraId="7BF193B7" w14:textId="77777777" w:rsidR="009260DE" w:rsidRPr="00021BE3" w:rsidRDefault="009260DE" w:rsidP="009260DE">
      <w:pPr>
        <w:jc w:val="center"/>
        <w:rPr>
          <w:b/>
          <w:sz w:val="24"/>
          <w:szCs w:val="24"/>
        </w:rPr>
      </w:pPr>
      <w:r w:rsidRPr="00021BE3">
        <w:rPr>
          <w:b/>
          <w:sz w:val="24"/>
          <w:szCs w:val="24"/>
        </w:rPr>
        <w:t>PRODUKTRESUMÉ</w:t>
      </w:r>
    </w:p>
    <w:p w14:paraId="7DBCC944" w14:textId="77777777" w:rsidR="009260DE" w:rsidRPr="00021BE3" w:rsidRDefault="009260DE" w:rsidP="009260DE">
      <w:pPr>
        <w:jc w:val="center"/>
        <w:rPr>
          <w:b/>
          <w:sz w:val="24"/>
          <w:szCs w:val="24"/>
        </w:rPr>
      </w:pPr>
    </w:p>
    <w:p w14:paraId="4E822439" w14:textId="77777777" w:rsidR="009260DE" w:rsidRPr="00021BE3" w:rsidRDefault="009260DE" w:rsidP="009260DE">
      <w:pPr>
        <w:jc w:val="center"/>
        <w:rPr>
          <w:b/>
          <w:sz w:val="24"/>
          <w:szCs w:val="24"/>
        </w:rPr>
      </w:pPr>
      <w:r w:rsidRPr="00021BE3">
        <w:rPr>
          <w:b/>
          <w:sz w:val="24"/>
          <w:szCs w:val="24"/>
        </w:rPr>
        <w:t>for</w:t>
      </w:r>
    </w:p>
    <w:p w14:paraId="71B4758C" w14:textId="77777777" w:rsidR="000B058C" w:rsidRPr="00021BE3" w:rsidRDefault="000B058C" w:rsidP="009260DE">
      <w:pPr>
        <w:jc w:val="center"/>
        <w:rPr>
          <w:b/>
          <w:sz w:val="24"/>
          <w:szCs w:val="24"/>
        </w:rPr>
      </w:pPr>
    </w:p>
    <w:p w14:paraId="330E69B5" w14:textId="7931C00A" w:rsidR="009260DE" w:rsidRPr="00021BE3" w:rsidRDefault="002F42FE" w:rsidP="009260DE">
      <w:pPr>
        <w:jc w:val="center"/>
        <w:rPr>
          <w:b/>
          <w:sz w:val="24"/>
          <w:szCs w:val="24"/>
        </w:rPr>
      </w:pPr>
      <w:proofErr w:type="spellStart"/>
      <w:r w:rsidRPr="00021BE3">
        <w:rPr>
          <w:b/>
          <w:sz w:val="24"/>
          <w:szCs w:val="24"/>
        </w:rPr>
        <w:t>Bevitrio</w:t>
      </w:r>
      <w:proofErr w:type="spellEnd"/>
      <w:r w:rsidRPr="00021BE3">
        <w:rPr>
          <w:b/>
          <w:sz w:val="24"/>
          <w:szCs w:val="24"/>
        </w:rPr>
        <w:t>, tabletter</w:t>
      </w:r>
    </w:p>
    <w:p w14:paraId="4AFA0352" w14:textId="77777777" w:rsidR="009260DE" w:rsidRPr="00021BE3" w:rsidRDefault="009260DE" w:rsidP="009260DE">
      <w:pPr>
        <w:jc w:val="both"/>
        <w:rPr>
          <w:sz w:val="24"/>
          <w:szCs w:val="24"/>
        </w:rPr>
      </w:pPr>
    </w:p>
    <w:p w14:paraId="745E2DF6" w14:textId="77777777" w:rsidR="009260DE" w:rsidRPr="00021BE3" w:rsidRDefault="009260DE" w:rsidP="009260DE">
      <w:pPr>
        <w:jc w:val="both"/>
        <w:rPr>
          <w:sz w:val="24"/>
          <w:szCs w:val="24"/>
        </w:rPr>
      </w:pPr>
    </w:p>
    <w:p w14:paraId="5C163A04" w14:textId="77777777" w:rsidR="009260DE" w:rsidRPr="00021BE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21BE3">
        <w:rPr>
          <w:b/>
          <w:sz w:val="24"/>
          <w:szCs w:val="24"/>
        </w:rPr>
        <w:t>0.</w:t>
      </w:r>
      <w:r w:rsidRPr="00021BE3">
        <w:rPr>
          <w:b/>
          <w:sz w:val="24"/>
          <w:szCs w:val="24"/>
        </w:rPr>
        <w:tab/>
        <w:t>D.SP.NR.</w:t>
      </w:r>
    </w:p>
    <w:p w14:paraId="5BBC8AD6" w14:textId="6004154F" w:rsidR="009260DE" w:rsidRPr="00021BE3" w:rsidRDefault="002F42FE" w:rsidP="009260DE">
      <w:pPr>
        <w:tabs>
          <w:tab w:val="left" w:pos="851"/>
        </w:tabs>
        <w:ind w:left="851"/>
        <w:rPr>
          <w:sz w:val="24"/>
          <w:szCs w:val="24"/>
        </w:rPr>
      </w:pPr>
      <w:r w:rsidRPr="00021BE3">
        <w:rPr>
          <w:sz w:val="24"/>
          <w:szCs w:val="24"/>
        </w:rPr>
        <w:t>32968</w:t>
      </w:r>
    </w:p>
    <w:p w14:paraId="6B271658" w14:textId="77777777" w:rsidR="009260DE" w:rsidRPr="00021BE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5912FAB" w14:textId="77777777" w:rsidR="009260DE" w:rsidRPr="00021BE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21BE3">
        <w:rPr>
          <w:b/>
          <w:sz w:val="24"/>
          <w:szCs w:val="24"/>
        </w:rPr>
        <w:t>1.</w:t>
      </w:r>
      <w:r w:rsidRPr="00021BE3">
        <w:rPr>
          <w:b/>
          <w:sz w:val="24"/>
          <w:szCs w:val="24"/>
        </w:rPr>
        <w:tab/>
        <w:t>LÆGEMIDLETS NAVN</w:t>
      </w:r>
    </w:p>
    <w:p w14:paraId="3DDE9D25" w14:textId="6475F156" w:rsidR="009260DE" w:rsidRPr="00021BE3" w:rsidRDefault="002F42FE" w:rsidP="009260DE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021BE3">
        <w:rPr>
          <w:sz w:val="24"/>
          <w:szCs w:val="24"/>
        </w:rPr>
        <w:t>Bevitrio</w:t>
      </w:r>
      <w:proofErr w:type="spellEnd"/>
    </w:p>
    <w:p w14:paraId="203F6F1B" w14:textId="77777777" w:rsidR="009260DE" w:rsidRPr="00021BE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C963068" w14:textId="77777777" w:rsidR="009260DE" w:rsidRPr="00021BE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21BE3">
        <w:rPr>
          <w:b/>
          <w:sz w:val="24"/>
          <w:szCs w:val="24"/>
        </w:rPr>
        <w:t>2.</w:t>
      </w:r>
      <w:r w:rsidRPr="00021BE3">
        <w:rPr>
          <w:b/>
          <w:sz w:val="24"/>
          <w:szCs w:val="24"/>
        </w:rPr>
        <w:tab/>
        <w:t>KVALITATIV OG KVANTITATIV SAMMENSÆTNING</w:t>
      </w:r>
    </w:p>
    <w:p w14:paraId="7A81FFD7" w14:textId="5F8BAEC6" w:rsidR="006C2613" w:rsidRPr="00021BE3" w:rsidRDefault="006C2613" w:rsidP="00793CB2">
      <w:pPr>
        <w:ind w:left="851"/>
        <w:rPr>
          <w:sz w:val="24"/>
          <w:szCs w:val="24"/>
        </w:rPr>
      </w:pPr>
      <w:r w:rsidRPr="00021BE3">
        <w:rPr>
          <w:sz w:val="24"/>
          <w:szCs w:val="24"/>
        </w:rPr>
        <w:t xml:space="preserve">1 tablet indeholder: 0,5 mg </w:t>
      </w:r>
      <w:proofErr w:type="spellStart"/>
      <w:r w:rsidRPr="00021BE3">
        <w:rPr>
          <w:sz w:val="24"/>
          <w:szCs w:val="24"/>
        </w:rPr>
        <w:t>cyanocobalamin</w:t>
      </w:r>
      <w:proofErr w:type="spellEnd"/>
      <w:r w:rsidRPr="00021BE3">
        <w:rPr>
          <w:sz w:val="24"/>
          <w:szCs w:val="24"/>
        </w:rPr>
        <w:t xml:space="preserve"> (vitamin B</w:t>
      </w:r>
      <w:r w:rsidRPr="00021BE3">
        <w:rPr>
          <w:sz w:val="24"/>
          <w:szCs w:val="24"/>
          <w:vertAlign w:val="subscript"/>
        </w:rPr>
        <w:t>12</w:t>
      </w:r>
      <w:r w:rsidRPr="00021BE3">
        <w:rPr>
          <w:sz w:val="24"/>
          <w:szCs w:val="24"/>
        </w:rPr>
        <w:t xml:space="preserve">), 0,8 mg </w:t>
      </w:r>
      <w:proofErr w:type="spellStart"/>
      <w:r w:rsidRPr="00021BE3">
        <w:rPr>
          <w:sz w:val="24"/>
          <w:szCs w:val="24"/>
        </w:rPr>
        <w:t>folsyre</w:t>
      </w:r>
      <w:proofErr w:type="spellEnd"/>
      <w:r w:rsidRPr="00021BE3">
        <w:rPr>
          <w:sz w:val="24"/>
          <w:szCs w:val="24"/>
        </w:rPr>
        <w:t xml:space="preserve"> og 3 mg </w:t>
      </w:r>
      <w:proofErr w:type="spellStart"/>
      <w:r w:rsidRPr="00021BE3">
        <w:rPr>
          <w:sz w:val="24"/>
          <w:szCs w:val="24"/>
        </w:rPr>
        <w:t>pyridoxinhydrochlorid</w:t>
      </w:r>
      <w:proofErr w:type="spellEnd"/>
      <w:r w:rsidRPr="00021BE3">
        <w:rPr>
          <w:sz w:val="24"/>
          <w:szCs w:val="24"/>
        </w:rPr>
        <w:t xml:space="preserve"> (vitamin B</w:t>
      </w:r>
      <w:r w:rsidRPr="00021BE3">
        <w:rPr>
          <w:sz w:val="24"/>
          <w:szCs w:val="24"/>
          <w:vertAlign w:val="subscript"/>
        </w:rPr>
        <w:t>6</w:t>
      </w:r>
      <w:r w:rsidRPr="00021BE3">
        <w:rPr>
          <w:sz w:val="24"/>
          <w:szCs w:val="24"/>
        </w:rPr>
        <w:t>).</w:t>
      </w:r>
    </w:p>
    <w:p w14:paraId="6840D610" w14:textId="77777777" w:rsidR="006C2613" w:rsidRPr="00021BE3" w:rsidRDefault="006C2613" w:rsidP="00793CB2">
      <w:pPr>
        <w:ind w:left="851"/>
        <w:rPr>
          <w:sz w:val="24"/>
          <w:szCs w:val="24"/>
        </w:rPr>
      </w:pPr>
    </w:p>
    <w:p w14:paraId="1A610080" w14:textId="77777777" w:rsidR="006C2613" w:rsidRPr="00021BE3" w:rsidRDefault="006C2613" w:rsidP="00793CB2">
      <w:pPr>
        <w:ind w:left="851"/>
        <w:rPr>
          <w:sz w:val="24"/>
          <w:szCs w:val="24"/>
        </w:rPr>
      </w:pPr>
      <w:r w:rsidRPr="00021BE3">
        <w:rPr>
          <w:sz w:val="24"/>
          <w:szCs w:val="24"/>
        </w:rPr>
        <w:t>Alle hjælpestoffer er anført under pkt. 6.1.</w:t>
      </w:r>
    </w:p>
    <w:p w14:paraId="6F32153C" w14:textId="77777777" w:rsidR="009260DE" w:rsidRPr="00021BE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F659089" w14:textId="77777777" w:rsidR="009260DE" w:rsidRPr="00021BE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21BE3">
        <w:rPr>
          <w:b/>
          <w:sz w:val="24"/>
          <w:szCs w:val="24"/>
        </w:rPr>
        <w:t>3.</w:t>
      </w:r>
      <w:r w:rsidRPr="00021BE3">
        <w:rPr>
          <w:b/>
          <w:sz w:val="24"/>
          <w:szCs w:val="24"/>
        </w:rPr>
        <w:tab/>
        <w:t>LÆGEMIDDELFORM</w:t>
      </w:r>
    </w:p>
    <w:p w14:paraId="3FA6DF89" w14:textId="4930F5DE" w:rsidR="006C2613" w:rsidRPr="00021BE3" w:rsidRDefault="006C2613" w:rsidP="00793CB2">
      <w:pPr>
        <w:ind w:left="851"/>
        <w:rPr>
          <w:sz w:val="24"/>
          <w:szCs w:val="24"/>
        </w:rPr>
      </w:pPr>
      <w:r w:rsidRPr="00021BE3">
        <w:rPr>
          <w:sz w:val="24"/>
          <w:szCs w:val="24"/>
        </w:rPr>
        <w:t>Tabletter</w:t>
      </w:r>
    </w:p>
    <w:p w14:paraId="7FDA55D8" w14:textId="77777777" w:rsidR="006C2613" w:rsidRPr="00021BE3" w:rsidRDefault="006C2613" w:rsidP="00793CB2">
      <w:pPr>
        <w:ind w:left="851"/>
        <w:rPr>
          <w:sz w:val="24"/>
          <w:szCs w:val="24"/>
        </w:rPr>
      </w:pPr>
    </w:p>
    <w:p w14:paraId="761C3FD1" w14:textId="77777777" w:rsidR="006C2613" w:rsidRPr="00021BE3" w:rsidRDefault="006C2613" w:rsidP="00793CB2">
      <w:pPr>
        <w:ind w:left="851"/>
        <w:rPr>
          <w:sz w:val="24"/>
          <w:szCs w:val="24"/>
        </w:rPr>
      </w:pPr>
      <w:r w:rsidRPr="00021BE3">
        <w:rPr>
          <w:sz w:val="24"/>
          <w:szCs w:val="24"/>
        </w:rPr>
        <w:t xml:space="preserve">Røde/gule med små røde pletter, runde og </w:t>
      </w:r>
      <w:proofErr w:type="spellStart"/>
      <w:r w:rsidRPr="00021BE3">
        <w:rPr>
          <w:sz w:val="24"/>
          <w:szCs w:val="24"/>
        </w:rPr>
        <w:t>bikonvekse</w:t>
      </w:r>
      <w:proofErr w:type="spellEnd"/>
      <w:r w:rsidRPr="00021BE3">
        <w:rPr>
          <w:sz w:val="24"/>
          <w:szCs w:val="24"/>
        </w:rPr>
        <w:t xml:space="preserve"> tabletter. Diameter 10 mm.</w:t>
      </w:r>
    </w:p>
    <w:p w14:paraId="50F14ECB" w14:textId="77777777" w:rsidR="009260DE" w:rsidRPr="00021BE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468931E" w14:textId="77777777" w:rsidR="009260DE" w:rsidRPr="00021BE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AE0C9C7" w14:textId="77777777" w:rsidR="009260DE" w:rsidRPr="00021BE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21BE3">
        <w:rPr>
          <w:b/>
          <w:sz w:val="24"/>
          <w:szCs w:val="24"/>
        </w:rPr>
        <w:t>4.</w:t>
      </w:r>
      <w:r w:rsidRPr="00021BE3">
        <w:rPr>
          <w:b/>
          <w:sz w:val="24"/>
          <w:szCs w:val="24"/>
        </w:rPr>
        <w:tab/>
        <w:t>KLINISKE OPLYSNINGER</w:t>
      </w:r>
    </w:p>
    <w:p w14:paraId="2CA9B601" w14:textId="77777777" w:rsidR="009260DE" w:rsidRPr="00021BE3" w:rsidRDefault="009260DE" w:rsidP="009260DE">
      <w:pPr>
        <w:tabs>
          <w:tab w:val="left" w:pos="851"/>
        </w:tabs>
        <w:ind w:left="851"/>
        <w:rPr>
          <w:b/>
          <w:sz w:val="24"/>
          <w:szCs w:val="24"/>
        </w:rPr>
      </w:pPr>
    </w:p>
    <w:p w14:paraId="05B80E9F" w14:textId="77777777" w:rsidR="009260DE" w:rsidRPr="00021BE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021BE3">
        <w:rPr>
          <w:b/>
          <w:sz w:val="24"/>
          <w:szCs w:val="24"/>
        </w:rPr>
        <w:t>4.1</w:t>
      </w:r>
      <w:r w:rsidRPr="00021BE3">
        <w:rPr>
          <w:b/>
          <w:sz w:val="24"/>
          <w:szCs w:val="24"/>
        </w:rPr>
        <w:tab/>
        <w:t>Terapeutiske indikationer</w:t>
      </w:r>
    </w:p>
    <w:p w14:paraId="17B22FC8" w14:textId="520F1A58" w:rsidR="006C2613" w:rsidRPr="00021BE3" w:rsidRDefault="006C2613" w:rsidP="00793CB2">
      <w:pPr>
        <w:ind w:left="851"/>
        <w:rPr>
          <w:sz w:val="24"/>
          <w:szCs w:val="24"/>
        </w:rPr>
      </w:pPr>
      <w:r w:rsidRPr="00021BE3">
        <w:rPr>
          <w:sz w:val="24"/>
          <w:szCs w:val="24"/>
        </w:rPr>
        <w:t>Forebyggelse af symptomgivende mangel på vitamin B</w:t>
      </w:r>
      <w:r w:rsidRPr="00021BE3">
        <w:rPr>
          <w:sz w:val="24"/>
          <w:szCs w:val="24"/>
          <w:vertAlign w:val="subscript"/>
        </w:rPr>
        <w:t>6</w:t>
      </w:r>
      <w:r w:rsidRPr="00021BE3">
        <w:rPr>
          <w:sz w:val="24"/>
          <w:szCs w:val="24"/>
        </w:rPr>
        <w:t>, vitamin B</w:t>
      </w:r>
      <w:r w:rsidRPr="00021BE3">
        <w:rPr>
          <w:sz w:val="24"/>
          <w:szCs w:val="24"/>
          <w:vertAlign w:val="subscript"/>
        </w:rPr>
        <w:t>12</w:t>
      </w:r>
      <w:r w:rsidRPr="00021BE3">
        <w:rPr>
          <w:sz w:val="24"/>
          <w:szCs w:val="24"/>
        </w:rPr>
        <w:t xml:space="preserve"> og </w:t>
      </w:r>
      <w:proofErr w:type="spellStart"/>
      <w:r w:rsidRPr="00021BE3">
        <w:rPr>
          <w:sz w:val="24"/>
          <w:szCs w:val="24"/>
        </w:rPr>
        <w:t>folsyre</w:t>
      </w:r>
      <w:proofErr w:type="spellEnd"/>
      <w:r w:rsidRPr="00021BE3">
        <w:rPr>
          <w:sz w:val="24"/>
          <w:szCs w:val="24"/>
        </w:rPr>
        <w:t xml:space="preserve"> ved utilstrækkelig</w:t>
      </w:r>
      <w:r w:rsidR="00A06091">
        <w:rPr>
          <w:sz w:val="24"/>
          <w:szCs w:val="24"/>
        </w:rPr>
        <w:t xml:space="preserve"> </w:t>
      </w:r>
      <w:r w:rsidRPr="00021BE3">
        <w:rPr>
          <w:sz w:val="24"/>
          <w:szCs w:val="24"/>
        </w:rPr>
        <w:t xml:space="preserve">fødeindtagelse eller </w:t>
      </w:r>
      <w:proofErr w:type="spellStart"/>
      <w:r w:rsidRPr="00021BE3">
        <w:rPr>
          <w:sz w:val="24"/>
          <w:szCs w:val="24"/>
        </w:rPr>
        <w:t>malabsorption</w:t>
      </w:r>
      <w:proofErr w:type="spellEnd"/>
      <w:r w:rsidRPr="00021BE3">
        <w:rPr>
          <w:sz w:val="24"/>
          <w:szCs w:val="24"/>
        </w:rPr>
        <w:t>, hovedsageligt hos ældre.</w:t>
      </w:r>
    </w:p>
    <w:p w14:paraId="35469E72" w14:textId="77777777" w:rsidR="009260DE" w:rsidRPr="00021BE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1394870" w14:textId="77777777" w:rsidR="009260DE" w:rsidRPr="00021BE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21BE3">
        <w:rPr>
          <w:b/>
          <w:sz w:val="24"/>
          <w:szCs w:val="24"/>
        </w:rPr>
        <w:t>4.2</w:t>
      </w:r>
      <w:r w:rsidRPr="00021BE3">
        <w:rPr>
          <w:b/>
          <w:sz w:val="24"/>
          <w:szCs w:val="24"/>
        </w:rPr>
        <w:tab/>
        <w:t xml:space="preserve">Dosering og </w:t>
      </w:r>
      <w:r w:rsidR="002C1EC0" w:rsidRPr="00021BE3">
        <w:rPr>
          <w:b/>
          <w:sz w:val="24"/>
          <w:szCs w:val="24"/>
        </w:rPr>
        <w:t>administration</w:t>
      </w:r>
    </w:p>
    <w:p w14:paraId="3B18CAE9" w14:textId="77777777" w:rsidR="00021BE3" w:rsidRDefault="00021BE3" w:rsidP="00793CB2">
      <w:pPr>
        <w:ind w:left="851"/>
        <w:rPr>
          <w:noProof/>
          <w:sz w:val="24"/>
          <w:szCs w:val="24"/>
          <w:u w:val="single"/>
        </w:rPr>
      </w:pPr>
    </w:p>
    <w:p w14:paraId="47B96807" w14:textId="7655227B" w:rsidR="006C2613" w:rsidRPr="00021BE3" w:rsidRDefault="006C2613" w:rsidP="00793CB2">
      <w:pPr>
        <w:ind w:left="851"/>
        <w:rPr>
          <w:noProof/>
          <w:sz w:val="24"/>
          <w:szCs w:val="24"/>
          <w:u w:val="single"/>
        </w:rPr>
      </w:pPr>
      <w:r w:rsidRPr="00021BE3">
        <w:rPr>
          <w:noProof/>
          <w:sz w:val="24"/>
          <w:szCs w:val="24"/>
          <w:u w:val="single"/>
        </w:rPr>
        <w:t>Dosering</w:t>
      </w:r>
    </w:p>
    <w:p w14:paraId="2ED8A2FF" w14:textId="77777777" w:rsidR="006C2613" w:rsidRPr="00021BE3" w:rsidRDefault="006C2613" w:rsidP="00793CB2">
      <w:pPr>
        <w:ind w:left="851"/>
        <w:rPr>
          <w:noProof/>
          <w:sz w:val="24"/>
          <w:szCs w:val="24"/>
        </w:rPr>
      </w:pPr>
    </w:p>
    <w:p w14:paraId="47F1CAEE" w14:textId="77777777" w:rsidR="006C2613" w:rsidRPr="00021BE3" w:rsidRDefault="006C2613" w:rsidP="00793CB2">
      <w:pPr>
        <w:ind w:left="851"/>
        <w:rPr>
          <w:noProof/>
          <w:sz w:val="24"/>
          <w:szCs w:val="24"/>
        </w:rPr>
      </w:pPr>
      <w:r w:rsidRPr="00021BE3">
        <w:rPr>
          <w:sz w:val="24"/>
          <w:szCs w:val="24"/>
        </w:rPr>
        <w:t>1 tablet daglig, indtages med vand</w:t>
      </w:r>
    </w:p>
    <w:p w14:paraId="2202F271" w14:textId="77777777" w:rsidR="006C2613" w:rsidRPr="00021BE3" w:rsidRDefault="006C2613" w:rsidP="00793CB2">
      <w:pPr>
        <w:ind w:left="851"/>
        <w:rPr>
          <w:sz w:val="24"/>
          <w:szCs w:val="24"/>
        </w:rPr>
      </w:pPr>
    </w:p>
    <w:p w14:paraId="661B94B1" w14:textId="77777777" w:rsidR="006C2613" w:rsidRPr="00021BE3" w:rsidRDefault="006C2613" w:rsidP="00793CB2">
      <w:pPr>
        <w:ind w:left="851"/>
        <w:rPr>
          <w:sz w:val="24"/>
          <w:szCs w:val="24"/>
          <w:u w:val="single"/>
        </w:rPr>
      </w:pPr>
      <w:r w:rsidRPr="00021BE3">
        <w:rPr>
          <w:sz w:val="24"/>
          <w:szCs w:val="24"/>
          <w:u w:val="single"/>
        </w:rPr>
        <w:t>Administration</w:t>
      </w:r>
    </w:p>
    <w:p w14:paraId="4B243A9E" w14:textId="77777777" w:rsidR="006C2613" w:rsidRPr="00021BE3" w:rsidRDefault="006C2613" w:rsidP="00793CB2">
      <w:pPr>
        <w:ind w:left="851"/>
        <w:rPr>
          <w:noProof/>
          <w:sz w:val="24"/>
          <w:szCs w:val="24"/>
        </w:rPr>
      </w:pPr>
    </w:p>
    <w:p w14:paraId="47E9A3F4" w14:textId="77777777" w:rsidR="006C2613" w:rsidRPr="00021BE3" w:rsidRDefault="006C2613" w:rsidP="00793CB2">
      <w:pPr>
        <w:ind w:left="851"/>
        <w:rPr>
          <w:iCs/>
          <w:noProof/>
          <w:sz w:val="24"/>
          <w:szCs w:val="24"/>
        </w:rPr>
      </w:pPr>
      <w:r w:rsidRPr="00021BE3">
        <w:rPr>
          <w:iCs/>
          <w:noProof/>
          <w:sz w:val="24"/>
          <w:szCs w:val="24"/>
        </w:rPr>
        <w:t>Til peroralt brug</w:t>
      </w:r>
    </w:p>
    <w:p w14:paraId="48F8FADE" w14:textId="28728121" w:rsidR="00A06091" w:rsidRDefault="00A0609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BD09CB0" w14:textId="77777777" w:rsidR="009260DE" w:rsidRPr="00021BE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2BCE939" w14:textId="77777777" w:rsidR="009260DE" w:rsidRPr="00021BE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21BE3">
        <w:rPr>
          <w:b/>
          <w:sz w:val="24"/>
          <w:szCs w:val="24"/>
        </w:rPr>
        <w:t>4.3</w:t>
      </w:r>
      <w:r w:rsidRPr="00021BE3">
        <w:rPr>
          <w:b/>
          <w:sz w:val="24"/>
          <w:szCs w:val="24"/>
        </w:rPr>
        <w:tab/>
        <w:t>Kontraindikationer</w:t>
      </w:r>
    </w:p>
    <w:p w14:paraId="27A52A6A" w14:textId="77777777" w:rsidR="006C2613" w:rsidRPr="00021BE3" w:rsidRDefault="006C2613" w:rsidP="00793CB2">
      <w:pPr>
        <w:ind w:left="851"/>
        <w:rPr>
          <w:sz w:val="24"/>
          <w:szCs w:val="24"/>
        </w:rPr>
      </w:pPr>
      <w:r w:rsidRPr="00021BE3">
        <w:rPr>
          <w:sz w:val="24"/>
          <w:szCs w:val="24"/>
        </w:rPr>
        <w:t>Overfølsomhed over for de aktive stoffer eller et af hjælpestofferne anført under pkt. 6.1.</w:t>
      </w:r>
    </w:p>
    <w:p w14:paraId="1F4E88A0" w14:textId="77777777" w:rsidR="009260DE" w:rsidRPr="00021BE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2DC3260" w14:textId="77777777" w:rsidR="009260DE" w:rsidRPr="00021BE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21BE3">
        <w:rPr>
          <w:b/>
          <w:sz w:val="24"/>
          <w:szCs w:val="24"/>
        </w:rPr>
        <w:t>4.4</w:t>
      </w:r>
      <w:r w:rsidRPr="00021BE3">
        <w:rPr>
          <w:b/>
          <w:sz w:val="24"/>
          <w:szCs w:val="24"/>
        </w:rPr>
        <w:tab/>
        <w:t>Særlige advarsler og forsigtighedsregler vedrørende brugen</w:t>
      </w:r>
    </w:p>
    <w:p w14:paraId="7F05286F" w14:textId="67D2FC77" w:rsidR="006C2613" w:rsidRPr="00021BE3" w:rsidRDefault="006C2613" w:rsidP="00793CB2">
      <w:pPr>
        <w:ind w:left="851"/>
        <w:rPr>
          <w:sz w:val="24"/>
          <w:szCs w:val="24"/>
        </w:rPr>
      </w:pPr>
      <w:proofErr w:type="spellStart"/>
      <w:r w:rsidRPr="00021BE3">
        <w:rPr>
          <w:sz w:val="24"/>
          <w:szCs w:val="24"/>
        </w:rPr>
        <w:t>Bevitrio</w:t>
      </w:r>
      <w:proofErr w:type="spellEnd"/>
      <w:r w:rsidRPr="00021BE3">
        <w:rPr>
          <w:sz w:val="24"/>
          <w:szCs w:val="24"/>
        </w:rPr>
        <w:t xml:space="preserve"> er ikke beregnet til behandling af symptomgivende mangel på de vitaminer, der indgår. Især</w:t>
      </w:r>
      <w:r w:rsidR="00021BE3">
        <w:rPr>
          <w:sz w:val="24"/>
          <w:szCs w:val="24"/>
        </w:rPr>
        <w:t xml:space="preserve"> </w:t>
      </w:r>
      <w:r w:rsidRPr="00021BE3">
        <w:rPr>
          <w:sz w:val="24"/>
          <w:szCs w:val="24"/>
        </w:rPr>
        <w:t xml:space="preserve">bør det påpeges, at effektiv behandling af indtrådt </w:t>
      </w:r>
      <w:proofErr w:type="spellStart"/>
      <w:r w:rsidRPr="00021BE3">
        <w:rPr>
          <w:sz w:val="24"/>
          <w:szCs w:val="24"/>
        </w:rPr>
        <w:t>megaloblastær</w:t>
      </w:r>
      <w:proofErr w:type="spellEnd"/>
      <w:r w:rsidRPr="00021BE3">
        <w:rPr>
          <w:sz w:val="24"/>
          <w:szCs w:val="24"/>
        </w:rPr>
        <w:t xml:space="preserve"> anæmi og perniciøs anæmi kan</w:t>
      </w:r>
      <w:r w:rsidR="00021BE3">
        <w:rPr>
          <w:sz w:val="24"/>
          <w:szCs w:val="24"/>
        </w:rPr>
        <w:t xml:space="preserve"> </w:t>
      </w:r>
      <w:r w:rsidRPr="00021BE3">
        <w:rPr>
          <w:sz w:val="24"/>
          <w:szCs w:val="24"/>
        </w:rPr>
        <w:t>kræve parenteral administration af vitamin B</w:t>
      </w:r>
      <w:r w:rsidRPr="00021BE3">
        <w:rPr>
          <w:sz w:val="24"/>
          <w:szCs w:val="24"/>
          <w:vertAlign w:val="subscript"/>
        </w:rPr>
        <w:t>12</w:t>
      </w:r>
      <w:r w:rsidRPr="00021BE3">
        <w:rPr>
          <w:sz w:val="24"/>
          <w:szCs w:val="24"/>
        </w:rPr>
        <w:t xml:space="preserve"> i begyndelsen af behandlingen. </w:t>
      </w:r>
    </w:p>
    <w:p w14:paraId="3AEA9D0A" w14:textId="77777777" w:rsidR="00A06091" w:rsidRDefault="00A06091" w:rsidP="00793CB2">
      <w:pPr>
        <w:ind w:left="851"/>
        <w:rPr>
          <w:sz w:val="24"/>
          <w:szCs w:val="24"/>
        </w:rPr>
      </w:pPr>
    </w:p>
    <w:p w14:paraId="03ED1BFF" w14:textId="1D17F3A4" w:rsidR="006C2613" w:rsidRPr="00021BE3" w:rsidRDefault="006C2613" w:rsidP="00793CB2">
      <w:pPr>
        <w:ind w:left="851"/>
        <w:rPr>
          <w:sz w:val="24"/>
          <w:szCs w:val="24"/>
        </w:rPr>
      </w:pPr>
      <w:proofErr w:type="spellStart"/>
      <w:r w:rsidRPr="00021BE3">
        <w:rPr>
          <w:sz w:val="24"/>
          <w:szCs w:val="24"/>
        </w:rPr>
        <w:t>Bevitrio</w:t>
      </w:r>
      <w:proofErr w:type="spellEnd"/>
      <w:r w:rsidRPr="00021BE3">
        <w:rPr>
          <w:sz w:val="24"/>
          <w:szCs w:val="24"/>
        </w:rPr>
        <w:t xml:space="preserve"> bør ikke anvendes til patienter, som har gennemgået en større </w:t>
      </w:r>
      <w:proofErr w:type="spellStart"/>
      <w:r w:rsidRPr="00021BE3">
        <w:rPr>
          <w:sz w:val="24"/>
          <w:szCs w:val="24"/>
        </w:rPr>
        <w:t>tyndtarmsresektion</w:t>
      </w:r>
      <w:proofErr w:type="spellEnd"/>
      <w:r w:rsidRPr="00021BE3">
        <w:rPr>
          <w:sz w:val="24"/>
          <w:szCs w:val="24"/>
        </w:rPr>
        <w:t>.</w:t>
      </w:r>
    </w:p>
    <w:p w14:paraId="3A57A7E1" w14:textId="77777777" w:rsidR="006C2613" w:rsidRPr="00021BE3" w:rsidRDefault="006C2613" w:rsidP="00793CB2">
      <w:pPr>
        <w:ind w:left="851"/>
        <w:rPr>
          <w:sz w:val="24"/>
          <w:szCs w:val="24"/>
        </w:rPr>
      </w:pPr>
    </w:p>
    <w:p w14:paraId="4FD03CF4" w14:textId="0F948077" w:rsidR="006C2613" w:rsidRPr="00021BE3" w:rsidRDefault="006C2613" w:rsidP="00793CB2">
      <w:pPr>
        <w:ind w:left="851"/>
        <w:rPr>
          <w:sz w:val="24"/>
          <w:szCs w:val="24"/>
        </w:rPr>
      </w:pPr>
      <w:proofErr w:type="spellStart"/>
      <w:r w:rsidRPr="00021BE3">
        <w:rPr>
          <w:sz w:val="24"/>
          <w:szCs w:val="24"/>
        </w:rPr>
        <w:t>Bevitrio</w:t>
      </w:r>
      <w:proofErr w:type="spellEnd"/>
      <w:r w:rsidRPr="00021BE3">
        <w:rPr>
          <w:sz w:val="24"/>
          <w:szCs w:val="24"/>
        </w:rPr>
        <w:t xml:space="preserve"> er ikke beregnet til sekundær forebyggelse af NTD (neuralrørsdefekt), som kræver et højere indtag af </w:t>
      </w:r>
      <w:proofErr w:type="spellStart"/>
      <w:r w:rsidRPr="00021BE3">
        <w:rPr>
          <w:sz w:val="24"/>
          <w:szCs w:val="24"/>
        </w:rPr>
        <w:t>folsyre</w:t>
      </w:r>
      <w:proofErr w:type="spellEnd"/>
      <w:r w:rsidRPr="00021BE3">
        <w:rPr>
          <w:sz w:val="24"/>
          <w:szCs w:val="24"/>
        </w:rPr>
        <w:t>.</w:t>
      </w:r>
    </w:p>
    <w:p w14:paraId="02BF2ACB" w14:textId="77777777" w:rsidR="006C2613" w:rsidRPr="00021BE3" w:rsidRDefault="006C2613" w:rsidP="00793CB2">
      <w:pPr>
        <w:ind w:left="851"/>
        <w:rPr>
          <w:sz w:val="24"/>
          <w:szCs w:val="24"/>
        </w:rPr>
      </w:pPr>
    </w:p>
    <w:p w14:paraId="7AD97287" w14:textId="77777777" w:rsidR="006C2613" w:rsidRPr="00021BE3" w:rsidRDefault="006C2613" w:rsidP="00793CB2">
      <w:pPr>
        <w:ind w:left="851"/>
        <w:rPr>
          <w:sz w:val="24"/>
          <w:szCs w:val="24"/>
        </w:rPr>
      </w:pPr>
      <w:r w:rsidRPr="00021BE3">
        <w:rPr>
          <w:sz w:val="24"/>
          <w:szCs w:val="24"/>
        </w:rPr>
        <w:t>Dette lægemiddel indeholder mindre end 1 mmol (23 mg) natrium pr. tablet, dvs. det er i det væsentlige natriumfrit.</w:t>
      </w:r>
    </w:p>
    <w:p w14:paraId="3A190ACE" w14:textId="77777777" w:rsidR="009260DE" w:rsidRPr="00021BE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DC0458B" w14:textId="77777777" w:rsidR="009260DE" w:rsidRPr="00021BE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21BE3">
        <w:rPr>
          <w:b/>
          <w:sz w:val="24"/>
          <w:szCs w:val="24"/>
        </w:rPr>
        <w:t>4.5</w:t>
      </w:r>
      <w:r w:rsidRPr="00021BE3">
        <w:rPr>
          <w:b/>
          <w:sz w:val="24"/>
          <w:szCs w:val="24"/>
        </w:rPr>
        <w:tab/>
        <w:t>Interaktion med andre lægemidler og andre former for interaktion</w:t>
      </w:r>
    </w:p>
    <w:p w14:paraId="50A94A49" w14:textId="77777777" w:rsidR="00021BE3" w:rsidRDefault="00021BE3" w:rsidP="00793CB2">
      <w:pPr>
        <w:ind w:left="851"/>
        <w:rPr>
          <w:sz w:val="24"/>
          <w:szCs w:val="24"/>
          <w:u w:val="single"/>
        </w:rPr>
      </w:pPr>
    </w:p>
    <w:p w14:paraId="6DFB6E48" w14:textId="242C403E" w:rsidR="006C2613" w:rsidRPr="00021BE3" w:rsidRDefault="006C2613" w:rsidP="00793CB2">
      <w:pPr>
        <w:ind w:left="851"/>
        <w:rPr>
          <w:sz w:val="24"/>
          <w:szCs w:val="24"/>
          <w:u w:val="single"/>
        </w:rPr>
      </w:pPr>
      <w:proofErr w:type="spellStart"/>
      <w:r w:rsidRPr="00021BE3">
        <w:rPr>
          <w:sz w:val="24"/>
          <w:szCs w:val="24"/>
          <w:u w:val="single"/>
        </w:rPr>
        <w:t>Folsyre</w:t>
      </w:r>
      <w:proofErr w:type="spellEnd"/>
    </w:p>
    <w:p w14:paraId="61C2A0AA" w14:textId="77777777" w:rsidR="006C2613" w:rsidRPr="00021BE3" w:rsidRDefault="006C2613" w:rsidP="00793CB2">
      <w:pPr>
        <w:ind w:left="851"/>
        <w:rPr>
          <w:sz w:val="24"/>
          <w:szCs w:val="24"/>
          <w:u w:val="single"/>
        </w:rPr>
      </w:pPr>
    </w:p>
    <w:p w14:paraId="029A71CD" w14:textId="77777777" w:rsidR="006C2613" w:rsidRPr="00021BE3" w:rsidRDefault="006C2613" w:rsidP="00793CB2">
      <w:pPr>
        <w:ind w:left="851"/>
        <w:rPr>
          <w:i/>
          <w:iCs/>
          <w:sz w:val="24"/>
          <w:szCs w:val="24"/>
        </w:rPr>
      </w:pPr>
      <w:proofErr w:type="spellStart"/>
      <w:r w:rsidRPr="00021BE3">
        <w:rPr>
          <w:i/>
          <w:iCs/>
          <w:sz w:val="24"/>
          <w:szCs w:val="24"/>
        </w:rPr>
        <w:t>Antiepileptika</w:t>
      </w:r>
      <w:proofErr w:type="spellEnd"/>
    </w:p>
    <w:p w14:paraId="7A0C895B" w14:textId="77777777" w:rsidR="006C2613" w:rsidRPr="00021BE3" w:rsidRDefault="006C2613" w:rsidP="00793CB2">
      <w:pPr>
        <w:ind w:left="851"/>
        <w:rPr>
          <w:sz w:val="24"/>
          <w:szCs w:val="24"/>
        </w:rPr>
      </w:pPr>
      <w:r w:rsidRPr="00021BE3">
        <w:rPr>
          <w:sz w:val="24"/>
          <w:szCs w:val="24"/>
        </w:rPr>
        <w:t xml:space="preserve">De fleste antiepileptiske lægemidler kan forårsage et fald i plasmakoncentrationen af </w:t>
      </w:r>
      <w:proofErr w:type="spellStart"/>
      <w:r w:rsidRPr="00021BE3">
        <w:rPr>
          <w:sz w:val="24"/>
          <w:szCs w:val="24"/>
        </w:rPr>
        <w:t>folsyre</w:t>
      </w:r>
      <w:proofErr w:type="spellEnd"/>
      <w:r w:rsidRPr="00021BE3">
        <w:rPr>
          <w:sz w:val="24"/>
          <w:szCs w:val="24"/>
        </w:rPr>
        <w:t xml:space="preserve"> ved at hæmme absorptionen og metabolismen af </w:t>
      </w:r>
      <w:proofErr w:type="spellStart"/>
      <w:r w:rsidRPr="00021BE3">
        <w:rPr>
          <w:sz w:val="24"/>
          <w:szCs w:val="24"/>
        </w:rPr>
        <w:t>folsyre</w:t>
      </w:r>
      <w:proofErr w:type="spellEnd"/>
      <w:r w:rsidRPr="00021BE3">
        <w:rPr>
          <w:sz w:val="24"/>
          <w:szCs w:val="24"/>
        </w:rPr>
        <w:t>.</w:t>
      </w:r>
    </w:p>
    <w:p w14:paraId="4DFE57A1" w14:textId="77777777" w:rsidR="006C2613" w:rsidRPr="00021BE3" w:rsidRDefault="006C2613" w:rsidP="00793CB2">
      <w:pPr>
        <w:ind w:left="851"/>
        <w:rPr>
          <w:sz w:val="24"/>
          <w:szCs w:val="24"/>
        </w:rPr>
      </w:pPr>
      <w:proofErr w:type="spellStart"/>
      <w:r w:rsidRPr="00021BE3">
        <w:rPr>
          <w:sz w:val="24"/>
          <w:szCs w:val="24"/>
        </w:rPr>
        <w:t>Folsyre</w:t>
      </w:r>
      <w:proofErr w:type="spellEnd"/>
      <w:r w:rsidRPr="00021BE3">
        <w:rPr>
          <w:sz w:val="24"/>
          <w:szCs w:val="24"/>
        </w:rPr>
        <w:t xml:space="preserve"> kan øge metabolismen af nogle </w:t>
      </w:r>
      <w:proofErr w:type="spellStart"/>
      <w:r w:rsidRPr="00021BE3">
        <w:rPr>
          <w:sz w:val="24"/>
          <w:szCs w:val="24"/>
        </w:rPr>
        <w:t>antiepileptika</w:t>
      </w:r>
      <w:proofErr w:type="spellEnd"/>
      <w:r w:rsidRPr="00021BE3">
        <w:rPr>
          <w:sz w:val="24"/>
          <w:szCs w:val="24"/>
        </w:rPr>
        <w:t xml:space="preserve">, såsom </w:t>
      </w:r>
      <w:proofErr w:type="spellStart"/>
      <w:r w:rsidRPr="00021BE3">
        <w:rPr>
          <w:sz w:val="24"/>
          <w:szCs w:val="24"/>
        </w:rPr>
        <w:t>phenobarbital</w:t>
      </w:r>
      <w:proofErr w:type="spellEnd"/>
      <w:r w:rsidRPr="00021BE3">
        <w:rPr>
          <w:sz w:val="24"/>
          <w:szCs w:val="24"/>
        </w:rPr>
        <w:t xml:space="preserve"> og </w:t>
      </w:r>
      <w:proofErr w:type="spellStart"/>
      <w:r w:rsidRPr="00021BE3">
        <w:rPr>
          <w:sz w:val="24"/>
          <w:szCs w:val="24"/>
        </w:rPr>
        <w:t>phenytoin</w:t>
      </w:r>
      <w:proofErr w:type="spellEnd"/>
      <w:r w:rsidRPr="00021BE3">
        <w:rPr>
          <w:sz w:val="24"/>
          <w:szCs w:val="24"/>
        </w:rPr>
        <w:t>.</w:t>
      </w:r>
    </w:p>
    <w:p w14:paraId="317497BA" w14:textId="77777777" w:rsidR="006C2613" w:rsidRPr="00021BE3" w:rsidRDefault="006C2613" w:rsidP="00793CB2">
      <w:pPr>
        <w:ind w:left="851"/>
        <w:rPr>
          <w:sz w:val="24"/>
          <w:szCs w:val="24"/>
        </w:rPr>
      </w:pPr>
    </w:p>
    <w:p w14:paraId="60ED850C" w14:textId="77777777" w:rsidR="006C2613" w:rsidRPr="00021BE3" w:rsidRDefault="006C2613" w:rsidP="00793CB2">
      <w:pPr>
        <w:ind w:left="851"/>
        <w:rPr>
          <w:sz w:val="24"/>
          <w:szCs w:val="24"/>
        </w:rPr>
      </w:pPr>
      <w:r w:rsidRPr="00021BE3">
        <w:rPr>
          <w:i/>
          <w:iCs/>
          <w:sz w:val="24"/>
          <w:szCs w:val="24"/>
        </w:rPr>
        <w:t>Antibiotika</w:t>
      </w:r>
    </w:p>
    <w:p w14:paraId="13160C55" w14:textId="77777777" w:rsidR="006C2613" w:rsidRPr="00021BE3" w:rsidRDefault="006C2613" w:rsidP="00793CB2">
      <w:pPr>
        <w:ind w:left="851"/>
        <w:rPr>
          <w:sz w:val="24"/>
          <w:szCs w:val="24"/>
        </w:rPr>
      </w:pPr>
      <w:r w:rsidRPr="00021BE3">
        <w:rPr>
          <w:sz w:val="24"/>
          <w:szCs w:val="24"/>
        </w:rPr>
        <w:t xml:space="preserve">Nogle antibiotika kan forstyrre mikrobiologiske tests, hvilket kan føre til falske lave resultater af koncentrationsmåling af </w:t>
      </w:r>
      <w:proofErr w:type="spellStart"/>
      <w:r w:rsidRPr="00021BE3">
        <w:rPr>
          <w:sz w:val="24"/>
          <w:szCs w:val="24"/>
        </w:rPr>
        <w:t>folsyre</w:t>
      </w:r>
      <w:proofErr w:type="spellEnd"/>
      <w:r w:rsidRPr="00021BE3">
        <w:rPr>
          <w:sz w:val="24"/>
          <w:szCs w:val="24"/>
        </w:rPr>
        <w:t xml:space="preserve"> i serum og </w:t>
      </w:r>
      <w:proofErr w:type="spellStart"/>
      <w:r w:rsidRPr="00021BE3">
        <w:rPr>
          <w:sz w:val="24"/>
          <w:szCs w:val="24"/>
        </w:rPr>
        <w:t>erythrocytter</w:t>
      </w:r>
      <w:proofErr w:type="spellEnd"/>
      <w:r w:rsidRPr="00021BE3">
        <w:rPr>
          <w:sz w:val="24"/>
          <w:szCs w:val="24"/>
        </w:rPr>
        <w:t>.</w:t>
      </w:r>
    </w:p>
    <w:p w14:paraId="4FE3CCBB" w14:textId="77777777" w:rsidR="006C2613" w:rsidRPr="00021BE3" w:rsidRDefault="006C2613" w:rsidP="00793CB2">
      <w:pPr>
        <w:ind w:left="851"/>
        <w:rPr>
          <w:i/>
          <w:iCs/>
          <w:sz w:val="24"/>
          <w:szCs w:val="24"/>
        </w:rPr>
      </w:pPr>
    </w:p>
    <w:p w14:paraId="7131F015" w14:textId="77777777" w:rsidR="006C2613" w:rsidRPr="00021BE3" w:rsidRDefault="006C2613" w:rsidP="00793CB2">
      <w:pPr>
        <w:ind w:left="851"/>
        <w:rPr>
          <w:i/>
          <w:iCs/>
          <w:sz w:val="24"/>
          <w:szCs w:val="24"/>
        </w:rPr>
      </w:pPr>
      <w:proofErr w:type="spellStart"/>
      <w:r w:rsidRPr="00021BE3">
        <w:rPr>
          <w:i/>
          <w:iCs/>
          <w:sz w:val="24"/>
          <w:szCs w:val="24"/>
        </w:rPr>
        <w:t>Folsyreantagonister</w:t>
      </w:r>
      <w:proofErr w:type="spellEnd"/>
    </w:p>
    <w:p w14:paraId="23D440C7" w14:textId="77777777" w:rsidR="006C2613" w:rsidRPr="00021BE3" w:rsidRDefault="006C2613" w:rsidP="00793CB2">
      <w:pPr>
        <w:ind w:left="851"/>
        <w:rPr>
          <w:sz w:val="24"/>
          <w:szCs w:val="24"/>
        </w:rPr>
      </w:pPr>
      <w:proofErr w:type="spellStart"/>
      <w:r w:rsidRPr="00021BE3">
        <w:rPr>
          <w:sz w:val="24"/>
          <w:szCs w:val="24"/>
        </w:rPr>
        <w:t>Folsyreantagonister</w:t>
      </w:r>
      <w:proofErr w:type="spellEnd"/>
      <w:r w:rsidRPr="00021BE3">
        <w:rPr>
          <w:sz w:val="24"/>
          <w:szCs w:val="24"/>
        </w:rPr>
        <w:t xml:space="preserve"> såsom </w:t>
      </w:r>
      <w:proofErr w:type="spellStart"/>
      <w:r w:rsidRPr="00021BE3">
        <w:rPr>
          <w:sz w:val="24"/>
          <w:szCs w:val="24"/>
        </w:rPr>
        <w:t>methotrexat</w:t>
      </w:r>
      <w:proofErr w:type="spellEnd"/>
      <w:r w:rsidRPr="00021BE3">
        <w:rPr>
          <w:sz w:val="24"/>
          <w:szCs w:val="24"/>
        </w:rPr>
        <w:t xml:space="preserve">, </w:t>
      </w:r>
      <w:proofErr w:type="spellStart"/>
      <w:r w:rsidRPr="00021BE3">
        <w:rPr>
          <w:sz w:val="24"/>
          <w:szCs w:val="24"/>
        </w:rPr>
        <w:t>pyrimetamin</w:t>
      </w:r>
      <w:proofErr w:type="spellEnd"/>
      <w:r w:rsidRPr="00021BE3">
        <w:rPr>
          <w:sz w:val="24"/>
          <w:szCs w:val="24"/>
        </w:rPr>
        <w:t xml:space="preserve">, </w:t>
      </w:r>
      <w:proofErr w:type="spellStart"/>
      <w:r w:rsidRPr="00021BE3">
        <w:rPr>
          <w:sz w:val="24"/>
          <w:szCs w:val="24"/>
        </w:rPr>
        <w:t>trimethoprim</w:t>
      </w:r>
      <w:proofErr w:type="spellEnd"/>
      <w:r w:rsidRPr="00021BE3">
        <w:rPr>
          <w:sz w:val="24"/>
          <w:szCs w:val="24"/>
        </w:rPr>
        <w:t xml:space="preserve">, sulfonamider og </w:t>
      </w:r>
      <w:proofErr w:type="spellStart"/>
      <w:r w:rsidRPr="00021BE3">
        <w:rPr>
          <w:sz w:val="24"/>
          <w:szCs w:val="24"/>
        </w:rPr>
        <w:t>sulfasalazin</w:t>
      </w:r>
      <w:proofErr w:type="spellEnd"/>
      <w:r w:rsidRPr="00021BE3">
        <w:rPr>
          <w:sz w:val="24"/>
          <w:szCs w:val="24"/>
        </w:rPr>
        <w:t xml:space="preserve"> kan hæmme omdannelsen af </w:t>
      </w:r>
      <w:proofErr w:type="spellStart"/>
      <w:r w:rsidRPr="00021BE3">
        <w:rPr>
          <w:sz w:val="24"/>
          <w:szCs w:val="24"/>
        </w:rPr>
        <w:t>folsyre</w:t>
      </w:r>
      <w:proofErr w:type="spellEnd"/>
      <w:r w:rsidRPr="00021BE3">
        <w:rPr>
          <w:sz w:val="24"/>
          <w:szCs w:val="24"/>
        </w:rPr>
        <w:t xml:space="preserve"> til </w:t>
      </w:r>
      <w:proofErr w:type="spellStart"/>
      <w:r w:rsidRPr="00021BE3">
        <w:rPr>
          <w:sz w:val="24"/>
          <w:szCs w:val="24"/>
        </w:rPr>
        <w:t>tetrahydrofolsyre</w:t>
      </w:r>
      <w:proofErr w:type="spellEnd"/>
      <w:r w:rsidRPr="00021BE3">
        <w:rPr>
          <w:sz w:val="24"/>
          <w:szCs w:val="24"/>
        </w:rPr>
        <w:t xml:space="preserve"> og således øge risikoen for </w:t>
      </w:r>
      <w:proofErr w:type="spellStart"/>
      <w:r w:rsidRPr="00021BE3">
        <w:rPr>
          <w:sz w:val="24"/>
          <w:szCs w:val="24"/>
        </w:rPr>
        <w:t>folsyremangel</w:t>
      </w:r>
      <w:proofErr w:type="spellEnd"/>
      <w:r w:rsidRPr="00021BE3">
        <w:rPr>
          <w:sz w:val="24"/>
          <w:szCs w:val="24"/>
        </w:rPr>
        <w:t>.</w:t>
      </w:r>
    </w:p>
    <w:p w14:paraId="20C5E28B" w14:textId="77777777" w:rsidR="006C2613" w:rsidRPr="00021BE3" w:rsidRDefault="006C2613" w:rsidP="00793CB2">
      <w:pPr>
        <w:ind w:left="851"/>
        <w:rPr>
          <w:sz w:val="24"/>
          <w:szCs w:val="24"/>
        </w:rPr>
      </w:pPr>
    </w:p>
    <w:p w14:paraId="6290B693" w14:textId="77777777" w:rsidR="006C2613" w:rsidRPr="00021BE3" w:rsidRDefault="006C2613" w:rsidP="00793CB2">
      <w:pPr>
        <w:ind w:left="851"/>
        <w:rPr>
          <w:sz w:val="24"/>
          <w:szCs w:val="24"/>
          <w:u w:val="single"/>
        </w:rPr>
      </w:pPr>
      <w:proofErr w:type="spellStart"/>
      <w:r w:rsidRPr="00021BE3">
        <w:rPr>
          <w:sz w:val="24"/>
          <w:szCs w:val="24"/>
          <w:u w:val="single"/>
        </w:rPr>
        <w:t>Pyridoxin</w:t>
      </w:r>
      <w:proofErr w:type="spellEnd"/>
    </w:p>
    <w:p w14:paraId="64B91B90" w14:textId="77777777" w:rsidR="006C2613" w:rsidRPr="00021BE3" w:rsidRDefault="006C2613" w:rsidP="00793CB2">
      <w:pPr>
        <w:ind w:left="851"/>
        <w:rPr>
          <w:i/>
          <w:iCs/>
          <w:sz w:val="24"/>
          <w:szCs w:val="24"/>
        </w:rPr>
      </w:pPr>
    </w:p>
    <w:p w14:paraId="2C634E50" w14:textId="77777777" w:rsidR="006C2613" w:rsidRPr="00021BE3" w:rsidRDefault="006C2613" w:rsidP="00793CB2">
      <w:pPr>
        <w:ind w:left="851"/>
        <w:rPr>
          <w:i/>
          <w:iCs/>
          <w:sz w:val="24"/>
          <w:szCs w:val="24"/>
        </w:rPr>
      </w:pPr>
      <w:proofErr w:type="spellStart"/>
      <w:r w:rsidRPr="00021BE3">
        <w:rPr>
          <w:i/>
          <w:iCs/>
          <w:sz w:val="24"/>
          <w:szCs w:val="24"/>
        </w:rPr>
        <w:t>Levodopa</w:t>
      </w:r>
      <w:proofErr w:type="spellEnd"/>
    </w:p>
    <w:p w14:paraId="78C01539" w14:textId="77777777" w:rsidR="006C2613" w:rsidRPr="00021BE3" w:rsidRDefault="006C2613" w:rsidP="00793CB2">
      <w:pPr>
        <w:ind w:left="851"/>
        <w:rPr>
          <w:sz w:val="24"/>
          <w:szCs w:val="24"/>
        </w:rPr>
      </w:pPr>
      <w:proofErr w:type="spellStart"/>
      <w:r w:rsidRPr="00021BE3">
        <w:rPr>
          <w:sz w:val="24"/>
          <w:szCs w:val="24"/>
        </w:rPr>
        <w:t>Pyridoxin</w:t>
      </w:r>
      <w:proofErr w:type="spellEnd"/>
      <w:r w:rsidRPr="00021BE3">
        <w:rPr>
          <w:sz w:val="24"/>
          <w:szCs w:val="24"/>
        </w:rPr>
        <w:t xml:space="preserve"> har vist sig at mindske virkningerne af </w:t>
      </w:r>
      <w:proofErr w:type="spellStart"/>
      <w:r w:rsidRPr="00021BE3">
        <w:rPr>
          <w:sz w:val="24"/>
          <w:szCs w:val="24"/>
        </w:rPr>
        <w:t>levodopa</w:t>
      </w:r>
      <w:proofErr w:type="spellEnd"/>
      <w:r w:rsidRPr="00021BE3">
        <w:rPr>
          <w:sz w:val="24"/>
          <w:szCs w:val="24"/>
        </w:rPr>
        <w:t xml:space="preserve">. Denne effekt ses imidlertid ikke, når </w:t>
      </w:r>
      <w:proofErr w:type="spellStart"/>
      <w:r w:rsidRPr="00021BE3">
        <w:rPr>
          <w:sz w:val="24"/>
          <w:szCs w:val="24"/>
        </w:rPr>
        <w:t>levodopa</w:t>
      </w:r>
      <w:proofErr w:type="spellEnd"/>
      <w:r w:rsidRPr="00021BE3">
        <w:rPr>
          <w:sz w:val="24"/>
          <w:szCs w:val="24"/>
        </w:rPr>
        <w:t xml:space="preserve"> ordineres i kombination med </w:t>
      </w:r>
      <w:proofErr w:type="spellStart"/>
      <w:r w:rsidRPr="00021BE3">
        <w:rPr>
          <w:sz w:val="24"/>
          <w:szCs w:val="24"/>
        </w:rPr>
        <w:t>carbidopa</w:t>
      </w:r>
      <w:proofErr w:type="spellEnd"/>
      <w:r w:rsidRPr="00021BE3">
        <w:rPr>
          <w:sz w:val="24"/>
          <w:szCs w:val="24"/>
        </w:rPr>
        <w:t xml:space="preserve">, hvilket forhindrer interaktionen i at forekomme. I de sjældne tilfælde, hvor patienter tager </w:t>
      </w:r>
      <w:proofErr w:type="spellStart"/>
      <w:r w:rsidRPr="00021BE3">
        <w:rPr>
          <w:sz w:val="24"/>
          <w:szCs w:val="24"/>
        </w:rPr>
        <w:t>levodopa</w:t>
      </w:r>
      <w:proofErr w:type="spellEnd"/>
      <w:r w:rsidRPr="00021BE3">
        <w:rPr>
          <w:sz w:val="24"/>
          <w:szCs w:val="24"/>
        </w:rPr>
        <w:t xml:space="preserve"> uden </w:t>
      </w:r>
      <w:proofErr w:type="spellStart"/>
      <w:r w:rsidRPr="00021BE3">
        <w:rPr>
          <w:sz w:val="24"/>
          <w:szCs w:val="24"/>
        </w:rPr>
        <w:t>carbidopa</w:t>
      </w:r>
      <w:proofErr w:type="spellEnd"/>
      <w:r w:rsidRPr="00021BE3">
        <w:rPr>
          <w:sz w:val="24"/>
          <w:szCs w:val="24"/>
        </w:rPr>
        <w:t xml:space="preserve">, bør læger råde deres patienter til at undgå produkter, der indeholder </w:t>
      </w:r>
      <w:proofErr w:type="spellStart"/>
      <w:r w:rsidRPr="00021BE3">
        <w:rPr>
          <w:sz w:val="24"/>
          <w:szCs w:val="24"/>
        </w:rPr>
        <w:t>pyridoxin</w:t>
      </w:r>
      <w:proofErr w:type="spellEnd"/>
      <w:r w:rsidRPr="00021BE3">
        <w:rPr>
          <w:sz w:val="24"/>
          <w:szCs w:val="24"/>
        </w:rPr>
        <w:t>.</w:t>
      </w:r>
    </w:p>
    <w:p w14:paraId="7BFB1474" w14:textId="77777777" w:rsidR="006C2613" w:rsidRPr="00021BE3" w:rsidRDefault="006C2613" w:rsidP="00793CB2">
      <w:pPr>
        <w:ind w:left="851"/>
        <w:rPr>
          <w:sz w:val="24"/>
          <w:szCs w:val="24"/>
        </w:rPr>
      </w:pPr>
    </w:p>
    <w:p w14:paraId="6A4CA3F1" w14:textId="77777777" w:rsidR="006C2613" w:rsidRPr="00021BE3" w:rsidRDefault="006C2613" w:rsidP="00793CB2">
      <w:pPr>
        <w:ind w:left="851"/>
        <w:rPr>
          <w:sz w:val="24"/>
          <w:szCs w:val="24"/>
          <w:u w:val="single"/>
        </w:rPr>
      </w:pPr>
      <w:proofErr w:type="spellStart"/>
      <w:r w:rsidRPr="00021BE3">
        <w:rPr>
          <w:sz w:val="24"/>
          <w:szCs w:val="24"/>
          <w:u w:val="single"/>
        </w:rPr>
        <w:t>Cyanocobalamin</w:t>
      </w:r>
      <w:proofErr w:type="spellEnd"/>
    </w:p>
    <w:p w14:paraId="193A53DB" w14:textId="0CE59A6E" w:rsidR="006C2613" w:rsidRPr="00021BE3" w:rsidRDefault="006C2613" w:rsidP="00793CB2">
      <w:pPr>
        <w:ind w:left="851"/>
        <w:rPr>
          <w:sz w:val="24"/>
          <w:szCs w:val="24"/>
        </w:rPr>
      </w:pPr>
      <w:r w:rsidRPr="00021BE3">
        <w:rPr>
          <w:sz w:val="24"/>
          <w:szCs w:val="24"/>
        </w:rPr>
        <w:t xml:space="preserve">Absorptionen af </w:t>
      </w:r>
      <w:r w:rsidRPr="00021BE3">
        <w:rPr>
          <w:bCs/>
          <w:iCs/>
          <w:sz w:val="24"/>
          <w:szCs w:val="24"/>
        </w:rPr>
        <w:t>vitamin B</w:t>
      </w:r>
      <w:r w:rsidRPr="00021BE3">
        <w:rPr>
          <w:bCs/>
          <w:iCs/>
          <w:sz w:val="24"/>
          <w:szCs w:val="24"/>
          <w:vertAlign w:val="subscript"/>
        </w:rPr>
        <w:t>12</w:t>
      </w:r>
      <w:r w:rsidRPr="00021BE3">
        <w:rPr>
          <w:bCs/>
          <w:iCs/>
          <w:sz w:val="24"/>
          <w:szCs w:val="24"/>
        </w:rPr>
        <w:t xml:space="preserve"> </w:t>
      </w:r>
      <w:r w:rsidRPr="00021BE3">
        <w:rPr>
          <w:sz w:val="24"/>
          <w:szCs w:val="24"/>
        </w:rPr>
        <w:t>fra mave-tarm</w:t>
      </w:r>
      <w:r w:rsidR="00A06091">
        <w:rPr>
          <w:sz w:val="24"/>
          <w:szCs w:val="24"/>
        </w:rPr>
        <w:t>-</w:t>
      </w:r>
      <w:r w:rsidRPr="00021BE3">
        <w:rPr>
          <w:sz w:val="24"/>
          <w:szCs w:val="24"/>
        </w:rPr>
        <w:t xml:space="preserve">kanalen kan reduceres af </w:t>
      </w:r>
      <w:proofErr w:type="spellStart"/>
      <w:r w:rsidRPr="00021BE3">
        <w:rPr>
          <w:sz w:val="24"/>
          <w:szCs w:val="24"/>
        </w:rPr>
        <w:t>aminoglycosider</w:t>
      </w:r>
      <w:proofErr w:type="spellEnd"/>
      <w:r w:rsidRPr="00021BE3">
        <w:rPr>
          <w:sz w:val="24"/>
          <w:szCs w:val="24"/>
        </w:rPr>
        <w:t xml:space="preserve">, aminosalicylsyre, </w:t>
      </w:r>
      <w:proofErr w:type="spellStart"/>
      <w:r w:rsidRPr="00021BE3">
        <w:rPr>
          <w:sz w:val="24"/>
          <w:szCs w:val="24"/>
        </w:rPr>
        <w:t>antiepileptika</w:t>
      </w:r>
      <w:proofErr w:type="spellEnd"/>
      <w:r w:rsidRPr="00021BE3">
        <w:rPr>
          <w:sz w:val="24"/>
          <w:szCs w:val="24"/>
        </w:rPr>
        <w:t xml:space="preserve">, </w:t>
      </w:r>
      <w:proofErr w:type="spellStart"/>
      <w:r w:rsidRPr="00021BE3">
        <w:rPr>
          <w:sz w:val="24"/>
          <w:szCs w:val="24"/>
        </w:rPr>
        <w:t>biguanider</w:t>
      </w:r>
      <w:proofErr w:type="spellEnd"/>
      <w:r w:rsidRPr="00021BE3">
        <w:rPr>
          <w:sz w:val="24"/>
          <w:szCs w:val="24"/>
        </w:rPr>
        <w:t xml:space="preserve"> (</w:t>
      </w:r>
      <w:proofErr w:type="spellStart"/>
      <w:r w:rsidRPr="00021BE3">
        <w:rPr>
          <w:sz w:val="24"/>
          <w:szCs w:val="24"/>
        </w:rPr>
        <w:t>metformin</w:t>
      </w:r>
      <w:proofErr w:type="spellEnd"/>
      <w:r w:rsidRPr="00021BE3">
        <w:rPr>
          <w:sz w:val="24"/>
          <w:szCs w:val="24"/>
        </w:rPr>
        <w:t xml:space="preserve">), </w:t>
      </w:r>
      <w:proofErr w:type="spellStart"/>
      <w:r w:rsidRPr="00021BE3">
        <w:rPr>
          <w:sz w:val="24"/>
          <w:szCs w:val="24"/>
        </w:rPr>
        <w:t>chloramphenicol</w:t>
      </w:r>
      <w:proofErr w:type="spellEnd"/>
      <w:r w:rsidRPr="00021BE3">
        <w:rPr>
          <w:sz w:val="24"/>
          <w:szCs w:val="24"/>
        </w:rPr>
        <w:t xml:space="preserve">, </w:t>
      </w:r>
      <w:proofErr w:type="spellStart"/>
      <w:r w:rsidRPr="00021BE3">
        <w:rPr>
          <w:sz w:val="24"/>
          <w:szCs w:val="24"/>
        </w:rPr>
        <w:t>colestyramin</w:t>
      </w:r>
      <w:proofErr w:type="spellEnd"/>
      <w:r w:rsidRPr="00021BE3">
        <w:rPr>
          <w:sz w:val="24"/>
          <w:szCs w:val="24"/>
        </w:rPr>
        <w:t xml:space="preserve">, kaliumsalte og mavesyrehæmmende stoffer (for eksempel </w:t>
      </w:r>
      <w:proofErr w:type="spellStart"/>
      <w:r w:rsidRPr="00021BE3">
        <w:rPr>
          <w:sz w:val="24"/>
          <w:szCs w:val="24"/>
        </w:rPr>
        <w:t>omeprazol</w:t>
      </w:r>
      <w:proofErr w:type="spellEnd"/>
      <w:r w:rsidRPr="00021BE3">
        <w:rPr>
          <w:sz w:val="24"/>
          <w:szCs w:val="24"/>
        </w:rPr>
        <w:t xml:space="preserve"> og </w:t>
      </w:r>
      <w:proofErr w:type="spellStart"/>
      <w:r w:rsidRPr="00021BE3">
        <w:rPr>
          <w:sz w:val="24"/>
          <w:szCs w:val="24"/>
        </w:rPr>
        <w:t>cimetidin</w:t>
      </w:r>
      <w:proofErr w:type="spellEnd"/>
      <w:r w:rsidRPr="00021BE3">
        <w:rPr>
          <w:sz w:val="24"/>
          <w:szCs w:val="24"/>
        </w:rPr>
        <w:t>). Den kliniske relevans af flere af disse interaktioner er sandsynligvis lille.</w:t>
      </w:r>
    </w:p>
    <w:p w14:paraId="134FD28B" w14:textId="559766E4" w:rsidR="00A06091" w:rsidRDefault="00A0609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C532600" w14:textId="77777777" w:rsidR="009260DE" w:rsidRPr="00021BE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84CCFCC" w14:textId="77777777" w:rsidR="009260DE" w:rsidRPr="00021BE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21BE3">
        <w:rPr>
          <w:b/>
          <w:sz w:val="24"/>
          <w:szCs w:val="24"/>
        </w:rPr>
        <w:t>4.6</w:t>
      </w:r>
      <w:r w:rsidRPr="00021BE3">
        <w:rPr>
          <w:b/>
          <w:sz w:val="24"/>
          <w:szCs w:val="24"/>
        </w:rPr>
        <w:tab/>
      </w:r>
      <w:r w:rsidR="0071241E" w:rsidRPr="00021BE3">
        <w:rPr>
          <w:b/>
          <w:sz w:val="24"/>
          <w:szCs w:val="24"/>
        </w:rPr>
        <w:t>Fertilitet, g</w:t>
      </w:r>
      <w:r w:rsidRPr="00021BE3">
        <w:rPr>
          <w:b/>
          <w:sz w:val="24"/>
          <w:szCs w:val="24"/>
        </w:rPr>
        <w:t>raviditet og amning</w:t>
      </w:r>
    </w:p>
    <w:p w14:paraId="37484C67" w14:textId="77777777" w:rsidR="006C2613" w:rsidRPr="00021BE3" w:rsidRDefault="006C2613" w:rsidP="00793CB2">
      <w:pPr>
        <w:ind w:left="851"/>
        <w:rPr>
          <w:sz w:val="24"/>
          <w:szCs w:val="24"/>
        </w:rPr>
      </w:pPr>
      <w:r w:rsidRPr="00021BE3">
        <w:rPr>
          <w:sz w:val="24"/>
          <w:szCs w:val="24"/>
        </w:rPr>
        <w:t>Ingen kendte risici.</w:t>
      </w:r>
    </w:p>
    <w:p w14:paraId="08F73FA1" w14:textId="77777777" w:rsidR="009260DE" w:rsidRPr="00021BE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050A775" w14:textId="77777777" w:rsidR="009260DE" w:rsidRPr="00021BE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21BE3">
        <w:rPr>
          <w:b/>
          <w:sz w:val="24"/>
          <w:szCs w:val="24"/>
        </w:rPr>
        <w:t>4.7</w:t>
      </w:r>
      <w:r w:rsidRPr="00021BE3">
        <w:rPr>
          <w:b/>
          <w:sz w:val="24"/>
          <w:szCs w:val="24"/>
        </w:rPr>
        <w:tab/>
        <w:t xml:space="preserve">Virkning på evnen til at føre motorkøretøj </w:t>
      </w:r>
      <w:r w:rsidR="0071241E" w:rsidRPr="00021BE3">
        <w:rPr>
          <w:b/>
          <w:sz w:val="24"/>
          <w:szCs w:val="24"/>
        </w:rPr>
        <w:t>og</w:t>
      </w:r>
      <w:r w:rsidRPr="00021BE3">
        <w:rPr>
          <w:b/>
          <w:sz w:val="24"/>
          <w:szCs w:val="24"/>
        </w:rPr>
        <w:t xml:space="preserve"> betjene maskiner</w:t>
      </w:r>
    </w:p>
    <w:p w14:paraId="1BD0B6D0" w14:textId="77777777" w:rsidR="00021BE3" w:rsidRDefault="00021BE3" w:rsidP="00793CB2">
      <w:pPr>
        <w:ind w:left="851"/>
        <w:rPr>
          <w:sz w:val="24"/>
          <w:szCs w:val="24"/>
        </w:rPr>
      </w:pPr>
      <w:r>
        <w:rPr>
          <w:sz w:val="24"/>
          <w:szCs w:val="24"/>
        </w:rPr>
        <w:t>Ikke mærkning.</w:t>
      </w:r>
    </w:p>
    <w:p w14:paraId="7CE561FC" w14:textId="543BF91D" w:rsidR="006C2613" w:rsidRPr="00021BE3" w:rsidRDefault="006C2613" w:rsidP="00793CB2">
      <w:pPr>
        <w:ind w:left="851"/>
        <w:rPr>
          <w:sz w:val="24"/>
          <w:szCs w:val="24"/>
        </w:rPr>
      </w:pPr>
      <w:r w:rsidRPr="00021BE3">
        <w:rPr>
          <w:sz w:val="24"/>
          <w:szCs w:val="24"/>
        </w:rPr>
        <w:t>Der er ikke udført nogen undersøgelser af evnen til at føre motorkøretøj eller betjene maskiner.</w:t>
      </w:r>
    </w:p>
    <w:p w14:paraId="66A1F070" w14:textId="77777777" w:rsidR="009260DE" w:rsidRPr="00021BE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D91EC73" w14:textId="77777777" w:rsidR="009260DE" w:rsidRPr="00021BE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21BE3">
        <w:rPr>
          <w:b/>
          <w:sz w:val="24"/>
          <w:szCs w:val="24"/>
        </w:rPr>
        <w:t>4.8</w:t>
      </w:r>
      <w:r w:rsidRPr="00021BE3">
        <w:rPr>
          <w:b/>
          <w:sz w:val="24"/>
          <w:szCs w:val="24"/>
        </w:rPr>
        <w:tab/>
        <w:t>Bivirkninger</w:t>
      </w:r>
    </w:p>
    <w:p w14:paraId="5C57E395" w14:textId="77777777" w:rsidR="006C2613" w:rsidRPr="00021BE3" w:rsidRDefault="006C2613" w:rsidP="00793CB2">
      <w:pPr>
        <w:ind w:left="851"/>
        <w:rPr>
          <w:i/>
          <w:noProof/>
          <w:sz w:val="24"/>
          <w:szCs w:val="24"/>
        </w:rPr>
      </w:pPr>
      <w:r w:rsidRPr="00021BE3">
        <w:rPr>
          <w:noProof/>
          <w:sz w:val="24"/>
          <w:szCs w:val="24"/>
        </w:rPr>
        <w:t>De uønskede virkninger præsenteres i henhold til systemorganklasse og hyppighed.</w:t>
      </w:r>
    </w:p>
    <w:p w14:paraId="32C2AC9D" w14:textId="77777777" w:rsidR="006C2613" w:rsidRPr="00021BE3" w:rsidRDefault="006C2613" w:rsidP="00021BE3">
      <w:pPr>
        <w:autoSpaceDE w:val="0"/>
        <w:autoSpaceDN w:val="0"/>
        <w:adjustRightInd w:val="0"/>
        <w:ind w:left="851"/>
        <w:rPr>
          <w:noProof/>
          <w:sz w:val="24"/>
          <w:szCs w:val="24"/>
          <w:u w:val="single"/>
        </w:rPr>
      </w:pPr>
    </w:p>
    <w:tbl>
      <w:tblPr>
        <w:tblStyle w:val="Tabel-Gitter"/>
        <w:tblW w:w="8788" w:type="dxa"/>
        <w:tblInd w:w="846" w:type="dxa"/>
        <w:tblLook w:val="04A0" w:firstRow="1" w:lastRow="0" w:firstColumn="1" w:lastColumn="0" w:noHBand="0" w:noVBand="1"/>
      </w:tblPr>
      <w:tblGrid>
        <w:gridCol w:w="4814"/>
        <w:gridCol w:w="3974"/>
      </w:tblGrid>
      <w:tr w:rsidR="006C2613" w:rsidRPr="00273EBC" w14:paraId="37AFFB47" w14:textId="77777777" w:rsidTr="00793CB2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71F08" w14:textId="77777777" w:rsidR="00021BE3" w:rsidRPr="00273EBC" w:rsidRDefault="006C2613">
            <w:pPr>
              <w:tabs>
                <w:tab w:val="left" w:pos="3402"/>
                <w:tab w:val="left" w:pos="4111"/>
              </w:tabs>
              <w:rPr>
                <w:b/>
                <w:bCs/>
                <w:sz w:val="24"/>
                <w:szCs w:val="24"/>
                <w:lang w:val="da-DK"/>
              </w:rPr>
            </w:pPr>
            <w:r w:rsidRPr="00273EBC">
              <w:rPr>
                <w:b/>
                <w:bCs/>
                <w:sz w:val="24"/>
                <w:szCs w:val="24"/>
                <w:lang w:val="da-DK"/>
              </w:rPr>
              <w:t>Hud og subkutane væv</w:t>
            </w:r>
          </w:p>
          <w:p w14:paraId="4DAC2933" w14:textId="6C6E62ED" w:rsidR="006C2613" w:rsidRPr="00273EBC" w:rsidRDefault="006C2613" w:rsidP="00021BE3">
            <w:pPr>
              <w:tabs>
                <w:tab w:val="left" w:pos="3402"/>
                <w:tab w:val="left" w:pos="4111"/>
              </w:tabs>
              <w:rPr>
                <w:sz w:val="24"/>
                <w:szCs w:val="24"/>
                <w:lang w:val="da-DK"/>
              </w:rPr>
            </w:pPr>
            <w:r w:rsidRPr="00273EBC">
              <w:rPr>
                <w:sz w:val="24"/>
                <w:szCs w:val="24"/>
                <w:lang w:val="da-DK"/>
              </w:rPr>
              <w:t xml:space="preserve">Ikke kendt </w:t>
            </w:r>
            <w:r w:rsidRPr="00273EBC">
              <w:rPr>
                <w:spacing w:val="-3"/>
                <w:sz w:val="24"/>
                <w:szCs w:val="24"/>
                <w:lang w:val="da-DK"/>
              </w:rPr>
              <w:t>(kan ikke estimeres ud fra forhåndenværende data).</w:t>
            </w:r>
            <w:r w:rsidRPr="00273EBC">
              <w:rPr>
                <w:sz w:val="24"/>
                <w:szCs w:val="24"/>
                <w:lang w:val="da-DK"/>
              </w:rPr>
              <w:t xml:space="preserve"> 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74AC" w14:textId="77777777" w:rsidR="006C2613" w:rsidRPr="00273EBC" w:rsidRDefault="006C2613">
            <w:pPr>
              <w:rPr>
                <w:sz w:val="24"/>
                <w:szCs w:val="24"/>
                <w:lang w:val="da-DK"/>
              </w:rPr>
            </w:pPr>
          </w:p>
          <w:p w14:paraId="2C49E0F3" w14:textId="77777777" w:rsidR="006C2613" w:rsidRPr="00273EBC" w:rsidRDefault="006C2613">
            <w:pPr>
              <w:rPr>
                <w:sz w:val="24"/>
                <w:szCs w:val="24"/>
                <w:lang w:val="da-DK"/>
              </w:rPr>
            </w:pPr>
            <w:proofErr w:type="spellStart"/>
            <w:r w:rsidRPr="00273EBC">
              <w:rPr>
                <w:sz w:val="24"/>
                <w:szCs w:val="24"/>
                <w:lang w:val="da-DK"/>
              </w:rPr>
              <w:t>Aknelignende</w:t>
            </w:r>
            <w:proofErr w:type="spellEnd"/>
            <w:r w:rsidRPr="00273EBC">
              <w:rPr>
                <w:sz w:val="24"/>
                <w:szCs w:val="24"/>
                <w:lang w:val="da-DK"/>
              </w:rPr>
              <w:t xml:space="preserve"> reaktioner, allergiske reaktioner (</w:t>
            </w:r>
            <w:proofErr w:type="spellStart"/>
            <w:r w:rsidRPr="00273EBC">
              <w:rPr>
                <w:sz w:val="24"/>
                <w:szCs w:val="24"/>
                <w:lang w:val="da-DK"/>
              </w:rPr>
              <w:t>urticaria</w:t>
            </w:r>
            <w:proofErr w:type="spellEnd"/>
            <w:r w:rsidRPr="00273EBC">
              <w:rPr>
                <w:sz w:val="24"/>
                <w:szCs w:val="24"/>
                <w:lang w:val="da-DK"/>
              </w:rPr>
              <w:t xml:space="preserve">, </w:t>
            </w:r>
            <w:proofErr w:type="spellStart"/>
            <w:r w:rsidRPr="00273EBC">
              <w:rPr>
                <w:sz w:val="24"/>
                <w:szCs w:val="24"/>
                <w:lang w:val="da-DK"/>
              </w:rPr>
              <w:t>pruritus</w:t>
            </w:r>
            <w:proofErr w:type="spellEnd"/>
            <w:r w:rsidRPr="00273EBC">
              <w:rPr>
                <w:sz w:val="24"/>
                <w:szCs w:val="24"/>
                <w:lang w:val="da-DK"/>
              </w:rPr>
              <w:t xml:space="preserve">, </w:t>
            </w:r>
            <w:proofErr w:type="spellStart"/>
            <w:r w:rsidRPr="00273EBC">
              <w:rPr>
                <w:sz w:val="24"/>
                <w:szCs w:val="24"/>
                <w:lang w:val="da-DK"/>
              </w:rPr>
              <w:t>erytem</w:t>
            </w:r>
            <w:proofErr w:type="spellEnd"/>
            <w:r w:rsidRPr="00273EBC">
              <w:rPr>
                <w:sz w:val="24"/>
                <w:szCs w:val="24"/>
                <w:lang w:val="da-DK"/>
              </w:rPr>
              <w:t>)</w:t>
            </w:r>
          </w:p>
          <w:p w14:paraId="2947846C" w14:textId="77777777" w:rsidR="006C2613" w:rsidRPr="00273EBC" w:rsidRDefault="006C2613">
            <w:pPr>
              <w:rPr>
                <w:sz w:val="24"/>
                <w:szCs w:val="24"/>
                <w:lang w:val="da-DK"/>
              </w:rPr>
            </w:pPr>
          </w:p>
        </w:tc>
      </w:tr>
      <w:tr w:rsidR="006C2613" w:rsidRPr="00273EBC" w14:paraId="31DB7B99" w14:textId="77777777" w:rsidTr="00793CB2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96AD" w14:textId="77777777" w:rsidR="006C2613" w:rsidRPr="00273EBC" w:rsidRDefault="006C2613">
            <w:pPr>
              <w:rPr>
                <w:b/>
                <w:bCs/>
                <w:sz w:val="24"/>
                <w:szCs w:val="24"/>
                <w:lang w:val="da-DK"/>
              </w:rPr>
            </w:pPr>
            <w:r w:rsidRPr="00273EBC">
              <w:rPr>
                <w:b/>
                <w:bCs/>
                <w:sz w:val="24"/>
                <w:szCs w:val="24"/>
                <w:lang w:val="da-DK"/>
              </w:rPr>
              <w:t xml:space="preserve">Immunsystemet </w:t>
            </w:r>
          </w:p>
          <w:p w14:paraId="566C5A6A" w14:textId="77777777" w:rsidR="006C2613" w:rsidRPr="00273EBC" w:rsidRDefault="006C2613">
            <w:pPr>
              <w:tabs>
                <w:tab w:val="left" w:pos="3402"/>
                <w:tab w:val="left" w:pos="4111"/>
              </w:tabs>
              <w:rPr>
                <w:sz w:val="24"/>
                <w:szCs w:val="24"/>
                <w:lang w:val="da-DK"/>
              </w:rPr>
            </w:pPr>
            <w:r w:rsidRPr="00273EBC">
              <w:rPr>
                <w:sz w:val="24"/>
                <w:szCs w:val="24"/>
                <w:lang w:val="da-DK"/>
              </w:rPr>
              <w:t xml:space="preserve">Ikke kendt </w:t>
            </w:r>
            <w:r w:rsidRPr="00273EBC">
              <w:rPr>
                <w:spacing w:val="-3"/>
                <w:sz w:val="24"/>
                <w:szCs w:val="24"/>
                <w:lang w:val="da-DK"/>
              </w:rPr>
              <w:t>(kan ikke estimeres ud fra forhåndenværende data).</w:t>
            </w:r>
          </w:p>
          <w:p w14:paraId="15D5802F" w14:textId="77777777" w:rsidR="006C2613" w:rsidRPr="00273EBC" w:rsidRDefault="006C2613">
            <w:pPr>
              <w:rPr>
                <w:sz w:val="24"/>
                <w:szCs w:val="24"/>
                <w:lang w:val="da-DK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33F3A" w14:textId="61D602F3" w:rsidR="006C2613" w:rsidRPr="00273EBC" w:rsidRDefault="006C2613">
            <w:pPr>
              <w:rPr>
                <w:sz w:val="24"/>
                <w:szCs w:val="24"/>
                <w:lang w:val="da-DK"/>
              </w:rPr>
            </w:pPr>
          </w:p>
          <w:p w14:paraId="23BD57BC" w14:textId="77777777" w:rsidR="006C2613" w:rsidRPr="00273EBC" w:rsidRDefault="006C2613">
            <w:pPr>
              <w:rPr>
                <w:sz w:val="24"/>
                <w:szCs w:val="24"/>
                <w:lang w:val="da-DK"/>
              </w:rPr>
            </w:pPr>
            <w:proofErr w:type="spellStart"/>
            <w:r w:rsidRPr="00273EBC">
              <w:rPr>
                <w:sz w:val="24"/>
                <w:szCs w:val="24"/>
                <w:lang w:val="da-DK"/>
              </w:rPr>
              <w:t>Anafylaktisk</w:t>
            </w:r>
            <w:proofErr w:type="spellEnd"/>
            <w:r w:rsidRPr="00273EBC">
              <w:rPr>
                <w:sz w:val="24"/>
                <w:szCs w:val="24"/>
                <w:lang w:val="da-DK"/>
              </w:rPr>
              <w:t xml:space="preserve"> reaktion</w:t>
            </w:r>
          </w:p>
        </w:tc>
      </w:tr>
    </w:tbl>
    <w:p w14:paraId="4C216E2E" w14:textId="77777777" w:rsidR="006C2613" w:rsidRPr="00021BE3" w:rsidRDefault="006C2613" w:rsidP="00793CB2">
      <w:pPr>
        <w:ind w:left="851"/>
        <w:rPr>
          <w:noProof/>
          <w:sz w:val="24"/>
          <w:szCs w:val="24"/>
        </w:rPr>
      </w:pPr>
    </w:p>
    <w:p w14:paraId="398CAD22" w14:textId="77777777" w:rsidR="006C2613" w:rsidRPr="00021BE3" w:rsidRDefault="006C2613" w:rsidP="00793CB2">
      <w:pPr>
        <w:ind w:left="851"/>
        <w:rPr>
          <w:sz w:val="24"/>
          <w:szCs w:val="24"/>
          <w:u w:val="single"/>
        </w:rPr>
      </w:pPr>
      <w:r w:rsidRPr="00021BE3">
        <w:rPr>
          <w:sz w:val="24"/>
          <w:szCs w:val="24"/>
          <w:u w:val="single"/>
        </w:rPr>
        <w:t>Indberetning af formodede bivirkninger</w:t>
      </w:r>
    </w:p>
    <w:p w14:paraId="64DAC3B2" w14:textId="73BED349" w:rsidR="006C2613" w:rsidRPr="00021BE3" w:rsidRDefault="006C2613" w:rsidP="00793CB2">
      <w:pPr>
        <w:ind w:left="851"/>
        <w:rPr>
          <w:noProof/>
          <w:sz w:val="24"/>
          <w:szCs w:val="24"/>
        </w:rPr>
      </w:pPr>
      <w:r w:rsidRPr="00021BE3">
        <w:rPr>
          <w:noProof/>
          <w:sz w:val="24"/>
          <w:szCs w:val="24"/>
        </w:rPr>
        <w:t>Når lægemidlet er godkendt, er indberetning af formodede bivirkninger vigtig.</w:t>
      </w:r>
      <w:r w:rsidRPr="00021BE3">
        <w:rPr>
          <w:sz w:val="24"/>
          <w:szCs w:val="24"/>
        </w:rPr>
        <w:t xml:space="preserve"> </w:t>
      </w:r>
      <w:r w:rsidRPr="00021BE3">
        <w:rPr>
          <w:noProof/>
          <w:sz w:val="24"/>
          <w:szCs w:val="24"/>
        </w:rPr>
        <w:t>Det muliggør løbende overvågning af benefit/risk-forholdet for lægemidlet.</w:t>
      </w:r>
      <w:r w:rsidRPr="00021BE3">
        <w:rPr>
          <w:sz w:val="24"/>
          <w:szCs w:val="24"/>
        </w:rPr>
        <w:t xml:space="preserve"> </w:t>
      </w:r>
      <w:r w:rsidRPr="00021BE3">
        <w:rPr>
          <w:noProof/>
          <w:sz w:val="24"/>
          <w:szCs w:val="24"/>
        </w:rPr>
        <w:t>Sundhedspersoner anmodes om at indberette alle formodede bivirkninger via:</w:t>
      </w:r>
    </w:p>
    <w:p w14:paraId="37927568" w14:textId="77777777" w:rsidR="006C2613" w:rsidRPr="00021BE3" w:rsidRDefault="006C2613" w:rsidP="00793CB2">
      <w:pPr>
        <w:ind w:left="851"/>
        <w:rPr>
          <w:noProof/>
          <w:sz w:val="24"/>
          <w:szCs w:val="24"/>
        </w:rPr>
      </w:pPr>
    </w:p>
    <w:p w14:paraId="08AEE649" w14:textId="77777777" w:rsidR="006C2613" w:rsidRPr="00021BE3" w:rsidRDefault="006C2613" w:rsidP="00793CB2">
      <w:pPr>
        <w:ind w:left="851"/>
        <w:rPr>
          <w:sz w:val="24"/>
          <w:szCs w:val="24"/>
        </w:rPr>
      </w:pPr>
      <w:r w:rsidRPr="00021BE3">
        <w:rPr>
          <w:sz w:val="24"/>
          <w:szCs w:val="24"/>
        </w:rPr>
        <w:t>Lægemiddelstyrelsen</w:t>
      </w:r>
      <w:r w:rsidRPr="00021BE3">
        <w:rPr>
          <w:sz w:val="24"/>
          <w:szCs w:val="24"/>
        </w:rPr>
        <w:br/>
        <w:t>Axel Heides Gade 1</w:t>
      </w:r>
      <w:r w:rsidRPr="00021BE3">
        <w:rPr>
          <w:sz w:val="24"/>
          <w:szCs w:val="24"/>
        </w:rPr>
        <w:br/>
        <w:t>DK-2300 København S</w:t>
      </w:r>
      <w:r w:rsidRPr="00021BE3">
        <w:rPr>
          <w:sz w:val="24"/>
          <w:szCs w:val="24"/>
        </w:rPr>
        <w:br/>
        <w:t xml:space="preserve">Websted: </w:t>
      </w:r>
      <w:hyperlink r:id="rId8" w:history="1">
        <w:r w:rsidRPr="00021BE3">
          <w:rPr>
            <w:rStyle w:val="Hyperlink"/>
            <w:sz w:val="24"/>
            <w:szCs w:val="24"/>
          </w:rPr>
          <w:t>www.meldenbivirkning.dk</w:t>
        </w:r>
      </w:hyperlink>
      <w:r w:rsidRPr="00021BE3">
        <w:rPr>
          <w:sz w:val="24"/>
          <w:szCs w:val="24"/>
        </w:rPr>
        <w:t xml:space="preserve"> </w:t>
      </w:r>
    </w:p>
    <w:p w14:paraId="485C6E54" w14:textId="77777777" w:rsidR="009260DE" w:rsidRPr="00021BE3" w:rsidRDefault="009260DE" w:rsidP="00793CB2">
      <w:pPr>
        <w:ind w:left="851"/>
        <w:rPr>
          <w:sz w:val="24"/>
          <w:szCs w:val="24"/>
        </w:rPr>
      </w:pPr>
    </w:p>
    <w:p w14:paraId="1D015F8A" w14:textId="77777777" w:rsidR="009260DE" w:rsidRPr="00021BE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21BE3">
        <w:rPr>
          <w:b/>
          <w:sz w:val="24"/>
          <w:szCs w:val="24"/>
        </w:rPr>
        <w:t>4.9</w:t>
      </w:r>
      <w:r w:rsidRPr="00021BE3">
        <w:rPr>
          <w:b/>
          <w:sz w:val="24"/>
          <w:szCs w:val="24"/>
        </w:rPr>
        <w:tab/>
        <w:t>Overdosering</w:t>
      </w:r>
    </w:p>
    <w:p w14:paraId="7CD27B64" w14:textId="77777777" w:rsidR="006C2613" w:rsidRPr="00021BE3" w:rsidRDefault="006C2613" w:rsidP="00793CB2">
      <w:pPr>
        <w:ind w:left="851"/>
        <w:rPr>
          <w:sz w:val="24"/>
          <w:szCs w:val="24"/>
        </w:rPr>
      </w:pPr>
      <w:proofErr w:type="spellStart"/>
      <w:r w:rsidRPr="00021BE3">
        <w:rPr>
          <w:i/>
          <w:iCs/>
          <w:sz w:val="24"/>
          <w:szCs w:val="24"/>
        </w:rPr>
        <w:t>Folsyre</w:t>
      </w:r>
      <w:proofErr w:type="spellEnd"/>
      <w:r w:rsidRPr="00021BE3">
        <w:rPr>
          <w:sz w:val="24"/>
          <w:szCs w:val="24"/>
        </w:rPr>
        <w:t xml:space="preserve"> har lav toksicitet. Der forventes ingen symptomer selv efter høje doser.</w:t>
      </w:r>
    </w:p>
    <w:p w14:paraId="31D4A96F" w14:textId="77777777" w:rsidR="006C2613" w:rsidRPr="00021BE3" w:rsidRDefault="006C2613" w:rsidP="00793CB2">
      <w:pPr>
        <w:ind w:left="851"/>
        <w:rPr>
          <w:sz w:val="24"/>
          <w:szCs w:val="24"/>
        </w:rPr>
      </w:pPr>
    </w:p>
    <w:p w14:paraId="4674D5C6" w14:textId="77777777" w:rsidR="006C2613" w:rsidRPr="00021BE3" w:rsidRDefault="006C2613" w:rsidP="00793CB2">
      <w:pPr>
        <w:ind w:left="851"/>
        <w:rPr>
          <w:sz w:val="24"/>
          <w:szCs w:val="24"/>
        </w:rPr>
      </w:pPr>
      <w:r w:rsidRPr="00021BE3">
        <w:rPr>
          <w:sz w:val="24"/>
          <w:szCs w:val="24"/>
        </w:rPr>
        <w:t xml:space="preserve">Ved kronisk højdosisbehandling med </w:t>
      </w:r>
      <w:proofErr w:type="spellStart"/>
      <w:r w:rsidRPr="00021BE3">
        <w:rPr>
          <w:i/>
          <w:sz w:val="24"/>
          <w:szCs w:val="24"/>
        </w:rPr>
        <w:t>pyridoxin</w:t>
      </w:r>
      <w:proofErr w:type="spellEnd"/>
      <w:r w:rsidRPr="00021BE3">
        <w:rPr>
          <w:sz w:val="24"/>
          <w:szCs w:val="24"/>
        </w:rPr>
        <w:t xml:space="preserve"> har nogle enkeltpersoner udviklet perifere </w:t>
      </w:r>
      <w:proofErr w:type="spellStart"/>
      <w:r w:rsidRPr="00021BE3">
        <w:rPr>
          <w:sz w:val="24"/>
          <w:szCs w:val="24"/>
        </w:rPr>
        <w:t>neuropatier</w:t>
      </w:r>
      <w:proofErr w:type="spellEnd"/>
      <w:r w:rsidRPr="00021BE3">
        <w:rPr>
          <w:sz w:val="24"/>
          <w:szCs w:val="24"/>
        </w:rPr>
        <w:t>. Vitamin B</w:t>
      </w:r>
      <w:r w:rsidRPr="00021BE3">
        <w:rPr>
          <w:sz w:val="24"/>
          <w:szCs w:val="24"/>
          <w:vertAlign w:val="subscript"/>
        </w:rPr>
        <w:t>6</w:t>
      </w:r>
      <w:r w:rsidRPr="00021BE3">
        <w:rPr>
          <w:sz w:val="24"/>
          <w:szCs w:val="24"/>
        </w:rPr>
        <w:t xml:space="preserve">-dosen i </w:t>
      </w:r>
      <w:proofErr w:type="spellStart"/>
      <w:r w:rsidRPr="00021BE3">
        <w:rPr>
          <w:sz w:val="24"/>
          <w:szCs w:val="24"/>
        </w:rPr>
        <w:t>Bevitrio</w:t>
      </w:r>
      <w:proofErr w:type="spellEnd"/>
      <w:r w:rsidRPr="00021BE3">
        <w:rPr>
          <w:sz w:val="24"/>
          <w:szCs w:val="24"/>
        </w:rPr>
        <w:t xml:space="preserve"> udgør ingen overdoseringsrisiko. </w:t>
      </w:r>
    </w:p>
    <w:p w14:paraId="0B39ED97" w14:textId="77777777" w:rsidR="006C2613" w:rsidRPr="00021BE3" w:rsidRDefault="006C2613" w:rsidP="00793CB2">
      <w:pPr>
        <w:ind w:left="851"/>
        <w:rPr>
          <w:sz w:val="24"/>
          <w:szCs w:val="24"/>
        </w:rPr>
      </w:pPr>
    </w:p>
    <w:p w14:paraId="485C7978" w14:textId="77777777" w:rsidR="006C2613" w:rsidRPr="00021BE3" w:rsidRDefault="006C2613" w:rsidP="00793CB2">
      <w:pPr>
        <w:ind w:left="851"/>
        <w:rPr>
          <w:sz w:val="24"/>
          <w:szCs w:val="24"/>
        </w:rPr>
      </w:pPr>
      <w:proofErr w:type="spellStart"/>
      <w:r w:rsidRPr="00021BE3">
        <w:rPr>
          <w:i/>
          <w:iCs/>
          <w:sz w:val="24"/>
          <w:szCs w:val="24"/>
        </w:rPr>
        <w:t>Cyanocobalamin</w:t>
      </w:r>
      <w:proofErr w:type="spellEnd"/>
      <w:r w:rsidRPr="00021BE3">
        <w:rPr>
          <w:sz w:val="24"/>
          <w:szCs w:val="24"/>
        </w:rPr>
        <w:t xml:space="preserve"> har lav toksicitet. Selv ikke ved høje doser forventes nogen symptomer.</w:t>
      </w:r>
    </w:p>
    <w:p w14:paraId="165C7547" w14:textId="77777777" w:rsidR="009260DE" w:rsidRPr="00021BE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40BD0EC" w14:textId="77777777" w:rsidR="009260DE" w:rsidRPr="00021BE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21BE3">
        <w:rPr>
          <w:b/>
          <w:sz w:val="24"/>
          <w:szCs w:val="24"/>
        </w:rPr>
        <w:t>4.10</w:t>
      </w:r>
      <w:r w:rsidRPr="00021BE3">
        <w:rPr>
          <w:b/>
          <w:sz w:val="24"/>
          <w:szCs w:val="24"/>
        </w:rPr>
        <w:tab/>
        <w:t>Udlevering</w:t>
      </w:r>
    </w:p>
    <w:p w14:paraId="045AED6B" w14:textId="671827E6" w:rsidR="009260DE" w:rsidRPr="00021BE3" w:rsidRDefault="006C2613" w:rsidP="009260DE">
      <w:pPr>
        <w:tabs>
          <w:tab w:val="left" w:pos="851"/>
        </w:tabs>
        <w:ind w:left="851"/>
        <w:rPr>
          <w:sz w:val="24"/>
          <w:szCs w:val="24"/>
        </w:rPr>
      </w:pPr>
      <w:r w:rsidRPr="00021BE3">
        <w:rPr>
          <w:sz w:val="24"/>
          <w:szCs w:val="24"/>
        </w:rPr>
        <w:t>B</w:t>
      </w:r>
    </w:p>
    <w:p w14:paraId="2F52C2C4" w14:textId="77777777" w:rsidR="009260DE" w:rsidRPr="00021BE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506A914" w14:textId="77777777" w:rsidR="009260DE" w:rsidRPr="00021BE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B912FDE" w14:textId="77777777" w:rsidR="009260DE" w:rsidRPr="00021BE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21BE3">
        <w:rPr>
          <w:b/>
          <w:sz w:val="24"/>
          <w:szCs w:val="24"/>
        </w:rPr>
        <w:t>5.</w:t>
      </w:r>
      <w:r w:rsidRPr="00021BE3">
        <w:rPr>
          <w:b/>
          <w:sz w:val="24"/>
          <w:szCs w:val="24"/>
        </w:rPr>
        <w:tab/>
        <w:t>FARMAKOLOGISKE EGENSKABER</w:t>
      </w:r>
    </w:p>
    <w:p w14:paraId="4BE63C0D" w14:textId="77777777" w:rsidR="009260DE" w:rsidRPr="00021BE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A9AA7D9" w14:textId="77777777" w:rsidR="009260DE" w:rsidRPr="00021BE3" w:rsidRDefault="009260DE" w:rsidP="009260DE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021BE3">
        <w:rPr>
          <w:b/>
          <w:sz w:val="24"/>
          <w:szCs w:val="24"/>
        </w:rPr>
        <w:t>5.1</w:t>
      </w:r>
      <w:r w:rsidRPr="00021BE3">
        <w:rPr>
          <w:b/>
          <w:sz w:val="24"/>
          <w:szCs w:val="24"/>
        </w:rPr>
        <w:tab/>
      </w:r>
      <w:proofErr w:type="spellStart"/>
      <w:r w:rsidRPr="00021BE3">
        <w:rPr>
          <w:b/>
          <w:sz w:val="24"/>
          <w:szCs w:val="24"/>
        </w:rPr>
        <w:t>Farmakodynamiske</w:t>
      </w:r>
      <w:proofErr w:type="spellEnd"/>
      <w:r w:rsidRPr="00021BE3">
        <w:rPr>
          <w:b/>
          <w:sz w:val="24"/>
          <w:szCs w:val="24"/>
        </w:rPr>
        <w:t xml:space="preserve"> egenskaber</w:t>
      </w:r>
    </w:p>
    <w:p w14:paraId="7C795C71" w14:textId="77777777" w:rsidR="006C2613" w:rsidRPr="00021BE3" w:rsidRDefault="006C2613" w:rsidP="00793CB2">
      <w:pPr>
        <w:suppressAutoHyphens/>
        <w:ind w:left="851"/>
        <w:rPr>
          <w:sz w:val="24"/>
          <w:szCs w:val="24"/>
        </w:rPr>
      </w:pPr>
      <w:proofErr w:type="spellStart"/>
      <w:r w:rsidRPr="00021BE3">
        <w:rPr>
          <w:sz w:val="24"/>
          <w:szCs w:val="24"/>
        </w:rPr>
        <w:t>Farmakoterapeutisk</w:t>
      </w:r>
      <w:proofErr w:type="spellEnd"/>
      <w:r w:rsidRPr="00021BE3">
        <w:rPr>
          <w:sz w:val="24"/>
          <w:szCs w:val="24"/>
        </w:rPr>
        <w:t xml:space="preserve"> klassifikation: Vitamin B-</w:t>
      </w:r>
      <w:proofErr w:type="spellStart"/>
      <w:r w:rsidRPr="00021BE3">
        <w:rPr>
          <w:sz w:val="24"/>
          <w:szCs w:val="24"/>
        </w:rPr>
        <w:t>complex</w:t>
      </w:r>
      <w:proofErr w:type="spellEnd"/>
      <w:r w:rsidRPr="00021BE3">
        <w:rPr>
          <w:sz w:val="24"/>
          <w:szCs w:val="24"/>
        </w:rPr>
        <w:t>, ATC-kode: A11EA</w:t>
      </w:r>
    </w:p>
    <w:p w14:paraId="56DC54CF" w14:textId="77777777" w:rsidR="006C2613" w:rsidRPr="00021BE3" w:rsidRDefault="006C2613" w:rsidP="00793CB2">
      <w:pPr>
        <w:suppressAutoHyphens/>
        <w:ind w:left="851"/>
        <w:rPr>
          <w:sz w:val="24"/>
          <w:szCs w:val="24"/>
        </w:rPr>
      </w:pPr>
    </w:p>
    <w:p w14:paraId="5DAE697B" w14:textId="77777777" w:rsidR="006C2613" w:rsidRPr="00021BE3" w:rsidRDefault="006C2613" w:rsidP="00793CB2">
      <w:pPr>
        <w:ind w:left="851"/>
        <w:rPr>
          <w:sz w:val="24"/>
          <w:szCs w:val="24"/>
        </w:rPr>
      </w:pPr>
      <w:r w:rsidRPr="00021BE3">
        <w:rPr>
          <w:sz w:val="24"/>
          <w:szCs w:val="24"/>
        </w:rPr>
        <w:t xml:space="preserve">Mængderne af </w:t>
      </w:r>
      <w:proofErr w:type="spellStart"/>
      <w:r w:rsidRPr="00021BE3">
        <w:rPr>
          <w:sz w:val="24"/>
          <w:szCs w:val="24"/>
        </w:rPr>
        <w:t>folsyre</w:t>
      </w:r>
      <w:proofErr w:type="spellEnd"/>
      <w:r w:rsidRPr="00021BE3">
        <w:rPr>
          <w:sz w:val="24"/>
          <w:szCs w:val="24"/>
        </w:rPr>
        <w:t>, vitamin B</w:t>
      </w:r>
      <w:r w:rsidRPr="00021BE3">
        <w:rPr>
          <w:sz w:val="24"/>
          <w:szCs w:val="24"/>
          <w:vertAlign w:val="subscript"/>
        </w:rPr>
        <w:t>6</w:t>
      </w:r>
      <w:r w:rsidRPr="00021BE3">
        <w:rPr>
          <w:sz w:val="24"/>
          <w:szCs w:val="24"/>
        </w:rPr>
        <w:t xml:space="preserve"> og vitamin B</w:t>
      </w:r>
      <w:r w:rsidRPr="00021BE3">
        <w:rPr>
          <w:sz w:val="24"/>
          <w:szCs w:val="24"/>
          <w:vertAlign w:val="subscript"/>
        </w:rPr>
        <w:t>12</w:t>
      </w:r>
      <w:r w:rsidRPr="00021BE3">
        <w:rPr>
          <w:sz w:val="24"/>
          <w:szCs w:val="24"/>
        </w:rPr>
        <w:t xml:space="preserve"> i </w:t>
      </w:r>
      <w:proofErr w:type="spellStart"/>
      <w:r w:rsidRPr="00021BE3">
        <w:rPr>
          <w:sz w:val="24"/>
          <w:szCs w:val="24"/>
        </w:rPr>
        <w:t>Bevitrio</w:t>
      </w:r>
      <w:proofErr w:type="spellEnd"/>
      <w:r w:rsidRPr="00021BE3">
        <w:rPr>
          <w:sz w:val="24"/>
          <w:szCs w:val="24"/>
        </w:rPr>
        <w:t xml:space="preserve"> er valgt for at yde beskyttelse mod symptomgivende mangeltilstande, især blandt ældre mennesker, som ofte lider af </w:t>
      </w:r>
      <w:proofErr w:type="spellStart"/>
      <w:r w:rsidRPr="00021BE3">
        <w:rPr>
          <w:sz w:val="24"/>
          <w:szCs w:val="24"/>
        </w:rPr>
        <w:t>malabsorption</w:t>
      </w:r>
      <w:proofErr w:type="spellEnd"/>
      <w:r w:rsidRPr="00021BE3">
        <w:rPr>
          <w:sz w:val="24"/>
          <w:szCs w:val="24"/>
        </w:rPr>
        <w:t xml:space="preserve"> af </w:t>
      </w:r>
      <w:proofErr w:type="spellStart"/>
      <w:r w:rsidRPr="00021BE3">
        <w:rPr>
          <w:sz w:val="24"/>
          <w:szCs w:val="24"/>
        </w:rPr>
        <w:t>folsyre</w:t>
      </w:r>
      <w:proofErr w:type="spellEnd"/>
      <w:r w:rsidRPr="00021BE3">
        <w:rPr>
          <w:sz w:val="24"/>
          <w:szCs w:val="24"/>
        </w:rPr>
        <w:t xml:space="preserve"> og vitamin B</w:t>
      </w:r>
      <w:r w:rsidRPr="00021BE3">
        <w:rPr>
          <w:sz w:val="24"/>
          <w:szCs w:val="24"/>
          <w:vertAlign w:val="subscript"/>
        </w:rPr>
        <w:t>12</w:t>
      </w:r>
      <w:r w:rsidRPr="00021BE3">
        <w:rPr>
          <w:sz w:val="24"/>
          <w:szCs w:val="24"/>
        </w:rPr>
        <w:t>.</w:t>
      </w:r>
    </w:p>
    <w:p w14:paraId="07117D30" w14:textId="7ABC9F5C" w:rsidR="006C2613" w:rsidRPr="00021BE3" w:rsidRDefault="006C2613" w:rsidP="00793CB2">
      <w:pPr>
        <w:ind w:left="851"/>
        <w:rPr>
          <w:sz w:val="24"/>
          <w:szCs w:val="24"/>
        </w:rPr>
      </w:pPr>
      <w:proofErr w:type="spellStart"/>
      <w:r w:rsidRPr="00021BE3">
        <w:rPr>
          <w:sz w:val="24"/>
          <w:szCs w:val="24"/>
        </w:rPr>
        <w:lastRenderedPageBreak/>
        <w:t>Folsyre</w:t>
      </w:r>
      <w:proofErr w:type="spellEnd"/>
      <w:r w:rsidRPr="00021BE3">
        <w:rPr>
          <w:sz w:val="24"/>
          <w:szCs w:val="24"/>
        </w:rPr>
        <w:t xml:space="preserve"> og vitamin B</w:t>
      </w:r>
      <w:r w:rsidRPr="00021BE3">
        <w:rPr>
          <w:sz w:val="24"/>
          <w:szCs w:val="24"/>
          <w:vertAlign w:val="subscript"/>
        </w:rPr>
        <w:t>12</w:t>
      </w:r>
      <w:r w:rsidRPr="00021BE3">
        <w:rPr>
          <w:sz w:val="24"/>
          <w:szCs w:val="24"/>
        </w:rPr>
        <w:t xml:space="preserve"> er nødvendige for visse </w:t>
      </w:r>
      <w:proofErr w:type="spellStart"/>
      <w:r w:rsidRPr="00021BE3">
        <w:rPr>
          <w:sz w:val="24"/>
          <w:szCs w:val="24"/>
        </w:rPr>
        <w:t>transmetyleringsprocesser</w:t>
      </w:r>
      <w:proofErr w:type="spellEnd"/>
      <w:r w:rsidRPr="00021BE3">
        <w:rPr>
          <w:sz w:val="24"/>
          <w:szCs w:val="24"/>
        </w:rPr>
        <w:t xml:space="preserve">, f.eks. ved syntesen af DNA og RNA. Mangel på </w:t>
      </w:r>
      <w:proofErr w:type="spellStart"/>
      <w:r w:rsidRPr="00021BE3">
        <w:rPr>
          <w:sz w:val="24"/>
          <w:szCs w:val="24"/>
        </w:rPr>
        <w:t>folsyre</w:t>
      </w:r>
      <w:proofErr w:type="spellEnd"/>
      <w:r w:rsidRPr="00021BE3">
        <w:rPr>
          <w:sz w:val="24"/>
          <w:szCs w:val="24"/>
        </w:rPr>
        <w:t xml:space="preserve"> er årsag til </w:t>
      </w:r>
      <w:proofErr w:type="spellStart"/>
      <w:r w:rsidRPr="00021BE3">
        <w:rPr>
          <w:sz w:val="24"/>
          <w:szCs w:val="24"/>
        </w:rPr>
        <w:t>megaloblastisk</w:t>
      </w:r>
      <w:proofErr w:type="spellEnd"/>
      <w:r w:rsidRPr="00021BE3">
        <w:rPr>
          <w:sz w:val="24"/>
          <w:szCs w:val="24"/>
        </w:rPr>
        <w:t xml:space="preserve"> anæmi af samme type som ved mangel på vitamin B</w:t>
      </w:r>
      <w:r w:rsidRPr="00021BE3">
        <w:rPr>
          <w:sz w:val="24"/>
          <w:szCs w:val="24"/>
          <w:vertAlign w:val="subscript"/>
        </w:rPr>
        <w:t>12</w:t>
      </w:r>
      <w:r w:rsidRPr="00021BE3">
        <w:rPr>
          <w:sz w:val="24"/>
          <w:szCs w:val="24"/>
        </w:rPr>
        <w:t xml:space="preserve">. </w:t>
      </w:r>
    </w:p>
    <w:p w14:paraId="44FC4453" w14:textId="77777777" w:rsidR="006C2613" w:rsidRPr="00021BE3" w:rsidRDefault="006C2613" w:rsidP="00793CB2">
      <w:pPr>
        <w:ind w:left="851"/>
        <w:rPr>
          <w:sz w:val="24"/>
          <w:szCs w:val="24"/>
        </w:rPr>
      </w:pPr>
      <w:r w:rsidRPr="00021BE3">
        <w:rPr>
          <w:sz w:val="24"/>
          <w:szCs w:val="24"/>
        </w:rPr>
        <w:t xml:space="preserve">Det har vist sig, at behandling med en kombination af </w:t>
      </w:r>
      <w:proofErr w:type="spellStart"/>
      <w:r w:rsidRPr="00021BE3">
        <w:rPr>
          <w:sz w:val="24"/>
          <w:szCs w:val="24"/>
        </w:rPr>
        <w:t>folsyre</w:t>
      </w:r>
      <w:proofErr w:type="spellEnd"/>
      <w:r w:rsidRPr="00021BE3">
        <w:rPr>
          <w:sz w:val="24"/>
          <w:szCs w:val="24"/>
        </w:rPr>
        <w:t>/vitamin B</w:t>
      </w:r>
      <w:r w:rsidRPr="00021BE3">
        <w:rPr>
          <w:sz w:val="24"/>
          <w:szCs w:val="24"/>
          <w:vertAlign w:val="subscript"/>
        </w:rPr>
        <w:t>6</w:t>
      </w:r>
      <w:r w:rsidRPr="00021BE3">
        <w:rPr>
          <w:sz w:val="24"/>
          <w:szCs w:val="24"/>
        </w:rPr>
        <w:t>/vitamin B</w:t>
      </w:r>
      <w:r w:rsidRPr="00021BE3">
        <w:rPr>
          <w:sz w:val="24"/>
          <w:szCs w:val="24"/>
          <w:vertAlign w:val="subscript"/>
        </w:rPr>
        <w:t>12</w:t>
      </w:r>
      <w:r w:rsidRPr="00021BE3">
        <w:rPr>
          <w:sz w:val="24"/>
          <w:szCs w:val="24"/>
        </w:rPr>
        <w:t xml:space="preserve"> reducerer forhøjede plasmaniveauer af </w:t>
      </w:r>
      <w:proofErr w:type="spellStart"/>
      <w:r w:rsidRPr="00021BE3">
        <w:rPr>
          <w:sz w:val="24"/>
          <w:szCs w:val="24"/>
        </w:rPr>
        <w:t>homocystein</w:t>
      </w:r>
      <w:proofErr w:type="spellEnd"/>
      <w:r w:rsidRPr="00021BE3">
        <w:rPr>
          <w:sz w:val="24"/>
          <w:szCs w:val="24"/>
        </w:rPr>
        <w:t xml:space="preserve">. </w:t>
      </w:r>
      <w:proofErr w:type="spellStart"/>
      <w:r w:rsidRPr="00021BE3">
        <w:rPr>
          <w:sz w:val="24"/>
          <w:szCs w:val="24"/>
        </w:rPr>
        <w:t>Homocystein</w:t>
      </w:r>
      <w:proofErr w:type="spellEnd"/>
      <w:r w:rsidRPr="00021BE3">
        <w:rPr>
          <w:sz w:val="24"/>
          <w:szCs w:val="24"/>
        </w:rPr>
        <w:t xml:space="preserve"> er en metabolit, som dannes ved metabolismen af den essentielle aminosyre </w:t>
      </w:r>
      <w:proofErr w:type="spellStart"/>
      <w:r w:rsidRPr="00021BE3">
        <w:rPr>
          <w:sz w:val="24"/>
          <w:szCs w:val="24"/>
        </w:rPr>
        <w:t>metionin</w:t>
      </w:r>
      <w:proofErr w:type="spellEnd"/>
      <w:r w:rsidRPr="00021BE3">
        <w:rPr>
          <w:sz w:val="24"/>
          <w:szCs w:val="24"/>
        </w:rPr>
        <w:t xml:space="preserve">. Omsætningen af </w:t>
      </w:r>
      <w:proofErr w:type="spellStart"/>
      <w:r w:rsidRPr="00021BE3">
        <w:rPr>
          <w:sz w:val="24"/>
          <w:szCs w:val="24"/>
        </w:rPr>
        <w:t>homocystein</w:t>
      </w:r>
      <w:proofErr w:type="spellEnd"/>
      <w:r w:rsidRPr="00021BE3">
        <w:rPr>
          <w:sz w:val="24"/>
          <w:szCs w:val="24"/>
        </w:rPr>
        <w:t xml:space="preserve"> påvirkes af </w:t>
      </w:r>
      <w:proofErr w:type="spellStart"/>
      <w:r w:rsidRPr="00021BE3">
        <w:rPr>
          <w:sz w:val="24"/>
          <w:szCs w:val="24"/>
        </w:rPr>
        <w:t>folsyre</w:t>
      </w:r>
      <w:proofErr w:type="spellEnd"/>
      <w:r w:rsidRPr="00021BE3">
        <w:rPr>
          <w:sz w:val="24"/>
          <w:szCs w:val="24"/>
        </w:rPr>
        <w:t>, vitamin B</w:t>
      </w:r>
      <w:r w:rsidRPr="00021BE3">
        <w:rPr>
          <w:sz w:val="24"/>
          <w:szCs w:val="24"/>
          <w:vertAlign w:val="subscript"/>
        </w:rPr>
        <w:t>6</w:t>
      </w:r>
      <w:r w:rsidRPr="00021BE3">
        <w:rPr>
          <w:sz w:val="24"/>
          <w:szCs w:val="24"/>
        </w:rPr>
        <w:t xml:space="preserve"> og vitamin B</w:t>
      </w:r>
      <w:r w:rsidRPr="00021BE3">
        <w:rPr>
          <w:sz w:val="24"/>
          <w:szCs w:val="24"/>
          <w:vertAlign w:val="subscript"/>
        </w:rPr>
        <w:t>12</w:t>
      </w:r>
      <w:r w:rsidRPr="00021BE3">
        <w:rPr>
          <w:sz w:val="24"/>
          <w:szCs w:val="24"/>
        </w:rPr>
        <w:t xml:space="preserve">, og indholdet af </w:t>
      </w:r>
      <w:proofErr w:type="spellStart"/>
      <w:r w:rsidRPr="00021BE3">
        <w:rPr>
          <w:sz w:val="24"/>
          <w:szCs w:val="24"/>
        </w:rPr>
        <w:t>homocystein</w:t>
      </w:r>
      <w:proofErr w:type="spellEnd"/>
      <w:r w:rsidRPr="00021BE3">
        <w:rPr>
          <w:sz w:val="24"/>
          <w:szCs w:val="24"/>
        </w:rPr>
        <w:t xml:space="preserve"> i blodet stiger markant ved mangel på </w:t>
      </w:r>
      <w:proofErr w:type="spellStart"/>
      <w:r w:rsidRPr="00021BE3">
        <w:rPr>
          <w:sz w:val="24"/>
          <w:szCs w:val="24"/>
        </w:rPr>
        <w:t>folsyre</w:t>
      </w:r>
      <w:proofErr w:type="spellEnd"/>
      <w:r w:rsidRPr="00021BE3">
        <w:rPr>
          <w:sz w:val="24"/>
          <w:szCs w:val="24"/>
        </w:rPr>
        <w:t xml:space="preserve"> og vitamin B</w:t>
      </w:r>
      <w:r w:rsidRPr="00021BE3">
        <w:rPr>
          <w:sz w:val="24"/>
          <w:szCs w:val="24"/>
          <w:vertAlign w:val="subscript"/>
        </w:rPr>
        <w:t>12</w:t>
      </w:r>
      <w:r w:rsidRPr="00021BE3">
        <w:rPr>
          <w:sz w:val="24"/>
          <w:szCs w:val="24"/>
        </w:rPr>
        <w:t xml:space="preserve">. </w:t>
      </w:r>
    </w:p>
    <w:p w14:paraId="1CD5EC3C" w14:textId="77777777" w:rsidR="006C2613" w:rsidRPr="00021BE3" w:rsidRDefault="006C2613" w:rsidP="00793CB2">
      <w:pPr>
        <w:ind w:left="851"/>
        <w:rPr>
          <w:sz w:val="24"/>
          <w:szCs w:val="24"/>
        </w:rPr>
      </w:pPr>
      <w:r w:rsidRPr="00021BE3">
        <w:rPr>
          <w:sz w:val="24"/>
          <w:szCs w:val="24"/>
        </w:rPr>
        <w:t xml:space="preserve">Forhøjede niveauer af </w:t>
      </w:r>
      <w:proofErr w:type="spellStart"/>
      <w:r w:rsidRPr="00021BE3">
        <w:rPr>
          <w:sz w:val="24"/>
          <w:szCs w:val="24"/>
        </w:rPr>
        <w:t>homocystein</w:t>
      </w:r>
      <w:proofErr w:type="spellEnd"/>
      <w:r w:rsidRPr="00021BE3">
        <w:rPr>
          <w:sz w:val="24"/>
          <w:szCs w:val="24"/>
        </w:rPr>
        <w:t xml:space="preserve"> er blevet observeret blandt ældre mennesker.</w:t>
      </w:r>
    </w:p>
    <w:p w14:paraId="1F6507A2" w14:textId="77777777" w:rsidR="009260DE" w:rsidRPr="00021BE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1E29FDB" w14:textId="77777777" w:rsidR="009260DE" w:rsidRPr="00021BE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21BE3">
        <w:rPr>
          <w:b/>
          <w:sz w:val="24"/>
          <w:szCs w:val="24"/>
        </w:rPr>
        <w:t>5.2</w:t>
      </w:r>
      <w:r w:rsidRPr="00021BE3">
        <w:rPr>
          <w:b/>
          <w:sz w:val="24"/>
          <w:szCs w:val="24"/>
        </w:rPr>
        <w:tab/>
      </w:r>
      <w:proofErr w:type="spellStart"/>
      <w:r w:rsidRPr="00021BE3">
        <w:rPr>
          <w:b/>
          <w:sz w:val="24"/>
          <w:szCs w:val="24"/>
        </w:rPr>
        <w:t>Farmakokinetiske</w:t>
      </w:r>
      <w:proofErr w:type="spellEnd"/>
      <w:r w:rsidRPr="00021BE3">
        <w:rPr>
          <w:b/>
          <w:sz w:val="24"/>
          <w:szCs w:val="24"/>
        </w:rPr>
        <w:t xml:space="preserve"> egenskaber</w:t>
      </w:r>
    </w:p>
    <w:p w14:paraId="390409B3" w14:textId="77777777" w:rsidR="006C2613" w:rsidRPr="00021BE3" w:rsidRDefault="006C2613" w:rsidP="00793CB2">
      <w:pPr>
        <w:ind w:left="851"/>
        <w:rPr>
          <w:sz w:val="24"/>
          <w:szCs w:val="24"/>
        </w:rPr>
      </w:pPr>
      <w:r w:rsidRPr="00021BE3">
        <w:rPr>
          <w:sz w:val="24"/>
          <w:szCs w:val="24"/>
        </w:rPr>
        <w:t xml:space="preserve">Peroralt tilført </w:t>
      </w:r>
      <w:r w:rsidRPr="00021BE3">
        <w:rPr>
          <w:i/>
          <w:iCs/>
          <w:sz w:val="24"/>
          <w:szCs w:val="24"/>
        </w:rPr>
        <w:t>vitamin B</w:t>
      </w:r>
      <w:r w:rsidRPr="00021BE3">
        <w:rPr>
          <w:i/>
          <w:iCs/>
          <w:sz w:val="24"/>
          <w:szCs w:val="24"/>
          <w:vertAlign w:val="subscript"/>
        </w:rPr>
        <w:t>12</w:t>
      </w:r>
      <w:r w:rsidRPr="00021BE3">
        <w:rPr>
          <w:noProof/>
          <w:sz w:val="24"/>
          <w:szCs w:val="24"/>
        </w:rPr>
        <w:t xml:space="preserve"> </w:t>
      </w:r>
      <w:r w:rsidRPr="00021BE3">
        <w:rPr>
          <w:sz w:val="24"/>
          <w:szCs w:val="24"/>
        </w:rPr>
        <w:t xml:space="preserve">absorberes via aktive og passive mekanismer. Absorption gennem den aktive transportmekanisme inkluderer </w:t>
      </w:r>
      <w:proofErr w:type="spellStart"/>
      <w:r w:rsidRPr="00021BE3">
        <w:rPr>
          <w:sz w:val="24"/>
          <w:szCs w:val="24"/>
        </w:rPr>
        <w:t>intrinsic</w:t>
      </w:r>
      <w:proofErr w:type="spellEnd"/>
      <w:r w:rsidRPr="00021BE3">
        <w:rPr>
          <w:sz w:val="24"/>
          <w:szCs w:val="24"/>
        </w:rPr>
        <w:t xml:space="preserve"> factor, mens vitamin B</w:t>
      </w:r>
      <w:r w:rsidRPr="00021BE3">
        <w:rPr>
          <w:sz w:val="24"/>
          <w:szCs w:val="24"/>
          <w:vertAlign w:val="subscript"/>
        </w:rPr>
        <w:t>12</w:t>
      </w:r>
      <w:r w:rsidRPr="00021BE3">
        <w:rPr>
          <w:sz w:val="24"/>
          <w:szCs w:val="24"/>
        </w:rPr>
        <w:t xml:space="preserve"> absorberes passivt i tyndtarmen i fravær af </w:t>
      </w:r>
      <w:proofErr w:type="spellStart"/>
      <w:r w:rsidRPr="00021BE3">
        <w:rPr>
          <w:sz w:val="24"/>
          <w:szCs w:val="24"/>
        </w:rPr>
        <w:t>intrinsic</w:t>
      </w:r>
      <w:proofErr w:type="spellEnd"/>
      <w:r w:rsidRPr="00021BE3">
        <w:rPr>
          <w:sz w:val="24"/>
          <w:szCs w:val="24"/>
        </w:rPr>
        <w:t xml:space="preserve"> factor. Absorptionsgraden er ca. 1% af den administrerede dosis. En vigtig bestanddel af normal vitamin B</w:t>
      </w:r>
      <w:r w:rsidRPr="00021BE3">
        <w:rPr>
          <w:sz w:val="24"/>
          <w:szCs w:val="24"/>
          <w:vertAlign w:val="subscript"/>
        </w:rPr>
        <w:t>12</w:t>
      </w:r>
      <w:r w:rsidRPr="00021BE3">
        <w:rPr>
          <w:sz w:val="24"/>
          <w:szCs w:val="24"/>
        </w:rPr>
        <w:t xml:space="preserve"> absorption og bevaring af vitamin B</w:t>
      </w:r>
      <w:r w:rsidRPr="00021BE3">
        <w:rPr>
          <w:sz w:val="24"/>
          <w:szCs w:val="24"/>
          <w:vertAlign w:val="subscript"/>
        </w:rPr>
        <w:t>12</w:t>
      </w:r>
      <w:r w:rsidRPr="00021BE3">
        <w:rPr>
          <w:sz w:val="24"/>
          <w:szCs w:val="24"/>
        </w:rPr>
        <w:t xml:space="preserve"> i kroppen er </w:t>
      </w:r>
      <w:proofErr w:type="spellStart"/>
      <w:r w:rsidRPr="00021BE3">
        <w:rPr>
          <w:sz w:val="24"/>
          <w:szCs w:val="24"/>
        </w:rPr>
        <w:t>enterohepatisk</w:t>
      </w:r>
      <w:proofErr w:type="spellEnd"/>
      <w:r w:rsidRPr="00021BE3">
        <w:rPr>
          <w:sz w:val="24"/>
          <w:szCs w:val="24"/>
        </w:rPr>
        <w:t xml:space="preserve"> cirkulation. Vitamin B</w:t>
      </w:r>
      <w:r w:rsidRPr="00021BE3">
        <w:rPr>
          <w:sz w:val="24"/>
          <w:szCs w:val="24"/>
          <w:vertAlign w:val="subscript"/>
        </w:rPr>
        <w:t>12</w:t>
      </w:r>
      <w:r w:rsidRPr="00021BE3">
        <w:rPr>
          <w:sz w:val="24"/>
          <w:szCs w:val="24"/>
        </w:rPr>
        <w:t xml:space="preserve"> er bundet til </w:t>
      </w:r>
      <w:proofErr w:type="spellStart"/>
      <w:r w:rsidRPr="00021BE3">
        <w:rPr>
          <w:sz w:val="24"/>
          <w:szCs w:val="24"/>
        </w:rPr>
        <w:t>transcobalaminer</w:t>
      </w:r>
      <w:proofErr w:type="spellEnd"/>
      <w:r w:rsidRPr="00021BE3">
        <w:rPr>
          <w:sz w:val="24"/>
          <w:szCs w:val="24"/>
        </w:rPr>
        <w:t xml:space="preserve"> i serum. </w:t>
      </w:r>
      <w:proofErr w:type="spellStart"/>
      <w:r w:rsidRPr="00021BE3">
        <w:rPr>
          <w:sz w:val="24"/>
          <w:szCs w:val="24"/>
        </w:rPr>
        <w:t>Transcobalaminerne</w:t>
      </w:r>
      <w:proofErr w:type="spellEnd"/>
      <w:r w:rsidRPr="00021BE3">
        <w:rPr>
          <w:sz w:val="24"/>
          <w:szCs w:val="24"/>
        </w:rPr>
        <w:t xml:space="preserve"> i serum anses for at være mættede ved 750-1500 pmol/l vitamin B</w:t>
      </w:r>
      <w:r w:rsidRPr="00021BE3">
        <w:rPr>
          <w:sz w:val="24"/>
          <w:szCs w:val="24"/>
          <w:vertAlign w:val="subscript"/>
        </w:rPr>
        <w:t>12</w:t>
      </w:r>
      <w:r w:rsidRPr="00021BE3">
        <w:rPr>
          <w:sz w:val="24"/>
          <w:szCs w:val="24"/>
        </w:rPr>
        <w:t xml:space="preserve">. Ikke proteinbundet </w:t>
      </w:r>
      <w:proofErr w:type="spellStart"/>
      <w:r w:rsidRPr="00021BE3">
        <w:rPr>
          <w:sz w:val="24"/>
          <w:szCs w:val="24"/>
        </w:rPr>
        <w:t>cyanocobalamin</w:t>
      </w:r>
      <w:proofErr w:type="spellEnd"/>
      <w:r w:rsidRPr="00021BE3">
        <w:rPr>
          <w:sz w:val="24"/>
          <w:szCs w:val="24"/>
        </w:rPr>
        <w:t xml:space="preserve"> udskilles ved </w:t>
      </w:r>
      <w:proofErr w:type="spellStart"/>
      <w:r w:rsidRPr="00021BE3">
        <w:rPr>
          <w:sz w:val="24"/>
          <w:szCs w:val="24"/>
        </w:rPr>
        <w:t>glomerulær</w:t>
      </w:r>
      <w:proofErr w:type="spellEnd"/>
      <w:r w:rsidRPr="00021BE3">
        <w:rPr>
          <w:sz w:val="24"/>
          <w:szCs w:val="24"/>
        </w:rPr>
        <w:t xml:space="preserve"> filtration.</w:t>
      </w:r>
    </w:p>
    <w:p w14:paraId="6AF4F6F6" w14:textId="77777777" w:rsidR="006C2613" w:rsidRPr="00021BE3" w:rsidRDefault="006C2613" w:rsidP="00793CB2">
      <w:pPr>
        <w:ind w:left="851"/>
        <w:rPr>
          <w:sz w:val="24"/>
          <w:szCs w:val="24"/>
        </w:rPr>
      </w:pPr>
    </w:p>
    <w:p w14:paraId="52B31A86" w14:textId="77777777" w:rsidR="006C2613" w:rsidRPr="00021BE3" w:rsidRDefault="006C2613" w:rsidP="00793CB2">
      <w:pPr>
        <w:ind w:left="851"/>
        <w:rPr>
          <w:sz w:val="24"/>
          <w:szCs w:val="24"/>
        </w:rPr>
      </w:pPr>
      <w:proofErr w:type="spellStart"/>
      <w:r w:rsidRPr="00021BE3">
        <w:rPr>
          <w:i/>
          <w:iCs/>
          <w:sz w:val="24"/>
          <w:szCs w:val="24"/>
        </w:rPr>
        <w:t>Folsyre</w:t>
      </w:r>
      <w:proofErr w:type="spellEnd"/>
      <w:r w:rsidRPr="00021BE3">
        <w:rPr>
          <w:sz w:val="24"/>
          <w:szCs w:val="24"/>
        </w:rPr>
        <w:t xml:space="preserve"> absorberes hurtigt, hovedsageligt fra den </w:t>
      </w:r>
      <w:proofErr w:type="spellStart"/>
      <w:r w:rsidRPr="00021BE3">
        <w:rPr>
          <w:sz w:val="24"/>
          <w:szCs w:val="24"/>
        </w:rPr>
        <w:t>proximale</w:t>
      </w:r>
      <w:proofErr w:type="spellEnd"/>
      <w:r w:rsidRPr="00021BE3">
        <w:rPr>
          <w:sz w:val="24"/>
          <w:szCs w:val="24"/>
        </w:rPr>
        <w:t xml:space="preserve"> del af tyndtarmen. Syntetisk </w:t>
      </w:r>
      <w:proofErr w:type="spellStart"/>
      <w:r w:rsidRPr="00021BE3">
        <w:rPr>
          <w:sz w:val="24"/>
          <w:szCs w:val="24"/>
        </w:rPr>
        <w:t>folsyre</w:t>
      </w:r>
      <w:proofErr w:type="spellEnd"/>
      <w:r w:rsidRPr="00021BE3">
        <w:rPr>
          <w:sz w:val="24"/>
          <w:szCs w:val="24"/>
        </w:rPr>
        <w:t xml:space="preserve"> er meget biotilgængeligt (ca. 85-100%). </w:t>
      </w:r>
      <w:proofErr w:type="spellStart"/>
      <w:r w:rsidRPr="00021BE3">
        <w:rPr>
          <w:sz w:val="24"/>
          <w:szCs w:val="24"/>
        </w:rPr>
        <w:t>Folsyre</w:t>
      </w:r>
      <w:proofErr w:type="spellEnd"/>
      <w:r w:rsidRPr="00021BE3">
        <w:rPr>
          <w:sz w:val="24"/>
          <w:szCs w:val="24"/>
        </w:rPr>
        <w:t xml:space="preserve"> gennemgår </w:t>
      </w:r>
      <w:proofErr w:type="spellStart"/>
      <w:r w:rsidRPr="00021BE3">
        <w:rPr>
          <w:sz w:val="24"/>
          <w:szCs w:val="24"/>
        </w:rPr>
        <w:t>enterohepatisk</w:t>
      </w:r>
      <w:proofErr w:type="spellEnd"/>
      <w:r w:rsidRPr="00021BE3">
        <w:rPr>
          <w:sz w:val="24"/>
          <w:szCs w:val="24"/>
        </w:rPr>
        <w:t xml:space="preserve"> cirkulation. Efter absorption reduceres </w:t>
      </w:r>
      <w:proofErr w:type="spellStart"/>
      <w:r w:rsidRPr="00021BE3">
        <w:rPr>
          <w:sz w:val="24"/>
          <w:szCs w:val="24"/>
        </w:rPr>
        <w:t>folsyre</w:t>
      </w:r>
      <w:proofErr w:type="spellEnd"/>
      <w:r w:rsidRPr="00021BE3">
        <w:rPr>
          <w:sz w:val="24"/>
          <w:szCs w:val="24"/>
        </w:rPr>
        <w:t xml:space="preserve"> stort set og methyleres i leveren til 5-methyltetrahydrofolsyre, som er den fremherskende form for cirkulerende </w:t>
      </w:r>
      <w:proofErr w:type="spellStart"/>
      <w:r w:rsidRPr="00021BE3">
        <w:rPr>
          <w:sz w:val="24"/>
          <w:szCs w:val="24"/>
        </w:rPr>
        <w:t>folsyre</w:t>
      </w:r>
      <w:proofErr w:type="spellEnd"/>
      <w:r w:rsidRPr="00021BE3">
        <w:rPr>
          <w:sz w:val="24"/>
          <w:szCs w:val="24"/>
        </w:rPr>
        <w:t xml:space="preserve">. Den vigtigste lagringsplads er leveren, men </w:t>
      </w:r>
      <w:proofErr w:type="spellStart"/>
      <w:r w:rsidRPr="00021BE3">
        <w:rPr>
          <w:sz w:val="24"/>
          <w:szCs w:val="24"/>
        </w:rPr>
        <w:t>folsyre</w:t>
      </w:r>
      <w:proofErr w:type="spellEnd"/>
      <w:r w:rsidRPr="00021BE3">
        <w:rPr>
          <w:sz w:val="24"/>
          <w:szCs w:val="24"/>
        </w:rPr>
        <w:t xml:space="preserve"> koncentreres også aktivt i cerebrospinalvæsken. Indgivelse af store doser </w:t>
      </w:r>
      <w:proofErr w:type="spellStart"/>
      <w:r w:rsidRPr="00021BE3">
        <w:rPr>
          <w:sz w:val="24"/>
          <w:szCs w:val="24"/>
        </w:rPr>
        <w:t>folsyre</w:t>
      </w:r>
      <w:proofErr w:type="spellEnd"/>
      <w:r w:rsidRPr="00021BE3">
        <w:rPr>
          <w:sz w:val="24"/>
          <w:szCs w:val="24"/>
        </w:rPr>
        <w:t xml:space="preserve"> fører til, at proportionelt større mængder af vitaminet udskilles i urinen.</w:t>
      </w:r>
    </w:p>
    <w:p w14:paraId="3C0D7AE5" w14:textId="77777777" w:rsidR="006C2613" w:rsidRPr="00021BE3" w:rsidRDefault="006C2613" w:rsidP="00793CB2">
      <w:pPr>
        <w:ind w:left="851"/>
        <w:rPr>
          <w:sz w:val="24"/>
          <w:szCs w:val="24"/>
        </w:rPr>
      </w:pPr>
    </w:p>
    <w:p w14:paraId="6C307277" w14:textId="77777777" w:rsidR="006C2613" w:rsidRPr="00021BE3" w:rsidRDefault="006C2613" w:rsidP="00793CB2">
      <w:pPr>
        <w:ind w:left="851"/>
        <w:rPr>
          <w:sz w:val="24"/>
          <w:szCs w:val="24"/>
        </w:rPr>
      </w:pPr>
      <w:r w:rsidRPr="00021BE3">
        <w:rPr>
          <w:sz w:val="24"/>
          <w:szCs w:val="24"/>
        </w:rPr>
        <w:t xml:space="preserve">Alle former af </w:t>
      </w:r>
      <w:r w:rsidRPr="00021BE3">
        <w:rPr>
          <w:i/>
          <w:iCs/>
          <w:sz w:val="24"/>
          <w:szCs w:val="24"/>
        </w:rPr>
        <w:t>vitamin B</w:t>
      </w:r>
      <w:r w:rsidRPr="00021BE3">
        <w:rPr>
          <w:i/>
          <w:iCs/>
          <w:sz w:val="24"/>
          <w:szCs w:val="24"/>
          <w:vertAlign w:val="subscript"/>
        </w:rPr>
        <w:t>6</w:t>
      </w:r>
      <w:r w:rsidRPr="00021BE3">
        <w:rPr>
          <w:sz w:val="24"/>
          <w:szCs w:val="24"/>
          <w:vertAlign w:val="subscript"/>
        </w:rPr>
        <w:t xml:space="preserve"> </w:t>
      </w:r>
      <w:r w:rsidRPr="00021BE3">
        <w:rPr>
          <w:sz w:val="24"/>
          <w:szCs w:val="24"/>
        </w:rPr>
        <w:t xml:space="preserve">absorberes frit gennem passiv diffusion i jejunum og </w:t>
      </w:r>
      <w:proofErr w:type="spellStart"/>
      <w:r w:rsidRPr="00021BE3">
        <w:rPr>
          <w:sz w:val="24"/>
          <w:szCs w:val="24"/>
        </w:rPr>
        <w:t>ileum</w:t>
      </w:r>
      <w:proofErr w:type="spellEnd"/>
      <w:r w:rsidRPr="00021BE3">
        <w:rPr>
          <w:sz w:val="24"/>
          <w:szCs w:val="24"/>
        </w:rPr>
        <w:t>. Den fremherskende form af cirkulerende vitamin B</w:t>
      </w:r>
      <w:r w:rsidRPr="00021BE3">
        <w:rPr>
          <w:sz w:val="24"/>
          <w:szCs w:val="24"/>
          <w:vertAlign w:val="subscript"/>
        </w:rPr>
        <w:t>6</w:t>
      </w:r>
      <w:r w:rsidRPr="00021BE3">
        <w:rPr>
          <w:sz w:val="24"/>
          <w:szCs w:val="24"/>
        </w:rPr>
        <w:t xml:space="preserve"> er </w:t>
      </w:r>
      <w:proofErr w:type="spellStart"/>
      <w:r w:rsidRPr="00021BE3">
        <w:rPr>
          <w:sz w:val="24"/>
          <w:szCs w:val="24"/>
        </w:rPr>
        <w:t>pyridoxalfosfat</w:t>
      </w:r>
      <w:proofErr w:type="spellEnd"/>
      <w:r w:rsidRPr="00021BE3">
        <w:rPr>
          <w:sz w:val="24"/>
          <w:szCs w:val="24"/>
        </w:rPr>
        <w:t xml:space="preserve"> og </w:t>
      </w:r>
      <w:proofErr w:type="spellStart"/>
      <w:r w:rsidRPr="00021BE3">
        <w:rPr>
          <w:sz w:val="24"/>
          <w:szCs w:val="24"/>
        </w:rPr>
        <w:t>pyridoxaminfosfat</w:t>
      </w:r>
      <w:proofErr w:type="spellEnd"/>
      <w:r w:rsidRPr="00021BE3">
        <w:rPr>
          <w:sz w:val="24"/>
          <w:szCs w:val="24"/>
        </w:rPr>
        <w:t xml:space="preserve">. Især </w:t>
      </w:r>
      <w:proofErr w:type="spellStart"/>
      <w:r w:rsidRPr="00021BE3">
        <w:rPr>
          <w:sz w:val="24"/>
          <w:szCs w:val="24"/>
        </w:rPr>
        <w:t>pyridoxalphosphat</w:t>
      </w:r>
      <w:proofErr w:type="spellEnd"/>
      <w:r w:rsidRPr="00021BE3">
        <w:rPr>
          <w:sz w:val="24"/>
          <w:szCs w:val="24"/>
        </w:rPr>
        <w:t xml:space="preserve"> cirkulerer tæt bundet til albumin, mens andre vitamin B</w:t>
      </w:r>
      <w:r w:rsidRPr="00021BE3">
        <w:rPr>
          <w:sz w:val="24"/>
          <w:szCs w:val="24"/>
          <w:vertAlign w:val="subscript"/>
        </w:rPr>
        <w:t>6</w:t>
      </w:r>
      <w:r w:rsidRPr="00021BE3">
        <w:rPr>
          <w:sz w:val="24"/>
          <w:szCs w:val="24"/>
        </w:rPr>
        <w:t xml:space="preserve">-former er bundet i mindre grad. Lagring og </w:t>
      </w:r>
      <w:proofErr w:type="spellStart"/>
      <w:r w:rsidRPr="00021BE3">
        <w:rPr>
          <w:sz w:val="24"/>
          <w:szCs w:val="24"/>
        </w:rPr>
        <w:t>metabolisering</w:t>
      </w:r>
      <w:proofErr w:type="spellEnd"/>
      <w:r w:rsidRPr="00021BE3">
        <w:rPr>
          <w:sz w:val="24"/>
          <w:szCs w:val="24"/>
        </w:rPr>
        <w:t xml:space="preserve"> af vitamin B</w:t>
      </w:r>
      <w:r w:rsidRPr="00021BE3">
        <w:rPr>
          <w:sz w:val="24"/>
          <w:szCs w:val="24"/>
          <w:vertAlign w:val="subscript"/>
        </w:rPr>
        <w:t>6</w:t>
      </w:r>
      <w:r w:rsidRPr="00021BE3">
        <w:rPr>
          <w:sz w:val="24"/>
          <w:szCs w:val="24"/>
        </w:rPr>
        <w:t xml:space="preserve"> sker hovedsageligt i leveren, hvor det oxideres til </w:t>
      </w:r>
      <w:proofErr w:type="spellStart"/>
      <w:r w:rsidRPr="00021BE3">
        <w:rPr>
          <w:sz w:val="24"/>
          <w:szCs w:val="24"/>
        </w:rPr>
        <w:t>pyridoxinsyre</w:t>
      </w:r>
      <w:proofErr w:type="spellEnd"/>
      <w:r w:rsidRPr="00021BE3">
        <w:rPr>
          <w:sz w:val="24"/>
          <w:szCs w:val="24"/>
        </w:rPr>
        <w:t>, som er det fremherskende udskilningsprodukt af vitamin B</w:t>
      </w:r>
      <w:r w:rsidRPr="00021BE3">
        <w:rPr>
          <w:sz w:val="24"/>
          <w:szCs w:val="24"/>
          <w:vertAlign w:val="subscript"/>
        </w:rPr>
        <w:t>6</w:t>
      </w:r>
      <w:r w:rsidRPr="00021BE3">
        <w:rPr>
          <w:sz w:val="24"/>
          <w:szCs w:val="24"/>
        </w:rPr>
        <w:t>. Produkterne af vitamin B</w:t>
      </w:r>
      <w:r w:rsidRPr="00021BE3">
        <w:rPr>
          <w:sz w:val="24"/>
          <w:szCs w:val="24"/>
          <w:vertAlign w:val="subscript"/>
        </w:rPr>
        <w:t>6</w:t>
      </w:r>
      <w:r w:rsidRPr="00021BE3">
        <w:rPr>
          <w:sz w:val="24"/>
          <w:szCs w:val="24"/>
        </w:rPr>
        <w:t>-metabolisme udskilles i urinen.</w:t>
      </w:r>
    </w:p>
    <w:p w14:paraId="2828AD20" w14:textId="77777777" w:rsidR="009260DE" w:rsidRPr="00021BE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B867506" w14:textId="77777777" w:rsidR="009260DE" w:rsidRPr="00021BE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21BE3">
        <w:rPr>
          <w:b/>
          <w:sz w:val="24"/>
          <w:szCs w:val="24"/>
        </w:rPr>
        <w:t>5.3</w:t>
      </w:r>
      <w:r w:rsidRPr="00021BE3">
        <w:rPr>
          <w:b/>
          <w:sz w:val="24"/>
          <w:szCs w:val="24"/>
        </w:rPr>
        <w:tab/>
      </w:r>
      <w:r w:rsidR="00BD7931" w:rsidRPr="00021BE3">
        <w:rPr>
          <w:b/>
          <w:sz w:val="24"/>
          <w:szCs w:val="24"/>
        </w:rPr>
        <w:t>Non-</w:t>
      </w:r>
      <w:r w:rsidRPr="00021BE3">
        <w:rPr>
          <w:b/>
          <w:sz w:val="24"/>
          <w:szCs w:val="24"/>
        </w:rPr>
        <w:t>kliniske sikkerhedsdata</w:t>
      </w:r>
    </w:p>
    <w:p w14:paraId="4C6B8067" w14:textId="543C0541" w:rsidR="006C2613" w:rsidRPr="00021BE3" w:rsidRDefault="006C2613" w:rsidP="00793CB2">
      <w:pPr>
        <w:ind w:left="851"/>
        <w:rPr>
          <w:sz w:val="24"/>
          <w:szCs w:val="24"/>
        </w:rPr>
      </w:pPr>
      <w:r w:rsidRPr="00021BE3">
        <w:rPr>
          <w:sz w:val="24"/>
          <w:szCs w:val="24"/>
        </w:rPr>
        <w:t>Der findes ingen non-kliniske data af betydning for sikkerhedsbedømmelsen ud over det, der allerede</w:t>
      </w:r>
      <w:r w:rsidR="00A06091">
        <w:rPr>
          <w:sz w:val="24"/>
          <w:szCs w:val="24"/>
        </w:rPr>
        <w:t xml:space="preserve"> </w:t>
      </w:r>
      <w:r w:rsidRPr="00021BE3">
        <w:rPr>
          <w:sz w:val="24"/>
          <w:szCs w:val="24"/>
        </w:rPr>
        <w:t>er anført i produktresuméet.</w:t>
      </w:r>
    </w:p>
    <w:p w14:paraId="44EC9515" w14:textId="77777777" w:rsidR="009260DE" w:rsidRPr="00021BE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3203260" w14:textId="77777777" w:rsidR="009260DE" w:rsidRPr="00021BE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5396E5B" w14:textId="77777777" w:rsidR="009260DE" w:rsidRPr="00021BE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21BE3">
        <w:rPr>
          <w:b/>
          <w:sz w:val="24"/>
          <w:szCs w:val="24"/>
        </w:rPr>
        <w:t>6.</w:t>
      </w:r>
      <w:r w:rsidRPr="00021BE3">
        <w:rPr>
          <w:b/>
          <w:sz w:val="24"/>
          <w:szCs w:val="24"/>
        </w:rPr>
        <w:tab/>
        <w:t>FARMACEUTISKE OPLYSNINGER</w:t>
      </w:r>
    </w:p>
    <w:p w14:paraId="474B7EF6" w14:textId="77777777" w:rsidR="009260DE" w:rsidRPr="00021BE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6527E68" w14:textId="77777777" w:rsidR="009260DE" w:rsidRPr="00021BE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21BE3">
        <w:rPr>
          <w:b/>
          <w:sz w:val="24"/>
          <w:szCs w:val="24"/>
        </w:rPr>
        <w:t>6.1</w:t>
      </w:r>
      <w:r w:rsidRPr="00021BE3">
        <w:rPr>
          <w:b/>
          <w:sz w:val="24"/>
          <w:szCs w:val="24"/>
        </w:rPr>
        <w:tab/>
        <w:t>Hjælpestoffer</w:t>
      </w:r>
    </w:p>
    <w:p w14:paraId="76009DAC" w14:textId="77777777" w:rsidR="006C2613" w:rsidRPr="00021BE3" w:rsidRDefault="006C2613" w:rsidP="00793CB2">
      <w:pPr>
        <w:ind w:left="851"/>
        <w:rPr>
          <w:sz w:val="24"/>
          <w:szCs w:val="24"/>
        </w:rPr>
      </w:pPr>
      <w:r w:rsidRPr="00021BE3">
        <w:rPr>
          <w:sz w:val="24"/>
          <w:szCs w:val="24"/>
        </w:rPr>
        <w:t>Cellulose, mikrokrystallinsk (E460)</w:t>
      </w:r>
    </w:p>
    <w:p w14:paraId="10ADCABF" w14:textId="313A98C4" w:rsidR="006C2613" w:rsidRPr="00B72635" w:rsidRDefault="006C2613" w:rsidP="00793CB2">
      <w:pPr>
        <w:ind w:left="851"/>
        <w:rPr>
          <w:sz w:val="24"/>
          <w:szCs w:val="24"/>
        </w:rPr>
      </w:pPr>
      <w:proofErr w:type="spellStart"/>
      <w:r w:rsidRPr="00B72635">
        <w:rPr>
          <w:sz w:val="24"/>
          <w:szCs w:val="24"/>
        </w:rPr>
        <w:t>Calciumhydrogenphosphat-dihydrat</w:t>
      </w:r>
      <w:proofErr w:type="spellEnd"/>
    </w:p>
    <w:p w14:paraId="7647AD37" w14:textId="300352EC" w:rsidR="006C2613" w:rsidRPr="00B72635" w:rsidRDefault="006C2613" w:rsidP="00793CB2">
      <w:pPr>
        <w:ind w:left="851"/>
        <w:rPr>
          <w:sz w:val="24"/>
          <w:szCs w:val="24"/>
        </w:rPr>
      </w:pPr>
      <w:proofErr w:type="spellStart"/>
      <w:r w:rsidRPr="00B72635">
        <w:rPr>
          <w:sz w:val="24"/>
          <w:szCs w:val="24"/>
        </w:rPr>
        <w:t>Natriumstivelsesglycolat</w:t>
      </w:r>
      <w:proofErr w:type="spellEnd"/>
      <w:r w:rsidRPr="00B72635">
        <w:rPr>
          <w:sz w:val="24"/>
          <w:szCs w:val="24"/>
        </w:rPr>
        <w:t xml:space="preserve"> (type A)</w:t>
      </w:r>
    </w:p>
    <w:p w14:paraId="36CD2126" w14:textId="77777777" w:rsidR="006C2613" w:rsidRPr="00021BE3" w:rsidRDefault="006C2613" w:rsidP="00793CB2">
      <w:pPr>
        <w:ind w:left="851"/>
        <w:rPr>
          <w:sz w:val="24"/>
          <w:szCs w:val="24"/>
        </w:rPr>
      </w:pPr>
      <w:proofErr w:type="spellStart"/>
      <w:r w:rsidRPr="00021BE3">
        <w:rPr>
          <w:sz w:val="24"/>
          <w:szCs w:val="24"/>
        </w:rPr>
        <w:t>Silica</w:t>
      </w:r>
      <w:proofErr w:type="spellEnd"/>
      <w:r w:rsidRPr="00021BE3">
        <w:rPr>
          <w:sz w:val="24"/>
          <w:szCs w:val="24"/>
        </w:rPr>
        <w:t>, kolloid vandfri (E551)</w:t>
      </w:r>
    </w:p>
    <w:p w14:paraId="767D868B" w14:textId="77777777" w:rsidR="006C2613" w:rsidRPr="00021BE3" w:rsidRDefault="006C2613" w:rsidP="00793CB2">
      <w:pPr>
        <w:ind w:left="851"/>
        <w:rPr>
          <w:sz w:val="24"/>
          <w:szCs w:val="24"/>
        </w:rPr>
      </w:pPr>
      <w:proofErr w:type="spellStart"/>
      <w:r w:rsidRPr="00021BE3">
        <w:rPr>
          <w:sz w:val="24"/>
          <w:szCs w:val="24"/>
        </w:rPr>
        <w:t>Magnesiumstearat</w:t>
      </w:r>
      <w:proofErr w:type="spellEnd"/>
      <w:r w:rsidRPr="00021BE3">
        <w:rPr>
          <w:sz w:val="24"/>
          <w:szCs w:val="24"/>
        </w:rPr>
        <w:t xml:space="preserve"> (E470b)</w:t>
      </w:r>
    </w:p>
    <w:p w14:paraId="3AFA9ABD" w14:textId="77777777" w:rsidR="009260DE" w:rsidRPr="00021BE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B0F18E1" w14:textId="77777777" w:rsidR="009260DE" w:rsidRPr="00021BE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21BE3">
        <w:rPr>
          <w:b/>
          <w:sz w:val="24"/>
          <w:szCs w:val="24"/>
        </w:rPr>
        <w:t>6.2</w:t>
      </w:r>
      <w:r w:rsidRPr="00021BE3">
        <w:rPr>
          <w:b/>
          <w:sz w:val="24"/>
          <w:szCs w:val="24"/>
        </w:rPr>
        <w:tab/>
        <w:t>Uforligeligheder</w:t>
      </w:r>
    </w:p>
    <w:p w14:paraId="69FCE9E8" w14:textId="77777777" w:rsidR="006C2613" w:rsidRPr="00021BE3" w:rsidRDefault="006C2613" w:rsidP="00793CB2">
      <w:pPr>
        <w:ind w:left="851"/>
        <w:rPr>
          <w:sz w:val="24"/>
          <w:szCs w:val="24"/>
        </w:rPr>
      </w:pPr>
      <w:r w:rsidRPr="00021BE3">
        <w:rPr>
          <w:sz w:val="24"/>
          <w:szCs w:val="24"/>
        </w:rPr>
        <w:t>Ikke relevant</w:t>
      </w:r>
    </w:p>
    <w:p w14:paraId="5116F993" w14:textId="77777777" w:rsidR="009260DE" w:rsidRPr="00021BE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97154E4" w14:textId="77777777" w:rsidR="009260DE" w:rsidRPr="00021BE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21BE3">
        <w:rPr>
          <w:b/>
          <w:sz w:val="24"/>
          <w:szCs w:val="24"/>
        </w:rPr>
        <w:t>6.3</w:t>
      </w:r>
      <w:r w:rsidRPr="00021BE3">
        <w:rPr>
          <w:b/>
          <w:sz w:val="24"/>
          <w:szCs w:val="24"/>
        </w:rPr>
        <w:tab/>
        <w:t>Opbevaringstid</w:t>
      </w:r>
    </w:p>
    <w:p w14:paraId="4D5534A9" w14:textId="77777777" w:rsidR="006C2613" w:rsidRPr="00021BE3" w:rsidRDefault="006C2613" w:rsidP="00793CB2">
      <w:pPr>
        <w:ind w:left="851"/>
        <w:rPr>
          <w:sz w:val="24"/>
          <w:szCs w:val="24"/>
        </w:rPr>
      </w:pPr>
      <w:r w:rsidRPr="00021BE3">
        <w:rPr>
          <w:sz w:val="24"/>
          <w:szCs w:val="24"/>
        </w:rPr>
        <w:t>2 år.</w:t>
      </w:r>
    </w:p>
    <w:p w14:paraId="29CB9786" w14:textId="77777777" w:rsidR="009260DE" w:rsidRPr="00021BE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280B72A" w14:textId="77777777" w:rsidR="009260DE" w:rsidRPr="00021BE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21BE3">
        <w:rPr>
          <w:b/>
          <w:sz w:val="24"/>
          <w:szCs w:val="24"/>
        </w:rPr>
        <w:t>6.4</w:t>
      </w:r>
      <w:r w:rsidRPr="00021BE3">
        <w:rPr>
          <w:b/>
          <w:sz w:val="24"/>
          <w:szCs w:val="24"/>
        </w:rPr>
        <w:tab/>
        <w:t>Særlige opbevaringsforhold</w:t>
      </w:r>
    </w:p>
    <w:p w14:paraId="2B97DB56" w14:textId="1DA26682" w:rsidR="006C2613" w:rsidRPr="00021BE3" w:rsidRDefault="006C2613" w:rsidP="00793CB2">
      <w:pPr>
        <w:ind w:left="851"/>
        <w:rPr>
          <w:sz w:val="24"/>
          <w:szCs w:val="24"/>
        </w:rPr>
      </w:pPr>
      <w:r w:rsidRPr="00021BE3">
        <w:rPr>
          <w:sz w:val="24"/>
          <w:szCs w:val="24"/>
        </w:rPr>
        <w:t>Må ikke opbevares ved temperaturer over 30</w:t>
      </w:r>
      <w:r w:rsidR="00A06091">
        <w:rPr>
          <w:sz w:val="24"/>
          <w:szCs w:val="24"/>
        </w:rPr>
        <w:t xml:space="preserve"> </w:t>
      </w:r>
      <w:r w:rsidRPr="00021BE3">
        <w:rPr>
          <w:sz w:val="24"/>
          <w:szCs w:val="24"/>
        </w:rPr>
        <w:t xml:space="preserve">°C. </w:t>
      </w:r>
    </w:p>
    <w:p w14:paraId="7BC64C14" w14:textId="77777777" w:rsidR="006C2613" w:rsidRPr="00021BE3" w:rsidRDefault="006C2613" w:rsidP="00793CB2">
      <w:pPr>
        <w:ind w:left="851"/>
        <w:rPr>
          <w:sz w:val="24"/>
          <w:szCs w:val="24"/>
        </w:rPr>
      </w:pPr>
      <w:r w:rsidRPr="00021BE3">
        <w:rPr>
          <w:sz w:val="24"/>
          <w:szCs w:val="24"/>
        </w:rPr>
        <w:t>Opbevares i original emballage for at beskytte mod lys.</w:t>
      </w:r>
    </w:p>
    <w:p w14:paraId="4B91A017" w14:textId="77777777" w:rsidR="009260DE" w:rsidRPr="00021BE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CB76886" w14:textId="77777777" w:rsidR="009260DE" w:rsidRPr="00021BE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21BE3">
        <w:rPr>
          <w:b/>
          <w:sz w:val="24"/>
          <w:szCs w:val="24"/>
        </w:rPr>
        <w:t>6.5</w:t>
      </w:r>
      <w:r w:rsidRPr="00021BE3">
        <w:rPr>
          <w:b/>
          <w:sz w:val="24"/>
          <w:szCs w:val="24"/>
        </w:rPr>
        <w:tab/>
        <w:t>Emballagetype og pakningsstørrelser</w:t>
      </w:r>
    </w:p>
    <w:p w14:paraId="0624268E" w14:textId="1D64F5FC" w:rsidR="006C2613" w:rsidRPr="00021BE3" w:rsidRDefault="006C2613" w:rsidP="00793CB2">
      <w:pPr>
        <w:suppressAutoHyphens/>
        <w:ind w:left="851"/>
        <w:rPr>
          <w:sz w:val="24"/>
          <w:szCs w:val="24"/>
        </w:rPr>
      </w:pPr>
      <w:r w:rsidRPr="00021BE3">
        <w:rPr>
          <w:sz w:val="24"/>
          <w:szCs w:val="24"/>
        </w:rPr>
        <w:t>Hvid HDPE beholder med HDPE/</w:t>
      </w:r>
      <w:r w:rsidR="00021BE3" w:rsidRPr="00021BE3">
        <w:rPr>
          <w:sz w:val="24"/>
          <w:szCs w:val="24"/>
        </w:rPr>
        <w:t>LDPE-lukning</w:t>
      </w:r>
      <w:r w:rsidRPr="00021BE3">
        <w:rPr>
          <w:sz w:val="24"/>
          <w:szCs w:val="24"/>
        </w:rPr>
        <w:t>.</w:t>
      </w:r>
    </w:p>
    <w:p w14:paraId="33E7DC05" w14:textId="77777777" w:rsidR="006C2613" w:rsidRPr="00021BE3" w:rsidRDefault="006C2613" w:rsidP="00793CB2">
      <w:pPr>
        <w:suppressAutoHyphens/>
        <w:ind w:left="851"/>
        <w:rPr>
          <w:sz w:val="24"/>
          <w:szCs w:val="24"/>
        </w:rPr>
      </w:pPr>
      <w:r w:rsidRPr="00021BE3">
        <w:rPr>
          <w:sz w:val="24"/>
          <w:szCs w:val="24"/>
        </w:rPr>
        <w:t>Pakningsstørrelser: 100 og 250 tabletter.</w:t>
      </w:r>
    </w:p>
    <w:p w14:paraId="60F07BC3" w14:textId="77777777" w:rsidR="006C2613" w:rsidRPr="00021BE3" w:rsidRDefault="006C2613" w:rsidP="00793CB2">
      <w:pPr>
        <w:suppressAutoHyphens/>
        <w:ind w:left="851"/>
        <w:rPr>
          <w:sz w:val="24"/>
          <w:szCs w:val="24"/>
        </w:rPr>
      </w:pPr>
    </w:p>
    <w:p w14:paraId="04C8E0C7" w14:textId="77777777" w:rsidR="006C2613" w:rsidRPr="00021BE3" w:rsidRDefault="006C2613" w:rsidP="00793CB2">
      <w:pPr>
        <w:suppressAutoHyphens/>
        <w:ind w:left="851"/>
        <w:rPr>
          <w:sz w:val="24"/>
          <w:szCs w:val="24"/>
        </w:rPr>
      </w:pPr>
      <w:r w:rsidRPr="00021BE3">
        <w:rPr>
          <w:sz w:val="24"/>
          <w:szCs w:val="24"/>
        </w:rPr>
        <w:t>Ikke alle pakningsstørrelser er nødvendigvis markedsført.</w:t>
      </w:r>
    </w:p>
    <w:p w14:paraId="748D257C" w14:textId="77777777" w:rsidR="009260DE" w:rsidRPr="00021BE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5E40EA4" w14:textId="77777777" w:rsidR="009260DE" w:rsidRPr="00021BE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21BE3">
        <w:rPr>
          <w:b/>
          <w:sz w:val="24"/>
          <w:szCs w:val="24"/>
        </w:rPr>
        <w:t>6.6</w:t>
      </w:r>
      <w:r w:rsidRPr="00021BE3">
        <w:rPr>
          <w:b/>
          <w:sz w:val="24"/>
          <w:szCs w:val="24"/>
        </w:rPr>
        <w:tab/>
        <w:t xml:space="preserve">Regler for </w:t>
      </w:r>
      <w:r w:rsidR="00BD7931" w:rsidRPr="00021BE3">
        <w:rPr>
          <w:b/>
          <w:sz w:val="24"/>
          <w:szCs w:val="24"/>
        </w:rPr>
        <w:t>bortskaffelse</w:t>
      </w:r>
      <w:r w:rsidRPr="00021BE3">
        <w:rPr>
          <w:b/>
          <w:sz w:val="24"/>
          <w:szCs w:val="24"/>
        </w:rPr>
        <w:t xml:space="preserve"> og anden håndtering</w:t>
      </w:r>
    </w:p>
    <w:p w14:paraId="73D4F2D6" w14:textId="77777777" w:rsidR="006C2613" w:rsidRPr="00021BE3" w:rsidRDefault="006C2613" w:rsidP="00793CB2">
      <w:pPr>
        <w:ind w:left="851"/>
        <w:rPr>
          <w:sz w:val="24"/>
          <w:szCs w:val="24"/>
        </w:rPr>
      </w:pPr>
      <w:r w:rsidRPr="00021BE3">
        <w:rPr>
          <w:sz w:val="24"/>
          <w:szCs w:val="24"/>
        </w:rPr>
        <w:t xml:space="preserve">Ingen særlige forholdsregler </w:t>
      </w:r>
    </w:p>
    <w:p w14:paraId="570BE8BF" w14:textId="77777777" w:rsidR="009260DE" w:rsidRPr="00021BE3" w:rsidRDefault="009260DE" w:rsidP="000730CA">
      <w:pPr>
        <w:tabs>
          <w:tab w:val="left" w:pos="851"/>
        </w:tabs>
        <w:ind w:left="851"/>
        <w:rPr>
          <w:sz w:val="24"/>
          <w:szCs w:val="24"/>
        </w:rPr>
      </w:pPr>
    </w:p>
    <w:p w14:paraId="7EECDB99" w14:textId="77777777" w:rsidR="009260DE" w:rsidRPr="00021BE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21BE3">
        <w:rPr>
          <w:b/>
          <w:sz w:val="24"/>
          <w:szCs w:val="24"/>
        </w:rPr>
        <w:t>7.</w:t>
      </w:r>
      <w:r w:rsidRPr="00021BE3">
        <w:rPr>
          <w:b/>
          <w:sz w:val="24"/>
          <w:szCs w:val="24"/>
        </w:rPr>
        <w:tab/>
        <w:t>INDEHAVER AF MARKEDSFØRINGSTILLADELSEN</w:t>
      </w:r>
    </w:p>
    <w:p w14:paraId="62FF451E" w14:textId="77777777" w:rsidR="006C2613" w:rsidRPr="00B72635" w:rsidRDefault="006C2613" w:rsidP="00793CB2">
      <w:pPr>
        <w:ind w:left="851"/>
        <w:rPr>
          <w:sz w:val="24"/>
          <w:szCs w:val="24"/>
          <w:lang w:val="en-US"/>
        </w:rPr>
      </w:pPr>
      <w:r w:rsidRPr="00B72635">
        <w:rPr>
          <w:sz w:val="24"/>
          <w:szCs w:val="24"/>
          <w:lang w:val="en-US"/>
        </w:rPr>
        <w:t>Orifarm Healthcare A/S</w:t>
      </w:r>
    </w:p>
    <w:p w14:paraId="760B7BDE" w14:textId="77777777" w:rsidR="006C2613" w:rsidRPr="00021BE3" w:rsidRDefault="006C2613" w:rsidP="00793CB2">
      <w:pPr>
        <w:ind w:left="851"/>
        <w:rPr>
          <w:sz w:val="24"/>
          <w:szCs w:val="24"/>
          <w:lang w:val="en-GB"/>
        </w:rPr>
      </w:pPr>
      <w:proofErr w:type="spellStart"/>
      <w:r w:rsidRPr="00021BE3">
        <w:rPr>
          <w:rStyle w:val="normaltextrun"/>
          <w:sz w:val="24"/>
          <w:szCs w:val="24"/>
          <w:lang w:val="en-GB"/>
        </w:rPr>
        <w:t>Energivej</w:t>
      </w:r>
      <w:proofErr w:type="spellEnd"/>
      <w:r w:rsidRPr="00021BE3">
        <w:rPr>
          <w:rStyle w:val="normaltextrun"/>
          <w:sz w:val="24"/>
          <w:szCs w:val="24"/>
          <w:lang w:val="en-GB"/>
        </w:rPr>
        <w:t xml:space="preserve"> 15</w:t>
      </w:r>
      <w:r w:rsidRPr="00021BE3">
        <w:rPr>
          <w:rStyle w:val="eop"/>
          <w:sz w:val="24"/>
          <w:szCs w:val="24"/>
          <w:lang w:val="en-GB"/>
        </w:rPr>
        <w:t> </w:t>
      </w:r>
    </w:p>
    <w:p w14:paraId="319BEA09" w14:textId="77777777" w:rsidR="006C2613" w:rsidRPr="00021BE3" w:rsidRDefault="006C2613" w:rsidP="00793CB2">
      <w:pPr>
        <w:ind w:left="851"/>
        <w:rPr>
          <w:sz w:val="24"/>
          <w:szCs w:val="24"/>
        </w:rPr>
      </w:pPr>
      <w:r w:rsidRPr="00021BE3">
        <w:rPr>
          <w:rStyle w:val="normaltextrun"/>
          <w:sz w:val="24"/>
          <w:szCs w:val="24"/>
        </w:rPr>
        <w:t>5260 Odense S</w:t>
      </w:r>
      <w:r w:rsidRPr="00021BE3">
        <w:rPr>
          <w:rStyle w:val="eop"/>
          <w:sz w:val="24"/>
          <w:szCs w:val="24"/>
        </w:rPr>
        <w:t> </w:t>
      </w:r>
    </w:p>
    <w:p w14:paraId="5F120F2C" w14:textId="77777777" w:rsidR="00641C65" w:rsidRPr="00021BE3" w:rsidRDefault="00641C65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2DCEC04" w14:textId="77777777" w:rsidR="009260DE" w:rsidRPr="00021BE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21BE3">
        <w:rPr>
          <w:b/>
          <w:sz w:val="24"/>
          <w:szCs w:val="24"/>
        </w:rPr>
        <w:t>8.</w:t>
      </w:r>
      <w:r w:rsidRPr="00021BE3">
        <w:rPr>
          <w:b/>
          <w:sz w:val="24"/>
          <w:szCs w:val="24"/>
        </w:rPr>
        <w:tab/>
        <w:t>MARKEDSFØRINGSTILLADELSESNUMMER (</w:t>
      </w:r>
      <w:r w:rsidR="00BF6243" w:rsidRPr="00021BE3">
        <w:rPr>
          <w:b/>
          <w:sz w:val="24"/>
          <w:szCs w:val="24"/>
        </w:rPr>
        <w:t>-</w:t>
      </w:r>
      <w:r w:rsidRPr="00021BE3">
        <w:rPr>
          <w:b/>
          <w:sz w:val="24"/>
          <w:szCs w:val="24"/>
        </w:rPr>
        <w:t>NUMRE)</w:t>
      </w:r>
    </w:p>
    <w:p w14:paraId="005737EA" w14:textId="79F5F75C" w:rsidR="009260DE" w:rsidRPr="00021BE3" w:rsidRDefault="006C2613" w:rsidP="009260DE">
      <w:pPr>
        <w:tabs>
          <w:tab w:val="left" w:pos="851"/>
        </w:tabs>
        <w:ind w:left="851"/>
        <w:rPr>
          <w:sz w:val="24"/>
          <w:szCs w:val="24"/>
        </w:rPr>
      </w:pPr>
      <w:r w:rsidRPr="00021BE3">
        <w:rPr>
          <w:sz w:val="24"/>
          <w:szCs w:val="24"/>
        </w:rPr>
        <w:t>67679</w:t>
      </w:r>
    </w:p>
    <w:p w14:paraId="2D08B30C" w14:textId="77777777" w:rsidR="009260DE" w:rsidRPr="00021BE3" w:rsidRDefault="009260DE" w:rsidP="009260DE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14:paraId="41C99F30" w14:textId="77777777" w:rsidR="009260DE" w:rsidRPr="00021BE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21BE3">
        <w:rPr>
          <w:b/>
          <w:sz w:val="24"/>
          <w:szCs w:val="24"/>
        </w:rPr>
        <w:t>9.</w:t>
      </w:r>
      <w:r w:rsidRPr="00021BE3">
        <w:rPr>
          <w:b/>
          <w:sz w:val="24"/>
          <w:szCs w:val="24"/>
        </w:rPr>
        <w:tab/>
        <w:t>DATO FOR FØRSTE MARKEDSFØRINGSTILLADELSE</w:t>
      </w:r>
    </w:p>
    <w:p w14:paraId="6EECD5C4" w14:textId="5A91919E" w:rsidR="009260DE" w:rsidRPr="00021BE3" w:rsidRDefault="00B72635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28. februar 2024</w:t>
      </w:r>
      <w:bookmarkStart w:id="0" w:name="_GoBack"/>
      <w:bookmarkEnd w:id="0"/>
    </w:p>
    <w:p w14:paraId="0ED1BE89" w14:textId="77777777" w:rsidR="009260DE" w:rsidRPr="00021BE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F874AD7" w14:textId="77777777" w:rsidR="009260DE" w:rsidRPr="00021BE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21BE3">
        <w:rPr>
          <w:b/>
          <w:sz w:val="24"/>
          <w:szCs w:val="24"/>
        </w:rPr>
        <w:t>10.</w:t>
      </w:r>
      <w:r w:rsidRPr="00021BE3">
        <w:rPr>
          <w:b/>
          <w:sz w:val="24"/>
          <w:szCs w:val="24"/>
        </w:rPr>
        <w:tab/>
        <w:t>DATO FOR ÆNDRING AF TEKSTEN</w:t>
      </w:r>
    </w:p>
    <w:p w14:paraId="244ECF02" w14:textId="634FF904" w:rsidR="009260DE" w:rsidRPr="00021BE3" w:rsidRDefault="006C2613" w:rsidP="009260DE">
      <w:pPr>
        <w:tabs>
          <w:tab w:val="left" w:pos="851"/>
        </w:tabs>
        <w:ind w:left="851"/>
        <w:rPr>
          <w:sz w:val="24"/>
          <w:szCs w:val="24"/>
        </w:rPr>
      </w:pPr>
      <w:r w:rsidRPr="00021BE3">
        <w:rPr>
          <w:sz w:val="24"/>
          <w:szCs w:val="24"/>
        </w:rPr>
        <w:t>-</w:t>
      </w:r>
    </w:p>
    <w:sectPr w:rsidR="009260DE" w:rsidRPr="00021BE3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497B6" w14:textId="77777777" w:rsidR="00DA7F05" w:rsidRDefault="00DA7F05">
      <w:r>
        <w:separator/>
      </w:r>
    </w:p>
  </w:endnote>
  <w:endnote w:type="continuationSeparator" w:id="0">
    <w:p w14:paraId="05BB537E" w14:textId="77777777" w:rsidR="00DA7F05" w:rsidRDefault="00DA7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F77D2" w14:textId="77777777" w:rsidR="000259B9" w:rsidRDefault="000259B9">
    <w:pPr>
      <w:pStyle w:val="Sidefod"/>
      <w:pBdr>
        <w:bottom w:val="single" w:sz="6" w:space="1" w:color="auto"/>
      </w:pBdr>
    </w:pPr>
  </w:p>
  <w:p w14:paraId="57F4AC99" w14:textId="77777777"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14:paraId="608E4657" w14:textId="3C2D0374"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273EBC">
      <w:rPr>
        <w:i/>
        <w:noProof/>
        <w:sz w:val="18"/>
        <w:szCs w:val="18"/>
      </w:rPr>
      <w:t>Bevitrio, tabletter 0,5+0,8+3 mg.docx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B815F6" w14:textId="77777777" w:rsidR="00DA7F05" w:rsidRDefault="00DA7F05">
      <w:r>
        <w:separator/>
      </w:r>
    </w:p>
  </w:footnote>
  <w:footnote w:type="continuationSeparator" w:id="0">
    <w:p w14:paraId="1F697CAF" w14:textId="77777777" w:rsidR="00DA7F05" w:rsidRDefault="00DA7F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3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F05"/>
    <w:rsid w:val="00021BE3"/>
    <w:rsid w:val="000259B9"/>
    <w:rsid w:val="00041491"/>
    <w:rsid w:val="00050D16"/>
    <w:rsid w:val="000730CA"/>
    <w:rsid w:val="00074F2A"/>
    <w:rsid w:val="000A1CA8"/>
    <w:rsid w:val="000A466B"/>
    <w:rsid w:val="000B058C"/>
    <w:rsid w:val="000D68B0"/>
    <w:rsid w:val="000E4EE6"/>
    <w:rsid w:val="001454E2"/>
    <w:rsid w:val="00206CE8"/>
    <w:rsid w:val="0021526C"/>
    <w:rsid w:val="00273EBC"/>
    <w:rsid w:val="00283A2B"/>
    <w:rsid w:val="002B30AD"/>
    <w:rsid w:val="002C1EC0"/>
    <w:rsid w:val="002C2C01"/>
    <w:rsid w:val="002F42FE"/>
    <w:rsid w:val="003A29AE"/>
    <w:rsid w:val="003A32D7"/>
    <w:rsid w:val="003B4074"/>
    <w:rsid w:val="003C769A"/>
    <w:rsid w:val="003D3A90"/>
    <w:rsid w:val="003F1838"/>
    <w:rsid w:val="004251C1"/>
    <w:rsid w:val="0045746C"/>
    <w:rsid w:val="0049104B"/>
    <w:rsid w:val="004E3B12"/>
    <w:rsid w:val="00532310"/>
    <w:rsid w:val="00565F0F"/>
    <w:rsid w:val="00594A86"/>
    <w:rsid w:val="00596D86"/>
    <w:rsid w:val="005B3C39"/>
    <w:rsid w:val="00637F5A"/>
    <w:rsid w:val="00641C65"/>
    <w:rsid w:val="006560B1"/>
    <w:rsid w:val="006756DD"/>
    <w:rsid w:val="006C2613"/>
    <w:rsid w:val="0071241E"/>
    <w:rsid w:val="00737275"/>
    <w:rsid w:val="00740EEC"/>
    <w:rsid w:val="0078011A"/>
    <w:rsid w:val="00782AF4"/>
    <w:rsid w:val="00790EE7"/>
    <w:rsid w:val="00793CB2"/>
    <w:rsid w:val="007B6649"/>
    <w:rsid w:val="0082576E"/>
    <w:rsid w:val="0089346F"/>
    <w:rsid w:val="00907F75"/>
    <w:rsid w:val="009260DE"/>
    <w:rsid w:val="0093258A"/>
    <w:rsid w:val="009C7BA3"/>
    <w:rsid w:val="009D1F5A"/>
    <w:rsid w:val="00A06091"/>
    <w:rsid w:val="00A10294"/>
    <w:rsid w:val="00B003BF"/>
    <w:rsid w:val="00B373D7"/>
    <w:rsid w:val="00B55271"/>
    <w:rsid w:val="00B72635"/>
    <w:rsid w:val="00BD7931"/>
    <w:rsid w:val="00BF6243"/>
    <w:rsid w:val="00C36276"/>
    <w:rsid w:val="00C42586"/>
    <w:rsid w:val="00C45F6B"/>
    <w:rsid w:val="00C60CCD"/>
    <w:rsid w:val="00C84483"/>
    <w:rsid w:val="00C95551"/>
    <w:rsid w:val="00CB20D7"/>
    <w:rsid w:val="00CE261E"/>
    <w:rsid w:val="00D020B0"/>
    <w:rsid w:val="00D11748"/>
    <w:rsid w:val="00D237F6"/>
    <w:rsid w:val="00D34D98"/>
    <w:rsid w:val="00D366CF"/>
    <w:rsid w:val="00D93992"/>
    <w:rsid w:val="00DA7F05"/>
    <w:rsid w:val="00E108AA"/>
    <w:rsid w:val="00E3749A"/>
    <w:rsid w:val="00E7437F"/>
    <w:rsid w:val="00E865B8"/>
    <w:rsid w:val="00EC0B9B"/>
    <w:rsid w:val="00ED5E9F"/>
    <w:rsid w:val="00F66D4F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9A9D42"/>
  <w15:chartTrackingRefBased/>
  <w15:docId w15:val="{07BA6C7D-B97A-400D-A70E-D8C714265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character" w:styleId="Hyperlink">
    <w:name w:val="Hyperlink"/>
    <w:uiPriority w:val="99"/>
    <w:semiHidden/>
    <w:unhideWhenUsed/>
    <w:rsid w:val="006C261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2613"/>
    <w:pPr>
      <w:spacing w:before="36" w:after="100" w:afterAutospacing="1"/>
    </w:pPr>
    <w:rPr>
      <w:sz w:val="22"/>
      <w:szCs w:val="22"/>
      <w:lang w:eastAsia="da-DK"/>
    </w:rPr>
  </w:style>
  <w:style w:type="table" w:styleId="Tabel-Gitter">
    <w:name w:val="Table Grid"/>
    <w:basedOn w:val="Tabel-Normal"/>
    <w:rsid w:val="006C2613"/>
    <w:rPr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6C2613"/>
    <w:pPr>
      <w:spacing w:before="100" w:beforeAutospacing="1" w:after="100" w:afterAutospacing="1"/>
    </w:pPr>
    <w:rPr>
      <w:sz w:val="24"/>
      <w:szCs w:val="24"/>
      <w:lang w:eastAsia="da-DK"/>
    </w:rPr>
  </w:style>
  <w:style w:type="character" w:customStyle="1" w:styleId="normaltextrun">
    <w:name w:val="normaltextrun"/>
    <w:basedOn w:val="Standardskrifttypeiafsnit"/>
    <w:rsid w:val="006C2613"/>
  </w:style>
  <w:style w:type="character" w:customStyle="1" w:styleId="eop">
    <w:name w:val="eop"/>
    <w:basedOn w:val="Standardskrifttypeiafsnit"/>
    <w:rsid w:val="006C2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QW_Docs\GOD\docs\National\LGO-RKE-REG%20008-01-SKB%20SPC%20Hum%20skabelon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LGO-RKE-REG 008-01-SKB SPC Hum skabelon.dotx</Template>
  <TotalTime>41</TotalTime>
  <Pages>5</Pages>
  <Words>1051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SPC Hum skabelon</vt:lpstr>
    </vt:vector>
  </TitlesOfParts>
  <Company/>
  <LinksUpToDate>false</LinksUpToDate>
  <CharactersWithSpaces>8166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Jørgensen</dc:creator>
  <cp:keywords/>
  <dc:description>2022041704, MT</dc:description>
  <cp:lastModifiedBy>Gitte Jørgensen</cp:lastModifiedBy>
  <cp:revision>10</cp:revision>
  <cp:lastPrinted>2012-08-22T08:53:00Z</cp:lastPrinted>
  <dcterms:created xsi:type="dcterms:W3CDTF">2024-02-28T07:17:00Z</dcterms:created>
  <dcterms:modified xsi:type="dcterms:W3CDTF">2024-02-28T11:26:00Z</dcterms:modified>
</cp:coreProperties>
</file>