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4D791C">
        <w:rPr>
          <w:szCs w:val="24"/>
        </w:rPr>
        <w:t>19. november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9643D0" w:rsidP="009260DE">
      <w:pPr>
        <w:jc w:val="center"/>
        <w:rPr>
          <w:b/>
          <w:sz w:val="24"/>
          <w:szCs w:val="24"/>
        </w:rPr>
      </w:pPr>
      <w:r>
        <w:rPr>
          <w:b/>
          <w:sz w:val="24"/>
          <w:szCs w:val="24"/>
        </w:rPr>
        <w:t>Bexarotene "Amdipharm", bløde kapsler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29011C" w:rsidP="009260DE">
      <w:pPr>
        <w:tabs>
          <w:tab w:val="left" w:pos="851"/>
        </w:tabs>
        <w:ind w:left="851"/>
        <w:rPr>
          <w:sz w:val="24"/>
          <w:szCs w:val="24"/>
        </w:rPr>
      </w:pPr>
      <w:r>
        <w:rPr>
          <w:sz w:val="24"/>
          <w:szCs w:val="24"/>
        </w:rPr>
        <w:t>34051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29011C" w:rsidP="009260DE">
      <w:pPr>
        <w:tabs>
          <w:tab w:val="left" w:pos="851"/>
        </w:tabs>
        <w:ind w:left="851"/>
        <w:rPr>
          <w:sz w:val="24"/>
          <w:szCs w:val="24"/>
        </w:rPr>
      </w:pPr>
      <w:r>
        <w:rPr>
          <w:sz w:val="24"/>
          <w:szCs w:val="24"/>
        </w:rPr>
        <w:t>Bexarotene "Amdipharm"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9011C" w:rsidRPr="0029011C" w:rsidRDefault="0029011C" w:rsidP="0029011C">
      <w:pPr>
        <w:tabs>
          <w:tab w:val="left" w:pos="851"/>
        </w:tabs>
        <w:ind w:left="851"/>
        <w:rPr>
          <w:sz w:val="24"/>
          <w:szCs w:val="24"/>
        </w:rPr>
      </w:pPr>
      <w:r w:rsidRPr="0029011C">
        <w:rPr>
          <w:sz w:val="24"/>
          <w:szCs w:val="24"/>
        </w:rPr>
        <w:t>Hver kapsel indeholder 75 mg bexaroten.</w:t>
      </w:r>
    </w:p>
    <w:p w:rsidR="0029011C" w:rsidRPr="0029011C" w:rsidRDefault="0029011C" w:rsidP="0029011C">
      <w:pPr>
        <w:tabs>
          <w:tab w:val="left" w:pos="851"/>
        </w:tabs>
        <w:ind w:left="851"/>
        <w:rPr>
          <w:sz w:val="24"/>
          <w:szCs w:val="24"/>
        </w:rPr>
      </w:pPr>
    </w:p>
    <w:p w:rsidR="0029011C" w:rsidRPr="0029011C" w:rsidRDefault="0029011C" w:rsidP="0029011C">
      <w:pPr>
        <w:tabs>
          <w:tab w:val="left" w:pos="851"/>
        </w:tabs>
        <w:ind w:left="851"/>
        <w:rPr>
          <w:sz w:val="24"/>
          <w:szCs w:val="24"/>
          <w:u w:val="single"/>
        </w:rPr>
      </w:pPr>
      <w:r w:rsidRPr="0029011C">
        <w:rPr>
          <w:sz w:val="24"/>
          <w:szCs w:val="24"/>
          <w:u w:val="single"/>
        </w:rPr>
        <w:t>Hjælpestoffer, som behandleren skal være opmærksom på</w:t>
      </w:r>
    </w:p>
    <w:p w:rsidR="0029011C" w:rsidRPr="0029011C" w:rsidRDefault="0029011C" w:rsidP="0029011C">
      <w:pPr>
        <w:tabs>
          <w:tab w:val="left" w:pos="851"/>
        </w:tabs>
        <w:ind w:left="851"/>
        <w:rPr>
          <w:sz w:val="24"/>
          <w:szCs w:val="24"/>
        </w:rPr>
      </w:pPr>
      <w:r w:rsidRPr="0029011C">
        <w:rPr>
          <w:sz w:val="24"/>
          <w:szCs w:val="24"/>
        </w:rPr>
        <w:t>Hver kapsel indeholder 122,198 mg sorbitol</w:t>
      </w:r>
      <w:r>
        <w:rPr>
          <w:sz w:val="24"/>
          <w:szCs w:val="24"/>
        </w:rPr>
        <w:t>.</w:t>
      </w:r>
    </w:p>
    <w:p w:rsidR="0029011C" w:rsidRPr="0029011C" w:rsidRDefault="0029011C" w:rsidP="0029011C">
      <w:pPr>
        <w:tabs>
          <w:tab w:val="left" w:pos="851"/>
        </w:tabs>
        <w:ind w:left="851"/>
        <w:rPr>
          <w:sz w:val="24"/>
          <w:szCs w:val="24"/>
        </w:rPr>
      </w:pPr>
    </w:p>
    <w:p w:rsidR="0029011C" w:rsidRPr="0029011C" w:rsidRDefault="0029011C" w:rsidP="0029011C">
      <w:pPr>
        <w:tabs>
          <w:tab w:val="left" w:pos="851"/>
        </w:tabs>
        <w:ind w:left="851"/>
        <w:rPr>
          <w:sz w:val="24"/>
          <w:szCs w:val="24"/>
        </w:rPr>
      </w:pPr>
      <w:r w:rsidRPr="0029011C">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29011C" w:rsidRPr="0029011C" w:rsidRDefault="0029011C" w:rsidP="0029011C">
      <w:pPr>
        <w:tabs>
          <w:tab w:val="left" w:pos="851"/>
        </w:tabs>
        <w:ind w:left="851"/>
        <w:rPr>
          <w:sz w:val="24"/>
          <w:szCs w:val="24"/>
        </w:rPr>
      </w:pPr>
      <w:r>
        <w:rPr>
          <w:sz w:val="24"/>
          <w:szCs w:val="24"/>
        </w:rPr>
        <w:t>Bløde k</w:t>
      </w:r>
      <w:r w:rsidRPr="0029011C">
        <w:rPr>
          <w:sz w:val="24"/>
          <w:szCs w:val="24"/>
        </w:rPr>
        <w:t>apsler</w:t>
      </w:r>
    </w:p>
    <w:p w:rsidR="0029011C" w:rsidRPr="0029011C" w:rsidRDefault="0029011C" w:rsidP="0029011C">
      <w:pPr>
        <w:tabs>
          <w:tab w:val="left" w:pos="851"/>
        </w:tabs>
        <w:ind w:left="851"/>
        <w:rPr>
          <w:sz w:val="24"/>
          <w:szCs w:val="24"/>
        </w:rPr>
      </w:pPr>
    </w:p>
    <w:p w:rsidR="0029011C" w:rsidRPr="0029011C" w:rsidRDefault="0029011C" w:rsidP="0029011C">
      <w:pPr>
        <w:tabs>
          <w:tab w:val="left" w:pos="851"/>
        </w:tabs>
        <w:ind w:left="851"/>
        <w:rPr>
          <w:sz w:val="24"/>
          <w:szCs w:val="24"/>
        </w:rPr>
      </w:pPr>
      <w:r w:rsidRPr="0029011C">
        <w:rPr>
          <w:sz w:val="24"/>
          <w:szCs w:val="24"/>
        </w:rPr>
        <w:t>Hvid til off-white farvet dispersion indkapslet i hvid til off-white farvet uigennemsigtig, aflang</w:t>
      </w:r>
      <w:r>
        <w:rPr>
          <w:sz w:val="24"/>
          <w:szCs w:val="24"/>
        </w:rPr>
        <w:t>,</w:t>
      </w:r>
      <w:r w:rsidRPr="0029011C">
        <w:rPr>
          <w:sz w:val="24"/>
          <w:szCs w:val="24"/>
        </w:rPr>
        <w:t xml:space="preserve"> blød gelatinekapsel.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F35043" w:rsidRPr="00F35043" w:rsidRDefault="00F35043" w:rsidP="00F35043">
      <w:pPr>
        <w:tabs>
          <w:tab w:val="left" w:pos="851"/>
        </w:tabs>
        <w:ind w:left="851"/>
        <w:rPr>
          <w:sz w:val="24"/>
          <w:szCs w:val="24"/>
        </w:rPr>
      </w:pPr>
      <w:r w:rsidRPr="00F35043">
        <w:rPr>
          <w:sz w:val="24"/>
          <w:szCs w:val="24"/>
        </w:rPr>
        <w:t>Bexarotene "Amdipharm" er indiceret til behandling af hudmanifestationer hos voksne patienter med kutan T-celle lymfom (CTCL) på et fremskredet stadium, der er refraktært over for mindst én systemisk behandling.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A94CCC" w:rsidRPr="00A94CCC" w:rsidRDefault="00A94CCC" w:rsidP="00A94CCC">
      <w:pPr>
        <w:tabs>
          <w:tab w:val="left" w:pos="851"/>
        </w:tabs>
        <w:ind w:left="851"/>
        <w:rPr>
          <w:sz w:val="24"/>
          <w:szCs w:val="24"/>
        </w:rPr>
      </w:pPr>
      <w:r w:rsidRPr="00A94CCC">
        <w:rPr>
          <w:sz w:val="24"/>
          <w:szCs w:val="24"/>
        </w:rPr>
        <w:t>Bexaroten-terapi bør kun indledes og fortsættes af læger med erfaring indenfor behandling af CTCL-patienter.</w:t>
      </w:r>
    </w:p>
    <w:p w:rsidR="00A94CCC" w:rsidRDefault="00A94CCC">
      <w:pPr>
        <w:rPr>
          <w:sz w:val="24"/>
          <w:szCs w:val="24"/>
        </w:rPr>
      </w:pPr>
      <w:r>
        <w:rPr>
          <w:sz w:val="24"/>
          <w:szCs w:val="24"/>
        </w:rPr>
        <w:br w:type="page"/>
      </w:r>
    </w:p>
    <w:p w:rsidR="00A94CCC" w:rsidRPr="00A94CCC" w:rsidRDefault="00A94CCC" w:rsidP="00A94CCC">
      <w:pPr>
        <w:tabs>
          <w:tab w:val="left" w:pos="851"/>
        </w:tabs>
        <w:ind w:left="851"/>
        <w:rPr>
          <w:sz w:val="24"/>
          <w:szCs w:val="24"/>
        </w:rPr>
      </w:pPr>
    </w:p>
    <w:p w:rsidR="00A94CCC" w:rsidRPr="00A94CCC" w:rsidRDefault="00A94CCC" w:rsidP="00A94CCC">
      <w:pPr>
        <w:tabs>
          <w:tab w:val="left" w:pos="851"/>
        </w:tabs>
        <w:ind w:left="851"/>
        <w:rPr>
          <w:sz w:val="24"/>
          <w:szCs w:val="24"/>
          <w:u w:val="single"/>
        </w:rPr>
      </w:pPr>
      <w:r w:rsidRPr="00A94CCC">
        <w:rPr>
          <w:sz w:val="24"/>
          <w:szCs w:val="24"/>
          <w:u w:val="single"/>
        </w:rPr>
        <w:t>Dosering</w:t>
      </w:r>
    </w:p>
    <w:p w:rsidR="00A94CCC" w:rsidRPr="00A94CCC" w:rsidRDefault="00A94CCC" w:rsidP="00A94CCC">
      <w:pPr>
        <w:tabs>
          <w:tab w:val="left" w:pos="851"/>
        </w:tabs>
        <w:ind w:left="851"/>
        <w:rPr>
          <w:sz w:val="24"/>
          <w:szCs w:val="24"/>
        </w:rPr>
      </w:pPr>
      <w:r w:rsidRPr="00A94CCC">
        <w:rPr>
          <w:sz w:val="24"/>
          <w:szCs w:val="24"/>
        </w:rPr>
        <w:t>Den anbefalede, indledende dosis er 300 mg/m</w:t>
      </w:r>
      <w:r w:rsidRPr="00A94CCC">
        <w:rPr>
          <w:sz w:val="24"/>
          <w:szCs w:val="24"/>
          <w:vertAlign w:val="superscript"/>
        </w:rPr>
        <w:t>2</w:t>
      </w:r>
      <w:r w:rsidRPr="00A94CCC">
        <w:rPr>
          <w:sz w:val="24"/>
          <w:szCs w:val="24"/>
        </w:rPr>
        <w:t>/dag. Beregning af indledende doser, afhængigt af kropsoverflade, er som følger:</w:t>
      </w:r>
    </w:p>
    <w:p w:rsidR="00A94CCC" w:rsidRPr="00A94CCC" w:rsidRDefault="00A94CCC" w:rsidP="00A94CCC">
      <w:pPr>
        <w:tabs>
          <w:tab w:val="left" w:pos="851"/>
        </w:tabs>
        <w:ind w:left="851"/>
        <w:rPr>
          <w:sz w:val="24"/>
          <w:szCs w:val="24"/>
          <w:lang w:val="nb-NO"/>
        </w:rPr>
      </w:pPr>
    </w:p>
    <w:p w:rsidR="00A94CCC" w:rsidRPr="00A94CCC" w:rsidRDefault="00A94CCC" w:rsidP="00A94CCC">
      <w:pPr>
        <w:tabs>
          <w:tab w:val="left" w:pos="851"/>
        </w:tabs>
        <w:ind w:left="851"/>
        <w:rPr>
          <w:b/>
          <w:sz w:val="24"/>
          <w:szCs w:val="24"/>
        </w:rPr>
      </w:pPr>
      <w:r w:rsidRPr="00A94CCC">
        <w:rPr>
          <w:b/>
          <w:sz w:val="24"/>
          <w:szCs w:val="24"/>
        </w:rPr>
        <w:t>Tabel 1</w:t>
      </w:r>
      <w:r w:rsidRPr="00A94CCC">
        <w:rPr>
          <w:b/>
          <w:sz w:val="24"/>
          <w:szCs w:val="24"/>
        </w:rPr>
        <w:tab/>
        <w:t>Anbefalet indledende dosering</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935"/>
        <w:gridCol w:w="2735"/>
      </w:tblGrid>
      <w:tr w:rsidR="00A94CCC" w:rsidRPr="00A94CCC" w:rsidTr="00A00A00">
        <w:trPr>
          <w:trHeight w:val="253"/>
        </w:trPr>
        <w:tc>
          <w:tcPr>
            <w:tcW w:w="5486" w:type="dxa"/>
            <w:gridSpan w:val="2"/>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ind w:left="143"/>
              <w:rPr>
                <w:sz w:val="24"/>
                <w:szCs w:val="24"/>
              </w:rPr>
            </w:pPr>
            <w:r w:rsidRPr="00A94CCC">
              <w:rPr>
                <w:sz w:val="24"/>
                <w:szCs w:val="24"/>
              </w:rPr>
              <w:t>Indledende doseringsniveau (300 mg/ m</w:t>
            </w:r>
            <w:r w:rsidRPr="00A94CCC">
              <w:rPr>
                <w:sz w:val="24"/>
                <w:szCs w:val="24"/>
                <w:vertAlign w:val="superscript"/>
              </w:rPr>
              <w:t>2</w:t>
            </w:r>
            <w:r w:rsidRPr="00A94CCC">
              <w:rPr>
                <w:sz w:val="24"/>
                <w:szCs w:val="24"/>
              </w:rPr>
              <w:t>/dag)</w:t>
            </w:r>
          </w:p>
        </w:tc>
        <w:tc>
          <w:tcPr>
            <w:tcW w:w="2735" w:type="dxa"/>
            <w:vMerge w:val="restart"/>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ind w:left="163"/>
              <w:rPr>
                <w:sz w:val="24"/>
                <w:szCs w:val="24"/>
                <w:lang w:val="sv-SE"/>
              </w:rPr>
            </w:pPr>
            <w:r w:rsidRPr="00A94CCC">
              <w:rPr>
                <w:sz w:val="24"/>
                <w:szCs w:val="24"/>
                <w:lang w:val="sv-SE"/>
              </w:rPr>
              <w:t xml:space="preserve">Antal 75 mg Bexarotene </w:t>
            </w:r>
            <w:r w:rsidR="00A00A00">
              <w:rPr>
                <w:sz w:val="24"/>
                <w:szCs w:val="24"/>
                <w:lang w:val="sv-SE"/>
              </w:rPr>
              <w:t>"</w:t>
            </w:r>
            <w:r w:rsidRPr="00A94CCC">
              <w:rPr>
                <w:sz w:val="24"/>
                <w:szCs w:val="24"/>
                <w:lang w:val="sv-SE"/>
              </w:rPr>
              <w:t>Amdipharm</w:t>
            </w:r>
            <w:r w:rsidR="00A00A00">
              <w:rPr>
                <w:sz w:val="24"/>
                <w:szCs w:val="24"/>
                <w:lang w:val="sv-SE"/>
              </w:rPr>
              <w:t>"</w:t>
            </w:r>
            <w:r w:rsidRPr="00A94CCC">
              <w:rPr>
                <w:sz w:val="24"/>
                <w:szCs w:val="24"/>
                <w:lang w:val="sv-SE"/>
              </w:rPr>
              <w:t xml:space="preserve"> kapsler</w:t>
            </w:r>
          </w:p>
        </w:tc>
      </w:tr>
      <w:tr w:rsidR="00A94CCC" w:rsidRPr="00A94CCC" w:rsidTr="00A00A00">
        <w:trPr>
          <w:trHeight w:val="330"/>
        </w:trPr>
        <w:tc>
          <w:tcPr>
            <w:tcW w:w="2551"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ind w:left="143"/>
              <w:rPr>
                <w:sz w:val="24"/>
                <w:szCs w:val="24"/>
                <w:lang w:val="en-US"/>
              </w:rPr>
            </w:pPr>
            <w:r w:rsidRPr="00A94CCC">
              <w:rPr>
                <w:sz w:val="24"/>
                <w:szCs w:val="24"/>
                <w:lang w:val="en-US"/>
              </w:rPr>
              <w:t>Kropsoverflade (m</w:t>
            </w:r>
            <w:r w:rsidRPr="00A94CCC">
              <w:rPr>
                <w:sz w:val="24"/>
                <w:szCs w:val="24"/>
                <w:vertAlign w:val="superscript"/>
                <w:lang w:val="en-US"/>
              </w:rPr>
              <w:t>2</w:t>
            </w:r>
            <w:r w:rsidRPr="00A94CCC">
              <w:rPr>
                <w:sz w:val="24"/>
                <w:szCs w:val="24"/>
                <w:lang w:val="en-US"/>
              </w:rPr>
              <w:t>)</w:t>
            </w:r>
          </w:p>
        </w:tc>
        <w:tc>
          <w:tcPr>
            <w:tcW w:w="2935"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ind w:left="143"/>
              <w:rPr>
                <w:sz w:val="24"/>
                <w:szCs w:val="24"/>
              </w:rPr>
            </w:pPr>
            <w:r w:rsidRPr="00A94CCC">
              <w:rPr>
                <w:sz w:val="24"/>
                <w:szCs w:val="24"/>
              </w:rPr>
              <w:t>Total, daglig dosis (mg/dag)</w:t>
            </w:r>
          </w:p>
        </w:tc>
        <w:tc>
          <w:tcPr>
            <w:tcW w:w="2735" w:type="dxa"/>
            <w:vMerge/>
            <w:tcBorders>
              <w:top w:val="single" w:sz="4" w:space="0" w:color="000000"/>
              <w:left w:val="single" w:sz="4" w:space="0" w:color="000000"/>
              <w:bottom w:val="single" w:sz="4" w:space="0" w:color="000000"/>
              <w:right w:val="single" w:sz="4" w:space="0" w:color="000000"/>
            </w:tcBorders>
            <w:vAlign w:val="center"/>
            <w:hideMark/>
          </w:tcPr>
          <w:p w:rsidR="00A94CCC" w:rsidRPr="00A94CCC" w:rsidRDefault="00A94CCC" w:rsidP="00A94CCC">
            <w:pPr>
              <w:tabs>
                <w:tab w:val="left" w:pos="851"/>
              </w:tabs>
              <w:ind w:left="851"/>
              <w:rPr>
                <w:sz w:val="24"/>
                <w:szCs w:val="24"/>
                <w:lang w:val="sv-SE"/>
              </w:rPr>
            </w:pPr>
          </w:p>
        </w:tc>
      </w:tr>
      <w:tr w:rsidR="00A94CCC" w:rsidRPr="00A94CCC" w:rsidTr="00A00A00">
        <w:trPr>
          <w:trHeight w:val="335"/>
        </w:trPr>
        <w:tc>
          <w:tcPr>
            <w:tcW w:w="2551"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ind w:left="143"/>
              <w:rPr>
                <w:sz w:val="24"/>
                <w:szCs w:val="24"/>
                <w:lang w:val="en-US"/>
              </w:rPr>
            </w:pPr>
            <w:r w:rsidRPr="00A94CCC">
              <w:rPr>
                <w:sz w:val="24"/>
                <w:szCs w:val="24"/>
                <w:lang w:val="en-US"/>
              </w:rPr>
              <w:t>0,88 – 1,12</w:t>
            </w:r>
          </w:p>
        </w:tc>
        <w:tc>
          <w:tcPr>
            <w:tcW w:w="2935"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ind w:left="143"/>
              <w:rPr>
                <w:sz w:val="24"/>
                <w:szCs w:val="24"/>
                <w:lang w:val="en-US"/>
              </w:rPr>
            </w:pPr>
            <w:r w:rsidRPr="00A94CCC">
              <w:rPr>
                <w:sz w:val="24"/>
                <w:szCs w:val="24"/>
                <w:lang w:val="en-US"/>
              </w:rPr>
              <w:t>300</w:t>
            </w:r>
          </w:p>
        </w:tc>
        <w:tc>
          <w:tcPr>
            <w:tcW w:w="2735"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tabs>
                <w:tab w:val="left" w:pos="851"/>
              </w:tabs>
              <w:ind w:left="163"/>
              <w:rPr>
                <w:sz w:val="24"/>
                <w:szCs w:val="24"/>
                <w:lang w:val="en-US"/>
              </w:rPr>
            </w:pPr>
            <w:r w:rsidRPr="00A94CCC">
              <w:rPr>
                <w:sz w:val="24"/>
                <w:szCs w:val="24"/>
                <w:lang w:val="en-US"/>
              </w:rPr>
              <w:t>4</w:t>
            </w:r>
          </w:p>
        </w:tc>
      </w:tr>
      <w:tr w:rsidR="00A94CCC" w:rsidRPr="00A94CCC" w:rsidTr="00A00A00">
        <w:trPr>
          <w:trHeight w:val="330"/>
        </w:trPr>
        <w:tc>
          <w:tcPr>
            <w:tcW w:w="2551"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ind w:left="143"/>
              <w:rPr>
                <w:sz w:val="24"/>
                <w:szCs w:val="24"/>
                <w:lang w:val="en-US"/>
              </w:rPr>
            </w:pPr>
            <w:r w:rsidRPr="00A94CCC">
              <w:rPr>
                <w:sz w:val="24"/>
                <w:szCs w:val="24"/>
                <w:lang w:val="en-US"/>
              </w:rPr>
              <w:t>1,13 - 1,37</w:t>
            </w:r>
          </w:p>
        </w:tc>
        <w:tc>
          <w:tcPr>
            <w:tcW w:w="2935"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ind w:left="143"/>
              <w:rPr>
                <w:sz w:val="24"/>
                <w:szCs w:val="24"/>
                <w:lang w:val="en-US"/>
              </w:rPr>
            </w:pPr>
            <w:r w:rsidRPr="00A94CCC">
              <w:rPr>
                <w:sz w:val="24"/>
                <w:szCs w:val="24"/>
                <w:lang w:val="en-US"/>
              </w:rPr>
              <w:t>375</w:t>
            </w:r>
          </w:p>
        </w:tc>
        <w:tc>
          <w:tcPr>
            <w:tcW w:w="2735"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tabs>
                <w:tab w:val="left" w:pos="851"/>
              </w:tabs>
              <w:ind w:left="163"/>
              <w:rPr>
                <w:sz w:val="24"/>
                <w:szCs w:val="24"/>
                <w:lang w:val="en-US"/>
              </w:rPr>
            </w:pPr>
            <w:r w:rsidRPr="00A94CCC">
              <w:rPr>
                <w:sz w:val="24"/>
                <w:szCs w:val="24"/>
                <w:lang w:val="en-US"/>
              </w:rPr>
              <w:t>5</w:t>
            </w:r>
          </w:p>
        </w:tc>
      </w:tr>
      <w:tr w:rsidR="00A94CCC" w:rsidRPr="00A94CCC" w:rsidTr="00A00A00">
        <w:trPr>
          <w:trHeight w:val="335"/>
        </w:trPr>
        <w:tc>
          <w:tcPr>
            <w:tcW w:w="2551"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ind w:left="143"/>
              <w:rPr>
                <w:sz w:val="24"/>
                <w:szCs w:val="24"/>
                <w:lang w:val="en-US"/>
              </w:rPr>
            </w:pPr>
            <w:r w:rsidRPr="00A94CCC">
              <w:rPr>
                <w:sz w:val="24"/>
                <w:szCs w:val="24"/>
                <w:lang w:val="en-US"/>
              </w:rPr>
              <w:t>1,38 - 1,62</w:t>
            </w:r>
          </w:p>
        </w:tc>
        <w:tc>
          <w:tcPr>
            <w:tcW w:w="2935"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ind w:left="143"/>
              <w:rPr>
                <w:sz w:val="24"/>
                <w:szCs w:val="24"/>
                <w:lang w:val="en-US"/>
              </w:rPr>
            </w:pPr>
            <w:r w:rsidRPr="00A94CCC">
              <w:rPr>
                <w:sz w:val="24"/>
                <w:szCs w:val="24"/>
                <w:lang w:val="en-US"/>
              </w:rPr>
              <w:t>450</w:t>
            </w:r>
          </w:p>
        </w:tc>
        <w:tc>
          <w:tcPr>
            <w:tcW w:w="2735"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tabs>
                <w:tab w:val="left" w:pos="851"/>
              </w:tabs>
              <w:ind w:left="163"/>
              <w:rPr>
                <w:sz w:val="24"/>
                <w:szCs w:val="24"/>
                <w:lang w:val="en-US"/>
              </w:rPr>
            </w:pPr>
            <w:r w:rsidRPr="00A94CCC">
              <w:rPr>
                <w:sz w:val="24"/>
                <w:szCs w:val="24"/>
                <w:lang w:val="en-US"/>
              </w:rPr>
              <w:t>6</w:t>
            </w:r>
          </w:p>
        </w:tc>
      </w:tr>
      <w:tr w:rsidR="00A94CCC" w:rsidRPr="00A94CCC" w:rsidTr="00A00A00">
        <w:trPr>
          <w:trHeight w:val="330"/>
        </w:trPr>
        <w:tc>
          <w:tcPr>
            <w:tcW w:w="2551"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ind w:left="143"/>
              <w:rPr>
                <w:sz w:val="24"/>
                <w:szCs w:val="24"/>
                <w:lang w:val="en-US"/>
              </w:rPr>
            </w:pPr>
            <w:r w:rsidRPr="00A94CCC">
              <w:rPr>
                <w:sz w:val="24"/>
                <w:szCs w:val="24"/>
                <w:lang w:val="en-US"/>
              </w:rPr>
              <w:t>1,63 - 1,87</w:t>
            </w:r>
          </w:p>
        </w:tc>
        <w:tc>
          <w:tcPr>
            <w:tcW w:w="2935"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ind w:left="143"/>
              <w:rPr>
                <w:sz w:val="24"/>
                <w:szCs w:val="24"/>
                <w:lang w:val="en-US"/>
              </w:rPr>
            </w:pPr>
            <w:r w:rsidRPr="00A94CCC">
              <w:rPr>
                <w:sz w:val="24"/>
                <w:szCs w:val="24"/>
                <w:lang w:val="en-US"/>
              </w:rPr>
              <w:t>525</w:t>
            </w:r>
          </w:p>
        </w:tc>
        <w:tc>
          <w:tcPr>
            <w:tcW w:w="2735"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tabs>
                <w:tab w:val="left" w:pos="851"/>
              </w:tabs>
              <w:ind w:left="163"/>
              <w:rPr>
                <w:sz w:val="24"/>
                <w:szCs w:val="24"/>
                <w:lang w:val="en-US"/>
              </w:rPr>
            </w:pPr>
            <w:r w:rsidRPr="00A94CCC">
              <w:rPr>
                <w:sz w:val="24"/>
                <w:szCs w:val="24"/>
                <w:lang w:val="en-US"/>
              </w:rPr>
              <w:t>7</w:t>
            </w:r>
          </w:p>
        </w:tc>
      </w:tr>
      <w:tr w:rsidR="00A94CCC" w:rsidRPr="00A94CCC" w:rsidTr="00A00A00">
        <w:trPr>
          <w:trHeight w:val="335"/>
        </w:trPr>
        <w:tc>
          <w:tcPr>
            <w:tcW w:w="2551"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ind w:left="143"/>
              <w:rPr>
                <w:sz w:val="24"/>
                <w:szCs w:val="24"/>
                <w:lang w:val="en-US"/>
              </w:rPr>
            </w:pPr>
            <w:r w:rsidRPr="00A94CCC">
              <w:rPr>
                <w:sz w:val="24"/>
                <w:szCs w:val="24"/>
                <w:lang w:val="en-US"/>
              </w:rPr>
              <w:t>1,88 - 2,12</w:t>
            </w:r>
          </w:p>
        </w:tc>
        <w:tc>
          <w:tcPr>
            <w:tcW w:w="2935"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ind w:left="143"/>
              <w:rPr>
                <w:sz w:val="24"/>
                <w:szCs w:val="24"/>
                <w:lang w:val="en-US"/>
              </w:rPr>
            </w:pPr>
            <w:r w:rsidRPr="00A94CCC">
              <w:rPr>
                <w:sz w:val="24"/>
                <w:szCs w:val="24"/>
                <w:lang w:val="en-US"/>
              </w:rPr>
              <w:t>600</w:t>
            </w:r>
          </w:p>
        </w:tc>
        <w:tc>
          <w:tcPr>
            <w:tcW w:w="2735"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tabs>
                <w:tab w:val="left" w:pos="851"/>
              </w:tabs>
              <w:ind w:left="163"/>
              <w:rPr>
                <w:sz w:val="24"/>
                <w:szCs w:val="24"/>
                <w:lang w:val="en-US"/>
              </w:rPr>
            </w:pPr>
            <w:r w:rsidRPr="00A94CCC">
              <w:rPr>
                <w:sz w:val="24"/>
                <w:szCs w:val="24"/>
                <w:lang w:val="en-US"/>
              </w:rPr>
              <w:t>8</w:t>
            </w:r>
          </w:p>
        </w:tc>
      </w:tr>
      <w:tr w:rsidR="00A94CCC" w:rsidRPr="00A94CCC" w:rsidTr="00A00A00">
        <w:trPr>
          <w:trHeight w:val="330"/>
        </w:trPr>
        <w:tc>
          <w:tcPr>
            <w:tcW w:w="2551"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ind w:left="143"/>
              <w:rPr>
                <w:sz w:val="24"/>
                <w:szCs w:val="24"/>
                <w:lang w:val="en-US"/>
              </w:rPr>
            </w:pPr>
            <w:r w:rsidRPr="00A94CCC">
              <w:rPr>
                <w:sz w:val="24"/>
                <w:szCs w:val="24"/>
                <w:lang w:val="en-US"/>
              </w:rPr>
              <w:t>2,13 - 2,37</w:t>
            </w:r>
          </w:p>
        </w:tc>
        <w:tc>
          <w:tcPr>
            <w:tcW w:w="2935"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ind w:left="143"/>
              <w:rPr>
                <w:sz w:val="24"/>
                <w:szCs w:val="24"/>
                <w:lang w:val="en-US"/>
              </w:rPr>
            </w:pPr>
            <w:r w:rsidRPr="00A94CCC">
              <w:rPr>
                <w:sz w:val="24"/>
                <w:szCs w:val="24"/>
                <w:lang w:val="en-US"/>
              </w:rPr>
              <w:t>675</w:t>
            </w:r>
          </w:p>
        </w:tc>
        <w:tc>
          <w:tcPr>
            <w:tcW w:w="2735"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tabs>
                <w:tab w:val="left" w:pos="851"/>
              </w:tabs>
              <w:ind w:left="163"/>
              <w:rPr>
                <w:sz w:val="24"/>
                <w:szCs w:val="24"/>
                <w:lang w:val="en-US"/>
              </w:rPr>
            </w:pPr>
            <w:r w:rsidRPr="00A94CCC">
              <w:rPr>
                <w:sz w:val="24"/>
                <w:szCs w:val="24"/>
                <w:lang w:val="en-US"/>
              </w:rPr>
              <w:t>9</w:t>
            </w:r>
          </w:p>
        </w:tc>
      </w:tr>
      <w:tr w:rsidR="00A94CCC" w:rsidRPr="00A94CCC" w:rsidTr="00A00A00">
        <w:trPr>
          <w:trHeight w:val="335"/>
        </w:trPr>
        <w:tc>
          <w:tcPr>
            <w:tcW w:w="2551"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ind w:left="143"/>
              <w:rPr>
                <w:sz w:val="24"/>
                <w:szCs w:val="24"/>
                <w:lang w:val="en-US"/>
              </w:rPr>
            </w:pPr>
            <w:r w:rsidRPr="00A94CCC">
              <w:rPr>
                <w:sz w:val="24"/>
                <w:szCs w:val="24"/>
                <w:lang w:val="en-US"/>
              </w:rPr>
              <w:t>2,38 - 2,62</w:t>
            </w:r>
          </w:p>
        </w:tc>
        <w:tc>
          <w:tcPr>
            <w:tcW w:w="2935"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ind w:left="143"/>
              <w:rPr>
                <w:sz w:val="24"/>
                <w:szCs w:val="24"/>
                <w:lang w:val="en-US"/>
              </w:rPr>
            </w:pPr>
            <w:r w:rsidRPr="00A94CCC">
              <w:rPr>
                <w:sz w:val="24"/>
                <w:szCs w:val="24"/>
                <w:lang w:val="en-US"/>
              </w:rPr>
              <w:t>750</w:t>
            </w:r>
          </w:p>
        </w:tc>
        <w:tc>
          <w:tcPr>
            <w:tcW w:w="2735" w:type="dxa"/>
            <w:tcBorders>
              <w:top w:val="single" w:sz="4" w:space="0" w:color="000000"/>
              <w:left w:val="single" w:sz="4" w:space="0" w:color="000000"/>
              <w:bottom w:val="single" w:sz="4" w:space="0" w:color="000000"/>
              <w:right w:val="single" w:sz="4" w:space="0" w:color="000000"/>
            </w:tcBorders>
            <w:hideMark/>
          </w:tcPr>
          <w:p w:rsidR="00A94CCC" w:rsidRPr="00A94CCC" w:rsidRDefault="00A94CCC" w:rsidP="00A94CCC">
            <w:pPr>
              <w:tabs>
                <w:tab w:val="left" w:pos="851"/>
              </w:tabs>
              <w:ind w:left="163"/>
              <w:rPr>
                <w:sz w:val="24"/>
                <w:szCs w:val="24"/>
                <w:lang w:val="en-US"/>
              </w:rPr>
            </w:pPr>
            <w:r w:rsidRPr="00A94CCC">
              <w:rPr>
                <w:sz w:val="24"/>
                <w:szCs w:val="24"/>
                <w:lang w:val="en-US"/>
              </w:rPr>
              <w:t>10</w:t>
            </w:r>
          </w:p>
        </w:tc>
      </w:tr>
    </w:tbl>
    <w:p w:rsidR="00A94CCC" w:rsidRPr="00A94CCC" w:rsidRDefault="00A94CCC" w:rsidP="00A94CCC">
      <w:pPr>
        <w:tabs>
          <w:tab w:val="left" w:pos="851"/>
        </w:tabs>
        <w:ind w:left="851"/>
        <w:rPr>
          <w:sz w:val="24"/>
          <w:szCs w:val="24"/>
        </w:rPr>
      </w:pPr>
    </w:p>
    <w:p w:rsidR="00A94CCC" w:rsidRPr="00A94CCC" w:rsidRDefault="00A94CCC" w:rsidP="00A94CCC">
      <w:pPr>
        <w:tabs>
          <w:tab w:val="left" w:pos="851"/>
        </w:tabs>
        <w:ind w:left="851"/>
        <w:rPr>
          <w:i/>
          <w:iCs/>
          <w:sz w:val="24"/>
          <w:szCs w:val="24"/>
        </w:rPr>
      </w:pPr>
      <w:r w:rsidRPr="00A94CCC">
        <w:rPr>
          <w:i/>
          <w:iCs/>
          <w:sz w:val="24"/>
          <w:szCs w:val="24"/>
        </w:rPr>
        <w:t>Retningslinier ved ændring af dosering</w:t>
      </w:r>
    </w:p>
    <w:p w:rsidR="00A94CCC" w:rsidRPr="00A94CCC" w:rsidRDefault="00A94CCC" w:rsidP="00A94CCC">
      <w:pPr>
        <w:tabs>
          <w:tab w:val="left" w:pos="851"/>
        </w:tabs>
        <w:ind w:left="851"/>
        <w:rPr>
          <w:sz w:val="24"/>
          <w:szCs w:val="24"/>
        </w:rPr>
      </w:pPr>
      <w:r w:rsidRPr="00A94CCC">
        <w:rPr>
          <w:sz w:val="24"/>
          <w:szCs w:val="24"/>
        </w:rPr>
        <w:t>Den daglige dosis på 300 mg/m</w:t>
      </w:r>
      <w:r w:rsidRPr="00A94CCC">
        <w:rPr>
          <w:sz w:val="24"/>
          <w:szCs w:val="24"/>
          <w:vertAlign w:val="superscript"/>
        </w:rPr>
        <w:t>2</w:t>
      </w:r>
      <w:r w:rsidRPr="00A94CCC">
        <w:rPr>
          <w:sz w:val="24"/>
          <w:szCs w:val="24"/>
        </w:rPr>
        <w:t>/dag kan justeres til 200 mg/m</w:t>
      </w:r>
      <w:r w:rsidRPr="00A94CCC">
        <w:rPr>
          <w:sz w:val="24"/>
          <w:szCs w:val="24"/>
          <w:vertAlign w:val="superscript"/>
        </w:rPr>
        <w:t>2</w:t>
      </w:r>
      <w:r w:rsidRPr="00A94CCC">
        <w:rPr>
          <w:sz w:val="24"/>
          <w:szCs w:val="24"/>
        </w:rPr>
        <w:t>/dag, senere til 100 mg/m</w:t>
      </w:r>
      <w:r w:rsidRPr="00A94CCC">
        <w:rPr>
          <w:sz w:val="24"/>
          <w:szCs w:val="24"/>
          <w:vertAlign w:val="superscript"/>
        </w:rPr>
        <w:t>2</w:t>
      </w:r>
      <w:r w:rsidRPr="00A94CCC">
        <w:rPr>
          <w:sz w:val="24"/>
          <w:szCs w:val="24"/>
        </w:rPr>
        <w:t>/dag. Doseringen kan også midlertidigt indstilles, såfremt toksicitet nødvendiggør dette. Når der er opnået kontrol over toksiciteten, kan doseringen forsigtigt genjusteres opad. Under behørigt, klinisk opsyn kan enkelte patienter drage nytte af doser på over 300 mg/m</w:t>
      </w:r>
      <w:r w:rsidRPr="00A94CCC">
        <w:rPr>
          <w:sz w:val="24"/>
          <w:szCs w:val="24"/>
          <w:vertAlign w:val="superscript"/>
        </w:rPr>
        <w:t>2</w:t>
      </w:r>
      <w:r w:rsidRPr="00A94CCC">
        <w:rPr>
          <w:sz w:val="24"/>
          <w:szCs w:val="24"/>
        </w:rPr>
        <w:t>/dag. Der er ikke foretaget evaluering af doser på mere end 650 mg/m</w:t>
      </w:r>
      <w:r w:rsidRPr="00A94CCC">
        <w:rPr>
          <w:sz w:val="24"/>
          <w:szCs w:val="24"/>
          <w:vertAlign w:val="superscript"/>
        </w:rPr>
        <w:t>2</w:t>
      </w:r>
      <w:r w:rsidRPr="00A94CCC">
        <w:rPr>
          <w:sz w:val="24"/>
          <w:szCs w:val="24"/>
        </w:rPr>
        <w:t>/dag for CTCL-patienters vedkommende. I kliniske forsøg doseredes bexaroten til CTCL-patienter i op til 118 uger. Behandlingen bør fortsættes, så længe patienten drager nytte af den.</w:t>
      </w:r>
    </w:p>
    <w:p w:rsidR="00A94CCC" w:rsidRPr="00A94CCC" w:rsidRDefault="00A94CCC" w:rsidP="00A94CCC">
      <w:pPr>
        <w:tabs>
          <w:tab w:val="left" w:pos="851"/>
        </w:tabs>
        <w:ind w:left="851"/>
        <w:rPr>
          <w:sz w:val="24"/>
          <w:szCs w:val="24"/>
        </w:rPr>
      </w:pPr>
    </w:p>
    <w:p w:rsidR="00A94CCC" w:rsidRPr="00A94CCC" w:rsidRDefault="00A94CCC" w:rsidP="00A94CCC">
      <w:pPr>
        <w:tabs>
          <w:tab w:val="left" w:pos="851"/>
        </w:tabs>
        <w:ind w:left="851"/>
        <w:rPr>
          <w:i/>
          <w:iCs/>
          <w:sz w:val="24"/>
          <w:szCs w:val="24"/>
        </w:rPr>
      </w:pPr>
      <w:r w:rsidRPr="00A94CCC">
        <w:rPr>
          <w:i/>
          <w:iCs/>
          <w:sz w:val="24"/>
          <w:szCs w:val="24"/>
        </w:rPr>
        <w:t>Pædiatrisk population</w:t>
      </w:r>
    </w:p>
    <w:p w:rsidR="00A94CCC" w:rsidRPr="00A94CCC" w:rsidRDefault="00A94CCC" w:rsidP="00A94CCC">
      <w:pPr>
        <w:tabs>
          <w:tab w:val="left" w:pos="851"/>
        </w:tabs>
        <w:ind w:left="851"/>
        <w:rPr>
          <w:sz w:val="24"/>
          <w:szCs w:val="24"/>
        </w:rPr>
      </w:pPr>
      <w:r w:rsidRPr="00A94CCC">
        <w:rPr>
          <w:sz w:val="24"/>
          <w:szCs w:val="24"/>
        </w:rPr>
        <w:t>Bexarotens kliniske sikkerhed og virkning hos børn (under 18 år) er ikke klarlagt. Der foreligger ingen data.</w:t>
      </w:r>
    </w:p>
    <w:p w:rsidR="00A94CCC" w:rsidRPr="00A94CCC" w:rsidRDefault="00A94CCC" w:rsidP="00A94CCC">
      <w:pPr>
        <w:tabs>
          <w:tab w:val="left" w:pos="851"/>
        </w:tabs>
        <w:ind w:left="851"/>
        <w:rPr>
          <w:sz w:val="24"/>
          <w:szCs w:val="24"/>
        </w:rPr>
      </w:pPr>
    </w:p>
    <w:p w:rsidR="00A94CCC" w:rsidRPr="00A94CCC" w:rsidRDefault="00A94CCC" w:rsidP="00A94CCC">
      <w:pPr>
        <w:tabs>
          <w:tab w:val="left" w:pos="851"/>
        </w:tabs>
        <w:ind w:left="851"/>
        <w:rPr>
          <w:i/>
          <w:iCs/>
          <w:sz w:val="24"/>
          <w:szCs w:val="24"/>
        </w:rPr>
      </w:pPr>
      <w:r w:rsidRPr="00A94CCC">
        <w:rPr>
          <w:i/>
          <w:iCs/>
          <w:sz w:val="24"/>
          <w:szCs w:val="24"/>
        </w:rPr>
        <w:t>Ældre patienter</w:t>
      </w:r>
    </w:p>
    <w:p w:rsidR="00A94CCC" w:rsidRPr="00A94CCC" w:rsidRDefault="00A94CCC" w:rsidP="00A94CCC">
      <w:pPr>
        <w:tabs>
          <w:tab w:val="left" w:pos="851"/>
        </w:tabs>
        <w:ind w:left="851"/>
        <w:rPr>
          <w:sz w:val="24"/>
          <w:szCs w:val="24"/>
        </w:rPr>
      </w:pPr>
      <w:r w:rsidRPr="00A94CCC">
        <w:rPr>
          <w:sz w:val="24"/>
          <w:szCs w:val="24"/>
        </w:rPr>
        <w:t>Ud af det samlede antal CTCL-patienter i kliniske undersøgelser var 61% 60 år eller ældre, mens 30% var 70 år eller ældre. Der observeredes ingen overordnet forskel med hensyn til sikkerhed mellem patienter på 70 år eller mere og yngre patienter. Det kan dog ikke udelukkes, at visse ældre patienter kan udvise større følsomhed over for bexaroten. Standarddoseringen bør anvendes hos ældre patienter.</w:t>
      </w:r>
    </w:p>
    <w:p w:rsidR="00A94CCC" w:rsidRPr="00A94CCC" w:rsidRDefault="00A94CCC" w:rsidP="00A94CCC">
      <w:pPr>
        <w:tabs>
          <w:tab w:val="left" w:pos="851"/>
        </w:tabs>
        <w:ind w:left="851"/>
        <w:rPr>
          <w:sz w:val="24"/>
          <w:szCs w:val="24"/>
        </w:rPr>
      </w:pPr>
    </w:p>
    <w:p w:rsidR="00A94CCC" w:rsidRPr="00A94CCC" w:rsidRDefault="00A94CCC" w:rsidP="00A94CCC">
      <w:pPr>
        <w:tabs>
          <w:tab w:val="left" w:pos="851"/>
        </w:tabs>
        <w:ind w:left="851"/>
        <w:rPr>
          <w:i/>
          <w:iCs/>
          <w:sz w:val="24"/>
          <w:szCs w:val="24"/>
        </w:rPr>
      </w:pPr>
      <w:r w:rsidRPr="00A94CCC">
        <w:rPr>
          <w:i/>
          <w:iCs/>
          <w:sz w:val="24"/>
          <w:szCs w:val="24"/>
        </w:rPr>
        <w:t>Patienter med nedsat nyrefunktion</w:t>
      </w:r>
    </w:p>
    <w:p w:rsidR="00A94CCC" w:rsidRPr="00A94CCC" w:rsidRDefault="00A94CCC" w:rsidP="00A94CCC">
      <w:pPr>
        <w:tabs>
          <w:tab w:val="left" w:pos="851"/>
        </w:tabs>
        <w:ind w:left="851"/>
        <w:rPr>
          <w:sz w:val="24"/>
          <w:szCs w:val="24"/>
        </w:rPr>
      </w:pPr>
      <w:r w:rsidRPr="00A94CCC">
        <w:rPr>
          <w:sz w:val="24"/>
          <w:szCs w:val="24"/>
        </w:rPr>
        <w:t>Der foreligger ingen formelle studier af patienter med nedsat nyrefunktion. Kliniske, farmakokinetiske data antyder, at renal udskillelse af bexaroten og dets metabolitter er en mindre væsentlig ekskretorisk vej for bexaroten. Hos alle evaluerede patienter var den anslåede renale clearance mindre end 1 ml/minut. I lyset af de begrænsede oplysninger bør patienter med nedsat nyrefunktion overvåges omhyggeligt under terapiforløb med bexaroten.</w:t>
      </w:r>
    </w:p>
    <w:p w:rsidR="00A94CCC" w:rsidRPr="00A94CCC" w:rsidRDefault="00A94CCC" w:rsidP="00A94CCC">
      <w:pPr>
        <w:tabs>
          <w:tab w:val="left" w:pos="851"/>
        </w:tabs>
        <w:ind w:left="851"/>
        <w:rPr>
          <w:sz w:val="24"/>
          <w:szCs w:val="24"/>
        </w:rPr>
      </w:pPr>
    </w:p>
    <w:p w:rsidR="00A94CCC" w:rsidRPr="00A94CCC" w:rsidRDefault="00A94CCC" w:rsidP="00A94CCC">
      <w:pPr>
        <w:tabs>
          <w:tab w:val="left" w:pos="851"/>
        </w:tabs>
        <w:ind w:left="851"/>
        <w:rPr>
          <w:sz w:val="24"/>
          <w:szCs w:val="24"/>
          <w:u w:val="single"/>
        </w:rPr>
      </w:pPr>
      <w:r w:rsidRPr="00A94CCC">
        <w:rPr>
          <w:sz w:val="24"/>
          <w:szCs w:val="24"/>
          <w:u w:val="single"/>
        </w:rPr>
        <w:t>Administration</w:t>
      </w:r>
    </w:p>
    <w:p w:rsidR="00A94CCC" w:rsidRPr="00A94CCC" w:rsidRDefault="00A94CCC" w:rsidP="00A94CCC">
      <w:pPr>
        <w:tabs>
          <w:tab w:val="left" w:pos="851"/>
        </w:tabs>
        <w:ind w:left="851"/>
        <w:rPr>
          <w:sz w:val="24"/>
          <w:szCs w:val="24"/>
        </w:rPr>
      </w:pPr>
      <w:r w:rsidRPr="00A94CCC">
        <w:rPr>
          <w:sz w:val="24"/>
          <w:szCs w:val="24"/>
        </w:rPr>
        <w:t>Oral anvendelse.</w:t>
      </w:r>
    </w:p>
    <w:p w:rsidR="00A94CCC" w:rsidRPr="00A94CCC" w:rsidRDefault="00A94CCC" w:rsidP="00A94CCC">
      <w:pPr>
        <w:tabs>
          <w:tab w:val="left" w:pos="851"/>
        </w:tabs>
        <w:ind w:left="851"/>
        <w:rPr>
          <w:sz w:val="24"/>
          <w:szCs w:val="24"/>
        </w:rPr>
      </w:pPr>
    </w:p>
    <w:p w:rsidR="00A94CCC" w:rsidRPr="00A94CCC" w:rsidRDefault="00A94CCC" w:rsidP="00A94CCC">
      <w:pPr>
        <w:tabs>
          <w:tab w:val="left" w:pos="851"/>
        </w:tabs>
        <w:ind w:left="851"/>
        <w:rPr>
          <w:sz w:val="24"/>
          <w:szCs w:val="24"/>
        </w:rPr>
      </w:pPr>
      <w:r w:rsidRPr="00A94CCC">
        <w:rPr>
          <w:sz w:val="24"/>
          <w:szCs w:val="24"/>
        </w:rPr>
        <w:t>Bexarotene "Amdipharm"-kapsler skal tages som en enkelt oral, daglig dosis i forbindelse med et måltid. Kapslen må ikke tygges.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A94CCC" w:rsidRPr="00A94CCC" w:rsidRDefault="00A94CCC" w:rsidP="00A94CCC">
      <w:pPr>
        <w:tabs>
          <w:tab w:val="left" w:pos="851"/>
        </w:tabs>
        <w:ind w:left="851"/>
        <w:rPr>
          <w:sz w:val="24"/>
          <w:szCs w:val="24"/>
        </w:rPr>
      </w:pPr>
      <w:r w:rsidRPr="00A94CCC">
        <w:rPr>
          <w:sz w:val="24"/>
          <w:szCs w:val="24"/>
        </w:rPr>
        <w:t>Overfølsomhed over for det aktive stof eller over for et eller flere af hjælpestofferne anført i pkt. 6.1.</w:t>
      </w:r>
    </w:p>
    <w:p w:rsidR="00A94CCC" w:rsidRPr="00A94CCC" w:rsidRDefault="00A94CCC" w:rsidP="00A94CCC">
      <w:pPr>
        <w:tabs>
          <w:tab w:val="left" w:pos="851"/>
        </w:tabs>
        <w:ind w:left="851"/>
        <w:rPr>
          <w:sz w:val="24"/>
          <w:szCs w:val="24"/>
        </w:rPr>
      </w:pPr>
      <w:r w:rsidRPr="00A94CCC">
        <w:rPr>
          <w:sz w:val="24"/>
          <w:szCs w:val="24"/>
        </w:rPr>
        <w:t>Graviditet og amning</w:t>
      </w:r>
    </w:p>
    <w:p w:rsidR="00A94CCC" w:rsidRPr="00A94CCC" w:rsidRDefault="00A94CCC" w:rsidP="00A94CCC">
      <w:pPr>
        <w:tabs>
          <w:tab w:val="left" w:pos="851"/>
        </w:tabs>
        <w:ind w:left="851"/>
        <w:rPr>
          <w:sz w:val="24"/>
          <w:szCs w:val="24"/>
        </w:rPr>
      </w:pPr>
      <w:r w:rsidRPr="00A94CCC">
        <w:rPr>
          <w:sz w:val="24"/>
          <w:szCs w:val="24"/>
        </w:rPr>
        <w:t xml:space="preserve">Fødedygtige kvinder uden effektiv prævention </w:t>
      </w:r>
    </w:p>
    <w:p w:rsidR="00A94CCC" w:rsidRPr="00A94CCC" w:rsidRDefault="00A94CCC" w:rsidP="00A94CCC">
      <w:pPr>
        <w:tabs>
          <w:tab w:val="left" w:pos="851"/>
        </w:tabs>
        <w:ind w:left="851"/>
        <w:rPr>
          <w:sz w:val="24"/>
          <w:szCs w:val="24"/>
        </w:rPr>
      </w:pPr>
      <w:r w:rsidRPr="00A94CCC">
        <w:rPr>
          <w:sz w:val="24"/>
          <w:szCs w:val="24"/>
        </w:rPr>
        <w:t>Tidligere tilfælde af pankreatitis</w:t>
      </w:r>
    </w:p>
    <w:p w:rsidR="00A94CCC" w:rsidRPr="00A94CCC" w:rsidRDefault="00A94CCC" w:rsidP="00A94CCC">
      <w:pPr>
        <w:tabs>
          <w:tab w:val="left" w:pos="851"/>
        </w:tabs>
        <w:ind w:left="851"/>
        <w:rPr>
          <w:sz w:val="24"/>
          <w:szCs w:val="24"/>
        </w:rPr>
      </w:pPr>
      <w:r w:rsidRPr="00A94CCC">
        <w:rPr>
          <w:sz w:val="24"/>
          <w:szCs w:val="24"/>
        </w:rPr>
        <w:t xml:space="preserve">Ukontrolleret hyperkolesterolæmi </w:t>
      </w:r>
    </w:p>
    <w:p w:rsidR="00A94CCC" w:rsidRPr="00A94CCC" w:rsidRDefault="00A94CCC" w:rsidP="00A94CCC">
      <w:pPr>
        <w:tabs>
          <w:tab w:val="left" w:pos="851"/>
        </w:tabs>
        <w:ind w:left="851"/>
        <w:rPr>
          <w:sz w:val="24"/>
          <w:szCs w:val="24"/>
        </w:rPr>
      </w:pPr>
      <w:r w:rsidRPr="00A94CCC">
        <w:rPr>
          <w:sz w:val="24"/>
          <w:szCs w:val="24"/>
        </w:rPr>
        <w:t xml:space="preserve">Ukontrolleret hypertriglyceridæmi </w:t>
      </w:r>
    </w:p>
    <w:p w:rsidR="00A94CCC" w:rsidRPr="00A94CCC" w:rsidRDefault="00A94CCC" w:rsidP="00A94CCC">
      <w:pPr>
        <w:tabs>
          <w:tab w:val="left" w:pos="851"/>
        </w:tabs>
        <w:ind w:left="851"/>
        <w:rPr>
          <w:sz w:val="24"/>
          <w:szCs w:val="24"/>
        </w:rPr>
      </w:pPr>
      <w:r w:rsidRPr="00A94CCC">
        <w:rPr>
          <w:sz w:val="24"/>
          <w:szCs w:val="24"/>
        </w:rPr>
        <w:t>Hypervitaminosis A</w:t>
      </w:r>
    </w:p>
    <w:p w:rsidR="00A94CCC" w:rsidRPr="00A94CCC" w:rsidRDefault="00A94CCC" w:rsidP="00A94CCC">
      <w:pPr>
        <w:tabs>
          <w:tab w:val="left" w:pos="851"/>
        </w:tabs>
        <w:ind w:left="851"/>
        <w:rPr>
          <w:sz w:val="24"/>
          <w:szCs w:val="24"/>
        </w:rPr>
      </w:pPr>
      <w:r w:rsidRPr="00A94CCC">
        <w:rPr>
          <w:sz w:val="24"/>
          <w:szCs w:val="24"/>
        </w:rPr>
        <w:t xml:space="preserve">Ukontrolleret thyroidealidelse </w:t>
      </w:r>
    </w:p>
    <w:p w:rsidR="00A94CCC" w:rsidRPr="00A94CCC" w:rsidRDefault="00A94CCC" w:rsidP="00A94CCC">
      <w:pPr>
        <w:tabs>
          <w:tab w:val="left" w:pos="851"/>
        </w:tabs>
        <w:ind w:left="851"/>
        <w:rPr>
          <w:sz w:val="24"/>
          <w:szCs w:val="24"/>
        </w:rPr>
      </w:pPr>
      <w:r w:rsidRPr="00A94CCC">
        <w:rPr>
          <w:sz w:val="24"/>
          <w:szCs w:val="24"/>
        </w:rPr>
        <w:t xml:space="preserve">Nedsat leverfunktion </w:t>
      </w:r>
    </w:p>
    <w:p w:rsidR="00A94CCC" w:rsidRPr="00A94CCC" w:rsidRDefault="00A94CCC" w:rsidP="00A94CCC">
      <w:pPr>
        <w:tabs>
          <w:tab w:val="left" w:pos="851"/>
        </w:tabs>
        <w:ind w:left="851"/>
        <w:rPr>
          <w:sz w:val="24"/>
          <w:szCs w:val="24"/>
        </w:rPr>
      </w:pPr>
      <w:r w:rsidRPr="00A94CCC">
        <w:rPr>
          <w:sz w:val="24"/>
          <w:szCs w:val="24"/>
        </w:rPr>
        <w:t>Vedvarende, systemisk infektion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94CCC" w:rsidRPr="00A94CCC" w:rsidRDefault="00A94CCC" w:rsidP="00A94CCC">
      <w:pPr>
        <w:tabs>
          <w:tab w:val="left" w:pos="851"/>
        </w:tabs>
        <w:ind w:left="851"/>
        <w:rPr>
          <w:sz w:val="24"/>
          <w:szCs w:val="24"/>
        </w:rPr>
      </w:pPr>
    </w:p>
    <w:p w:rsidR="00A94CCC" w:rsidRPr="00A94CCC" w:rsidRDefault="00A94CCC" w:rsidP="00A94CCC">
      <w:pPr>
        <w:tabs>
          <w:tab w:val="left" w:pos="851"/>
        </w:tabs>
        <w:ind w:left="851"/>
        <w:rPr>
          <w:sz w:val="24"/>
          <w:szCs w:val="24"/>
          <w:u w:val="single"/>
        </w:rPr>
      </w:pPr>
      <w:r w:rsidRPr="00A94CCC">
        <w:rPr>
          <w:sz w:val="24"/>
          <w:szCs w:val="24"/>
          <w:u w:val="single"/>
        </w:rPr>
        <w:t>Generelt</w:t>
      </w:r>
    </w:p>
    <w:p w:rsidR="00A94CCC" w:rsidRPr="00A94CCC" w:rsidRDefault="00A94CCC" w:rsidP="00A94CCC">
      <w:pPr>
        <w:tabs>
          <w:tab w:val="left" w:pos="851"/>
        </w:tabs>
        <w:ind w:left="851"/>
        <w:rPr>
          <w:sz w:val="24"/>
          <w:szCs w:val="24"/>
        </w:rPr>
      </w:pPr>
      <w:r w:rsidRPr="00A94CCC">
        <w:rPr>
          <w:sz w:val="24"/>
          <w:szCs w:val="24"/>
        </w:rPr>
        <w:t>Bexarotene "Amdipharm"-kapsler bør anvendes med forsigtighed hos patienter med kendt overfølsomhed overfor retinoider. Der er ikke noteret kliniske tilfælde af krydsreaktivitet. Patienter, som indtager bexaroten, bør ikke donere blod til transfusion. Butyleret hydroxyanisol, som er en af ingredienserne i Bexarotene "Amdipharm", kan forårsage irritation af slimhinderne, hvorfor kapslerne skal sluges hele og ikke tygges.</w:t>
      </w:r>
    </w:p>
    <w:p w:rsidR="00A94CCC" w:rsidRPr="00A94CCC" w:rsidRDefault="00A94CCC" w:rsidP="00A94CCC">
      <w:pPr>
        <w:tabs>
          <w:tab w:val="left" w:pos="851"/>
        </w:tabs>
        <w:ind w:left="851"/>
        <w:rPr>
          <w:sz w:val="24"/>
          <w:szCs w:val="24"/>
        </w:rPr>
      </w:pPr>
    </w:p>
    <w:p w:rsidR="00A94CCC" w:rsidRPr="00A94CCC" w:rsidRDefault="00A94CCC" w:rsidP="00A94CCC">
      <w:pPr>
        <w:tabs>
          <w:tab w:val="left" w:pos="851"/>
        </w:tabs>
        <w:ind w:left="851"/>
        <w:rPr>
          <w:sz w:val="24"/>
          <w:szCs w:val="24"/>
          <w:u w:val="single"/>
        </w:rPr>
      </w:pPr>
      <w:r w:rsidRPr="00A94CCC">
        <w:rPr>
          <w:sz w:val="24"/>
          <w:szCs w:val="24"/>
          <w:u w:val="single"/>
        </w:rPr>
        <w:t>Lipider</w:t>
      </w:r>
    </w:p>
    <w:p w:rsidR="00A94CCC" w:rsidRPr="00A94CCC" w:rsidRDefault="00A94CCC" w:rsidP="00A94CCC">
      <w:pPr>
        <w:tabs>
          <w:tab w:val="left" w:pos="851"/>
        </w:tabs>
        <w:ind w:left="851"/>
        <w:rPr>
          <w:sz w:val="24"/>
          <w:szCs w:val="24"/>
        </w:rPr>
      </w:pPr>
      <w:r w:rsidRPr="00A94CCC">
        <w:rPr>
          <w:sz w:val="24"/>
          <w:szCs w:val="24"/>
        </w:rPr>
        <w:t>Kliniske undersøgelser har fastslået, at hyperlipidæmi er en virkning forbundet med bexaroten. Fasteniveauet af blodlipider (triglycerider og kolesterol) bør fastslås, før bexaroten-terapi indledes og med ugentlige intervaller, indtil blodlipidernes reaktion over for bexaroten er fastslået. Det sker almindeligvis inden for to til fire uger, hvorefter der bør tages prøver mindst én gang månedligt. Fastende triglycerider bør være normale eller normaliseret gennem forholdsmæssig intervention forud for bexaroten-terapi. Der bør gøres alle bestræbelser for at opretholde triglyceridniveauer på under 4,52 mmol/l med henblik på at mindske risikoen for kliniske sequelae. Skulle der optræde forhøjede, fastende triglycerider under behandlingen, anbefales påbegyndelsen af antilipæmisk terapi. Hvis påkrævet kan doseringen nedsættes (fra bexaroten 300 mg/m</w:t>
      </w:r>
      <w:r w:rsidRPr="00A94CCC">
        <w:rPr>
          <w:sz w:val="24"/>
          <w:szCs w:val="24"/>
          <w:vertAlign w:val="superscript"/>
        </w:rPr>
        <w:t>2</w:t>
      </w:r>
      <w:r w:rsidRPr="00A94CCC">
        <w:rPr>
          <w:sz w:val="24"/>
          <w:szCs w:val="24"/>
        </w:rPr>
        <w:t>/dag til 200 mg/m</w:t>
      </w:r>
      <w:r w:rsidRPr="00A94CCC">
        <w:rPr>
          <w:sz w:val="24"/>
          <w:szCs w:val="24"/>
          <w:vertAlign w:val="superscript"/>
        </w:rPr>
        <w:t>2</w:t>
      </w:r>
      <w:r w:rsidRPr="00A94CCC">
        <w:rPr>
          <w:sz w:val="24"/>
          <w:szCs w:val="24"/>
        </w:rPr>
        <w:t xml:space="preserve"> /dag, og til 100 mg/m</w:t>
      </w:r>
      <w:r w:rsidRPr="00A94CCC">
        <w:rPr>
          <w:sz w:val="24"/>
          <w:szCs w:val="24"/>
          <w:vertAlign w:val="superscript"/>
        </w:rPr>
        <w:t>2</w:t>
      </w:r>
      <w:r w:rsidRPr="00A94CCC">
        <w:rPr>
          <w:sz w:val="24"/>
          <w:szCs w:val="24"/>
        </w:rPr>
        <w:t>/dag, i fald det er nødvendigt), eller terapien kan afbrydes. Oplysninger fra kliniske undersøgelser antyder, at bexarotenkoncentrationen ikke påvirkedes ved samtidig indtagelse af atorvastatin. Samtidig indtagelse af gemfibrozil medførte dog en væsentlig forøgelse i plasmakoncentrationen af bexaroten. Følgeligt frarådes samtidig indtagelse af gemfibrozil i forbindelse med bexaroten (se pkt. 4.5). Forhøjelse af serumkolesterol bør reguleres i henhold til gældende, lægelig praksis.</w:t>
      </w:r>
    </w:p>
    <w:p w:rsidR="00A94CCC" w:rsidRPr="00A94CCC" w:rsidRDefault="00A94CCC" w:rsidP="00A94CCC">
      <w:pPr>
        <w:tabs>
          <w:tab w:val="left" w:pos="851"/>
        </w:tabs>
        <w:ind w:left="851"/>
        <w:rPr>
          <w:sz w:val="24"/>
          <w:szCs w:val="24"/>
        </w:rPr>
      </w:pPr>
    </w:p>
    <w:p w:rsidR="00A94CCC" w:rsidRPr="00A94CCC" w:rsidRDefault="00A94CCC" w:rsidP="00A94CCC">
      <w:pPr>
        <w:tabs>
          <w:tab w:val="left" w:pos="851"/>
        </w:tabs>
        <w:ind w:left="851"/>
        <w:rPr>
          <w:sz w:val="24"/>
          <w:szCs w:val="24"/>
          <w:u w:val="single"/>
        </w:rPr>
      </w:pPr>
      <w:r w:rsidRPr="00A94CCC">
        <w:rPr>
          <w:sz w:val="24"/>
          <w:szCs w:val="24"/>
          <w:u w:val="single"/>
        </w:rPr>
        <w:t>Pankreatitis</w:t>
      </w:r>
    </w:p>
    <w:p w:rsidR="00A94CCC" w:rsidRPr="00A94CCC" w:rsidRDefault="00A94CCC" w:rsidP="00A94CCC">
      <w:pPr>
        <w:tabs>
          <w:tab w:val="left" w:pos="851"/>
        </w:tabs>
        <w:ind w:left="851"/>
        <w:rPr>
          <w:sz w:val="24"/>
          <w:szCs w:val="24"/>
        </w:rPr>
      </w:pPr>
      <w:r w:rsidRPr="00A94CCC">
        <w:rPr>
          <w:sz w:val="24"/>
          <w:szCs w:val="24"/>
        </w:rPr>
        <w:t>Kliniske undersøgelser har meldt om akut pankreatitis i forbindelse med forhøjede serumtriglycerider. CTCL-patienter med risikofaktorer for pankreatitis (f.eks. tidligere tilfælde af pankreatitis, ukontrolleret hyperlipidæmi, stort alkoholforbrug, ukontrolleret diabetes mellitus, sygdomme i galdevejene, eller lægemidler, hvorom det vides, at de forhøjer triglyceridniveauet eller er forbundet med pankreas-toksicitet) bør ikke behandles med bexaroten, medmindre de potentielle fordele opvejer de foreliggende risici.</w:t>
      </w:r>
    </w:p>
    <w:p w:rsidR="00FF7DDB" w:rsidRDefault="00FF7DDB">
      <w:pPr>
        <w:rPr>
          <w:sz w:val="24"/>
          <w:szCs w:val="24"/>
        </w:rPr>
      </w:pPr>
      <w:r>
        <w:rPr>
          <w:sz w:val="24"/>
          <w:szCs w:val="24"/>
        </w:rPr>
        <w:br w:type="page"/>
      </w:r>
    </w:p>
    <w:p w:rsidR="00A94CCC" w:rsidRPr="00A94CCC" w:rsidRDefault="00A94CCC" w:rsidP="00A94CCC">
      <w:pPr>
        <w:tabs>
          <w:tab w:val="left" w:pos="851"/>
        </w:tabs>
        <w:ind w:left="851"/>
        <w:rPr>
          <w:sz w:val="24"/>
          <w:szCs w:val="24"/>
        </w:rPr>
      </w:pPr>
    </w:p>
    <w:p w:rsidR="00A94CCC" w:rsidRPr="00A94CCC" w:rsidRDefault="00A94CCC" w:rsidP="00A94CCC">
      <w:pPr>
        <w:tabs>
          <w:tab w:val="left" w:pos="851"/>
        </w:tabs>
        <w:ind w:left="851"/>
        <w:rPr>
          <w:sz w:val="24"/>
          <w:szCs w:val="24"/>
          <w:u w:val="single"/>
        </w:rPr>
      </w:pPr>
      <w:r w:rsidRPr="00A94CCC">
        <w:rPr>
          <w:sz w:val="24"/>
          <w:szCs w:val="24"/>
          <w:u w:val="single"/>
        </w:rPr>
        <w:t>Abnormaliteter ved leverfunktionstestning (LFT)</w:t>
      </w:r>
    </w:p>
    <w:p w:rsidR="00A94CCC" w:rsidRPr="00A94CCC" w:rsidRDefault="00A94CCC" w:rsidP="00A94CCC">
      <w:pPr>
        <w:tabs>
          <w:tab w:val="left" w:pos="851"/>
        </w:tabs>
        <w:ind w:left="851"/>
        <w:rPr>
          <w:sz w:val="24"/>
          <w:szCs w:val="24"/>
        </w:rPr>
      </w:pPr>
      <w:r w:rsidRPr="00A94CCC">
        <w:rPr>
          <w:sz w:val="24"/>
          <w:szCs w:val="24"/>
        </w:rPr>
        <w:t>Der foreligger meldinger om LFT-forhøjelse i forbindelse med anvendelsen af bexaroten. På baggrund af oplysninger fra igangværende, kliniske forsøg bør LFT-forhøjelsen for 80% af patienters vedkommende være afklaret inden for en måned efter mindskning af dosen eller afbrydelse af terapien. Der bør tages udgangsværdier for LFT, og LFT bør omhyggeligt overvåges ugentligt i den første måned og derefter månedligt. Skulle prøveresultaterne for SGOT/AST, SGPT/ALT eller bilirubin være mere end tre gange den normale, øvre grænse, bør suspendering eller indstilling af doseringen af bexaroten overvejes.</w:t>
      </w:r>
    </w:p>
    <w:p w:rsidR="00A94CCC" w:rsidRPr="00A94CCC" w:rsidRDefault="00A94CCC" w:rsidP="00A94CCC">
      <w:pPr>
        <w:tabs>
          <w:tab w:val="left" w:pos="851"/>
        </w:tabs>
        <w:ind w:left="851"/>
        <w:rPr>
          <w:sz w:val="24"/>
          <w:szCs w:val="24"/>
        </w:rPr>
      </w:pPr>
    </w:p>
    <w:p w:rsidR="00A94CCC" w:rsidRPr="00A94CCC" w:rsidRDefault="00A94CCC" w:rsidP="00A94CCC">
      <w:pPr>
        <w:tabs>
          <w:tab w:val="left" w:pos="851"/>
        </w:tabs>
        <w:ind w:left="851"/>
        <w:rPr>
          <w:sz w:val="24"/>
          <w:szCs w:val="24"/>
          <w:u w:val="single"/>
        </w:rPr>
      </w:pPr>
      <w:r w:rsidRPr="00A94CCC">
        <w:rPr>
          <w:sz w:val="24"/>
          <w:szCs w:val="24"/>
          <w:u w:val="single"/>
        </w:rPr>
        <w:t>Ændringer ved thyroideafunktionstestning</w:t>
      </w:r>
    </w:p>
    <w:p w:rsidR="00A94CCC" w:rsidRPr="00A94CCC" w:rsidRDefault="00A94CCC" w:rsidP="00A94CCC">
      <w:pPr>
        <w:tabs>
          <w:tab w:val="left" w:pos="851"/>
        </w:tabs>
        <w:ind w:left="851"/>
        <w:rPr>
          <w:sz w:val="24"/>
          <w:szCs w:val="24"/>
        </w:rPr>
      </w:pPr>
      <w:r w:rsidRPr="00A94CCC">
        <w:rPr>
          <w:sz w:val="24"/>
          <w:szCs w:val="24"/>
        </w:rPr>
        <w:t>Der er observeret ændringer i thyroideafunktionsprøver hos patienter, som indtager bexaroten, oftest i form af en reversibel niveaureduktion af thyroideahormon (total thyroxin [total T4]) og thyroideastimulerende hormon (TSH). Der bør tages udgangsværdier for thyroideafunktionsprøver. Niveauet bør overvåges mindst månedligt under behandlingen og som angivet ved optræden af symptomer på hypothyroidisme. Patienter med symptomatisk hypothyroidisme, som undergik et terapiforløb med bexaroten, er blevet behandlet med thyroideahormontilskud, hvilket afhjalp symptomerne.</w:t>
      </w:r>
    </w:p>
    <w:p w:rsidR="00A94CCC" w:rsidRPr="00A94CCC" w:rsidRDefault="00A94CCC" w:rsidP="00A94CCC">
      <w:pPr>
        <w:tabs>
          <w:tab w:val="left" w:pos="851"/>
        </w:tabs>
        <w:ind w:left="851"/>
        <w:rPr>
          <w:sz w:val="24"/>
          <w:szCs w:val="24"/>
        </w:rPr>
      </w:pPr>
    </w:p>
    <w:p w:rsidR="00A94CCC" w:rsidRPr="00A94CCC" w:rsidRDefault="00A94CCC" w:rsidP="00A94CCC">
      <w:pPr>
        <w:tabs>
          <w:tab w:val="left" w:pos="851"/>
        </w:tabs>
        <w:ind w:left="851"/>
        <w:rPr>
          <w:sz w:val="24"/>
          <w:szCs w:val="24"/>
          <w:u w:val="single"/>
        </w:rPr>
      </w:pPr>
      <w:r w:rsidRPr="00A94CCC">
        <w:rPr>
          <w:sz w:val="24"/>
          <w:szCs w:val="24"/>
          <w:u w:val="single"/>
        </w:rPr>
        <w:t>Leukopeni</w:t>
      </w:r>
    </w:p>
    <w:p w:rsidR="00A94CCC" w:rsidRPr="00A94CCC" w:rsidRDefault="00A94CCC" w:rsidP="00A94CCC">
      <w:pPr>
        <w:tabs>
          <w:tab w:val="left" w:pos="851"/>
        </w:tabs>
        <w:ind w:left="851"/>
        <w:rPr>
          <w:sz w:val="24"/>
          <w:szCs w:val="24"/>
        </w:rPr>
      </w:pPr>
      <w:r w:rsidRPr="00A94CCC">
        <w:rPr>
          <w:sz w:val="24"/>
          <w:szCs w:val="24"/>
        </w:rPr>
        <w:t>Kliniske undersøgelser har meldt om leukopeni i forbindelse med bexaroten-terapi. Flertallet af tilfældene blev afhjulpet efter nedsættelse af dosen eller afbrydelse af behandlingen. Der bør indhentes en bestemmelse af udgangsværdien for antallet af hvide blodceller med differentialtælling, ugentligt i den første måned og derefter månedligt.</w:t>
      </w:r>
    </w:p>
    <w:p w:rsidR="00A94CCC" w:rsidRPr="00A94CCC" w:rsidRDefault="00A94CCC" w:rsidP="00A94CCC">
      <w:pPr>
        <w:tabs>
          <w:tab w:val="left" w:pos="851"/>
        </w:tabs>
        <w:ind w:left="851"/>
        <w:rPr>
          <w:sz w:val="24"/>
          <w:szCs w:val="24"/>
        </w:rPr>
      </w:pPr>
    </w:p>
    <w:p w:rsidR="00A94CCC" w:rsidRPr="00A94CCC" w:rsidRDefault="00A94CCC" w:rsidP="00A94CCC">
      <w:pPr>
        <w:tabs>
          <w:tab w:val="left" w:pos="851"/>
        </w:tabs>
        <w:ind w:left="851"/>
        <w:rPr>
          <w:sz w:val="24"/>
          <w:szCs w:val="24"/>
          <w:u w:val="single"/>
        </w:rPr>
      </w:pPr>
      <w:r w:rsidRPr="00A94CCC">
        <w:rPr>
          <w:sz w:val="24"/>
          <w:szCs w:val="24"/>
          <w:u w:val="single"/>
        </w:rPr>
        <w:t>Anæmi</w:t>
      </w:r>
    </w:p>
    <w:p w:rsidR="00A94CCC" w:rsidRPr="00A94CCC" w:rsidRDefault="00A94CCC" w:rsidP="00A94CCC">
      <w:pPr>
        <w:tabs>
          <w:tab w:val="left" w:pos="851"/>
        </w:tabs>
        <w:ind w:left="851"/>
        <w:rPr>
          <w:sz w:val="24"/>
          <w:szCs w:val="24"/>
        </w:rPr>
      </w:pPr>
      <w:r w:rsidRPr="00A94CCC">
        <w:rPr>
          <w:sz w:val="24"/>
          <w:szCs w:val="24"/>
        </w:rPr>
        <w:t>Kliniske undersøgelser har meldt om anæmi i forbindelse med bexaroten-terapi. Hæmoglobinniveauets udgangsværdi bør fastslås og måles ugentligt i den første måned og derefter månedligt. Reduktion af hæmoglobinniveauet bør korrigeres i henhold til gældende, lægelig praksis.</w:t>
      </w:r>
    </w:p>
    <w:p w:rsidR="00A94CCC" w:rsidRPr="00A94CCC" w:rsidRDefault="00A94CCC" w:rsidP="00A94CCC">
      <w:pPr>
        <w:tabs>
          <w:tab w:val="left" w:pos="851"/>
        </w:tabs>
        <w:ind w:left="851"/>
        <w:rPr>
          <w:sz w:val="24"/>
          <w:szCs w:val="24"/>
        </w:rPr>
      </w:pPr>
    </w:p>
    <w:p w:rsidR="00A94CCC" w:rsidRPr="00A94CCC" w:rsidRDefault="00A94CCC" w:rsidP="00A94CCC">
      <w:pPr>
        <w:tabs>
          <w:tab w:val="left" w:pos="851"/>
        </w:tabs>
        <w:ind w:left="851"/>
        <w:rPr>
          <w:sz w:val="24"/>
          <w:szCs w:val="24"/>
          <w:u w:val="single"/>
        </w:rPr>
      </w:pPr>
      <w:r w:rsidRPr="00A94CCC">
        <w:rPr>
          <w:sz w:val="24"/>
          <w:szCs w:val="24"/>
          <w:u w:val="single"/>
        </w:rPr>
        <w:t>Psykiske forstyrrelser</w:t>
      </w:r>
    </w:p>
    <w:p w:rsidR="00A94CCC" w:rsidRPr="00A94CCC" w:rsidRDefault="00A94CCC" w:rsidP="00A94CCC">
      <w:pPr>
        <w:tabs>
          <w:tab w:val="left" w:pos="851"/>
        </w:tabs>
        <w:ind w:left="851"/>
        <w:rPr>
          <w:sz w:val="24"/>
          <w:szCs w:val="24"/>
        </w:rPr>
      </w:pPr>
      <w:r w:rsidRPr="00A94CCC">
        <w:rPr>
          <w:sz w:val="24"/>
          <w:szCs w:val="24"/>
        </w:rPr>
        <w:t>Der er rapporteret depression, forværret depression, angst og humørsvingninger hos patienter, der blev behandlet med systemiske retinoider, herunder bexaroten. Der bør udvises særlig forsigtighed hos patienter med tidligere tilfælde af depression. Patienter bør overvåges for tegn på depression og om nødvendigt henvises til relevant behandling. Familiens eller venners opmærksomhed kan være nyttig til registrering af en forværring af den mentale sundhed.</w:t>
      </w:r>
    </w:p>
    <w:p w:rsidR="00A94CCC" w:rsidRPr="00A94CCC" w:rsidRDefault="00A94CCC" w:rsidP="00A94CCC">
      <w:pPr>
        <w:tabs>
          <w:tab w:val="left" w:pos="851"/>
        </w:tabs>
        <w:ind w:left="851"/>
        <w:rPr>
          <w:sz w:val="24"/>
          <w:szCs w:val="24"/>
        </w:rPr>
      </w:pPr>
    </w:p>
    <w:p w:rsidR="00A94CCC" w:rsidRPr="00A94CCC" w:rsidRDefault="00A94CCC" w:rsidP="00A94CCC">
      <w:pPr>
        <w:tabs>
          <w:tab w:val="left" w:pos="851"/>
        </w:tabs>
        <w:ind w:left="851"/>
        <w:rPr>
          <w:sz w:val="24"/>
          <w:szCs w:val="24"/>
          <w:u w:val="single"/>
        </w:rPr>
      </w:pPr>
      <w:r w:rsidRPr="00A94CCC">
        <w:rPr>
          <w:sz w:val="24"/>
          <w:szCs w:val="24"/>
          <w:u w:val="single"/>
        </w:rPr>
        <w:t>Linseopacitet</w:t>
      </w:r>
    </w:p>
    <w:p w:rsidR="00A94CCC" w:rsidRPr="00A94CCC" w:rsidRDefault="00A94CCC" w:rsidP="00A94CCC">
      <w:pPr>
        <w:tabs>
          <w:tab w:val="left" w:pos="851"/>
        </w:tabs>
        <w:ind w:left="851"/>
        <w:rPr>
          <w:sz w:val="24"/>
          <w:szCs w:val="24"/>
        </w:rPr>
      </w:pPr>
      <w:r w:rsidRPr="00A94CCC">
        <w:rPr>
          <w:sz w:val="24"/>
          <w:szCs w:val="24"/>
        </w:rPr>
        <w:t>Efter behandling med bexaroten udviste nogle patienter en tidligere ubemærket linseopacitet eller en forandring i allerede tilstedeværende linseopacitet, uafhængigt af behandlingens varighed eller doseringsniveau. Under hensyntagen til den høje forekomst af katarakt hos den ældre patientgruppe i de kliniske undersøgelser, kunne der ikke konstateres nogen åbenbar sammenhæng mellem forekomsten af linseopacitetsdannelse og indtagelsen af bexaroten. En negativ virkning i form af linseopacitetsdannelse ved langtids bexaroten-behandling er dog ikke udelukket for menneskers vedkommende. Enhver bexaroten-behandlet patient, som får synsproblemer, bør få foretaget en behørig oftalmologisk undersøgelse.</w:t>
      </w:r>
    </w:p>
    <w:p w:rsidR="00A94CCC" w:rsidRDefault="00A94CCC">
      <w:pPr>
        <w:rPr>
          <w:sz w:val="24"/>
          <w:szCs w:val="24"/>
        </w:rPr>
      </w:pPr>
      <w:r>
        <w:rPr>
          <w:sz w:val="24"/>
          <w:szCs w:val="24"/>
        </w:rPr>
        <w:br w:type="page"/>
      </w:r>
    </w:p>
    <w:p w:rsidR="00A94CCC" w:rsidRPr="00A94CCC" w:rsidRDefault="00A94CCC" w:rsidP="00A94CCC">
      <w:pPr>
        <w:tabs>
          <w:tab w:val="left" w:pos="851"/>
        </w:tabs>
        <w:ind w:left="851"/>
        <w:rPr>
          <w:sz w:val="24"/>
          <w:szCs w:val="24"/>
        </w:rPr>
      </w:pPr>
    </w:p>
    <w:p w:rsidR="00A94CCC" w:rsidRPr="00A94CCC" w:rsidRDefault="00A94CCC" w:rsidP="00A94CCC">
      <w:pPr>
        <w:tabs>
          <w:tab w:val="left" w:pos="851"/>
        </w:tabs>
        <w:ind w:left="851"/>
        <w:rPr>
          <w:sz w:val="24"/>
          <w:szCs w:val="24"/>
          <w:u w:val="single"/>
        </w:rPr>
      </w:pPr>
      <w:r w:rsidRPr="00A94CCC">
        <w:rPr>
          <w:sz w:val="24"/>
          <w:szCs w:val="24"/>
          <w:u w:val="single"/>
        </w:rPr>
        <w:t>A-vitamin-tilskud</w:t>
      </w:r>
    </w:p>
    <w:p w:rsidR="00A94CCC" w:rsidRPr="00A94CCC" w:rsidRDefault="00A94CCC" w:rsidP="00A94CCC">
      <w:pPr>
        <w:tabs>
          <w:tab w:val="left" w:pos="851"/>
        </w:tabs>
        <w:ind w:left="851"/>
        <w:rPr>
          <w:sz w:val="24"/>
          <w:szCs w:val="24"/>
        </w:rPr>
      </w:pPr>
      <w:r w:rsidRPr="00A94CCC">
        <w:rPr>
          <w:sz w:val="24"/>
          <w:szCs w:val="24"/>
        </w:rPr>
        <w:t xml:space="preserve">Grundet bexarotens forhold til A-vitamin bør patienter rådes til at begrænse A-vitamintilskud til </w:t>
      </w:r>
      <w:r w:rsidRPr="00A94CCC">
        <w:rPr>
          <w:sz w:val="24"/>
          <w:szCs w:val="24"/>
          <w:lang w:val="nb-NO"/>
        </w:rPr>
        <w:t>≤</w:t>
      </w:r>
      <w:r w:rsidRPr="00A94CCC">
        <w:rPr>
          <w:sz w:val="24"/>
          <w:szCs w:val="24"/>
        </w:rPr>
        <w:t>15.000 IE/dag, for at undgå mulige, additive, toksiske virkninger.</w:t>
      </w:r>
    </w:p>
    <w:p w:rsidR="00A94CCC" w:rsidRPr="00A94CCC" w:rsidRDefault="00A94CCC" w:rsidP="00A94CCC">
      <w:pPr>
        <w:tabs>
          <w:tab w:val="left" w:pos="851"/>
        </w:tabs>
        <w:ind w:left="851"/>
        <w:rPr>
          <w:sz w:val="24"/>
          <w:szCs w:val="24"/>
        </w:rPr>
      </w:pPr>
    </w:p>
    <w:p w:rsidR="00A94CCC" w:rsidRPr="00A94CCC" w:rsidRDefault="00A94CCC" w:rsidP="00A94CCC">
      <w:pPr>
        <w:tabs>
          <w:tab w:val="left" w:pos="851"/>
        </w:tabs>
        <w:ind w:left="851"/>
        <w:rPr>
          <w:sz w:val="24"/>
          <w:szCs w:val="24"/>
          <w:u w:val="single"/>
        </w:rPr>
      </w:pPr>
      <w:r w:rsidRPr="00A94CCC">
        <w:rPr>
          <w:sz w:val="24"/>
          <w:szCs w:val="24"/>
          <w:u w:val="single"/>
        </w:rPr>
        <w:t>Patienter med diabetes mellitus</w:t>
      </w:r>
    </w:p>
    <w:p w:rsidR="00A94CCC" w:rsidRPr="00A94CCC" w:rsidRDefault="00A94CCC" w:rsidP="00A94CCC">
      <w:pPr>
        <w:tabs>
          <w:tab w:val="left" w:pos="851"/>
        </w:tabs>
        <w:ind w:left="851"/>
        <w:rPr>
          <w:sz w:val="24"/>
          <w:szCs w:val="24"/>
        </w:rPr>
      </w:pPr>
      <w:r w:rsidRPr="00A94CCC">
        <w:rPr>
          <w:sz w:val="24"/>
          <w:szCs w:val="24"/>
        </w:rPr>
        <w:t>Der bør udvises forsigtighed, når bexaroten anvendes hos patienter, som indtager insulin, insulinsekretionsfremmende stoffer (f.eks. sulfonylurinstoffer) eller insulinfølsomhedsfremmende midler (f.eks. thiazolidinedioner). På baggrund af lægemidlets kendte virkningsmekanisme kan bexaroten muligvis fremme disse stoffers virkning, hvilket kan medføre hypoglykæmi. Der foreligger ingen indberetninger om hypoglykæmi ved anvendelse af bexaroten som enkeltstående terapi.</w:t>
      </w:r>
    </w:p>
    <w:p w:rsidR="00A94CCC" w:rsidRPr="00A94CCC" w:rsidRDefault="00A94CCC" w:rsidP="00A94CCC">
      <w:pPr>
        <w:tabs>
          <w:tab w:val="left" w:pos="851"/>
        </w:tabs>
        <w:ind w:left="851"/>
        <w:rPr>
          <w:sz w:val="24"/>
          <w:szCs w:val="24"/>
        </w:rPr>
      </w:pPr>
    </w:p>
    <w:p w:rsidR="00A94CCC" w:rsidRPr="00A94CCC" w:rsidRDefault="00A94CCC" w:rsidP="00A94CCC">
      <w:pPr>
        <w:tabs>
          <w:tab w:val="left" w:pos="851"/>
        </w:tabs>
        <w:ind w:left="851"/>
        <w:rPr>
          <w:sz w:val="24"/>
          <w:szCs w:val="24"/>
          <w:u w:val="single"/>
        </w:rPr>
      </w:pPr>
      <w:r w:rsidRPr="00A94CCC">
        <w:rPr>
          <w:sz w:val="24"/>
          <w:szCs w:val="24"/>
          <w:u w:val="single"/>
        </w:rPr>
        <w:t>Lysfølsomhed</w:t>
      </w:r>
    </w:p>
    <w:p w:rsidR="00A94CCC" w:rsidRPr="00A94CCC" w:rsidRDefault="00A94CCC" w:rsidP="00A94CCC">
      <w:pPr>
        <w:tabs>
          <w:tab w:val="left" w:pos="851"/>
        </w:tabs>
        <w:ind w:left="851"/>
        <w:rPr>
          <w:sz w:val="24"/>
          <w:szCs w:val="24"/>
        </w:rPr>
      </w:pPr>
      <w:r w:rsidRPr="00A94CCC">
        <w:rPr>
          <w:sz w:val="24"/>
          <w:szCs w:val="24"/>
        </w:rPr>
        <w:t xml:space="preserve">Anvendelsen af visse retinoider er sat i forbindelse med lysfølsomhed. Patienter bør rådes til at mindske udsættelsen for sollys og til at undgå solarier og højfjeldssole under terapiforløb med bexaroten, idet </w:t>
      </w:r>
      <w:r w:rsidRPr="00A94CCC">
        <w:rPr>
          <w:i/>
          <w:sz w:val="24"/>
          <w:szCs w:val="24"/>
        </w:rPr>
        <w:t>in vitro</w:t>
      </w:r>
      <w:r w:rsidRPr="00A94CCC">
        <w:rPr>
          <w:sz w:val="24"/>
          <w:szCs w:val="24"/>
        </w:rPr>
        <w:t>-data antyder, at bexaroten muligvis har en lysfølsomhedsfremmende virkning.</w:t>
      </w:r>
    </w:p>
    <w:p w:rsidR="00A94CCC" w:rsidRPr="00A94CCC" w:rsidRDefault="00A94CCC" w:rsidP="00A94CCC">
      <w:pPr>
        <w:tabs>
          <w:tab w:val="left" w:pos="851"/>
        </w:tabs>
        <w:ind w:left="851"/>
        <w:rPr>
          <w:sz w:val="24"/>
          <w:szCs w:val="24"/>
        </w:rPr>
      </w:pPr>
    </w:p>
    <w:p w:rsidR="00A94CCC" w:rsidRPr="00A94CCC" w:rsidRDefault="00A94CCC" w:rsidP="00A94CCC">
      <w:pPr>
        <w:tabs>
          <w:tab w:val="left" w:pos="851"/>
        </w:tabs>
        <w:ind w:left="851"/>
        <w:rPr>
          <w:sz w:val="24"/>
          <w:szCs w:val="24"/>
          <w:u w:val="single"/>
        </w:rPr>
      </w:pPr>
      <w:r w:rsidRPr="00A94CCC">
        <w:rPr>
          <w:sz w:val="24"/>
          <w:szCs w:val="24"/>
          <w:u w:val="single"/>
        </w:rPr>
        <w:t>Orale præventionsmidler</w:t>
      </w:r>
    </w:p>
    <w:p w:rsidR="00A94CCC" w:rsidRPr="00A94CCC" w:rsidRDefault="00A94CCC" w:rsidP="00A94CCC">
      <w:pPr>
        <w:tabs>
          <w:tab w:val="left" w:pos="851"/>
        </w:tabs>
        <w:ind w:left="851"/>
        <w:rPr>
          <w:sz w:val="24"/>
          <w:szCs w:val="24"/>
        </w:rPr>
      </w:pPr>
      <w:r w:rsidRPr="00A94CCC">
        <w:rPr>
          <w:sz w:val="24"/>
          <w:szCs w:val="24"/>
        </w:rPr>
        <w:t>Bexaroten kan muligvis inducere metaboliseringsenzymer og derved teoretisk mindske østro- progestative præventionsmidlers virkning. Hvis behandling med bexaroten er beregnet til en kvinde i den fødedygtige alder, er en pålidelig, ikke-hormonal form for prævention således også påkrævet, da bexaroten tilhører en terapeutisk gruppe, hvor risikoen for misdannelser hos mennesker er stor.</w:t>
      </w:r>
    </w:p>
    <w:p w:rsidR="00A94CCC" w:rsidRPr="00A94CCC" w:rsidRDefault="00A94CCC" w:rsidP="00A94CCC">
      <w:pPr>
        <w:tabs>
          <w:tab w:val="left" w:pos="851"/>
        </w:tabs>
        <w:ind w:left="851"/>
        <w:rPr>
          <w:sz w:val="24"/>
          <w:szCs w:val="24"/>
        </w:rPr>
      </w:pPr>
    </w:p>
    <w:p w:rsidR="00A94CCC" w:rsidRPr="00A94CCC" w:rsidRDefault="00A94CCC" w:rsidP="00A94CCC">
      <w:pPr>
        <w:tabs>
          <w:tab w:val="left" w:pos="851"/>
        </w:tabs>
        <w:ind w:left="851"/>
        <w:rPr>
          <w:sz w:val="24"/>
          <w:szCs w:val="24"/>
          <w:u w:val="single"/>
        </w:rPr>
      </w:pPr>
      <w:r w:rsidRPr="00A94CCC">
        <w:rPr>
          <w:sz w:val="24"/>
          <w:szCs w:val="24"/>
          <w:u w:val="single"/>
        </w:rPr>
        <w:t>Pædiatrisk population</w:t>
      </w:r>
    </w:p>
    <w:p w:rsidR="00A94CCC" w:rsidRPr="00A94CCC" w:rsidRDefault="00A94CCC" w:rsidP="00A94CCC">
      <w:pPr>
        <w:tabs>
          <w:tab w:val="left" w:pos="851"/>
        </w:tabs>
        <w:ind w:left="851"/>
        <w:rPr>
          <w:sz w:val="24"/>
          <w:szCs w:val="24"/>
        </w:rPr>
      </w:pPr>
      <w:r w:rsidRPr="00A94CCC">
        <w:rPr>
          <w:sz w:val="24"/>
          <w:szCs w:val="24"/>
        </w:rPr>
        <w:t>Bexarotene "Amdipharm" anbefales ikke til børn (under 18 år).</w:t>
      </w:r>
    </w:p>
    <w:p w:rsidR="00A94CCC" w:rsidRPr="00A94CCC" w:rsidRDefault="00A94CCC" w:rsidP="00A94CCC">
      <w:pPr>
        <w:tabs>
          <w:tab w:val="left" w:pos="851"/>
        </w:tabs>
        <w:ind w:left="851"/>
        <w:rPr>
          <w:sz w:val="24"/>
          <w:szCs w:val="24"/>
        </w:rPr>
      </w:pPr>
    </w:p>
    <w:p w:rsidR="00A94CCC" w:rsidRPr="00A94CCC" w:rsidRDefault="00A94CCC" w:rsidP="00A94CCC">
      <w:pPr>
        <w:tabs>
          <w:tab w:val="left" w:pos="851"/>
        </w:tabs>
        <w:ind w:left="851"/>
        <w:rPr>
          <w:sz w:val="24"/>
          <w:szCs w:val="24"/>
          <w:u w:val="single"/>
        </w:rPr>
      </w:pPr>
      <w:r w:rsidRPr="00A94CCC">
        <w:rPr>
          <w:sz w:val="24"/>
          <w:szCs w:val="24"/>
          <w:u w:val="single"/>
        </w:rPr>
        <w:t>Hjælpestoff</w:t>
      </w:r>
    </w:p>
    <w:p w:rsidR="00A94CCC" w:rsidRPr="00A94CCC" w:rsidRDefault="00A94CCC" w:rsidP="00A94CCC">
      <w:pPr>
        <w:tabs>
          <w:tab w:val="left" w:pos="851"/>
        </w:tabs>
        <w:ind w:left="851"/>
        <w:rPr>
          <w:sz w:val="24"/>
          <w:szCs w:val="24"/>
        </w:rPr>
      </w:pPr>
      <w:r w:rsidRPr="00A94CCC">
        <w:rPr>
          <w:sz w:val="24"/>
          <w:szCs w:val="24"/>
        </w:rPr>
        <w:t>Bexarotene "Amdipharm" indeholder en lille mængde sorbitol og bør ikke anvendes til patienter med arvelig fructoseintolerans.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3A6B6B" w:rsidRDefault="003A6B6B" w:rsidP="003A6B6B">
      <w:pPr>
        <w:tabs>
          <w:tab w:val="left" w:pos="851"/>
        </w:tabs>
        <w:ind w:left="851"/>
        <w:rPr>
          <w:sz w:val="24"/>
          <w:szCs w:val="24"/>
          <w:u w:val="single"/>
        </w:rPr>
      </w:pPr>
    </w:p>
    <w:p w:rsidR="003A6B6B" w:rsidRPr="003A6B6B" w:rsidRDefault="003A6B6B" w:rsidP="003A6B6B">
      <w:pPr>
        <w:tabs>
          <w:tab w:val="left" w:pos="851"/>
        </w:tabs>
        <w:ind w:left="851"/>
        <w:rPr>
          <w:sz w:val="24"/>
          <w:szCs w:val="24"/>
          <w:u w:val="single"/>
        </w:rPr>
      </w:pPr>
      <w:r w:rsidRPr="003A6B6B">
        <w:rPr>
          <w:sz w:val="24"/>
          <w:szCs w:val="24"/>
          <w:u w:val="single"/>
        </w:rPr>
        <w:t>Andre stoffers virkninger på bexaroten</w:t>
      </w:r>
    </w:p>
    <w:p w:rsidR="003A6B6B" w:rsidRPr="003A6B6B" w:rsidRDefault="003A6B6B" w:rsidP="003A6B6B">
      <w:pPr>
        <w:tabs>
          <w:tab w:val="left" w:pos="851"/>
        </w:tabs>
        <w:ind w:left="851"/>
        <w:rPr>
          <w:sz w:val="24"/>
          <w:szCs w:val="24"/>
        </w:rPr>
      </w:pPr>
      <w:r w:rsidRPr="003A6B6B">
        <w:rPr>
          <w:sz w:val="24"/>
          <w:szCs w:val="24"/>
        </w:rPr>
        <w:t>Der er ikke foretaget formelle undersøgelser med henblik på at evaluere bexarotens lægemiddelinteraktion. På baggrund af bexarotens oxidative metabolisme gennem cytokrom P450 3A4 (CYP3A4), kan samtidig indgivelse af andre CYP3A4-substrater så som ketoconazol, itraconazol, proteasehæmmere, clarithromycin og erythromycin teoretisk føre til en forhøjet plasmakoncentration af bexaroten. Ydermere kan samtidig indgivelse af lægemidler, der inducerer CYP3A4 så som rifampicin, phenytoin, dexamethason eller phenobarbital teoretisk forårsage en reduktion af plasmakoncentrationen af bexaroten.</w:t>
      </w:r>
    </w:p>
    <w:p w:rsidR="003A6B6B" w:rsidRPr="003A6B6B" w:rsidRDefault="003A6B6B" w:rsidP="003A6B6B">
      <w:pPr>
        <w:tabs>
          <w:tab w:val="left" w:pos="851"/>
        </w:tabs>
        <w:ind w:left="851"/>
        <w:rPr>
          <w:sz w:val="24"/>
          <w:szCs w:val="24"/>
        </w:rPr>
      </w:pPr>
    </w:p>
    <w:p w:rsidR="003A6B6B" w:rsidRPr="003A6B6B" w:rsidRDefault="003A6B6B" w:rsidP="003A6B6B">
      <w:pPr>
        <w:tabs>
          <w:tab w:val="left" w:pos="851"/>
        </w:tabs>
        <w:ind w:left="851"/>
        <w:rPr>
          <w:sz w:val="24"/>
          <w:szCs w:val="24"/>
        </w:rPr>
      </w:pPr>
      <w:r w:rsidRPr="003A6B6B">
        <w:rPr>
          <w:sz w:val="24"/>
          <w:szCs w:val="24"/>
        </w:rPr>
        <w:t>Der tilrådes forsigtighed i tilfælde af kombination med CYP3A4-substrater, der har en snæver terapeutisk margen, dvs. immunosuppressive midler (cyclosporin, tacrolimus, sirolimus) samt CYP3A4-metaboliserede cytotoksika, dvs. cyclophosphamid, etoposid, finasterid, ifosfamid, tamoxifen og vincaalkaloider.</w:t>
      </w:r>
    </w:p>
    <w:p w:rsidR="003A6B6B" w:rsidRPr="003A6B6B" w:rsidRDefault="003A6B6B" w:rsidP="003A6B6B">
      <w:pPr>
        <w:tabs>
          <w:tab w:val="left" w:pos="851"/>
        </w:tabs>
        <w:ind w:left="851"/>
        <w:rPr>
          <w:sz w:val="24"/>
          <w:szCs w:val="24"/>
        </w:rPr>
      </w:pPr>
    </w:p>
    <w:p w:rsidR="003A6B6B" w:rsidRPr="003A6B6B" w:rsidRDefault="003A6B6B" w:rsidP="003A6B6B">
      <w:pPr>
        <w:tabs>
          <w:tab w:val="left" w:pos="851"/>
        </w:tabs>
        <w:ind w:left="851"/>
        <w:rPr>
          <w:sz w:val="24"/>
          <w:szCs w:val="24"/>
        </w:rPr>
      </w:pPr>
      <w:r w:rsidRPr="003A6B6B">
        <w:rPr>
          <w:sz w:val="24"/>
          <w:szCs w:val="24"/>
        </w:rPr>
        <w:t xml:space="preserve">En analyse af bexarotens plasmakoncentration hos CTCL-patienter antydede, at samtidig indtagelse af gemfibrozil medførte en væsentlig forhøjelse af bexarotens </w:t>
      </w:r>
      <w:r w:rsidRPr="003A6B6B">
        <w:rPr>
          <w:sz w:val="24"/>
          <w:szCs w:val="24"/>
        </w:rPr>
        <w:lastRenderedPageBreak/>
        <w:t>plasmakoncentration. Denne interaktionsmekanisme er ukendt. Under tilsvarende omstændigheder påvirkedes bexarotenkoncentrationen ikke af samtidig indtagelse af atorvastatin eller levothyroxin. Samtidig indtagelse af gemfibrozil med bexaroten frarådes.</w:t>
      </w:r>
    </w:p>
    <w:p w:rsidR="003A6B6B" w:rsidRPr="003A6B6B" w:rsidRDefault="003A6B6B" w:rsidP="003A6B6B">
      <w:pPr>
        <w:tabs>
          <w:tab w:val="left" w:pos="851"/>
        </w:tabs>
        <w:ind w:left="851"/>
        <w:rPr>
          <w:sz w:val="24"/>
          <w:szCs w:val="24"/>
        </w:rPr>
      </w:pPr>
    </w:p>
    <w:p w:rsidR="003A6B6B" w:rsidRPr="003A6B6B" w:rsidRDefault="003A6B6B" w:rsidP="003A6B6B">
      <w:pPr>
        <w:tabs>
          <w:tab w:val="left" w:pos="851"/>
        </w:tabs>
        <w:ind w:left="851"/>
        <w:rPr>
          <w:sz w:val="24"/>
          <w:szCs w:val="24"/>
          <w:u w:val="single"/>
        </w:rPr>
      </w:pPr>
      <w:r w:rsidRPr="003A6B6B">
        <w:rPr>
          <w:sz w:val="24"/>
          <w:szCs w:val="24"/>
          <w:u w:val="single"/>
        </w:rPr>
        <w:t>Bexarotens virkninger på andre stoffer</w:t>
      </w:r>
    </w:p>
    <w:p w:rsidR="003A6B6B" w:rsidRPr="003A6B6B" w:rsidRDefault="003A6B6B" w:rsidP="003A6B6B">
      <w:pPr>
        <w:tabs>
          <w:tab w:val="left" w:pos="851"/>
        </w:tabs>
        <w:ind w:left="851"/>
        <w:rPr>
          <w:sz w:val="24"/>
          <w:szCs w:val="24"/>
        </w:rPr>
      </w:pPr>
      <w:r w:rsidRPr="003A6B6B">
        <w:rPr>
          <w:sz w:val="24"/>
          <w:szCs w:val="24"/>
        </w:rPr>
        <w:t>Det tyder på, at bexaroten kan inducere CYP3A4. Gentagen indtagelse af bexaroten kan derfor medføre en selvinduktion af dets eget metabolisme, og kan specielt på dosisniveauer på mere end 300 mg/m2/dag øge metaboliseringshastigheden og reducere plasmakoncentrationerne af andre stoffer, der metaboliseres ved hjælp af cytokrom P450 3A4, så som tamoxifen. For eksempel kan bexaroten reducere effektiviteten af orale præventionsmidler (se pkt. 4.4 og pkt. 4.6).</w:t>
      </w:r>
    </w:p>
    <w:p w:rsidR="003A6B6B" w:rsidRPr="003A6B6B" w:rsidRDefault="003A6B6B" w:rsidP="003A6B6B">
      <w:pPr>
        <w:tabs>
          <w:tab w:val="left" w:pos="851"/>
        </w:tabs>
        <w:ind w:left="851"/>
        <w:rPr>
          <w:sz w:val="24"/>
          <w:szCs w:val="24"/>
        </w:rPr>
      </w:pPr>
    </w:p>
    <w:p w:rsidR="003A6B6B" w:rsidRPr="003A6B6B" w:rsidRDefault="003A6B6B" w:rsidP="003A6B6B">
      <w:pPr>
        <w:tabs>
          <w:tab w:val="left" w:pos="851"/>
        </w:tabs>
        <w:ind w:left="851"/>
        <w:rPr>
          <w:sz w:val="24"/>
          <w:szCs w:val="24"/>
        </w:rPr>
      </w:pPr>
      <w:r w:rsidRPr="003A6B6B">
        <w:rPr>
          <w:sz w:val="24"/>
          <w:szCs w:val="24"/>
        </w:rPr>
        <w:t>Bexaroten kan potentielt forstærke virkningen af insulin, insulinsekretionsfremmende stoffer (f.eks. sulfonylurinstoffer) eller insulinfølsomhedsfremmende midler (f.eks. thiazolidinedioner), hvilket forårsager hypoglykæmi (se pkt. 4.4).</w:t>
      </w:r>
    </w:p>
    <w:p w:rsidR="003A6B6B" w:rsidRPr="003A6B6B" w:rsidRDefault="003A6B6B" w:rsidP="003A6B6B">
      <w:pPr>
        <w:tabs>
          <w:tab w:val="left" w:pos="851"/>
        </w:tabs>
        <w:ind w:left="851"/>
        <w:rPr>
          <w:sz w:val="24"/>
          <w:szCs w:val="24"/>
        </w:rPr>
      </w:pPr>
    </w:p>
    <w:p w:rsidR="003A6B6B" w:rsidRPr="003A6B6B" w:rsidRDefault="003A6B6B" w:rsidP="003A6B6B">
      <w:pPr>
        <w:tabs>
          <w:tab w:val="left" w:pos="851"/>
        </w:tabs>
        <w:ind w:left="851"/>
        <w:rPr>
          <w:sz w:val="24"/>
          <w:szCs w:val="24"/>
          <w:u w:val="single"/>
        </w:rPr>
      </w:pPr>
      <w:r w:rsidRPr="003A6B6B">
        <w:rPr>
          <w:sz w:val="24"/>
          <w:szCs w:val="24"/>
          <w:u w:val="single"/>
        </w:rPr>
        <w:t>Interaktioner ved laboratorieprøver</w:t>
      </w:r>
    </w:p>
    <w:p w:rsidR="003A6B6B" w:rsidRPr="003A6B6B" w:rsidRDefault="003A6B6B" w:rsidP="003A6B6B">
      <w:pPr>
        <w:tabs>
          <w:tab w:val="left" w:pos="851"/>
        </w:tabs>
        <w:ind w:left="851"/>
        <w:rPr>
          <w:sz w:val="24"/>
          <w:szCs w:val="24"/>
        </w:rPr>
      </w:pPr>
      <w:r w:rsidRPr="003A6B6B">
        <w:rPr>
          <w:sz w:val="24"/>
          <w:szCs w:val="24"/>
        </w:rPr>
        <w:t>CA125 assay-værdier hos patienter med ovariecancer kan accentueres gennem bexaroten-terapi.</w:t>
      </w:r>
    </w:p>
    <w:p w:rsidR="003A6B6B" w:rsidRPr="003A6B6B" w:rsidRDefault="003A6B6B" w:rsidP="003A6B6B">
      <w:pPr>
        <w:tabs>
          <w:tab w:val="left" w:pos="851"/>
        </w:tabs>
        <w:ind w:left="851"/>
        <w:rPr>
          <w:sz w:val="24"/>
          <w:szCs w:val="24"/>
        </w:rPr>
      </w:pPr>
    </w:p>
    <w:p w:rsidR="003A6B6B" w:rsidRPr="003A6B6B" w:rsidRDefault="003A6B6B" w:rsidP="003A6B6B">
      <w:pPr>
        <w:tabs>
          <w:tab w:val="left" w:pos="851"/>
        </w:tabs>
        <w:ind w:left="851"/>
        <w:rPr>
          <w:sz w:val="24"/>
          <w:szCs w:val="24"/>
          <w:u w:val="single"/>
        </w:rPr>
      </w:pPr>
      <w:r w:rsidRPr="003A6B6B">
        <w:rPr>
          <w:sz w:val="24"/>
          <w:szCs w:val="24"/>
          <w:u w:val="single"/>
        </w:rPr>
        <w:t>Fødevareinteraktioner</w:t>
      </w:r>
    </w:p>
    <w:p w:rsidR="003A6B6B" w:rsidRPr="003A6B6B" w:rsidRDefault="003A6B6B" w:rsidP="003A6B6B">
      <w:pPr>
        <w:tabs>
          <w:tab w:val="left" w:pos="851"/>
        </w:tabs>
        <w:ind w:left="851"/>
        <w:rPr>
          <w:sz w:val="24"/>
          <w:szCs w:val="24"/>
        </w:rPr>
      </w:pPr>
      <w:r w:rsidRPr="003A6B6B">
        <w:rPr>
          <w:sz w:val="24"/>
          <w:szCs w:val="24"/>
        </w:rPr>
        <w:t>I alle kliniske undersøgelser pålagdes patienterne at indtage Bexaroten Amdipharm-kapsler med, eller umiddelbart efter, et måltid. I en klinisk undersøgelse var bexarotens plasmakoncentrations- AUC- og -C</w:t>
      </w:r>
      <w:r w:rsidRPr="003A6B6B">
        <w:rPr>
          <w:sz w:val="24"/>
          <w:szCs w:val="24"/>
          <w:vertAlign w:val="subscript"/>
        </w:rPr>
        <w:t>max</w:t>
      </w:r>
      <w:r w:rsidRPr="003A6B6B">
        <w:rPr>
          <w:sz w:val="24"/>
          <w:szCs w:val="24"/>
        </w:rPr>
        <w:t>-værdier væsentligt højere efter indtagelsen af et fedtholdigt måltid i sammenligning med indtagelsen af en glukoseopløsning. Da de sikkerheds- og virkningsmæssige oplysninger fra kliniske forsøg er baseret på samtidig indtagelse med fødevarer, anbefales det, at Bexaroten Amdipharm-kapsler indtages med fødevarer.</w:t>
      </w:r>
    </w:p>
    <w:p w:rsidR="003A6B6B" w:rsidRPr="003A6B6B" w:rsidRDefault="003A6B6B" w:rsidP="003A6B6B">
      <w:pPr>
        <w:tabs>
          <w:tab w:val="left" w:pos="851"/>
        </w:tabs>
        <w:ind w:left="851"/>
        <w:rPr>
          <w:sz w:val="24"/>
          <w:szCs w:val="24"/>
        </w:rPr>
      </w:pPr>
    </w:p>
    <w:p w:rsidR="003A6B6B" w:rsidRPr="003A6B6B" w:rsidRDefault="003A6B6B" w:rsidP="003A6B6B">
      <w:pPr>
        <w:tabs>
          <w:tab w:val="left" w:pos="851"/>
        </w:tabs>
        <w:ind w:left="851"/>
        <w:rPr>
          <w:sz w:val="24"/>
          <w:szCs w:val="24"/>
        </w:rPr>
      </w:pPr>
      <w:r w:rsidRPr="003A6B6B">
        <w:rPr>
          <w:sz w:val="24"/>
          <w:szCs w:val="24"/>
        </w:rPr>
        <w:t>På baggrund af bexarotens oxidative metabolisme gennem cytokrom P450 3A4, kan grapefrugtsaft teoretisk føre til en forhøjelse af bexarotens plasmakoncentration.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3A6B6B" w:rsidRDefault="003A6B6B" w:rsidP="003A6B6B">
      <w:pPr>
        <w:tabs>
          <w:tab w:val="left" w:pos="851"/>
        </w:tabs>
        <w:ind w:left="851"/>
        <w:rPr>
          <w:sz w:val="24"/>
          <w:szCs w:val="24"/>
          <w:u w:val="single"/>
        </w:rPr>
      </w:pPr>
    </w:p>
    <w:p w:rsidR="003A6B6B" w:rsidRPr="003A6B6B" w:rsidRDefault="003A6B6B" w:rsidP="003A6B6B">
      <w:pPr>
        <w:tabs>
          <w:tab w:val="left" w:pos="851"/>
        </w:tabs>
        <w:ind w:left="851"/>
        <w:rPr>
          <w:sz w:val="24"/>
          <w:szCs w:val="24"/>
          <w:u w:val="single"/>
        </w:rPr>
      </w:pPr>
      <w:r w:rsidRPr="003A6B6B">
        <w:rPr>
          <w:sz w:val="24"/>
          <w:szCs w:val="24"/>
          <w:u w:val="single"/>
        </w:rPr>
        <w:t>Graviditet</w:t>
      </w:r>
    </w:p>
    <w:p w:rsidR="003A6B6B" w:rsidRPr="003A6B6B" w:rsidRDefault="003A6B6B" w:rsidP="003A6B6B">
      <w:pPr>
        <w:tabs>
          <w:tab w:val="left" w:pos="851"/>
        </w:tabs>
        <w:ind w:left="851"/>
        <w:rPr>
          <w:sz w:val="24"/>
          <w:szCs w:val="24"/>
        </w:rPr>
      </w:pPr>
      <w:r w:rsidRPr="003A6B6B">
        <w:rPr>
          <w:sz w:val="24"/>
          <w:szCs w:val="24"/>
        </w:rPr>
        <w:t>Der foreligger ikke tilstrækkelige data om brugen af bexaroten hos gravide kvinder. Dyrestudier har vist reproduktionstoksicitet. På baggrund af sammenligning af bexarotens indvirkning på dyr og patienter er der ikke påvist nogen sikkerhedsmargin for menneskelig teratogenicitet (se</w:t>
      </w:r>
      <w:r>
        <w:rPr>
          <w:sz w:val="24"/>
          <w:szCs w:val="24"/>
        </w:rPr>
        <w:t xml:space="preserve"> </w:t>
      </w:r>
      <w:r w:rsidRPr="003A6B6B">
        <w:rPr>
          <w:sz w:val="24"/>
          <w:szCs w:val="24"/>
        </w:rPr>
        <w:t>pkt. 5.3). Bexaroten er kontraindiceret ved graviditet (se pkt. 4.3).</w:t>
      </w:r>
    </w:p>
    <w:p w:rsidR="003A6B6B" w:rsidRPr="003A6B6B" w:rsidRDefault="003A6B6B" w:rsidP="003A6B6B">
      <w:pPr>
        <w:tabs>
          <w:tab w:val="left" w:pos="851"/>
        </w:tabs>
        <w:ind w:left="851"/>
        <w:rPr>
          <w:sz w:val="24"/>
          <w:szCs w:val="24"/>
        </w:rPr>
      </w:pPr>
      <w:r w:rsidRPr="003A6B6B">
        <w:rPr>
          <w:sz w:val="24"/>
          <w:szCs w:val="24"/>
        </w:rPr>
        <w:t>Hvis lægemidlet uforvarende anvendes under graviditet, eller hvis patienten bliver gravid, mens lægemidlet indtages, bør vedkommende oplyses om den mulige fare for fosteret.</w:t>
      </w:r>
    </w:p>
    <w:p w:rsidR="003A6B6B" w:rsidRPr="003A6B6B" w:rsidRDefault="003A6B6B" w:rsidP="003A6B6B">
      <w:pPr>
        <w:tabs>
          <w:tab w:val="left" w:pos="851"/>
        </w:tabs>
        <w:ind w:left="851"/>
        <w:rPr>
          <w:sz w:val="24"/>
          <w:szCs w:val="24"/>
        </w:rPr>
      </w:pPr>
    </w:p>
    <w:p w:rsidR="003A6B6B" w:rsidRPr="003A6B6B" w:rsidRDefault="003A6B6B" w:rsidP="003A6B6B">
      <w:pPr>
        <w:tabs>
          <w:tab w:val="left" w:pos="851"/>
        </w:tabs>
        <w:ind w:left="851"/>
        <w:rPr>
          <w:sz w:val="24"/>
          <w:szCs w:val="24"/>
          <w:u w:val="single"/>
        </w:rPr>
      </w:pPr>
      <w:r w:rsidRPr="003A6B6B">
        <w:rPr>
          <w:sz w:val="24"/>
          <w:szCs w:val="24"/>
          <w:u w:val="single"/>
        </w:rPr>
        <w:t>Kontraception til mænd og kvinder</w:t>
      </w:r>
    </w:p>
    <w:p w:rsidR="003A6B6B" w:rsidRPr="003A6B6B" w:rsidRDefault="003A6B6B" w:rsidP="003A6B6B">
      <w:pPr>
        <w:tabs>
          <w:tab w:val="left" w:pos="851"/>
        </w:tabs>
        <w:ind w:left="851"/>
        <w:rPr>
          <w:sz w:val="24"/>
          <w:szCs w:val="24"/>
        </w:rPr>
      </w:pPr>
      <w:r w:rsidRPr="003A6B6B">
        <w:rPr>
          <w:sz w:val="24"/>
          <w:szCs w:val="24"/>
        </w:rPr>
        <w:t xml:space="preserve">Fertile kvinder skal anvende passende, præventive forholdsregler, mens bexaroten anvendes. En negativ, følsom, graviditetsprøve (f.eks. serum-beta-humant choriongonadotropin, beta-HCG) bør foretages inden for en uge inden påbegyndelsen af bexaroten-terapi. Virksom prævention bør anvendes fra den negative graviditetsprøve gennem indledningen af terapiforløbet, under forløbet og mindst en måned efter terapiens afbrydelse. Når prævention er påkrævet, anbefales det at anvende to pålidelige præventionsmidler samtidigt. Bexaroten kan muligvis inducere metaboliseringsenzymer og derved teoretisk mindske østro-progestative præventionsmidlers virkning (se pkt. 4.5). </w:t>
      </w:r>
      <w:r w:rsidRPr="003A6B6B">
        <w:rPr>
          <w:sz w:val="24"/>
          <w:szCs w:val="24"/>
        </w:rPr>
        <w:lastRenderedPageBreak/>
        <w:t>Hvis behandling med bexaroten er beregnet til en fødedygtig kvinde, tilrådes en pålidelig, ikke-hormonal præventionsmetode derfor også. Mandlige patienter, hvis sexpartnere er gravide, muligvis er gravide, eller muligvis kan blive gravide, bør anvende præservativer under samleje, så længe der indtages bexaroten og mindst en måned efter sidste dosis.</w:t>
      </w:r>
    </w:p>
    <w:p w:rsidR="003A6B6B" w:rsidRPr="003A6B6B" w:rsidRDefault="003A6B6B" w:rsidP="003A6B6B">
      <w:pPr>
        <w:tabs>
          <w:tab w:val="left" w:pos="851"/>
        </w:tabs>
        <w:ind w:left="851"/>
        <w:rPr>
          <w:sz w:val="24"/>
          <w:szCs w:val="24"/>
        </w:rPr>
      </w:pPr>
    </w:p>
    <w:p w:rsidR="003A6B6B" w:rsidRPr="003A6B6B" w:rsidRDefault="003A6B6B" w:rsidP="003A6B6B">
      <w:pPr>
        <w:tabs>
          <w:tab w:val="left" w:pos="851"/>
        </w:tabs>
        <w:ind w:left="851"/>
        <w:rPr>
          <w:sz w:val="24"/>
          <w:szCs w:val="24"/>
          <w:u w:val="single"/>
        </w:rPr>
      </w:pPr>
      <w:r w:rsidRPr="003A6B6B">
        <w:rPr>
          <w:sz w:val="24"/>
          <w:szCs w:val="24"/>
          <w:u w:val="single"/>
        </w:rPr>
        <w:t>Amning</w:t>
      </w:r>
    </w:p>
    <w:p w:rsidR="003A6B6B" w:rsidRPr="003A6B6B" w:rsidRDefault="003A6B6B" w:rsidP="003A6B6B">
      <w:pPr>
        <w:tabs>
          <w:tab w:val="left" w:pos="851"/>
        </w:tabs>
        <w:ind w:left="851"/>
        <w:rPr>
          <w:sz w:val="24"/>
          <w:szCs w:val="24"/>
        </w:rPr>
      </w:pPr>
      <w:r w:rsidRPr="003A6B6B">
        <w:rPr>
          <w:sz w:val="24"/>
          <w:szCs w:val="24"/>
        </w:rPr>
        <w:t>Det er ukendt, om bexaroten udskilles i human mælk. Bexaroten bør ikke anvendes af ammende mødre.</w:t>
      </w:r>
    </w:p>
    <w:p w:rsidR="003A6B6B" w:rsidRPr="003A6B6B" w:rsidRDefault="003A6B6B" w:rsidP="003A6B6B">
      <w:pPr>
        <w:tabs>
          <w:tab w:val="left" w:pos="851"/>
        </w:tabs>
        <w:ind w:left="851"/>
        <w:rPr>
          <w:sz w:val="24"/>
          <w:szCs w:val="24"/>
        </w:rPr>
      </w:pPr>
    </w:p>
    <w:p w:rsidR="003A6B6B" w:rsidRPr="003A6B6B" w:rsidRDefault="003A6B6B" w:rsidP="003A6B6B">
      <w:pPr>
        <w:tabs>
          <w:tab w:val="left" w:pos="851"/>
        </w:tabs>
        <w:ind w:left="851"/>
        <w:rPr>
          <w:sz w:val="24"/>
          <w:szCs w:val="24"/>
          <w:u w:val="single"/>
        </w:rPr>
      </w:pPr>
      <w:r w:rsidRPr="003A6B6B">
        <w:rPr>
          <w:sz w:val="24"/>
          <w:szCs w:val="24"/>
          <w:u w:val="single"/>
        </w:rPr>
        <w:t>Fertilitet</w:t>
      </w:r>
    </w:p>
    <w:p w:rsidR="003A6B6B" w:rsidRPr="003A6B6B" w:rsidRDefault="003A6B6B" w:rsidP="003A6B6B">
      <w:pPr>
        <w:tabs>
          <w:tab w:val="left" w:pos="851"/>
        </w:tabs>
        <w:ind w:left="851"/>
        <w:rPr>
          <w:sz w:val="24"/>
          <w:szCs w:val="24"/>
        </w:rPr>
      </w:pPr>
      <w:r w:rsidRPr="003A6B6B">
        <w:rPr>
          <w:sz w:val="24"/>
          <w:szCs w:val="24"/>
        </w:rPr>
        <w:t>Der foreligger ingen data for bexarotens virkning på human fertilitet. Hos hanhunde er der dokumenteret nogen effekt (se pkt. 5.3). Fertilitetspåvirkning kan ikke udelukkes.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3A6B6B" w:rsidRPr="003A6B6B" w:rsidRDefault="003A6B6B" w:rsidP="003A6B6B">
      <w:pPr>
        <w:tabs>
          <w:tab w:val="left" w:pos="851"/>
        </w:tabs>
        <w:ind w:left="851"/>
        <w:rPr>
          <w:sz w:val="24"/>
          <w:szCs w:val="24"/>
        </w:rPr>
      </w:pPr>
      <w:r w:rsidRPr="003A6B6B">
        <w:rPr>
          <w:sz w:val="24"/>
          <w:szCs w:val="24"/>
        </w:rPr>
        <w:t>Ikke mærkning.</w:t>
      </w:r>
    </w:p>
    <w:p w:rsidR="003A6B6B" w:rsidRPr="003A6B6B" w:rsidRDefault="003A6B6B" w:rsidP="003A6B6B">
      <w:pPr>
        <w:tabs>
          <w:tab w:val="left" w:pos="851"/>
        </w:tabs>
        <w:ind w:left="851"/>
        <w:rPr>
          <w:sz w:val="24"/>
          <w:szCs w:val="24"/>
        </w:rPr>
      </w:pPr>
    </w:p>
    <w:p w:rsidR="003A6B6B" w:rsidRPr="003A6B6B" w:rsidRDefault="003A6B6B" w:rsidP="003A6B6B">
      <w:pPr>
        <w:tabs>
          <w:tab w:val="left" w:pos="851"/>
        </w:tabs>
        <w:ind w:left="851"/>
        <w:rPr>
          <w:sz w:val="24"/>
          <w:szCs w:val="24"/>
        </w:rPr>
      </w:pPr>
      <w:r w:rsidRPr="003A6B6B">
        <w:rPr>
          <w:sz w:val="24"/>
          <w:szCs w:val="24"/>
        </w:rPr>
        <w:t>Der er ikke foretaget undersøgelser af indflydelsen på evnen til at føre motorkøretøj eller betjene maskiner. Svimmelhed og synsbesvær er imidlertid rapporteret hos patienter, der tager Bexarotene "Amdipharm". Patienter, som oplever svimmelhed eller synsbesvær under behandlingsforløbet, må ikke føre motorkøretøj eller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3A6B6B" w:rsidRPr="003A6B6B" w:rsidRDefault="003A6B6B" w:rsidP="003A6B6B">
      <w:pPr>
        <w:tabs>
          <w:tab w:val="left" w:pos="851"/>
        </w:tabs>
        <w:ind w:left="851"/>
        <w:rPr>
          <w:sz w:val="24"/>
          <w:szCs w:val="24"/>
        </w:rPr>
      </w:pPr>
    </w:p>
    <w:p w:rsidR="003A6B6B" w:rsidRPr="003A6B6B" w:rsidRDefault="003A6B6B" w:rsidP="003A6B6B">
      <w:pPr>
        <w:tabs>
          <w:tab w:val="left" w:pos="851"/>
        </w:tabs>
        <w:ind w:left="851"/>
        <w:rPr>
          <w:sz w:val="24"/>
          <w:szCs w:val="24"/>
          <w:u w:val="single"/>
        </w:rPr>
      </w:pPr>
      <w:r w:rsidRPr="003A6B6B">
        <w:rPr>
          <w:sz w:val="24"/>
          <w:szCs w:val="24"/>
          <w:u w:val="single"/>
        </w:rPr>
        <w:t>Resume af sikkerhedsprofilen</w:t>
      </w:r>
    </w:p>
    <w:p w:rsidR="003A6B6B" w:rsidRPr="003A6B6B" w:rsidRDefault="003A6B6B" w:rsidP="003A6B6B">
      <w:pPr>
        <w:tabs>
          <w:tab w:val="left" w:pos="851"/>
        </w:tabs>
        <w:ind w:left="851"/>
        <w:rPr>
          <w:sz w:val="24"/>
          <w:szCs w:val="24"/>
        </w:rPr>
      </w:pPr>
      <w:r w:rsidRPr="003A6B6B">
        <w:rPr>
          <w:sz w:val="24"/>
          <w:szCs w:val="24"/>
        </w:rPr>
        <w:t>Bexarotens sikkerhed er undersøgt ved kliniske undersøgelser af 193 CTCL-patienter, som indtog bexaroten i op til 118 uger, og af 420 ikke-CTCL-cancerpatienter i andre undersøgelser.</w:t>
      </w:r>
    </w:p>
    <w:p w:rsidR="003A6B6B" w:rsidRPr="003A6B6B" w:rsidRDefault="003A6B6B" w:rsidP="003A6B6B">
      <w:pPr>
        <w:tabs>
          <w:tab w:val="left" w:pos="851"/>
        </w:tabs>
        <w:ind w:left="851"/>
        <w:rPr>
          <w:sz w:val="24"/>
          <w:szCs w:val="24"/>
        </w:rPr>
      </w:pPr>
    </w:p>
    <w:p w:rsidR="003A6B6B" w:rsidRPr="003A6B6B" w:rsidRDefault="003A6B6B" w:rsidP="003A6B6B">
      <w:pPr>
        <w:tabs>
          <w:tab w:val="left" w:pos="851"/>
        </w:tabs>
        <w:ind w:left="851"/>
        <w:rPr>
          <w:sz w:val="24"/>
          <w:szCs w:val="24"/>
        </w:rPr>
      </w:pPr>
      <w:r w:rsidRPr="003A6B6B">
        <w:rPr>
          <w:sz w:val="24"/>
          <w:szCs w:val="24"/>
        </w:rPr>
        <w:t>Ved behandling med den anbefalede indledende dosering på 300 mg/m²/dag var de hyppigst rapporterede bivirkninger for 109 CTCL-patienters vedkommende: hyperlipidæmi ((hovedsageligt forhøjede triglycerider) 74%), hypothyroidisme (29%), hyperkolesterolæmi (28%), hovedpine (27%), leukopeni (20%), pruritus (20%), asteni (19%), udslæt (16%),</w:t>
      </w:r>
      <w:r>
        <w:rPr>
          <w:sz w:val="24"/>
          <w:szCs w:val="24"/>
        </w:rPr>
        <w:t xml:space="preserve"> </w:t>
      </w:r>
      <w:r w:rsidRPr="003A6B6B">
        <w:rPr>
          <w:sz w:val="24"/>
          <w:szCs w:val="24"/>
        </w:rPr>
        <w:t>eksfoliativ dermatitis (15%) og smerter (12%).</w:t>
      </w:r>
    </w:p>
    <w:p w:rsidR="003A6B6B" w:rsidRPr="003A6B6B" w:rsidRDefault="003A6B6B" w:rsidP="003A6B6B">
      <w:pPr>
        <w:tabs>
          <w:tab w:val="left" w:pos="851"/>
        </w:tabs>
        <w:ind w:left="851"/>
        <w:rPr>
          <w:sz w:val="24"/>
          <w:szCs w:val="24"/>
        </w:rPr>
      </w:pPr>
    </w:p>
    <w:p w:rsidR="003A6B6B" w:rsidRPr="003A6B6B" w:rsidRDefault="003A6B6B" w:rsidP="003A6B6B">
      <w:pPr>
        <w:tabs>
          <w:tab w:val="left" w:pos="851"/>
        </w:tabs>
        <w:ind w:left="851"/>
        <w:rPr>
          <w:sz w:val="24"/>
          <w:szCs w:val="24"/>
          <w:u w:val="single"/>
        </w:rPr>
      </w:pPr>
      <w:r w:rsidRPr="003A6B6B">
        <w:rPr>
          <w:sz w:val="24"/>
          <w:szCs w:val="24"/>
          <w:u w:val="single"/>
        </w:rPr>
        <w:t>Liste over bivirkninger i tabelform</w:t>
      </w:r>
    </w:p>
    <w:p w:rsidR="003A6B6B" w:rsidRPr="003A6B6B" w:rsidRDefault="003A6B6B" w:rsidP="003A6B6B">
      <w:pPr>
        <w:tabs>
          <w:tab w:val="left" w:pos="851"/>
        </w:tabs>
        <w:ind w:left="851"/>
        <w:rPr>
          <w:sz w:val="24"/>
          <w:szCs w:val="24"/>
        </w:rPr>
      </w:pPr>
      <w:r w:rsidRPr="003A6B6B">
        <w:rPr>
          <w:sz w:val="24"/>
          <w:szCs w:val="24"/>
        </w:rPr>
        <w:t>De følgende lægemiddelrelaterede bivirkninger rapporteredes under kliniske undersøgelser af CTCL-patienter (N=109), som behandledes med den anbefalede indledende dosis på</w:t>
      </w:r>
    </w:p>
    <w:p w:rsidR="003A6B6B" w:rsidRPr="003A6B6B" w:rsidRDefault="003A6B6B" w:rsidP="003A6B6B">
      <w:pPr>
        <w:tabs>
          <w:tab w:val="left" w:pos="851"/>
        </w:tabs>
        <w:ind w:left="851"/>
        <w:rPr>
          <w:sz w:val="24"/>
          <w:szCs w:val="24"/>
        </w:rPr>
      </w:pPr>
      <w:r w:rsidRPr="003A6B6B">
        <w:rPr>
          <w:sz w:val="24"/>
          <w:szCs w:val="24"/>
        </w:rPr>
        <w:t>300 mg/m²/dag. Bivirkningernes forekomst er klassificeret som meget almindelig (&gt;1/10), almindelig (&gt;1/100, &lt;1/10), ikke almindelig (&gt;1/1.000, &lt;1/100), sjælden (&gt;1/10.000, &lt;1/1.000) og meget sjælden (&lt;1/10.000).</w:t>
      </w:r>
    </w:p>
    <w:p w:rsidR="003A6B6B" w:rsidRPr="003A6B6B" w:rsidRDefault="003A6B6B" w:rsidP="003A6B6B">
      <w:pPr>
        <w:tabs>
          <w:tab w:val="left" w:pos="851"/>
        </w:tabs>
        <w:ind w:left="851"/>
        <w:rPr>
          <w:sz w:val="24"/>
          <w:szCs w:val="24"/>
        </w:rPr>
      </w:pPr>
    </w:p>
    <w:p w:rsidR="003A6B6B" w:rsidRPr="003A6B6B" w:rsidRDefault="003A6B6B" w:rsidP="003A6B6B">
      <w:pPr>
        <w:tabs>
          <w:tab w:val="left" w:pos="851"/>
        </w:tabs>
        <w:ind w:left="851"/>
        <w:rPr>
          <w:sz w:val="24"/>
          <w:szCs w:val="24"/>
        </w:rPr>
      </w:pPr>
      <w:r w:rsidRPr="003A6B6B">
        <w:rPr>
          <w:sz w:val="24"/>
          <w:szCs w:val="24"/>
        </w:rPr>
        <w:t>Inden for hver enkelt frekvensgruppe skal bivirkningerne opstilles efter, hvor alvorlige de er. De alvorligste bivirkninger skal anføres først.</w:t>
      </w:r>
    </w:p>
    <w:p w:rsidR="00FF7DDB" w:rsidRDefault="00FF7DDB">
      <w:pPr>
        <w:rPr>
          <w:sz w:val="24"/>
          <w:szCs w:val="24"/>
        </w:rPr>
      </w:pPr>
      <w:r>
        <w:rPr>
          <w:sz w:val="24"/>
          <w:szCs w:val="24"/>
        </w:rPr>
        <w:br w:type="page"/>
      </w:r>
    </w:p>
    <w:p w:rsidR="003A6B6B" w:rsidRPr="003A6B6B" w:rsidRDefault="003A6B6B" w:rsidP="003A6B6B">
      <w:pPr>
        <w:tabs>
          <w:tab w:val="left" w:pos="851"/>
        </w:tabs>
        <w:ind w:left="851"/>
        <w:rPr>
          <w:sz w:val="24"/>
          <w:szCs w:val="24"/>
        </w:rPr>
      </w:pPr>
    </w:p>
    <w:p w:rsidR="003A6B6B" w:rsidRDefault="003A6B6B" w:rsidP="003A6B6B">
      <w:pPr>
        <w:ind w:left="284"/>
        <w:rPr>
          <w:b/>
          <w:sz w:val="24"/>
          <w:szCs w:val="24"/>
        </w:rPr>
      </w:pPr>
      <w:r w:rsidRPr="003A6B6B">
        <w:rPr>
          <w:b/>
          <w:sz w:val="24"/>
          <w:szCs w:val="24"/>
        </w:rPr>
        <w:t>Tabel 2</w:t>
      </w:r>
      <w:r w:rsidRPr="003A6B6B">
        <w:rPr>
          <w:b/>
          <w:sz w:val="24"/>
          <w:szCs w:val="24"/>
        </w:rPr>
        <w:tab/>
        <w:t>Bivirkninger rapporteret hos patienter i kliniske forsøg</w:t>
      </w:r>
    </w:p>
    <w:p w:rsidR="003A6B6B" w:rsidRDefault="003A6B6B" w:rsidP="003A6B6B">
      <w:pPr>
        <w:tabs>
          <w:tab w:val="left" w:pos="851"/>
        </w:tabs>
        <w:ind w:left="851"/>
        <w:rPr>
          <w:b/>
          <w:sz w:val="24"/>
          <w:szCs w:val="24"/>
        </w:rPr>
      </w:pPr>
    </w:p>
    <w:tbl>
      <w:tblPr>
        <w:tblW w:w="895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2"/>
        <w:gridCol w:w="2127"/>
        <w:gridCol w:w="2694"/>
        <w:gridCol w:w="2552"/>
      </w:tblGrid>
      <w:tr w:rsidR="003A6B6B" w:rsidTr="003A6B6B">
        <w:trPr>
          <w:trHeight w:val="1012"/>
        </w:trPr>
        <w:tc>
          <w:tcPr>
            <w:tcW w:w="1582"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line="249" w:lineRule="exact"/>
              <w:ind w:left="110"/>
              <w:rPr>
                <w:b/>
                <w:spacing w:val="-2"/>
                <w:kern w:val="2"/>
                <w:lang w:val="da-DK"/>
                <w14:ligatures w14:val="standardContextual"/>
              </w:rPr>
            </w:pPr>
            <w:r>
              <w:rPr>
                <w:b/>
                <w:spacing w:val="-2"/>
                <w:kern w:val="2"/>
                <w:lang w:val="da-DK"/>
                <w14:ligatures w14:val="standardContextual"/>
              </w:rPr>
              <w:t>System-</w:t>
            </w:r>
          </w:p>
          <w:p w:rsidR="003A6B6B" w:rsidRDefault="003A6B6B">
            <w:pPr>
              <w:pStyle w:val="TableParagraph"/>
              <w:spacing w:line="249" w:lineRule="exact"/>
              <w:ind w:left="110"/>
              <w:rPr>
                <w:b/>
                <w:kern w:val="2"/>
                <w:lang w:val="da-DK"/>
                <w14:ligatures w14:val="standardContextual"/>
              </w:rPr>
            </w:pPr>
            <w:r>
              <w:rPr>
                <w:b/>
                <w:spacing w:val="-2"/>
                <w:kern w:val="2"/>
                <w:lang w:val="da-DK"/>
                <w14:ligatures w14:val="standardContextual"/>
              </w:rPr>
              <w:t>organklasse</w:t>
            </w:r>
          </w:p>
          <w:p w:rsidR="003A6B6B" w:rsidRDefault="003A6B6B">
            <w:pPr>
              <w:pStyle w:val="TableParagraph"/>
              <w:spacing w:line="249" w:lineRule="exact"/>
              <w:ind w:left="110"/>
              <w:rPr>
                <w:kern w:val="2"/>
                <w:lang w:val="da-DK"/>
                <w14:ligatures w14:val="standardContextual"/>
              </w:rPr>
            </w:pPr>
            <w:r>
              <w:rPr>
                <w:spacing w:val="-2"/>
                <w:kern w:val="2"/>
                <w:lang w:val="da-DK"/>
                <w14:ligatures w14:val="standardContextual"/>
              </w:rPr>
              <w:t>MedDRA-</w:t>
            </w:r>
          </w:p>
          <w:p w:rsidR="003A6B6B" w:rsidRDefault="003A6B6B">
            <w:pPr>
              <w:pStyle w:val="TableParagraph"/>
              <w:spacing w:before="2" w:line="243" w:lineRule="exact"/>
              <w:ind w:left="110"/>
              <w:rPr>
                <w:kern w:val="2"/>
                <w:lang w:val="da-DK"/>
                <w14:ligatures w14:val="standardContextual"/>
              </w:rPr>
            </w:pPr>
            <w:r>
              <w:rPr>
                <w:spacing w:val="-2"/>
                <w:kern w:val="2"/>
                <w:lang w:val="da-DK"/>
                <w14:ligatures w14:val="standardContextual"/>
              </w:rPr>
              <w:t>terminologi</w:t>
            </w:r>
            <w:r>
              <w:rPr>
                <w:spacing w:val="-2"/>
                <w:kern w:val="2"/>
                <w:vertAlign w:val="superscript"/>
                <w:lang w:val="da-DK"/>
                <w14:ligatures w14:val="standardContextual"/>
              </w:rPr>
              <w:t>*</w:t>
            </w:r>
            <w:r>
              <w:rPr>
                <w:spacing w:val="-2"/>
                <w:kern w:val="2"/>
                <w:lang w:val="da-DK"/>
                <w14:ligatures w14:val="standardContextual"/>
              </w:rPr>
              <w:t>)</w:t>
            </w:r>
          </w:p>
        </w:tc>
        <w:tc>
          <w:tcPr>
            <w:tcW w:w="2127"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before="122" w:line="256" w:lineRule="auto"/>
              <w:rPr>
                <w:b/>
                <w:kern w:val="2"/>
                <w:lang w:val="da-DK"/>
                <w14:ligatures w14:val="standardContextual"/>
              </w:rPr>
            </w:pPr>
          </w:p>
          <w:p w:rsidR="003A6B6B" w:rsidRDefault="003A6B6B">
            <w:pPr>
              <w:pStyle w:val="TableParagraph"/>
              <w:spacing w:line="256" w:lineRule="auto"/>
              <w:ind w:left="4" w:right="4"/>
              <w:jc w:val="center"/>
              <w:rPr>
                <w:b/>
                <w:kern w:val="2"/>
                <w14:ligatures w14:val="standardContextual"/>
              </w:rPr>
            </w:pPr>
            <w:r>
              <w:rPr>
                <w:b/>
                <w:kern w:val="2"/>
                <w14:ligatures w14:val="standardContextual"/>
              </w:rPr>
              <w:t>Meget</w:t>
            </w:r>
            <w:r>
              <w:rPr>
                <w:b/>
                <w:spacing w:val="-6"/>
                <w:kern w:val="2"/>
                <w14:ligatures w14:val="standardContextual"/>
              </w:rPr>
              <w:t xml:space="preserve"> </w:t>
            </w:r>
            <w:r>
              <w:rPr>
                <w:b/>
                <w:spacing w:val="-2"/>
                <w:kern w:val="2"/>
                <w14:ligatures w14:val="standardContextual"/>
              </w:rPr>
              <w:t>almindelig</w:t>
            </w:r>
          </w:p>
        </w:tc>
        <w:tc>
          <w:tcPr>
            <w:tcW w:w="2693"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before="122" w:line="256" w:lineRule="auto"/>
              <w:rPr>
                <w:b/>
                <w:kern w:val="2"/>
                <w14:ligatures w14:val="standardContextual"/>
              </w:rPr>
            </w:pPr>
          </w:p>
          <w:p w:rsidR="003A6B6B" w:rsidRDefault="003A6B6B">
            <w:pPr>
              <w:pStyle w:val="TableParagraph"/>
              <w:spacing w:line="256" w:lineRule="auto"/>
              <w:ind w:left="9" w:right="4"/>
              <w:jc w:val="center"/>
              <w:rPr>
                <w:b/>
                <w:kern w:val="2"/>
                <w14:ligatures w14:val="standardContextual"/>
              </w:rPr>
            </w:pPr>
            <w:r>
              <w:rPr>
                <w:b/>
                <w:spacing w:val="-2"/>
                <w:kern w:val="2"/>
                <w14:ligatures w14:val="standardContextual"/>
              </w:rPr>
              <w:t>Almindelig</w:t>
            </w:r>
          </w:p>
        </w:tc>
        <w:tc>
          <w:tcPr>
            <w:tcW w:w="2551"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before="122" w:line="256" w:lineRule="auto"/>
              <w:rPr>
                <w:b/>
                <w:kern w:val="2"/>
                <w14:ligatures w14:val="standardContextual"/>
              </w:rPr>
            </w:pPr>
          </w:p>
          <w:p w:rsidR="003A6B6B" w:rsidRDefault="003A6B6B">
            <w:pPr>
              <w:pStyle w:val="TableParagraph"/>
              <w:spacing w:line="256" w:lineRule="auto"/>
              <w:ind w:left="2"/>
              <w:jc w:val="center"/>
              <w:rPr>
                <w:b/>
                <w:kern w:val="2"/>
                <w14:ligatures w14:val="standardContextual"/>
              </w:rPr>
            </w:pPr>
            <w:r>
              <w:rPr>
                <w:b/>
                <w:kern w:val="2"/>
                <w14:ligatures w14:val="standardContextual"/>
              </w:rPr>
              <w:t>Ikke</w:t>
            </w:r>
            <w:r>
              <w:rPr>
                <w:b/>
                <w:spacing w:val="-5"/>
                <w:kern w:val="2"/>
                <w14:ligatures w14:val="standardContextual"/>
              </w:rPr>
              <w:t xml:space="preserve"> </w:t>
            </w:r>
            <w:r>
              <w:rPr>
                <w:b/>
                <w:spacing w:val="-2"/>
                <w:kern w:val="2"/>
                <w14:ligatures w14:val="standardContextual"/>
              </w:rPr>
              <w:t>almindelig</w:t>
            </w:r>
          </w:p>
        </w:tc>
      </w:tr>
      <w:tr w:rsidR="003A6B6B" w:rsidTr="003A6B6B">
        <w:trPr>
          <w:trHeight w:val="2529"/>
        </w:trPr>
        <w:tc>
          <w:tcPr>
            <w:tcW w:w="1582"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line="256" w:lineRule="auto"/>
              <w:rPr>
                <w:b/>
                <w:kern w:val="2"/>
                <w14:ligatures w14:val="standardContextual"/>
              </w:rPr>
            </w:pPr>
          </w:p>
          <w:p w:rsidR="003A6B6B" w:rsidRDefault="003A6B6B">
            <w:pPr>
              <w:pStyle w:val="TableParagraph"/>
              <w:spacing w:line="256" w:lineRule="auto"/>
              <w:rPr>
                <w:b/>
                <w:kern w:val="2"/>
                <w14:ligatures w14:val="standardContextual"/>
              </w:rPr>
            </w:pPr>
          </w:p>
          <w:p w:rsidR="003A6B6B" w:rsidRDefault="003A6B6B">
            <w:pPr>
              <w:pStyle w:val="TableParagraph"/>
              <w:spacing w:before="251" w:line="256" w:lineRule="auto"/>
              <w:rPr>
                <w:b/>
                <w:kern w:val="2"/>
                <w14:ligatures w14:val="standardContextual"/>
              </w:rPr>
            </w:pPr>
          </w:p>
          <w:p w:rsidR="003A6B6B" w:rsidRDefault="003A6B6B">
            <w:pPr>
              <w:pStyle w:val="TableParagraph"/>
              <w:spacing w:before="1" w:line="235" w:lineRule="auto"/>
              <w:ind w:left="110"/>
              <w:rPr>
                <w:b/>
                <w:kern w:val="2"/>
                <w14:ligatures w14:val="standardContextual"/>
              </w:rPr>
            </w:pPr>
            <w:r>
              <w:rPr>
                <w:b/>
                <w:kern w:val="2"/>
                <w14:ligatures w14:val="standardContextual"/>
              </w:rPr>
              <w:t xml:space="preserve">Blod og </w:t>
            </w:r>
            <w:r>
              <w:rPr>
                <w:b/>
                <w:spacing w:val="-2"/>
                <w:kern w:val="2"/>
                <w14:ligatures w14:val="standardContextual"/>
              </w:rPr>
              <w:t>lymfesystem</w:t>
            </w:r>
          </w:p>
        </w:tc>
        <w:tc>
          <w:tcPr>
            <w:tcW w:w="2127"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line="256" w:lineRule="auto"/>
              <w:rPr>
                <w:b/>
                <w:kern w:val="2"/>
                <w14:ligatures w14:val="standardContextual"/>
              </w:rPr>
            </w:pPr>
          </w:p>
          <w:p w:rsidR="003A6B6B" w:rsidRDefault="003A6B6B">
            <w:pPr>
              <w:pStyle w:val="TableParagraph"/>
              <w:spacing w:line="256" w:lineRule="auto"/>
              <w:rPr>
                <w:b/>
                <w:kern w:val="2"/>
                <w14:ligatures w14:val="standardContextual"/>
              </w:rPr>
            </w:pPr>
          </w:p>
          <w:p w:rsidR="003A6B6B" w:rsidRDefault="003A6B6B">
            <w:pPr>
              <w:pStyle w:val="TableParagraph"/>
              <w:spacing w:line="256" w:lineRule="auto"/>
              <w:rPr>
                <w:b/>
                <w:kern w:val="2"/>
                <w14:ligatures w14:val="standardContextual"/>
              </w:rPr>
            </w:pPr>
          </w:p>
          <w:p w:rsidR="003A6B6B" w:rsidRDefault="003A6B6B">
            <w:pPr>
              <w:pStyle w:val="TableParagraph"/>
              <w:spacing w:before="116" w:line="256" w:lineRule="auto"/>
              <w:rPr>
                <w:b/>
                <w:kern w:val="2"/>
                <w14:ligatures w14:val="standardContextual"/>
              </w:rPr>
            </w:pPr>
          </w:p>
          <w:p w:rsidR="003A6B6B" w:rsidRDefault="003A6B6B">
            <w:pPr>
              <w:pStyle w:val="TableParagraph"/>
              <w:spacing w:before="1" w:line="256" w:lineRule="auto"/>
              <w:ind w:left="4"/>
              <w:jc w:val="center"/>
              <w:rPr>
                <w:kern w:val="2"/>
                <w14:ligatures w14:val="standardContextual"/>
              </w:rPr>
            </w:pPr>
            <w:r>
              <w:rPr>
                <w:spacing w:val="-2"/>
                <w:kern w:val="2"/>
                <w14:ligatures w14:val="standardContextual"/>
              </w:rPr>
              <w:t>Leukopeni</w:t>
            </w:r>
          </w:p>
        </w:tc>
        <w:tc>
          <w:tcPr>
            <w:tcW w:w="2693"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line="256" w:lineRule="auto"/>
              <w:rPr>
                <w:b/>
                <w:kern w:val="2"/>
                <w:lang w:val="da-DK"/>
                <w14:ligatures w14:val="standardContextual"/>
              </w:rPr>
            </w:pPr>
          </w:p>
          <w:p w:rsidR="003A6B6B" w:rsidRDefault="003A6B6B">
            <w:pPr>
              <w:pStyle w:val="TableParagraph"/>
              <w:spacing w:line="256" w:lineRule="auto"/>
              <w:rPr>
                <w:b/>
                <w:kern w:val="2"/>
                <w:lang w:val="da-DK"/>
                <w14:ligatures w14:val="standardContextual"/>
              </w:rPr>
            </w:pPr>
          </w:p>
          <w:p w:rsidR="003A6B6B" w:rsidRDefault="003A6B6B">
            <w:pPr>
              <w:pStyle w:val="TableParagraph"/>
              <w:spacing w:before="115" w:line="256" w:lineRule="auto"/>
              <w:rPr>
                <w:b/>
                <w:kern w:val="2"/>
                <w:lang w:val="da-DK"/>
                <w14:ligatures w14:val="standardContextual"/>
              </w:rPr>
            </w:pPr>
          </w:p>
          <w:p w:rsidR="003A6B6B" w:rsidRDefault="003A6B6B">
            <w:pPr>
              <w:pStyle w:val="TableParagraph"/>
              <w:spacing w:line="256" w:lineRule="auto"/>
              <w:ind w:left="9"/>
              <w:jc w:val="center"/>
              <w:rPr>
                <w:kern w:val="2"/>
                <w:lang w:val="da-DK"/>
                <w14:ligatures w14:val="standardContextual"/>
              </w:rPr>
            </w:pPr>
            <w:r>
              <w:rPr>
                <w:kern w:val="2"/>
                <w:lang w:val="da-DK"/>
                <w14:ligatures w14:val="standardContextual"/>
              </w:rPr>
              <w:t>Lymfom-lignende</w:t>
            </w:r>
            <w:r>
              <w:rPr>
                <w:spacing w:val="-14"/>
                <w:kern w:val="2"/>
                <w:lang w:val="da-DK"/>
                <w14:ligatures w14:val="standardContextual"/>
              </w:rPr>
              <w:t xml:space="preserve"> </w:t>
            </w:r>
            <w:r>
              <w:rPr>
                <w:kern w:val="2"/>
                <w:lang w:val="da-DK"/>
                <w14:ligatures w14:val="standardContextual"/>
              </w:rPr>
              <w:t xml:space="preserve">reaktion </w:t>
            </w:r>
            <w:r>
              <w:rPr>
                <w:spacing w:val="-2"/>
                <w:kern w:val="2"/>
                <w:lang w:val="da-DK"/>
                <w14:ligatures w14:val="standardContextual"/>
              </w:rPr>
              <w:t>Lymfadenopati</w:t>
            </w:r>
          </w:p>
          <w:p w:rsidR="003A6B6B" w:rsidRDefault="003A6B6B">
            <w:pPr>
              <w:pStyle w:val="TableParagraph"/>
              <w:spacing w:before="3" w:line="256" w:lineRule="auto"/>
              <w:ind w:left="9" w:right="9"/>
              <w:jc w:val="center"/>
              <w:rPr>
                <w:kern w:val="2"/>
                <w:lang w:val="da-DK"/>
                <w14:ligatures w14:val="standardContextual"/>
              </w:rPr>
            </w:pPr>
            <w:r>
              <w:rPr>
                <w:kern w:val="2"/>
                <w:lang w:val="da-DK"/>
                <w14:ligatures w14:val="standardContextual"/>
              </w:rPr>
              <w:t>Hypokrom</w:t>
            </w:r>
            <w:r>
              <w:rPr>
                <w:spacing w:val="-9"/>
                <w:kern w:val="2"/>
                <w:lang w:val="da-DK"/>
                <w14:ligatures w14:val="standardContextual"/>
              </w:rPr>
              <w:t xml:space="preserve"> </w:t>
            </w:r>
            <w:r>
              <w:rPr>
                <w:spacing w:val="-2"/>
                <w:kern w:val="2"/>
                <w:lang w:val="da-DK"/>
                <w14:ligatures w14:val="standardContextual"/>
              </w:rPr>
              <w:t>anæmi</w:t>
            </w:r>
            <w:r>
              <w:rPr>
                <w:spacing w:val="-2"/>
                <w:kern w:val="2"/>
                <w:vertAlign w:val="superscript"/>
                <w:lang w:val="da-DK"/>
                <w14:ligatures w14:val="standardContextual"/>
              </w:rPr>
              <w:t>1,2,3</w:t>
            </w:r>
          </w:p>
        </w:tc>
        <w:tc>
          <w:tcPr>
            <w:tcW w:w="2551"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ind w:left="672" w:right="654"/>
              <w:jc w:val="center"/>
              <w:rPr>
                <w:kern w:val="2"/>
                <w:lang w:val="da-DK"/>
                <w14:ligatures w14:val="standardContextual"/>
              </w:rPr>
            </w:pPr>
            <w:r>
              <w:rPr>
                <w:spacing w:val="-2"/>
                <w:kern w:val="2"/>
                <w:lang w:val="da-DK"/>
                <w14:ligatures w14:val="standardContextual"/>
              </w:rPr>
              <w:t>Bloddyskrasi Purpura</w:t>
            </w:r>
          </w:p>
          <w:p w:rsidR="003A6B6B" w:rsidRDefault="003A6B6B">
            <w:pPr>
              <w:pStyle w:val="TableParagraph"/>
              <w:spacing w:line="256" w:lineRule="auto"/>
              <w:ind w:left="164" w:right="151"/>
              <w:jc w:val="center"/>
              <w:rPr>
                <w:kern w:val="2"/>
                <w:lang w:val="da-DK"/>
                <w14:ligatures w14:val="standardContextual"/>
              </w:rPr>
            </w:pPr>
            <w:r>
              <w:rPr>
                <w:spacing w:val="-2"/>
                <w:kern w:val="2"/>
                <w:lang w:val="da-DK"/>
                <w14:ligatures w14:val="standardContextual"/>
              </w:rPr>
              <w:t xml:space="preserve">Koagulationsforstyrrelse </w:t>
            </w:r>
            <w:r>
              <w:rPr>
                <w:kern w:val="2"/>
                <w:lang w:val="da-DK"/>
                <w14:ligatures w14:val="standardContextual"/>
              </w:rPr>
              <w:t>Øget koagulationstid</w:t>
            </w:r>
            <w:r>
              <w:rPr>
                <w:kern w:val="2"/>
                <w:vertAlign w:val="superscript"/>
                <w:lang w:val="da-DK"/>
                <w14:ligatures w14:val="standardContextual"/>
              </w:rPr>
              <w:t>2,3</w:t>
            </w:r>
            <w:r>
              <w:rPr>
                <w:kern w:val="2"/>
                <w:lang w:val="da-DK"/>
                <w14:ligatures w14:val="standardContextual"/>
              </w:rPr>
              <w:t xml:space="preserve"> </w:t>
            </w:r>
            <w:r>
              <w:rPr>
                <w:spacing w:val="-2"/>
                <w:kern w:val="2"/>
                <w:lang w:val="da-DK"/>
                <w14:ligatures w14:val="standardContextual"/>
              </w:rPr>
              <w:t>Anæmi</w:t>
            </w:r>
            <w:r>
              <w:rPr>
                <w:spacing w:val="-2"/>
                <w:kern w:val="2"/>
                <w:vertAlign w:val="superscript"/>
                <w:lang w:val="da-DK"/>
                <w14:ligatures w14:val="standardContextual"/>
              </w:rPr>
              <w:t>1</w:t>
            </w:r>
            <w:r>
              <w:rPr>
                <w:spacing w:val="-2"/>
                <w:kern w:val="2"/>
                <w:lang w:val="da-DK"/>
                <w14:ligatures w14:val="standardContextual"/>
              </w:rPr>
              <w:t xml:space="preserve"> Trombocytopeni</w:t>
            </w:r>
            <w:r>
              <w:rPr>
                <w:spacing w:val="-2"/>
                <w:kern w:val="2"/>
                <w:vertAlign w:val="superscript"/>
                <w:lang w:val="da-DK"/>
                <w14:ligatures w14:val="standardContextual"/>
              </w:rPr>
              <w:t>3</w:t>
            </w:r>
            <w:r>
              <w:rPr>
                <w:spacing w:val="-2"/>
                <w:kern w:val="2"/>
                <w:lang w:val="da-DK"/>
                <w14:ligatures w14:val="standardContextual"/>
              </w:rPr>
              <w:t xml:space="preserve"> Trombocytæmi Eosinofili</w:t>
            </w:r>
            <w:r>
              <w:rPr>
                <w:spacing w:val="-2"/>
                <w:kern w:val="2"/>
                <w:vertAlign w:val="superscript"/>
                <w:lang w:val="da-DK"/>
                <w14:ligatures w14:val="standardContextual"/>
              </w:rPr>
              <w:t>1</w:t>
            </w:r>
          </w:p>
          <w:p w:rsidR="003A6B6B" w:rsidRDefault="003A6B6B">
            <w:pPr>
              <w:pStyle w:val="TableParagraph"/>
              <w:spacing w:line="254" w:lineRule="exact"/>
              <w:ind w:left="653" w:right="646"/>
              <w:jc w:val="center"/>
              <w:rPr>
                <w:kern w:val="2"/>
                <w14:ligatures w14:val="standardContextual"/>
              </w:rPr>
            </w:pPr>
            <w:r>
              <w:rPr>
                <w:spacing w:val="-2"/>
                <w:kern w:val="2"/>
                <w14:ligatures w14:val="standardContextual"/>
              </w:rPr>
              <w:t>Leukocytose</w:t>
            </w:r>
            <w:r>
              <w:rPr>
                <w:spacing w:val="-2"/>
                <w:kern w:val="2"/>
                <w:vertAlign w:val="superscript"/>
                <w14:ligatures w14:val="standardContextual"/>
              </w:rPr>
              <w:t>2</w:t>
            </w:r>
            <w:r>
              <w:rPr>
                <w:spacing w:val="-2"/>
                <w:kern w:val="2"/>
                <w14:ligatures w14:val="standardContextual"/>
              </w:rPr>
              <w:t xml:space="preserve"> Lymfocytose</w:t>
            </w:r>
          </w:p>
        </w:tc>
      </w:tr>
      <w:tr w:rsidR="003A6B6B" w:rsidTr="003A6B6B">
        <w:trPr>
          <w:trHeight w:val="750"/>
        </w:trPr>
        <w:tc>
          <w:tcPr>
            <w:tcW w:w="1582"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line="241" w:lineRule="exact"/>
              <w:ind w:left="110"/>
              <w:rPr>
                <w:b/>
                <w:kern w:val="2"/>
                <w14:ligatures w14:val="standardContextual"/>
              </w:rPr>
            </w:pPr>
            <w:r>
              <w:rPr>
                <w:b/>
                <w:spacing w:val="-5"/>
                <w:kern w:val="2"/>
                <w14:ligatures w14:val="standardContextual"/>
              </w:rPr>
              <w:t>Det</w:t>
            </w:r>
          </w:p>
          <w:p w:rsidR="003A6B6B" w:rsidRDefault="003A6B6B">
            <w:pPr>
              <w:pStyle w:val="TableParagraph"/>
              <w:spacing w:line="250" w:lineRule="exact"/>
              <w:ind w:left="110" w:right="431"/>
              <w:rPr>
                <w:b/>
                <w:kern w:val="2"/>
                <w14:ligatures w14:val="standardContextual"/>
              </w:rPr>
            </w:pPr>
            <w:r>
              <w:rPr>
                <w:b/>
                <w:spacing w:val="-2"/>
                <w:kern w:val="2"/>
                <w14:ligatures w14:val="standardContextual"/>
              </w:rPr>
              <w:t>endokrine system</w:t>
            </w:r>
          </w:p>
        </w:tc>
        <w:tc>
          <w:tcPr>
            <w:tcW w:w="2127"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before="238" w:line="256" w:lineRule="auto"/>
              <w:ind w:left="4" w:right="2"/>
              <w:jc w:val="center"/>
              <w:rPr>
                <w:kern w:val="2"/>
                <w14:ligatures w14:val="standardContextual"/>
              </w:rPr>
            </w:pPr>
            <w:r>
              <w:rPr>
                <w:spacing w:val="-2"/>
                <w:kern w:val="2"/>
                <w14:ligatures w14:val="standardContextual"/>
              </w:rPr>
              <w:t>Hypotyroidisme</w:t>
            </w:r>
          </w:p>
        </w:tc>
        <w:tc>
          <w:tcPr>
            <w:tcW w:w="2693"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before="238" w:line="256" w:lineRule="auto"/>
              <w:ind w:left="9" w:right="4"/>
              <w:jc w:val="center"/>
              <w:rPr>
                <w:kern w:val="2"/>
                <w14:ligatures w14:val="standardContextual"/>
              </w:rPr>
            </w:pPr>
            <w:r>
              <w:rPr>
                <w:spacing w:val="-2"/>
                <w:kern w:val="2"/>
                <w14:ligatures w14:val="standardContextual"/>
              </w:rPr>
              <w:t>Thyroideasygdom</w:t>
            </w:r>
          </w:p>
        </w:tc>
        <w:tc>
          <w:tcPr>
            <w:tcW w:w="2551"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before="238" w:line="256" w:lineRule="auto"/>
              <w:ind w:left="5"/>
              <w:jc w:val="center"/>
              <w:rPr>
                <w:kern w:val="2"/>
                <w14:ligatures w14:val="standardContextual"/>
              </w:rPr>
            </w:pPr>
            <w:r>
              <w:rPr>
                <w:spacing w:val="-2"/>
                <w:kern w:val="2"/>
                <w14:ligatures w14:val="standardContextual"/>
              </w:rPr>
              <w:t>Hypertyroidisme</w:t>
            </w:r>
          </w:p>
        </w:tc>
      </w:tr>
      <w:tr w:rsidR="003A6B6B" w:rsidTr="003A6B6B">
        <w:trPr>
          <w:trHeight w:val="1770"/>
        </w:trPr>
        <w:tc>
          <w:tcPr>
            <w:tcW w:w="1582"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line="256" w:lineRule="auto"/>
              <w:rPr>
                <w:b/>
                <w:kern w:val="2"/>
                <w14:ligatures w14:val="standardContextual"/>
              </w:rPr>
            </w:pPr>
          </w:p>
          <w:p w:rsidR="003A6B6B" w:rsidRDefault="003A6B6B">
            <w:pPr>
              <w:pStyle w:val="TableParagraph"/>
              <w:spacing w:before="123" w:line="256" w:lineRule="auto"/>
              <w:rPr>
                <w:b/>
                <w:kern w:val="2"/>
                <w14:ligatures w14:val="standardContextual"/>
              </w:rPr>
            </w:pPr>
          </w:p>
          <w:p w:rsidR="003A6B6B" w:rsidRDefault="003A6B6B">
            <w:pPr>
              <w:pStyle w:val="TableParagraph"/>
              <w:spacing w:line="256" w:lineRule="auto"/>
              <w:ind w:left="110"/>
              <w:rPr>
                <w:b/>
                <w:spacing w:val="-2"/>
                <w:kern w:val="2"/>
                <w14:ligatures w14:val="standardContextual"/>
              </w:rPr>
            </w:pPr>
            <w:r>
              <w:rPr>
                <w:b/>
                <w:spacing w:val="-2"/>
                <w:kern w:val="2"/>
                <w14:ligatures w14:val="standardContextual"/>
              </w:rPr>
              <w:t xml:space="preserve">Metabolisme </w:t>
            </w:r>
          </w:p>
          <w:p w:rsidR="003A6B6B" w:rsidRDefault="003A6B6B">
            <w:pPr>
              <w:pStyle w:val="TableParagraph"/>
              <w:spacing w:line="256" w:lineRule="auto"/>
              <w:ind w:left="110"/>
              <w:rPr>
                <w:b/>
                <w:kern w:val="2"/>
                <w14:ligatures w14:val="standardContextual"/>
              </w:rPr>
            </w:pPr>
            <w:r>
              <w:rPr>
                <w:b/>
                <w:kern w:val="2"/>
                <w14:ligatures w14:val="standardContextual"/>
              </w:rPr>
              <w:t>og ernæring</w:t>
            </w:r>
          </w:p>
        </w:tc>
        <w:tc>
          <w:tcPr>
            <w:tcW w:w="2127"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line="256" w:lineRule="auto"/>
              <w:rPr>
                <w:b/>
                <w:kern w:val="2"/>
                <w14:ligatures w14:val="standardContextual"/>
              </w:rPr>
            </w:pPr>
          </w:p>
          <w:p w:rsidR="003A6B6B" w:rsidRDefault="003A6B6B">
            <w:pPr>
              <w:pStyle w:val="TableParagraph"/>
              <w:spacing w:before="118" w:line="256" w:lineRule="auto"/>
              <w:rPr>
                <w:b/>
                <w:kern w:val="2"/>
                <w14:ligatures w14:val="standardContextual"/>
              </w:rPr>
            </w:pPr>
          </w:p>
          <w:p w:rsidR="003A6B6B" w:rsidRDefault="003A6B6B">
            <w:pPr>
              <w:pStyle w:val="TableParagraph"/>
              <w:spacing w:before="1" w:line="256" w:lineRule="auto"/>
              <w:ind w:left="139" w:firstLine="235"/>
              <w:rPr>
                <w:kern w:val="2"/>
                <w14:ligatures w14:val="standardContextual"/>
              </w:rPr>
            </w:pPr>
            <w:r>
              <w:rPr>
                <w:spacing w:val="-2"/>
                <w:kern w:val="2"/>
                <w14:ligatures w14:val="standardContextual"/>
              </w:rPr>
              <w:t>Hyperlipidæmi Hyperkolesterolæmi</w:t>
            </w:r>
          </w:p>
        </w:tc>
        <w:tc>
          <w:tcPr>
            <w:tcW w:w="2693"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line="256" w:lineRule="auto"/>
              <w:ind w:left="432" w:right="416" w:hanging="13"/>
              <w:jc w:val="center"/>
              <w:rPr>
                <w:kern w:val="2"/>
                <w:lang w:val="da-DK"/>
                <w14:ligatures w14:val="standardContextual"/>
              </w:rPr>
            </w:pPr>
            <w:r>
              <w:rPr>
                <w:spacing w:val="-2"/>
                <w:kern w:val="2"/>
                <w:lang w:val="da-DK"/>
                <w14:ligatures w14:val="standardContextual"/>
              </w:rPr>
              <w:t>Vægtøgning</w:t>
            </w:r>
            <w:r>
              <w:rPr>
                <w:kern w:val="2"/>
                <w:lang w:val="da-DK"/>
                <w14:ligatures w14:val="standardContextual"/>
              </w:rPr>
              <w:t xml:space="preserve"> Forhøjet ASAT Forhøjet ALAT </w:t>
            </w:r>
            <w:r>
              <w:rPr>
                <w:spacing w:val="-2"/>
                <w:kern w:val="2"/>
                <w:lang w:val="da-DK"/>
                <w14:ligatures w14:val="standardContextual"/>
              </w:rPr>
              <w:t>Forhøjet laktatdehydrogenase</w:t>
            </w:r>
          </w:p>
          <w:p w:rsidR="003A6B6B" w:rsidRDefault="003A6B6B">
            <w:pPr>
              <w:pStyle w:val="TableParagraph"/>
              <w:spacing w:line="250" w:lineRule="exact"/>
              <w:ind w:left="542" w:right="534"/>
              <w:jc w:val="center"/>
              <w:rPr>
                <w:kern w:val="2"/>
                <w14:ligatures w14:val="standardContextual"/>
              </w:rPr>
            </w:pPr>
            <w:r>
              <w:rPr>
                <w:kern w:val="2"/>
                <w14:ligatures w14:val="standardContextual"/>
              </w:rPr>
              <w:t>Forhøjet</w:t>
            </w:r>
            <w:r>
              <w:rPr>
                <w:spacing w:val="-14"/>
                <w:kern w:val="2"/>
                <w14:ligatures w14:val="standardContextual"/>
              </w:rPr>
              <w:t xml:space="preserve"> </w:t>
            </w:r>
            <w:r>
              <w:rPr>
                <w:kern w:val="2"/>
                <w14:ligatures w14:val="standardContextual"/>
              </w:rPr>
              <w:t xml:space="preserve">kreatinin </w:t>
            </w:r>
            <w:r>
              <w:rPr>
                <w:spacing w:val="-2"/>
                <w:kern w:val="2"/>
                <w14:ligatures w14:val="standardContextual"/>
              </w:rPr>
              <w:t>Hypoproteinæmi</w:t>
            </w:r>
          </w:p>
        </w:tc>
        <w:tc>
          <w:tcPr>
            <w:tcW w:w="2551"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before="116" w:line="256" w:lineRule="auto"/>
              <w:ind w:left="442" w:right="427" w:hanging="4"/>
              <w:jc w:val="center"/>
              <w:rPr>
                <w:kern w:val="2"/>
                <w:lang w:val="da-DK"/>
                <w14:ligatures w14:val="standardContextual"/>
              </w:rPr>
            </w:pPr>
            <w:r>
              <w:rPr>
                <w:kern w:val="2"/>
                <w:lang w:val="da-DK"/>
                <w14:ligatures w14:val="standardContextual"/>
              </w:rPr>
              <w:t xml:space="preserve">Arthritis urica </w:t>
            </w:r>
            <w:r>
              <w:rPr>
                <w:spacing w:val="-2"/>
                <w:kern w:val="2"/>
                <w:lang w:val="da-DK"/>
                <w14:ligatures w14:val="standardContextual"/>
              </w:rPr>
              <w:t>Bilirubinæmi</w:t>
            </w:r>
            <w:r>
              <w:rPr>
                <w:spacing w:val="-2"/>
                <w:kern w:val="2"/>
                <w:vertAlign w:val="superscript"/>
                <w:lang w:val="da-DK"/>
                <w14:ligatures w14:val="standardContextual"/>
              </w:rPr>
              <w:t>1,3</w:t>
            </w:r>
            <w:r>
              <w:rPr>
                <w:spacing w:val="-2"/>
                <w:kern w:val="2"/>
                <w:lang w:val="da-DK"/>
                <w14:ligatures w14:val="standardContextual"/>
              </w:rPr>
              <w:t xml:space="preserve"> </w:t>
            </w:r>
            <w:r>
              <w:rPr>
                <w:kern w:val="2"/>
                <w:lang w:val="da-DK"/>
                <w14:ligatures w14:val="standardContextual"/>
              </w:rPr>
              <w:t>Forhøjet</w:t>
            </w:r>
            <w:r>
              <w:rPr>
                <w:spacing w:val="-14"/>
                <w:kern w:val="2"/>
                <w:lang w:val="da-DK"/>
                <w14:ligatures w14:val="standardContextual"/>
              </w:rPr>
              <w:t xml:space="preserve"> </w:t>
            </w:r>
            <w:r>
              <w:rPr>
                <w:kern w:val="2"/>
                <w:lang w:val="da-DK"/>
                <w14:ligatures w14:val="standardContextual"/>
              </w:rPr>
              <w:t>blod</w:t>
            </w:r>
            <w:r>
              <w:rPr>
                <w:spacing w:val="-14"/>
                <w:kern w:val="2"/>
                <w:lang w:val="da-DK"/>
                <w14:ligatures w14:val="standardContextual"/>
              </w:rPr>
              <w:t xml:space="preserve"> </w:t>
            </w:r>
            <w:r>
              <w:rPr>
                <w:kern w:val="2"/>
                <w:lang w:val="da-DK"/>
                <w14:ligatures w14:val="standardContextual"/>
              </w:rPr>
              <w:t xml:space="preserve">urea </w:t>
            </w:r>
            <w:r>
              <w:rPr>
                <w:spacing w:val="-2"/>
                <w:kern w:val="2"/>
                <w:lang w:val="da-DK"/>
                <w14:ligatures w14:val="standardContextual"/>
              </w:rPr>
              <w:t>nitrogen</w:t>
            </w:r>
            <w:r>
              <w:rPr>
                <w:spacing w:val="-2"/>
                <w:kern w:val="2"/>
                <w:vertAlign w:val="superscript"/>
                <w:lang w:val="da-DK"/>
                <w14:ligatures w14:val="standardContextual"/>
              </w:rPr>
              <w:t>1</w:t>
            </w:r>
            <w:r>
              <w:rPr>
                <w:spacing w:val="-2"/>
                <w:kern w:val="2"/>
                <w:lang w:val="da-DK"/>
                <w14:ligatures w14:val="standardContextual"/>
              </w:rPr>
              <w:t xml:space="preserve"> </w:t>
            </w:r>
            <w:r>
              <w:rPr>
                <w:kern w:val="2"/>
                <w:lang w:val="da-DK"/>
                <w14:ligatures w14:val="standardContextual"/>
              </w:rPr>
              <w:t xml:space="preserve">Reduceret HDL- </w:t>
            </w:r>
            <w:r>
              <w:rPr>
                <w:spacing w:val="-2"/>
                <w:kern w:val="2"/>
                <w:lang w:val="da-DK"/>
                <w14:ligatures w14:val="standardContextual"/>
              </w:rPr>
              <w:t>kolesterol</w:t>
            </w:r>
          </w:p>
        </w:tc>
      </w:tr>
      <w:tr w:rsidR="003A6B6B" w:rsidTr="003A6B6B">
        <w:trPr>
          <w:trHeight w:val="1516"/>
        </w:trPr>
        <w:tc>
          <w:tcPr>
            <w:tcW w:w="1582"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line="256" w:lineRule="auto"/>
              <w:rPr>
                <w:b/>
                <w:kern w:val="2"/>
                <w:lang w:val="da-DK"/>
                <w14:ligatures w14:val="standardContextual"/>
              </w:rPr>
            </w:pPr>
          </w:p>
          <w:p w:rsidR="003A6B6B" w:rsidRDefault="003A6B6B">
            <w:pPr>
              <w:pStyle w:val="TableParagraph"/>
              <w:spacing w:line="256" w:lineRule="auto"/>
              <w:rPr>
                <w:b/>
                <w:kern w:val="2"/>
                <w:lang w:val="da-DK"/>
                <w14:ligatures w14:val="standardContextual"/>
              </w:rPr>
            </w:pPr>
          </w:p>
          <w:p w:rsidR="003A6B6B" w:rsidRDefault="003A6B6B">
            <w:pPr>
              <w:pStyle w:val="TableParagraph"/>
              <w:spacing w:before="1" w:line="235" w:lineRule="auto"/>
              <w:ind w:left="110" w:right="72"/>
              <w:rPr>
                <w:b/>
                <w:kern w:val="2"/>
                <w14:ligatures w14:val="standardContextual"/>
              </w:rPr>
            </w:pPr>
            <w:r>
              <w:rPr>
                <w:b/>
                <w:spacing w:val="-2"/>
                <w:kern w:val="2"/>
                <w14:ligatures w14:val="standardContextual"/>
              </w:rPr>
              <w:t>Nervesystem</w:t>
            </w:r>
            <w:r>
              <w:rPr>
                <w:b/>
                <w:spacing w:val="-6"/>
                <w:kern w:val="2"/>
                <w14:ligatures w14:val="standardContextual"/>
              </w:rPr>
              <w:t>et</w:t>
            </w:r>
          </w:p>
        </w:tc>
        <w:tc>
          <w:tcPr>
            <w:tcW w:w="2127"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line="256" w:lineRule="auto"/>
              <w:rPr>
                <w:kern w:val="2"/>
                <w:sz w:val="20"/>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before="117" w:line="256" w:lineRule="auto"/>
              <w:rPr>
                <w:b/>
                <w:kern w:val="2"/>
                <w14:ligatures w14:val="standardContextual"/>
              </w:rPr>
            </w:pPr>
          </w:p>
          <w:p w:rsidR="003A6B6B" w:rsidRDefault="003A6B6B">
            <w:pPr>
              <w:pStyle w:val="TableParagraph"/>
              <w:spacing w:line="256" w:lineRule="auto"/>
              <w:ind w:left="701" w:right="699"/>
              <w:jc w:val="center"/>
              <w:rPr>
                <w:kern w:val="2"/>
                <w14:ligatures w14:val="standardContextual"/>
              </w:rPr>
            </w:pPr>
            <w:r>
              <w:rPr>
                <w:spacing w:val="-2"/>
                <w:kern w:val="2"/>
                <w14:ligatures w14:val="standardContextual"/>
              </w:rPr>
              <w:t>Svimmelhed Hypæstesi Søvnløshed</w:t>
            </w:r>
          </w:p>
        </w:tc>
        <w:tc>
          <w:tcPr>
            <w:tcW w:w="2551"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line="256" w:lineRule="auto"/>
              <w:ind w:left="620" w:right="608" w:firstLine="1"/>
              <w:jc w:val="center"/>
              <w:rPr>
                <w:kern w:val="2"/>
                <w:lang w:val="it-IT"/>
                <w14:ligatures w14:val="standardContextual"/>
              </w:rPr>
            </w:pPr>
            <w:r>
              <w:rPr>
                <w:spacing w:val="-2"/>
                <w:kern w:val="2"/>
                <w:lang w:val="it-IT"/>
                <w14:ligatures w14:val="standardContextual"/>
              </w:rPr>
              <w:t>Ataksi Neuropati Vertigo Hyperæstesi Depression</w:t>
            </w:r>
            <w:r>
              <w:rPr>
                <w:spacing w:val="-2"/>
                <w:kern w:val="2"/>
                <w:vertAlign w:val="superscript"/>
                <w:lang w:val="it-IT"/>
                <w14:ligatures w14:val="standardContextual"/>
              </w:rPr>
              <w:t>1,2,3</w:t>
            </w:r>
          </w:p>
          <w:p w:rsidR="003A6B6B" w:rsidRDefault="003A6B6B">
            <w:pPr>
              <w:pStyle w:val="TableParagraph"/>
              <w:spacing w:line="238" w:lineRule="exact"/>
              <w:ind w:left="7"/>
              <w:jc w:val="center"/>
              <w:rPr>
                <w:kern w:val="2"/>
                <w14:ligatures w14:val="standardContextual"/>
              </w:rPr>
            </w:pPr>
            <w:r>
              <w:rPr>
                <w:spacing w:val="-2"/>
                <w:kern w:val="2"/>
                <w14:ligatures w14:val="standardContextual"/>
              </w:rPr>
              <w:t>Agitation</w:t>
            </w:r>
          </w:p>
        </w:tc>
      </w:tr>
      <w:tr w:rsidR="003A6B6B" w:rsidTr="003A6B6B">
        <w:trPr>
          <w:trHeight w:val="1770"/>
        </w:trPr>
        <w:tc>
          <w:tcPr>
            <w:tcW w:w="1582"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line="256" w:lineRule="auto"/>
              <w:rPr>
                <w:b/>
                <w:kern w:val="2"/>
                <w14:ligatures w14:val="standardContextual"/>
              </w:rPr>
            </w:pPr>
          </w:p>
          <w:p w:rsidR="003A6B6B" w:rsidRDefault="003A6B6B">
            <w:pPr>
              <w:pStyle w:val="TableParagraph"/>
              <w:spacing w:line="256" w:lineRule="auto"/>
              <w:rPr>
                <w:b/>
                <w:kern w:val="2"/>
                <w14:ligatures w14:val="standardContextual"/>
              </w:rPr>
            </w:pPr>
          </w:p>
          <w:p w:rsidR="003A6B6B" w:rsidRDefault="003A6B6B">
            <w:pPr>
              <w:pStyle w:val="TableParagraph"/>
              <w:spacing w:line="256" w:lineRule="auto"/>
              <w:rPr>
                <w:b/>
                <w:kern w:val="2"/>
                <w14:ligatures w14:val="standardContextual"/>
              </w:rPr>
            </w:pPr>
          </w:p>
          <w:p w:rsidR="003A6B6B" w:rsidRDefault="003A6B6B">
            <w:pPr>
              <w:pStyle w:val="TableParagraph"/>
              <w:spacing w:line="256" w:lineRule="auto"/>
              <w:ind w:left="110"/>
              <w:rPr>
                <w:b/>
                <w:kern w:val="2"/>
                <w14:ligatures w14:val="standardContextual"/>
              </w:rPr>
            </w:pPr>
            <w:r>
              <w:rPr>
                <w:b/>
                <w:spacing w:val="-4"/>
                <w:kern w:val="2"/>
                <w14:ligatures w14:val="standardContextual"/>
              </w:rPr>
              <w:t>Øjne</w:t>
            </w:r>
          </w:p>
        </w:tc>
        <w:tc>
          <w:tcPr>
            <w:tcW w:w="2127"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line="256" w:lineRule="auto"/>
              <w:rPr>
                <w:kern w:val="2"/>
                <w:sz w:val="20"/>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line="256" w:lineRule="auto"/>
              <w:rPr>
                <w:b/>
                <w:kern w:val="2"/>
                <w14:ligatures w14:val="standardContextual"/>
              </w:rPr>
            </w:pPr>
          </w:p>
          <w:p w:rsidR="003A6B6B" w:rsidRDefault="003A6B6B">
            <w:pPr>
              <w:pStyle w:val="TableParagraph"/>
              <w:spacing w:before="118" w:line="256" w:lineRule="auto"/>
              <w:rPr>
                <w:b/>
                <w:kern w:val="2"/>
                <w14:ligatures w14:val="standardContextual"/>
              </w:rPr>
            </w:pPr>
          </w:p>
          <w:p w:rsidR="003A6B6B" w:rsidRDefault="003A6B6B">
            <w:pPr>
              <w:pStyle w:val="TableParagraph"/>
              <w:spacing w:before="1" w:line="256" w:lineRule="auto"/>
              <w:ind w:left="830" w:firstLine="43"/>
              <w:rPr>
                <w:kern w:val="2"/>
                <w14:ligatures w14:val="standardContextual"/>
              </w:rPr>
            </w:pPr>
            <w:r>
              <w:rPr>
                <w:kern w:val="2"/>
                <w14:ligatures w14:val="standardContextual"/>
              </w:rPr>
              <w:t>Tørre</w:t>
            </w:r>
            <w:r>
              <w:rPr>
                <w:spacing w:val="-2"/>
                <w:kern w:val="2"/>
                <w14:ligatures w14:val="standardContextual"/>
              </w:rPr>
              <w:t xml:space="preserve"> </w:t>
            </w:r>
            <w:r>
              <w:rPr>
                <w:kern w:val="2"/>
                <w14:ligatures w14:val="standardContextual"/>
              </w:rPr>
              <w:t xml:space="preserve">øjne </w:t>
            </w:r>
            <w:r>
              <w:rPr>
                <w:spacing w:val="-2"/>
                <w:kern w:val="2"/>
                <w14:ligatures w14:val="standardContextual"/>
              </w:rPr>
              <w:t>Øjenlidelse</w:t>
            </w:r>
          </w:p>
        </w:tc>
        <w:tc>
          <w:tcPr>
            <w:tcW w:w="2551"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ind w:left="164" w:right="152"/>
              <w:jc w:val="center"/>
              <w:rPr>
                <w:kern w:val="2"/>
                <w:lang w:val="sv-SE"/>
                <w14:ligatures w14:val="standardContextual"/>
              </w:rPr>
            </w:pPr>
            <w:r>
              <w:rPr>
                <w:kern w:val="2"/>
                <w:lang w:val="sv-SE"/>
                <w14:ligatures w14:val="standardContextual"/>
              </w:rPr>
              <w:t>Specificeret</w:t>
            </w:r>
            <w:r>
              <w:rPr>
                <w:spacing w:val="-14"/>
                <w:kern w:val="2"/>
                <w:lang w:val="sv-SE"/>
                <w14:ligatures w14:val="standardContextual"/>
              </w:rPr>
              <w:t xml:space="preserve"> </w:t>
            </w:r>
            <w:r>
              <w:rPr>
                <w:kern w:val="2"/>
                <w:lang w:val="sv-SE"/>
                <w14:ligatures w14:val="standardContextual"/>
              </w:rPr>
              <w:t>katarakt</w:t>
            </w:r>
            <w:r>
              <w:rPr>
                <w:kern w:val="2"/>
                <w:vertAlign w:val="superscript"/>
                <w:lang w:val="sv-SE"/>
                <w14:ligatures w14:val="standardContextual"/>
              </w:rPr>
              <w:t>1,2,3</w:t>
            </w:r>
            <w:r>
              <w:rPr>
                <w:kern w:val="2"/>
                <w:lang w:val="sv-SE"/>
                <w14:ligatures w14:val="standardContextual"/>
              </w:rPr>
              <w:t xml:space="preserve"> </w:t>
            </w:r>
            <w:r>
              <w:rPr>
                <w:spacing w:val="-2"/>
                <w:kern w:val="2"/>
                <w:lang w:val="sv-SE"/>
                <w14:ligatures w14:val="standardContextual"/>
              </w:rPr>
              <w:t>Amblyopi</w:t>
            </w:r>
            <w:r>
              <w:rPr>
                <w:spacing w:val="-2"/>
                <w:kern w:val="2"/>
                <w:vertAlign w:val="superscript"/>
                <w:lang w:val="sv-SE"/>
                <w14:ligatures w14:val="standardContextual"/>
              </w:rPr>
              <w:t>3</w:t>
            </w:r>
          </w:p>
          <w:p w:rsidR="003A6B6B" w:rsidRDefault="003A6B6B">
            <w:pPr>
              <w:pStyle w:val="TableParagraph"/>
              <w:spacing w:line="256" w:lineRule="auto"/>
              <w:ind w:left="533" w:right="525" w:hanging="5"/>
              <w:jc w:val="center"/>
              <w:rPr>
                <w:kern w:val="2"/>
                <w:lang w:val="sv-SE"/>
                <w14:ligatures w14:val="standardContextual"/>
              </w:rPr>
            </w:pPr>
            <w:r>
              <w:rPr>
                <w:kern w:val="2"/>
                <w:lang w:val="sv-SE"/>
                <w14:ligatures w14:val="standardContextual"/>
              </w:rPr>
              <w:t xml:space="preserve">Defekt synsfelt </w:t>
            </w:r>
            <w:r>
              <w:rPr>
                <w:spacing w:val="-2"/>
                <w:kern w:val="2"/>
                <w:lang w:val="sv-SE"/>
                <w14:ligatures w14:val="standardContextual"/>
              </w:rPr>
              <w:t xml:space="preserve">Cornealæsion </w:t>
            </w:r>
            <w:r>
              <w:rPr>
                <w:kern w:val="2"/>
                <w:lang w:val="sv-SE"/>
                <w14:ligatures w14:val="standardContextual"/>
              </w:rPr>
              <w:t>Abnormt</w:t>
            </w:r>
            <w:r>
              <w:rPr>
                <w:spacing w:val="-14"/>
                <w:kern w:val="2"/>
                <w:lang w:val="sv-SE"/>
                <w14:ligatures w14:val="standardContextual"/>
              </w:rPr>
              <w:t xml:space="preserve"> </w:t>
            </w:r>
            <w:r>
              <w:rPr>
                <w:kern w:val="2"/>
                <w:lang w:val="sv-SE"/>
                <w14:ligatures w14:val="standardContextual"/>
              </w:rPr>
              <w:t>syn</w:t>
            </w:r>
            <w:r>
              <w:rPr>
                <w:kern w:val="2"/>
                <w:vertAlign w:val="superscript"/>
                <w:lang w:val="sv-SE"/>
                <w14:ligatures w14:val="standardContextual"/>
              </w:rPr>
              <w:t>1,2,3</w:t>
            </w:r>
          </w:p>
          <w:p w:rsidR="003A6B6B" w:rsidRDefault="003A6B6B">
            <w:pPr>
              <w:pStyle w:val="TableParagraph"/>
              <w:spacing w:line="254" w:lineRule="exact"/>
              <w:ind w:left="581" w:right="574" w:hanging="4"/>
              <w:jc w:val="center"/>
              <w:rPr>
                <w:kern w:val="2"/>
                <w14:ligatures w14:val="standardContextual"/>
              </w:rPr>
            </w:pPr>
            <w:r>
              <w:rPr>
                <w:spacing w:val="-2"/>
                <w:kern w:val="2"/>
                <w14:ligatures w14:val="standardContextual"/>
              </w:rPr>
              <w:t>Blefaritis Konjunktivitis</w:t>
            </w:r>
            <w:r>
              <w:rPr>
                <w:spacing w:val="-2"/>
                <w:kern w:val="2"/>
                <w:vertAlign w:val="superscript"/>
                <w14:ligatures w14:val="standardContextual"/>
              </w:rPr>
              <w:t>3</w:t>
            </w:r>
          </w:p>
        </w:tc>
      </w:tr>
      <w:tr w:rsidR="003A6B6B" w:rsidTr="003A6B6B">
        <w:trPr>
          <w:trHeight w:val="501"/>
        </w:trPr>
        <w:tc>
          <w:tcPr>
            <w:tcW w:w="1582"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line="242" w:lineRule="exact"/>
              <w:ind w:left="110"/>
              <w:rPr>
                <w:b/>
                <w:kern w:val="2"/>
                <w14:ligatures w14:val="standardContextual"/>
              </w:rPr>
            </w:pPr>
            <w:r>
              <w:rPr>
                <w:b/>
                <w:kern w:val="2"/>
                <w14:ligatures w14:val="standardContextual"/>
              </w:rPr>
              <w:t>Øre</w:t>
            </w:r>
            <w:r>
              <w:rPr>
                <w:b/>
                <w:spacing w:val="-2"/>
                <w:kern w:val="2"/>
                <w14:ligatures w14:val="standardContextual"/>
              </w:rPr>
              <w:t xml:space="preserve"> </w:t>
            </w:r>
            <w:r>
              <w:rPr>
                <w:b/>
                <w:spacing w:val="-5"/>
                <w:kern w:val="2"/>
                <w14:ligatures w14:val="standardContextual"/>
              </w:rPr>
              <w:t>og</w:t>
            </w:r>
          </w:p>
          <w:p w:rsidR="003A6B6B" w:rsidRDefault="003A6B6B">
            <w:pPr>
              <w:pStyle w:val="TableParagraph"/>
              <w:spacing w:before="1" w:line="238" w:lineRule="exact"/>
              <w:ind w:left="110"/>
              <w:rPr>
                <w:b/>
                <w:kern w:val="2"/>
                <w14:ligatures w14:val="standardContextual"/>
              </w:rPr>
            </w:pPr>
            <w:r>
              <w:rPr>
                <w:b/>
                <w:spacing w:val="-2"/>
                <w:kern w:val="2"/>
                <w14:ligatures w14:val="standardContextual"/>
              </w:rPr>
              <w:t>labyrint</w:t>
            </w:r>
          </w:p>
        </w:tc>
        <w:tc>
          <w:tcPr>
            <w:tcW w:w="2127"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line="256" w:lineRule="auto"/>
              <w:rPr>
                <w:kern w:val="2"/>
                <w:sz w:val="20"/>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before="238" w:line="243" w:lineRule="exact"/>
              <w:ind w:left="9" w:right="8"/>
              <w:jc w:val="center"/>
              <w:rPr>
                <w:kern w:val="2"/>
                <w14:ligatures w14:val="standardContextual"/>
              </w:rPr>
            </w:pPr>
            <w:r>
              <w:rPr>
                <w:spacing w:val="-2"/>
                <w:kern w:val="2"/>
                <w14:ligatures w14:val="standardContextual"/>
              </w:rPr>
              <w:t>Døvhed</w:t>
            </w:r>
          </w:p>
        </w:tc>
        <w:tc>
          <w:tcPr>
            <w:tcW w:w="2551"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before="238" w:line="243" w:lineRule="exact"/>
              <w:ind w:left="14"/>
              <w:jc w:val="center"/>
              <w:rPr>
                <w:kern w:val="2"/>
                <w14:ligatures w14:val="standardContextual"/>
              </w:rPr>
            </w:pPr>
            <w:r>
              <w:rPr>
                <w:spacing w:val="-2"/>
                <w:kern w:val="2"/>
                <w14:ligatures w14:val="standardContextual"/>
              </w:rPr>
              <w:t>Ørelidelse</w:t>
            </w:r>
          </w:p>
        </w:tc>
      </w:tr>
      <w:tr w:rsidR="003A6B6B" w:rsidTr="003A6B6B">
        <w:trPr>
          <w:trHeight w:val="253"/>
        </w:trPr>
        <w:tc>
          <w:tcPr>
            <w:tcW w:w="1582"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line="234" w:lineRule="exact"/>
              <w:ind w:left="110"/>
              <w:rPr>
                <w:b/>
                <w:kern w:val="2"/>
                <w14:ligatures w14:val="standardContextual"/>
              </w:rPr>
            </w:pPr>
            <w:r>
              <w:rPr>
                <w:b/>
                <w:spacing w:val="-2"/>
                <w:kern w:val="2"/>
                <w14:ligatures w14:val="standardContextual"/>
              </w:rPr>
              <w:t>Hjerte</w:t>
            </w:r>
          </w:p>
        </w:tc>
        <w:tc>
          <w:tcPr>
            <w:tcW w:w="2127"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line="256" w:lineRule="auto"/>
              <w:rPr>
                <w:kern w:val="2"/>
                <w:sz w:val="18"/>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line="256" w:lineRule="auto"/>
              <w:rPr>
                <w:kern w:val="2"/>
                <w:sz w:val="18"/>
                <w14:ligatures w14:val="standardContextual"/>
              </w:rPr>
            </w:pPr>
          </w:p>
        </w:tc>
        <w:tc>
          <w:tcPr>
            <w:tcW w:w="2551"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line="234" w:lineRule="exact"/>
              <w:ind w:left="12"/>
              <w:jc w:val="center"/>
              <w:rPr>
                <w:kern w:val="2"/>
                <w14:ligatures w14:val="standardContextual"/>
              </w:rPr>
            </w:pPr>
            <w:r>
              <w:rPr>
                <w:spacing w:val="-2"/>
                <w:kern w:val="2"/>
                <w14:ligatures w14:val="standardContextual"/>
              </w:rPr>
              <w:t>Takykardi</w:t>
            </w:r>
          </w:p>
        </w:tc>
      </w:tr>
      <w:tr w:rsidR="003A6B6B" w:rsidTr="003A6B6B">
        <w:trPr>
          <w:trHeight w:val="1516"/>
        </w:trPr>
        <w:tc>
          <w:tcPr>
            <w:tcW w:w="1582"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before="245" w:line="256" w:lineRule="auto"/>
              <w:ind w:left="110" w:right="370"/>
              <w:rPr>
                <w:b/>
                <w:kern w:val="2"/>
                <w14:ligatures w14:val="standardContextual"/>
              </w:rPr>
            </w:pPr>
            <w:r>
              <w:rPr>
                <w:b/>
                <w:spacing w:val="-2"/>
                <w:kern w:val="2"/>
                <w14:ligatures w14:val="standardContextual"/>
              </w:rPr>
              <w:t>Vaskulære sygdomme</w:t>
            </w:r>
          </w:p>
        </w:tc>
        <w:tc>
          <w:tcPr>
            <w:tcW w:w="2127"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line="256" w:lineRule="auto"/>
              <w:rPr>
                <w:kern w:val="2"/>
                <w:sz w:val="20"/>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before="242" w:line="256" w:lineRule="auto"/>
              <w:rPr>
                <w:b/>
                <w:kern w:val="2"/>
                <w14:ligatures w14:val="standardContextual"/>
              </w:rPr>
            </w:pPr>
          </w:p>
          <w:p w:rsidR="003A6B6B" w:rsidRDefault="003A6B6B">
            <w:pPr>
              <w:pStyle w:val="TableParagraph"/>
              <w:spacing w:line="256" w:lineRule="auto"/>
              <w:ind w:left="9" w:right="9"/>
              <w:jc w:val="center"/>
              <w:rPr>
                <w:kern w:val="2"/>
                <w14:ligatures w14:val="standardContextual"/>
              </w:rPr>
            </w:pPr>
            <w:r>
              <w:rPr>
                <w:kern w:val="2"/>
                <w14:ligatures w14:val="standardContextual"/>
              </w:rPr>
              <w:t>Perifert</w:t>
            </w:r>
            <w:r>
              <w:rPr>
                <w:spacing w:val="-7"/>
                <w:kern w:val="2"/>
                <w14:ligatures w14:val="standardContextual"/>
              </w:rPr>
              <w:t xml:space="preserve"> </w:t>
            </w:r>
            <w:r>
              <w:rPr>
                <w:spacing w:val="-4"/>
                <w:kern w:val="2"/>
                <w14:ligatures w14:val="standardContextual"/>
              </w:rPr>
              <w:t>ødem</w:t>
            </w:r>
          </w:p>
        </w:tc>
        <w:tc>
          <w:tcPr>
            <w:tcW w:w="2551"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line="256" w:lineRule="auto"/>
              <w:ind w:left="471" w:right="458" w:hanging="4"/>
              <w:jc w:val="center"/>
              <w:rPr>
                <w:kern w:val="2"/>
                <w:lang w:val="da-DK"/>
                <w14:ligatures w14:val="standardContextual"/>
              </w:rPr>
            </w:pPr>
            <w:r>
              <w:rPr>
                <w:spacing w:val="-2"/>
                <w:kern w:val="2"/>
                <w:lang w:val="da-DK"/>
                <w14:ligatures w14:val="standardContextual"/>
              </w:rPr>
              <w:t>Blødning Hypertension Ødem</w:t>
            </w:r>
            <w:r>
              <w:rPr>
                <w:spacing w:val="-2"/>
                <w:kern w:val="2"/>
                <w:vertAlign w:val="superscript"/>
                <w:lang w:val="da-DK"/>
                <w14:ligatures w14:val="standardContextual"/>
              </w:rPr>
              <w:t>3</w:t>
            </w:r>
            <w:r>
              <w:rPr>
                <w:spacing w:val="-2"/>
                <w:kern w:val="2"/>
                <w:lang w:val="da-DK"/>
                <w14:ligatures w14:val="standardContextual"/>
              </w:rPr>
              <w:t xml:space="preserve"> Vasodilatation</w:t>
            </w:r>
            <w:r>
              <w:rPr>
                <w:spacing w:val="-2"/>
                <w:kern w:val="2"/>
                <w:vertAlign w:val="superscript"/>
                <w:lang w:val="da-DK"/>
                <w14:ligatures w14:val="standardContextual"/>
              </w:rPr>
              <w:t>1,2,3</w:t>
            </w:r>
            <w:r>
              <w:rPr>
                <w:spacing w:val="-2"/>
                <w:kern w:val="2"/>
                <w:lang w:val="da-DK"/>
                <w14:ligatures w14:val="standardContextual"/>
              </w:rPr>
              <w:t xml:space="preserve"> Åreknuder</w:t>
            </w:r>
          </w:p>
        </w:tc>
      </w:tr>
      <w:tr w:rsidR="003A6B6B" w:rsidTr="003A6B6B">
        <w:trPr>
          <w:trHeight w:val="1148"/>
        </w:trPr>
        <w:tc>
          <w:tcPr>
            <w:tcW w:w="1582"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before="122" w:line="256" w:lineRule="auto"/>
              <w:rPr>
                <w:b/>
                <w:kern w:val="2"/>
                <w:lang w:val="da-DK"/>
                <w14:ligatures w14:val="standardContextual"/>
              </w:rPr>
            </w:pPr>
          </w:p>
          <w:p w:rsidR="003A6B6B" w:rsidRDefault="003A6B6B">
            <w:pPr>
              <w:pStyle w:val="TableParagraph"/>
              <w:spacing w:line="256" w:lineRule="auto"/>
              <w:ind w:left="110" w:right="251"/>
              <w:rPr>
                <w:b/>
                <w:kern w:val="2"/>
                <w14:ligatures w14:val="standardContextual"/>
              </w:rPr>
            </w:pPr>
            <w:r>
              <w:rPr>
                <w:b/>
                <w:spacing w:val="-2"/>
                <w:kern w:val="2"/>
                <w14:ligatures w14:val="standardContextual"/>
              </w:rPr>
              <w:t>Mave-tarm- kanalen</w:t>
            </w:r>
          </w:p>
        </w:tc>
        <w:tc>
          <w:tcPr>
            <w:tcW w:w="2127"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line="256" w:lineRule="auto"/>
              <w:rPr>
                <w:kern w:val="2"/>
                <w:sz w:val="20"/>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line="256" w:lineRule="auto"/>
              <w:ind w:left="701" w:right="698"/>
              <w:jc w:val="center"/>
              <w:rPr>
                <w:kern w:val="2"/>
                <w:lang w:val="da-DK"/>
                <w14:ligatures w14:val="standardContextual"/>
              </w:rPr>
            </w:pPr>
            <w:r>
              <w:rPr>
                <w:spacing w:val="-2"/>
                <w:kern w:val="2"/>
                <w:lang w:val="da-DK"/>
                <w14:ligatures w14:val="standardContextual"/>
              </w:rPr>
              <w:t>Opkastning Diarré</w:t>
            </w:r>
            <w:r>
              <w:rPr>
                <w:spacing w:val="-2"/>
                <w:kern w:val="2"/>
                <w:vertAlign w:val="superscript"/>
                <w:lang w:val="da-DK"/>
                <w14:ligatures w14:val="standardContextual"/>
              </w:rPr>
              <w:t>1,3</w:t>
            </w:r>
            <w:r>
              <w:rPr>
                <w:spacing w:val="-2"/>
                <w:kern w:val="2"/>
                <w:lang w:val="da-DK"/>
                <w14:ligatures w14:val="standardContextual"/>
              </w:rPr>
              <w:t xml:space="preserve"> Kvalme</w:t>
            </w:r>
            <w:r>
              <w:rPr>
                <w:spacing w:val="-2"/>
                <w:kern w:val="2"/>
                <w:vertAlign w:val="superscript"/>
                <w:lang w:val="da-DK"/>
                <w14:ligatures w14:val="standardContextual"/>
              </w:rPr>
              <w:t>3</w:t>
            </w:r>
            <w:r>
              <w:rPr>
                <w:spacing w:val="-2"/>
                <w:kern w:val="2"/>
                <w:lang w:val="da-DK"/>
                <w14:ligatures w14:val="standardContextual"/>
              </w:rPr>
              <w:t xml:space="preserve"> Anoreksi</w:t>
            </w:r>
            <w:r>
              <w:rPr>
                <w:spacing w:val="-2"/>
                <w:kern w:val="2"/>
                <w:vertAlign w:val="superscript"/>
                <w:lang w:val="da-DK"/>
                <w14:ligatures w14:val="standardContextual"/>
              </w:rPr>
              <w:t>1</w:t>
            </w:r>
          </w:p>
          <w:p w:rsidR="003A6B6B" w:rsidRDefault="003A6B6B">
            <w:pPr>
              <w:pStyle w:val="TableParagraph"/>
              <w:spacing w:line="243" w:lineRule="exact"/>
              <w:ind w:left="9" w:right="3"/>
              <w:jc w:val="center"/>
              <w:rPr>
                <w:spacing w:val="-2"/>
                <w:kern w:val="2"/>
                <w:lang w:val="da-DK"/>
                <w14:ligatures w14:val="standardContextual"/>
              </w:rPr>
            </w:pPr>
            <w:r>
              <w:rPr>
                <w:spacing w:val="-2"/>
                <w:kern w:val="2"/>
                <w:lang w:val="da-DK"/>
                <w14:ligatures w14:val="standardContextual"/>
              </w:rPr>
              <w:t>Abnorme lever-</w:t>
            </w:r>
            <w:r>
              <w:rPr>
                <w:spacing w:val="-2"/>
                <w:kern w:val="2"/>
                <w:lang w:val="da-DK"/>
                <w14:ligatures w14:val="standardContextual"/>
              </w:rPr>
              <w:lastRenderedPageBreak/>
              <w:t xml:space="preserve">funktionsprøver </w:t>
            </w:r>
          </w:p>
          <w:p w:rsidR="003A6B6B" w:rsidRDefault="003A6B6B">
            <w:pPr>
              <w:pStyle w:val="TableParagraph"/>
              <w:spacing w:line="243" w:lineRule="exact"/>
              <w:ind w:left="9" w:right="3"/>
              <w:jc w:val="center"/>
              <w:rPr>
                <w:spacing w:val="-2"/>
                <w:kern w:val="2"/>
                <w:lang w:val="da-DK"/>
                <w14:ligatures w14:val="standardContextual"/>
              </w:rPr>
            </w:pPr>
            <w:r>
              <w:rPr>
                <w:spacing w:val="-2"/>
                <w:kern w:val="2"/>
                <w:lang w:val="da-DK"/>
                <w14:ligatures w14:val="standardContextual"/>
              </w:rPr>
              <w:t>Cheilitis</w:t>
            </w:r>
            <w:r>
              <w:rPr>
                <w:spacing w:val="-2"/>
                <w:kern w:val="2"/>
                <w:vertAlign w:val="superscript"/>
                <w:lang w:val="da-DK"/>
                <w14:ligatures w14:val="standardContextual"/>
              </w:rPr>
              <w:t>2</w:t>
            </w:r>
            <w:r>
              <w:rPr>
                <w:spacing w:val="-2"/>
                <w:kern w:val="2"/>
                <w:lang w:val="da-DK"/>
                <w14:ligatures w14:val="standardContextual"/>
              </w:rPr>
              <w:t xml:space="preserve"> </w:t>
            </w:r>
          </w:p>
          <w:p w:rsidR="003A6B6B" w:rsidRDefault="003A6B6B">
            <w:pPr>
              <w:pStyle w:val="TableParagraph"/>
              <w:spacing w:line="243" w:lineRule="exact"/>
              <w:ind w:left="9" w:right="3"/>
              <w:jc w:val="center"/>
              <w:rPr>
                <w:spacing w:val="-2"/>
                <w:kern w:val="2"/>
                <w:lang w:val="da-DK"/>
                <w14:ligatures w14:val="standardContextual"/>
              </w:rPr>
            </w:pPr>
            <w:r>
              <w:rPr>
                <w:spacing w:val="-2"/>
                <w:kern w:val="2"/>
                <w:lang w:val="da-DK"/>
                <w14:ligatures w14:val="standardContextual"/>
              </w:rPr>
              <w:t>Mundtørhed</w:t>
            </w:r>
            <w:r>
              <w:rPr>
                <w:spacing w:val="-2"/>
                <w:kern w:val="2"/>
                <w:vertAlign w:val="superscript"/>
                <w:lang w:val="da-DK"/>
                <w14:ligatures w14:val="standardContextual"/>
              </w:rPr>
              <w:t>2,3</w:t>
            </w:r>
            <w:r>
              <w:rPr>
                <w:spacing w:val="-2"/>
                <w:kern w:val="2"/>
                <w:lang w:val="da-DK"/>
                <w14:ligatures w14:val="standardContextual"/>
              </w:rPr>
              <w:t xml:space="preserve"> </w:t>
            </w:r>
          </w:p>
          <w:p w:rsidR="003A6B6B" w:rsidRDefault="003A6B6B">
            <w:pPr>
              <w:pStyle w:val="TableParagraph"/>
              <w:spacing w:line="243" w:lineRule="exact"/>
              <w:ind w:left="9" w:right="3"/>
              <w:jc w:val="center"/>
              <w:rPr>
                <w:kern w:val="2"/>
                <w:lang w:val="da-DK"/>
                <w14:ligatures w14:val="standardContextual"/>
              </w:rPr>
            </w:pPr>
            <w:r>
              <w:rPr>
                <w:spacing w:val="-2"/>
                <w:kern w:val="2"/>
                <w:lang w:val="da-DK"/>
                <w14:ligatures w14:val="standardContextual"/>
              </w:rPr>
              <w:t>Obstipation</w:t>
            </w:r>
          </w:p>
          <w:p w:rsidR="003A6B6B" w:rsidRDefault="003A6B6B">
            <w:pPr>
              <w:pStyle w:val="TableParagraph"/>
              <w:spacing w:line="243" w:lineRule="exact"/>
              <w:ind w:left="9" w:right="3"/>
              <w:jc w:val="center"/>
              <w:rPr>
                <w:kern w:val="2"/>
                <w:lang w:val="da-DK"/>
                <w14:ligatures w14:val="standardContextual"/>
              </w:rPr>
            </w:pPr>
            <w:r>
              <w:rPr>
                <w:spacing w:val="-2"/>
                <w:kern w:val="2"/>
                <w:lang w:val="da-DK"/>
                <w14:ligatures w14:val="standardContextual"/>
              </w:rPr>
              <w:t>Flatulens</w:t>
            </w:r>
          </w:p>
        </w:tc>
        <w:tc>
          <w:tcPr>
            <w:tcW w:w="2551"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before="245" w:line="256" w:lineRule="auto"/>
              <w:ind w:left="231" w:right="161" w:hanging="62"/>
              <w:jc w:val="center"/>
              <w:rPr>
                <w:kern w:val="2"/>
                <w14:ligatures w14:val="standardContextual"/>
              </w:rPr>
            </w:pPr>
            <w:r>
              <w:rPr>
                <w:spacing w:val="-2"/>
                <w:kern w:val="2"/>
                <w14:ligatures w14:val="standardContextual"/>
              </w:rPr>
              <w:lastRenderedPageBreak/>
              <w:t>Pankreatitis</w:t>
            </w:r>
            <w:r>
              <w:rPr>
                <w:spacing w:val="-2"/>
                <w:kern w:val="2"/>
                <w:vertAlign w:val="superscript"/>
                <w14:ligatures w14:val="standardContextual"/>
              </w:rPr>
              <w:t>1,3</w:t>
            </w:r>
            <w:r>
              <w:rPr>
                <w:spacing w:val="80"/>
                <w:kern w:val="2"/>
                <w14:ligatures w14:val="standardContextual"/>
              </w:rPr>
              <w:t xml:space="preserve"> </w:t>
            </w:r>
            <w:r>
              <w:rPr>
                <w:spacing w:val="-2"/>
                <w:kern w:val="2"/>
                <w14:ligatures w14:val="standardContextual"/>
              </w:rPr>
              <w:t xml:space="preserve">Leversvigt </w:t>
            </w:r>
            <w:r>
              <w:rPr>
                <w:kern w:val="2"/>
                <w14:ligatures w14:val="standardContextual"/>
              </w:rPr>
              <w:t>Gastrointestinale</w:t>
            </w:r>
            <w:r>
              <w:rPr>
                <w:spacing w:val="-14"/>
                <w:kern w:val="2"/>
                <w14:ligatures w14:val="standardContextual"/>
              </w:rPr>
              <w:t xml:space="preserve"> </w:t>
            </w:r>
            <w:r>
              <w:rPr>
                <w:kern w:val="2"/>
                <w14:ligatures w14:val="standardContextual"/>
              </w:rPr>
              <w:t>gener</w:t>
            </w:r>
            <w:r>
              <w:rPr>
                <w:kern w:val="2"/>
                <w:vertAlign w:val="superscript"/>
                <w14:ligatures w14:val="standardContextual"/>
              </w:rPr>
              <w:t>1</w:t>
            </w:r>
          </w:p>
        </w:tc>
      </w:tr>
    </w:tbl>
    <w:p w:rsidR="003A6B6B" w:rsidRDefault="003A6B6B" w:rsidP="003A6B6B">
      <w:pPr>
        <w:pStyle w:val="Brdtekst"/>
        <w:spacing w:before="3"/>
        <w:rPr>
          <w:b/>
          <w:sz w:val="2"/>
          <w:lang w:val="da-DK"/>
        </w:rPr>
      </w:pPr>
    </w:p>
    <w:tbl>
      <w:tblPr>
        <w:tblW w:w="895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2"/>
        <w:gridCol w:w="2127"/>
        <w:gridCol w:w="2694"/>
        <w:gridCol w:w="2552"/>
      </w:tblGrid>
      <w:tr w:rsidR="003A6B6B" w:rsidTr="003A6B6B">
        <w:trPr>
          <w:trHeight w:val="2020"/>
        </w:trPr>
        <w:tc>
          <w:tcPr>
            <w:tcW w:w="1582"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line="256" w:lineRule="auto"/>
              <w:rPr>
                <w:b/>
                <w:kern w:val="2"/>
                <w14:ligatures w14:val="standardContextual"/>
              </w:rPr>
            </w:pPr>
          </w:p>
          <w:p w:rsidR="003A6B6B" w:rsidRDefault="003A6B6B">
            <w:pPr>
              <w:pStyle w:val="TableParagraph"/>
              <w:spacing w:before="118" w:line="256" w:lineRule="auto"/>
              <w:rPr>
                <w:b/>
                <w:kern w:val="2"/>
                <w14:ligatures w14:val="standardContextual"/>
              </w:rPr>
            </w:pPr>
          </w:p>
          <w:p w:rsidR="003A6B6B" w:rsidRDefault="003A6B6B">
            <w:pPr>
              <w:pStyle w:val="TableParagraph"/>
              <w:spacing w:before="1" w:line="256" w:lineRule="auto"/>
              <w:ind w:left="110" w:right="406"/>
              <w:rPr>
                <w:b/>
                <w:kern w:val="2"/>
                <w14:ligatures w14:val="standardContextual"/>
              </w:rPr>
            </w:pPr>
            <w:r>
              <w:rPr>
                <w:b/>
                <w:kern w:val="2"/>
                <w14:ligatures w14:val="standardContextual"/>
              </w:rPr>
              <w:t xml:space="preserve">Hud og </w:t>
            </w:r>
            <w:r>
              <w:rPr>
                <w:b/>
                <w:spacing w:val="-2"/>
                <w:kern w:val="2"/>
                <w14:ligatures w14:val="standardContextual"/>
              </w:rPr>
              <w:t xml:space="preserve">subkutane </w:t>
            </w:r>
            <w:r>
              <w:rPr>
                <w:b/>
                <w:spacing w:val="-4"/>
                <w:kern w:val="2"/>
                <w14:ligatures w14:val="standardContextual"/>
              </w:rPr>
              <w:t>væv</w:t>
            </w:r>
          </w:p>
        </w:tc>
        <w:tc>
          <w:tcPr>
            <w:tcW w:w="2127"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line="256" w:lineRule="auto"/>
              <w:rPr>
                <w:b/>
                <w:kern w:val="2"/>
                <w14:ligatures w14:val="standardContextual"/>
              </w:rPr>
            </w:pPr>
          </w:p>
          <w:p w:rsidR="003A6B6B" w:rsidRDefault="003A6B6B">
            <w:pPr>
              <w:pStyle w:val="TableParagraph"/>
              <w:spacing w:before="114" w:line="256" w:lineRule="auto"/>
              <w:rPr>
                <w:b/>
                <w:kern w:val="2"/>
                <w14:ligatures w14:val="standardContextual"/>
              </w:rPr>
            </w:pPr>
          </w:p>
          <w:p w:rsidR="003A6B6B" w:rsidRDefault="003A6B6B">
            <w:pPr>
              <w:pStyle w:val="TableParagraph"/>
              <w:spacing w:line="256" w:lineRule="auto"/>
              <w:ind w:left="220" w:right="208" w:hanging="5"/>
              <w:jc w:val="center"/>
              <w:rPr>
                <w:spacing w:val="-14"/>
                <w:kern w:val="2"/>
                <w14:ligatures w14:val="standardContextual"/>
              </w:rPr>
            </w:pPr>
            <w:r>
              <w:rPr>
                <w:spacing w:val="-2"/>
                <w:kern w:val="2"/>
                <w14:ligatures w14:val="standardContextual"/>
              </w:rPr>
              <w:t xml:space="preserve">Eksfoliativ </w:t>
            </w:r>
            <w:r>
              <w:rPr>
                <w:kern w:val="2"/>
                <w14:ligatures w14:val="standardContextual"/>
              </w:rPr>
              <w:t>dermatitis</w:t>
            </w:r>
            <w:r>
              <w:rPr>
                <w:spacing w:val="-14"/>
                <w:kern w:val="2"/>
                <w14:ligatures w14:val="standardContextual"/>
              </w:rPr>
              <w:t xml:space="preserve"> </w:t>
            </w:r>
          </w:p>
          <w:p w:rsidR="003A6B6B" w:rsidRDefault="003A6B6B">
            <w:pPr>
              <w:pStyle w:val="TableParagraph"/>
              <w:spacing w:line="256" w:lineRule="auto"/>
              <w:ind w:left="220" w:right="208" w:hanging="5"/>
              <w:jc w:val="center"/>
              <w:rPr>
                <w:kern w:val="2"/>
                <w14:ligatures w14:val="standardContextual"/>
              </w:rPr>
            </w:pPr>
            <w:r>
              <w:rPr>
                <w:kern w:val="2"/>
                <w14:ligatures w14:val="standardContextual"/>
              </w:rPr>
              <w:t xml:space="preserve">Pruritus </w:t>
            </w:r>
          </w:p>
          <w:p w:rsidR="003A6B6B" w:rsidRDefault="003A6B6B">
            <w:pPr>
              <w:pStyle w:val="TableParagraph"/>
              <w:spacing w:line="256" w:lineRule="auto"/>
              <w:ind w:left="220" w:right="208" w:hanging="5"/>
              <w:jc w:val="center"/>
              <w:rPr>
                <w:kern w:val="2"/>
                <w14:ligatures w14:val="standardContextual"/>
              </w:rPr>
            </w:pPr>
            <w:r>
              <w:rPr>
                <w:spacing w:val="-2"/>
                <w:kern w:val="2"/>
                <w14:ligatures w14:val="standardContextual"/>
              </w:rPr>
              <w:t>Udslæt</w:t>
            </w:r>
          </w:p>
        </w:tc>
        <w:tc>
          <w:tcPr>
            <w:tcW w:w="2693"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line="256" w:lineRule="auto"/>
              <w:ind w:left="705" w:right="698" w:firstLine="2"/>
              <w:jc w:val="center"/>
              <w:rPr>
                <w:spacing w:val="-2"/>
                <w:kern w:val="2"/>
                <w:lang w:val="da-DK"/>
                <w14:ligatures w14:val="standardContextual"/>
              </w:rPr>
            </w:pPr>
            <w:r>
              <w:rPr>
                <w:spacing w:val="-2"/>
                <w:kern w:val="2"/>
                <w:lang w:val="da-DK"/>
                <w14:ligatures w14:val="standardContextual"/>
              </w:rPr>
              <w:t>Hudsår Alopeci</w:t>
            </w:r>
            <w:r>
              <w:rPr>
                <w:spacing w:val="-2"/>
                <w:kern w:val="2"/>
                <w:vertAlign w:val="superscript"/>
                <w:lang w:val="da-DK"/>
                <w14:ligatures w14:val="standardContextual"/>
              </w:rPr>
              <w:t>1</w:t>
            </w:r>
            <w:r>
              <w:rPr>
                <w:spacing w:val="-2"/>
                <w:kern w:val="2"/>
                <w:lang w:val="da-DK"/>
                <w14:ligatures w14:val="standardContextual"/>
              </w:rPr>
              <w:t xml:space="preserve"> Hudhypertrofi </w:t>
            </w:r>
          </w:p>
          <w:p w:rsidR="003A6B6B" w:rsidRDefault="003A6B6B">
            <w:pPr>
              <w:pStyle w:val="TableParagraph"/>
              <w:spacing w:line="256" w:lineRule="auto"/>
              <w:ind w:left="705" w:right="698" w:firstLine="2"/>
              <w:jc w:val="center"/>
              <w:rPr>
                <w:kern w:val="2"/>
                <w:lang w:val="da-DK"/>
                <w14:ligatures w14:val="standardContextual"/>
              </w:rPr>
            </w:pPr>
            <w:r>
              <w:rPr>
                <w:spacing w:val="-2"/>
                <w:kern w:val="2"/>
                <w:lang w:val="da-DK"/>
                <w14:ligatures w14:val="standardContextual"/>
              </w:rPr>
              <w:t xml:space="preserve">Hudknude </w:t>
            </w:r>
            <w:r>
              <w:rPr>
                <w:spacing w:val="-4"/>
                <w:kern w:val="2"/>
                <w:lang w:val="da-DK"/>
                <w14:ligatures w14:val="standardContextual"/>
              </w:rPr>
              <w:t xml:space="preserve">Akne </w:t>
            </w:r>
            <w:r>
              <w:rPr>
                <w:spacing w:val="-2"/>
                <w:kern w:val="2"/>
                <w:lang w:val="da-DK"/>
                <w14:ligatures w14:val="standardContextual"/>
              </w:rPr>
              <w:t xml:space="preserve">Perspiration </w:t>
            </w:r>
            <w:r>
              <w:rPr>
                <w:kern w:val="2"/>
                <w:lang w:val="da-DK"/>
                <w14:ligatures w14:val="standardContextual"/>
              </w:rPr>
              <w:t>Tør hud</w:t>
            </w:r>
            <w:r>
              <w:rPr>
                <w:kern w:val="2"/>
                <w:vertAlign w:val="superscript"/>
                <w:lang w:val="da-DK"/>
                <w14:ligatures w14:val="standardContextual"/>
              </w:rPr>
              <w:t>2,3</w:t>
            </w:r>
          </w:p>
          <w:p w:rsidR="003A6B6B" w:rsidRDefault="003A6B6B">
            <w:pPr>
              <w:pStyle w:val="TableParagraph"/>
              <w:spacing w:line="238" w:lineRule="exact"/>
              <w:ind w:left="9" w:right="9"/>
              <w:jc w:val="center"/>
              <w:rPr>
                <w:kern w:val="2"/>
                <w14:ligatures w14:val="standardContextual"/>
              </w:rPr>
            </w:pPr>
            <w:r>
              <w:rPr>
                <w:spacing w:val="-2"/>
                <w:kern w:val="2"/>
                <w14:ligatures w14:val="standardContextual"/>
              </w:rPr>
              <w:t>Hudlidelse</w:t>
            </w:r>
          </w:p>
        </w:tc>
        <w:tc>
          <w:tcPr>
            <w:tcW w:w="2551"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before="241" w:line="256" w:lineRule="auto"/>
              <w:ind w:left="495" w:right="489"/>
              <w:jc w:val="center"/>
              <w:rPr>
                <w:kern w:val="2"/>
                <w:lang w:val="da-DK"/>
                <w14:ligatures w14:val="standardContextual"/>
              </w:rPr>
            </w:pPr>
            <w:r>
              <w:rPr>
                <w:kern w:val="2"/>
                <w:lang w:val="da-DK"/>
                <w14:ligatures w14:val="standardContextual"/>
              </w:rPr>
              <w:t>Serøs drænage</w:t>
            </w:r>
            <w:r>
              <w:rPr>
                <w:kern w:val="2"/>
                <w:vertAlign w:val="superscript"/>
                <w:lang w:val="da-DK"/>
                <w14:ligatures w14:val="standardContextual"/>
              </w:rPr>
              <w:t>1</w:t>
            </w:r>
            <w:r>
              <w:rPr>
                <w:kern w:val="2"/>
                <w:lang w:val="da-DK"/>
                <w14:ligatures w14:val="standardContextual"/>
              </w:rPr>
              <w:t xml:space="preserve"> Herpes simplex Pustuløst udslæt </w:t>
            </w:r>
            <w:r>
              <w:rPr>
                <w:spacing w:val="-2"/>
                <w:kern w:val="2"/>
                <w:lang w:val="da-DK"/>
                <w14:ligatures w14:val="standardContextual"/>
              </w:rPr>
              <w:t>Hudmisfarvning</w:t>
            </w:r>
            <w:r>
              <w:rPr>
                <w:spacing w:val="-2"/>
                <w:kern w:val="2"/>
                <w:vertAlign w:val="superscript"/>
                <w:lang w:val="da-DK"/>
                <w14:ligatures w14:val="standardContextual"/>
              </w:rPr>
              <w:t>3</w:t>
            </w:r>
            <w:r>
              <w:rPr>
                <w:spacing w:val="-2"/>
                <w:kern w:val="2"/>
                <w:lang w:val="da-DK"/>
                <w14:ligatures w14:val="standardContextual"/>
              </w:rPr>
              <w:t xml:space="preserve"> Hårlidelse</w:t>
            </w:r>
            <w:r>
              <w:rPr>
                <w:spacing w:val="-2"/>
                <w:kern w:val="2"/>
                <w:vertAlign w:val="superscript"/>
                <w:lang w:val="da-DK"/>
                <w14:ligatures w14:val="standardContextual"/>
              </w:rPr>
              <w:t>1</w:t>
            </w:r>
            <w:r>
              <w:rPr>
                <w:spacing w:val="-2"/>
                <w:kern w:val="2"/>
                <w:lang w:val="da-DK"/>
                <w14:ligatures w14:val="standardContextual"/>
              </w:rPr>
              <w:t xml:space="preserve"> Neglelidelse</w:t>
            </w:r>
            <w:r>
              <w:rPr>
                <w:spacing w:val="-2"/>
                <w:kern w:val="2"/>
                <w:vertAlign w:val="superscript"/>
                <w:lang w:val="da-DK"/>
                <w14:ligatures w14:val="standardContextual"/>
              </w:rPr>
              <w:t>1,3</w:t>
            </w:r>
          </w:p>
        </w:tc>
      </w:tr>
      <w:tr w:rsidR="003A6B6B" w:rsidTr="003A6B6B">
        <w:trPr>
          <w:trHeight w:val="758"/>
        </w:trPr>
        <w:tc>
          <w:tcPr>
            <w:tcW w:w="1582"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line="249" w:lineRule="exact"/>
              <w:ind w:left="110"/>
              <w:rPr>
                <w:b/>
                <w:kern w:val="2"/>
                <w:lang w:val="nb-NO"/>
                <w14:ligatures w14:val="standardContextual"/>
              </w:rPr>
            </w:pPr>
            <w:r>
              <w:rPr>
                <w:b/>
                <w:kern w:val="2"/>
                <w:lang w:val="nb-NO"/>
                <w14:ligatures w14:val="standardContextual"/>
              </w:rPr>
              <w:t>Knogler,</w:t>
            </w:r>
            <w:r>
              <w:rPr>
                <w:b/>
                <w:spacing w:val="-8"/>
                <w:kern w:val="2"/>
                <w:lang w:val="nb-NO"/>
                <w14:ligatures w14:val="standardContextual"/>
              </w:rPr>
              <w:t xml:space="preserve"> </w:t>
            </w:r>
            <w:r>
              <w:rPr>
                <w:b/>
                <w:spacing w:val="-4"/>
                <w:kern w:val="2"/>
                <w:lang w:val="nb-NO"/>
                <w14:ligatures w14:val="standardContextual"/>
              </w:rPr>
              <w:t>led,</w:t>
            </w:r>
          </w:p>
          <w:p w:rsidR="003A6B6B" w:rsidRDefault="003A6B6B">
            <w:pPr>
              <w:pStyle w:val="TableParagraph"/>
              <w:spacing w:line="250" w:lineRule="atLeast"/>
              <w:ind w:left="110" w:right="336"/>
              <w:rPr>
                <w:b/>
                <w:kern w:val="2"/>
                <w:lang w:val="nb-NO"/>
                <w14:ligatures w14:val="standardContextual"/>
              </w:rPr>
            </w:pPr>
            <w:r>
              <w:rPr>
                <w:b/>
                <w:kern w:val="2"/>
                <w:lang w:val="nb-NO"/>
                <w14:ligatures w14:val="standardContextual"/>
              </w:rPr>
              <w:t>muskler</w:t>
            </w:r>
            <w:r>
              <w:rPr>
                <w:b/>
                <w:spacing w:val="-14"/>
                <w:kern w:val="2"/>
                <w:lang w:val="nb-NO"/>
                <w14:ligatures w14:val="standardContextual"/>
              </w:rPr>
              <w:t xml:space="preserve"> </w:t>
            </w:r>
            <w:r>
              <w:rPr>
                <w:b/>
                <w:kern w:val="2"/>
                <w:lang w:val="nb-NO"/>
                <w14:ligatures w14:val="standardContextual"/>
              </w:rPr>
              <w:t xml:space="preserve">og </w:t>
            </w:r>
            <w:r>
              <w:rPr>
                <w:b/>
                <w:spacing w:val="-2"/>
                <w:kern w:val="2"/>
                <w:lang w:val="nb-NO"/>
                <w14:ligatures w14:val="standardContextual"/>
              </w:rPr>
              <w:t>bindevæv</w:t>
            </w:r>
          </w:p>
        </w:tc>
        <w:tc>
          <w:tcPr>
            <w:tcW w:w="2127"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line="256" w:lineRule="auto"/>
              <w:rPr>
                <w:kern w:val="2"/>
                <w:sz w:val="20"/>
                <w:lang w:val="nb-NO"/>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line="244" w:lineRule="exact"/>
              <w:ind w:left="9" w:right="7"/>
              <w:jc w:val="center"/>
              <w:rPr>
                <w:kern w:val="2"/>
                <w14:ligatures w14:val="standardContextual"/>
              </w:rPr>
            </w:pPr>
            <w:r>
              <w:rPr>
                <w:spacing w:val="-2"/>
                <w:kern w:val="2"/>
                <w14:ligatures w14:val="standardContextual"/>
              </w:rPr>
              <w:t>Knoglesmerter</w:t>
            </w:r>
          </w:p>
          <w:p w:rsidR="003A6B6B" w:rsidRDefault="003A6B6B">
            <w:pPr>
              <w:pStyle w:val="TableParagraph"/>
              <w:spacing w:line="250" w:lineRule="atLeast"/>
              <w:ind w:left="701" w:right="698"/>
              <w:jc w:val="center"/>
              <w:rPr>
                <w:kern w:val="2"/>
                <w14:ligatures w14:val="standardContextual"/>
              </w:rPr>
            </w:pPr>
            <w:r>
              <w:rPr>
                <w:spacing w:val="-2"/>
                <w:kern w:val="2"/>
                <w14:ligatures w14:val="standardContextual"/>
              </w:rPr>
              <w:t>Artralgi Myalgi</w:t>
            </w:r>
          </w:p>
        </w:tc>
        <w:tc>
          <w:tcPr>
            <w:tcW w:w="2551"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before="245" w:line="256" w:lineRule="auto"/>
              <w:ind w:left="5"/>
              <w:jc w:val="center"/>
              <w:rPr>
                <w:kern w:val="2"/>
                <w14:ligatures w14:val="standardContextual"/>
              </w:rPr>
            </w:pPr>
            <w:r>
              <w:rPr>
                <w:spacing w:val="-2"/>
                <w:kern w:val="2"/>
                <w14:ligatures w14:val="standardContextual"/>
              </w:rPr>
              <w:t>Myastaeni</w:t>
            </w:r>
            <w:r>
              <w:rPr>
                <w:spacing w:val="-2"/>
                <w:kern w:val="2"/>
                <w:vertAlign w:val="superscript"/>
                <w14:ligatures w14:val="standardContextual"/>
              </w:rPr>
              <w:t>1</w:t>
            </w:r>
          </w:p>
        </w:tc>
      </w:tr>
      <w:tr w:rsidR="003A6B6B" w:rsidTr="003A6B6B">
        <w:trPr>
          <w:trHeight w:val="508"/>
        </w:trPr>
        <w:tc>
          <w:tcPr>
            <w:tcW w:w="1582"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line="249" w:lineRule="exact"/>
              <w:ind w:left="110"/>
              <w:rPr>
                <w:b/>
                <w:kern w:val="2"/>
                <w14:ligatures w14:val="standardContextual"/>
              </w:rPr>
            </w:pPr>
            <w:r>
              <w:rPr>
                <w:b/>
                <w:kern w:val="2"/>
                <w14:ligatures w14:val="standardContextual"/>
              </w:rPr>
              <w:t>Nyrer</w:t>
            </w:r>
            <w:r>
              <w:rPr>
                <w:b/>
                <w:spacing w:val="-5"/>
                <w:kern w:val="2"/>
                <w14:ligatures w14:val="standardContextual"/>
              </w:rPr>
              <w:t xml:space="preserve"> og</w:t>
            </w:r>
          </w:p>
          <w:p w:rsidR="003A6B6B" w:rsidRDefault="003A6B6B">
            <w:pPr>
              <w:pStyle w:val="TableParagraph"/>
              <w:spacing w:before="1" w:line="238" w:lineRule="exact"/>
              <w:ind w:left="110"/>
              <w:rPr>
                <w:b/>
                <w:kern w:val="2"/>
                <w14:ligatures w14:val="standardContextual"/>
              </w:rPr>
            </w:pPr>
            <w:r>
              <w:rPr>
                <w:b/>
                <w:spacing w:val="-2"/>
                <w:kern w:val="2"/>
                <w14:ligatures w14:val="standardContextual"/>
              </w:rPr>
              <w:t>urinveje</w:t>
            </w:r>
          </w:p>
        </w:tc>
        <w:tc>
          <w:tcPr>
            <w:tcW w:w="2127"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line="256" w:lineRule="auto"/>
              <w:rPr>
                <w:kern w:val="2"/>
                <w:sz w:val="20"/>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line="256" w:lineRule="auto"/>
              <w:rPr>
                <w:kern w:val="2"/>
                <w:sz w:val="20"/>
                <w14:ligatures w14:val="standardContextual"/>
              </w:rPr>
            </w:pPr>
          </w:p>
        </w:tc>
        <w:tc>
          <w:tcPr>
            <w:tcW w:w="2551"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line="244" w:lineRule="exact"/>
              <w:ind w:left="10"/>
              <w:jc w:val="center"/>
              <w:rPr>
                <w:kern w:val="2"/>
                <w14:ligatures w14:val="standardContextual"/>
              </w:rPr>
            </w:pPr>
            <w:r>
              <w:rPr>
                <w:spacing w:val="-2"/>
                <w:kern w:val="2"/>
                <w14:ligatures w14:val="standardContextual"/>
              </w:rPr>
              <w:t>Albuminuri</w:t>
            </w:r>
            <w:r>
              <w:rPr>
                <w:spacing w:val="-2"/>
                <w:kern w:val="2"/>
                <w:vertAlign w:val="superscript"/>
                <w14:ligatures w14:val="standardContextual"/>
              </w:rPr>
              <w:t>1,3</w:t>
            </w:r>
          </w:p>
          <w:p w:rsidR="003A6B6B" w:rsidRDefault="003A6B6B">
            <w:pPr>
              <w:pStyle w:val="TableParagraph"/>
              <w:spacing w:before="1" w:line="243" w:lineRule="exact"/>
              <w:ind w:left="164" w:right="157"/>
              <w:jc w:val="center"/>
              <w:rPr>
                <w:kern w:val="2"/>
                <w14:ligatures w14:val="standardContextual"/>
              </w:rPr>
            </w:pPr>
            <w:r>
              <w:rPr>
                <w:kern w:val="2"/>
                <w14:ligatures w14:val="standardContextual"/>
              </w:rPr>
              <w:t>Abnorm</w:t>
            </w:r>
            <w:r>
              <w:rPr>
                <w:spacing w:val="-9"/>
                <w:kern w:val="2"/>
                <w14:ligatures w14:val="standardContextual"/>
              </w:rPr>
              <w:t xml:space="preserve"> </w:t>
            </w:r>
            <w:r>
              <w:rPr>
                <w:spacing w:val="-2"/>
                <w:kern w:val="2"/>
                <w14:ligatures w14:val="standardContextual"/>
              </w:rPr>
              <w:t>nyrefunktion</w:t>
            </w:r>
          </w:p>
        </w:tc>
      </w:tr>
      <w:tr w:rsidR="003A6B6B" w:rsidTr="003A6B6B">
        <w:trPr>
          <w:trHeight w:val="2025"/>
        </w:trPr>
        <w:tc>
          <w:tcPr>
            <w:tcW w:w="1582"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before="250" w:line="256" w:lineRule="auto"/>
              <w:ind w:left="110" w:right="118"/>
              <w:rPr>
                <w:b/>
                <w:kern w:val="2"/>
                <w:lang w:val="nb-NO"/>
                <w14:ligatures w14:val="standardContextual"/>
              </w:rPr>
            </w:pPr>
            <w:r>
              <w:rPr>
                <w:b/>
                <w:spacing w:val="-2"/>
                <w:kern w:val="2"/>
                <w:lang w:val="nb-NO"/>
                <w14:ligatures w14:val="standardContextual"/>
              </w:rPr>
              <w:t xml:space="preserve">Almene symptomer </w:t>
            </w:r>
            <w:r>
              <w:rPr>
                <w:b/>
                <w:kern w:val="2"/>
                <w:lang w:val="nb-NO"/>
                <w14:ligatures w14:val="standardContextual"/>
              </w:rPr>
              <w:t>og</w:t>
            </w:r>
            <w:r>
              <w:rPr>
                <w:b/>
                <w:spacing w:val="-14"/>
                <w:kern w:val="2"/>
                <w:lang w:val="nb-NO"/>
                <w14:ligatures w14:val="standardContextual"/>
              </w:rPr>
              <w:t xml:space="preserve"> </w:t>
            </w:r>
            <w:r>
              <w:rPr>
                <w:b/>
                <w:kern w:val="2"/>
                <w:lang w:val="nb-NO"/>
                <w14:ligatures w14:val="standardContextual"/>
              </w:rPr>
              <w:t xml:space="preserve">reaktioner </w:t>
            </w:r>
            <w:r>
              <w:rPr>
                <w:b/>
                <w:spacing w:val="-6"/>
                <w:kern w:val="2"/>
                <w:lang w:val="nb-NO"/>
                <w14:ligatures w14:val="standardContextual"/>
              </w:rPr>
              <w:t xml:space="preserve">på </w:t>
            </w:r>
            <w:r>
              <w:rPr>
                <w:b/>
                <w:spacing w:val="-2"/>
                <w:kern w:val="2"/>
                <w:lang w:val="nb-NO"/>
                <w14:ligatures w14:val="standardContextual"/>
              </w:rPr>
              <w:t>administratio nsstedet</w:t>
            </w:r>
          </w:p>
        </w:tc>
        <w:tc>
          <w:tcPr>
            <w:tcW w:w="2127"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line="256" w:lineRule="auto"/>
              <w:rPr>
                <w:b/>
                <w:kern w:val="2"/>
                <w:lang w:val="nb-NO"/>
                <w14:ligatures w14:val="standardContextual"/>
              </w:rPr>
            </w:pPr>
          </w:p>
          <w:p w:rsidR="003A6B6B" w:rsidRDefault="003A6B6B">
            <w:pPr>
              <w:pStyle w:val="TableParagraph"/>
              <w:spacing w:before="118" w:line="256" w:lineRule="auto"/>
              <w:rPr>
                <w:b/>
                <w:kern w:val="2"/>
                <w:lang w:val="nb-NO"/>
                <w14:ligatures w14:val="standardContextual"/>
              </w:rPr>
            </w:pPr>
          </w:p>
          <w:p w:rsidR="003A6B6B" w:rsidRDefault="003A6B6B">
            <w:pPr>
              <w:pStyle w:val="TableParagraph"/>
              <w:spacing w:before="1" w:line="256" w:lineRule="auto"/>
              <w:ind w:left="556" w:right="542" w:hanging="5"/>
              <w:jc w:val="center"/>
              <w:rPr>
                <w:spacing w:val="-2"/>
                <w:kern w:val="2"/>
                <w14:ligatures w14:val="standardContextual"/>
              </w:rPr>
            </w:pPr>
            <w:r>
              <w:rPr>
                <w:spacing w:val="-2"/>
                <w:kern w:val="2"/>
                <w14:ligatures w14:val="standardContextual"/>
              </w:rPr>
              <w:t xml:space="preserve">Smerte Hovedpine </w:t>
            </w:r>
          </w:p>
          <w:p w:rsidR="003A6B6B" w:rsidRDefault="003A6B6B">
            <w:pPr>
              <w:pStyle w:val="TableParagraph"/>
              <w:spacing w:before="1" w:line="256" w:lineRule="auto"/>
              <w:ind w:left="556" w:right="542" w:hanging="5"/>
              <w:jc w:val="center"/>
              <w:rPr>
                <w:kern w:val="2"/>
                <w14:ligatures w14:val="standardContextual"/>
              </w:rPr>
            </w:pPr>
            <w:r>
              <w:rPr>
                <w:spacing w:val="-2"/>
                <w:kern w:val="2"/>
                <w14:ligatures w14:val="standardContextual"/>
              </w:rPr>
              <w:t>Asteni</w:t>
            </w:r>
          </w:p>
        </w:tc>
        <w:tc>
          <w:tcPr>
            <w:tcW w:w="2693" w:type="dxa"/>
            <w:tcBorders>
              <w:top w:val="single" w:sz="4" w:space="0" w:color="000000"/>
              <w:left w:val="single" w:sz="4" w:space="0" w:color="000000"/>
              <w:bottom w:val="single" w:sz="4" w:space="0" w:color="000000"/>
              <w:right w:val="single" w:sz="4" w:space="0" w:color="000000"/>
            </w:tcBorders>
          </w:tcPr>
          <w:p w:rsidR="003A6B6B" w:rsidRDefault="003A6B6B">
            <w:pPr>
              <w:pStyle w:val="TableParagraph"/>
              <w:spacing w:before="117" w:line="256" w:lineRule="auto"/>
              <w:rPr>
                <w:b/>
                <w:kern w:val="2"/>
                <w:lang w:val="da-DK"/>
                <w14:ligatures w14:val="standardContextual"/>
              </w:rPr>
            </w:pPr>
          </w:p>
          <w:p w:rsidR="003A6B6B" w:rsidRDefault="003A6B6B">
            <w:pPr>
              <w:pStyle w:val="TableParagraph"/>
              <w:spacing w:line="256" w:lineRule="auto"/>
              <w:ind w:left="509" w:right="509" w:firstLine="7"/>
              <w:jc w:val="center"/>
              <w:rPr>
                <w:kern w:val="2"/>
                <w:lang w:val="da-DK"/>
                <w14:ligatures w14:val="standardContextual"/>
              </w:rPr>
            </w:pPr>
            <w:r>
              <w:rPr>
                <w:kern w:val="2"/>
                <w:lang w:val="da-DK"/>
                <w14:ligatures w14:val="standardContextual"/>
              </w:rPr>
              <w:t xml:space="preserve">Allergisk reaktion </w:t>
            </w:r>
            <w:r>
              <w:rPr>
                <w:spacing w:val="-2"/>
                <w:kern w:val="2"/>
                <w:lang w:val="da-DK"/>
                <w14:ligatures w14:val="standardContextual"/>
              </w:rPr>
              <w:t>Infektion Kulderystelser</w:t>
            </w:r>
            <w:r>
              <w:rPr>
                <w:spacing w:val="-2"/>
                <w:kern w:val="2"/>
                <w:vertAlign w:val="superscript"/>
                <w:lang w:val="da-DK"/>
                <w14:ligatures w14:val="standardContextual"/>
              </w:rPr>
              <w:t>1</w:t>
            </w:r>
            <w:r>
              <w:rPr>
                <w:spacing w:val="-2"/>
                <w:kern w:val="2"/>
                <w:lang w:val="da-DK"/>
                <w14:ligatures w14:val="standardContextual"/>
              </w:rPr>
              <w:t xml:space="preserve"> Abdominal-smerter</w:t>
            </w:r>
          </w:p>
          <w:p w:rsidR="003A6B6B" w:rsidRDefault="003A6B6B">
            <w:pPr>
              <w:pStyle w:val="TableParagraph"/>
              <w:spacing w:before="1" w:line="256" w:lineRule="auto"/>
              <w:ind w:left="9" w:right="9"/>
              <w:jc w:val="center"/>
              <w:rPr>
                <w:kern w:val="2"/>
                <w:lang w:val="da-DK"/>
                <w14:ligatures w14:val="standardContextual"/>
              </w:rPr>
            </w:pPr>
            <w:r>
              <w:rPr>
                <w:kern w:val="2"/>
                <w:lang w:val="da-DK"/>
                <w14:ligatures w14:val="standardContextual"/>
              </w:rPr>
              <w:t>Ændret</w:t>
            </w:r>
            <w:r>
              <w:rPr>
                <w:spacing w:val="-7"/>
                <w:kern w:val="2"/>
                <w:lang w:val="da-DK"/>
                <w14:ligatures w14:val="standardContextual"/>
              </w:rPr>
              <w:t xml:space="preserve"> </w:t>
            </w:r>
            <w:r>
              <w:rPr>
                <w:kern w:val="2"/>
                <w:lang w:val="da-DK"/>
                <w14:ligatures w14:val="standardContextual"/>
              </w:rPr>
              <w:t>hormonalt</w:t>
            </w:r>
            <w:r>
              <w:rPr>
                <w:spacing w:val="-4"/>
                <w:kern w:val="2"/>
                <w:lang w:val="da-DK"/>
                <w14:ligatures w14:val="standardContextual"/>
              </w:rPr>
              <w:t xml:space="preserve"> </w:t>
            </w:r>
            <w:r>
              <w:rPr>
                <w:spacing w:val="-2"/>
                <w:kern w:val="2"/>
                <w:lang w:val="da-DK"/>
                <w14:ligatures w14:val="standardContextual"/>
              </w:rPr>
              <w:t>niveau</w:t>
            </w:r>
            <w:r>
              <w:rPr>
                <w:spacing w:val="-2"/>
                <w:kern w:val="2"/>
                <w:vertAlign w:val="superscript"/>
                <w:lang w:val="da-DK"/>
                <w14:ligatures w14:val="standardContextual"/>
              </w:rPr>
              <w:t>1</w:t>
            </w:r>
          </w:p>
        </w:tc>
        <w:tc>
          <w:tcPr>
            <w:tcW w:w="2551" w:type="dxa"/>
            <w:tcBorders>
              <w:top w:val="single" w:sz="4" w:space="0" w:color="000000"/>
              <w:left w:val="single" w:sz="4" w:space="0" w:color="000000"/>
              <w:bottom w:val="single" w:sz="4" w:space="0" w:color="000000"/>
              <w:right w:val="single" w:sz="4" w:space="0" w:color="000000"/>
            </w:tcBorders>
            <w:hideMark/>
          </w:tcPr>
          <w:p w:rsidR="003A6B6B" w:rsidRDefault="003A6B6B">
            <w:pPr>
              <w:pStyle w:val="TableParagraph"/>
              <w:spacing w:line="230" w:lineRule="auto"/>
              <w:ind w:left="499" w:right="487"/>
              <w:jc w:val="center"/>
              <w:rPr>
                <w:kern w:val="2"/>
                <w:lang w:val="da-DK"/>
                <w14:ligatures w14:val="standardContextual"/>
              </w:rPr>
            </w:pPr>
            <w:r>
              <w:rPr>
                <w:spacing w:val="-2"/>
                <w:kern w:val="2"/>
                <w:lang w:val="da-DK"/>
                <w14:ligatures w14:val="standardContextual"/>
              </w:rPr>
              <w:t xml:space="preserve">Neoplasma </w:t>
            </w:r>
            <w:r>
              <w:rPr>
                <w:spacing w:val="-2"/>
                <w:kern w:val="2"/>
                <w:position w:val="-8"/>
                <w:lang w:val="da-DK"/>
                <w14:ligatures w14:val="standardContextual"/>
              </w:rPr>
              <w:t>Feber</w:t>
            </w:r>
            <w:r>
              <w:rPr>
                <w:spacing w:val="-2"/>
                <w:kern w:val="2"/>
                <w:sz w:val="14"/>
                <w:lang w:val="da-DK"/>
                <w14:ligatures w14:val="standardContextual"/>
              </w:rPr>
              <w:t>1,2,3</w:t>
            </w:r>
            <w:r>
              <w:rPr>
                <w:spacing w:val="40"/>
                <w:kern w:val="2"/>
                <w:sz w:val="14"/>
                <w:lang w:val="da-DK"/>
                <w14:ligatures w14:val="standardContextual"/>
              </w:rPr>
              <w:t xml:space="preserve"> </w:t>
            </w:r>
            <w:r>
              <w:rPr>
                <w:spacing w:val="-2"/>
                <w:kern w:val="2"/>
                <w:lang w:val="da-DK"/>
                <w14:ligatures w14:val="standardContextual"/>
              </w:rPr>
              <w:t>Cellulitis</w:t>
            </w:r>
          </w:p>
          <w:p w:rsidR="003A6B6B" w:rsidRDefault="003A6B6B">
            <w:pPr>
              <w:pStyle w:val="TableParagraph"/>
              <w:spacing w:line="256" w:lineRule="auto"/>
              <w:ind w:left="366" w:right="351"/>
              <w:jc w:val="center"/>
              <w:rPr>
                <w:kern w:val="2"/>
                <w:lang w:val="da-DK"/>
                <w14:ligatures w14:val="standardContextual"/>
              </w:rPr>
            </w:pPr>
            <w:r>
              <w:rPr>
                <w:spacing w:val="-2"/>
                <w:kern w:val="2"/>
                <w:lang w:val="da-DK"/>
                <w14:ligatures w14:val="standardContextual"/>
              </w:rPr>
              <w:t>Parasitær</w:t>
            </w:r>
            <w:r>
              <w:rPr>
                <w:spacing w:val="-9"/>
                <w:kern w:val="2"/>
                <w:lang w:val="da-DK"/>
                <w14:ligatures w14:val="standardContextual"/>
              </w:rPr>
              <w:t xml:space="preserve"> </w:t>
            </w:r>
            <w:r>
              <w:rPr>
                <w:spacing w:val="-2"/>
                <w:kern w:val="2"/>
                <w:lang w:val="da-DK"/>
                <w14:ligatures w14:val="standardContextual"/>
              </w:rPr>
              <w:t>infektion Slimhindelidelser</w:t>
            </w:r>
            <w:r>
              <w:rPr>
                <w:spacing w:val="-2"/>
                <w:kern w:val="2"/>
                <w:vertAlign w:val="superscript"/>
                <w:lang w:val="da-DK"/>
                <w14:ligatures w14:val="standardContextual"/>
              </w:rPr>
              <w:t>3</w:t>
            </w:r>
            <w:r>
              <w:rPr>
                <w:spacing w:val="-2"/>
                <w:kern w:val="2"/>
                <w:lang w:val="da-DK"/>
                <w14:ligatures w14:val="standardContextual"/>
              </w:rPr>
              <w:t xml:space="preserve"> rygsmerter</w:t>
            </w:r>
            <w:r>
              <w:rPr>
                <w:spacing w:val="-2"/>
                <w:kern w:val="2"/>
                <w:vertAlign w:val="superscript"/>
                <w:lang w:val="da-DK"/>
                <w14:ligatures w14:val="standardContextual"/>
              </w:rPr>
              <w:t>1,2,3</w:t>
            </w:r>
            <w:r>
              <w:rPr>
                <w:spacing w:val="-2"/>
                <w:kern w:val="2"/>
                <w:lang w:val="da-DK"/>
                <w14:ligatures w14:val="standardContextual"/>
              </w:rPr>
              <w:t xml:space="preserve"> Unormale</w:t>
            </w:r>
          </w:p>
          <w:p w:rsidR="003A6B6B" w:rsidRDefault="003A6B6B">
            <w:pPr>
              <w:pStyle w:val="TableParagraph"/>
              <w:spacing w:line="243" w:lineRule="exact"/>
              <w:ind w:left="3"/>
              <w:jc w:val="center"/>
              <w:rPr>
                <w:kern w:val="2"/>
                <w14:ligatures w14:val="standardContextual"/>
              </w:rPr>
            </w:pPr>
            <w:r>
              <w:rPr>
                <w:spacing w:val="-2"/>
                <w:kern w:val="2"/>
                <w14:ligatures w14:val="standardContextual"/>
              </w:rPr>
              <w:t>laboratorieprøver</w:t>
            </w:r>
          </w:p>
        </w:tc>
      </w:tr>
    </w:tbl>
    <w:p w:rsidR="003A6B6B" w:rsidRDefault="003A6B6B" w:rsidP="003A6B6B">
      <w:pPr>
        <w:tabs>
          <w:tab w:val="left" w:pos="851"/>
        </w:tabs>
        <w:ind w:left="851"/>
        <w:rPr>
          <w:b/>
          <w:sz w:val="24"/>
          <w:szCs w:val="24"/>
        </w:rPr>
      </w:pPr>
    </w:p>
    <w:p w:rsidR="003A6B6B" w:rsidRPr="003A6B6B" w:rsidRDefault="003A6B6B" w:rsidP="003A6B6B">
      <w:pPr>
        <w:tabs>
          <w:tab w:val="left" w:pos="567"/>
        </w:tabs>
        <w:ind w:left="567" w:hanging="283"/>
        <w:rPr>
          <w:sz w:val="20"/>
        </w:rPr>
      </w:pPr>
      <w:r w:rsidRPr="003A6B6B">
        <w:rPr>
          <w:sz w:val="20"/>
          <w:vertAlign w:val="superscript"/>
        </w:rPr>
        <w:t>1:</w:t>
      </w:r>
      <w:r w:rsidRPr="003A6B6B">
        <w:rPr>
          <w:sz w:val="20"/>
        </w:rPr>
        <w:tab/>
        <w:t>Bivirkninger konstateret med øget hyppighed, når bexaroten blev indgivet i en dosis på &gt;300 mg/m</w:t>
      </w:r>
      <w:r w:rsidRPr="003A6B6B">
        <w:rPr>
          <w:sz w:val="20"/>
          <w:vertAlign w:val="superscript"/>
        </w:rPr>
        <w:t>2</w:t>
      </w:r>
      <w:r w:rsidRPr="003A6B6B">
        <w:rPr>
          <w:sz w:val="20"/>
        </w:rPr>
        <w:t>/dag</w:t>
      </w:r>
    </w:p>
    <w:p w:rsidR="003A6B6B" w:rsidRPr="003A6B6B" w:rsidRDefault="003A6B6B" w:rsidP="003A6B6B">
      <w:pPr>
        <w:tabs>
          <w:tab w:val="left" w:pos="567"/>
        </w:tabs>
        <w:ind w:left="567" w:hanging="283"/>
        <w:rPr>
          <w:sz w:val="20"/>
        </w:rPr>
      </w:pPr>
      <w:r w:rsidRPr="003A6B6B">
        <w:rPr>
          <w:sz w:val="20"/>
          <w:vertAlign w:val="superscript"/>
        </w:rPr>
        <w:t>2:</w:t>
      </w:r>
      <w:r w:rsidRPr="003A6B6B">
        <w:rPr>
          <w:sz w:val="20"/>
        </w:rPr>
        <w:tab/>
        <w:t>Bivirk</w:t>
      </w:r>
      <w:bookmarkStart w:id="0" w:name="_GoBack"/>
      <w:bookmarkEnd w:id="0"/>
      <w:r w:rsidRPr="003A6B6B">
        <w:rPr>
          <w:sz w:val="20"/>
        </w:rPr>
        <w:t>ninger konstateret med øget hyppighed, når bexaroten blev indgivet i en dosis på 300 mg/m</w:t>
      </w:r>
      <w:r w:rsidRPr="003A6B6B">
        <w:rPr>
          <w:sz w:val="20"/>
          <w:vertAlign w:val="superscript"/>
        </w:rPr>
        <w:t>2</w:t>
      </w:r>
      <w:r w:rsidRPr="003A6B6B">
        <w:rPr>
          <w:sz w:val="20"/>
        </w:rPr>
        <w:t>/dag til non-CTCL-cancerpatienter</w:t>
      </w:r>
    </w:p>
    <w:p w:rsidR="003A6B6B" w:rsidRPr="003A6B6B" w:rsidRDefault="003A6B6B" w:rsidP="003A6B6B">
      <w:pPr>
        <w:tabs>
          <w:tab w:val="left" w:pos="567"/>
        </w:tabs>
        <w:ind w:left="567" w:hanging="283"/>
        <w:rPr>
          <w:sz w:val="20"/>
        </w:rPr>
      </w:pPr>
      <w:r w:rsidRPr="003A6B6B">
        <w:rPr>
          <w:sz w:val="20"/>
          <w:vertAlign w:val="superscript"/>
        </w:rPr>
        <w:t>3:</w:t>
      </w:r>
      <w:r w:rsidRPr="003A6B6B">
        <w:rPr>
          <w:sz w:val="20"/>
        </w:rPr>
        <w:tab/>
        <w:t>Bivirkninger konstateret med øget hyppighed, når bexaroten blev indgivet i en dosis på &gt;300 mg/m</w:t>
      </w:r>
      <w:r w:rsidRPr="003A6B6B">
        <w:rPr>
          <w:sz w:val="20"/>
          <w:vertAlign w:val="superscript"/>
        </w:rPr>
        <w:t>2</w:t>
      </w:r>
      <w:r w:rsidRPr="003A6B6B">
        <w:rPr>
          <w:sz w:val="20"/>
        </w:rPr>
        <w:t>/dag til non-CTCL-cancerpatienter (sammenlignet med indgivelse til CTCL- patienter i en dosis på 300 mg/m</w:t>
      </w:r>
      <w:r w:rsidRPr="003A6B6B">
        <w:rPr>
          <w:sz w:val="20"/>
          <w:vertAlign w:val="superscript"/>
        </w:rPr>
        <w:t>2</w:t>
      </w:r>
      <w:r w:rsidRPr="003A6B6B">
        <w:rPr>
          <w:sz w:val="20"/>
        </w:rPr>
        <w:t>/dag)</w:t>
      </w:r>
    </w:p>
    <w:p w:rsidR="003A6B6B" w:rsidRPr="003A6B6B" w:rsidRDefault="003A6B6B" w:rsidP="003A6B6B">
      <w:pPr>
        <w:tabs>
          <w:tab w:val="left" w:pos="851"/>
        </w:tabs>
        <w:ind w:left="851"/>
        <w:rPr>
          <w:sz w:val="24"/>
          <w:szCs w:val="24"/>
        </w:rPr>
      </w:pPr>
    </w:p>
    <w:p w:rsidR="003A6B6B" w:rsidRPr="003A6B6B" w:rsidRDefault="003A6B6B" w:rsidP="003A6B6B">
      <w:pPr>
        <w:tabs>
          <w:tab w:val="left" w:pos="851"/>
        </w:tabs>
        <w:ind w:left="851"/>
        <w:rPr>
          <w:b/>
          <w:bCs/>
          <w:iCs/>
          <w:sz w:val="24"/>
          <w:szCs w:val="24"/>
        </w:rPr>
      </w:pPr>
      <w:r w:rsidRPr="003A6B6B">
        <w:rPr>
          <w:b/>
          <w:bCs/>
          <w:iCs/>
          <w:sz w:val="24"/>
          <w:szCs w:val="24"/>
        </w:rPr>
        <w:t>Yderligere observationer af bivirkninger ved brug ud over den anbefalede dosis og indikation (d.v.s. anvendt til CTCL-patienter med en initialdosis på &gt; 300 mg/m2/dag eller ikke-CTCL-cancerindikationer):</w:t>
      </w:r>
    </w:p>
    <w:p w:rsidR="003A6B6B" w:rsidRPr="003A6B6B" w:rsidRDefault="003A6B6B" w:rsidP="003A6B6B">
      <w:pPr>
        <w:tabs>
          <w:tab w:val="left" w:pos="851"/>
        </w:tabs>
        <w:ind w:left="851"/>
        <w:rPr>
          <w:iCs/>
          <w:sz w:val="24"/>
          <w:szCs w:val="24"/>
          <w:u w:val="single"/>
        </w:rPr>
      </w:pPr>
    </w:p>
    <w:p w:rsidR="003A6B6B" w:rsidRPr="003A6B6B" w:rsidRDefault="003A6B6B" w:rsidP="003A6B6B">
      <w:pPr>
        <w:tabs>
          <w:tab w:val="left" w:pos="851"/>
        </w:tabs>
        <w:ind w:left="851"/>
        <w:rPr>
          <w:iCs/>
          <w:sz w:val="24"/>
          <w:szCs w:val="24"/>
          <w:u w:val="single"/>
        </w:rPr>
      </w:pPr>
      <w:r w:rsidRPr="003A6B6B">
        <w:rPr>
          <w:iCs/>
          <w:sz w:val="24"/>
          <w:szCs w:val="24"/>
          <w:u w:val="single"/>
        </w:rPr>
        <w:t>Nyligt observerede bivirkninger</w:t>
      </w:r>
    </w:p>
    <w:p w:rsidR="003A6B6B" w:rsidRPr="003A6B6B" w:rsidRDefault="003A6B6B" w:rsidP="003A6B6B">
      <w:pPr>
        <w:tabs>
          <w:tab w:val="left" w:pos="851"/>
        </w:tabs>
        <w:ind w:left="851"/>
        <w:rPr>
          <w:iCs/>
          <w:sz w:val="24"/>
          <w:szCs w:val="24"/>
        </w:rPr>
      </w:pPr>
      <w:r w:rsidRPr="003A6B6B">
        <w:rPr>
          <w:iCs/>
          <w:sz w:val="24"/>
          <w:szCs w:val="24"/>
        </w:rPr>
        <w:t>Ekkymose, petekkier, abnorme hvide blodlegemer, reduceret tromboplastin, abnorme erytrocytter, dehydrering, forøget gonadotropt luteiniserende hormon, vægttab, forøget alkalisk fosfatase, forøget kreatininfosfokinase, forøget lipase, hyperkalcæmi, migræne, perifer neuritis, paræstesi, hypertoni, konfusion, angst, emotionel labilitet, somnolens, nedsat libido, nervøsitet, natteblindhed, nystagmus, lakrimeringsforstyrrelser, tinnitus, smagsforvrængning, thoraxsmerter, arytmi, perifer vaskulær lidelse, universelt ødem, hæmoptyse, dyspnø, øget hosten, sinuitis, pharyngitis, dysfagi, sårdannelse i munden, oral moniliasis, stomatitis, dyspepsi, tørst, abnorm afføring, opstød, vesikobulløst udslæt, makulopapulært udslæt, kramper i benene, hæmaturi, influenzasyndrom, bækkensmerter og kropslugt.</w:t>
      </w:r>
    </w:p>
    <w:p w:rsidR="003A6B6B" w:rsidRPr="003A6B6B" w:rsidRDefault="003A6B6B" w:rsidP="003A6B6B">
      <w:pPr>
        <w:tabs>
          <w:tab w:val="left" w:pos="851"/>
        </w:tabs>
        <w:ind w:left="851"/>
        <w:rPr>
          <w:iCs/>
          <w:sz w:val="24"/>
          <w:szCs w:val="24"/>
        </w:rPr>
      </w:pPr>
    </w:p>
    <w:p w:rsidR="003A6B6B" w:rsidRPr="003A6B6B" w:rsidRDefault="003A6B6B" w:rsidP="003A6B6B">
      <w:pPr>
        <w:tabs>
          <w:tab w:val="left" w:pos="851"/>
        </w:tabs>
        <w:ind w:left="851"/>
        <w:rPr>
          <w:iCs/>
          <w:sz w:val="24"/>
          <w:szCs w:val="24"/>
        </w:rPr>
      </w:pPr>
      <w:r w:rsidRPr="003A6B6B">
        <w:rPr>
          <w:iCs/>
          <w:sz w:val="24"/>
          <w:szCs w:val="24"/>
        </w:rPr>
        <w:t xml:space="preserve">Der blev også rapporteret om </w:t>
      </w:r>
      <w:r w:rsidRPr="003A6B6B">
        <w:rPr>
          <w:iCs/>
          <w:sz w:val="24"/>
          <w:szCs w:val="24"/>
          <w:u w:val="single"/>
        </w:rPr>
        <w:t>enkeltstående observationer</w:t>
      </w:r>
      <w:r w:rsidRPr="003A6B6B">
        <w:rPr>
          <w:iCs/>
          <w:sz w:val="24"/>
          <w:szCs w:val="24"/>
        </w:rPr>
        <w:t xml:space="preserve"> af følgende: </w:t>
      </w:r>
    </w:p>
    <w:p w:rsidR="003A6B6B" w:rsidRPr="003A6B6B" w:rsidRDefault="003A6B6B" w:rsidP="003A6B6B">
      <w:pPr>
        <w:tabs>
          <w:tab w:val="left" w:pos="851"/>
        </w:tabs>
        <w:ind w:left="851"/>
        <w:rPr>
          <w:iCs/>
          <w:sz w:val="24"/>
          <w:szCs w:val="24"/>
        </w:rPr>
      </w:pPr>
      <w:r w:rsidRPr="003A6B6B">
        <w:rPr>
          <w:iCs/>
          <w:sz w:val="24"/>
          <w:szCs w:val="24"/>
        </w:rPr>
        <w:t>Knoglemarvsdepression, nedsat protrombin, nedsat gonadotropt luteiniserende hormon, forøget amylase, hyponatriæmi, hypokaliæmi, hyperurikæmi, hypokolesterolæmi, hypolipæmi, hypomagnesæmi, unormal gang,</w:t>
      </w:r>
      <w:r w:rsidRPr="003A6B6B">
        <w:rPr>
          <w:sz w:val="24"/>
          <w:szCs w:val="24"/>
        </w:rPr>
        <w:t xml:space="preserve"> </w:t>
      </w:r>
      <w:r w:rsidRPr="003A6B6B">
        <w:rPr>
          <w:iCs/>
          <w:sz w:val="24"/>
          <w:szCs w:val="24"/>
        </w:rPr>
        <w:t xml:space="preserve">stupor, circumoral paræstesi, abnorm tankegang, øjensmerter, hypovolæmi, subduralt hæmatom, kronisk hjerteinsufficiens, </w:t>
      </w:r>
      <w:r w:rsidRPr="003A6B6B">
        <w:rPr>
          <w:iCs/>
          <w:sz w:val="24"/>
          <w:szCs w:val="24"/>
        </w:rPr>
        <w:lastRenderedPageBreak/>
        <w:t>palpitation, epistaxis, vaskulær anomali, vaskulær lidelse, bleghed, pneumoni, respiratorisk lidelse, lungelidelse, pleural lidelse, cholecystitis, leverskade, gulsot, kolestatisk gulsot, melæna, opkastning, laryngisme, tenesmus, rhinitis, øget appetit, gingivitis, herpes zoster, psoriasis, furunculose, kontaktdermatitis, seborrhoea, likenoid dermatitis, artritis, ledlidelse, urinretention, problemer med vandladning, polyuri, nykturia, impotens, urinabnormitet, brystforstørrelse, carcinom, lysoverfølsomhedsreaktion, ansigtsødem, utilpashed, virusinfektion, forstørret abdomen.</w:t>
      </w:r>
    </w:p>
    <w:p w:rsidR="003A6B6B" w:rsidRPr="003A6B6B" w:rsidRDefault="003A6B6B" w:rsidP="003A6B6B">
      <w:pPr>
        <w:tabs>
          <w:tab w:val="left" w:pos="851"/>
        </w:tabs>
        <w:ind w:left="851"/>
        <w:rPr>
          <w:iCs/>
          <w:sz w:val="24"/>
          <w:szCs w:val="24"/>
        </w:rPr>
      </w:pPr>
    </w:p>
    <w:p w:rsidR="003A6B6B" w:rsidRPr="003A6B6B" w:rsidRDefault="003A6B6B" w:rsidP="003A6B6B">
      <w:pPr>
        <w:tabs>
          <w:tab w:val="left" w:pos="851"/>
        </w:tabs>
        <w:ind w:left="851"/>
        <w:rPr>
          <w:iCs/>
          <w:sz w:val="24"/>
          <w:szCs w:val="24"/>
        </w:rPr>
      </w:pPr>
      <w:r w:rsidRPr="003A6B6B">
        <w:rPr>
          <w:iCs/>
          <w:sz w:val="24"/>
          <w:szCs w:val="24"/>
        </w:rPr>
        <w:t>Det bemærkedes, at flertallet af bivirkningerne forekom hyppigere ved doser på mere end 300 mg/m²/dag. I almindelighed svandt disse uden følger ved mindskning af dosen eller seponering af stoffet. Det bør dog bemærkes, at der blandt en samlet gruppe på 810 patienter – herunder patienter uden malignitet – som behandledes med bexaroten, forekom tre alvorlige bivirkninger med dødelig udgang (akut pankreatitis, subduralt hæmatom og leversvigt). Blandt disse blev det senere fastslået, at leversvigt ikke var forbundet med bexaroten. Denne forekomst var den eneste hos en CTCL-patient.</w:t>
      </w:r>
    </w:p>
    <w:p w:rsidR="003A6B6B" w:rsidRPr="003A6B6B" w:rsidRDefault="003A6B6B" w:rsidP="003A6B6B">
      <w:pPr>
        <w:tabs>
          <w:tab w:val="left" w:pos="851"/>
        </w:tabs>
        <w:ind w:left="851"/>
        <w:rPr>
          <w:iCs/>
          <w:sz w:val="24"/>
          <w:szCs w:val="24"/>
        </w:rPr>
      </w:pPr>
    </w:p>
    <w:p w:rsidR="003A6B6B" w:rsidRPr="003A6B6B" w:rsidRDefault="003A6B6B" w:rsidP="003A6B6B">
      <w:pPr>
        <w:tabs>
          <w:tab w:val="left" w:pos="851"/>
        </w:tabs>
        <w:ind w:left="851"/>
        <w:rPr>
          <w:iCs/>
          <w:sz w:val="24"/>
          <w:szCs w:val="24"/>
        </w:rPr>
      </w:pPr>
      <w:r w:rsidRPr="003A6B6B">
        <w:rPr>
          <w:iCs/>
          <w:sz w:val="24"/>
          <w:szCs w:val="24"/>
        </w:rPr>
        <w:t>Hypothyroidisme indtræder almindeligvis 4-8 uger efter terapiens påbegyndelse. Den kan være asymptomatisk og reagerer på behandling med thyroxin. Den svinder, når lægemidlet ikke længere indtages.</w:t>
      </w:r>
    </w:p>
    <w:p w:rsidR="003A6B6B" w:rsidRPr="003A6B6B" w:rsidRDefault="003A6B6B" w:rsidP="003A6B6B">
      <w:pPr>
        <w:tabs>
          <w:tab w:val="left" w:pos="851"/>
        </w:tabs>
        <w:ind w:left="851"/>
        <w:rPr>
          <w:iCs/>
          <w:sz w:val="24"/>
          <w:szCs w:val="24"/>
        </w:rPr>
      </w:pPr>
    </w:p>
    <w:p w:rsidR="003A6B6B" w:rsidRPr="003A6B6B" w:rsidRDefault="003A6B6B" w:rsidP="003A6B6B">
      <w:pPr>
        <w:tabs>
          <w:tab w:val="left" w:pos="851"/>
        </w:tabs>
        <w:ind w:left="851"/>
        <w:rPr>
          <w:iCs/>
          <w:sz w:val="24"/>
          <w:szCs w:val="24"/>
        </w:rPr>
      </w:pPr>
      <w:r w:rsidRPr="003A6B6B">
        <w:rPr>
          <w:iCs/>
          <w:sz w:val="24"/>
          <w:szCs w:val="24"/>
        </w:rPr>
        <w:t>Bexaroten har en anderledes bivirkningsprofil end andre orale, ikke-retinoide X-receptor (RXR)- selektive retinoidlægemidler. På grund af dets hovedsageligt RXR-bindende aktivitet er det mindre sandsynligt, at bexaroten forårsager mukokutan toksicitet, negle- og hårtoksiciteter, artralgi og myalgi. Disse er ofte angivet i forbindelse med retinsyrereceptor (RAR)-bindende stoffer.</w:t>
      </w:r>
    </w:p>
    <w:p w:rsidR="003A6B6B" w:rsidRPr="003A6B6B" w:rsidRDefault="003A6B6B" w:rsidP="003A6B6B">
      <w:pPr>
        <w:tabs>
          <w:tab w:val="left" w:pos="851"/>
        </w:tabs>
        <w:ind w:left="851"/>
        <w:rPr>
          <w:iCs/>
          <w:sz w:val="24"/>
          <w:szCs w:val="24"/>
        </w:rPr>
      </w:pPr>
    </w:p>
    <w:p w:rsidR="003A6B6B" w:rsidRPr="003A6B6B" w:rsidRDefault="003A6B6B" w:rsidP="003A6B6B">
      <w:pPr>
        <w:tabs>
          <w:tab w:val="left" w:pos="851"/>
        </w:tabs>
        <w:ind w:left="851"/>
        <w:rPr>
          <w:sz w:val="24"/>
          <w:szCs w:val="24"/>
          <w:u w:val="single"/>
        </w:rPr>
      </w:pPr>
      <w:r w:rsidRPr="003A6B6B">
        <w:rPr>
          <w:sz w:val="24"/>
          <w:szCs w:val="24"/>
          <w:u w:val="single"/>
        </w:rPr>
        <w:t>Indberetning af formodede bivirkninger</w:t>
      </w:r>
    </w:p>
    <w:p w:rsidR="003A6B6B" w:rsidRPr="003A6B6B" w:rsidRDefault="003A6B6B" w:rsidP="003A6B6B">
      <w:pPr>
        <w:tabs>
          <w:tab w:val="left" w:pos="851"/>
        </w:tabs>
        <w:ind w:left="851"/>
        <w:rPr>
          <w:sz w:val="24"/>
          <w:szCs w:val="24"/>
        </w:rPr>
      </w:pPr>
      <w:r w:rsidRPr="003A6B6B">
        <w:rPr>
          <w:sz w:val="24"/>
          <w:szCs w:val="24"/>
        </w:rPr>
        <w:t>Når lægemidlet er godkendt, er indberetning af formodede bivirkninger vigtig. Det muliggør løbende overvågning af benefit/risk-forholdet for lægemidlet. Sundhedspersoner anmodes om at indberette alle formodede bivirkninger via</w:t>
      </w:r>
      <w:r>
        <w:rPr>
          <w:sz w:val="24"/>
          <w:szCs w:val="24"/>
        </w:rPr>
        <w:t>:</w:t>
      </w:r>
      <w:r w:rsidRPr="003A6B6B">
        <w:rPr>
          <w:sz w:val="24"/>
          <w:szCs w:val="24"/>
        </w:rPr>
        <w:t xml:space="preserve"> </w:t>
      </w:r>
    </w:p>
    <w:p w:rsidR="003A6B6B" w:rsidRPr="003A6B6B" w:rsidRDefault="003A6B6B" w:rsidP="003A6B6B">
      <w:pPr>
        <w:tabs>
          <w:tab w:val="left" w:pos="851"/>
        </w:tabs>
        <w:ind w:left="851"/>
        <w:rPr>
          <w:sz w:val="24"/>
          <w:szCs w:val="24"/>
        </w:rPr>
      </w:pPr>
    </w:p>
    <w:p w:rsidR="003A6B6B" w:rsidRPr="003A6B6B" w:rsidRDefault="003A6B6B" w:rsidP="003A6B6B">
      <w:pPr>
        <w:tabs>
          <w:tab w:val="left" w:pos="851"/>
        </w:tabs>
        <w:ind w:left="851"/>
        <w:rPr>
          <w:sz w:val="24"/>
          <w:szCs w:val="24"/>
        </w:rPr>
      </w:pPr>
      <w:r w:rsidRPr="003A6B6B">
        <w:rPr>
          <w:sz w:val="24"/>
          <w:szCs w:val="24"/>
        </w:rPr>
        <w:t xml:space="preserve">Lægemiddelstyrelsen </w:t>
      </w:r>
    </w:p>
    <w:p w:rsidR="003A6B6B" w:rsidRPr="003A6B6B" w:rsidRDefault="003A6B6B" w:rsidP="003A6B6B">
      <w:pPr>
        <w:tabs>
          <w:tab w:val="left" w:pos="851"/>
        </w:tabs>
        <w:ind w:left="851"/>
        <w:rPr>
          <w:sz w:val="24"/>
          <w:szCs w:val="24"/>
        </w:rPr>
      </w:pPr>
      <w:r w:rsidRPr="003A6B6B">
        <w:rPr>
          <w:sz w:val="24"/>
          <w:szCs w:val="24"/>
        </w:rPr>
        <w:t>Axel Heides Gade 1</w:t>
      </w:r>
    </w:p>
    <w:p w:rsidR="003A6B6B" w:rsidRPr="003A6B6B" w:rsidRDefault="003A6B6B" w:rsidP="003A6B6B">
      <w:pPr>
        <w:tabs>
          <w:tab w:val="left" w:pos="851"/>
        </w:tabs>
        <w:ind w:left="851"/>
        <w:rPr>
          <w:sz w:val="24"/>
          <w:szCs w:val="24"/>
        </w:rPr>
      </w:pPr>
      <w:r w:rsidRPr="003A6B6B">
        <w:rPr>
          <w:sz w:val="24"/>
          <w:szCs w:val="24"/>
        </w:rPr>
        <w:t>DK-2300 København S</w:t>
      </w:r>
    </w:p>
    <w:p w:rsidR="003A6B6B" w:rsidRPr="003A6B6B" w:rsidRDefault="003A6B6B" w:rsidP="003A6B6B">
      <w:pPr>
        <w:tabs>
          <w:tab w:val="left" w:pos="851"/>
        </w:tabs>
        <w:ind w:left="851"/>
        <w:rPr>
          <w:sz w:val="24"/>
          <w:szCs w:val="24"/>
        </w:rPr>
      </w:pPr>
      <w:r w:rsidRPr="003A6B6B">
        <w:rPr>
          <w:sz w:val="24"/>
          <w:szCs w:val="24"/>
        </w:rPr>
        <w:t>Websted: 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E86D7A" w:rsidRPr="00E86D7A" w:rsidRDefault="00E86D7A" w:rsidP="00E86D7A">
      <w:pPr>
        <w:tabs>
          <w:tab w:val="left" w:pos="851"/>
        </w:tabs>
        <w:ind w:left="851"/>
        <w:rPr>
          <w:sz w:val="24"/>
          <w:szCs w:val="24"/>
          <w:lang w:val="nb-NO"/>
        </w:rPr>
      </w:pPr>
      <w:r w:rsidRPr="00E86D7A">
        <w:rPr>
          <w:sz w:val="24"/>
          <w:szCs w:val="24"/>
          <w:lang w:val="nb-NO"/>
        </w:rPr>
        <w:t xml:space="preserve">Der er ikke rapporteret tilfælde af overdosering af </w:t>
      </w:r>
      <w:r w:rsidRPr="00E86D7A">
        <w:rPr>
          <w:sz w:val="24"/>
          <w:szCs w:val="24"/>
        </w:rPr>
        <w:t>bexaroten</w:t>
      </w:r>
      <w:r w:rsidRPr="00E86D7A">
        <w:rPr>
          <w:sz w:val="24"/>
          <w:szCs w:val="24"/>
          <w:lang w:val="nb-NO"/>
        </w:rPr>
        <w:t>. Enhver overdosis bør behandles med støttende omsorg for patientens udviste tegn og symptomer.</w:t>
      </w:r>
    </w:p>
    <w:p w:rsidR="00E86D7A" w:rsidRPr="00E86D7A" w:rsidRDefault="00E86D7A" w:rsidP="00E86D7A">
      <w:pPr>
        <w:tabs>
          <w:tab w:val="left" w:pos="851"/>
        </w:tabs>
        <w:ind w:left="851"/>
        <w:rPr>
          <w:sz w:val="24"/>
          <w:szCs w:val="24"/>
          <w:lang w:val="nb-NO"/>
        </w:rPr>
      </w:pPr>
    </w:p>
    <w:p w:rsidR="00E86D7A" w:rsidRPr="00E86D7A" w:rsidRDefault="00E86D7A" w:rsidP="00E86D7A">
      <w:pPr>
        <w:tabs>
          <w:tab w:val="left" w:pos="851"/>
        </w:tabs>
        <w:ind w:left="851"/>
        <w:rPr>
          <w:sz w:val="24"/>
          <w:szCs w:val="24"/>
          <w:lang w:val="nb-NO"/>
        </w:rPr>
      </w:pPr>
      <w:r w:rsidRPr="00E86D7A">
        <w:rPr>
          <w:sz w:val="24"/>
          <w:szCs w:val="24"/>
          <w:lang w:val="nb-NO"/>
        </w:rPr>
        <w:t>Der er i kliniske undersøgelser indtaget bexaroten i doser på op til 1000 mg/m</w:t>
      </w:r>
      <w:r w:rsidRPr="00E86D7A">
        <w:rPr>
          <w:sz w:val="24"/>
          <w:szCs w:val="24"/>
          <w:vertAlign w:val="superscript"/>
          <w:lang w:val="nb-NO"/>
        </w:rPr>
        <w:t>2</w:t>
      </w:r>
      <w:r w:rsidRPr="00E86D7A">
        <w:rPr>
          <w:sz w:val="24"/>
          <w:szCs w:val="24"/>
          <w:lang w:val="nb-NO"/>
        </w:rPr>
        <w:t>/dag uden akut, toksisk virkning. Enkelte doser på 1500 mg/kg (9000 mg/m</w:t>
      </w:r>
      <w:r w:rsidRPr="00E86D7A">
        <w:rPr>
          <w:sz w:val="24"/>
          <w:szCs w:val="24"/>
          <w:vertAlign w:val="superscript"/>
          <w:lang w:val="nb-NO"/>
        </w:rPr>
        <w:t>2</w:t>
      </w:r>
      <w:r w:rsidRPr="00E86D7A">
        <w:rPr>
          <w:sz w:val="24"/>
          <w:szCs w:val="24"/>
          <w:lang w:val="nb-NO"/>
        </w:rPr>
        <w:t>) og 720 mg/kg (14.400 mg/m</w:t>
      </w:r>
      <w:r w:rsidRPr="00E86D7A">
        <w:rPr>
          <w:sz w:val="24"/>
          <w:szCs w:val="24"/>
          <w:vertAlign w:val="superscript"/>
          <w:lang w:val="nb-NO"/>
        </w:rPr>
        <w:t>2</w:t>
      </w:r>
      <w:r w:rsidRPr="00E86D7A">
        <w:rPr>
          <w:sz w:val="24"/>
          <w:szCs w:val="24"/>
          <w:lang w:val="nb-NO"/>
        </w:rPr>
        <w:t>) tolereredes uden væsentlig toksicitet hos henholdsvis rotter og hunde.</w:t>
      </w:r>
    </w:p>
    <w:p w:rsidR="00E86D7A" w:rsidRPr="00E86D7A" w:rsidRDefault="00E86D7A" w:rsidP="00E86D7A">
      <w:pPr>
        <w:tabs>
          <w:tab w:val="left" w:pos="851"/>
        </w:tabs>
        <w:ind w:left="851"/>
        <w:rPr>
          <w:sz w:val="24"/>
          <w:szCs w:val="24"/>
          <w:u w:val="single"/>
          <w:lang w:val="nb-NO"/>
        </w:rPr>
      </w:pPr>
    </w:p>
    <w:p w:rsidR="00E86D7A" w:rsidRPr="00E86D7A" w:rsidRDefault="00E86D7A" w:rsidP="00E86D7A">
      <w:pPr>
        <w:tabs>
          <w:tab w:val="left" w:pos="851"/>
        </w:tabs>
        <w:ind w:left="851"/>
        <w:rPr>
          <w:sz w:val="24"/>
          <w:szCs w:val="24"/>
          <w:u w:val="single"/>
          <w:lang w:val="nb-NO"/>
        </w:rPr>
      </w:pPr>
      <w:r w:rsidRPr="00E86D7A">
        <w:rPr>
          <w:sz w:val="24"/>
          <w:szCs w:val="24"/>
          <w:u w:val="single"/>
          <w:lang w:val="nb-NO"/>
        </w:rPr>
        <w:t>4.10 Udlevering</w:t>
      </w:r>
    </w:p>
    <w:p w:rsidR="00E86D7A" w:rsidRPr="00E86D7A" w:rsidRDefault="00E86D7A" w:rsidP="00E86D7A">
      <w:pPr>
        <w:tabs>
          <w:tab w:val="left" w:pos="851"/>
        </w:tabs>
        <w:ind w:left="851"/>
        <w:rPr>
          <w:sz w:val="24"/>
          <w:szCs w:val="24"/>
        </w:rPr>
      </w:pPr>
      <w:r w:rsidRPr="00E86D7A">
        <w:rPr>
          <w:sz w:val="24"/>
          <w:szCs w:val="24"/>
        </w:rPr>
        <w:t>BEGR -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29011C" w:rsidP="009D13F0">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9D13F0" w:rsidRPr="009D13F0" w:rsidRDefault="009D13F0" w:rsidP="009D13F0">
      <w:pPr>
        <w:tabs>
          <w:tab w:val="left" w:pos="851"/>
        </w:tabs>
        <w:ind w:left="851"/>
        <w:rPr>
          <w:sz w:val="24"/>
          <w:szCs w:val="24"/>
          <w:lang w:val="nb-NO"/>
        </w:rPr>
      </w:pPr>
      <w:r w:rsidRPr="009D13F0">
        <w:rPr>
          <w:sz w:val="24"/>
          <w:szCs w:val="24"/>
          <w:lang w:val="nb-NO"/>
        </w:rPr>
        <w:t>Farmakoterapeutisk klassifikation: Andre antineoplastiske stoffer, ATC-kode: L01XF03</w:t>
      </w:r>
      <w:r>
        <w:rPr>
          <w:sz w:val="24"/>
          <w:szCs w:val="24"/>
          <w:lang w:val="nb-NO"/>
        </w:rPr>
        <w:t>.</w:t>
      </w:r>
    </w:p>
    <w:p w:rsidR="009D13F0" w:rsidRPr="009D13F0" w:rsidRDefault="009D13F0" w:rsidP="009D13F0">
      <w:pPr>
        <w:tabs>
          <w:tab w:val="left" w:pos="851"/>
        </w:tabs>
        <w:ind w:left="851"/>
        <w:rPr>
          <w:sz w:val="24"/>
          <w:szCs w:val="24"/>
        </w:rPr>
      </w:pPr>
    </w:p>
    <w:p w:rsidR="009D13F0" w:rsidRPr="009D13F0" w:rsidRDefault="009D13F0" w:rsidP="009D13F0">
      <w:pPr>
        <w:tabs>
          <w:tab w:val="left" w:pos="851"/>
        </w:tabs>
        <w:ind w:left="851"/>
        <w:rPr>
          <w:sz w:val="24"/>
          <w:szCs w:val="24"/>
          <w:u w:val="single"/>
        </w:rPr>
      </w:pPr>
      <w:r w:rsidRPr="009D13F0">
        <w:rPr>
          <w:sz w:val="24"/>
          <w:szCs w:val="24"/>
          <w:u w:val="single"/>
        </w:rPr>
        <w:t>Virkningsmekanisme</w:t>
      </w:r>
    </w:p>
    <w:p w:rsidR="009D13F0" w:rsidRPr="009D13F0" w:rsidRDefault="009D13F0" w:rsidP="009D13F0">
      <w:pPr>
        <w:tabs>
          <w:tab w:val="left" w:pos="851"/>
        </w:tabs>
        <w:ind w:left="851"/>
        <w:rPr>
          <w:sz w:val="24"/>
          <w:szCs w:val="24"/>
        </w:rPr>
      </w:pPr>
      <w:r w:rsidRPr="009D13F0">
        <w:rPr>
          <w:sz w:val="24"/>
          <w:szCs w:val="24"/>
        </w:rPr>
        <w:t xml:space="preserve">Bexaroten er en syntetisk forbindelse, som udøver sin biologiske virkning gennem selektiv binding og aktivering af de tre RXR’er: </w:t>
      </w:r>
      <w:r w:rsidRPr="009D13F0">
        <w:rPr>
          <w:sz w:val="24"/>
          <w:szCs w:val="24"/>
          <w:lang w:val="en-IN"/>
        </w:rPr>
        <w:t>α</w:t>
      </w:r>
      <w:r w:rsidRPr="009D13F0">
        <w:rPr>
          <w:sz w:val="24"/>
          <w:szCs w:val="24"/>
          <w:lang w:val="nb-NO"/>
        </w:rPr>
        <w:t xml:space="preserve">, </w:t>
      </w:r>
      <w:r w:rsidRPr="009D13F0">
        <w:rPr>
          <w:sz w:val="24"/>
          <w:szCs w:val="24"/>
          <w:lang w:val="en-IN"/>
        </w:rPr>
        <w:t>β</w:t>
      </w:r>
      <w:r w:rsidRPr="009D13F0">
        <w:rPr>
          <w:sz w:val="24"/>
          <w:szCs w:val="24"/>
          <w:lang w:val="nb-NO"/>
        </w:rPr>
        <w:t xml:space="preserve">, og </w:t>
      </w:r>
      <w:r w:rsidRPr="009D13F0">
        <w:rPr>
          <w:sz w:val="24"/>
          <w:szCs w:val="24"/>
          <w:lang w:val="en-IN"/>
        </w:rPr>
        <w:t>γ</w:t>
      </w:r>
      <w:r w:rsidRPr="009D13F0">
        <w:rPr>
          <w:sz w:val="24"/>
          <w:szCs w:val="24"/>
        </w:rPr>
        <w:t xml:space="preserve">. Efter aktivering fungerer disse receptorer som transkriptionsfaktorer, som regulerer processer såsom celledifferentiering og -proliferation, apoptose og insulinsensibilisering. RXR’ernes mulighed for at danne heterodimer i forbindelse med adskillige receptorer, som er af betydning for cellefunktion og fysiologi, antyder at bexarotens biologiske aktiviteter er mere mangeartede end de forbindelser, som aktiverer RAR’erne. </w:t>
      </w:r>
      <w:r w:rsidRPr="009D13F0">
        <w:rPr>
          <w:i/>
          <w:sz w:val="24"/>
          <w:szCs w:val="24"/>
        </w:rPr>
        <w:t>In vitro</w:t>
      </w:r>
      <w:r w:rsidRPr="009D13F0">
        <w:rPr>
          <w:sz w:val="24"/>
          <w:szCs w:val="24"/>
        </w:rPr>
        <w:t xml:space="preserve"> hæmmer bexaroten væksten af svulst-cellelinier af hæmatopoietisk og hudkræft-relateret oprindelse. </w:t>
      </w:r>
      <w:r w:rsidRPr="009D13F0">
        <w:rPr>
          <w:i/>
          <w:sz w:val="24"/>
          <w:szCs w:val="24"/>
        </w:rPr>
        <w:t>In vivo</w:t>
      </w:r>
      <w:r w:rsidRPr="009D13F0">
        <w:rPr>
          <w:sz w:val="24"/>
          <w:szCs w:val="24"/>
        </w:rPr>
        <w:t xml:space="preserve"> forårsager bexaroten svulstregression hos visse dyrearter og forhindrer svulstinduktion hos andre. Bexarotens nøjagtige virkningsmekanisme i behandlingen af kutant T-celle-lymfom (CTCL) er dog ukendt.</w:t>
      </w:r>
    </w:p>
    <w:p w:rsidR="009D13F0" w:rsidRPr="009D13F0" w:rsidRDefault="009D13F0" w:rsidP="009D13F0">
      <w:pPr>
        <w:tabs>
          <w:tab w:val="left" w:pos="851"/>
        </w:tabs>
        <w:ind w:left="851"/>
        <w:rPr>
          <w:sz w:val="24"/>
          <w:szCs w:val="24"/>
        </w:rPr>
      </w:pPr>
    </w:p>
    <w:p w:rsidR="009D13F0" w:rsidRPr="009D13F0" w:rsidRDefault="009D13F0" w:rsidP="009D13F0">
      <w:pPr>
        <w:tabs>
          <w:tab w:val="left" w:pos="851"/>
        </w:tabs>
        <w:ind w:left="851"/>
        <w:rPr>
          <w:sz w:val="24"/>
          <w:szCs w:val="24"/>
          <w:u w:val="single"/>
        </w:rPr>
      </w:pPr>
      <w:r w:rsidRPr="009D13F0">
        <w:rPr>
          <w:sz w:val="24"/>
          <w:szCs w:val="24"/>
          <w:u w:val="single"/>
        </w:rPr>
        <w:t>Kliniske resultater</w:t>
      </w:r>
    </w:p>
    <w:p w:rsidR="009D13F0" w:rsidRPr="009D13F0" w:rsidRDefault="009D13F0" w:rsidP="009D13F0">
      <w:pPr>
        <w:tabs>
          <w:tab w:val="left" w:pos="851"/>
        </w:tabs>
        <w:ind w:left="851"/>
        <w:rPr>
          <w:sz w:val="24"/>
          <w:szCs w:val="24"/>
        </w:rPr>
      </w:pPr>
      <w:r w:rsidRPr="009D13F0">
        <w:rPr>
          <w:sz w:val="24"/>
          <w:szCs w:val="24"/>
        </w:rPr>
        <w:t>Bexaroten-kapsler evalueredes ved kliniske forsøg omfattende 193 CTCL-patienter, hvoraf 93 havde sygdommen på et fremskredet stadium og var resistente over for tidligere, systemisk</w:t>
      </w:r>
      <w:r>
        <w:rPr>
          <w:sz w:val="24"/>
          <w:szCs w:val="24"/>
        </w:rPr>
        <w:t xml:space="preserve"> </w:t>
      </w:r>
      <w:r w:rsidRPr="009D13F0">
        <w:rPr>
          <w:sz w:val="24"/>
          <w:szCs w:val="24"/>
        </w:rPr>
        <w:t>behandling. Blandt de 61 patienter behandlede med en indledende dosis på 300 mg/m2/dag var den overordnede respons rate ifølge lægens globale vurdering 51% (31/61) med en klinisk fuldstændig respons rate på 3%. Respons blev også fastslået ved sammenlægning af fem kliniske tegn (overfladeareal, erythema, plakforhøjelse, skorpedannelse, og hypo-/hyperpigmentering), der også tog hensyn til alle ekstrakutane CTCL-manifestationer. I følge den sammenlagte vurdering var den overordnede respons rate 31% (19/61) med en fuldstændig klinisk respons rate på 7% (4/61).</w:t>
      </w:r>
    </w:p>
    <w:p w:rsidR="009D13F0" w:rsidRPr="009D13F0" w:rsidRDefault="009D13F0" w:rsidP="009D13F0">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6826B8" w:rsidRDefault="006826B8" w:rsidP="006826B8">
      <w:pPr>
        <w:tabs>
          <w:tab w:val="left" w:pos="851"/>
        </w:tabs>
        <w:ind w:left="851"/>
        <w:rPr>
          <w:sz w:val="24"/>
          <w:szCs w:val="24"/>
          <w:u w:val="single"/>
        </w:rPr>
      </w:pPr>
    </w:p>
    <w:p w:rsidR="006826B8" w:rsidRPr="006826B8" w:rsidRDefault="006826B8" w:rsidP="006826B8">
      <w:pPr>
        <w:tabs>
          <w:tab w:val="left" w:pos="851"/>
        </w:tabs>
        <w:ind w:left="851"/>
        <w:rPr>
          <w:sz w:val="24"/>
          <w:szCs w:val="24"/>
          <w:u w:val="single"/>
        </w:rPr>
      </w:pPr>
      <w:r w:rsidRPr="006826B8">
        <w:rPr>
          <w:sz w:val="24"/>
          <w:szCs w:val="24"/>
          <w:u w:val="single"/>
        </w:rPr>
        <w:t>Absorption</w:t>
      </w:r>
    </w:p>
    <w:p w:rsidR="006826B8" w:rsidRPr="006826B8" w:rsidRDefault="006826B8" w:rsidP="006826B8">
      <w:pPr>
        <w:tabs>
          <w:tab w:val="left" w:pos="851"/>
        </w:tabs>
        <w:ind w:left="851"/>
        <w:rPr>
          <w:sz w:val="24"/>
          <w:szCs w:val="24"/>
        </w:rPr>
      </w:pPr>
      <w:r w:rsidRPr="006826B8">
        <w:rPr>
          <w:i/>
          <w:iCs/>
          <w:sz w:val="24"/>
          <w:szCs w:val="24"/>
        </w:rPr>
        <w:t>Absorption/doseringsproportionalitet:</w:t>
      </w:r>
      <w:r w:rsidRPr="006826B8">
        <w:rPr>
          <w:sz w:val="24"/>
          <w:szCs w:val="24"/>
        </w:rPr>
        <w:t xml:space="preserve"> Farmakokinetikken var lineær ved doser på op til</w:t>
      </w:r>
    </w:p>
    <w:p w:rsidR="006826B8" w:rsidRPr="006826B8" w:rsidRDefault="006826B8" w:rsidP="006826B8">
      <w:pPr>
        <w:tabs>
          <w:tab w:val="left" w:pos="851"/>
        </w:tabs>
        <w:ind w:left="851"/>
        <w:rPr>
          <w:sz w:val="24"/>
          <w:szCs w:val="24"/>
        </w:rPr>
      </w:pPr>
      <w:r w:rsidRPr="006826B8">
        <w:rPr>
          <w:sz w:val="24"/>
          <w:szCs w:val="24"/>
        </w:rPr>
        <w:t>650 mg/m2. Halveringstiden for den terminale eliminering var generelt mellem en og tre timer. Efter gentagen, enkeltstående, daglig indtagelse ved doseringsniveauer på ³ 230 mg/m2 var C</w:t>
      </w:r>
      <w:r w:rsidRPr="006826B8">
        <w:rPr>
          <w:sz w:val="24"/>
          <w:szCs w:val="24"/>
          <w:vertAlign w:val="subscript"/>
        </w:rPr>
        <w:t>max</w:t>
      </w:r>
      <w:r w:rsidRPr="006826B8">
        <w:rPr>
          <w:sz w:val="24"/>
          <w:szCs w:val="24"/>
        </w:rPr>
        <w:t xml:space="preserve"> og AUC for nogle patienters vedkommende lavere end de respektive enkeltdosisværdier. Der observeredes intet bevis for forlænget akkumulation. Ved det anbefalede, indledende, daglige doseringsniveau (300 mg/m2) var de farmakokinetiske parametre for bexaroten ens for både enkeltstående og gentagen daglig dosering.</w:t>
      </w:r>
    </w:p>
    <w:p w:rsidR="006826B8" w:rsidRPr="006826B8" w:rsidRDefault="006826B8" w:rsidP="006826B8">
      <w:pPr>
        <w:tabs>
          <w:tab w:val="left" w:pos="851"/>
        </w:tabs>
        <w:ind w:left="851"/>
        <w:rPr>
          <w:sz w:val="24"/>
          <w:szCs w:val="24"/>
        </w:rPr>
      </w:pPr>
    </w:p>
    <w:p w:rsidR="006826B8" w:rsidRPr="006826B8" w:rsidRDefault="006826B8" w:rsidP="006826B8">
      <w:pPr>
        <w:tabs>
          <w:tab w:val="left" w:pos="851"/>
        </w:tabs>
        <w:ind w:left="851"/>
        <w:rPr>
          <w:sz w:val="24"/>
          <w:szCs w:val="24"/>
          <w:u w:val="single"/>
        </w:rPr>
      </w:pPr>
      <w:r w:rsidRPr="006826B8">
        <w:rPr>
          <w:sz w:val="24"/>
          <w:szCs w:val="24"/>
          <w:u w:val="single"/>
        </w:rPr>
        <w:t>Fordeling</w:t>
      </w:r>
    </w:p>
    <w:p w:rsidR="006826B8" w:rsidRPr="006826B8" w:rsidRDefault="006826B8" w:rsidP="006826B8">
      <w:pPr>
        <w:tabs>
          <w:tab w:val="left" w:pos="851"/>
        </w:tabs>
        <w:ind w:left="851"/>
        <w:rPr>
          <w:sz w:val="24"/>
          <w:szCs w:val="24"/>
        </w:rPr>
      </w:pPr>
      <w:r w:rsidRPr="006826B8">
        <w:rPr>
          <w:i/>
          <w:iCs/>
          <w:sz w:val="24"/>
          <w:szCs w:val="24"/>
        </w:rPr>
        <w:t>Proteinbinding/distribution:</w:t>
      </w:r>
      <w:r w:rsidRPr="006826B8">
        <w:rPr>
          <w:sz w:val="24"/>
          <w:szCs w:val="24"/>
        </w:rPr>
        <w:t xml:space="preserve"> Bexaroten er i høj grad (&gt;99%) bundet til plasmaproteiner. Der er ikke foretaget evaluering af organers eller vævs optagelse af bexaroten.</w:t>
      </w:r>
    </w:p>
    <w:p w:rsidR="006826B8" w:rsidRPr="006826B8" w:rsidRDefault="006826B8" w:rsidP="006826B8">
      <w:pPr>
        <w:tabs>
          <w:tab w:val="left" w:pos="851"/>
        </w:tabs>
        <w:ind w:left="851"/>
        <w:rPr>
          <w:sz w:val="24"/>
          <w:szCs w:val="24"/>
          <w:u w:val="single"/>
        </w:rPr>
      </w:pPr>
    </w:p>
    <w:p w:rsidR="006826B8" w:rsidRPr="006826B8" w:rsidRDefault="006826B8" w:rsidP="006826B8">
      <w:pPr>
        <w:tabs>
          <w:tab w:val="left" w:pos="851"/>
        </w:tabs>
        <w:ind w:left="851"/>
        <w:rPr>
          <w:sz w:val="24"/>
          <w:szCs w:val="24"/>
          <w:u w:val="single"/>
        </w:rPr>
      </w:pPr>
      <w:r w:rsidRPr="006826B8">
        <w:rPr>
          <w:sz w:val="24"/>
          <w:szCs w:val="24"/>
          <w:u w:val="single"/>
        </w:rPr>
        <w:t>Biotransformation</w:t>
      </w:r>
    </w:p>
    <w:p w:rsidR="006826B8" w:rsidRPr="006826B8" w:rsidRDefault="006826B8" w:rsidP="006826B8">
      <w:pPr>
        <w:tabs>
          <w:tab w:val="left" w:pos="851"/>
        </w:tabs>
        <w:ind w:left="851"/>
        <w:rPr>
          <w:sz w:val="24"/>
          <w:szCs w:val="24"/>
        </w:rPr>
      </w:pPr>
      <w:r w:rsidRPr="006826B8">
        <w:rPr>
          <w:i/>
          <w:iCs/>
          <w:sz w:val="24"/>
          <w:szCs w:val="24"/>
        </w:rPr>
        <w:t>Metabolisme:</w:t>
      </w:r>
      <w:r w:rsidRPr="006826B8">
        <w:rPr>
          <w:sz w:val="24"/>
          <w:szCs w:val="24"/>
        </w:rPr>
        <w:t xml:space="preserve"> Bexaroten-metabolitter, som forekommer i plasma, omfatter 6- og 7-hydroxy- bexaroten såvel som 6- og 7-oxo-bexaroten. </w:t>
      </w:r>
      <w:r w:rsidRPr="006826B8">
        <w:rPr>
          <w:i/>
          <w:sz w:val="24"/>
          <w:szCs w:val="24"/>
        </w:rPr>
        <w:t>In vitro</w:t>
      </w:r>
      <w:r w:rsidRPr="006826B8">
        <w:rPr>
          <w:sz w:val="24"/>
          <w:szCs w:val="24"/>
        </w:rPr>
        <w:t>-undersøgelser antyder glukuronidering som en metabolisk vej, samt at cytokrom P450 3A4 er det væsentligste cytokrom P450-isozym med ansvar for dannelsen af oxidative metabolitter. Metabolitterne har ringe indflydelse på den farmakologiske profil for bexarotens aktivering af retinoid-</w:t>
      </w:r>
      <w:r w:rsidRPr="006826B8">
        <w:rPr>
          <w:sz w:val="24"/>
          <w:szCs w:val="24"/>
        </w:rPr>
        <w:lastRenderedPageBreak/>
        <w:t xml:space="preserve">receptorer. Denne vurdering er på baggrund af metabolitternes </w:t>
      </w:r>
      <w:r w:rsidRPr="006826B8">
        <w:rPr>
          <w:i/>
          <w:sz w:val="24"/>
          <w:szCs w:val="24"/>
        </w:rPr>
        <w:t>in vitro</w:t>
      </w:r>
      <w:r w:rsidRPr="006826B8">
        <w:rPr>
          <w:sz w:val="24"/>
          <w:szCs w:val="24"/>
        </w:rPr>
        <w:t>-binding og deres retinoid-receptorprofil samt på den relative mængde af de enkelte metabolitter i plasma.</w:t>
      </w:r>
    </w:p>
    <w:p w:rsidR="006826B8" w:rsidRPr="006826B8" w:rsidRDefault="006826B8" w:rsidP="006826B8">
      <w:pPr>
        <w:tabs>
          <w:tab w:val="left" w:pos="851"/>
        </w:tabs>
        <w:ind w:left="851"/>
        <w:rPr>
          <w:sz w:val="24"/>
          <w:szCs w:val="24"/>
        </w:rPr>
      </w:pPr>
    </w:p>
    <w:p w:rsidR="006826B8" w:rsidRPr="006826B8" w:rsidRDefault="006826B8" w:rsidP="006826B8">
      <w:pPr>
        <w:tabs>
          <w:tab w:val="left" w:pos="851"/>
        </w:tabs>
        <w:ind w:left="851"/>
        <w:rPr>
          <w:sz w:val="24"/>
          <w:szCs w:val="24"/>
          <w:u w:val="single"/>
        </w:rPr>
      </w:pPr>
      <w:r w:rsidRPr="006826B8">
        <w:rPr>
          <w:sz w:val="24"/>
          <w:szCs w:val="24"/>
          <w:u w:val="single"/>
        </w:rPr>
        <w:t>Elimination</w:t>
      </w:r>
    </w:p>
    <w:p w:rsidR="006826B8" w:rsidRPr="006826B8" w:rsidRDefault="006826B8" w:rsidP="006826B8">
      <w:pPr>
        <w:tabs>
          <w:tab w:val="left" w:pos="851"/>
        </w:tabs>
        <w:ind w:left="851"/>
        <w:rPr>
          <w:sz w:val="24"/>
          <w:szCs w:val="24"/>
        </w:rPr>
      </w:pPr>
      <w:r w:rsidRPr="006826B8">
        <w:rPr>
          <w:i/>
          <w:iCs/>
          <w:sz w:val="24"/>
          <w:szCs w:val="24"/>
        </w:rPr>
        <w:t>Ekskretion:</w:t>
      </w:r>
      <w:r w:rsidRPr="006826B8">
        <w:rPr>
          <w:sz w:val="24"/>
          <w:szCs w:val="24"/>
        </w:rPr>
        <w:t xml:space="preserve"> Hverken bexaroten eller dets metabolitter udskilles i væsentlige mængder gennem urin. Den anslåede, renale clearance for bexaroten er mindre end 1 ml/minut. Renal ekskretion udgør ingen væsentlig eliminationsvej for bexaroten.</w:t>
      </w:r>
    </w:p>
    <w:p w:rsidR="006826B8" w:rsidRPr="006826B8" w:rsidRDefault="006826B8" w:rsidP="006826B8">
      <w:pPr>
        <w:tabs>
          <w:tab w:val="left" w:pos="851"/>
        </w:tabs>
        <w:ind w:left="851"/>
        <w:rPr>
          <w:sz w:val="24"/>
          <w:szCs w:val="24"/>
        </w:rPr>
      </w:pPr>
    </w:p>
    <w:p w:rsidR="006826B8" w:rsidRPr="006826B8" w:rsidRDefault="006826B8" w:rsidP="006826B8">
      <w:pPr>
        <w:tabs>
          <w:tab w:val="left" w:pos="851"/>
        </w:tabs>
        <w:ind w:left="851"/>
        <w:rPr>
          <w:sz w:val="24"/>
          <w:szCs w:val="24"/>
          <w:u w:val="single"/>
        </w:rPr>
      </w:pPr>
      <w:r w:rsidRPr="006826B8">
        <w:rPr>
          <w:sz w:val="24"/>
          <w:szCs w:val="24"/>
          <w:u w:val="single"/>
        </w:rPr>
        <w:t>Andre egenskaber hos særlige populationer</w:t>
      </w:r>
    </w:p>
    <w:p w:rsidR="006826B8" w:rsidRPr="006826B8" w:rsidRDefault="006826B8" w:rsidP="006826B8">
      <w:pPr>
        <w:tabs>
          <w:tab w:val="left" w:pos="851"/>
        </w:tabs>
        <w:ind w:left="851"/>
        <w:rPr>
          <w:sz w:val="24"/>
          <w:szCs w:val="24"/>
          <w:u w:val="single"/>
        </w:rPr>
      </w:pPr>
    </w:p>
    <w:p w:rsidR="006826B8" w:rsidRPr="006826B8" w:rsidRDefault="006826B8" w:rsidP="006826B8">
      <w:pPr>
        <w:tabs>
          <w:tab w:val="left" w:pos="851"/>
        </w:tabs>
        <w:ind w:left="851"/>
        <w:rPr>
          <w:i/>
          <w:iCs/>
          <w:sz w:val="24"/>
          <w:szCs w:val="24"/>
        </w:rPr>
      </w:pPr>
      <w:r w:rsidRPr="006826B8">
        <w:rPr>
          <w:i/>
          <w:iCs/>
          <w:sz w:val="24"/>
          <w:szCs w:val="24"/>
        </w:rPr>
        <w:t>Alder</w:t>
      </w:r>
    </w:p>
    <w:p w:rsidR="006826B8" w:rsidRPr="006826B8" w:rsidRDefault="006826B8" w:rsidP="006826B8">
      <w:pPr>
        <w:tabs>
          <w:tab w:val="left" w:pos="851"/>
        </w:tabs>
        <w:ind w:left="851"/>
        <w:rPr>
          <w:sz w:val="24"/>
          <w:szCs w:val="24"/>
        </w:rPr>
      </w:pPr>
      <w:r w:rsidRPr="006826B8">
        <w:rPr>
          <w:sz w:val="24"/>
          <w:szCs w:val="24"/>
        </w:rPr>
        <w:t>Baseret på data fra farmakokinetiske populationsanalyser fra 232 patienter i alderen ≥ 65 år og 343 patienter i alderen &lt; 65 år har alder ingen statistisk signifikant virkning på bexarotens farmakokinetik.</w:t>
      </w:r>
    </w:p>
    <w:p w:rsidR="006826B8" w:rsidRPr="006826B8" w:rsidRDefault="006826B8" w:rsidP="006826B8">
      <w:pPr>
        <w:tabs>
          <w:tab w:val="left" w:pos="851"/>
        </w:tabs>
        <w:ind w:left="851"/>
        <w:rPr>
          <w:sz w:val="24"/>
          <w:szCs w:val="24"/>
        </w:rPr>
      </w:pPr>
    </w:p>
    <w:p w:rsidR="006826B8" w:rsidRPr="006826B8" w:rsidRDefault="006826B8" w:rsidP="006826B8">
      <w:pPr>
        <w:tabs>
          <w:tab w:val="left" w:pos="851"/>
        </w:tabs>
        <w:ind w:left="851"/>
        <w:rPr>
          <w:i/>
          <w:iCs/>
          <w:sz w:val="24"/>
          <w:szCs w:val="24"/>
        </w:rPr>
      </w:pPr>
      <w:r w:rsidRPr="006826B8">
        <w:rPr>
          <w:i/>
          <w:iCs/>
          <w:sz w:val="24"/>
          <w:szCs w:val="24"/>
        </w:rPr>
        <w:t>Kropsvægt og køn</w:t>
      </w:r>
    </w:p>
    <w:p w:rsidR="006826B8" w:rsidRPr="006826B8" w:rsidRDefault="006826B8" w:rsidP="006826B8">
      <w:pPr>
        <w:tabs>
          <w:tab w:val="left" w:pos="851"/>
        </w:tabs>
        <w:ind w:left="851"/>
        <w:rPr>
          <w:sz w:val="24"/>
          <w:szCs w:val="24"/>
        </w:rPr>
      </w:pPr>
      <w:r w:rsidRPr="006826B8">
        <w:rPr>
          <w:sz w:val="24"/>
          <w:szCs w:val="24"/>
        </w:rPr>
        <w:t>Baseret på farmakokinetiske populationsdata for 614 patienter med en kropsvægt på 26-145 kg stiger bexarotenes tilsyneladende clearance med stigende kropsvægt. Køn har ingen statistisk signifikant virkning på bexarotenes farmakokinetik.</w:t>
      </w:r>
    </w:p>
    <w:p w:rsidR="006826B8" w:rsidRPr="006826B8" w:rsidRDefault="006826B8" w:rsidP="006826B8">
      <w:pPr>
        <w:tabs>
          <w:tab w:val="left" w:pos="851"/>
        </w:tabs>
        <w:ind w:left="851"/>
        <w:rPr>
          <w:sz w:val="24"/>
          <w:szCs w:val="24"/>
        </w:rPr>
      </w:pPr>
    </w:p>
    <w:p w:rsidR="006826B8" w:rsidRPr="006826B8" w:rsidRDefault="006826B8" w:rsidP="006826B8">
      <w:pPr>
        <w:tabs>
          <w:tab w:val="left" w:pos="851"/>
        </w:tabs>
        <w:ind w:left="851"/>
        <w:rPr>
          <w:i/>
          <w:iCs/>
          <w:sz w:val="24"/>
          <w:szCs w:val="24"/>
        </w:rPr>
      </w:pPr>
      <w:r w:rsidRPr="006826B8">
        <w:rPr>
          <w:i/>
          <w:iCs/>
          <w:sz w:val="24"/>
          <w:szCs w:val="24"/>
        </w:rPr>
        <w:t>Race</w:t>
      </w:r>
    </w:p>
    <w:p w:rsidR="006826B8" w:rsidRPr="006826B8" w:rsidRDefault="006826B8" w:rsidP="006826B8">
      <w:pPr>
        <w:tabs>
          <w:tab w:val="left" w:pos="851"/>
        </w:tabs>
        <w:ind w:left="851"/>
        <w:rPr>
          <w:sz w:val="24"/>
          <w:szCs w:val="24"/>
        </w:rPr>
      </w:pPr>
      <w:r w:rsidRPr="006826B8">
        <w:rPr>
          <w:sz w:val="24"/>
          <w:szCs w:val="24"/>
        </w:rPr>
        <w:t>Baseret på farmakokinetiske populationsdata for 540 kaukasiske patienter og 44 sorte patienter er bexarotenes farmakokinetik identisk hos de to racer. Der er utilstrækkelige data til at kunne evaluere de potentielle forskelle i bexarotenes farmakokinetik for andre racer.</w:t>
      </w:r>
    </w:p>
    <w:p w:rsidR="006826B8" w:rsidRPr="006826B8" w:rsidRDefault="006826B8" w:rsidP="006826B8">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6826B8" w:rsidRPr="006826B8" w:rsidRDefault="006826B8" w:rsidP="006826B8">
      <w:pPr>
        <w:tabs>
          <w:tab w:val="left" w:pos="851"/>
        </w:tabs>
        <w:ind w:left="851"/>
        <w:rPr>
          <w:sz w:val="24"/>
          <w:szCs w:val="24"/>
        </w:rPr>
      </w:pPr>
      <w:r w:rsidRPr="006826B8">
        <w:rPr>
          <w:sz w:val="24"/>
          <w:szCs w:val="24"/>
        </w:rPr>
        <w:t>Bexaroten er ikke genotoksisk. Der er ikke foretaget undersøgelser vedrørende carcinogenicitet. Der er ikke foretaget fertilitetsundersøgelser, men hos endnu ikke kønsmodne hanhunde er der konstateret reversibel aspermatogenese (28-dages undersøgelse) samt testisdegeneration (91-dages undersøgelse). Ved kønsmodne hundes indtagelse af bexaroten over en seks måneder lang periode bemærkedes der ingen virkninger på testis. Påvirkning af fertilitet kan ikke udelukkes. Som de fleste andre retinoider er bexaroten teratogent og embryotoksisk hos dyrearter, som undersøgtes ved systemiske eksponeringsgrader, som er klinisk opnåelige blandt mennesker.</w:t>
      </w:r>
    </w:p>
    <w:p w:rsidR="006826B8" w:rsidRPr="006826B8" w:rsidRDefault="006826B8" w:rsidP="006826B8">
      <w:pPr>
        <w:tabs>
          <w:tab w:val="left" w:pos="851"/>
        </w:tabs>
        <w:ind w:left="851"/>
        <w:rPr>
          <w:sz w:val="24"/>
          <w:szCs w:val="24"/>
        </w:rPr>
      </w:pPr>
      <w:r w:rsidRPr="006826B8">
        <w:rPr>
          <w:sz w:val="24"/>
          <w:szCs w:val="24"/>
        </w:rPr>
        <w:t>Ved systemisk eksponering, som er klinisk opnåelig for mennesker, optrådte der hos rotter og hunde behandlet med bexaroten irreversibel katarakt i hindens bagerste område. Ætiologien af dette fund er ukendt. En negativ virkning i form af katarakt dannelse ved langtidsbehandling med bexaroten er ikke udelukket for menneskers vedkommende.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A00A00" w:rsidRDefault="00A00A00" w:rsidP="00A00A00">
      <w:pPr>
        <w:tabs>
          <w:tab w:val="left" w:pos="851"/>
        </w:tabs>
        <w:ind w:left="851"/>
        <w:rPr>
          <w:sz w:val="24"/>
          <w:szCs w:val="24"/>
          <w:u w:val="single"/>
        </w:rPr>
      </w:pPr>
    </w:p>
    <w:p w:rsidR="00A00A00" w:rsidRPr="00A00A00" w:rsidRDefault="00A00A00" w:rsidP="00A00A00">
      <w:pPr>
        <w:tabs>
          <w:tab w:val="left" w:pos="851"/>
        </w:tabs>
        <w:ind w:left="851"/>
        <w:rPr>
          <w:sz w:val="24"/>
          <w:szCs w:val="24"/>
          <w:u w:val="single"/>
        </w:rPr>
      </w:pPr>
      <w:r w:rsidRPr="00A00A00">
        <w:rPr>
          <w:sz w:val="24"/>
          <w:szCs w:val="24"/>
          <w:u w:val="single"/>
        </w:rPr>
        <w:t>Kapselindhold</w:t>
      </w:r>
    </w:p>
    <w:p w:rsidR="00A00A00" w:rsidRPr="00A00A00" w:rsidRDefault="00A00A00" w:rsidP="00A00A00">
      <w:pPr>
        <w:tabs>
          <w:tab w:val="left" w:pos="851"/>
        </w:tabs>
        <w:ind w:left="851"/>
        <w:rPr>
          <w:sz w:val="24"/>
          <w:szCs w:val="24"/>
        </w:rPr>
      </w:pPr>
      <w:r w:rsidRPr="00A00A00">
        <w:rPr>
          <w:sz w:val="24"/>
          <w:szCs w:val="24"/>
        </w:rPr>
        <w:t>Polyetylenglykol 400</w:t>
      </w:r>
    </w:p>
    <w:p w:rsidR="00A00A00" w:rsidRPr="00A00A00" w:rsidRDefault="00A00A00" w:rsidP="00A00A00">
      <w:pPr>
        <w:tabs>
          <w:tab w:val="left" w:pos="851"/>
        </w:tabs>
        <w:ind w:left="851"/>
        <w:rPr>
          <w:sz w:val="24"/>
          <w:szCs w:val="24"/>
        </w:rPr>
      </w:pPr>
      <w:r w:rsidRPr="00A00A00">
        <w:rPr>
          <w:sz w:val="24"/>
          <w:szCs w:val="24"/>
        </w:rPr>
        <w:t>Polysorbat 20</w:t>
      </w:r>
    </w:p>
    <w:p w:rsidR="00A00A00" w:rsidRPr="00A00A00" w:rsidRDefault="00A00A00" w:rsidP="00A00A00">
      <w:pPr>
        <w:tabs>
          <w:tab w:val="left" w:pos="851"/>
        </w:tabs>
        <w:ind w:left="851"/>
        <w:rPr>
          <w:sz w:val="24"/>
          <w:szCs w:val="24"/>
        </w:rPr>
      </w:pPr>
      <w:r w:rsidRPr="00A00A00">
        <w:rPr>
          <w:sz w:val="24"/>
          <w:szCs w:val="24"/>
        </w:rPr>
        <w:t>Povidon</w:t>
      </w:r>
    </w:p>
    <w:p w:rsidR="00A00A00" w:rsidRPr="00A00A00" w:rsidRDefault="00A00A00" w:rsidP="00A00A00">
      <w:pPr>
        <w:tabs>
          <w:tab w:val="left" w:pos="851"/>
        </w:tabs>
        <w:ind w:left="851"/>
        <w:rPr>
          <w:sz w:val="24"/>
          <w:szCs w:val="24"/>
        </w:rPr>
      </w:pPr>
      <w:r w:rsidRPr="00A00A00">
        <w:rPr>
          <w:sz w:val="24"/>
          <w:szCs w:val="24"/>
        </w:rPr>
        <w:t>Butyleret hydroxyanisol</w:t>
      </w:r>
    </w:p>
    <w:p w:rsidR="00A00A00" w:rsidRDefault="00A00A00">
      <w:pPr>
        <w:rPr>
          <w:sz w:val="24"/>
          <w:szCs w:val="24"/>
        </w:rPr>
      </w:pPr>
      <w:r>
        <w:rPr>
          <w:sz w:val="24"/>
          <w:szCs w:val="24"/>
        </w:rPr>
        <w:br w:type="page"/>
      </w:r>
    </w:p>
    <w:p w:rsidR="00A00A00" w:rsidRPr="00A00A00" w:rsidRDefault="00A00A00" w:rsidP="00A00A00">
      <w:pPr>
        <w:tabs>
          <w:tab w:val="left" w:pos="851"/>
        </w:tabs>
        <w:ind w:left="851"/>
        <w:rPr>
          <w:sz w:val="24"/>
          <w:szCs w:val="24"/>
        </w:rPr>
      </w:pPr>
    </w:p>
    <w:p w:rsidR="00A00A00" w:rsidRPr="00A00A00" w:rsidRDefault="00A00A00" w:rsidP="00A00A00">
      <w:pPr>
        <w:tabs>
          <w:tab w:val="left" w:pos="851"/>
        </w:tabs>
        <w:ind w:left="851"/>
        <w:rPr>
          <w:sz w:val="24"/>
          <w:szCs w:val="24"/>
          <w:u w:val="single"/>
        </w:rPr>
      </w:pPr>
      <w:r w:rsidRPr="00A00A00">
        <w:rPr>
          <w:sz w:val="24"/>
          <w:szCs w:val="24"/>
          <w:u w:val="single"/>
        </w:rPr>
        <w:t>Kapselskal</w:t>
      </w:r>
    </w:p>
    <w:p w:rsidR="00A00A00" w:rsidRPr="00A00A00" w:rsidRDefault="00A00A00" w:rsidP="00A00A00">
      <w:pPr>
        <w:tabs>
          <w:tab w:val="left" w:pos="851"/>
        </w:tabs>
        <w:ind w:left="851"/>
        <w:rPr>
          <w:sz w:val="24"/>
          <w:szCs w:val="24"/>
        </w:rPr>
      </w:pPr>
      <w:r w:rsidRPr="00A00A00">
        <w:rPr>
          <w:sz w:val="24"/>
          <w:szCs w:val="24"/>
        </w:rPr>
        <w:t>Gelatine</w:t>
      </w:r>
    </w:p>
    <w:p w:rsidR="00A00A00" w:rsidRPr="00A00A00" w:rsidRDefault="00A00A00" w:rsidP="00A00A00">
      <w:pPr>
        <w:tabs>
          <w:tab w:val="left" w:pos="851"/>
        </w:tabs>
        <w:ind w:left="851"/>
        <w:rPr>
          <w:sz w:val="24"/>
          <w:szCs w:val="24"/>
        </w:rPr>
      </w:pPr>
      <w:r w:rsidRPr="00A00A00">
        <w:rPr>
          <w:sz w:val="24"/>
          <w:szCs w:val="24"/>
        </w:rPr>
        <w:t>Sorbitol-special-glycerinblanding (glycerin, sorbitol, sorbitolanhydrider (1,4-sorbitan), mannitol og vand)</w:t>
      </w:r>
    </w:p>
    <w:p w:rsidR="00A00A00" w:rsidRPr="00A00A00" w:rsidRDefault="00A00A00" w:rsidP="00A00A00">
      <w:pPr>
        <w:tabs>
          <w:tab w:val="left" w:pos="851"/>
        </w:tabs>
        <w:ind w:left="851"/>
        <w:rPr>
          <w:sz w:val="24"/>
          <w:szCs w:val="24"/>
        </w:rPr>
      </w:pPr>
      <w:r w:rsidRPr="00A00A00">
        <w:rPr>
          <w:sz w:val="24"/>
          <w:szCs w:val="24"/>
        </w:rPr>
        <w:t>Titandioxid (E171)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A00A00" w:rsidRPr="00A00A00" w:rsidRDefault="00A00A00" w:rsidP="00A00A00">
      <w:pPr>
        <w:tabs>
          <w:tab w:val="left" w:pos="851"/>
        </w:tabs>
        <w:ind w:left="851"/>
        <w:rPr>
          <w:sz w:val="24"/>
          <w:szCs w:val="24"/>
        </w:rPr>
      </w:pPr>
      <w:r w:rsidRPr="00A00A00">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89346F" w:rsidRDefault="00A00A00" w:rsidP="0089346F">
      <w:pPr>
        <w:tabs>
          <w:tab w:val="left" w:pos="851"/>
        </w:tabs>
        <w:ind w:left="851"/>
        <w:rPr>
          <w:rFonts w:eastAsia="MS Mincho" w:hAnsi="MS Mincho"/>
          <w:noProof/>
          <w:sz w:val="24"/>
          <w:szCs w:val="24"/>
        </w:rPr>
      </w:pPr>
      <w:r>
        <w:rPr>
          <w:sz w:val="24"/>
          <w:szCs w:val="24"/>
        </w:rPr>
        <w:t>2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00A00" w:rsidRPr="00A00A00" w:rsidRDefault="00A00A00" w:rsidP="00A00A00">
      <w:pPr>
        <w:tabs>
          <w:tab w:val="left" w:pos="851"/>
        </w:tabs>
        <w:ind w:left="851"/>
        <w:rPr>
          <w:sz w:val="24"/>
          <w:szCs w:val="24"/>
        </w:rPr>
      </w:pPr>
      <w:r w:rsidRPr="00A00A00">
        <w:rPr>
          <w:sz w:val="24"/>
          <w:szCs w:val="24"/>
        </w:rPr>
        <w:t xml:space="preserve">Må ikke opbevares ved temperaturer over 25 </w:t>
      </w:r>
      <w:r w:rsidRPr="00A00A00">
        <w:rPr>
          <w:sz w:val="24"/>
          <w:szCs w:val="24"/>
          <w:lang w:val="nb-NO"/>
        </w:rPr>
        <w:t>°C</w:t>
      </w:r>
      <w:r w:rsidRPr="00A00A00">
        <w:rPr>
          <w:sz w:val="24"/>
          <w:szCs w:val="24"/>
        </w:rPr>
        <w:t xml:space="preserve">. </w:t>
      </w:r>
    </w:p>
    <w:p w:rsidR="00A00A00" w:rsidRPr="00A00A00" w:rsidRDefault="00A00A00" w:rsidP="00A00A00">
      <w:pPr>
        <w:tabs>
          <w:tab w:val="left" w:pos="851"/>
        </w:tabs>
        <w:ind w:left="851"/>
        <w:rPr>
          <w:sz w:val="24"/>
          <w:szCs w:val="24"/>
        </w:rPr>
      </w:pPr>
      <w:r w:rsidRPr="00A00A00">
        <w:rPr>
          <w:sz w:val="24"/>
          <w:szCs w:val="24"/>
        </w:rPr>
        <w:t>Hold flasken tæt tillukket.</w:t>
      </w:r>
    </w:p>
    <w:p w:rsidR="00A00A00" w:rsidRPr="00A00A00" w:rsidRDefault="00A00A00" w:rsidP="00A00A00">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00A00" w:rsidRPr="00A00A00" w:rsidRDefault="00A00A00" w:rsidP="00A00A00">
      <w:pPr>
        <w:tabs>
          <w:tab w:val="left" w:pos="851"/>
        </w:tabs>
        <w:ind w:left="851"/>
        <w:rPr>
          <w:sz w:val="24"/>
          <w:szCs w:val="24"/>
        </w:rPr>
      </w:pPr>
      <w:r w:rsidRPr="00A00A00">
        <w:rPr>
          <w:sz w:val="24"/>
          <w:szCs w:val="24"/>
        </w:rPr>
        <w:t>Flasker af polyethylen med høj tæthed og børnesikret lukning indeholdende 100 kapsler.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A00A00" w:rsidRPr="00A00A00" w:rsidRDefault="00A00A00" w:rsidP="00A00A00">
      <w:pPr>
        <w:tabs>
          <w:tab w:val="left" w:pos="851"/>
        </w:tabs>
        <w:ind w:left="851"/>
        <w:rPr>
          <w:sz w:val="24"/>
          <w:szCs w:val="24"/>
        </w:rPr>
      </w:pPr>
      <w:r w:rsidRPr="00A00A00">
        <w:rPr>
          <w:sz w:val="24"/>
          <w:szCs w:val="24"/>
        </w:rPr>
        <w:t>Ingen særlige forholdsregler ved bortskaffelse.</w:t>
      </w:r>
    </w:p>
    <w:p w:rsidR="00A00A00" w:rsidRPr="00A00A00" w:rsidRDefault="00A00A00" w:rsidP="00A00A00">
      <w:pPr>
        <w:tabs>
          <w:tab w:val="left" w:pos="851"/>
        </w:tabs>
        <w:ind w:left="851"/>
        <w:rPr>
          <w:sz w:val="24"/>
          <w:szCs w:val="24"/>
        </w:rPr>
      </w:pPr>
    </w:p>
    <w:p w:rsidR="00A00A00" w:rsidRPr="00A00A00" w:rsidRDefault="00A00A00" w:rsidP="00A00A00">
      <w:pPr>
        <w:tabs>
          <w:tab w:val="left" w:pos="851"/>
        </w:tabs>
        <w:ind w:left="851"/>
        <w:rPr>
          <w:sz w:val="24"/>
          <w:szCs w:val="24"/>
        </w:rPr>
      </w:pPr>
      <w:r w:rsidRPr="00A00A00">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00A00" w:rsidRPr="00A00A00" w:rsidRDefault="00A00A00" w:rsidP="00A00A00">
      <w:pPr>
        <w:tabs>
          <w:tab w:val="left" w:pos="851"/>
        </w:tabs>
        <w:ind w:left="851"/>
        <w:rPr>
          <w:sz w:val="24"/>
          <w:szCs w:val="24"/>
          <w:lang w:val="nb-NO"/>
        </w:rPr>
      </w:pPr>
      <w:r w:rsidRPr="00A00A00">
        <w:rPr>
          <w:sz w:val="24"/>
          <w:szCs w:val="24"/>
          <w:lang w:val="nb-NO"/>
        </w:rPr>
        <w:t>Amdipharm Limited</w:t>
      </w:r>
    </w:p>
    <w:p w:rsidR="00A00A00" w:rsidRPr="00A00A00" w:rsidRDefault="00A00A00" w:rsidP="00A00A00">
      <w:pPr>
        <w:tabs>
          <w:tab w:val="left" w:pos="851"/>
        </w:tabs>
        <w:ind w:left="851"/>
        <w:rPr>
          <w:sz w:val="24"/>
          <w:szCs w:val="24"/>
          <w:lang w:val="nb-NO"/>
        </w:rPr>
      </w:pPr>
      <w:r w:rsidRPr="00A00A00">
        <w:rPr>
          <w:sz w:val="24"/>
          <w:szCs w:val="24"/>
          <w:lang w:val="nb-NO"/>
        </w:rPr>
        <w:t>Temple Chambers</w:t>
      </w:r>
    </w:p>
    <w:p w:rsidR="00A00A00" w:rsidRPr="00A00A00" w:rsidRDefault="00A00A00" w:rsidP="00A00A00">
      <w:pPr>
        <w:tabs>
          <w:tab w:val="left" w:pos="851"/>
        </w:tabs>
        <w:ind w:left="851"/>
        <w:rPr>
          <w:sz w:val="24"/>
          <w:szCs w:val="24"/>
          <w:lang w:val="nb-NO"/>
        </w:rPr>
      </w:pPr>
      <w:r w:rsidRPr="00A00A00">
        <w:rPr>
          <w:sz w:val="24"/>
          <w:szCs w:val="24"/>
          <w:lang w:val="nb-NO"/>
        </w:rPr>
        <w:t>3 Burlington Road</w:t>
      </w:r>
    </w:p>
    <w:p w:rsidR="00A00A00" w:rsidRPr="00A00A00" w:rsidRDefault="00A00A00" w:rsidP="00A00A00">
      <w:pPr>
        <w:tabs>
          <w:tab w:val="left" w:pos="851"/>
        </w:tabs>
        <w:ind w:left="851"/>
        <w:rPr>
          <w:sz w:val="24"/>
          <w:szCs w:val="24"/>
          <w:lang w:val="nb-NO"/>
        </w:rPr>
      </w:pPr>
      <w:r w:rsidRPr="00A00A00">
        <w:rPr>
          <w:sz w:val="24"/>
          <w:szCs w:val="24"/>
          <w:lang w:val="nb-NO"/>
        </w:rPr>
        <w:t>Dublin 4</w:t>
      </w:r>
    </w:p>
    <w:p w:rsidR="00A00A00" w:rsidRPr="00A00A00" w:rsidRDefault="00A00A00" w:rsidP="00A00A00">
      <w:pPr>
        <w:tabs>
          <w:tab w:val="left" w:pos="851"/>
        </w:tabs>
        <w:ind w:left="851"/>
        <w:rPr>
          <w:sz w:val="24"/>
          <w:szCs w:val="24"/>
          <w:lang w:val="nb-NO"/>
        </w:rPr>
      </w:pPr>
      <w:r w:rsidRPr="00A00A00">
        <w:rPr>
          <w:sz w:val="24"/>
          <w:szCs w:val="24"/>
          <w:lang w:val="nb-NO"/>
        </w:rPr>
        <w:t>Irland</w:t>
      </w:r>
    </w:p>
    <w:p w:rsidR="009260D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A00A00" w:rsidP="009260DE">
      <w:pPr>
        <w:tabs>
          <w:tab w:val="left" w:pos="851"/>
        </w:tabs>
        <w:ind w:left="851"/>
        <w:rPr>
          <w:sz w:val="24"/>
          <w:szCs w:val="24"/>
        </w:rPr>
      </w:pPr>
      <w:r>
        <w:rPr>
          <w:sz w:val="24"/>
          <w:szCs w:val="24"/>
        </w:rPr>
        <w:t>71905</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4D791C" w:rsidP="009260DE">
      <w:pPr>
        <w:tabs>
          <w:tab w:val="left" w:pos="851"/>
        </w:tabs>
        <w:ind w:left="851"/>
        <w:rPr>
          <w:sz w:val="24"/>
          <w:szCs w:val="24"/>
        </w:rPr>
      </w:pPr>
      <w:r>
        <w:rPr>
          <w:sz w:val="24"/>
          <w:szCs w:val="24"/>
        </w:rPr>
        <w:t>19. november 2024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A00A00"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3D0" w:rsidRDefault="009643D0">
      <w:r>
        <w:separator/>
      </w:r>
    </w:p>
  </w:endnote>
  <w:endnote w:type="continuationSeparator" w:id="0">
    <w:p w:rsidR="009643D0" w:rsidRDefault="0096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C6521">
      <w:rPr>
        <w:i/>
        <w:noProof/>
        <w:sz w:val="18"/>
        <w:szCs w:val="18"/>
      </w:rPr>
      <w:t>Bexarotene Amdipharm, bløde kapsler 75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3D0" w:rsidRDefault="009643D0">
      <w:r>
        <w:separator/>
      </w:r>
    </w:p>
  </w:footnote>
  <w:footnote w:type="continuationSeparator" w:id="0">
    <w:p w:rsidR="009643D0" w:rsidRDefault="0096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D0"/>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9011C"/>
    <w:rsid w:val="002B30AD"/>
    <w:rsid w:val="002C1EC0"/>
    <w:rsid w:val="002C2C01"/>
    <w:rsid w:val="003A29AE"/>
    <w:rsid w:val="003A32D7"/>
    <w:rsid w:val="003A6B6B"/>
    <w:rsid w:val="003B4074"/>
    <w:rsid w:val="003C769A"/>
    <w:rsid w:val="003D3A90"/>
    <w:rsid w:val="003F1838"/>
    <w:rsid w:val="004251C1"/>
    <w:rsid w:val="0045746C"/>
    <w:rsid w:val="0049104B"/>
    <w:rsid w:val="004D791C"/>
    <w:rsid w:val="004E3B12"/>
    <w:rsid w:val="00532310"/>
    <w:rsid w:val="00565F0F"/>
    <w:rsid w:val="00594A86"/>
    <w:rsid w:val="00596D86"/>
    <w:rsid w:val="005C6521"/>
    <w:rsid w:val="00637F5A"/>
    <w:rsid w:val="00641C65"/>
    <w:rsid w:val="006560B1"/>
    <w:rsid w:val="006756DD"/>
    <w:rsid w:val="006826B8"/>
    <w:rsid w:val="0071241E"/>
    <w:rsid w:val="00737275"/>
    <w:rsid w:val="00740EEC"/>
    <w:rsid w:val="0078011A"/>
    <w:rsid w:val="00782AF4"/>
    <w:rsid w:val="00790EE7"/>
    <w:rsid w:val="007B6649"/>
    <w:rsid w:val="0082576E"/>
    <w:rsid w:val="0089346F"/>
    <w:rsid w:val="00907F75"/>
    <w:rsid w:val="009260DE"/>
    <w:rsid w:val="0093258A"/>
    <w:rsid w:val="009643D0"/>
    <w:rsid w:val="009C7BA3"/>
    <w:rsid w:val="009D13F0"/>
    <w:rsid w:val="009D1F5A"/>
    <w:rsid w:val="00A00A00"/>
    <w:rsid w:val="00A10294"/>
    <w:rsid w:val="00A94CCC"/>
    <w:rsid w:val="00B003BF"/>
    <w:rsid w:val="00B373D7"/>
    <w:rsid w:val="00B55271"/>
    <w:rsid w:val="00BA692D"/>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86D7A"/>
    <w:rsid w:val="00EC0B9B"/>
    <w:rsid w:val="00ED5E9F"/>
    <w:rsid w:val="00F35043"/>
    <w:rsid w:val="00F66D4F"/>
    <w:rsid w:val="00FB6D01"/>
    <w:rsid w:val="00FF7D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4EF502-00A3-4169-92F2-9F3E02C2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A6B6B"/>
    <w:rPr>
      <w:color w:val="0563C1" w:themeColor="hyperlink"/>
      <w:u w:val="single"/>
    </w:rPr>
  </w:style>
  <w:style w:type="character" w:styleId="Ulstomtale">
    <w:name w:val="Unresolved Mention"/>
    <w:basedOn w:val="Standardskrifttypeiafsnit"/>
    <w:uiPriority w:val="99"/>
    <w:semiHidden/>
    <w:unhideWhenUsed/>
    <w:rsid w:val="003A6B6B"/>
    <w:rPr>
      <w:color w:val="605E5C"/>
      <w:shd w:val="clear" w:color="auto" w:fill="E1DFDD"/>
    </w:rPr>
  </w:style>
  <w:style w:type="paragraph" w:styleId="Brdtekst">
    <w:name w:val="Body Text"/>
    <w:basedOn w:val="Normal"/>
    <w:link w:val="BrdtekstTegn"/>
    <w:uiPriority w:val="1"/>
    <w:semiHidden/>
    <w:unhideWhenUsed/>
    <w:qFormat/>
    <w:rsid w:val="003A6B6B"/>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3A6B6B"/>
    <w:rPr>
      <w:sz w:val="22"/>
      <w:szCs w:val="22"/>
      <w:lang w:val="en-US" w:eastAsia="en-US"/>
    </w:rPr>
  </w:style>
  <w:style w:type="paragraph" w:customStyle="1" w:styleId="TableParagraph">
    <w:name w:val="Table Paragraph"/>
    <w:basedOn w:val="Normal"/>
    <w:uiPriority w:val="1"/>
    <w:qFormat/>
    <w:rsid w:val="003A6B6B"/>
    <w:pPr>
      <w:widowControl w:val="0"/>
      <w:autoSpaceDE w:val="0"/>
      <w:autoSpaceDN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063">
      <w:bodyDiv w:val="1"/>
      <w:marLeft w:val="0"/>
      <w:marRight w:val="0"/>
      <w:marTop w:val="0"/>
      <w:marBottom w:val="0"/>
      <w:divBdr>
        <w:top w:val="none" w:sz="0" w:space="0" w:color="auto"/>
        <w:left w:val="none" w:sz="0" w:space="0" w:color="auto"/>
        <w:bottom w:val="none" w:sz="0" w:space="0" w:color="auto"/>
        <w:right w:val="none" w:sz="0" w:space="0" w:color="auto"/>
      </w:divBdr>
    </w:div>
    <w:div w:id="58334714">
      <w:bodyDiv w:val="1"/>
      <w:marLeft w:val="0"/>
      <w:marRight w:val="0"/>
      <w:marTop w:val="0"/>
      <w:marBottom w:val="0"/>
      <w:divBdr>
        <w:top w:val="none" w:sz="0" w:space="0" w:color="auto"/>
        <w:left w:val="none" w:sz="0" w:space="0" w:color="auto"/>
        <w:bottom w:val="none" w:sz="0" w:space="0" w:color="auto"/>
        <w:right w:val="none" w:sz="0" w:space="0" w:color="auto"/>
      </w:divBdr>
    </w:div>
    <w:div w:id="95105820">
      <w:bodyDiv w:val="1"/>
      <w:marLeft w:val="0"/>
      <w:marRight w:val="0"/>
      <w:marTop w:val="0"/>
      <w:marBottom w:val="0"/>
      <w:divBdr>
        <w:top w:val="none" w:sz="0" w:space="0" w:color="auto"/>
        <w:left w:val="none" w:sz="0" w:space="0" w:color="auto"/>
        <w:bottom w:val="none" w:sz="0" w:space="0" w:color="auto"/>
        <w:right w:val="none" w:sz="0" w:space="0" w:color="auto"/>
      </w:divBdr>
    </w:div>
    <w:div w:id="14026933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7631846">
      <w:bodyDiv w:val="1"/>
      <w:marLeft w:val="0"/>
      <w:marRight w:val="0"/>
      <w:marTop w:val="0"/>
      <w:marBottom w:val="0"/>
      <w:divBdr>
        <w:top w:val="none" w:sz="0" w:space="0" w:color="auto"/>
        <w:left w:val="none" w:sz="0" w:space="0" w:color="auto"/>
        <w:bottom w:val="none" w:sz="0" w:space="0" w:color="auto"/>
        <w:right w:val="none" w:sz="0" w:space="0" w:color="auto"/>
      </w:divBdr>
    </w:div>
    <w:div w:id="315768893">
      <w:bodyDiv w:val="1"/>
      <w:marLeft w:val="0"/>
      <w:marRight w:val="0"/>
      <w:marTop w:val="0"/>
      <w:marBottom w:val="0"/>
      <w:divBdr>
        <w:top w:val="none" w:sz="0" w:space="0" w:color="auto"/>
        <w:left w:val="none" w:sz="0" w:space="0" w:color="auto"/>
        <w:bottom w:val="none" w:sz="0" w:space="0" w:color="auto"/>
        <w:right w:val="none" w:sz="0" w:space="0" w:color="auto"/>
      </w:divBdr>
    </w:div>
    <w:div w:id="364990269">
      <w:bodyDiv w:val="1"/>
      <w:marLeft w:val="0"/>
      <w:marRight w:val="0"/>
      <w:marTop w:val="0"/>
      <w:marBottom w:val="0"/>
      <w:divBdr>
        <w:top w:val="none" w:sz="0" w:space="0" w:color="auto"/>
        <w:left w:val="none" w:sz="0" w:space="0" w:color="auto"/>
        <w:bottom w:val="none" w:sz="0" w:space="0" w:color="auto"/>
        <w:right w:val="none" w:sz="0" w:space="0" w:color="auto"/>
      </w:divBdr>
    </w:div>
    <w:div w:id="388309211">
      <w:bodyDiv w:val="1"/>
      <w:marLeft w:val="0"/>
      <w:marRight w:val="0"/>
      <w:marTop w:val="0"/>
      <w:marBottom w:val="0"/>
      <w:divBdr>
        <w:top w:val="none" w:sz="0" w:space="0" w:color="auto"/>
        <w:left w:val="none" w:sz="0" w:space="0" w:color="auto"/>
        <w:bottom w:val="none" w:sz="0" w:space="0" w:color="auto"/>
        <w:right w:val="none" w:sz="0" w:space="0" w:color="auto"/>
      </w:divBdr>
    </w:div>
    <w:div w:id="524559055">
      <w:bodyDiv w:val="1"/>
      <w:marLeft w:val="0"/>
      <w:marRight w:val="0"/>
      <w:marTop w:val="0"/>
      <w:marBottom w:val="0"/>
      <w:divBdr>
        <w:top w:val="none" w:sz="0" w:space="0" w:color="auto"/>
        <w:left w:val="none" w:sz="0" w:space="0" w:color="auto"/>
        <w:bottom w:val="none" w:sz="0" w:space="0" w:color="auto"/>
        <w:right w:val="none" w:sz="0" w:space="0" w:color="auto"/>
      </w:divBdr>
    </w:div>
    <w:div w:id="557665003">
      <w:bodyDiv w:val="1"/>
      <w:marLeft w:val="0"/>
      <w:marRight w:val="0"/>
      <w:marTop w:val="0"/>
      <w:marBottom w:val="0"/>
      <w:divBdr>
        <w:top w:val="none" w:sz="0" w:space="0" w:color="auto"/>
        <w:left w:val="none" w:sz="0" w:space="0" w:color="auto"/>
        <w:bottom w:val="none" w:sz="0" w:space="0" w:color="auto"/>
        <w:right w:val="none" w:sz="0" w:space="0" w:color="auto"/>
      </w:divBdr>
    </w:div>
    <w:div w:id="557866858">
      <w:bodyDiv w:val="1"/>
      <w:marLeft w:val="0"/>
      <w:marRight w:val="0"/>
      <w:marTop w:val="0"/>
      <w:marBottom w:val="0"/>
      <w:divBdr>
        <w:top w:val="none" w:sz="0" w:space="0" w:color="auto"/>
        <w:left w:val="none" w:sz="0" w:space="0" w:color="auto"/>
        <w:bottom w:val="none" w:sz="0" w:space="0" w:color="auto"/>
        <w:right w:val="none" w:sz="0" w:space="0" w:color="auto"/>
      </w:divBdr>
    </w:div>
    <w:div w:id="573664718">
      <w:bodyDiv w:val="1"/>
      <w:marLeft w:val="0"/>
      <w:marRight w:val="0"/>
      <w:marTop w:val="0"/>
      <w:marBottom w:val="0"/>
      <w:divBdr>
        <w:top w:val="none" w:sz="0" w:space="0" w:color="auto"/>
        <w:left w:val="none" w:sz="0" w:space="0" w:color="auto"/>
        <w:bottom w:val="none" w:sz="0" w:space="0" w:color="auto"/>
        <w:right w:val="none" w:sz="0" w:space="0" w:color="auto"/>
      </w:divBdr>
    </w:div>
    <w:div w:id="665019206">
      <w:bodyDiv w:val="1"/>
      <w:marLeft w:val="0"/>
      <w:marRight w:val="0"/>
      <w:marTop w:val="0"/>
      <w:marBottom w:val="0"/>
      <w:divBdr>
        <w:top w:val="none" w:sz="0" w:space="0" w:color="auto"/>
        <w:left w:val="none" w:sz="0" w:space="0" w:color="auto"/>
        <w:bottom w:val="none" w:sz="0" w:space="0" w:color="auto"/>
        <w:right w:val="none" w:sz="0" w:space="0" w:color="auto"/>
      </w:divBdr>
    </w:div>
    <w:div w:id="675887090">
      <w:bodyDiv w:val="1"/>
      <w:marLeft w:val="0"/>
      <w:marRight w:val="0"/>
      <w:marTop w:val="0"/>
      <w:marBottom w:val="0"/>
      <w:divBdr>
        <w:top w:val="none" w:sz="0" w:space="0" w:color="auto"/>
        <w:left w:val="none" w:sz="0" w:space="0" w:color="auto"/>
        <w:bottom w:val="none" w:sz="0" w:space="0" w:color="auto"/>
        <w:right w:val="none" w:sz="0" w:space="0" w:color="auto"/>
      </w:divBdr>
    </w:div>
    <w:div w:id="677733621">
      <w:bodyDiv w:val="1"/>
      <w:marLeft w:val="0"/>
      <w:marRight w:val="0"/>
      <w:marTop w:val="0"/>
      <w:marBottom w:val="0"/>
      <w:divBdr>
        <w:top w:val="none" w:sz="0" w:space="0" w:color="auto"/>
        <w:left w:val="none" w:sz="0" w:space="0" w:color="auto"/>
        <w:bottom w:val="none" w:sz="0" w:space="0" w:color="auto"/>
        <w:right w:val="none" w:sz="0" w:space="0" w:color="auto"/>
      </w:divBdr>
    </w:div>
    <w:div w:id="802848393">
      <w:bodyDiv w:val="1"/>
      <w:marLeft w:val="0"/>
      <w:marRight w:val="0"/>
      <w:marTop w:val="0"/>
      <w:marBottom w:val="0"/>
      <w:divBdr>
        <w:top w:val="none" w:sz="0" w:space="0" w:color="auto"/>
        <w:left w:val="none" w:sz="0" w:space="0" w:color="auto"/>
        <w:bottom w:val="none" w:sz="0" w:space="0" w:color="auto"/>
        <w:right w:val="none" w:sz="0" w:space="0" w:color="auto"/>
      </w:divBdr>
    </w:div>
    <w:div w:id="950625571">
      <w:bodyDiv w:val="1"/>
      <w:marLeft w:val="0"/>
      <w:marRight w:val="0"/>
      <w:marTop w:val="0"/>
      <w:marBottom w:val="0"/>
      <w:divBdr>
        <w:top w:val="none" w:sz="0" w:space="0" w:color="auto"/>
        <w:left w:val="none" w:sz="0" w:space="0" w:color="auto"/>
        <w:bottom w:val="none" w:sz="0" w:space="0" w:color="auto"/>
        <w:right w:val="none" w:sz="0" w:space="0" w:color="auto"/>
      </w:divBdr>
    </w:div>
    <w:div w:id="954826645">
      <w:bodyDiv w:val="1"/>
      <w:marLeft w:val="0"/>
      <w:marRight w:val="0"/>
      <w:marTop w:val="0"/>
      <w:marBottom w:val="0"/>
      <w:divBdr>
        <w:top w:val="none" w:sz="0" w:space="0" w:color="auto"/>
        <w:left w:val="none" w:sz="0" w:space="0" w:color="auto"/>
        <w:bottom w:val="none" w:sz="0" w:space="0" w:color="auto"/>
        <w:right w:val="none" w:sz="0" w:space="0" w:color="auto"/>
      </w:divBdr>
    </w:div>
    <w:div w:id="1190682410">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1210679">
      <w:bodyDiv w:val="1"/>
      <w:marLeft w:val="0"/>
      <w:marRight w:val="0"/>
      <w:marTop w:val="0"/>
      <w:marBottom w:val="0"/>
      <w:divBdr>
        <w:top w:val="none" w:sz="0" w:space="0" w:color="auto"/>
        <w:left w:val="none" w:sz="0" w:space="0" w:color="auto"/>
        <w:bottom w:val="none" w:sz="0" w:space="0" w:color="auto"/>
        <w:right w:val="none" w:sz="0" w:space="0" w:color="auto"/>
      </w:divBdr>
    </w:div>
    <w:div w:id="1337658575">
      <w:bodyDiv w:val="1"/>
      <w:marLeft w:val="0"/>
      <w:marRight w:val="0"/>
      <w:marTop w:val="0"/>
      <w:marBottom w:val="0"/>
      <w:divBdr>
        <w:top w:val="none" w:sz="0" w:space="0" w:color="auto"/>
        <w:left w:val="none" w:sz="0" w:space="0" w:color="auto"/>
        <w:bottom w:val="none" w:sz="0" w:space="0" w:color="auto"/>
        <w:right w:val="none" w:sz="0" w:space="0" w:color="auto"/>
      </w:divBdr>
    </w:div>
    <w:div w:id="1392270908">
      <w:bodyDiv w:val="1"/>
      <w:marLeft w:val="0"/>
      <w:marRight w:val="0"/>
      <w:marTop w:val="0"/>
      <w:marBottom w:val="0"/>
      <w:divBdr>
        <w:top w:val="none" w:sz="0" w:space="0" w:color="auto"/>
        <w:left w:val="none" w:sz="0" w:space="0" w:color="auto"/>
        <w:bottom w:val="none" w:sz="0" w:space="0" w:color="auto"/>
        <w:right w:val="none" w:sz="0" w:space="0" w:color="auto"/>
      </w:divBdr>
    </w:div>
    <w:div w:id="1411197449">
      <w:bodyDiv w:val="1"/>
      <w:marLeft w:val="0"/>
      <w:marRight w:val="0"/>
      <w:marTop w:val="0"/>
      <w:marBottom w:val="0"/>
      <w:divBdr>
        <w:top w:val="none" w:sz="0" w:space="0" w:color="auto"/>
        <w:left w:val="none" w:sz="0" w:space="0" w:color="auto"/>
        <w:bottom w:val="none" w:sz="0" w:space="0" w:color="auto"/>
        <w:right w:val="none" w:sz="0" w:space="0" w:color="auto"/>
      </w:divBdr>
    </w:div>
    <w:div w:id="1420100127">
      <w:bodyDiv w:val="1"/>
      <w:marLeft w:val="0"/>
      <w:marRight w:val="0"/>
      <w:marTop w:val="0"/>
      <w:marBottom w:val="0"/>
      <w:divBdr>
        <w:top w:val="none" w:sz="0" w:space="0" w:color="auto"/>
        <w:left w:val="none" w:sz="0" w:space="0" w:color="auto"/>
        <w:bottom w:val="none" w:sz="0" w:space="0" w:color="auto"/>
        <w:right w:val="none" w:sz="0" w:space="0" w:color="auto"/>
      </w:divBdr>
    </w:div>
    <w:div w:id="1420446961">
      <w:bodyDiv w:val="1"/>
      <w:marLeft w:val="0"/>
      <w:marRight w:val="0"/>
      <w:marTop w:val="0"/>
      <w:marBottom w:val="0"/>
      <w:divBdr>
        <w:top w:val="none" w:sz="0" w:space="0" w:color="auto"/>
        <w:left w:val="none" w:sz="0" w:space="0" w:color="auto"/>
        <w:bottom w:val="none" w:sz="0" w:space="0" w:color="auto"/>
        <w:right w:val="none" w:sz="0" w:space="0" w:color="auto"/>
      </w:divBdr>
    </w:div>
    <w:div w:id="1536968774">
      <w:bodyDiv w:val="1"/>
      <w:marLeft w:val="0"/>
      <w:marRight w:val="0"/>
      <w:marTop w:val="0"/>
      <w:marBottom w:val="0"/>
      <w:divBdr>
        <w:top w:val="none" w:sz="0" w:space="0" w:color="auto"/>
        <w:left w:val="none" w:sz="0" w:space="0" w:color="auto"/>
        <w:bottom w:val="none" w:sz="0" w:space="0" w:color="auto"/>
        <w:right w:val="none" w:sz="0" w:space="0" w:color="auto"/>
      </w:divBdr>
    </w:div>
    <w:div w:id="1613977482">
      <w:bodyDiv w:val="1"/>
      <w:marLeft w:val="0"/>
      <w:marRight w:val="0"/>
      <w:marTop w:val="0"/>
      <w:marBottom w:val="0"/>
      <w:divBdr>
        <w:top w:val="none" w:sz="0" w:space="0" w:color="auto"/>
        <w:left w:val="none" w:sz="0" w:space="0" w:color="auto"/>
        <w:bottom w:val="none" w:sz="0" w:space="0" w:color="auto"/>
        <w:right w:val="none" w:sz="0" w:space="0" w:color="auto"/>
      </w:divBdr>
    </w:div>
    <w:div w:id="1658151304">
      <w:bodyDiv w:val="1"/>
      <w:marLeft w:val="0"/>
      <w:marRight w:val="0"/>
      <w:marTop w:val="0"/>
      <w:marBottom w:val="0"/>
      <w:divBdr>
        <w:top w:val="none" w:sz="0" w:space="0" w:color="auto"/>
        <w:left w:val="none" w:sz="0" w:space="0" w:color="auto"/>
        <w:bottom w:val="none" w:sz="0" w:space="0" w:color="auto"/>
        <w:right w:val="none" w:sz="0" w:space="0" w:color="auto"/>
      </w:divBdr>
    </w:div>
    <w:div w:id="1779138376">
      <w:bodyDiv w:val="1"/>
      <w:marLeft w:val="0"/>
      <w:marRight w:val="0"/>
      <w:marTop w:val="0"/>
      <w:marBottom w:val="0"/>
      <w:divBdr>
        <w:top w:val="none" w:sz="0" w:space="0" w:color="auto"/>
        <w:left w:val="none" w:sz="0" w:space="0" w:color="auto"/>
        <w:bottom w:val="none" w:sz="0" w:space="0" w:color="auto"/>
        <w:right w:val="none" w:sz="0" w:space="0" w:color="auto"/>
      </w:divBdr>
    </w:div>
    <w:div w:id="1839299524">
      <w:bodyDiv w:val="1"/>
      <w:marLeft w:val="0"/>
      <w:marRight w:val="0"/>
      <w:marTop w:val="0"/>
      <w:marBottom w:val="0"/>
      <w:divBdr>
        <w:top w:val="none" w:sz="0" w:space="0" w:color="auto"/>
        <w:left w:val="none" w:sz="0" w:space="0" w:color="auto"/>
        <w:bottom w:val="none" w:sz="0" w:space="0" w:color="auto"/>
        <w:right w:val="none" w:sz="0" w:space="0" w:color="auto"/>
      </w:divBdr>
    </w:div>
    <w:div w:id="1849320356">
      <w:bodyDiv w:val="1"/>
      <w:marLeft w:val="0"/>
      <w:marRight w:val="0"/>
      <w:marTop w:val="0"/>
      <w:marBottom w:val="0"/>
      <w:divBdr>
        <w:top w:val="none" w:sz="0" w:space="0" w:color="auto"/>
        <w:left w:val="none" w:sz="0" w:space="0" w:color="auto"/>
        <w:bottom w:val="none" w:sz="0" w:space="0" w:color="auto"/>
        <w:right w:val="none" w:sz="0" w:space="0" w:color="auto"/>
      </w:divBdr>
    </w:div>
    <w:div w:id="1852331455">
      <w:bodyDiv w:val="1"/>
      <w:marLeft w:val="0"/>
      <w:marRight w:val="0"/>
      <w:marTop w:val="0"/>
      <w:marBottom w:val="0"/>
      <w:divBdr>
        <w:top w:val="none" w:sz="0" w:space="0" w:color="auto"/>
        <w:left w:val="none" w:sz="0" w:space="0" w:color="auto"/>
        <w:bottom w:val="none" w:sz="0" w:space="0" w:color="auto"/>
        <w:right w:val="none" w:sz="0" w:space="0" w:color="auto"/>
      </w:divBdr>
    </w:div>
    <w:div w:id="1879001440">
      <w:bodyDiv w:val="1"/>
      <w:marLeft w:val="0"/>
      <w:marRight w:val="0"/>
      <w:marTop w:val="0"/>
      <w:marBottom w:val="0"/>
      <w:divBdr>
        <w:top w:val="none" w:sz="0" w:space="0" w:color="auto"/>
        <w:left w:val="none" w:sz="0" w:space="0" w:color="auto"/>
        <w:bottom w:val="none" w:sz="0" w:space="0" w:color="auto"/>
        <w:right w:val="none" w:sz="0" w:space="0" w:color="auto"/>
      </w:divBdr>
    </w:div>
    <w:div w:id="1898198740">
      <w:bodyDiv w:val="1"/>
      <w:marLeft w:val="0"/>
      <w:marRight w:val="0"/>
      <w:marTop w:val="0"/>
      <w:marBottom w:val="0"/>
      <w:divBdr>
        <w:top w:val="none" w:sz="0" w:space="0" w:color="auto"/>
        <w:left w:val="none" w:sz="0" w:space="0" w:color="auto"/>
        <w:bottom w:val="none" w:sz="0" w:space="0" w:color="auto"/>
        <w:right w:val="none" w:sz="0" w:space="0" w:color="auto"/>
      </w:divBdr>
    </w:div>
    <w:div w:id="1958633026">
      <w:bodyDiv w:val="1"/>
      <w:marLeft w:val="0"/>
      <w:marRight w:val="0"/>
      <w:marTop w:val="0"/>
      <w:marBottom w:val="0"/>
      <w:divBdr>
        <w:top w:val="none" w:sz="0" w:space="0" w:color="auto"/>
        <w:left w:val="none" w:sz="0" w:space="0" w:color="auto"/>
        <w:bottom w:val="none" w:sz="0" w:space="0" w:color="auto"/>
        <w:right w:val="none" w:sz="0" w:space="0" w:color="auto"/>
      </w:divBdr>
    </w:div>
    <w:div w:id="1987512598">
      <w:bodyDiv w:val="1"/>
      <w:marLeft w:val="0"/>
      <w:marRight w:val="0"/>
      <w:marTop w:val="0"/>
      <w:marBottom w:val="0"/>
      <w:divBdr>
        <w:top w:val="none" w:sz="0" w:space="0" w:color="auto"/>
        <w:left w:val="none" w:sz="0" w:space="0" w:color="auto"/>
        <w:bottom w:val="none" w:sz="0" w:space="0" w:color="auto"/>
        <w:right w:val="none" w:sz="0" w:space="0" w:color="auto"/>
      </w:divBdr>
    </w:div>
    <w:div w:id="1987928037">
      <w:bodyDiv w:val="1"/>
      <w:marLeft w:val="0"/>
      <w:marRight w:val="0"/>
      <w:marTop w:val="0"/>
      <w:marBottom w:val="0"/>
      <w:divBdr>
        <w:top w:val="none" w:sz="0" w:space="0" w:color="auto"/>
        <w:left w:val="none" w:sz="0" w:space="0" w:color="auto"/>
        <w:bottom w:val="none" w:sz="0" w:space="0" w:color="auto"/>
        <w:right w:val="none" w:sz="0" w:space="0" w:color="auto"/>
      </w:divBdr>
    </w:div>
    <w:div w:id="2047289335">
      <w:bodyDiv w:val="1"/>
      <w:marLeft w:val="0"/>
      <w:marRight w:val="0"/>
      <w:marTop w:val="0"/>
      <w:marBottom w:val="0"/>
      <w:divBdr>
        <w:top w:val="none" w:sz="0" w:space="0" w:color="auto"/>
        <w:left w:val="none" w:sz="0" w:space="0" w:color="auto"/>
        <w:bottom w:val="none" w:sz="0" w:space="0" w:color="auto"/>
        <w:right w:val="none" w:sz="0" w:space="0" w:color="auto"/>
      </w:divBdr>
    </w:div>
    <w:div w:id="2069300876">
      <w:bodyDiv w:val="1"/>
      <w:marLeft w:val="0"/>
      <w:marRight w:val="0"/>
      <w:marTop w:val="0"/>
      <w:marBottom w:val="0"/>
      <w:divBdr>
        <w:top w:val="none" w:sz="0" w:space="0" w:color="auto"/>
        <w:left w:val="none" w:sz="0" w:space="0" w:color="auto"/>
        <w:bottom w:val="none" w:sz="0" w:space="0" w:color="auto"/>
        <w:right w:val="none" w:sz="0" w:space="0" w:color="auto"/>
      </w:divBdr>
    </w:div>
    <w:div w:id="212087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109</TotalTime>
  <Pages>13</Pages>
  <Words>3712</Words>
  <Characters>26436</Characters>
  <Application>Microsoft Office Word</Application>
  <DocSecurity>0</DocSecurity>
  <Lines>220</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2024053434 mt</dc:description>
  <cp:lastModifiedBy>Hanne Thy Iversen</cp:lastModifiedBy>
  <cp:revision>9</cp:revision>
  <cp:lastPrinted>2024-11-19T09:39:00Z</cp:lastPrinted>
  <dcterms:created xsi:type="dcterms:W3CDTF">2024-11-14T12:06:00Z</dcterms:created>
  <dcterms:modified xsi:type="dcterms:W3CDTF">2024-11-19T09:39:00Z</dcterms:modified>
</cp:coreProperties>
</file>