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Default="009C2736" w:rsidP="00B003BF">
      <w:r>
        <w:rPr>
          <w:noProof/>
          <w:lang w:eastAsia="da-DK"/>
        </w:rPr>
        <w:drawing>
          <wp:inline distT="0" distB="0" distL="0" distR="0">
            <wp:extent cx="2466975" cy="685800"/>
            <wp:effectExtent l="0" t="0" r="9525" b="0"/>
            <wp:docPr id="2" name="Billede 2" descr="C:\Users\ALS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003BF" w:rsidRPr="00907F75" w:rsidRDefault="00B003BF" w:rsidP="00B003BF">
      <w:pPr>
        <w:pStyle w:val="Titel"/>
        <w:tabs>
          <w:tab w:val="right" w:pos="9356"/>
        </w:tabs>
        <w:jc w:val="left"/>
        <w:rPr>
          <w:b w:val="0"/>
          <w:sz w:val="23"/>
          <w:lang w:eastAsia="en-US"/>
        </w:rPr>
      </w:pPr>
      <w:r>
        <w:rPr>
          <w:b w:val="0"/>
          <w:sz w:val="23"/>
          <w:lang w:eastAsia="en-US"/>
        </w:rPr>
        <w:tab/>
      </w:r>
      <w:r w:rsidR="009C2736">
        <w:rPr>
          <w:szCs w:val="24"/>
        </w:rPr>
        <w:t>14</w:t>
      </w:r>
      <w:r w:rsidR="0012788C">
        <w:rPr>
          <w:szCs w:val="24"/>
        </w:rPr>
        <w:t xml:space="preserve">. </w:t>
      </w:r>
      <w:r w:rsidR="009C2736">
        <w:rPr>
          <w:szCs w:val="24"/>
        </w:rPr>
        <w:t>december</w:t>
      </w:r>
      <w:r w:rsidR="0012788C">
        <w:rPr>
          <w:szCs w:val="24"/>
        </w:rPr>
        <w:t xml:space="preserve"> 201</w:t>
      </w:r>
      <w:r w:rsidR="009C2736">
        <w:rPr>
          <w:szCs w:val="24"/>
        </w:rPr>
        <w:t>6</w:t>
      </w:r>
    </w:p>
    <w:p w:rsidR="00B003BF" w:rsidRDefault="00B003BF" w:rsidP="00B003BF">
      <w:pPr>
        <w:pStyle w:val="Titel"/>
        <w:tabs>
          <w:tab w:val="left" w:pos="8222"/>
        </w:tabs>
        <w:jc w:val="left"/>
        <w:rPr>
          <w:b w:val="0"/>
        </w:rPr>
      </w:pPr>
    </w:p>
    <w:p w:rsidR="00B003BF" w:rsidRDefault="00B003BF" w:rsidP="00B003BF">
      <w:pPr>
        <w:pStyle w:val="Titel"/>
        <w:jc w:val="left"/>
        <w:rPr>
          <w:b w:val="0"/>
        </w:rPr>
      </w:pPr>
    </w:p>
    <w:p w:rsidR="00B003BF" w:rsidRDefault="00B003BF" w:rsidP="00B003BF">
      <w:pPr>
        <w:pStyle w:val="Titel"/>
        <w:jc w:val="left"/>
        <w:rPr>
          <w:b w:val="0"/>
        </w:rPr>
      </w:pPr>
    </w:p>
    <w:p w:rsidR="00B003BF" w:rsidRPr="00EC0B9B" w:rsidRDefault="00B003BF" w:rsidP="00B003BF">
      <w:pPr>
        <w:jc w:val="center"/>
        <w:rPr>
          <w:b/>
          <w:sz w:val="24"/>
          <w:szCs w:val="24"/>
        </w:rPr>
      </w:pPr>
      <w:r w:rsidRPr="00EC0B9B">
        <w:rPr>
          <w:b/>
          <w:sz w:val="24"/>
          <w:szCs w:val="24"/>
        </w:rPr>
        <w:t>PRODUKTRESUMÉ</w:t>
      </w:r>
    </w:p>
    <w:p w:rsidR="00B003BF" w:rsidRPr="00EC0B9B" w:rsidRDefault="00B003BF" w:rsidP="00B003BF">
      <w:pPr>
        <w:jc w:val="center"/>
        <w:rPr>
          <w:b/>
          <w:sz w:val="24"/>
          <w:szCs w:val="24"/>
        </w:rPr>
      </w:pPr>
    </w:p>
    <w:p w:rsidR="00B003BF" w:rsidRPr="00EC0B9B" w:rsidRDefault="00B003BF" w:rsidP="00B003BF">
      <w:pPr>
        <w:jc w:val="center"/>
        <w:rPr>
          <w:b/>
          <w:sz w:val="24"/>
          <w:szCs w:val="24"/>
        </w:rPr>
      </w:pPr>
      <w:r w:rsidRPr="00EC0B9B">
        <w:rPr>
          <w:b/>
          <w:sz w:val="24"/>
          <w:szCs w:val="24"/>
        </w:rPr>
        <w:t>for</w:t>
      </w:r>
    </w:p>
    <w:p w:rsidR="00B003BF" w:rsidRPr="00EC0B9B" w:rsidRDefault="00B003BF" w:rsidP="00B003BF">
      <w:pPr>
        <w:jc w:val="center"/>
        <w:rPr>
          <w:b/>
          <w:sz w:val="24"/>
          <w:szCs w:val="24"/>
        </w:rPr>
      </w:pPr>
    </w:p>
    <w:p w:rsidR="00B003BF" w:rsidRPr="0049104B" w:rsidRDefault="009734F0" w:rsidP="00B003BF">
      <w:pPr>
        <w:jc w:val="center"/>
        <w:rPr>
          <w:b/>
          <w:sz w:val="24"/>
          <w:szCs w:val="24"/>
        </w:rPr>
      </w:pPr>
      <w:proofErr w:type="spellStart"/>
      <w:r>
        <w:rPr>
          <w:b/>
          <w:sz w:val="24"/>
          <w:szCs w:val="24"/>
        </w:rPr>
        <w:t>Bicalutamid</w:t>
      </w:r>
      <w:proofErr w:type="spellEnd"/>
      <w:r>
        <w:rPr>
          <w:b/>
          <w:sz w:val="24"/>
          <w:szCs w:val="24"/>
        </w:rPr>
        <w:t xml:space="preserve"> ”Fair-Med”, filmovertrukne tabletter 150 mg</w:t>
      </w:r>
    </w:p>
    <w:p w:rsidR="00B003BF" w:rsidRPr="00EC0B9B" w:rsidRDefault="00B003BF" w:rsidP="00B003BF">
      <w:pPr>
        <w:jc w:val="both"/>
        <w:rPr>
          <w:sz w:val="24"/>
          <w:szCs w:val="24"/>
        </w:rPr>
      </w:pPr>
    </w:p>
    <w:p w:rsidR="00B003BF" w:rsidRPr="004D46BC" w:rsidRDefault="00B003BF" w:rsidP="004D46BC">
      <w:pPr>
        <w:ind w:left="851" w:hanging="851"/>
        <w:jc w:val="both"/>
        <w:rPr>
          <w:sz w:val="24"/>
          <w:szCs w:val="24"/>
        </w:rPr>
      </w:pPr>
    </w:p>
    <w:p w:rsidR="00B003BF" w:rsidRPr="004D46BC" w:rsidRDefault="00B003BF" w:rsidP="004D46BC">
      <w:pPr>
        <w:ind w:left="851" w:hanging="851"/>
        <w:rPr>
          <w:b/>
          <w:sz w:val="24"/>
          <w:szCs w:val="24"/>
        </w:rPr>
      </w:pPr>
      <w:r w:rsidRPr="004D46BC">
        <w:rPr>
          <w:b/>
          <w:sz w:val="24"/>
          <w:szCs w:val="24"/>
        </w:rPr>
        <w:t>0.</w:t>
      </w:r>
      <w:r w:rsidRPr="004D46BC">
        <w:rPr>
          <w:b/>
          <w:sz w:val="24"/>
          <w:szCs w:val="24"/>
        </w:rPr>
        <w:tab/>
        <w:t>D.SP.NR.</w:t>
      </w:r>
    </w:p>
    <w:p w:rsidR="00B003BF" w:rsidRPr="004D46BC" w:rsidRDefault="00B003BF" w:rsidP="004D46BC">
      <w:pPr>
        <w:ind w:left="851" w:hanging="851"/>
        <w:rPr>
          <w:sz w:val="24"/>
          <w:szCs w:val="24"/>
        </w:rPr>
      </w:pPr>
      <w:r w:rsidRPr="004D46BC">
        <w:rPr>
          <w:sz w:val="24"/>
          <w:szCs w:val="24"/>
        </w:rPr>
        <w:tab/>
      </w:r>
      <w:r w:rsidR="009734F0" w:rsidRPr="004D46BC">
        <w:rPr>
          <w:sz w:val="24"/>
          <w:szCs w:val="24"/>
        </w:rPr>
        <w:t>27860</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1.</w:t>
      </w:r>
      <w:r w:rsidRPr="004D46BC">
        <w:rPr>
          <w:b/>
          <w:sz w:val="24"/>
          <w:szCs w:val="24"/>
        </w:rPr>
        <w:tab/>
        <w:t>LÆGEMIDLETS NAVN</w:t>
      </w:r>
    </w:p>
    <w:p w:rsidR="00B003BF" w:rsidRPr="004D46BC" w:rsidRDefault="00B003BF" w:rsidP="004D46BC">
      <w:pPr>
        <w:ind w:left="851" w:hanging="851"/>
        <w:rPr>
          <w:sz w:val="24"/>
          <w:szCs w:val="24"/>
        </w:rPr>
      </w:pPr>
      <w:r w:rsidRPr="004D46BC">
        <w:rPr>
          <w:sz w:val="24"/>
          <w:szCs w:val="24"/>
        </w:rPr>
        <w:tab/>
      </w:r>
      <w:proofErr w:type="spellStart"/>
      <w:r w:rsidR="009734F0" w:rsidRPr="004D46BC">
        <w:rPr>
          <w:sz w:val="24"/>
          <w:szCs w:val="24"/>
        </w:rPr>
        <w:t>Bicalutamid</w:t>
      </w:r>
      <w:proofErr w:type="spellEnd"/>
      <w:r w:rsidR="009734F0" w:rsidRPr="004D46BC">
        <w:rPr>
          <w:sz w:val="24"/>
          <w:szCs w:val="24"/>
        </w:rPr>
        <w:t xml:space="preserve"> ”Fair-Med”</w:t>
      </w:r>
    </w:p>
    <w:p w:rsidR="00B003BF" w:rsidRPr="004D46BC" w:rsidRDefault="00B003BF" w:rsidP="004D46BC">
      <w:pPr>
        <w:ind w:left="851" w:hanging="851"/>
        <w:rPr>
          <w:sz w:val="24"/>
          <w:szCs w:val="24"/>
        </w:rPr>
      </w:pPr>
      <w:r w:rsidRPr="004D46BC">
        <w:rPr>
          <w:sz w:val="24"/>
          <w:szCs w:val="24"/>
        </w:rPr>
        <w:tab/>
      </w:r>
    </w:p>
    <w:p w:rsidR="00B003BF" w:rsidRPr="004D46BC" w:rsidRDefault="00B003BF" w:rsidP="004D46BC">
      <w:pPr>
        <w:ind w:left="851" w:hanging="851"/>
        <w:rPr>
          <w:b/>
          <w:sz w:val="24"/>
          <w:szCs w:val="24"/>
        </w:rPr>
      </w:pPr>
      <w:r w:rsidRPr="004D46BC">
        <w:rPr>
          <w:b/>
          <w:sz w:val="24"/>
          <w:szCs w:val="24"/>
        </w:rPr>
        <w:t>2.</w:t>
      </w:r>
      <w:r w:rsidRPr="004D46BC">
        <w:rPr>
          <w:b/>
          <w:sz w:val="24"/>
          <w:szCs w:val="24"/>
        </w:rPr>
        <w:tab/>
        <w:t>KVALITATIV OG KVANTITATIV SAMMENSÆTNING</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 xml:space="preserve">Hver tablet indeholder 150 mg </w:t>
      </w:r>
      <w:proofErr w:type="spellStart"/>
      <w:r w:rsidR="00F7673B" w:rsidRPr="004D46BC">
        <w:rPr>
          <w:sz w:val="24"/>
          <w:szCs w:val="24"/>
        </w:rPr>
        <w:t>bicalutamid</w:t>
      </w:r>
      <w:proofErr w:type="spellEnd"/>
      <w:r w:rsidR="00F7673B" w:rsidRPr="004D46BC">
        <w:rPr>
          <w:sz w:val="24"/>
          <w:szCs w:val="24"/>
        </w:rPr>
        <w:t xml:space="preserve">. </w:t>
      </w:r>
    </w:p>
    <w:p w:rsidR="00F7673B" w:rsidRPr="004D46BC" w:rsidRDefault="00F7673B" w:rsidP="004D46BC">
      <w:pPr>
        <w:ind w:left="851" w:hanging="851"/>
        <w:rPr>
          <w:sz w:val="24"/>
          <w:szCs w:val="24"/>
        </w:rPr>
      </w:pPr>
    </w:p>
    <w:p w:rsidR="00F7673B" w:rsidRPr="004D46BC" w:rsidRDefault="00F7673B" w:rsidP="004D46BC">
      <w:pPr>
        <w:ind w:left="851"/>
        <w:rPr>
          <w:sz w:val="24"/>
          <w:szCs w:val="24"/>
        </w:rPr>
      </w:pPr>
      <w:r w:rsidRPr="004D46BC">
        <w:rPr>
          <w:color w:val="000000"/>
          <w:sz w:val="24"/>
          <w:szCs w:val="24"/>
        </w:rPr>
        <w:t xml:space="preserve">Hjælpestof(fer), som behandleren skal være opmærksom på: En tablet indeholder 188,0 mg </w:t>
      </w:r>
      <w:proofErr w:type="spellStart"/>
      <w:r w:rsidRPr="004D46BC">
        <w:rPr>
          <w:color w:val="000000"/>
          <w:sz w:val="24"/>
          <w:szCs w:val="24"/>
        </w:rPr>
        <w:t>lactosemonohydrat</w:t>
      </w:r>
      <w:proofErr w:type="spellEnd"/>
      <w:r w:rsidRPr="004D46BC">
        <w:rPr>
          <w:color w:val="000000"/>
          <w:sz w:val="24"/>
          <w:szCs w:val="24"/>
        </w:rPr>
        <w:t>.</w:t>
      </w:r>
    </w:p>
    <w:p w:rsidR="00F7673B" w:rsidRPr="004D46BC" w:rsidRDefault="00F7673B" w:rsidP="004D46BC">
      <w:pPr>
        <w:ind w:left="851" w:hanging="851"/>
        <w:rPr>
          <w:sz w:val="24"/>
          <w:szCs w:val="24"/>
        </w:rPr>
      </w:pPr>
    </w:p>
    <w:p w:rsidR="00F7673B" w:rsidRPr="004D46BC" w:rsidRDefault="00F7673B" w:rsidP="004D46BC">
      <w:pPr>
        <w:ind w:left="851"/>
        <w:rPr>
          <w:sz w:val="24"/>
          <w:szCs w:val="24"/>
        </w:rPr>
      </w:pPr>
      <w:r w:rsidRPr="004D46BC">
        <w:rPr>
          <w:sz w:val="24"/>
          <w:szCs w:val="24"/>
        </w:rPr>
        <w:t>Alle hjælpestoffer er anført under pkt. 6.1.</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3.</w:t>
      </w:r>
      <w:r w:rsidRPr="004D46BC">
        <w:rPr>
          <w:b/>
          <w:sz w:val="24"/>
          <w:szCs w:val="24"/>
        </w:rPr>
        <w:tab/>
        <w:t>LÆGEMIDDELFORM</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Filmovertrukne tabletter.</w:t>
      </w:r>
    </w:p>
    <w:p w:rsidR="00F7673B" w:rsidRPr="004D46BC" w:rsidRDefault="00F7673B" w:rsidP="004D46BC">
      <w:pPr>
        <w:ind w:left="851"/>
        <w:rPr>
          <w:sz w:val="24"/>
          <w:szCs w:val="24"/>
        </w:rPr>
      </w:pPr>
      <w:r w:rsidRPr="004D46BC">
        <w:rPr>
          <w:sz w:val="24"/>
          <w:szCs w:val="24"/>
        </w:rPr>
        <w:t xml:space="preserve">Hvide, runde, </w:t>
      </w:r>
      <w:proofErr w:type="spellStart"/>
      <w:r w:rsidRPr="004D46BC">
        <w:rPr>
          <w:sz w:val="24"/>
          <w:szCs w:val="24"/>
        </w:rPr>
        <w:t>bikonvekse</w:t>
      </w:r>
      <w:proofErr w:type="spellEnd"/>
      <w:r w:rsidRPr="004D46BC">
        <w:rPr>
          <w:sz w:val="24"/>
          <w:szCs w:val="24"/>
        </w:rPr>
        <w:t>, filmovertrukne tabletter med delekærv.</w:t>
      </w:r>
    </w:p>
    <w:p w:rsidR="00B003BF" w:rsidRPr="004D46BC" w:rsidRDefault="00F7673B" w:rsidP="004D46BC">
      <w:pPr>
        <w:ind w:left="851"/>
        <w:rPr>
          <w:sz w:val="24"/>
          <w:szCs w:val="24"/>
        </w:rPr>
      </w:pPr>
      <w:r w:rsidRPr="004D46BC">
        <w:rPr>
          <w:sz w:val="24"/>
          <w:szCs w:val="24"/>
        </w:rPr>
        <w:t>Delekærven er kun for at kunne dele tabletten, så den er nemmere at sluge, ikke for at kunne dosere halve tabletter.</w:t>
      </w:r>
    </w:p>
    <w:p w:rsidR="00B003BF" w:rsidRPr="004D46BC" w:rsidRDefault="00B003BF" w:rsidP="004D46BC">
      <w:pPr>
        <w:ind w:left="851" w:hanging="851"/>
        <w:rPr>
          <w:sz w:val="24"/>
          <w:szCs w:val="24"/>
        </w:rPr>
      </w:pP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4.</w:t>
      </w:r>
      <w:r w:rsidRPr="004D46BC">
        <w:rPr>
          <w:b/>
          <w:sz w:val="24"/>
          <w:szCs w:val="24"/>
        </w:rPr>
        <w:tab/>
        <w:t>KLINISKE OPLYSNINGER</w:t>
      </w:r>
    </w:p>
    <w:p w:rsidR="00B003BF" w:rsidRPr="004D46BC" w:rsidRDefault="00B003BF" w:rsidP="004D46BC">
      <w:pPr>
        <w:ind w:left="851" w:hanging="851"/>
        <w:rPr>
          <w:b/>
          <w:sz w:val="24"/>
          <w:szCs w:val="24"/>
        </w:rPr>
      </w:pPr>
    </w:p>
    <w:p w:rsidR="00B003BF" w:rsidRPr="004D46BC" w:rsidRDefault="00B003BF" w:rsidP="004D46BC">
      <w:pPr>
        <w:ind w:left="851" w:hanging="851"/>
        <w:rPr>
          <w:b/>
          <w:sz w:val="24"/>
          <w:szCs w:val="24"/>
          <w:u w:val="single"/>
        </w:rPr>
      </w:pPr>
      <w:r w:rsidRPr="004D46BC">
        <w:rPr>
          <w:b/>
          <w:sz w:val="24"/>
          <w:szCs w:val="24"/>
        </w:rPr>
        <w:t>4.1</w:t>
      </w:r>
      <w:r w:rsidRPr="004D46BC">
        <w:rPr>
          <w:b/>
          <w:sz w:val="24"/>
          <w:szCs w:val="24"/>
        </w:rPr>
        <w:tab/>
        <w:t>Terapeutiske indikationer</w:t>
      </w:r>
    </w:p>
    <w:p w:rsidR="00B003BF" w:rsidRPr="004D46BC" w:rsidRDefault="00B003BF" w:rsidP="004D46BC">
      <w:pPr>
        <w:ind w:left="851" w:hanging="851"/>
        <w:rPr>
          <w:sz w:val="24"/>
          <w:szCs w:val="24"/>
        </w:rPr>
      </w:pPr>
      <w:r w:rsidRPr="004D46BC">
        <w:rPr>
          <w:sz w:val="24"/>
          <w:szCs w:val="24"/>
        </w:rPr>
        <w:tab/>
      </w:r>
      <w:proofErr w:type="spellStart"/>
      <w:r w:rsidR="00F7673B" w:rsidRPr="004D46BC">
        <w:rPr>
          <w:sz w:val="24"/>
          <w:szCs w:val="24"/>
        </w:rPr>
        <w:t>Bicalutamid</w:t>
      </w:r>
      <w:proofErr w:type="spellEnd"/>
      <w:r w:rsidR="00F7673B" w:rsidRPr="004D46BC">
        <w:rPr>
          <w:sz w:val="24"/>
          <w:szCs w:val="24"/>
        </w:rPr>
        <w:t xml:space="preserve"> ”Fair-Med” 150 mg er indiceret enten alene eller som </w:t>
      </w:r>
      <w:proofErr w:type="spellStart"/>
      <w:r w:rsidR="00F7673B" w:rsidRPr="004D46BC">
        <w:rPr>
          <w:sz w:val="24"/>
          <w:szCs w:val="24"/>
        </w:rPr>
        <w:t>adjuverende</w:t>
      </w:r>
      <w:proofErr w:type="spellEnd"/>
      <w:r w:rsidR="00F7673B" w:rsidRPr="004D46BC">
        <w:rPr>
          <w:sz w:val="24"/>
          <w:szCs w:val="24"/>
        </w:rPr>
        <w:t xml:space="preserve"> behandling sammen med radikal </w:t>
      </w:r>
      <w:proofErr w:type="spellStart"/>
      <w:r w:rsidR="00F7673B" w:rsidRPr="004D46BC">
        <w:rPr>
          <w:sz w:val="24"/>
          <w:szCs w:val="24"/>
        </w:rPr>
        <w:t>prostatektomi</w:t>
      </w:r>
      <w:proofErr w:type="spellEnd"/>
      <w:r w:rsidR="00F7673B" w:rsidRPr="004D46BC">
        <w:rPr>
          <w:sz w:val="24"/>
          <w:szCs w:val="24"/>
        </w:rPr>
        <w:t xml:space="preserve"> eller strålebehandling til patienter med lokalt fremskreden prostatacancer i høj risiko for sygdomsprogression (se pkt. 5.1).</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4.2</w:t>
      </w:r>
      <w:r w:rsidRPr="004D46BC">
        <w:rPr>
          <w:b/>
          <w:sz w:val="24"/>
          <w:szCs w:val="24"/>
        </w:rPr>
        <w:tab/>
        <w:t>Dosering og indgivelsesmåde</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 xml:space="preserve">Voksne mænd, inklusive ældre: Dosis er en 150 mg tablet, der skal tages peroralt en gang dagligt. </w:t>
      </w:r>
    </w:p>
    <w:p w:rsidR="00F7673B" w:rsidRPr="004D46BC" w:rsidRDefault="00F7673B" w:rsidP="004D46BC">
      <w:pPr>
        <w:ind w:left="851"/>
        <w:rPr>
          <w:sz w:val="24"/>
          <w:szCs w:val="24"/>
        </w:rPr>
      </w:pPr>
      <w:r w:rsidRPr="004D46BC">
        <w:rPr>
          <w:sz w:val="24"/>
          <w:szCs w:val="24"/>
        </w:rPr>
        <w:t>Tabletterne skal synkes hele med væske.</w:t>
      </w:r>
    </w:p>
    <w:p w:rsidR="00F7673B" w:rsidRPr="004D46BC" w:rsidRDefault="00F7673B" w:rsidP="004D46BC">
      <w:pPr>
        <w:ind w:left="851"/>
        <w:rPr>
          <w:sz w:val="24"/>
          <w:szCs w:val="24"/>
        </w:rPr>
      </w:pPr>
      <w:proofErr w:type="spellStart"/>
      <w:r w:rsidRPr="004D46BC">
        <w:rPr>
          <w:sz w:val="24"/>
          <w:szCs w:val="24"/>
        </w:rPr>
        <w:t>Bicalutamid</w:t>
      </w:r>
      <w:proofErr w:type="spellEnd"/>
      <w:r w:rsidRPr="004D46BC">
        <w:rPr>
          <w:sz w:val="24"/>
          <w:szCs w:val="24"/>
        </w:rPr>
        <w:t xml:space="preserve"> ”Fair-Med” 150 mg skal tages kontinuerligt i mindst 2 år, eller indtil sygdomsprogression.</w:t>
      </w:r>
    </w:p>
    <w:p w:rsidR="003405F0" w:rsidRDefault="003405F0" w:rsidP="004D46BC">
      <w:pPr>
        <w:ind w:left="851"/>
        <w:rPr>
          <w:sz w:val="24"/>
          <w:szCs w:val="24"/>
        </w:rPr>
      </w:pPr>
    </w:p>
    <w:p w:rsidR="00F7673B" w:rsidRPr="004D46BC" w:rsidRDefault="00F7673B" w:rsidP="004D46BC">
      <w:pPr>
        <w:ind w:left="851"/>
        <w:rPr>
          <w:sz w:val="24"/>
          <w:szCs w:val="24"/>
        </w:rPr>
      </w:pPr>
      <w:r w:rsidRPr="004D46BC">
        <w:rPr>
          <w:sz w:val="24"/>
          <w:szCs w:val="24"/>
        </w:rPr>
        <w:t xml:space="preserve">Børn og unge: </w:t>
      </w:r>
      <w:proofErr w:type="spellStart"/>
      <w:r w:rsidRPr="004D46BC">
        <w:rPr>
          <w:sz w:val="24"/>
          <w:szCs w:val="24"/>
        </w:rPr>
        <w:t>Bicalutamid</w:t>
      </w:r>
      <w:proofErr w:type="spellEnd"/>
      <w:r w:rsidRPr="004D46BC">
        <w:rPr>
          <w:sz w:val="24"/>
          <w:szCs w:val="24"/>
        </w:rPr>
        <w:t xml:space="preserve"> ”Fair-Med” er kontraindiceret til børn og unge.</w:t>
      </w:r>
    </w:p>
    <w:p w:rsidR="003405F0" w:rsidRDefault="003405F0" w:rsidP="004D46BC">
      <w:pPr>
        <w:ind w:left="851"/>
        <w:rPr>
          <w:sz w:val="24"/>
          <w:szCs w:val="24"/>
        </w:rPr>
      </w:pPr>
    </w:p>
    <w:p w:rsidR="00F7673B" w:rsidRPr="004D46BC" w:rsidRDefault="00F7673B" w:rsidP="004D46BC">
      <w:pPr>
        <w:ind w:left="851"/>
        <w:rPr>
          <w:sz w:val="24"/>
          <w:szCs w:val="24"/>
        </w:rPr>
      </w:pPr>
      <w:r w:rsidRPr="004D46BC">
        <w:rPr>
          <w:sz w:val="24"/>
          <w:szCs w:val="24"/>
        </w:rPr>
        <w:t>Nyreinsufficiens: Dosisjustering er ikke nødvendig for patienter med nyreinsufficiens.</w:t>
      </w:r>
      <w:r w:rsidRPr="004D46BC">
        <w:rPr>
          <w:i/>
          <w:sz w:val="24"/>
          <w:szCs w:val="24"/>
        </w:rPr>
        <w:t xml:space="preserve"> </w:t>
      </w:r>
      <w:r w:rsidRPr="004D46BC">
        <w:rPr>
          <w:sz w:val="24"/>
          <w:szCs w:val="24"/>
        </w:rPr>
        <w:t xml:space="preserve">Der er ingen erfaringer med anvendelse af </w:t>
      </w:r>
      <w:proofErr w:type="spellStart"/>
      <w:r w:rsidRPr="004D46BC">
        <w:rPr>
          <w:sz w:val="24"/>
          <w:szCs w:val="24"/>
        </w:rPr>
        <w:t>bicalutamid</w:t>
      </w:r>
      <w:proofErr w:type="spellEnd"/>
      <w:r w:rsidRPr="004D46BC">
        <w:rPr>
          <w:sz w:val="24"/>
          <w:szCs w:val="24"/>
        </w:rPr>
        <w:t xml:space="preserve"> til patienter med alvorligt nedsat nyrefunktion (</w:t>
      </w:r>
      <w:proofErr w:type="spellStart"/>
      <w:r w:rsidRPr="004D46BC">
        <w:rPr>
          <w:sz w:val="24"/>
          <w:szCs w:val="24"/>
        </w:rPr>
        <w:t>creatininclearance</w:t>
      </w:r>
      <w:proofErr w:type="spellEnd"/>
      <w:r w:rsidRPr="004D46BC">
        <w:rPr>
          <w:sz w:val="24"/>
          <w:szCs w:val="24"/>
        </w:rPr>
        <w:t xml:space="preserve"> </w:t>
      </w:r>
      <w:proofErr w:type="gramStart"/>
      <w:r w:rsidRPr="004D46BC">
        <w:rPr>
          <w:sz w:val="24"/>
          <w:szCs w:val="24"/>
        </w:rPr>
        <w:t>&lt; 30</w:t>
      </w:r>
      <w:proofErr w:type="gramEnd"/>
      <w:r w:rsidRPr="004D46BC">
        <w:rPr>
          <w:sz w:val="24"/>
          <w:szCs w:val="24"/>
        </w:rPr>
        <w:t xml:space="preserve"> ml/min) (se pkt. 4.4).</w:t>
      </w:r>
    </w:p>
    <w:p w:rsidR="003405F0" w:rsidRDefault="003405F0" w:rsidP="004D46BC">
      <w:pPr>
        <w:ind w:left="851"/>
        <w:rPr>
          <w:sz w:val="24"/>
          <w:szCs w:val="24"/>
        </w:rPr>
      </w:pPr>
    </w:p>
    <w:p w:rsidR="00F7673B" w:rsidRPr="004D46BC" w:rsidRDefault="00F7673B" w:rsidP="004D46BC">
      <w:pPr>
        <w:ind w:left="851"/>
        <w:rPr>
          <w:sz w:val="24"/>
          <w:szCs w:val="24"/>
        </w:rPr>
      </w:pPr>
      <w:r w:rsidRPr="004D46BC">
        <w:rPr>
          <w:sz w:val="24"/>
          <w:szCs w:val="24"/>
        </w:rPr>
        <w:t>Leverinsufficiens: Dosisjustering er ikke nødvendig for patienter med nedsat leverfunktion. Der kan forekomme øget akkumulation af læg</w:t>
      </w:r>
      <w:r w:rsidR="003405F0">
        <w:rPr>
          <w:sz w:val="24"/>
          <w:szCs w:val="24"/>
        </w:rPr>
        <w:t>e</w:t>
      </w:r>
      <w:r w:rsidRPr="004D46BC">
        <w:rPr>
          <w:sz w:val="24"/>
          <w:szCs w:val="24"/>
        </w:rPr>
        <w:t>midlet hos patienter med moderat til alvorligt nedsat leverfunktion (se pkt. 4.4).</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4.3</w:t>
      </w:r>
      <w:r w:rsidRPr="004D46BC">
        <w:rPr>
          <w:b/>
          <w:sz w:val="24"/>
          <w:szCs w:val="24"/>
        </w:rPr>
        <w:tab/>
        <w:t>Kontraindikationer</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Overfølsomhed over for det aktive stof eller over for et eller flere af hjælpestofferne anført i punkt 6.1.</w:t>
      </w:r>
    </w:p>
    <w:p w:rsidR="00F7673B" w:rsidRPr="004D46BC" w:rsidRDefault="00F7673B" w:rsidP="004D46BC">
      <w:pPr>
        <w:ind w:left="851"/>
        <w:rPr>
          <w:sz w:val="24"/>
          <w:szCs w:val="24"/>
        </w:rPr>
      </w:pPr>
      <w:proofErr w:type="spellStart"/>
      <w:r w:rsidRPr="004D46BC">
        <w:rPr>
          <w:sz w:val="24"/>
          <w:szCs w:val="24"/>
        </w:rPr>
        <w:t>Bicalutamid</w:t>
      </w:r>
      <w:proofErr w:type="spellEnd"/>
      <w:r w:rsidRPr="004D46BC">
        <w:rPr>
          <w:sz w:val="24"/>
          <w:szCs w:val="24"/>
        </w:rPr>
        <w:t xml:space="preserve"> ”Fair-Med” er kontraindiceret til kvinder, børn og unge (se pkt. 4.6).</w:t>
      </w:r>
    </w:p>
    <w:p w:rsidR="00F7673B" w:rsidRPr="004D46BC" w:rsidRDefault="00F7673B" w:rsidP="004D46BC">
      <w:pPr>
        <w:ind w:left="851"/>
        <w:rPr>
          <w:sz w:val="24"/>
          <w:szCs w:val="24"/>
        </w:rPr>
      </w:pPr>
      <w:r w:rsidRPr="004D46BC">
        <w:rPr>
          <w:sz w:val="24"/>
          <w:szCs w:val="24"/>
        </w:rPr>
        <w:t xml:space="preserve">Samtidig indgift af </w:t>
      </w:r>
      <w:proofErr w:type="spellStart"/>
      <w:r w:rsidRPr="004D46BC">
        <w:rPr>
          <w:sz w:val="24"/>
          <w:szCs w:val="24"/>
        </w:rPr>
        <w:t>terfenadin</w:t>
      </w:r>
      <w:proofErr w:type="spellEnd"/>
      <w:r w:rsidRPr="004D46BC">
        <w:rPr>
          <w:sz w:val="24"/>
          <w:szCs w:val="24"/>
        </w:rPr>
        <w:t xml:space="preserve">, </w:t>
      </w:r>
      <w:proofErr w:type="spellStart"/>
      <w:r w:rsidRPr="004D46BC">
        <w:rPr>
          <w:sz w:val="24"/>
          <w:szCs w:val="24"/>
        </w:rPr>
        <w:t>astemizol</w:t>
      </w:r>
      <w:proofErr w:type="spellEnd"/>
      <w:r w:rsidRPr="004D46BC">
        <w:rPr>
          <w:sz w:val="24"/>
          <w:szCs w:val="24"/>
        </w:rPr>
        <w:t xml:space="preserve"> eller </w:t>
      </w:r>
      <w:proofErr w:type="spellStart"/>
      <w:r w:rsidRPr="004D46BC">
        <w:rPr>
          <w:sz w:val="24"/>
          <w:szCs w:val="24"/>
        </w:rPr>
        <w:t>cisaprid</w:t>
      </w:r>
      <w:proofErr w:type="spellEnd"/>
      <w:r w:rsidRPr="004D46BC">
        <w:rPr>
          <w:sz w:val="24"/>
          <w:szCs w:val="24"/>
        </w:rPr>
        <w:t xml:space="preserve"> med </w:t>
      </w:r>
      <w:proofErr w:type="spellStart"/>
      <w:r w:rsidRPr="004D46BC">
        <w:rPr>
          <w:sz w:val="24"/>
          <w:szCs w:val="24"/>
        </w:rPr>
        <w:t>bicalutamid</w:t>
      </w:r>
      <w:proofErr w:type="spellEnd"/>
      <w:r w:rsidRPr="004D46BC">
        <w:rPr>
          <w:sz w:val="24"/>
          <w:szCs w:val="24"/>
        </w:rPr>
        <w:t xml:space="preserve"> er kontraindiceret (se pkt. 4.5).</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4.4</w:t>
      </w:r>
      <w:r w:rsidRPr="004D46BC">
        <w:rPr>
          <w:b/>
          <w:sz w:val="24"/>
          <w:szCs w:val="24"/>
        </w:rPr>
        <w:tab/>
        <w:t>Særlige advarsler og forsigtighedsregler vedrørende brugen</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Behandlingen skal indledes under direkte supervision af en speciallæge, og herefter skal patienterne kontrolleres regelmæssigt.</w:t>
      </w:r>
    </w:p>
    <w:p w:rsidR="00F7673B" w:rsidRPr="004D46BC" w:rsidRDefault="00F7673B" w:rsidP="004D46BC">
      <w:pPr>
        <w:ind w:left="851"/>
        <w:rPr>
          <w:sz w:val="24"/>
          <w:szCs w:val="24"/>
        </w:rPr>
      </w:pPr>
      <w:proofErr w:type="spellStart"/>
      <w:r w:rsidRPr="004D46BC">
        <w:rPr>
          <w:sz w:val="24"/>
          <w:szCs w:val="24"/>
        </w:rPr>
        <w:t>Bicalutamid</w:t>
      </w:r>
      <w:proofErr w:type="spellEnd"/>
      <w:r w:rsidRPr="004D46BC">
        <w:rPr>
          <w:sz w:val="24"/>
          <w:szCs w:val="24"/>
        </w:rPr>
        <w:t xml:space="preserve"> </w:t>
      </w:r>
      <w:proofErr w:type="spellStart"/>
      <w:r w:rsidRPr="004D46BC">
        <w:rPr>
          <w:sz w:val="24"/>
          <w:szCs w:val="24"/>
        </w:rPr>
        <w:t>metaboliseres</w:t>
      </w:r>
      <w:proofErr w:type="spellEnd"/>
      <w:r w:rsidRPr="004D46BC">
        <w:rPr>
          <w:sz w:val="24"/>
          <w:szCs w:val="24"/>
        </w:rPr>
        <w:t xml:space="preserve"> ekstensivt i leveren. Data tyder på, at eliminationen kan være langsommere hos personer med alvorlig leverinsufficiens, hvilket kan føre til øget akkumulation af </w:t>
      </w:r>
      <w:proofErr w:type="spellStart"/>
      <w:r w:rsidRPr="004D46BC">
        <w:rPr>
          <w:sz w:val="24"/>
          <w:szCs w:val="24"/>
        </w:rPr>
        <w:t>bicalutamid</w:t>
      </w:r>
      <w:proofErr w:type="spellEnd"/>
      <w:r w:rsidRPr="004D46BC">
        <w:rPr>
          <w:sz w:val="24"/>
          <w:szCs w:val="24"/>
        </w:rPr>
        <w:t xml:space="preserve">. </w:t>
      </w:r>
    </w:p>
    <w:p w:rsidR="00F7673B" w:rsidRPr="004D46BC" w:rsidRDefault="00F7673B" w:rsidP="004D46BC">
      <w:pPr>
        <w:ind w:left="851"/>
        <w:rPr>
          <w:sz w:val="24"/>
          <w:szCs w:val="24"/>
        </w:rPr>
      </w:pPr>
      <w:r w:rsidRPr="004D46BC">
        <w:rPr>
          <w:sz w:val="24"/>
          <w:szCs w:val="24"/>
        </w:rPr>
        <w:t xml:space="preserve">Derfor bør </w:t>
      </w:r>
      <w:proofErr w:type="spellStart"/>
      <w:r w:rsidRPr="004D46BC">
        <w:rPr>
          <w:sz w:val="24"/>
          <w:szCs w:val="24"/>
        </w:rPr>
        <w:t>bicalutamid</w:t>
      </w:r>
      <w:proofErr w:type="spellEnd"/>
      <w:r w:rsidRPr="004D46BC">
        <w:rPr>
          <w:sz w:val="24"/>
          <w:szCs w:val="24"/>
        </w:rPr>
        <w:t xml:space="preserve"> anvendes med forsigtighed til patienter med moderat til svær leverinsufficiens.</w:t>
      </w:r>
    </w:p>
    <w:p w:rsidR="00F7673B" w:rsidRPr="004D46BC" w:rsidRDefault="00F7673B" w:rsidP="004D46BC">
      <w:pPr>
        <w:ind w:left="851"/>
        <w:rPr>
          <w:sz w:val="24"/>
          <w:szCs w:val="24"/>
        </w:rPr>
      </w:pPr>
      <w:r w:rsidRPr="004D46BC">
        <w:rPr>
          <w:sz w:val="24"/>
          <w:szCs w:val="24"/>
        </w:rPr>
        <w:t xml:space="preserve">Det bør overvejes at foretage periodiske leverfunktionstest på grund af risikoen for ændringer i leveren. Størstedelen af ændringerne forventes at opstå i løbet af de første 6 måneder af </w:t>
      </w:r>
      <w:proofErr w:type="spellStart"/>
      <w:r w:rsidRPr="004D46BC">
        <w:rPr>
          <w:sz w:val="24"/>
          <w:szCs w:val="24"/>
        </w:rPr>
        <w:t>bicalutamidbehandlingen</w:t>
      </w:r>
      <w:proofErr w:type="spellEnd"/>
      <w:r w:rsidRPr="004D46BC">
        <w:rPr>
          <w:sz w:val="24"/>
          <w:szCs w:val="24"/>
        </w:rPr>
        <w:t>.</w:t>
      </w:r>
    </w:p>
    <w:p w:rsidR="00F7673B" w:rsidRPr="004D46BC" w:rsidRDefault="00F7673B" w:rsidP="004D46BC">
      <w:pPr>
        <w:ind w:left="851"/>
        <w:rPr>
          <w:sz w:val="24"/>
          <w:szCs w:val="24"/>
        </w:rPr>
      </w:pPr>
      <w:r w:rsidRPr="004D46BC">
        <w:rPr>
          <w:sz w:val="24"/>
          <w:szCs w:val="24"/>
        </w:rPr>
        <w:t xml:space="preserve">Der er i sjældne tilfælde observeret alvorlige ændringer og leversvigt under behandling med </w:t>
      </w:r>
      <w:proofErr w:type="spellStart"/>
      <w:r w:rsidRPr="004D46BC">
        <w:rPr>
          <w:sz w:val="24"/>
          <w:szCs w:val="24"/>
        </w:rPr>
        <w:t>bicalutamid</w:t>
      </w:r>
      <w:proofErr w:type="spellEnd"/>
      <w:r w:rsidRPr="004D46BC">
        <w:rPr>
          <w:sz w:val="24"/>
          <w:szCs w:val="24"/>
        </w:rPr>
        <w:t xml:space="preserve">, og der er rapporteret om fatale resultater (se pkt. 4.8). </w:t>
      </w:r>
      <w:proofErr w:type="spellStart"/>
      <w:r w:rsidRPr="004D46BC">
        <w:rPr>
          <w:sz w:val="24"/>
          <w:szCs w:val="24"/>
        </w:rPr>
        <w:t>Bicalutamidbehandling</w:t>
      </w:r>
      <w:proofErr w:type="spellEnd"/>
      <w:r w:rsidRPr="004D46BC">
        <w:rPr>
          <w:sz w:val="24"/>
          <w:szCs w:val="24"/>
        </w:rPr>
        <w:t xml:space="preserve"> bør seponeres, hvis ændringerne er alvorlige.</w:t>
      </w:r>
    </w:p>
    <w:p w:rsidR="00F7673B" w:rsidRPr="004D46BC" w:rsidRDefault="00F7673B" w:rsidP="004D46BC">
      <w:pPr>
        <w:ind w:left="851"/>
        <w:rPr>
          <w:sz w:val="24"/>
          <w:szCs w:val="24"/>
        </w:rPr>
      </w:pPr>
      <w:r w:rsidRPr="004D46BC">
        <w:rPr>
          <w:sz w:val="24"/>
          <w:szCs w:val="24"/>
        </w:rPr>
        <w:t xml:space="preserve">Da der ikke er nogen erfaring med anvendelsen af </w:t>
      </w:r>
      <w:proofErr w:type="spellStart"/>
      <w:r w:rsidRPr="004D46BC">
        <w:rPr>
          <w:sz w:val="24"/>
          <w:szCs w:val="24"/>
        </w:rPr>
        <w:t>bicalutamid</w:t>
      </w:r>
      <w:proofErr w:type="spellEnd"/>
      <w:r w:rsidRPr="004D46BC">
        <w:rPr>
          <w:sz w:val="24"/>
          <w:szCs w:val="24"/>
        </w:rPr>
        <w:t xml:space="preserve"> til patienter med alvorligt nedsat nyrefunktion (</w:t>
      </w:r>
      <w:proofErr w:type="spellStart"/>
      <w:r w:rsidRPr="004D46BC">
        <w:rPr>
          <w:sz w:val="24"/>
          <w:szCs w:val="24"/>
        </w:rPr>
        <w:t>creatininclearance</w:t>
      </w:r>
      <w:proofErr w:type="spellEnd"/>
      <w:r w:rsidRPr="004D46BC">
        <w:rPr>
          <w:sz w:val="24"/>
          <w:szCs w:val="24"/>
        </w:rPr>
        <w:t xml:space="preserve"> &lt; 30 ml/min), bør </w:t>
      </w:r>
      <w:proofErr w:type="spellStart"/>
      <w:r w:rsidRPr="004D46BC">
        <w:rPr>
          <w:sz w:val="24"/>
          <w:szCs w:val="24"/>
        </w:rPr>
        <w:t>bicalutamid</w:t>
      </w:r>
      <w:proofErr w:type="spellEnd"/>
      <w:r w:rsidRPr="004D46BC">
        <w:rPr>
          <w:sz w:val="24"/>
          <w:szCs w:val="24"/>
        </w:rPr>
        <w:t xml:space="preserve"> kun anvendes med forsigtighed til disse patienter.</w:t>
      </w:r>
    </w:p>
    <w:p w:rsidR="00F7673B" w:rsidRPr="004D46BC" w:rsidRDefault="00F7673B" w:rsidP="004D46BC">
      <w:pPr>
        <w:ind w:left="851"/>
        <w:rPr>
          <w:sz w:val="24"/>
          <w:szCs w:val="24"/>
        </w:rPr>
      </w:pPr>
      <w:r w:rsidRPr="004D46BC">
        <w:rPr>
          <w:sz w:val="24"/>
          <w:szCs w:val="24"/>
        </w:rPr>
        <w:t>Det tilrådes at kontrollere hjertefunktionen periodisk hos patienter med hjertesygdom.</w:t>
      </w:r>
    </w:p>
    <w:p w:rsidR="00F7673B" w:rsidRPr="004D46BC" w:rsidRDefault="00F7673B" w:rsidP="004D46BC">
      <w:pPr>
        <w:ind w:left="851"/>
        <w:rPr>
          <w:sz w:val="24"/>
          <w:szCs w:val="24"/>
        </w:rPr>
      </w:pPr>
      <w:r w:rsidRPr="004D46BC">
        <w:rPr>
          <w:sz w:val="24"/>
          <w:szCs w:val="24"/>
        </w:rPr>
        <w:t xml:space="preserve">For patienter, som har en objektiv progression af sygdommen sammen med forhøjet PSA, bør </w:t>
      </w:r>
      <w:proofErr w:type="spellStart"/>
      <w:r w:rsidRPr="004D46BC">
        <w:rPr>
          <w:sz w:val="24"/>
          <w:szCs w:val="24"/>
        </w:rPr>
        <w:t>seponering</w:t>
      </w:r>
      <w:proofErr w:type="spellEnd"/>
      <w:r w:rsidRPr="004D46BC">
        <w:rPr>
          <w:sz w:val="24"/>
          <w:szCs w:val="24"/>
        </w:rPr>
        <w:t xml:space="preserve"> af </w:t>
      </w:r>
      <w:proofErr w:type="spellStart"/>
      <w:r w:rsidRPr="004D46BC">
        <w:rPr>
          <w:sz w:val="24"/>
          <w:szCs w:val="24"/>
        </w:rPr>
        <w:t>bicalutamidbehandlingen</w:t>
      </w:r>
      <w:proofErr w:type="spellEnd"/>
      <w:r w:rsidRPr="004D46BC">
        <w:rPr>
          <w:sz w:val="24"/>
          <w:szCs w:val="24"/>
        </w:rPr>
        <w:t xml:space="preserve"> overvejes.</w:t>
      </w:r>
    </w:p>
    <w:p w:rsidR="00F7673B" w:rsidRPr="004D46BC" w:rsidRDefault="00F7673B" w:rsidP="004D46BC">
      <w:pPr>
        <w:ind w:left="851"/>
        <w:rPr>
          <w:sz w:val="24"/>
          <w:szCs w:val="24"/>
        </w:rPr>
      </w:pPr>
      <w:proofErr w:type="spellStart"/>
      <w:r w:rsidRPr="004D46BC">
        <w:rPr>
          <w:sz w:val="24"/>
          <w:szCs w:val="24"/>
        </w:rPr>
        <w:t>Bicalutamid</w:t>
      </w:r>
      <w:proofErr w:type="spellEnd"/>
      <w:r w:rsidRPr="004D46BC">
        <w:rPr>
          <w:sz w:val="24"/>
          <w:szCs w:val="24"/>
        </w:rPr>
        <w:t xml:space="preserve"> har vist sig at hæmme </w:t>
      </w:r>
      <w:proofErr w:type="spellStart"/>
      <w:r w:rsidRPr="004D46BC">
        <w:rPr>
          <w:sz w:val="24"/>
          <w:szCs w:val="24"/>
        </w:rPr>
        <w:t>cytokrom</w:t>
      </w:r>
      <w:proofErr w:type="spellEnd"/>
      <w:r w:rsidRPr="004D46BC">
        <w:rPr>
          <w:sz w:val="24"/>
          <w:szCs w:val="24"/>
        </w:rPr>
        <w:t xml:space="preserve"> P450 (CYP 3A4), og der bør derfor udvises forsigtighed ved samtidig administration med lægemidler, der overvejende </w:t>
      </w:r>
      <w:proofErr w:type="spellStart"/>
      <w:r w:rsidRPr="004D46BC">
        <w:rPr>
          <w:sz w:val="24"/>
          <w:szCs w:val="24"/>
        </w:rPr>
        <w:t>metaboliseres</w:t>
      </w:r>
      <w:proofErr w:type="spellEnd"/>
      <w:r w:rsidRPr="004D46BC">
        <w:rPr>
          <w:sz w:val="24"/>
          <w:szCs w:val="24"/>
        </w:rPr>
        <w:t xml:space="preserve"> af CYP 3A4 (se pkt. 4.3 og 4.5). </w:t>
      </w:r>
    </w:p>
    <w:p w:rsidR="00F7673B" w:rsidRDefault="00F7673B" w:rsidP="004D46BC">
      <w:pPr>
        <w:ind w:left="851"/>
        <w:rPr>
          <w:sz w:val="24"/>
          <w:szCs w:val="24"/>
        </w:rPr>
      </w:pPr>
      <w:r w:rsidRPr="004D46BC">
        <w:rPr>
          <w:sz w:val="24"/>
          <w:szCs w:val="24"/>
        </w:rPr>
        <w:t xml:space="preserve">Dette produkt indeholder </w:t>
      </w:r>
      <w:proofErr w:type="spellStart"/>
      <w:r w:rsidRPr="004D46BC">
        <w:rPr>
          <w:sz w:val="24"/>
          <w:szCs w:val="24"/>
        </w:rPr>
        <w:t>lactose</w:t>
      </w:r>
      <w:proofErr w:type="spellEnd"/>
      <w:r w:rsidRPr="004D46BC">
        <w:rPr>
          <w:sz w:val="24"/>
          <w:szCs w:val="24"/>
        </w:rPr>
        <w:t xml:space="preserve">. Patienter med sjældne arvelige tilstande såsom </w:t>
      </w:r>
      <w:proofErr w:type="spellStart"/>
      <w:r w:rsidRPr="004D46BC">
        <w:rPr>
          <w:sz w:val="24"/>
          <w:szCs w:val="24"/>
        </w:rPr>
        <w:t>galactose</w:t>
      </w:r>
      <w:proofErr w:type="spellEnd"/>
      <w:r w:rsidRPr="004D46BC">
        <w:rPr>
          <w:sz w:val="24"/>
          <w:szCs w:val="24"/>
        </w:rPr>
        <w:t>-intolerance, Lapp-</w:t>
      </w:r>
      <w:proofErr w:type="spellStart"/>
      <w:r w:rsidRPr="004D46BC">
        <w:rPr>
          <w:sz w:val="24"/>
          <w:szCs w:val="24"/>
        </w:rPr>
        <w:t>laktase</w:t>
      </w:r>
      <w:proofErr w:type="spellEnd"/>
      <w:r w:rsidRPr="004D46BC">
        <w:rPr>
          <w:sz w:val="24"/>
          <w:szCs w:val="24"/>
        </w:rPr>
        <w:t xml:space="preserve">-mangel eller </w:t>
      </w:r>
      <w:proofErr w:type="spellStart"/>
      <w:r w:rsidRPr="004D46BC">
        <w:rPr>
          <w:sz w:val="24"/>
          <w:szCs w:val="24"/>
        </w:rPr>
        <w:t>glucose-galactose-malabsorption</w:t>
      </w:r>
      <w:proofErr w:type="spellEnd"/>
      <w:r w:rsidRPr="004D46BC">
        <w:rPr>
          <w:sz w:val="24"/>
          <w:szCs w:val="24"/>
        </w:rPr>
        <w:t xml:space="preserve"> bør ikke tage dette lægemiddel.</w:t>
      </w:r>
    </w:p>
    <w:p w:rsidR="009C2736" w:rsidRPr="009C2736" w:rsidRDefault="009C2736" w:rsidP="009C2736">
      <w:pPr>
        <w:tabs>
          <w:tab w:val="left" w:pos="-720"/>
          <w:tab w:val="left" w:pos="-565"/>
          <w:tab w:val="left" w:pos="851"/>
        </w:tabs>
        <w:suppressAutoHyphens/>
        <w:ind w:left="851"/>
        <w:rPr>
          <w:sz w:val="24"/>
          <w:szCs w:val="24"/>
        </w:rPr>
      </w:pPr>
      <w:proofErr w:type="spellStart"/>
      <w:r w:rsidRPr="009C2736">
        <w:rPr>
          <w:sz w:val="24"/>
          <w:szCs w:val="24"/>
        </w:rPr>
        <w:t>Androgen</w:t>
      </w:r>
      <w:proofErr w:type="spellEnd"/>
      <w:r w:rsidRPr="009C2736">
        <w:rPr>
          <w:sz w:val="24"/>
          <w:szCs w:val="24"/>
        </w:rPr>
        <w:t xml:space="preserve"> deprivationsbehandling kan forlænge QT intervallet.</w:t>
      </w:r>
    </w:p>
    <w:p w:rsidR="009C2736" w:rsidRPr="009C2736" w:rsidRDefault="009C2736" w:rsidP="009C2736">
      <w:pPr>
        <w:ind w:left="851"/>
        <w:rPr>
          <w:sz w:val="24"/>
          <w:szCs w:val="24"/>
        </w:rPr>
      </w:pPr>
      <w:r w:rsidRPr="009C2736">
        <w:rPr>
          <w:sz w:val="24"/>
          <w:szCs w:val="24"/>
        </w:rPr>
        <w:t xml:space="preserve">Hos patienter med tidligere QT forlængelse eller risikofaktorer for QT forlængelse og hos patienter, der samtidig får lægemidler, der kan forlænge QT intervallet (se pkt. 4.5), bør lægen vurdere </w:t>
      </w:r>
      <w:proofErr w:type="spellStart"/>
      <w:r w:rsidRPr="009C2736">
        <w:rPr>
          <w:sz w:val="24"/>
          <w:szCs w:val="24"/>
        </w:rPr>
        <w:t>benefit</w:t>
      </w:r>
      <w:proofErr w:type="spellEnd"/>
      <w:r w:rsidRPr="009C2736">
        <w:rPr>
          <w:sz w:val="24"/>
          <w:szCs w:val="24"/>
        </w:rPr>
        <w:t>/</w:t>
      </w:r>
      <w:proofErr w:type="spellStart"/>
      <w:r w:rsidRPr="009C2736">
        <w:rPr>
          <w:sz w:val="24"/>
          <w:szCs w:val="24"/>
        </w:rPr>
        <w:t>risk</w:t>
      </w:r>
      <w:proofErr w:type="spellEnd"/>
      <w:r w:rsidRPr="009C2736">
        <w:rPr>
          <w:sz w:val="24"/>
          <w:szCs w:val="24"/>
        </w:rPr>
        <w:t xml:space="preserve"> forholdet, herunder risikoen for </w:t>
      </w:r>
      <w:proofErr w:type="spellStart"/>
      <w:r w:rsidRPr="009C2736">
        <w:rPr>
          <w:sz w:val="24"/>
          <w:szCs w:val="24"/>
        </w:rPr>
        <w:t>Torsades</w:t>
      </w:r>
      <w:proofErr w:type="spellEnd"/>
      <w:r w:rsidRPr="009C2736">
        <w:rPr>
          <w:sz w:val="24"/>
          <w:szCs w:val="24"/>
        </w:rPr>
        <w:t xml:space="preserve"> de pointes, inden behandling med </w:t>
      </w:r>
      <w:proofErr w:type="spellStart"/>
      <w:r w:rsidRPr="009C2736">
        <w:rPr>
          <w:sz w:val="24"/>
          <w:szCs w:val="24"/>
        </w:rPr>
        <w:t>Bicalutamid</w:t>
      </w:r>
      <w:proofErr w:type="spellEnd"/>
      <w:r w:rsidRPr="009C2736">
        <w:rPr>
          <w:sz w:val="24"/>
          <w:szCs w:val="24"/>
        </w:rPr>
        <w:t xml:space="preserve"> ”Fair-Med” indledes.</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4.5</w:t>
      </w:r>
      <w:r w:rsidRPr="004D46BC">
        <w:rPr>
          <w:b/>
          <w:sz w:val="24"/>
          <w:szCs w:val="24"/>
        </w:rPr>
        <w:tab/>
        <w:t>Interaktion med andre lægemidler og andre former for interaktion</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 xml:space="preserve">In </w:t>
      </w:r>
      <w:proofErr w:type="spellStart"/>
      <w:r w:rsidR="00F7673B" w:rsidRPr="004D46BC">
        <w:rPr>
          <w:sz w:val="24"/>
          <w:szCs w:val="24"/>
        </w:rPr>
        <w:t>vitro</w:t>
      </w:r>
      <w:proofErr w:type="spellEnd"/>
      <w:r w:rsidR="00F7673B" w:rsidRPr="004D46BC">
        <w:rPr>
          <w:sz w:val="24"/>
          <w:szCs w:val="24"/>
        </w:rPr>
        <w:t>-undersøgelser har vist, at R-</w:t>
      </w:r>
      <w:proofErr w:type="spellStart"/>
      <w:r w:rsidR="00F7673B" w:rsidRPr="004D46BC">
        <w:rPr>
          <w:sz w:val="24"/>
          <w:szCs w:val="24"/>
        </w:rPr>
        <w:t>bicalutamid</w:t>
      </w:r>
      <w:proofErr w:type="spellEnd"/>
      <w:r w:rsidR="00F7673B" w:rsidRPr="004D46BC">
        <w:rPr>
          <w:sz w:val="24"/>
          <w:szCs w:val="24"/>
        </w:rPr>
        <w:t xml:space="preserve"> hæmmer CYP 3A4 med mindre hæmmende effekt på CYP 2C9-, 2C19- og 2D6-aktivitet. Selvom kliniske undersøgelser, </w:t>
      </w:r>
      <w:r w:rsidR="00F7673B" w:rsidRPr="004D46BC">
        <w:rPr>
          <w:sz w:val="24"/>
          <w:szCs w:val="24"/>
        </w:rPr>
        <w:lastRenderedPageBreak/>
        <w:t xml:space="preserve">der anvender antipyrin som markør for </w:t>
      </w:r>
      <w:proofErr w:type="spellStart"/>
      <w:r w:rsidR="00F7673B" w:rsidRPr="004D46BC">
        <w:rPr>
          <w:sz w:val="24"/>
          <w:szCs w:val="24"/>
        </w:rPr>
        <w:t>cytokrom</w:t>
      </w:r>
      <w:proofErr w:type="spellEnd"/>
      <w:r w:rsidR="00F7673B" w:rsidRPr="004D46BC">
        <w:rPr>
          <w:sz w:val="24"/>
          <w:szCs w:val="24"/>
        </w:rPr>
        <w:t xml:space="preserve"> P450 (CYP) -aktivitet, ikke viste tegn på potentiel lægemiddelinteraktion med </w:t>
      </w:r>
      <w:proofErr w:type="spellStart"/>
      <w:r w:rsidR="00F7673B" w:rsidRPr="004D46BC">
        <w:rPr>
          <w:sz w:val="24"/>
          <w:szCs w:val="24"/>
        </w:rPr>
        <w:t>bicalutamid</w:t>
      </w:r>
      <w:proofErr w:type="spellEnd"/>
      <w:r w:rsidR="00F7673B" w:rsidRPr="004D46BC">
        <w:rPr>
          <w:sz w:val="24"/>
          <w:szCs w:val="24"/>
        </w:rPr>
        <w:t xml:space="preserve">, blev den gennemsnitlige eksponering for </w:t>
      </w:r>
      <w:proofErr w:type="spellStart"/>
      <w:r w:rsidR="00F7673B" w:rsidRPr="004D46BC">
        <w:rPr>
          <w:sz w:val="24"/>
          <w:szCs w:val="24"/>
        </w:rPr>
        <w:t>midazolam</w:t>
      </w:r>
      <w:proofErr w:type="spellEnd"/>
      <w:r w:rsidR="00F7673B" w:rsidRPr="004D46BC">
        <w:rPr>
          <w:sz w:val="24"/>
          <w:szCs w:val="24"/>
        </w:rPr>
        <w:t xml:space="preserve"> (AUC) øget med op til 80 % efter samtidig administration af </w:t>
      </w:r>
      <w:proofErr w:type="spellStart"/>
      <w:r w:rsidR="00F7673B" w:rsidRPr="004D46BC">
        <w:rPr>
          <w:sz w:val="24"/>
          <w:szCs w:val="24"/>
        </w:rPr>
        <w:t>bicalutamid</w:t>
      </w:r>
      <w:proofErr w:type="spellEnd"/>
      <w:r w:rsidR="00F7673B" w:rsidRPr="004D46BC">
        <w:rPr>
          <w:sz w:val="24"/>
          <w:szCs w:val="24"/>
        </w:rPr>
        <w:t xml:space="preserve"> i 28 dage. Sådan en øgning kan være relevant for lægemidler med et smalt terapeutisk indeks. Derfor er samtidig brug af </w:t>
      </w:r>
      <w:proofErr w:type="spellStart"/>
      <w:r w:rsidR="00F7673B" w:rsidRPr="004D46BC">
        <w:rPr>
          <w:sz w:val="24"/>
          <w:szCs w:val="24"/>
        </w:rPr>
        <w:t>terfenadin</w:t>
      </w:r>
      <w:proofErr w:type="spellEnd"/>
      <w:r w:rsidR="00F7673B" w:rsidRPr="004D46BC">
        <w:rPr>
          <w:sz w:val="24"/>
          <w:szCs w:val="24"/>
        </w:rPr>
        <w:t xml:space="preserve">, </w:t>
      </w:r>
      <w:proofErr w:type="spellStart"/>
      <w:r w:rsidR="00F7673B" w:rsidRPr="004D46BC">
        <w:rPr>
          <w:sz w:val="24"/>
          <w:szCs w:val="24"/>
        </w:rPr>
        <w:t>astemizol</w:t>
      </w:r>
      <w:proofErr w:type="spellEnd"/>
      <w:r w:rsidR="00F7673B" w:rsidRPr="004D46BC">
        <w:rPr>
          <w:sz w:val="24"/>
          <w:szCs w:val="24"/>
        </w:rPr>
        <w:t xml:space="preserve"> og </w:t>
      </w:r>
      <w:proofErr w:type="spellStart"/>
      <w:r w:rsidR="00F7673B" w:rsidRPr="004D46BC">
        <w:rPr>
          <w:sz w:val="24"/>
          <w:szCs w:val="24"/>
        </w:rPr>
        <w:t>cisaprid</w:t>
      </w:r>
      <w:proofErr w:type="spellEnd"/>
      <w:r w:rsidR="00F7673B" w:rsidRPr="004D46BC">
        <w:rPr>
          <w:sz w:val="24"/>
          <w:szCs w:val="24"/>
        </w:rPr>
        <w:t xml:space="preserve"> kontraindiceret (se pkt. 4.3), og der bør udvises forsigtighed ved samtidig administration af </w:t>
      </w:r>
      <w:proofErr w:type="spellStart"/>
      <w:r w:rsidR="00F7673B" w:rsidRPr="004D46BC">
        <w:rPr>
          <w:sz w:val="24"/>
          <w:szCs w:val="24"/>
        </w:rPr>
        <w:t>bicalutamid</w:t>
      </w:r>
      <w:proofErr w:type="spellEnd"/>
      <w:r w:rsidR="00F7673B" w:rsidRPr="004D46BC">
        <w:rPr>
          <w:sz w:val="24"/>
          <w:szCs w:val="24"/>
        </w:rPr>
        <w:t xml:space="preserve"> med stoffer som f.eks. </w:t>
      </w:r>
      <w:proofErr w:type="spellStart"/>
      <w:r w:rsidR="00F7673B" w:rsidRPr="004D46BC">
        <w:rPr>
          <w:sz w:val="24"/>
          <w:szCs w:val="24"/>
        </w:rPr>
        <w:t>ciclosporin</w:t>
      </w:r>
      <w:proofErr w:type="spellEnd"/>
      <w:r w:rsidR="00F7673B" w:rsidRPr="004D46BC">
        <w:rPr>
          <w:sz w:val="24"/>
          <w:szCs w:val="24"/>
        </w:rPr>
        <w:t xml:space="preserve"> og calciumkanalblokkere. Dosisreduktion kan være nødvendig for disse lægemidler, især hvis der er tegn på forstærket effekt eller bivirkninger. For </w:t>
      </w:r>
      <w:proofErr w:type="spellStart"/>
      <w:r w:rsidR="00F7673B" w:rsidRPr="004D46BC">
        <w:rPr>
          <w:sz w:val="24"/>
          <w:szCs w:val="24"/>
        </w:rPr>
        <w:t>ciclosporin</w:t>
      </w:r>
      <w:proofErr w:type="spellEnd"/>
      <w:r w:rsidR="00F7673B" w:rsidRPr="004D46BC">
        <w:rPr>
          <w:sz w:val="24"/>
          <w:szCs w:val="24"/>
        </w:rPr>
        <w:t xml:space="preserve"> anbefales det at kontrollere plasmakoncentrationerne og den kliniske tilstand kontrolleres nøje efter indledning eller afslutning af </w:t>
      </w:r>
      <w:proofErr w:type="spellStart"/>
      <w:r w:rsidR="00F7673B" w:rsidRPr="004D46BC">
        <w:rPr>
          <w:sz w:val="24"/>
          <w:szCs w:val="24"/>
        </w:rPr>
        <w:t>bicalutamidbehandling</w:t>
      </w:r>
      <w:proofErr w:type="spellEnd"/>
      <w:r w:rsidR="00F7673B" w:rsidRPr="004D46BC">
        <w:rPr>
          <w:sz w:val="24"/>
          <w:szCs w:val="24"/>
        </w:rPr>
        <w:t>.</w:t>
      </w:r>
    </w:p>
    <w:p w:rsidR="00F7673B" w:rsidRPr="004D46BC" w:rsidRDefault="00F7673B" w:rsidP="004D46BC">
      <w:pPr>
        <w:ind w:left="851"/>
        <w:rPr>
          <w:sz w:val="24"/>
          <w:szCs w:val="24"/>
        </w:rPr>
      </w:pPr>
      <w:r w:rsidRPr="004D46BC">
        <w:rPr>
          <w:sz w:val="24"/>
          <w:szCs w:val="24"/>
        </w:rPr>
        <w:t xml:space="preserve">Der bør udvises forsigtighed ved ordinering af </w:t>
      </w:r>
      <w:proofErr w:type="spellStart"/>
      <w:r w:rsidRPr="004D46BC">
        <w:rPr>
          <w:sz w:val="24"/>
          <w:szCs w:val="24"/>
        </w:rPr>
        <w:t>Bicalutamid</w:t>
      </w:r>
      <w:proofErr w:type="spellEnd"/>
      <w:r w:rsidRPr="004D46BC">
        <w:rPr>
          <w:sz w:val="24"/>
          <w:szCs w:val="24"/>
        </w:rPr>
        <w:t xml:space="preserve"> ”Fair-Med” med andre lægemidler, der kan hæmme lægemiddeloxidation, f.eks. </w:t>
      </w:r>
      <w:proofErr w:type="spellStart"/>
      <w:r w:rsidRPr="004D46BC">
        <w:rPr>
          <w:sz w:val="24"/>
          <w:szCs w:val="24"/>
        </w:rPr>
        <w:t>cimetidin</w:t>
      </w:r>
      <w:proofErr w:type="spellEnd"/>
      <w:r w:rsidRPr="004D46BC">
        <w:rPr>
          <w:sz w:val="24"/>
          <w:szCs w:val="24"/>
        </w:rPr>
        <w:t xml:space="preserve"> og </w:t>
      </w:r>
      <w:proofErr w:type="spellStart"/>
      <w:r w:rsidRPr="004D46BC">
        <w:rPr>
          <w:sz w:val="24"/>
          <w:szCs w:val="24"/>
        </w:rPr>
        <w:t>ketoconazol</w:t>
      </w:r>
      <w:proofErr w:type="spellEnd"/>
      <w:r w:rsidRPr="004D46BC">
        <w:rPr>
          <w:sz w:val="24"/>
          <w:szCs w:val="24"/>
        </w:rPr>
        <w:t xml:space="preserve">. Dette kunne teoretisk medføre forhøjede plasmakoncentrationer af </w:t>
      </w:r>
      <w:proofErr w:type="spellStart"/>
      <w:r w:rsidRPr="004D46BC">
        <w:rPr>
          <w:sz w:val="24"/>
          <w:szCs w:val="24"/>
        </w:rPr>
        <w:t>bicalutamid</w:t>
      </w:r>
      <w:proofErr w:type="spellEnd"/>
      <w:r w:rsidRPr="004D46BC">
        <w:rPr>
          <w:sz w:val="24"/>
          <w:szCs w:val="24"/>
        </w:rPr>
        <w:t>, som teoretisk kunne resultere i øgede bivirkninger.</w:t>
      </w:r>
    </w:p>
    <w:p w:rsidR="00F7673B" w:rsidRDefault="00F7673B" w:rsidP="004D46BC">
      <w:pPr>
        <w:ind w:left="851"/>
        <w:rPr>
          <w:sz w:val="24"/>
          <w:szCs w:val="24"/>
        </w:rPr>
      </w:pPr>
      <w:r w:rsidRPr="004D46BC">
        <w:rPr>
          <w:sz w:val="24"/>
          <w:szCs w:val="24"/>
        </w:rPr>
        <w:t xml:space="preserve">In </w:t>
      </w:r>
      <w:proofErr w:type="spellStart"/>
      <w:r w:rsidRPr="004D46BC">
        <w:rPr>
          <w:sz w:val="24"/>
          <w:szCs w:val="24"/>
        </w:rPr>
        <w:t>vitro</w:t>
      </w:r>
      <w:proofErr w:type="spellEnd"/>
      <w:r w:rsidRPr="004D46BC">
        <w:rPr>
          <w:sz w:val="24"/>
          <w:szCs w:val="24"/>
        </w:rPr>
        <w:t xml:space="preserve">-undersøgelser har vist, at </w:t>
      </w:r>
      <w:proofErr w:type="spellStart"/>
      <w:r w:rsidRPr="004D46BC">
        <w:rPr>
          <w:sz w:val="24"/>
          <w:szCs w:val="24"/>
        </w:rPr>
        <w:t>bicalutamid</w:t>
      </w:r>
      <w:proofErr w:type="spellEnd"/>
      <w:r w:rsidRPr="004D46BC">
        <w:rPr>
          <w:sz w:val="24"/>
          <w:szCs w:val="24"/>
        </w:rPr>
        <w:t xml:space="preserve"> kan </w:t>
      </w:r>
      <w:proofErr w:type="spellStart"/>
      <w:r w:rsidRPr="004D46BC">
        <w:rPr>
          <w:sz w:val="24"/>
          <w:szCs w:val="24"/>
        </w:rPr>
        <w:t>displacere</w:t>
      </w:r>
      <w:proofErr w:type="spellEnd"/>
      <w:r w:rsidRPr="004D46BC">
        <w:rPr>
          <w:sz w:val="24"/>
          <w:szCs w:val="24"/>
        </w:rPr>
        <w:t xml:space="preserve"> </w:t>
      </w:r>
      <w:proofErr w:type="spellStart"/>
      <w:r w:rsidRPr="004D46BC">
        <w:rPr>
          <w:sz w:val="24"/>
          <w:szCs w:val="24"/>
        </w:rPr>
        <w:t>coumarin</w:t>
      </w:r>
      <w:proofErr w:type="spellEnd"/>
      <w:r w:rsidRPr="004D46BC">
        <w:rPr>
          <w:sz w:val="24"/>
          <w:szCs w:val="24"/>
        </w:rPr>
        <w:t xml:space="preserve"> </w:t>
      </w:r>
      <w:proofErr w:type="spellStart"/>
      <w:r w:rsidRPr="004D46BC">
        <w:rPr>
          <w:sz w:val="24"/>
          <w:szCs w:val="24"/>
        </w:rPr>
        <w:t>antikoagulationsmidlet</w:t>
      </w:r>
      <w:proofErr w:type="spellEnd"/>
      <w:r w:rsidRPr="004D46BC">
        <w:rPr>
          <w:sz w:val="24"/>
          <w:szCs w:val="24"/>
        </w:rPr>
        <w:t xml:space="preserve">, </w:t>
      </w:r>
      <w:proofErr w:type="spellStart"/>
      <w:r w:rsidRPr="004D46BC">
        <w:rPr>
          <w:sz w:val="24"/>
          <w:szCs w:val="24"/>
        </w:rPr>
        <w:t>warfarin</w:t>
      </w:r>
      <w:proofErr w:type="spellEnd"/>
      <w:r w:rsidRPr="004D46BC">
        <w:rPr>
          <w:sz w:val="24"/>
          <w:szCs w:val="24"/>
        </w:rPr>
        <w:t xml:space="preserve">, fra dets </w:t>
      </w:r>
      <w:proofErr w:type="spellStart"/>
      <w:r w:rsidRPr="004D46BC">
        <w:rPr>
          <w:sz w:val="24"/>
          <w:szCs w:val="24"/>
        </w:rPr>
        <w:t>proteinsbindingssteder</w:t>
      </w:r>
      <w:proofErr w:type="spellEnd"/>
      <w:r w:rsidRPr="004D46BC">
        <w:rPr>
          <w:sz w:val="24"/>
          <w:szCs w:val="24"/>
        </w:rPr>
        <w:t xml:space="preserve">. Det anbefales derfor at overvåge </w:t>
      </w:r>
      <w:proofErr w:type="spellStart"/>
      <w:r w:rsidRPr="004D46BC">
        <w:rPr>
          <w:sz w:val="24"/>
          <w:szCs w:val="24"/>
        </w:rPr>
        <w:t>protrombintiden</w:t>
      </w:r>
      <w:proofErr w:type="spellEnd"/>
      <w:r w:rsidRPr="004D46BC">
        <w:rPr>
          <w:sz w:val="24"/>
          <w:szCs w:val="24"/>
        </w:rPr>
        <w:t xml:space="preserve"> nøje, hvis </w:t>
      </w:r>
      <w:proofErr w:type="spellStart"/>
      <w:r w:rsidRPr="004D46BC">
        <w:rPr>
          <w:sz w:val="24"/>
          <w:szCs w:val="24"/>
        </w:rPr>
        <w:t>bicalutamid</w:t>
      </w:r>
      <w:proofErr w:type="spellEnd"/>
      <w:r w:rsidRPr="004D46BC">
        <w:rPr>
          <w:sz w:val="24"/>
          <w:szCs w:val="24"/>
        </w:rPr>
        <w:t xml:space="preserve"> påbegyndes hos patienter, som allerede modtager </w:t>
      </w:r>
      <w:proofErr w:type="spellStart"/>
      <w:r w:rsidRPr="004D46BC">
        <w:rPr>
          <w:sz w:val="24"/>
          <w:szCs w:val="24"/>
        </w:rPr>
        <w:t>coumarin</w:t>
      </w:r>
      <w:proofErr w:type="spellEnd"/>
      <w:r w:rsidRPr="004D46BC">
        <w:rPr>
          <w:sz w:val="24"/>
          <w:szCs w:val="24"/>
        </w:rPr>
        <w:t xml:space="preserve"> </w:t>
      </w:r>
      <w:proofErr w:type="spellStart"/>
      <w:r w:rsidRPr="004D46BC">
        <w:rPr>
          <w:sz w:val="24"/>
          <w:szCs w:val="24"/>
        </w:rPr>
        <w:t>antikoagulanter</w:t>
      </w:r>
      <w:proofErr w:type="spellEnd"/>
      <w:r w:rsidRPr="004D46BC">
        <w:rPr>
          <w:sz w:val="24"/>
          <w:szCs w:val="24"/>
        </w:rPr>
        <w:t>.</w:t>
      </w:r>
    </w:p>
    <w:p w:rsidR="009C2736" w:rsidRDefault="009C2736" w:rsidP="009C2736">
      <w:pPr>
        <w:ind w:left="851"/>
        <w:rPr>
          <w:sz w:val="24"/>
          <w:szCs w:val="24"/>
        </w:rPr>
      </w:pPr>
      <w:r>
        <w:rPr>
          <w:sz w:val="24"/>
          <w:szCs w:val="24"/>
        </w:rPr>
        <w:t xml:space="preserve">Da </w:t>
      </w:r>
      <w:proofErr w:type="spellStart"/>
      <w:r>
        <w:rPr>
          <w:sz w:val="24"/>
          <w:szCs w:val="24"/>
        </w:rPr>
        <w:t>androgen</w:t>
      </w:r>
      <w:proofErr w:type="spellEnd"/>
      <w:r>
        <w:rPr>
          <w:sz w:val="24"/>
          <w:szCs w:val="24"/>
        </w:rPr>
        <w:t xml:space="preserve"> deprivationsbehandling kan forlænge QT intervallet bør samtidig anvendelse af </w:t>
      </w:r>
      <w:proofErr w:type="spellStart"/>
      <w:r>
        <w:rPr>
          <w:sz w:val="24"/>
          <w:szCs w:val="24"/>
        </w:rPr>
        <w:t>Bicalutamid</w:t>
      </w:r>
      <w:proofErr w:type="spellEnd"/>
      <w:r>
        <w:rPr>
          <w:sz w:val="24"/>
          <w:szCs w:val="24"/>
        </w:rPr>
        <w:t xml:space="preserve"> ”Fair-Med” og lægemidler, der vides at forlænge QT intervallet, eller lægemidler, der kan fremkalde </w:t>
      </w:r>
      <w:proofErr w:type="spellStart"/>
      <w:r>
        <w:rPr>
          <w:sz w:val="24"/>
          <w:szCs w:val="24"/>
        </w:rPr>
        <w:t>Torsades</w:t>
      </w:r>
      <w:proofErr w:type="spellEnd"/>
      <w:r>
        <w:rPr>
          <w:sz w:val="24"/>
          <w:szCs w:val="24"/>
        </w:rPr>
        <w:t xml:space="preserve"> de pointes, såsom </w:t>
      </w:r>
      <w:proofErr w:type="spellStart"/>
      <w:r>
        <w:rPr>
          <w:sz w:val="24"/>
          <w:szCs w:val="24"/>
        </w:rPr>
        <w:t>antiarytmika</w:t>
      </w:r>
      <w:proofErr w:type="spellEnd"/>
      <w:r>
        <w:rPr>
          <w:sz w:val="24"/>
          <w:szCs w:val="24"/>
        </w:rPr>
        <w:t xml:space="preserve"> af klasse IA (f.eks. </w:t>
      </w:r>
      <w:proofErr w:type="spellStart"/>
      <w:r>
        <w:rPr>
          <w:sz w:val="24"/>
          <w:szCs w:val="24"/>
        </w:rPr>
        <w:t>quinidin</w:t>
      </w:r>
      <w:proofErr w:type="spellEnd"/>
      <w:r>
        <w:rPr>
          <w:sz w:val="24"/>
          <w:szCs w:val="24"/>
        </w:rPr>
        <w:t xml:space="preserve">, </w:t>
      </w:r>
      <w:proofErr w:type="spellStart"/>
      <w:r>
        <w:rPr>
          <w:sz w:val="24"/>
          <w:szCs w:val="24"/>
        </w:rPr>
        <w:t>disopyramid</w:t>
      </w:r>
      <w:proofErr w:type="spellEnd"/>
      <w:r>
        <w:rPr>
          <w:sz w:val="24"/>
          <w:szCs w:val="24"/>
        </w:rPr>
        <w:t xml:space="preserve">) eller klasse III (f.eks. </w:t>
      </w:r>
      <w:proofErr w:type="spellStart"/>
      <w:r>
        <w:rPr>
          <w:sz w:val="24"/>
          <w:szCs w:val="24"/>
        </w:rPr>
        <w:t>amiodaron</w:t>
      </w:r>
      <w:proofErr w:type="spellEnd"/>
      <w:r>
        <w:rPr>
          <w:sz w:val="24"/>
          <w:szCs w:val="24"/>
        </w:rPr>
        <w:t xml:space="preserve">, </w:t>
      </w:r>
      <w:proofErr w:type="spellStart"/>
      <w:r>
        <w:rPr>
          <w:sz w:val="24"/>
          <w:szCs w:val="24"/>
        </w:rPr>
        <w:t>sotalol</w:t>
      </w:r>
      <w:proofErr w:type="spellEnd"/>
      <w:r>
        <w:rPr>
          <w:sz w:val="24"/>
          <w:szCs w:val="24"/>
        </w:rPr>
        <w:t xml:space="preserve">, </w:t>
      </w:r>
      <w:proofErr w:type="spellStart"/>
      <w:r>
        <w:rPr>
          <w:sz w:val="24"/>
          <w:szCs w:val="24"/>
        </w:rPr>
        <w:t>dofetilid</w:t>
      </w:r>
      <w:proofErr w:type="spellEnd"/>
      <w:r>
        <w:rPr>
          <w:sz w:val="24"/>
          <w:szCs w:val="24"/>
        </w:rPr>
        <w:t xml:space="preserve">, </w:t>
      </w:r>
      <w:proofErr w:type="spellStart"/>
      <w:r>
        <w:rPr>
          <w:sz w:val="24"/>
          <w:szCs w:val="24"/>
        </w:rPr>
        <w:t>ibutilid</w:t>
      </w:r>
      <w:proofErr w:type="spellEnd"/>
      <w:r>
        <w:rPr>
          <w:sz w:val="24"/>
          <w:szCs w:val="24"/>
        </w:rPr>
        <w:t xml:space="preserve">), metadon, </w:t>
      </w:r>
      <w:proofErr w:type="spellStart"/>
      <w:r>
        <w:rPr>
          <w:sz w:val="24"/>
          <w:szCs w:val="24"/>
        </w:rPr>
        <w:t>moxifloxacin</w:t>
      </w:r>
      <w:proofErr w:type="spellEnd"/>
      <w:r>
        <w:rPr>
          <w:sz w:val="24"/>
          <w:szCs w:val="24"/>
        </w:rPr>
        <w:t xml:space="preserve">, </w:t>
      </w:r>
      <w:proofErr w:type="spellStart"/>
      <w:r>
        <w:rPr>
          <w:sz w:val="24"/>
          <w:szCs w:val="24"/>
        </w:rPr>
        <w:t>antipsykotika</w:t>
      </w:r>
      <w:proofErr w:type="spellEnd"/>
      <w:r>
        <w:rPr>
          <w:sz w:val="24"/>
          <w:szCs w:val="24"/>
        </w:rPr>
        <w:t xml:space="preserve"> osv. overvejes nøje (se pkt. 4.4).</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4.6</w:t>
      </w:r>
      <w:r w:rsidRPr="004D46BC">
        <w:rPr>
          <w:b/>
          <w:sz w:val="24"/>
          <w:szCs w:val="24"/>
        </w:rPr>
        <w:tab/>
        <w:t>Graviditet og amning</w:t>
      </w:r>
    </w:p>
    <w:p w:rsidR="00F7673B" w:rsidRPr="004D46BC" w:rsidRDefault="00F7673B" w:rsidP="004D46BC">
      <w:pPr>
        <w:ind w:left="851"/>
        <w:rPr>
          <w:sz w:val="24"/>
          <w:szCs w:val="24"/>
        </w:rPr>
      </w:pPr>
      <w:proofErr w:type="spellStart"/>
      <w:r w:rsidRPr="004D46BC">
        <w:rPr>
          <w:sz w:val="24"/>
          <w:szCs w:val="24"/>
        </w:rPr>
        <w:t>Bicalutamid</w:t>
      </w:r>
      <w:proofErr w:type="spellEnd"/>
      <w:r w:rsidRPr="004D46BC">
        <w:rPr>
          <w:sz w:val="24"/>
          <w:szCs w:val="24"/>
        </w:rPr>
        <w:t xml:space="preserve"> er kontraindiceret til kvinder og må ikke gives til gravide kvinder eller mødre, der ammer. </w:t>
      </w:r>
    </w:p>
    <w:p w:rsidR="004D46BC" w:rsidRDefault="004D46BC" w:rsidP="004D46BC">
      <w:pPr>
        <w:rPr>
          <w:sz w:val="24"/>
          <w:szCs w:val="24"/>
          <w:u w:val="single"/>
        </w:rPr>
      </w:pPr>
    </w:p>
    <w:p w:rsidR="00F7673B" w:rsidRPr="004D46BC" w:rsidRDefault="00F7673B" w:rsidP="004D46BC">
      <w:pPr>
        <w:ind w:firstLine="851"/>
        <w:rPr>
          <w:sz w:val="24"/>
          <w:szCs w:val="24"/>
          <w:u w:val="single"/>
        </w:rPr>
      </w:pPr>
      <w:r w:rsidRPr="004D46BC">
        <w:rPr>
          <w:sz w:val="24"/>
          <w:szCs w:val="24"/>
          <w:u w:val="single"/>
        </w:rPr>
        <w:t>Fertilitet</w:t>
      </w:r>
    </w:p>
    <w:p w:rsidR="00F7673B" w:rsidRPr="004D46BC" w:rsidRDefault="00F7673B" w:rsidP="004D46BC">
      <w:pPr>
        <w:ind w:left="851"/>
        <w:rPr>
          <w:sz w:val="24"/>
          <w:szCs w:val="24"/>
          <w:u w:val="single"/>
        </w:rPr>
      </w:pPr>
      <w:r w:rsidRPr="004D46BC">
        <w:rPr>
          <w:sz w:val="24"/>
          <w:szCs w:val="24"/>
        </w:rPr>
        <w:t xml:space="preserve">Der er observeret reversibel nedsat mandlig fertilitet i dyreforsøg (se pkt. 5.3). Det bør antages, at der kan komme en periode med subfertilitet eller </w:t>
      </w:r>
      <w:proofErr w:type="spellStart"/>
      <w:r w:rsidRPr="004D46BC">
        <w:rPr>
          <w:sz w:val="24"/>
          <w:szCs w:val="24"/>
        </w:rPr>
        <w:t>infertilitet</w:t>
      </w:r>
      <w:proofErr w:type="spellEnd"/>
      <w:r w:rsidRPr="004D46BC">
        <w:rPr>
          <w:sz w:val="24"/>
          <w:szCs w:val="24"/>
        </w:rPr>
        <w:t xml:space="preserve"> hos mennesker.</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4.7</w:t>
      </w:r>
      <w:r w:rsidRPr="004D46BC">
        <w:rPr>
          <w:b/>
          <w:sz w:val="24"/>
          <w:szCs w:val="24"/>
        </w:rPr>
        <w:tab/>
        <w:t>Virkninger på evnen til at føre motorkøretøj eller betjene maskiner</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Ikke mærkning.</w:t>
      </w:r>
    </w:p>
    <w:p w:rsidR="00F7673B" w:rsidRPr="004D46BC" w:rsidRDefault="00F7673B" w:rsidP="004D46BC">
      <w:pPr>
        <w:ind w:left="851"/>
        <w:rPr>
          <w:sz w:val="24"/>
          <w:szCs w:val="24"/>
        </w:rPr>
      </w:pPr>
      <w:proofErr w:type="spellStart"/>
      <w:r w:rsidRPr="004D46BC">
        <w:rPr>
          <w:sz w:val="24"/>
          <w:szCs w:val="24"/>
        </w:rPr>
        <w:t>Bicalutamid</w:t>
      </w:r>
      <w:proofErr w:type="spellEnd"/>
      <w:r w:rsidRPr="004D46BC">
        <w:rPr>
          <w:sz w:val="24"/>
          <w:szCs w:val="24"/>
        </w:rPr>
        <w:t xml:space="preserve"> påvirker sandsynligvis ikke evnen til at føre motorkøretøj eller betjene maskiner. Men det bør bemærkes, at der lejlighedsvis kan opstå svimmelhed eller søvnighed. Påvirkede patienter bør udvise forsigtighed.</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4.8</w:t>
      </w:r>
      <w:r w:rsidRPr="004D46BC">
        <w:rPr>
          <w:b/>
          <w:sz w:val="24"/>
          <w:szCs w:val="24"/>
        </w:rPr>
        <w:tab/>
        <w:t>Bivirkninger</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 xml:space="preserve">I dette afsnit defineres bivirkninger på følgende måde: Meget almindelig (≥ 1/10), almindelig (≥ 1/100 til &lt; 1/10), ikke almindelig (≥ 1/1.000 til ≤ 1/100), sjælden (≥ 1/10.000 til ≤ 1/1.000), meget sjælden (≤ 1/10.000), ikke kendt (kan ikke estimeres ud fra forhåndenværende data). </w:t>
      </w:r>
    </w:p>
    <w:p w:rsidR="00F7673B" w:rsidRPr="004D46BC" w:rsidRDefault="00F7673B" w:rsidP="004D46BC">
      <w:pPr>
        <w:ind w:left="851" w:hanging="851"/>
        <w:rPr>
          <w:sz w:val="24"/>
          <w:szCs w:val="24"/>
        </w:rPr>
      </w:pPr>
    </w:p>
    <w:p w:rsidR="00F7673B" w:rsidRPr="004D46BC" w:rsidRDefault="00F7673B" w:rsidP="004D46BC">
      <w:pPr>
        <w:ind w:left="851" w:hanging="851"/>
        <w:rPr>
          <w:b/>
          <w:sz w:val="24"/>
          <w:szCs w:val="24"/>
        </w:rPr>
      </w:pPr>
      <w:proofErr w:type="spellStart"/>
      <w:r w:rsidRPr="004D46BC">
        <w:rPr>
          <w:b/>
          <w:sz w:val="24"/>
          <w:szCs w:val="24"/>
          <w:lang w:val="en-US"/>
        </w:rPr>
        <w:t>Skema</w:t>
      </w:r>
      <w:proofErr w:type="spellEnd"/>
      <w:r w:rsidRPr="004D46BC">
        <w:rPr>
          <w:b/>
          <w:sz w:val="24"/>
          <w:szCs w:val="24"/>
          <w:lang w:val="en-US"/>
        </w:rPr>
        <w:t xml:space="preserve"> 1 </w:t>
      </w:r>
      <w:proofErr w:type="spellStart"/>
      <w:r w:rsidRPr="004D46BC">
        <w:rPr>
          <w:b/>
          <w:sz w:val="24"/>
          <w:szCs w:val="24"/>
          <w:lang w:val="en-US"/>
        </w:rPr>
        <w:t>Hyppighed</w:t>
      </w:r>
      <w:proofErr w:type="spellEnd"/>
      <w:r w:rsidRPr="004D46BC">
        <w:rPr>
          <w:b/>
          <w:sz w:val="24"/>
          <w:szCs w:val="24"/>
          <w:lang w:val="en-US"/>
        </w:rPr>
        <w:t xml:space="preserve"> </w:t>
      </w:r>
      <w:proofErr w:type="spellStart"/>
      <w:proofErr w:type="gramStart"/>
      <w:r w:rsidRPr="004D46BC">
        <w:rPr>
          <w:b/>
          <w:sz w:val="24"/>
          <w:szCs w:val="24"/>
          <w:lang w:val="en-US"/>
        </w:rPr>
        <w:t>af</w:t>
      </w:r>
      <w:proofErr w:type="spellEnd"/>
      <w:proofErr w:type="gramEnd"/>
      <w:r w:rsidRPr="004D46BC">
        <w:rPr>
          <w:b/>
          <w:sz w:val="24"/>
          <w:szCs w:val="24"/>
          <w:lang w:val="en-US"/>
        </w:rPr>
        <w:t xml:space="preserve"> </w:t>
      </w:r>
      <w:proofErr w:type="spellStart"/>
      <w:r w:rsidRPr="004D46BC">
        <w:rPr>
          <w:b/>
          <w:sz w:val="24"/>
          <w:szCs w:val="24"/>
          <w:lang w:val="en-US"/>
        </w:rPr>
        <w:t>bivirkninger</w:t>
      </w:r>
      <w:proofErr w:type="spellEnd"/>
      <w:r w:rsidRPr="004D46BC">
        <w:rPr>
          <w:b/>
          <w:sz w:val="24"/>
          <w:szCs w:val="24"/>
        </w:rPr>
        <w:t xml:space="preserve"> </w:t>
      </w:r>
    </w:p>
    <w:p w:rsidR="00F7673B" w:rsidRPr="004D46BC" w:rsidRDefault="00F7673B" w:rsidP="004D46BC">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879"/>
        <w:gridCol w:w="3376"/>
      </w:tblGrid>
      <w:tr w:rsidR="00F7673B" w:rsidRPr="004D46BC" w:rsidTr="004D46BC">
        <w:tc>
          <w:tcPr>
            <w:tcW w:w="1752" w:type="pct"/>
          </w:tcPr>
          <w:p w:rsidR="00F7673B" w:rsidRPr="004D46BC" w:rsidRDefault="00F7673B" w:rsidP="004D46BC">
            <w:pPr>
              <w:rPr>
                <w:sz w:val="24"/>
                <w:szCs w:val="24"/>
              </w:rPr>
            </w:pPr>
            <w:r w:rsidRPr="004D46BC">
              <w:rPr>
                <w:b/>
                <w:sz w:val="24"/>
                <w:szCs w:val="24"/>
              </w:rPr>
              <w:t>Systemorganklasse</w:t>
            </w:r>
          </w:p>
        </w:tc>
        <w:tc>
          <w:tcPr>
            <w:tcW w:w="1495" w:type="pct"/>
          </w:tcPr>
          <w:p w:rsidR="00F7673B" w:rsidRPr="004D46BC" w:rsidRDefault="00F7673B" w:rsidP="004D46BC">
            <w:pPr>
              <w:rPr>
                <w:sz w:val="24"/>
                <w:szCs w:val="24"/>
              </w:rPr>
            </w:pPr>
            <w:r w:rsidRPr="004D46BC">
              <w:rPr>
                <w:b/>
                <w:sz w:val="24"/>
                <w:szCs w:val="24"/>
              </w:rPr>
              <w:t>Hyppighed</w:t>
            </w:r>
          </w:p>
        </w:tc>
        <w:tc>
          <w:tcPr>
            <w:tcW w:w="1753" w:type="pct"/>
          </w:tcPr>
          <w:p w:rsidR="00F7673B" w:rsidRPr="004D46BC" w:rsidRDefault="00F7673B" w:rsidP="004D46BC">
            <w:pPr>
              <w:rPr>
                <w:sz w:val="24"/>
                <w:szCs w:val="24"/>
              </w:rPr>
            </w:pPr>
            <w:r w:rsidRPr="004D46BC">
              <w:rPr>
                <w:b/>
                <w:sz w:val="24"/>
                <w:szCs w:val="24"/>
              </w:rPr>
              <w:t>Bivirkning</w:t>
            </w:r>
          </w:p>
        </w:tc>
      </w:tr>
      <w:tr w:rsidR="00F7673B" w:rsidRPr="004D46BC" w:rsidTr="004D46BC">
        <w:tc>
          <w:tcPr>
            <w:tcW w:w="1752" w:type="pct"/>
          </w:tcPr>
          <w:p w:rsidR="00F7673B" w:rsidRPr="004D46BC" w:rsidRDefault="00F7673B" w:rsidP="004D46BC">
            <w:pPr>
              <w:rPr>
                <w:sz w:val="24"/>
                <w:szCs w:val="24"/>
              </w:rPr>
            </w:pPr>
            <w:r w:rsidRPr="004D46BC">
              <w:rPr>
                <w:sz w:val="24"/>
                <w:szCs w:val="24"/>
              </w:rPr>
              <w:t xml:space="preserve">Blod og lymfesystem </w:t>
            </w:r>
          </w:p>
        </w:tc>
        <w:tc>
          <w:tcPr>
            <w:tcW w:w="1495" w:type="pct"/>
          </w:tcPr>
          <w:p w:rsidR="00F7673B" w:rsidRPr="004D46BC" w:rsidRDefault="00F7673B" w:rsidP="004D46BC">
            <w:pPr>
              <w:rPr>
                <w:sz w:val="24"/>
                <w:szCs w:val="24"/>
              </w:rPr>
            </w:pPr>
            <w:r w:rsidRPr="004D46BC">
              <w:rPr>
                <w:sz w:val="24"/>
                <w:szCs w:val="24"/>
              </w:rPr>
              <w:t>Almindelig</w:t>
            </w:r>
          </w:p>
        </w:tc>
        <w:tc>
          <w:tcPr>
            <w:tcW w:w="1753" w:type="pct"/>
          </w:tcPr>
          <w:p w:rsidR="00F7673B" w:rsidRPr="004D46BC" w:rsidRDefault="00F7673B" w:rsidP="004D46BC">
            <w:pPr>
              <w:rPr>
                <w:sz w:val="24"/>
                <w:szCs w:val="24"/>
              </w:rPr>
            </w:pPr>
            <w:r w:rsidRPr="004D46BC">
              <w:rPr>
                <w:sz w:val="24"/>
                <w:szCs w:val="24"/>
              </w:rPr>
              <w:t xml:space="preserve">Anæmi </w:t>
            </w:r>
          </w:p>
        </w:tc>
      </w:tr>
      <w:tr w:rsidR="00F7673B" w:rsidRPr="004D46BC" w:rsidTr="004D46BC">
        <w:tc>
          <w:tcPr>
            <w:tcW w:w="1752" w:type="pct"/>
          </w:tcPr>
          <w:p w:rsidR="00F7673B" w:rsidRPr="004D46BC" w:rsidRDefault="00F7673B" w:rsidP="004D46BC">
            <w:pPr>
              <w:rPr>
                <w:sz w:val="24"/>
                <w:szCs w:val="24"/>
              </w:rPr>
            </w:pPr>
            <w:r w:rsidRPr="004D46BC">
              <w:rPr>
                <w:sz w:val="24"/>
                <w:szCs w:val="24"/>
              </w:rPr>
              <w:t>Immunsystemet</w:t>
            </w:r>
          </w:p>
        </w:tc>
        <w:tc>
          <w:tcPr>
            <w:tcW w:w="1495" w:type="pct"/>
          </w:tcPr>
          <w:p w:rsidR="00F7673B" w:rsidRPr="004D46BC" w:rsidRDefault="00F7673B" w:rsidP="004D46BC">
            <w:pPr>
              <w:rPr>
                <w:sz w:val="24"/>
                <w:szCs w:val="24"/>
              </w:rPr>
            </w:pPr>
            <w:r w:rsidRPr="004D46BC">
              <w:rPr>
                <w:sz w:val="24"/>
                <w:szCs w:val="24"/>
              </w:rPr>
              <w:t>Ikke almindelig</w:t>
            </w:r>
          </w:p>
        </w:tc>
        <w:tc>
          <w:tcPr>
            <w:tcW w:w="1753" w:type="pct"/>
          </w:tcPr>
          <w:p w:rsidR="00F7673B" w:rsidRPr="004D46BC" w:rsidRDefault="00F7673B" w:rsidP="004D46BC">
            <w:pPr>
              <w:autoSpaceDE w:val="0"/>
              <w:autoSpaceDN w:val="0"/>
              <w:adjustRightInd w:val="0"/>
              <w:rPr>
                <w:sz w:val="24"/>
                <w:szCs w:val="24"/>
              </w:rPr>
            </w:pPr>
            <w:r w:rsidRPr="004D46BC">
              <w:rPr>
                <w:sz w:val="24"/>
                <w:szCs w:val="24"/>
              </w:rPr>
              <w:t xml:space="preserve">Overfølsomhed, </w:t>
            </w:r>
            <w:proofErr w:type="spellStart"/>
            <w:r w:rsidRPr="004D46BC">
              <w:rPr>
                <w:sz w:val="24"/>
                <w:szCs w:val="24"/>
              </w:rPr>
              <w:t>angioødem</w:t>
            </w:r>
            <w:proofErr w:type="spellEnd"/>
            <w:r w:rsidR="004D46BC">
              <w:rPr>
                <w:sz w:val="24"/>
                <w:szCs w:val="24"/>
              </w:rPr>
              <w:t xml:space="preserve"> </w:t>
            </w:r>
            <w:r w:rsidRPr="004D46BC">
              <w:rPr>
                <w:sz w:val="24"/>
                <w:szCs w:val="24"/>
              </w:rPr>
              <w:t xml:space="preserve">og </w:t>
            </w:r>
            <w:proofErr w:type="spellStart"/>
            <w:r w:rsidRPr="004D46BC">
              <w:rPr>
                <w:sz w:val="24"/>
                <w:szCs w:val="24"/>
              </w:rPr>
              <w:t>urticaria</w:t>
            </w:r>
            <w:proofErr w:type="spellEnd"/>
          </w:p>
        </w:tc>
      </w:tr>
      <w:tr w:rsidR="00F7673B" w:rsidRPr="004D46BC" w:rsidTr="004D46BC">
        <w:tc>
          <w:tcPr>
            <w:tcW w:w="1752" w:type="pct"/>
          </w:tcPr>
          <w:p w:rsidR="00F7673B" w:rsidRPr="004D46BC" w:rsidRDefault="00F7673B" w:rsidP="004D46BC">
            <w:pPr>
              <w:autoSpaceDE w:val="0"/>
              <w:autoSpaceDN w:val="0"/>
              <w:adjustRightInd w:val="0"/>
              <w:rPr>
                <w:sz w:val="24"/>
                <w:szCs w:val="24"/>
              </w:rPr>
            </w:pPr>
            <w:r w:rsidRPr="004D46BC">
              <w:rPr>
                <w:sz w:val="24"/>
                <w:szCs w:val="24"/>
              </w:rPr>
              <w:t>Metabolisme og ernæring</w:t>
            </w:r>
          </w:p>
        </w:tc>
        <w:tc>
          <w:tcPr>
            <w:tcW w:w="1495" w:type="pct"/>
          </w:tcPr>
          <w:p w:rsidR="00F7673B" w:rsidRPr="004D46BC" w:rsidRDefault="00F7673B" w:rsidP="004D46BC">
            <w:pPr>
              <w:rPr>
                <w:sz w:val="24"/>
                <w:szCs w:val="24"/>
              </w:rPr>
            </w:pPr>
            <w:r w:rsidRPr="004D46BC">
              <w:rPr>
                <w:sz w:val="24"/>
                <w:szCs w:val="24"/>
              </w:rPr>
              <w:t>Almindelig</w:t>
            </w:r>
          </w:p>
        </w:tc>
        <w:tc>
          <w:tcPr>
            <w:tcW w:w="1753" w:type="pct"/>
          </w:tcPr>
          <w:p w:rsidR="00F7673B" w:rsidRPr="004D46BC" w:rsidRDefault="00F7673B" w:rsidP="004D46BC">
            <w:pPr>
              <w:autoSpaceDE w:val="0"/>
              <w:autoSpaceDN w:val="0"/>
              <w:adjustRightInd w:val="0"/>
              <w:rPr>
                <w:sz w:val="24"/>
                <w:szCs w:val="24"/>
              </w:rPr>
            </w:pPr>
            <w:r w:rsidRPr="004D46BC">
              <w:rPr>
                <w:sz w:val="24"/>
                <w:szCs w:val="24"/>
              </w:rPr>
              <w:t>Nedsat appetit</w:t>
            </w:r>
          </w:p>
        </w:tc>
      </w:tr>
      <w:tr w:rsidR="00F7673B" w:rsidRPr="004D46BC" w:rsidTr="004D46BC">
        <w:tc>
          <w:tcPr>
            <w:tcW w:w="1752" w:type="pct"/>
          </w:tcPr>
          <w:p w:rsidR="00F7673B" w:rsidRPr="004D46BC" w:rsidRDefault="00F7673B" w:rsidP="004D46BC">
            <w:pPr>
              <w:autoSpaceDE w:val="0"/>
              <w:autoSpaceDN w:val="0"/>
              <w:adjustRightInd w:val="0"/>
              <w:rPr>
                <w:sz w:val="24"/>
                <w:szCs w:val="24"/>
              </w:rPr>
            </w:pPr>
            <w:r w:rsidRPr="004D46BC">
              <w:rPr>
                <w:sz w:val="24"/>
                <w:szCs w:val="24"/>
              </w:rPr>
              <w:lastRenderedPageBreak/>
              <w:t>Psykiske forstyrrelser</w:t>
            </w:r>
          </w:p>
        </w:tc>
        <w:tc>
          <w:tcPr>
            <w:tcW w:w="1495" w:type="pct"/>
          </w:tcPr>
          <w:p w:rsidR="00F7673B" w:rsidRPr="004D46BC" w:rsidRDefault="00F7673B" w:rsidP="004D46BC">
            <w:pPr>
              <w:rPr>
                <w:sz w:val="24"/>
                <w:szCs w:val="24"/>
              </w:rPr>
            </w:pPr>
            <w:r w:rsidRPr="004D46BC">
              <w:rPr>
                <w:sz w:val="24"/>
                <w:szCs w:val="24"/>
              </w:rPr>
              <w:t xml:space="preserve">Almindelig </w:t>
            </w:r>
          </w:p>
        </w:tc>
        <w:tc>
          <w:tcPr>
            <w:tcW w:w="1753" w:type="pct"/>
          </w:tcPr>
          <w:p w:rsidR="00F7673B" w:rsidRPr="004D46BC" w:rsidRDefault="00F7673B" w:rsidP="004D46BC">
            <w:pPr>
              <w:autoSpaceDE w:val="0"/>
              <w:autoSpaceDN w:val="0"/>
              <w:adjustRightInd w:val="0"/>
              <w:rPr>
                <w:sz w:val="24"/>
                <w:szCs w:val="24"/>
              </w:rPr>
            </w:pPr>
            <w:proofErr w:type="spellStart"/>
            <w:r w:rsidRPr="004D46BC">
              <w:rPr>
                <w:sz w:val="24"/>
                <w:szCs w:val="24"/>
                <w:lang w:val="en-US"/>
              </w:rPr>
              <w:t>Nedsat</w:t>
            </w:r>
            <w:proofErr w:type="spellEnd"/>
            <w:r w:rsidRPr="004D46BC">
              <w:rPr>
                <w:sz w:val="24"/>
                <w:szCs w:val="24"/>
                <w:lang w:val="en-US"/>
              </w:rPr>
              <w:t xml:space="preserve"> libido, </w:t>
            </w:r>
            <w:r w:rsidRPr="004D46BC">
              <w:rPr>
                <w:sz w:val="24"/>
                <w:szCs w:val="24"/>
              </w:rPr>
              <w:t>depression</w:t>
            </w:r>
          </w:p>
        </w:tc>
      </w:tr>
      <w:tr w:rsidR="00F7673B" w:rsidRPr="004D46BC" w:rsidTr="004D46BC">
        <w:tc>
          <w:tcPr>
            <w:tcW w:w="1752" w:type="pct"/>
          </w:tcPr>
          <w:p w:rsidR="00F7673B" w:rsidRPr="004D46BC" w:rsidRDefault="00F7673B" w:rsidP="004D46BC">
            <w:pPr>
              <w:rPr>
                <w:sz w:val="24"/>
                <w:szCs w:val="24"/>
              </w:rPr>
            </w:pPr>
            <w:r w:rsidRPr="004D46BC">
              <w:rPr>
                <w:sz w:val="24"/>
                <w:szCs w:val="24"/>
              </w:rPr>
              <w:t>Nervesystemet</w:t>
            </w:r>
          </w:p>
        </w:tc>
        <w:tc>
          <w:tcPr>
            <w:tcW w:w="1495" w:type="pct"/>
          </w:tcPr>
          <w:p w:rsidR="00F7673B" w:rsidRPr="004D46BC" w:rsidRDefault="00F7673B" w:rsidP="004D46BC">
            <w:pPr>
              <w:rPr>
                <w:sz w:val="24"/>
                <w:szCs w:val="24"/>
              </w:rPr>
            </w:pPr>
            <w:r w:rsidRPr="004D46BC">
              <w:rPr>
                <w:sz w:val="24"/>
                <w:szCs w:val="24"/>
              </w:rPr>
              <w:t>Almindelig</w:t>
            </w:r>
          </w:p>
        </w:tc>
        <w:tc>
          <w:tcPr>
            <w:tcW w:w="1753" w:type="pct"/>
          </w:tcPr>
          <w:p w:rsidR="00F7673B" w:rsidRPr="004D46BC" w:rsidRDefault="00F7673B" w:rsidP="004D46BC">
            <w:pPr>
              <w:rPr>
                <w:sz w:val="24"/>
                <w:szCs w:val="24"/>
              </w:rPr>
            </w:pPr>
            <w:r w:rsidRPr="004D46BC">
              <w:rPr>
                <w:sz w:val="24"/>
                <w:szCs w:val="24"/>
              </w:rPr>
              <w:t>Svimmelhed, søvnighed</w:t>
            </w:r>
          </w:p>
        </w:tc>
      </w:tr>
      <w:tr w:rsidR="00F7673B" w:rsidRPr="004D46BC" w:rsidTr="004D46BC">
        <w:tc>
          <w:tcPr>
            <w:tcW w:w="1752" w:type="pct"/>
          </w:tcPr>
          <w:p w:rsidR="00F7673B" w:rsidRPr="004D46BC" w:rsidRDefault="00F7673B" w:rsidP="004D46BC">
            <w:pPr>
              <w:rPr>
                <w:sz w:val="24"/>
                <w:szCs w:val="24"/>
              </w:rPr>
            </w:pPr>
            <w:proofErr w:type="spellStart"/>
            <w:r w:rsidRPr="004D46BC">
              <w:rPr>
                <w:sz w:val="24"/>
                <w:szCs w:val="24"/>
              </w:rPr>
              <w:t>Vaskulære</w:t>
            </w:r>
            <w:proofErr w:type="spellEnd"/>
            <w:r w:rsidRPr="004D46BC">
              <w:rPr>
                <w:sz w:val="24"/>
                <w:szCs w:val="24"/>
              </w:rPr>
              <w:t xml:space="preserve"> sygdomme</w:t>
            </w:r>
          </w:p>
        </w:tc>
        <w:tc>
          <w:tcPr>
            <w:tcW w:w="1495" w:type="pct"/>
          </w:tcPr>
          <w:p w:rsidR="00F7673B" w:rsidRPr="004D46BC" w:rsidRDefault="00F7673B" w:rsidP="004D46BC">
            <w:pPr>
              <w:rPr>
                <w:sz w:val="24"/>
                <w:szCs w:val="24"/>
              </w:rPr>
            </w:pPr>
            <w:r w:rsidRPr="004D46BC">
              <w:rPr>
                <w:sz w:val="24"/>
                <w:szCs w:val="24"/>
              </w:rPr>
              <w:t>Almindelig</w:t>
            </w:r>
          </w:p>
        </w:tc>
        <w:tc>
          <w:tcPr>
            <w:tcW w:w="1753" w:type="pct"/>
          </w:tcPr>
          <w:p w:rsidR="00F7673B" w:rsidRPr="004D46BC" w:rsidRDefault="00F7673B" w:rsidP="004D46BC">
            <w:pPr>
              <w:rPr>
                <w:sz w:val="24"/>
                <w:szCs w:val="24"/>
              </w:rPr>
            </w:pPr>
            <w:r w:rsidRPr="004D46BC">
              <w:rPr>
                <w:sz w:val="24"/>
                <w:szCs w:val="24"/>
              </w:rPr>
              <w:t>Hedeture</w:t>
            </w:r>
          </w:p>
        </w:tc>
      </w:tr>
      <w:tr w:rsidR="00F7673B" w:rsidRPr="004D46BC" w:rsidTr="004D46BC">
        <w:tc>
          <w:tcPr>
            <w:tcW w:w="1752" w:type="pct"/>
          </w:tcPr>
          <w:p w:rsidR="00F7673B" w:rsidRPr="004D46BC" w:rsidRDefault="00F7673B" w:rsidP="004D46BC">
            <w:pPr>
              <w:rPr>
                <w:sz w:val="24"/>
                <w:szCs w:val="24"/>
              </w:rPr>
            </w:pPr>
            <w:proofErr w:type="spellStart"/>
            <w:r w:rsidRPr="004D46BC">
              <w:rPr>
                <w:sz w:val="24"/>
                <w:szCs w:val="24"/>
                <w:lang w:val="en-US"/>
              </w:rPr>
              <w:t>Luftveje</w:t>
            </w:r>
            <w:proofErr w:type="spellEnd"/>
            <w:r w:rsidRPr="004D46BC">
              <w:rPr>
                <w:sz w:val="24"/>
                <w:szCs w:val="24"/>
                <w:lang w:val="en-US"/>
              </w:rPr>
              <w:t xml:space="preserve">, thorax </w:t>
            </w:r>
            <w:proofErr w:type="spellStart"/>
            <w:r w:rsidRPr="004D46BC">
              <w:rPr>
                <w:sz w:val="24"/>
                <w:szCs w:val="24"/>
                <w:lang w:val="en-US"/>
              </w:rPr>
              <w:t>og</w:t>
            </w:r>
            <w:proofErr w:type="spellEnd"/>
            <w:r w:rsidRPr="004D46BC">
              <w:rPr>
                <w:sz w:val="24"/>
                <w:szCs w:val="24"/>
                <w:lang w:val="en-US"/>
              </w:rPr>
              <w:t xml:space="preserve"> mediastinum</w:t>
            </w:r>
          </w:p>
        </w:tc>
        <w:tc>
          <w:tcPr>
            <w:tcW w:w="1495" w:type="pct"/>
          </w:tcPr>
          <w:p w:rsidR="00F7673B" w:rsidRPr="004D46BC" w:rsidRDefault="00F7673B" w:rsidP="004D46BC">
            <w:pPr>
              <w:rPr>
                <w:sz w:val="24"/>
                <w:szCs w:val="24"/>
              </w:rPr>
            </w:pPr>
            <w:r w:rsidRPr="004D46BC">
              <w:rPr>
                <w:sz w:val="24"/>
                <w:szCs w:val="24"/>
              </w:rPr>
              <w:t>Ikke almindelig</w:t>
            </w:r>
          </w:p>
        </w:tc>
        <w:tc>
          <w:tcPr>
            <w:tcW w:w="1753" w:type="pct"/>
          </w:tcPr>
          <w:p w:rsidR="00F7673B" w:rsidRPr="004D46BC" w:rsidRDefault="00F7673B" w:rsidP="004D46BC">
            <w:pPr>
              <w:rPr>
                <w:sz w:val="24"/>
                <w:szCs w:val="24"/>
              </w:rPr>
            </w:pPr>
            <w:proofErr w:type="spellStart"/>
            <w:r w:rsidRPr="004D46BC">
              <w:rPr>
                <w:sz w:val="24"/>
                <w:szCs w:val="24"/>
              </w:rPr>
              <w:t>Interstitiel</w:t>
            </w:r>
            <w:proofErr w:type="spellEnd"/>
            <w:r w:rsidRPr="004D46BC">
              <w:rPr>
                <w:sz w:val="24"/>
                <w:szCs w:val="24"/>
              </w:rPr>
              <w:t xml:space="preserve"> lungesygdom. Der er rapporteret fatale resultater.</w:t>
            </w:r>
          </w:p>
        </w:tc>
      </w:tr>
      <w:tr w:rsidR="00F7673B" w:rsidRPr="004D46BC" w:rsidTr="004D46BC">
        <w:tc>
          <w:tcPr>
            <w:tcW w:w="1752" w:type="pct"/>
          </w:tcPr>
          <w:p w:rsidR="00F7673B" w:rsidRPr="004D46BC" w:rsidRDefault="00F7673B" w:rsidP="004D46BC">
            <w:pPr>
              <w:rPr>
                <w:sz w:val="24"/>
                <w:szCs w:val="24"/>
              </w:rPr>
            </w:pPr>
            <w:r w:rsidRPr="004D46BC">
              <w:rPr>
                <w:sz w:val="24"/>
                <w:szCs w:val="24"/>
              </w:rPr>
              <w:t>Mave-tarm-kanalen</w:t>
            </w:r>
          </w:p>
        </w:tc>
        <w:tc>
          <w:tcPr>
            <w:tcW w:w="1495" w:type="pct"/>
          </w:tcPr>
          <w:p w:rsidR="00F7673B" w:rsidRPr="004D46BC" w:rsidRDefault="00F7673B" w:rsidP="004D46BC">
            <w:pPr>
              <w:rPr>
                <w:sz w:val="24"/>
                <w:szCs w:val="24"/>
              </w:rPr>
            </w:pPr>
            <w:r w:rsidRPr="004D46BC">
              <w:rPr>
                <w:sz w:val="24"/>
                <w:szCs w:val="24"/>
              </w:rPr>
              <w:t>Almindelig</w:t>
            </w:r>
          </w:p>
        </w:tc>
        <w:tc>
          <w:tcPr>
            <w:tcW w:w="1753" w:type="pct"/>
          </w:tcPr>
          <w:p w:rsidR="00F7673B" w:rsidRPr="004D46BC" w:rsidRDefault="00F7673B" w:rsidP="004D46BC">
            <w:pPr>
              <w:rPr>
                <w:sz w:val="24"/>
                <w:szCs w:val="24"/>
              </w:rPr>
            </w:pPr>
            <w:proofErr w:type="spellStart"/>
            <w:r w:rsidRPr="004D46BC">
              <w:rPr>
                <w:sz w:val="24"/>
                <w:szCs w:val="24"/>
              </w:rPr>
              <w:t>Abdominalsmerter</w:t>
            </w:r>
            <w:proofErr w:type="spellEnd"/>
            <w:r w:rsidRPr="004D46BC">
              <w:rPr>
                <w:sz w:val="24"/>
                <w:szCs w:val="24"/>
              </w:rPr>
              <w:t xml:space="preserve">, obstipation, kvalme, dyspepsi, </w:t>
            </w:r>
            <w:proofErr w:type="spellStart"/>
            <w:r w:rsidRPr="004D46BC">
              <w:rPr>
                <w:sz w:val="24"/>
                <w:szCs w:val="24"/>
              </w:rPr>
              <w:t>flatulens</w:t>
            </w:r>
            <w:proofErr w:type="spellEnd"/>
          </w:p>
        </w:tc>
      </w:tr>
      <w:tr w:rsidR="00F7673B" w:rsidRPr="004D46BC" w:rsidTr="004D46BC">
        <w:tc>
          <w:tcPr>
            <w:tcW w:w="1752" w:type="pct"/>
            <w:vMerge w:val="restart"/>
          </w:tcPr>
          <w:p w:rsidR="00F7673B" w:rsidRPr="004D46BC" w:rsidRDefault="00F7673B" w:rsidP="004D46BC">
            <w:pPr>
              <w:rPr>
                <w:sz w:val="24"/>
                <w:szCs w:val="24"/>
              </w:rPr>
            </w:pPr>
            <w:r w:rsidRPr="004D46BC">
              <w:rPr>
                <w:sz w:val="24"/>
                <w:szCs w:val="24"/>
              </w:rPr>
              <w:t>Lever og galdeveje</w:t>
            </w:r>
          </w:p>
        </w:tc>
        <w:tc>
          <w:tcPr>
            <w:tcW w:w="1495" w:type="pct"/>
          </w:tcPr>
          <w:p w:rsidR="00F7673B" w:rsidRPr="004D46BC" w:rsidRDefault="00F7673B" w:rsidP="004D46BC">
            <w:pPr>
              <w:rPr>
                <w:sz w:val="24"/>
                <w:szCs w:val="24"/>
              </w:rPr>
            </w:pPr>
            <w:r w:rsidRPr="004D46BC">
              <w:rPr>
                <w:sz w:val="24"/>
                <w:szCs w:val="24"/>
              </w:rPr>
              <w:t xml:space="preserve">Almindelig </w:t>
            </w:r>
          </w:p>
        </w:tc>
        <w:tc>
          <w:tcPr>
            <w:tcW w:w="1753" w:type="pct"/>
          </w:tcPr>
          <w:p w:rsidR="00F7673B" w:rsidRPr="004D46BC" w:rsidRDefault="00F7673B" w:rsidP="004D46BC">
            <w:pPr>
              <w:rPr>
                <w:sz w:val="24"/>
                <w:szCs w:val="24"/>
              </w:rPr>
            </w:pPr>
            <w:proofErr w:type="spellStart"/>
            <w:r w:rsidRPr="004D46BC">
              <w:rPr>
                <w:sz w:val="24"/>
                <w:szCs w:val="24"/>
              </w:rPr>
              <w:t>Hepatotoksicitet</w:t>
            </w:r>
            <w:proofErr w:type="spellEnd"/>
            <w:r w:rsidRPr="004D46BC">
              <w:rPr>
                <w:sz w:val="24"/>
                <w:szCs w:val="24"/>
              </w:rPr>
              <w:t xml:space="preserve">, gulsot, </w:t>
            </w:r>
            <w:proofErr w:type="spellStart"/>
            <w:r w:rsidRPr="004D46BC">
              <w:rPr>
                <w:sz w:val="24"/>
                <w:szCs w:val="24"/>
              </w:rPr>
              <w:t>hypertransaminasæmi</w:t>
            </w:r>
            <w:r w:rsidRPr="004D46BC">
              <w:rPr>
                <w:sz w:val="24"/>
                <w:szCs w:val="24"/>
                <w:vertAlign w:val="superscript"/>
              </w:rPr>
              <w:t>a</w:t>
            </w:r>
            <w:proofErr w:type="spellEnd"/>
          </w:p>
        </w:tc>
      </w:tr>
      <w:tr w:rsidR="00F7673B" w:rsidRPr="004D46BC" w:rsidTr="004D46BC">
        <w:tc>
          <w:tcPr>
            <w:tcW w:w="1752" w:type="pct"/>
            <w:vMerge/>
          </w:tcPr>
          <w:p w:rsidR="00F7673B" w:rsidRPr="004D46BC" w:rsidRDefault="00F7673B" w:rsidP="004D46BC">
            <w:pPr>
              <w:rPr>
                <w:sz w:val="24"/>
                <w:szCs w:val="24"/>
              </w:rPr>
            </w:pPr>
          </w:p>
        </w:tc>
        <w:tc>
          <w:tcPr>
            <w:tcW w:w="1495" w:type="pct"/>
          </w:tcPr>
          <w:p w:rsidR="00F7673B" w:rsidRPr="004D46BC" w:rsidRDefault="00F7673B" w:rsidP="004D46BC">
            <w:pPr>
              <w:rPr>
                <w:sz w:val="24"/>
                <w:szCs w:val="24"/>
              </w:rPr>
            </w:pPr>
            <w:r w:rsidRPr="004D46BC">
              <w:rPr>
                <w:sz w:val="24"/>
                <w:szCs w:val="24"/>
              </w:rPr>
              <w:t>Sjælden</w:t>
            </w:r>
          </w:p>
        </w:tc>
        <w:tc>
          <w:tcPr>
            <w:tcW w:w="1753" w:type="pct"/>
          </w:tcPr>
          <w:p w:rsidR="00F7673B" w:rsidRPr="004D46BC" w:rsidRDefault="00F7673B" w:rsidP="004D46BC">
            <w:pPr>
              <w:rPr>
                <w:sz w:val="24"/>
                <w:szCs w:val="24"/>
              </w:rPr>
            </w:pPr>
            <w:r w:rsidRPr="004D46BC">
              <w:rPr>
                <w:sz w:val="24"/>
                <w:szCs w:val="24"/>
              </w:rPr>
              <w:t>Leversvigt. Der er rapporteret fatale resultater.</w:t>
            </w:r>
          </w:p>
        </w:tc>
      </w:tr>
      <w:tr w:rsidR="00F7673B" w:rsidRPr="004D46BC" w:rsidTr="004D46BC">
        <w:tc>
          <w:tcPr>
            <w:tcW w:w="1752" w:type="pct"/>
            <w:vMerge w:val="restart"/>
          </w:tcPr>
          <w:p w:rsidR="00F7673B" w:rsidRPr="004D46BC" w:rsidRDefault="00F7673B" w:rsidP="004D46BC">
            <w:pPr>
              <w:rPr>
                <w:sz w:val="24"/>
                <w:szCs w:val="24"/>
              </w:rPr>
            </w:pPr>
            <w:proofErr w:type="spellStart"/>
            <w:r w:rsidRPr="004D46BC">
              <w:rPr>
                <w:sz w:val="24"/>
                <w:szCs w:val="24"/>
                <w:lang w:val="en-US"/>
              </w:rPr>
              <w:t>Hud</w:t>
            </w:r>
            <w:proofErr w:type="spellEnd"/>
            <w:r w:rsidRPr="004D46BC">
              <w:rPr>
                <w:sz w:val="24"/>
                <w:szCs w:val="24"/>
                <w:lang w:val="en-US"/>
              </w:rPr>
              <w:t xml:space="preserve"> </w:t>
            </w:r>
            <w:proofErr w:type="spellStart"/>
            <w:r w:rsidRPr="004D46BC">
              <w:rPr>
                <w:sz w:val="24"/>
                <w:szCs w:val="24"/>
                <w:lang w:val="en-US"/>
              </w:rPr>
              <w:t>og</w:t>
            </w:r>
            <w:proofErr w:type="spellEnd"/>
            <w:r w:rsidRPr="004D46BC">
              <w:rPr>
                <w:sz w:val="24"/>
                <w:szCs w:val="24"/>
                <w:lang w:val="en-US"/>
              </w:rPr>
              <w:t xml:space="preserve"> </w:t>
            </w:r>
            <w:proofErr w:type="spellStart"/>
            <w:r w:rsidRPr="004D46BC">
              <w:rPr>
                <w:sz w:val="24"/>
                <w:szCs w:val="24"/>
                <w:lang w:val="en-US"/>
              </w:rPr>
              <w:t>subkutane</w:t>
            </w:r>
            <w:proofErr w:type="spellEnd"/>
            <w:r w:rsidRPr="004D46BC">
              <w:rPr>
                <w:sz w:val="24"/>
                <w:szCs w:val="24"/>
                <w:lang w:val="en-US"/>
              </w:rPr>
              <w:t xml:space="preserve"> </w:t>
            </w:r>
            <w:proofErr w:type="spellStart"/>
            <w:r w:rsidRPr="004D46BC">
              <w:rPr>
                <w:sz w:val="24"/>
                <w:szCs w:val="24"/>
                <w:lang w:val="en-US"/>
              </w:rPr>
              <w:t>væv</w:t>
            </w:r>
            <w:proofErr w:type="spellEnd"/>
          </w:p>
        </w:tc>
        <w:tc>
          <w:tcPr>
            <w:tcW w:w="1495" w:type="pct"/>
          </w:tcPr>
          <w:p w:rsidR="00F7673B" w:rsidRPr="004D46BC" w:rsidRDefault="00F7673B" w:rsidP="004D46BC">
            <w:pPr>
              <w:rPr>
                <w:sz w:val="24"/>
                <w:szCs w:val="24"/>
              </w:rPr>
            </w:pPr>
            <w:r w:rsidRPr="004D46BC">
              <w:rPr>
                <w:sz w:val="24"/>
                <w:szCs w:val="24"/>
              </w:rPr>
              <w:t xml:space="preserve">Meget almindelig </w:t>
            </w:r>
          </w:p>
        </w:tc>
        <w:tc>
          <w:tcPr>
            <w:tcW w:w="1753" w:type="pct"/>
          </w:tcPr>
          <w:p w:rsidR="00F7673B" w:rsidRPr="004D46BC" w:rsidRDefault="00F7673B" w:rsidP="004D46BC">
            <w:pPr>
              <w:rPr>
                <w:sz w:val="24"/>
                <w:szCs w:val="24"/>
                <w:lang w:val="en-US"/>
              </w:rPr>
            </w:pPr>
            <w:r w:rsidRPr="004D46BC">
              <w:rPr>
                <w:sz w:val="24"/>
                <w:szCs w:val="24"/>
              </w:rPr>
              <w:t>Udslæt</w:t>
            </w:r>
          </w:p>
        </w:tc>
      </w:tr>
      <w:tr w:rsidR="00F7673B" w:rsidRPr="004D46BC" w:rsidTr="004D46BC">
        <w:tc>
          <w:tcPr>
            <w:tcW w:w="1752" w:type="pct"/>
            <w:vMerge/>
          </w:tcPr>
          <w:p w:rsidR="00F7673B" w:rsidRPr="004D46BC" w:rsidRDefault="00F7673B" w:rsidP="004D46BC">
            <w:pPr>
              <w:rPr>
                <w:sz w:val="24"/>
                <w:szCs w:val="24"/>
              </w:rPr>
            </w:pPr>
          </w:p>
        </w:tc>
        <w:tc>
          <w:tcPr>
            <w:tcW w:w="1495" w:type="pct"/>
          </w:tcPr>
          <w:p w:rsidR="00F7673B" w:rsidRPr="004D46BC" w:rsidRDefault="00F7673B" w:rsidP="004D46BC">
            <w:pPr>
              <w:rPr>
                <w:sz w:val="24"/>
                <w:szCs w:val="24"/>
              </w:rPr>
            </w:pPr>
            <w:r w:rsidRPr="004D46BC">
              <w:rPr>
                <w:sz w:val="24"/>
                <w:szCs w:val="24"/>
              </w:rPr>
              <w:t xml:space="preserve">Almindelig </w:t>
            </w:r>
          </w:p>
        </w:tc>
        <w:tc>
          <w:tcPr>
            <w:tcW w:w="1753" w:type="pct"/>
          </w:tcPr>
          <w:p w:rsidR="00F7673B" w:rsidRPr="004D46BC" w:rsidRDefault="00F7673B" w:rsidP="004D46BC">
            <w:pPr>
              <w:rPr>
                <w:sz w:val="24"/>
                <w:szCs w:val="24"/>
              </w:rPr>
            </w:pPr>
            <w:proofErr w:type="spellStart"/>
            <w:r w:rsidRPr="004D46BC">
              <w:rPr>
                <w:sz w:val="24"/>
                <w:szCs w:val="24"/>
              </w:rPr>
              <w:t>Alopeci</w:t>
            </w:r>
            <w:proofErr w:type="spellEnd"/>
            <w:r w:rsidRPr="004D46BC">
              <w:rPr>
                <w:sz w:val="24"/>
                <w:szCs w:val="24"/>
              </w:rPr>
              <w:t xml:space="preserve">, </w:t>
            </w:r>
            <w:proofErr w:type="spellStart"/>
            <w:r w:rsidRPr="004D46BC">
              <w:rPr>
                <w:sz w:val="24"/>
                <w:szCs w:val="24"/>
              </w:rPr>
              <w:t>hirsutisme</w:t>
            </w:r>
            <w:proofErr w:type="spellEnd"/>
            <w:r w:rsidRPr="004D46BC">
              <w:rPr>
                <w:sz w:val="24"/>
                <w:szCs w:val="24"/>
              </w:rPr>
              <w:t xml:space="preserve">/genvækst af hår, tør hud, kløe </w:t>
            </w:r>
          </w:p>
        </w:tc>
      </w:tr>
      <w:tr w:rsidR="009C2736" w:rsidRPr="004D46BC" w:rsidTr="004D46BC">
        <w:tc>
          <w:tcPr>
            <w:tcW w:w="1752" w:type="pct"/>
          </w:tcPr>
          <w:p w:rsidR="009C2736" w:rsidRPr="004D46BC" w:rsidRDefault="009C2736" w:rsidP="004D46BC">
            <w:pPr>
              <w:rPr>
                <w:sz w:val="24"/>
                <w:szCs w:val="24"/>
              </w:rPr>
            </w:pPr>
          </w:p>
        </w:tc>
        <w:tc>
          <w:tcPr>
            <w:tcW w:w="1495" w:type="pct"/>
          </w:tcPr>
          <w:p w:rsidR="009C2736" w:rsidRPr="009C2736" w:rsidRDefault="009C2736" w:rsidP="004D46BC">
            <w:pPr>
              <w:rPr>
                <w:sz w:val="24"/>
                <w:szCs w:val="24"/>
              </w:rPr>
            </w:pPr>
            <w:r>
              <w:rPr>
                <w:sz w:val="24"/>
                <w:szCs w:val="24"/>
              </w:rPr>
              <w:t>Sjælden</w:t>
            </w:r>
          </w:p>
        </w:tc>
        <w:tc>
          <w:tcPr>
            <w:tcW w:w="1753" w:type="pct"/>
          </w:tcPr>
          <w:p w:rsidR="009C2736" w:rsidRPr="009C2736" w:rsidRDefault="009C2736" w:rsidP="004D46BC">
            <w:pPr>
              <w:rPr>
                <w:sz w:val="24"/>
                <w:szCs w:val="24"/>
              </w:rPr>
            </w:pPr>
            <w:r w:rsidRPr="009C2736">
              <w:rPr>
                <w:sz w:val="24"/>
                <w:szCs w:val="24"/>
              </w:rPr>
              <w:t>Fotosensitivitetsreaktioner</w:t>
            </w:r>
          </w:p>
        </w:tc>
      </w:tr>
      <w:tr w:rsidR="00F7673B" w:rsidRPr="004D46BC" w:rsidTr="004D46BC">
        <w:tc>
          <w:tcPr>
            <w:tcW w:w="1752" w:type="pct"/>
          </w:tcPr>
          <w:p w:rsidR="00F7673B" w:rsidRPr="004D46BC" w:rsidRDefault="00F7673B" w:rsidP="004D46BC">
            <w:pPr>
              <w:rPr>
                <w:sz w:val="24"/>
                <w:szCs w:val="24"/>
              </w:rPr>
            </w:pPr>
            <w:r w:rsidRPr="004D46BC">
              <w:rPr>
                <w:sz w:val="24"/>
                <w:szCs w:val="24"/>
              </w:rPr>
              <w:t>Nyrer og urinveje</w:t>
            </w:r>
          </w:p>
        </w:tc>
        <w:tc>
          <w:tcPr>
            <w:tcW w:w="1495" w:type="pct"/>
          </w:tcPr>
          <w:p w:rsidR="00F7673B" w:rsidRPr="004D46BC" w:rsidRDefault="00F7673B" w:rsidP="004D46BC">
            <w:pPr>
              <w:rPr>
                <w:sz w:val="24"/>
                <w:szCs w:val="24"/>
              </w:rPr>
            </w:pPr>
            <w:r w:rsidRPr="004D46BC">
              <w:rPr>
                <w:sz w:val="24"/>
                <w:szCs w:val="24"/>
              </w:rPr>
              <w:t>Almindelig</w:t>
            </w:r>
          </w:p>
        </w:tc>
        <w:tc>
          <w:tcPr>
            <w:tcW w:w="1753" w:type="pct"/>
          </w:tcPr>
          <w:p w:rsidR="00F7673B" w:rsidRPr="004D46BC" w:rsidRDefault="00F7673B" w:rsidP="004D46BC">
            <w:pPr>
              <w:rPr>
                <w:sz w:val="24"/>
                <w:szCs w:val="24"/>
              </w:rPr>
            </w:pPr>
            <w:proofErr w:type="spellStart"/>
            <w:r w:rsidRPr="004D46BC">
              <w:rPr>
                <w:sz w:val="24"/>
                <w:szCs w:val="24"/>
              </w:rPr>
              <w:t>Hæmaturi</w:t>
            </w:r>
            <w:proofErr w:type="spellEnd"/>
          </w:p>
        </w:tc>
      </w:tr>
      <w:tr w:rsidR="00F7673B" w:rsidRPr="004D46BC" w:rsidTr="004D46BC">
        <w:tc>
          <w:tcPr>
            <w:tcW w:w="1752" w:type="pct"/>
            <w:vMerge w:val="restart"/>
          </w:tcPr>
          <w:p w:rsidR="00F7673B" w:rsidRPr="004D46BC" w:rsidRDefault="00F7673B" w:rsidP="004D46BC">
            <w:pPr>
              <w:rPr>
                <w:sz w:val="24"/>
                <w:szCs w:val="24"/>
              </w:rPr>
            </w:pPr>
            <w:r w:rsidRPr="004D46BC">
              <w:rPr>
                <w:sz w:val="24"/>
                <w:szCs w:val="24"/>
              </w:rPr>
              <w:t>Det reproduktive system og mammae</w:t>
            </w:r>
          </w:p>
        </w:tc>
        <w:tc>
          <w:tcPr>
            <w:tcW w:w="1495" w:type="pct"/>
          </w:tcPr>
          <w:p w:rsidR="00F7673B" w:rsidRPr="004D46BC" w:rsidRDefault="00F7673B" w:rsidP="004D46BC">
            <w:pPr>
              <w:rPr>
                <w:sz w:val="24"/>
                <w:szCs w:val="24"/>
              </w:rPr>
            </w:pPr>
            <w:r w:rsidRPr="004D46BC">
              <w:rPr>
                <w:sz w:val="24"/>
                <w:szCs w:val="24"/>
              </w:rPr>
              <w:t xml:space="preserve">Meget almindelig </w:t>
            </w:r>
          </w:p>
        </w:tc>
        <w:tc>
          <w:tcPr>
            <w:tcW w:w="1753" w:type="pct"/>
          </w:tcPr>
          <w:p w:rsidR="00F7673B" w:rsidRPr="004D46BC" w:rsidRDefault="00F7673B" w:rsidP="004D46BC">
            <w:pPr>
              <w:rPr>
                <w:sz w:val="24"/>
                <w:szCs w:val="24"/>
              </w:rPr>
            </w:pPr>
            <w:proofErr w:type="spellStart"/>
            <w:r w:rsidRPr="004D46BC">
              <w:rPr>
                <w:sz w:val="24"/>
                <w:szCs w:val="24"/>
              </w:rPr>
              <w:t>Gynækomasti</w:t>
            </w:r>
            <w:proofErr w:type="spellEnd"/>
            <w:r w:rsidRPr="004D46BC">
              <w:rPr>
                <w:sz w:val="24"/>
                <w:szCs w:val="24"/>
              </w:rPr>
              <w:t xml:space="preserve"> og </w:t>
            </w:r>
            <w:proofErr w:type="spellStart"/>
            <w:r w:rsidRPr="004D46BC">
              <w:rPr>
                <w:sz w:val="24"/>
                <w:szCs w:val="24"/>
              </w:rPr>
              <w:t>brystømhed</w:t>
            </w:r>
            <w:r w:rsidRPr="004D46BC">
              <w:rPr>
                <w:sz w:val="24"/>
                <w:szCs w:val="24"/>
                <w:vertAlign w:val="superscript"/>
              </w:rPr>
              <w:t>b</w:t>
            </w:r>
            <w:proofErr w:type="spellEnd"/>
          </w:p>
        </w:tc>
      </w:tr>
      <w:tr w:rsidR="00F7673B" w:rsidRPr="004D46BC" w:rsidTr="004D46BC">
        <w:tc>
          <w:tcPr>
            <w:tcW w:w="1752" w:type="pct"/>
            <w:vMerge/>
          </w:tcPr>
          <w:p w:rsidR="00F7673B" w:rsidRPr="004D46BC" w:rsidRDefault="00F7673B" w:rsidP="004D46BC">
            <w:pPr>
              <w:rPr>
                <w:sz w:val="24"/>
                <w:szCs w:val="24"/>
              </w:rPr>
            </w:pPr>
          </w:p>
        </w:tc>
        <w:tc>
          <w:tcPr>
            <w:tcW w:w="1495" w:type="pct"/>
          </w:tcPr>
          <w:p w:rsidR="00F7673B" w:rsidRPr="004D46BC" w:rsidRDefault="00F7673B" w:rsidP="004D46BC">
            <w:pPr>
              <w:rPr>
                <w:sz w:val="24"/>
                <w:szCs w:val="24"/>
              </w:rPr>
            </w:pPr>
            <w:r w:rsidRPr="004D46BC">
              <w:rPr>
                <w:sz w:val="24"/>
                <w:szCs w:val="24"/>
              </w:rPr>
              <w:t>Almindelig</w:t>
            </w:r>
          </w:p>
        </w:tc>
        <w:tc>
          <w:tcPr>
            <w:tcW w:w="1753" w:type="pct"/>
          </w:tcPr>
          <w:p w:rsidR="00F7673B" w:rsidRPr="004D46BC" w:rsidRDefault="00F7673B" w:rsidP="004D46BC">
            <w:pPr>
              <w:rPr>
                <w:sz w:val="24"/>
                <w:szCs w:val="24"/>
              </w:rPr>
            </w:pPr>
            <w:proofErr w:type="spellStart"/>
            <w:r w:rsidRPr="004D46BC">
              <w:rPr>
                <w:sz w:val="24"/>
                <w:szCs w:val="24"/>
              </w:rPr>
              <w:t>Erektil</w:t>
            </w:r>
            <w:proofErr w:type="spellEnd"/>
            <w:r w:rsidRPr="004D46BC">
              <w:rPr>
                <w:sz w:val="24"/>
                <w:szCs w:val="24"/>
              </w:rPr>
              <w:t xml:space="preserve"> dysfunktion</w:t>
            </w:r>
          </w:p>
        </w:tc>
      </w:tr>
      <w:tr w:rsidR="00F7673B" w:rsidRPr="004D46BC" w:rsidTr="004D46BC">
        <w:tc>
          <w:tcPr>
            <w:tcW w:w="1752" w:type="pct"/>
            <w:vMerge w:val="restart"/>
          </w:tcPr>
          <w:p w:rsidR="00F7673B" w:rsidRPr="004D46BC" w:rsidRDefault="00F7673B" w:rsidP="004D46BC">
            <w:pPr>
              <w:rPr>
                <w:sz w:val="24"/>
                <w:szCs w:val="24"/>
              </w:rPr>
            </w:pPr>
            <w:r w:rsidRPr="004D46BC">
              <w:rPr>
                <w:sz w:val="24"/>
                <w:szCs w:val="24"/>
              </w:rPr>
              <w:t>Almene symptomer og reaktioner på administrationsstedet</w:t>
            </w:r>
          </w:p>
        </w:tc>
        <w:tc>
          <w:tcPr>
            <w:tcW w:w="1495" w:type="pct"/>
          </w:tcPr>
          <w:p w:rsidR="00F7673B" w:rsidRPr="004D46BC" w:rsidRDefault="00F7673B" w:rsidP="004D46BC">
            <w:pPr>
              <w:rPr>
                <w:sz w:val="24"/>
                <w:szCs w:val="24"/>
              </w:rPr>
            </w:pPr>
            <w:r w:rsidRPr="004D46BC">
              <w:rPr>
                <w:sz w:val="24"/>
                <w:szCs w:val="24"/>
              </w:rPr>
              <w:t xml:space="preserve">Meget almindelig </w:t>
            </w:r>
          </w:p>
        </w:tc>
        <w:tc>
          <w:tcPr>
            <w:tcW w:w="1753" w:type="pct"/>
          </w:tcPr>
          <w:p w:rsidR="00F7673B" w:rsidRPr="004D46BC" w:rsidRDefault="00F7673B" w:rsidP="004D46BC">
            <w:pPr>
              <w:rPr>
                <w:sz w:val="24"/>
                <w:szCs w:val="24"/>
                <w:lang w:val="en-US"/>
              </w:rPr>
            </w:pPr>
            <w:r w:rsidRPr="004D46BC">
              <w:rPr>
                <w:sz w:val="24"/>
                <w:szCs w:val="24"/>
              </w:rPr>
              <w:t>Asteni</w:t>
            </w:r>
          </w:p>
        </w:tc>
      </w:tr>
      <w:tr w:rsidR="00F7673B" w:rsidRPr="004D46BC" w:rsidTr="004D46BC">
        <w:tc>
          <w:tcPr>
            <w:tcW w:w="1752" w:type="pct"/>
            <w:vMerge/>
          </w:tcPr>
          <w:p w:rsidR="00F7673B" w:rsidRPr="004D46BC" w:rsidRDefault="00F7673B" w:rsidP="004D46BC">
            <w:pPr>
              <w:rPr>
                <w:sz w:val="24"/>
                <w:szCs w:val="24"/>
                <w:lang w:val="en-US"/>
              </w:rPr>
            </w:pPr>
          </w:p>
        </w:tc>
        <w:tc>
          <w:tcPr>
            <w:tcW w:w="1495" w:type="pct"/>
          </w:tcPr>
          <w:p w:rsidR="00F7673B" w:rsidRPr="004D46BC" w:rsidRDefault="00F7673B" w:rsidP="004D46BC">
            <w:pPr>
              <w:rPr>
                <w:sz w:val="24"/>
                <w:szCs w:val="24"/>
              </w:rPr>
            </w:pPr>
            <w:r w:rsidRPr="004D46BC">
              <w:rPr>
                <w:sz w:val="24"/>
                <w:szCs w:val="24"/>
              </w:rPr>
              <w:t>Almindelig</w:t>
            </w:r>
          </w:p>
        </w:tc>
        <w:tc>
          <w:tcPr>
            <w:tcW w:w="1753" w:type="pct"/>
          </w:tcPr>
          <w:p w:rsidR="00F7673B" w:rsidRPr="004D46BC" w:rsidRDefault="00F7673B" w:rsidP="004D46BC">
            <w:pPr>
              <w:rPr>
                <w:sz w:val="24"/>
                <w:szCs w:val="24"/>
              </w:rPr>
            </w:pPr>
            <w:r w:rsidRPr="004D46BC">
              <w:rPr>
                <w:sz w:val="24"/>
                <w:szCs w:val="24"/>
              </w:rPr>
              <w:t>Brystsmerter, ødem</w:t>
            </w:r>
          </w:p>
        </w:tc>
      </w:tr>
      <w:tr w:rsidR="00F7673B" w:rsidRPr="004D46BC" w:rsidTr="004D46BC">
        <w:tc>
          <w:tcPr>
            <w:tcW w:w="1752" w:type="pct"/>
          </w:tcPr>
          <w:p w:rsidR="00F7673B" w:rsidRPr="004D46BC" w:rsidRDefault="00F7673B" w:rsidP="004D46BC">
            <w:pPr>
              <w:rPr>
                <w:sz w:val="24"/>
                <w:szCs w:val="24"/>
              </w:rPr>
            </w:pPr>
            <w:r w:rsidRPr="004D46BC">
              <w:rPr>
                <w:sz w:val="24"/>
                <w:szCs w:val="24"/>
              </w:rPr>
              <w:t>Undersøgelser</w:t>
            </w:r>
          </w:p>
        </w:tc>
        <w:tc>
          <w:tcPr>
            <w:tcW w:w="1495" w:type="pct"/>
          </w:tcPr>
          <w:p w:rsidR="00F7673B" w:rsidRPr="004D46BC" w:rsidRDefault="00F7673B" w:rsidP="004D46BC">
            <w:pPr>
              <w:rPr>
                <w:sz w:val="24"/>
                <w:szCs w:val="24"/>
              </w:rPr>
            </w:pPr>
            <w:r w:rsidRPr="004D46BC">
              <w:rPr>
                <w:sz w:val="24"/>
                <w:szCs w:val="24"/>
              </w:rPr>
              <w:t xml:space="preserve">Almindelig </w:t>
            </w:r>
          </w:p>
        </w:tc>
        <w:tc>
          <w:tcPr>
            <w:tcW w:w="1753" w:type="pct"/>
          </w:tcPr>
          <w:p w:rsidR="00F7673B" w:rsidRPr="004D46BC" w:rsidRDefault="00F7673B" w:rsidP="004D46BC">
            <w:pPr>
              <w:rPr>
                <w:sz w:val="24"/>
                <w:szCs w:val="24"/>
              </w:rPr>
            </w:pPr>
            <w:r w:rsidRPr="004D46BC">
              <w:rPr>
                <w:sz w:val="24"/>
                <w:szCs w:val="24"/>
              </w:rPr>
              <w:t>Vægtstigning</w:t>
            </w:r>
          </w:p>
        </w:tc>
      </w:tr>
    </w:tbl>
    <w:p w:rsidR="00F7673B" w:rsidRPr="004D46BC" w:rsidRDefault="00F7673B" w:rsidP="004D46BC">
      <w:pPr>
        <w:pStyle w:val="Listeafsnit"/>
        <w:numPr>
          <w:ilvl w:val="0"/>
          <w:numId w:val="6"/>
        </w:numPr>
        <w:ind w:left="1276" w:hanging="425"/>
        <w:rPr>
          <w:sz w:val="24"/>
          <w:szCs w:val="24"/>
        </w:rPr>
      </w:pPr>
      <w:r w:rsidRPr="004D46BC">
        <w:rPr>
          <w:sz w:val="24"/>
          <w:szCs w:val="24"/>
        </w:rPr>
        <w:t>Leverforandringerne er sjældent alvorlige og er oftest forbigående, forsvandt eller blev forbedret ved fortsat behandling eller efter ophør af behandlingen.</w:t>
      </w:r>
    </w:p>
    <w:p w:rsidR="00F7673B" w:rsidRPr="004D46BC" w:rsidRDefault="00F7673B" w:rsidP="004D46BC">
      <w:pPr>
        <w:pStyle w:val="Listeafsnit"/>
        <w:numPr>
          <w:ilvl w:val="0"/>
          <w:numId w:val="6"/>
        </w:numPr>
        <w:ind w:left="1276" w:hanging="425"/>
        <w:rPr>
          <w:sz w:val="24"/>
          <w:szCs w:val="24"/>
        </w:rPr>
      </w:pPr>
      <w:r w:rsidRPr="004D46BC">
        <w:rPr>
          <w:sz w:val="24"/>
          <w:szCs w:val="24"/>
        </w:rPr>
        <w:t xml:space="preserve">Størstedelen af patienter, der får </w:t>
      </w:r>
      <w:proofErr w:type="spellStart"/>
      <w:r w:rsidRPr="004D46BC">
        <w:rPr>
          <w:sz w:val="24"/>
          <w:szCs w:val="24"/>
        </w:rPr>
        <w:t>bicalutamid</w:t>
      </w:r>
      <w:proofErr w:type="spellEnd"/>
      <w:r w:rsidRPr="004D46BC">
        <w:rPr>
          <w:sz w:val="24"/>
          <w:szCs w:val="24"/>
        </w:rPr>
        <w:t xml:space="preserve"> 150 mg som monoterapi, får </w:t>
      </w:r>
      <w:proofErr w:type="spellStart"/>
      <w:r w:rsidRPr="004D46BC">
        <w:rPr>
          <w:sz w:val="24"/>
          <w:szCs w:val="24"/>
        </w:rPr>
        <w:t>gynækomasti</w:t>
      </w:r>
      <w:proofErr w:type="spellEnd"/>
      <w:r w:rsidRPr="004D46BC">
        <w:rPr>
          <w:sz w:val="24"/>
          <w:szCs w:val="24"/>
        </w:rPr>
        <w:t xml:space="preserve"> og/eller brystsmerter. Under forsøg blev disse symptomer anset at være svære hos op til 5 % af patienterne. </w:t>
      </w:r>
      <w:proofErr w:type="spellStart"/>
      <w:r w:rsidRPr="004D46BC">
        <w:rPr>
          <w:sz w:val="24"/>
          <w:szCs w:val="24"/>
        </w:rPr>
        <w:t>Gynækomasti</w:t>
      </w:r>
      <w:proofErr w:type="spellEnd"/>
      <w:r w:rsidRPr="004D46BC">
        <w:rPr>
          <w:sz w:val="24"/>
          <w:szCs w:val="24"/>
        </w:rPr>
        <w:t xml:space="preserve"> forsvinder muligvis ikke spontant efter behandlingsophør, især efter længerevarende behandling (≤ 1/10.000), ikke kendt (kan ikke estimeres ud fra forhåndenværende data). </w:t>
      </w:r>
    </w:p>
    <w:p w:rsidR="00B003BF" w:rsidRPr="004D46BC" w:rsidRDefault="00B003BF" w:rsidP="004D46BC">
      <w:pPr>
        <w:pStyle w:val="Sidehoved"/>
        <w:tabs>
          <w:tab w:val="clear" w:pos="4819"/>
          <w:tab w:val="clear" w:pos="9638"/>
        </w:tabs>
        <w:ind w:left="851" w:hanging="851"/>
        <w:rPr>
          <w:szCs w:val="24"/>
        </w:rPr>
      </w:pPr>
    </w:p>
    <w:p w:rsidR="00B003BF" w:rsidRPr="004D46BC" w:rsidRDefault="00B003BF" w:rsidP="004D46BC">
      <w:pPr>
        <w:ind w:left="851" w:hanging="851"/>
        <w:rPr>
          <w:b/>
          <w:sz w:val="24"/>
          <w:szCs w:val="24"/>
        </w:rPr>
      </w:pPr>
      <w:r w:rsidRPr="004D46BC">
        <w:rPr>
          <w:b/>
          <w:sz w:val="24"/>
          <w:szCs w:val="24"/>
        </w:rPr>
        <w:t>4.9</w:t>
      </w:r>
      <w:r w:rsidRPr="004D46BC">
        <w:rPr>
          <w:b/>
          <w:sz w:val="24"/>
          <w:szCs w:val="24"/>
        </w:rPr>
        <w:tab/>
        <w:t>Overdosering</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 xml:space="preserve">Der er ingen erfaring med overdosering hos mennesker. Da </w:t>
      </w:r>
      <w:proofErr w:type="spellStart"/>
      <w:r w:rsidR="00F7673B" w:rsidRPr="004D46BC">
        <w:rPr>
          <w:sz w:val="24"/>
          <w:szCs w:val="24"/>
        </w:rPr>
        <w:t>bicalutamid</w:t>
      </w:r>
      <w:proofErr w:type="spellEnd"/>
      <w:r w:rsidR="00F7673B" w:rsidRPr="004D46BC">
        <w:rPr>
          <w:sz w:val="24"/>
          <w:szCs w:val="24"/>
        </w:rPr>
        <w:t xml:space="preserve"> hører til de anilide forbindelser, er der en teoretisk risiko for udvikling af </w:t>
      </w:r>
      <w:proofErr w:type="spellStart"/>
      <w:r w:rsidR="00F7673B" w:rsidRPr="004D46BC">
        <w:rPr>
          <w:sz w:val="24"/>
          <w:szCs w:val="24"/>
        </w:rPr>
        <w:t>methæmoglobinæmi</w:t>
      </w:r>
      <w:proofErr w:type="spellEnd"/>
      <w:r w:rsidR="00F7673B" w:rsidRPr="004D46BC">
        <w:rPr>
          <w:sz w:val="24"/>
          <w:szCs w:val="24"/>
        </w:rPr>
        <w:t xml:space="preserve">. Der er observeret </w:t>
      </w:r>
      <w:proofErr w:type="spellStart"/>
      <w:r w:rsidR="00F7673B" w:rsidRPr="004D46BC">
        <w:rPr>
          <w:sz w:val="24"/>
          <w:szCs w:val="24"/>
        </w:rPr>
        <w:t>methæmoglobinæmi</w:t>
      </w:r>
      <w:proofErr w:type="spellEnd"/>
      <w:r w:rsidR="00F7673B" w:rsidRPr="004D46BC">
        <w:rPr>
          <w:sz w:val="24"/>
          <w:szCs w:val="24"/>
        </w:rPr>
        <w:t xml:space="preserve"> hos dyr efter en overdosering. Følgelig kan en patient med akut forgiftning være </w:t>
      </w:r>
      <w:proofErr w:type="spellStart"/>
      <w:r w:rsidR="00F7673B" w:rsidRPr="004D46BC">
        <w:rPr>
          <w:sz w:val="24"/>
          <w:szCs w:val="24"/>
        </w:rPr>
        <w:t>cyanotisk</w:t>
      </w:r>
      <w:proofErr w:type="spellEnd"/>
      <w:r w:rsidR="00F7673B" w:rsidRPr="004D46BC">
        <w:rPr>
          <w:sz w:val="24"/>
          <w:szCs w:val="24"/>
        </w:rPr>
        <w:t xml:space="preserve">. Der eksisterer ingen specifik </w:t>
      </w:r>
      <w:proofErr w:type="spellStart"/>
      <w:r w:rsidR="00F7673B" w:rsidRPr="004D46BC">
        <w:rPr>
          <w:sz w:val="24"/>
          <w:szCs w:val="24"/>
        </w:rPr>
        <w:t>antidot</w:t>
      </w:r>
      <w:proofErr w:type="spellEnd"/>
      <w:r w:rsidR="00F7673B" w:rsidRPr="004D46BC">
        <w:rPr>
          <w:sz w:val="24"/>
          <w:szCs w:val="24"/>
        </w:rPr>
        <w:t xml:space="preserve">; behandling bør være symptomatisk. Dialyse vil ikke nødvendigvis hjælpe, da </w:t>
      </w:r>
      <w:proofErr w:type="spellStart"/>
      <w:r w:rsidR="00F7673B" w:rsidRPr="004D46BC">
        <w:rPr>
          <w:sz w:val="24"/>
          <w:szCs w:val="24"/>
        </w:rPr>
        <w:t>bicalutamid</w:t>
      </w:r>
      <w:proofErr w:type="spellEnd"/>
      <w:r w:rsidR="00F7673B" w:rsidRPr="004D46BC">
        <w:rPr>
          <w:sz w:val="24"/>
          <w:szCs w:val="24"/>
        </w:rPr>
        <w:t xml:space="preserve"> i høj grad er proteinbundet og ikke genfindes uomdannet i urinen. Generel støttende pleje, inklusive hyppig kontrol af vitale tegn, er indiceret. </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4.10</w:t>
      </w:r>
      <w:r w:rsidRPr="004D46BC">
        <w:rPr>
          <w:b/>
          <w:sz w:val="24"/>
          <w:szCs w:val="24"/>
        </w:rPr>
        <w:tab/>
        <w:t>Udlevering</w:t>
      </w:r>
    </w:p>
    <w:p w:rsidR="00B003BF" w:rsidRPr="004D46BC" w:rsidRDefault="00B003BF" w:rsidP="004D46BC">
      <w:pPr>
        <w:ind w:left="851" w:hanging="851"/>
        <w:rPr>
          <w:sz w:val="24"/>
          <w:szCs w:val="24"/>
        </w:rPr>
      </w:pPr>
      <w:r w:rsidRPr="004D46BC">
        <w:rPr>
          <w:sz w:val="24"/>
          <w:szCs w:val="24"/>
        </w:rPr>
        <w:tab/>
      </w:r>
      <w:r w:rsidR="00F7673B" w:rsidRPr="004D46BC">
        <w:rPr>
          <w:sz w:val="24"/>
          <w:szCs w:val="24"/>
        </w:rPr>
        <w:t>A</w:t>
      </w:r>
    </w:p>
    <w:p w:rsidR="00B003BF" w:rsidRPr="004D46BC" w:rsidRDefault="00B003BF" w:rsidP="004D46BC">
      <w:pPr>
        <w:ind w:left="851" w:hanging="851"/>
        <w:rPr>
          <w:sz w:val="24"/>
          <w:szCs w:val="24"/>
        </w:rPr>
      </w:pP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5.</w:t>
      </w:r>
      <w:r w:rsidRPr="004D46BC">
        <w:rPr>
          <w:b/>
          <w:sz w:val="24"/>
          <w:szCs w:val="24"/>
        </w:rPr>
        <w:tab/>
        <w:t>FARMAKOLOGISKE EGENSKABER</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5.0</w:t>
      </w:r>
      <w:r w:rsidRPr="004D46BC">
        <w:rPr>
          <w:b/>
          <w:sz w:val="24"/>
          <w:szCs w:val="24"/>
        </w:rPr>
        <w:tab/>
        <w:t>Terapeutisk klassifikation</w:t>
      </w:r>
    </w:p>
    <w:p w:rsidR="00F7673B" w:rsidRPr="004D46BC" w:rsidRDefault="00B003BF" w:rsidP="004D46BC">
      <w:pPr>
        <w:ind w:left="851" w:hanging="851"/>
        <w:rPr>
          <w:sz w:val="24"/>
          <w:szCs w:val="24"/>
        </w:rPr>
      </w:pPr>
      <w:r w:rsidRPr="004D46BC">
        <w:rPr>
          <w:sz w:val="24"/>
          <w:szCs w:val="24"/>
        </w:rPr>
        <w:tab/>
      </w:r>
      <w:proofErr w:type="spellStart"/>
      <w:r w:rsidR="00F7673B" w:rsidRPr="004D46BC">
        <w:rPr>
          <w:sz w:val="24"/>
          <w:szCs w:val="24"/>
        </w:rPr>
        <w:t>Farmakoterapeutisk</w:t>
      </w:r>
      <w:proofErr w:type="spellEnd"/>
      <w:r w:rsidR="00F7673B" w:rsidRPr="004D46BC">
        <w:rPr>
          <w:sz w:val="24"/>
          <w:szCs w:val="24"/>
        </w:rPr>
        <w:t xml:space="preserve"> klassifikation: Hormonantagonister og relaterede stoffer, </w:t>
      </w:r>
      <w:proofErr w:type="spellStart"/>
      <w:r w:rsidR="00F7673B" w:rsidRPr="004D46BC">
        <w:rPr>
          <w:sz w:val="24"/>
          <w:szCs w:val="24"/>
        </w:rPr>
        <w:t>antiandrogner</w:t>
      </w:r>
      <w:proofErr w:type="spellEnd"/>
      <w:r w:rsidR="00F7673B" w:rsidRPr="004D46BC">
        <w:rPr>
          <w:sz w:val="24"/>
          <w:szCs w:val="24"/>
        </w:rPr>
        <w:t>,</w:t>
      </w:r>
    </w:p>
    <w:p w:rsidR="00F7673B" w:rsidRPr="004D46BC" w:rsidRDefault="00F7673B" w:rsidP="004D46BC">
      <w:pPr>
        <w:ind w:left="851"/>
        <w:rPr>
          <w:sz w:val="24"/>
          <w:szCs w:val="24"/>
        </w:rPr>
      </w:pPr>
      <w:r w:rsidRPr="004D46BC">
        <w:rPr>
          <w:sz w:val="24"/>
          <w:szCs w:val="24"/>
        </w:rPr>
        <w:t>ATC-kode: L02B B03</w:t>
      </w:r>
    </w:p>
    <w:p w:rsidR="00B003BF" w:rsidRDefault="00B003BF" w:rsidP="004D46BC">
      <w:pPr>
        <w:ind w:left="851" w:hanging="851"/>
        <w:rPr>
          <w:sz w:val="24"/>
          <w:szCs w:val="24"/>
        </w:rPr>
      </w:pPr>
    </w:p>
    <w:p w:rsidR="009C2736" w:rsidRPr="004D46BC" w:rsidRDefault="009C2736"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lastRenderedPageBreak/>
        <w:t>5.1</w:t>
      </w:r>
      <w:r w:rsidRPr="004D46BC">
        <w:rPr>
          <w:b/>
          <w:sz w:val="24"/>
          <w:szCs w:val="24"/>
        </w:rPr>
        <w:tab/>
      </w:r>
      <w:proofErr w:type="spellStart"/>
      <w:r w:rsidRPr="004D46BC">
        <w:rPr>
          <w:b/>
          <w:sz w:val="24"/>
          <w:szCs w:val="24"/>
        </w:rPr>
        <w:t>Farmakodynamiske</w:t>
      </w:r>
      <w:proofErr w:type="spellEnd"/>
      <w:r w:rsidRPr="004D46BC">
        <w:rPr>
          <w:b/>
          <w:sz w:val="24"/>
          <w:szCs w:val="24"/>
        </w:rPr>
        <w:t xml:space="preserve"> egenskaber</w:t>
      </w:r>
    </w:p>
    <w:p w:rsidR="00F7673B" w:rsidRPr="004D46BC" w:rsidRDefault="00B003BF" w:rsidP="004D46BC">
      <w:pPr>
        <w:ind w:left="851" w:hanging="851"/>
        <w:rPr>
          <w:sz w:val="24"/>
          <w:szCs w:val="24"/>
        </w:rPr>
      </w:pPr>
      <w:r w:rsidRPr="004D46BC">
        <w:rPr>
          <w:sz w:val="24"/>
          <w:szCs w:val="24"/>
        </w:rPr>
        <w:tab/>
      </w:r>
      <w:proofErr w:type="spellStart"/>
      <w:r w:rsidR="00F7673B" w:rsidRPr="004D46BC">
        <w:rPr>
          <w:sz w:val="24"/>
          <w:szCs w:val="24"/>
        </w:rPr>
        <w:t>Bicalutamid</w:t>
      </w:r>
      <w:proofErr w:type="spellEnd"/>
      <w:r w:rsidR="00F7673B" w:rsidRPr="004D46BC">
        <w:rPr>
          <w:sz w:val="24"/>
          <w:szCs w:val="24"/>
        </w:rPr>
        <w:t xml:space="preserve"> er et non-</w:t>
      </w:r>
      <w:proofErr w:type="spellStart"/>
      <w:r w:rsidR="00F7673B" w:rsidRPr="004D46BC">
        <w:rPr>
          <w:sz w:val="24"/>
          <w:szCs w:val="24"/>
        </w:rPr>
        <w:t>steroidt</w:t>
      </w:r>
      <w:proofErr w:type="spellEnd"/>
      <w:r w:rsidR="00F7673B" w:rsidRPr="004D46BC">
        <w:rPr>
          <w:sz w:val="24"/>
          <w:szCs w:val="24"/>
        </w:rPr>
        <w:t xml:space="preserve"> </w:t>
      </w:r>
      <w:proofErr w:type="spellStart"/>
      <w:r w:rsidR="00F7673B" w:rsidRPr="004D46BC">
        <w:rPr>
          <w:sz w:val="24"/>
          <w:szCs w:val="24"/>
        </w:rPr>
        <w:t>antiandrogen</w:t>
      </w:r>
      <w:proofErr w:type="spellEnd"/>
      <w:r w:rsidR="00F7673B" w:rsidRPr="004D46BC">
        <w:rPr>
          <w:sz w:val="24"/>
          <w:szCs w:val="24"/>
        </w:rPr>
        <w:t xml:space="preserve"> uden anden endokrin aktivitet. Det binder sig til vildtype eller normal </w:t>
      </w:r>
      <w:proofErr w:type="spellStart"/>
      <w:r w:rsidR="00F7673B" w:rsidRPr="004D46BC">
        <w:rPr>
          <w:sz w:val="24"/>
          <w:szCs w:val="24"/>
        </w:rPr>
        <w:t>androgenreceptor</w:t>
      </w:r>
      <w:proofErr w:type="spellEnd"/>
      <w:r w:rsidR="00F7673B" w:rsidRPr="004D46BC">
        <w:rPr>
          <w:sz w:val="24"/>
          <w:szCs w:val="24"/>
        </w:rPr>
        <w:t xml:space="preserve"> uden at aktivere </w:t>
      </w:r>
      <w:proofErr w:type="spellStart"/>
      <w:r w:rsidR="00F7673B" w:rsidRPr="004D46BC">
        <w:rPr>
          <w:sz w:val="24"/>
          <w:szCs w:val="24"/>
        </w:rPr>
        <w:t>genekspression</w:t>
      </w:r>
      <w:proofErr w:type="spellEnd"/>
      <w:r w:rsidR="00F7673B" w:rsidRPr="004D46BC">
        <w:rPr>
          <w:sz w:val="24"/>
          <w:szCs w:val="24"/>
        </w:rPr>
        <w:t xml:space="preserve">, og hæmmer dermed den </w:t>
      </w:r>
      <w:proofErr w:type="spellStart"/>
      <w:r w:rsidR="00F7673B" w:rsidRPr="004D46BC">
        <w:rPr>
          <w:sz w:val="24"/>
          <w:szCs w:val="24"/>
        </w:rPr>
        <w:t>androgene</w:t>
      </w:r>
      <w:proofErr w:type="spellEnd"/>
      <w:r w:rsidR="00F7673B" w:rsidRPr="004D46BC">
        <w:rPr>
          <w:sz w:val="24"/>
          <w:szCs w:val="24"/>
        </w:rPr>
        <w:t xml:space="preserve"> stimulus. Denne hæmning fører til regression af prostatatumorer. Klinisk set kan </w:t>
      </w:r>
      <w:proofErr w:type="spellStart"/>
      <w:r w:rsidR="00F7673B" w:rsidRPr="004D46BC">
        <w:rPr>
          <w:sz w:val="24"/>
          <w:szCs w:val="24"/>
        </w:rPr>
        <w:t>seponering</w:t>
      </w:r>
      <w:proofErr w:type="spellEnd"/>
      <w:r w:rsidR="00F7673B" w:rsidRPr="004D46BC">
        <w:rPr>
          <w:sz w:val="24"/>
          <w:szCs w:val="24"/>
        </w:rPr>
        <w:t xml:space="preserve"> af </w:t>
      </w:r>
      <w:proofErr w:type="spellStart"/>
      <w:r w:rsidR="00F7673B" w:rsidRPr="004D46BC">
        <w:rPr>
          <w:sz w:val="24"/>
          <w:szCs w:val="24"/>
        </w:rPr>
        <w:t>bicalutamidbehandlingen</w:t>
      </w:r>
      <w:proofErr w:type="spellEnd"/>
      <w:r w:rsidR="00F7673B" w:rsidRPr="004D46BC">
        <w:rPr>
          <w:sz w:val="24"/>
          <w:szCs w:val="24"/>
        </w:rPr>
        <w:t xml:space="preserve"> hos en subgruppe af patienter resultere i et </w:t>
      </w:r>
      <w:proofErr w:type="spellStart"/>
      <w:r w:rsidR="00F7673B" w:rsidRPr="004D46BC">
        <w:rPr>
          <w:sz w:val="24"/>
          <w:szCs w:val="24"/>
        </w:rPr>
        <w:t>antiandrogent</w:t>
      </w:r>
      <w:proofErr w:type="spellEnd"/>
      <w:r w:rsidR="00F7673B" w:rsidRPr="004D46BC">
        <w:rPr>
          <w:sz w:val="24"/>
          <w:szCs w:val="24"/>
        </w:rPr>
        <w:t xml:space="preserve"> ophørssyndrom.</w:t>
      </w:r>
    </w:p>
    <w:p w:rsidR="00F7673B" w:rsidRPr="004D46BC" w:rsidRDefault="00F7673B" w:rsidP="004D46BC">
      <w:pPr>
        <w:ind w:left="851"/>
        <w:rPr>
          <w:sz w:val="24"/>
          <w:szCs w:val="24"/>
        </w:rPr>
      </w:pPr>
      <w:proofErr w:type="spellStart"/>
      <w:r w:rsidRPr="004D46BC">
        <w:rPr>
          <w:sz w:val="24"/>
          <w:szCs w:val="24"/>
        </w:rPr>
        <w:t>Bicalutamid</w:t>
      </w:r>
      <w:proofErr w:type="spellEnd"/>
      <w:r w:rsidRPr="004D46BC">
        <w:rPr>
          <w:sz w:val="24"/>
          <w:szCs w:val="24"/>
        </w:rPr>
        <w:t xml:space="preserve"> er blevet undersøgt som behandling til patienter med lokaliseret (T1-T2, N0 eller NX, M0) eller lokalt fremskreden (T3-T4, alle N, M0; T1-T2, N+, M0) ikke-metastatisk prostatacancer i en kombinationsanalyse af tre plac</w:t>
      </w:r>
      <w:r w:rsidR="004D46BC">
        <w:rPr>
          <w:sz w:val="24"/>
          <w:szCs w:val="24"/>
        </w:rPr>
        <w:t>e</w:t>
      </w:r>
      <w:r w:rsidRPr="004D46BC">
        <w:rPr>
          <w:sz w:val="24"/>
          <w:szCs w:val="24"/>
        </w:rPr>
        <w:t xml:space="preserve">bokontrollerede, </w:t>
      </w:r>
      <w:proofErr w:type="spellStart"/>
      <w:r w:rsidRPr="004D46BC">
        <w:rPr>
          <w:sz w:val="24"/>
          <w:szCs w:val="24"/>
        </w:rPr>
        <w:t>dobbleltblinde</w:t>
      </w:r>
      <w:proofErr w:type="spellEnd"/>
      <w:r w:rsidRPr="004D46BC">
        <w:rPr>
          <w:sz w:val="24"/>
          <w:szCs w:val="24"/>
        </w:rPr>
        <w:t xml:space="preserve"> studier af 8113 patienter, hvor </w:t>
      </w:r>
      <w:proofErr w:type="spellStart"/>
      <w:r w:rsidRPr="004D46BC">
        <w:rPr>
          <w:sz w:val="24"/>
          <w:szCs w:val="24"/>
        </w:rPr>
        <w:t>bicalutamid</w:t>
      </w:r>
      <w:proofErr w:type="spellEnd"/>
      <w:r w:rsidRPr="004D46BC">
        <w:rPr>
          <w:sz w:val="24"/>
          <w:szCs w:val="24"/>
        </w:rPr>
        <w:t xml:space="preserve"> blev givet som hormonbehandling eller </w:t>
      </w:r>
      <w:proofErr w:type="spellStart"/>
      <w:r w:rsidRPr="004D46BC">
        <w:rPr>
          <w:sz w:val="24"/>
          <w:szCs w:val="24"/>
        </w:rPr>
        <w:t>adjuverende</w:t>
      </w:r>
      <w:proofErr w:type="spellEnd"/>
      <w:r w:rsidRPr="004D46BC">
        <w:rPr>
          <w:sz w:val="24"/>
          <w:szCs w:val="24"/>
        </w:rPr>
        <w:t xml:space="preserve"> sammen med radikal </w:t>
      </w:r>
      <w:proofErr w:type="spellStart"/>
      <w:r w:rsidRPr="004D46BC">
        <w:rPr>
          <w:sz w:val="24"/>
          <w:szCs w:val="24"/>
        </w:rPr>
        <w:t>prostatektomi</w:t>
      </w:r>
      <w:proofErr w:type="spellEnd"/>
      <w:r w:rsidRPr="004D46BC">
        <w:rPr>
          <w:sz w:val="24"/>
          <w:szCs w:val="24"/>
        </w:rPr>
        <w:t xml:space="preserve"> eller strålebehandling (primært ekstern stråling). Ved median opfølgning efter 9,7 år havde hhv. 36,6 % og 38,17 % af alle </w:t>
      </w:r>
      <w:proofErr w:type="spellStart"/>
      <w:r w:rsidRPr="004D46BC">
        <w:rPr>
          <w:sz w:val="24"/>
          <w:szCs w:val="24"/>
        </w:rPr>
        <w:t>bicalutamid</w:t>
      </w:r>
      <w:proofErr w:type="spellEnd"/>
      <w:r w:rsidRPr="004D46BC">
        <w:rPr>
          <w:sz w:val="24"/>
          <w:szCs w:val="24"/>
        </w:rPr>
        <w:t>- og placebobehandlede patienter objektiv sygdomsprogression.</w:t>
      </w:r>
    </w:p>
    <w:p w:rsidR="00F7673B" w:rsidRPr="004D46BC" w:rsidRDefault="00F7673B" w:rsidP="004D46BC">
      <w:pPr>
        <w:ind w:left="851"/>
        <w:rPr>
          <w:sz w:val="24"/>
          <w:szCs w:val="24"/>
        </w:rPr>
      </w:pPr>
      <w:r w:rsidRPr="004D46BC">
        <w:rPr>
          <w:sz w:val="24"/>
          <w:szCs w:val="24"/>
        </w:rPr>
        <w:t xml:space="preserve">Der sås reduceret risiko af objektiv sygdomsprogression i de fleste patientgrupper, men dette var tydeligst hos patienter med højere risiko for sygdomsprogression. Derfor kan klinikere beslutte, at den optimale medicinske strategi for patienter med lav risiko for sygdomsprogression, især hvis behandlingen er </w:t>
      </w:r>
      <w:proofErr w:type="spellStart"/>
      <w:r w:rsidRPr="004D46BC">
        <w:rPr>
          <w:sz w:val="24"/>
          <w:szCs w:val="24"/>
        </w:rPr>
        <w:t>adjuverende</w:t>
      </w:r>
      <w:proofErr w:type="spellEnd"/>
      <w:r w:rsidRPr="004D46BC">
        <w:rPr>
          <w:sz w:val="24"/>
          <w:szCs w:val="24"/>
        </w:rPr>
        <w:t xml:space="preserve"> efter radikal </w:t>
      </w:r>
      <w:proofErr w:type="spellStart"/>
      <w:r w:rsidRPr="004D46BC">
        <w:rPr>
          <w:sz w:val="24"/>
          <w:szCs w:val="24"/>
        </w:rPr>
        <w:t>prostatektomi</w:t>
      </w:r>
      <w:proofErr w:type="spellEnd"/>
      <w:r w:rsidRPr="004D46BC">
        <w:rPr>
          <w:sz w:val="24"/>
          <w:szCs w:val="24"/>
        </w:rPr>
        <w:t>, er at udsætte hormonbehandling, indtil der er tegn på, at sygdommen progredierer.</w:t>
      </w:r>
    </w:p>
    <w:p w:rsidR="00F7673B" w:rsidRPr="004D46BC" w:rsidRDefault="00F7673B" w:rsidP="004D46BC">
      <w:pPr>
        <w:ind w:left="851"/>
        <w:rPr>
          <w:sz w:val="24"/>
          <w:szCs w:val="24"/>
        </w:rPr>
      </w:pPr>
      <w:r w:rsidRPr="004D46BC">
        <w:rPr>
          <w:sz w:val="24"/>
          <w:szCs w:val="24"/>
        </w:rPr>
        <w:t xml:space="preserve">Der sås ingen overordnet forskel på overlevelse ved median opfølgning efter 9,7 år med 31,4 % dødelig (HR= 1,01; 95 % KI 0,94 til 1,09). Visse tendenser var imidlertid tydelig i </w:t>
      </w:r>
      <w:proofErr w:type="spellStart"/>
      <w:r w:rsidRPr="004D46BC">
        <w:rPr>
          <w:sz w:val="24"/>
          <w:szCs w:val="24"/>
        </w:rPr>
        <w:t>eksplorative</w:t>
      </w:r>
      <w:proofErr w:type="spellEnd"/>
      <w:r w:rsidRPr="004D46BC">
        <w:rPr>
          <w:sz w:val="24"/>
          <w:szCs w:val="24"/>
        </w:rPr>
        <w:t xml:space="preserve"> subgruppeanalyser.</w:t>
      </w:r>
    </w:p>
    <w:p w:rsidR="00F7673B" w:rsidRPr="004D46BC" w:rsidRDefault="00F7673B" w:rsidP="004D46BC">
      <w:pPr>
        <w:ind w:left="851"/>
        <w:rPr>
          <w:sz w:val="24"/>
          <w:szCs w:val="24"/>
        </w:rPr>
      </w:pPr>
      <w:r w:rsidRPr="004D46BC">
        <w:rPr>
          <w:sz w:val="24"/>
          <w:szCs w:val="24"/>
        </w:rPr>
        <w:t xml:space="preserve">Data om progressionsfri overlevelse og samlet overlevelse over tid, baseret på Kaplan-Meier </w:t>
      </w:r>
      <w:proofErr w:type="spellStart"/>
      <w:r w:rsidRPr="004D46BC">
        <w:rPr>
          <w:sz w:val="24"/>
          <w:szCs w:val="24"/>
        </w:rPr>
        <w:t>estimatoren</w:t>
      </w:r>
      <w:proofErr w:type="spellEnd"/>
      <w:r w:rsidRPr="004D46BC">
        <w:rPr>
          <w:sz w:val="24"/>
          <w:szCs w:val="24"/>
        </w:rPr>
        <w:t xml:space="preserve"> for patienter med lokalt fremskreden sygdom, er opsummeret i følgende skemaer:</w:t>
      </w:r>
    </w:p>
    <w:p w:rsidR="00F7673B" w:rsidRPr="004D46BC" w:rsidRDefault="00F7673B" w:rsidP="004D46BC">
      <w:pPr>
        <w:ind w:left="851" w:hanging="851"/>
        <w:jc w:val="both"/>
        <w:rPr>
          <w:sz w:val="24"/>
          <w:szCs w:val="24"/>
        </w:rPr>
      </w:pPr>
    </w:p>
    <w:p w:rsidR="00F7673B" w:rsidRDefault="00F7673B" w:rsidP="004D46BC">
      <w:pPr>
        <w:rPr>
          <w:b/>
          <w:sz w:val="24"/>
          <w:szCs w:val="24"/>
          <w:u w:val="single"/>
        </w:rPr>
      </w:pPr>
      <w:r w:rsidRPr="004D46BC">
        <w:rPr>
          <w:b/>
          <w:sz w:val="24"/>
          <w:szCs w:val="24"/>
          <w:u w:val="single"/>
        </w:rPr>
        <w:t xml:space="preserve">Skema 1 Andel af patienter med lokalt fremskreden sygdom med sygdomsprogression over tid ifølge </w:t>
      </w:r>
      <w:proofErr w:type="spellStart"/>
      <w:r w:rsidRPr="004D46BC">
        <w:rPr>
          <w:b/>
          <w:sz w:val="24"/>
          <w:szCs w:val="24"/>
          <w:u w:val="single"/>
        </w:rPr>
        <w:t>behandlingssubgruppe</w:t>
      </w:r>
      <w:proofErr w:type="spellEnd"/>
    </w:p>
    <w:p w:rsidR="004D46BC" w:rsidRPr="004D46BC" w:rsidRDefault="004D46BC" w:rsidP="004D46BC">
      <w:pPr>
        <w:rPr>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1944"/>
        <w:gridCol w:w="1357"/>
        <w:gridCol w:w="1437"/>
        <w:gridCol w:w="1357"/>
        <w:gridCol w:w="1362"/>
      </w:tblGrid>
      <w:tr w:rsidR="00F7673B" w:rsidRPr="004D46BC" w:rsidTr="003405F0">
        <w:tc>
          <w:tcPr>
            <w:tcW w:w="1102" w:type="pct"/>
          </w:tcPr>
          <w:p w:rsidR="00F7673B" w:rsidRPr="004D46BC" w:rsidRDefault="00F7673B" w:rsidP="003405F0">
            <w:pPr>
              <w:ind w:left="34"/>
              <w:rPr>
                <w:sz w:val="24"/>
                <w:szCs w:val="24"/>
              </w:rPr>
            </w:pPr>
            <w:r w:rsidRPr="004D46BC">
              <w:rPr>
                <w:b/>
                <w:sz w:val="24"/>
                <w:szCs w:val="24"/>
              </w:rPr>
              <w:t>Analysepopulation</w:t>
            </w:r>
          </w:p>
        </w:tc>
        <w:tc>
          <w:tcPr>
            <w:tcW w:w="986" w:type="pct"/>
          </w:tcPr>
          <w:p w:rsidR="00F7673B" w:rsidRPr="004D46BC" w:rsidRDefault="00F7673B" w:rsidP="003405F0">
            <w:pPr>
              <w:ind w:left="34"/>
              <w:rPr>
                <w:sz w:val="24"/>
                <w:szCs w:val="24"/>
              </w:rPr>
            </w:pPr>
            <w:r w:rsidRPr="004D46BC">
              <w:rPr>
                <w:b/>
                <w:sz w:val="24"/>
                <w:szCs w:val="24"/>
              </w:rPr>
              <w:t>Behandlingsarm</w:t>
            </w:r>
          </w:p>
        </w:tc>
        <w:tc>
          <w:tcPr>
            <w:tcW w:w="689" w:type="pct"/>
          </w:tcPr>
          <w:p w:rsidR="00F7673B" w:rsidRPr="004D46BC" w:rsidRDefault="00F7673B" w:rsidP="003405F0">
            <w:pPr>
              <w:ind w:left="34"/>
              <w:rPr>
                <w:sz w:val="24"/>
                <w:szCs w:val="24"/>
              </w:rPr>
            </w:pPr>
            <w:r w:rsidRPr="004D46BC">
              <w:rPr>
                <w:b/>
                <w:sz w:val="24"/>
                <w:szCs w:val="24"/>
              </w:rPr>
              <w:t>Hændelser (%) efter 3 år</w:t>
            </w:r>
          </w:p>
        </w:tc>
        <w:tc>
          <w:tcPr>
            <w:tcW w:w="768" w:type="pct"/>
          </w:tcPr>
          <w:p w:rsidR="00F7673B" w:rsidRPr="004D46BC" w:rsidRDefault="00F7673B" w:rsidP="003405F0">
            <w:pPr>
              <w:ind w:left="34"/>
              <w:rPr>
                <w:sz w:val="24"/>
                <w:szCs w:val="24"/>
              </w:rPr>
            </w:pPr>
            <w:r w:rsidRPr="004D46BC">
              <w:rPr>
                <w:b/>
                <w:sz w:val="24"/>
                <w:szCs w:val="24"/>
              </w:rPr>
              <w:t>Hændelser (%) efter 5 år</w:t>
            </w:r>
          </w:p>
        </w:tc>
        <w:tc>
          <w:tcPr>
            <w:tcW w:w="707" w:type="pct"/>
          </w:tcPr>
          <w:p w:rsidR="00F7673B" w:rsidRPr="004D46BC" w:rsidRDefault="00F7673B" w:rsidP="003405F0">
            <w:pPr>
              <w:ind w:left="34"/>
              <w:rPr>
                <w:sz w:val="24"/>
                <w:szCs w:val="24"/>
              </w:rPr>
            </w:pPr>
            <w:r w:rsidRPr="004D46BC">
              <w:rPr>
                <w:b/>
                <w:sz w:val="24"/>
                <w:szCs w:val="24"/>
              </w:rPr>
              <w:t>Hændelser (%) efter 7 år</w:t>
            </w:r>
          </w:p>
        </w:tc>
        <w:tc>
          <w:tcPr>
            <w:tcW w:w="748" w:type="pct"/>
          </w:tcPr>
          <w:p w:rsidR="00F7673B" w:rsidRPr="004D46BC" w:rsidRDefault="00F7673B" w:rsidP="003405F0">
            <w:pPr>
              <w:ind w:left="34"/>
              <w:rPr>
                <w:sz w:val="24"/>
                <w:szCs w:val="24"/>
              </w:rPr>
            </w:pPr>
            <w:r w:rsidRPr="004D46BC">
              <w:rPr>
                <w:b/>
                <w:sz w:val="24"/>
                <w:szCs w:val="24"/>
              </w:rPr>
              <w:t>Hændelser (%) efter 10 år</w:t>
            </w:r>
          </w:p>
        </w:tc>
      </w:tr>
      <w:tr w:rsidR="00F7673B" w:rsidRPr="004D46BC" w:rsidTr="003405F0">
        <w:tc>
          <w:tcPr>
            <w:tcW w:w="1102" w:type="pct"/>
            <w:vMerge w:val="restart"/>
          </w:tcPr>
          <w:p w:rsidR="00F7673B" w:rsidRPr="004D46BC" w:rsidRDefault="00F7673B" w:rsidP="003405F0">
            <w:pPr>
              <w:ind w:left="34"/>
              <w:rPr>
                <w:sz w:val="24"/>
                <w:szCs w:val="24"/>
              </w:rPr>
            </w:pPr>
            <w:proofErr w:type="spellStart"/>
            <w:r w:rsidRPr="004D46BC">
              <w:rPr>
                <w:sz w:val="24"/>
                <w:szCs w:val="24"/>
              </w:rPr>
              <w:t>Ekspekterende</w:t>
            </w:r>
            <w:proofErr w:type="spellEnd"/>
            <w:r w:rsidRPr="004D46BC">
              <w:rPr>
                <w:sz w:val="24"/>
                <w:szCs w:val="24"/>
              </w:rPr>
              <w:t xml:space="preserve"> behandling</w:t>
            </w:r>
          </w:p>
          <w:p w:rsidR="00F7673B" w:rsidRPr="004D46BC" w:rsidRDefault="00F7673B" w:rsidP="003405F0">
            <w:pPr>
              <w:ind w:left="34"/>
              <w:rPr>
                <w:sz w:val="24"/>
                <w:szCs w:val="24"/>
              </w:rPr>
            </w:pPr>
            <w:r w:rsidRPr="004D46BC">
              <w:rPr>
                <w:sz w:val="24"/>
                <w:szCs w:val="24"/>
              </w:rPr>
              <w:t>(n=657)</w:t>
            </w:r>
          </w:p>
        </w:tc>
        <w:tc>
          <w:tcPr>
            <w:tcW w:w="986" w:type="pct"/>
          </w:tcPr>
          <w:p w:rsidR="00F7673B" w:rsidRPr="004D46BC" w:rsidRDefault="00F7673B" w:rsidP="003405F0">
            <w:pPr>
              <w:spacing w:after="120"/>
              <w:ind w:left="34"/>
              <w:rPr>
                <w:sz w:val="24"/>
                <w:szCs w:val="24"/>
              </w:rPr>
            </w:pPr>
            <w:proofErr w:type="spellStart"/>
            <w:r w:rsidRPr="004D46BC">
              <w:rPr>
                <w:sz w:val="24"/>
                <w:szCs w:val="24"/>
              </w:rPr>
              <w:t>Bicalutamid</w:t>
            </w:r>
            <w:proofErr w:type="spellEnd"/>
            <w:r w:rsidRPr="004D46BC">
              <w:rPr>
                <w:sz w:val="24"/>
                <w:szCs w:val="24"/>
              </w:rPr>
              <w:t xml:space="preserve"> 150 mg</w:t>
            </w:r>
          </w:p>
        </w:tc>
        <w:tc>
          <w:tcPr>
            <w:tcW w:w="689" w:type="pct"/>
          </w:tcPr>
          <w:p w:rsidR="00F7673B" w:rsidRPr="004D46BC" w:rsidRDefault="00F7673B" w:rsidP="003405F0">
            <w:pPr>
              <w:spacing w:after="120"/>
              <w:ind w:left="34"/>
              <w:rPr>
                <w:sz w:val="24"/>
                <w:szCs w:val="24"/>
                <w:lang w:val="en-US"/>
              </w:rPr>
            </w:pPr>
            <w:r w:rsidRPr="004D46BC">
              <w:rPr>
                <w:sz w:val="24"/>
                <w:szCs w:val="24"/>
                <w:lang w:val="en-US"/>
              </w:rPr>
              <w:t>19,7 %</w:t>
            </w:r>
          </w:p>
        </w:tc>
        <w:tc>
          <w:tcPr>
            <w:tcW w:w="768" w:type="pct"/>
          </w:tcPr>
          <w:p w:rsidR="00F7673B" w:rsidRPr="004D46BC" w:rsidRDefault="00F7673B" w:rsidP="003405F0">
            <w:pPr>
              <w:spacing w:after="120"/>
              <w:ind w:left="34"/>
              <w:rPr>
                <w:sz w:val="24"/>
                <w:szCs w:val="24"/>
                <w:lang w:val="en-US"/>
              </w:rPr>
            </w:pPr>
            <w:r w:rsidRPr="004D46BC">
              <w:rPr>
                <w:sz w:val="24"/>
                <w:szCs w:val="24"/>
                <w:lang w:val="en-US"/>
              </w:rPr>
              <w:t xml:space="preserve">36,3 % </w:t>
            </w:r>
          </w:p>
        </w:tc>
        <w:tc>
          <w:tcPr>
            <w:tcW w:w="707" w:type="pct"/>
          </w:tcPr>
          <w:p w:rsidR="00F7673B" w:rsidRPr="004D46BC" w:rsidRDefault="00F7673B" w:rsidP="003405F0">
            <w:pPr>
              <w:spacing w:after="120"/>
              <w:ind w:left="34"/>
              <w:rPr>
                <w:sz w:val="24"/>
                <w:szCs w:val="24"/>
                <w:lang w:val="en-US"/>
              </w:rPr>
            </w:pPr>
            <w:r w:rsidRPr="004D46BC">
              <w:rPr>
                <w:sz w:val="24"/>
                <w:szCs w:val="24"/>
                <w:lang w:val="en-US"/>
              </w:rPr>
              <w:t>52,1 %</w:t>
            </w:r>
          </w:p>
        </w:tc>
        <w:tc>
          <w:tcPr>
            <w:tcW w:w="748" w:type="pct"/>
          </w:tcPr>
          <w:p w:rsidR="00F7673B" w:rsidRPr="004D46BC" w:rsidRDefault="00F7673B" w:rsidP="003405F0">
            <w:pPr>
              <w:spacing w:after="120"/>
              <w:ind w:left="34"/>
              <w:rPr>
                <w:sz w:val="24"/>
                <w:szCs w:val="24"/>
                <w:lang w:val="en-US"/>
              </w:rPr>
            </w:pPr>
            <w:r w:rsidRPr="004D46BC">
              <w:rPr>
                <w:sz w:val="24"/>
                <w:szCs w:val="24"/>
                <w:lang w:val="en-US"/>
              </w:rPr>
              <w:t xml:space="preserve">73,2 % </w:t>
            </w:r>
          </w:p>
        </w:tc>
      </w:tr>
      <w:tr w:rsidR="00F7673B" w:rsidRPr="004D46BC" w:rsidTr="003405F0">
        <w:tc>
          <w:tcPr>
            <w:tcW w:w="1102" w:type="pct"/>
            <w:vMerge/>
          </w:tcPr>
          <w:p w:rsidR="00F7673B" w:rsidRPr="004D46BC" w:rsidRDefault="00F7673B" w:rsidP="003405F0">
            <w:pPr>
              <w:spacing w:after="120"/>
              <w:ind w:left="34"/>
              <w:rPr>
                <w:sz w:val="24"/>
                <w:szCs w:val="24"/>
                <w:lang w:val="en-US"/>
              </w:rPr>
            </w:pPr>
          </w:p>
        </w:tc>
        <w:tc>
          <w:tcPr>
            <w:tcW w:w="986" w:type="pct"/>
          </w:tcPr>
          <w:p w:rsidR="00F7673B" w:rsidRPr="004D46BC" w:rsidRDefault="00F7673B" w:rsidP="003405F0">
            <w:pPr>
              <w:spacing w:after="120"/>
              <w:ind w:left="34"/>
              <w:rPr>
                <w:sz w:val="24"/>
                <w:szCs w:val="24"/>
              </w:rPr>
            </w:pPr>
            <w:r w:rsidRPr="004D46BC">
              <w:rPr>
                <w:sz w:val="24"/>
                <w:szCs w:val="24"/>
              </w:rPr>
              <w:t>Placebo</w:t>
            </w:r>
          </w:p>
        </w:tc>
        <w:tc>
          <w:tcPr>
            <w:tcW w:w="689" w:type="pct"/>
          </w:tcPr>
          <w:p w:rsidR="00F7673B" w:rsidRPr="004D46BC" w:rsidRDefault="00F7673B" w:rsidP="003405F0">
            <w:pPr>
              <w:spacing w:after="120"/>
              <w:ind w:left="34"/>
              <w:rPr>
                <w:sz w:val="24"/>
                <w:szCs w:val="24"/>
                <w:lang w:val="en-US"/>
              </w:rPr>
            </w:pPr>
            <w:r w:rsidRPr="004D46BC">
              <w:rPr>
                <w:sz w:val="24"/>
                <w:szCs w:val="24"/>
                <w:lang w:val="en-US"/>
              </w:rPr>
              <w:t>39,8 %</w:t>
            </w:r>
          </w:p>
        </w:tc>
        <w:tc>
          <w:tcPr>
            <w:tcW w:w="768" w:type="pct"/>
          </w:tcPr>
          <w:p w:rsidR="00F7673B" w:rsidRPr="004D46BC" w:rsidRDefault="00F7673B" w:rsidP="003405F0">
            <w:pPr>
              <w:spacing w:after="120"/>
              <w:ind w:left="34"/>
              <w:rPr>
                <w:sz w:val="24"/>
                <w:szCs w:val="24"/>
                <w:lang w:val="en-US"/>
              </w:rPr>
            </w:pPr>
            <w:r w:rsidRPr="004D46BC">
              <w:rPr>
                <w:sz w:val="24"/>
                <w:szCs w:val="24"/>
                <w:lang w:val="en-US"/>
              </w:rPr>
              <w:t>59,7 %</w:t>
            </w:r>
          </w:p>
        </w:tc>
        <w:tc>
          <w:tcPr>
            <w:tcW w:w="707" w:type="pct"/>
          </w:tcPr>
          <w:p w:rsidR="00F7673B" w:rsidRPr="004D46BC" w:rsidRDefault="00F7673B" w:rsidP="003405F0">
            <w:pPr>
              <w:spacing w:after="120"/>
              <w:ind w:left="34"/>
              <w:rPr>
                <w:sz w:val="24"/>
                <w:szCs w:val="24"/>
                <w:lang w:val="en-US"/>
              </w:rPr>
            </w:pPr>
            <w:r w:rsidRPr="004D46BC">
              <w:rPr>
                <w:sz w:val="24"/>
                <w:szCs w:val="24"/>
                <w:lang w:val="en-US"/>
              </w:rPr>
              <w:t>70,7 %</w:t>
            </w:r>
          </w:p>
        </w:tc>
        <w:tc>
          <w:tcPr>
            <w:tcW w:w="748" w:type="pct"/>
          </w:tcPr>
          <w:p w:rsidR="00F7673B" w:rsidRPr="004D46BC" w:rsidRDefault="00F7673B" w:rsidP="003405F0">
            <w:pPr>
              <w:spacing w:after="120"/>
              <w:ind w:left="34"/>
              <w:rPr>
                <w:sz w:val="24"/>
                <w:szCs w:val="24"/>
                <w:lang w:val="en-US"/>
              </w:rPr>
            </w:pPr>
            <w:r w:rsidRPr="004D46BC">
              <w:rPr>
                <w:sz w:val="24"/>
                <w:szCs w:val="24"/>
                <w:lang w:val="en-US"/>
              </w:rPr>
              <w:t xml:space="preserve">79,1 % </w:t>
            </w:r>
          </w:p>
        </w:tc>
      </w:tr>
      <w:tr w:rsidR="00F7673B" w:rsidRPr="004D46BC" w:rsidTr="003405F0">
        <w:tc>
          <w:tcPr>
            <w:tcW w:w="1102" w:type="pct"/>
            <w:vMerge w:val="restart"/>
          </w:tcPr>
          <w:p w:rsidR="00F7673B" w:rsidRPr="004D46BC" w:rsidRDefault="00F7673B" w:rsidP="003405F0">
            <w:pPr>
              <w:spacing w:after="120"/>
              <w:ind w:left="34"/>
              <w:rPr>
                <w:sz w:val="24"/>
                <w:szCs w:val="24"/>
              </w:rPr>
            </w:pPr>
            <w:r w:rsidRPr="004D46BC">
              <w:rPr>
                <w:sz w:val="24"/>
                <w:szCs w:val="24"/>
              </w:rPr>
              <w:t>Strålebehandling (n=305)</w:t>
            </w:r>
          </w:p>
        </w:tc>
        <w:tc>
          <w:tcPr>
            <w:tcW w:w="986" w:type="pct"/>
          </w:tcPr>
          <w:p w:rsidR="00F7673B" w:rsidRPr="004D46BC" w:rsidRDefault="00F7673B" w:rsidP="003405F0">
            <w:pPr>
              <w:spacing w:after="120"/>
              <w:ind w:left="34"/>
              <w:rPr>
                <w:sz w:val="24"/>
                <w:szCs w:val="24"/>
              </w:rPr>
            </w:pPr>
            <w:proofErr w:type="spellStart"/>
            <w:r w:rsidRPr="004D46BC">
              <w:rPr>
                <w:sz w:val="24"/>
                <w:szCs w:val="24"/>
              </w:rPr>
              <w:t>Bicalutamid</w:t>
            </w:r>
            <w:proofErr w:type="spellEnd"/>
            <w:r w:rsidRPr="004D46BC">
              <w:rPr>
                <w:sz w:val="24"/>
                <w:szCs w:val="24"/>
              </w:rPr>
              <w:t xml:space="preserve"> 150 mg</w:t>
            </w:r>
            <w:r w:rsidRPr="004D46BC">
              <w:rPr>
                <w:sz w:val="24"/>
                <w:szCs w:val="24"/>
                <w:lang w:val="en-US"/>
              </w:rPr>
              <w:t xml:space="preserve"> </w:t>
            </w:r>
          </w:p>
        </w:tc>
        <w:tc>
          <w:tcPr>
            <w:tcW w:w="689" w:type="pct"/>
          </w:tcPr>
          <w:p w:rsidR="00F7673B" w:rsidRPr="004D46BC" w:rsidRDefault="00F7673B" w:rsidP="003405F0">
            <w:pPr>
              <w:spacing w:after="120"/>
              <w:ind w:left="34"/>
              <w:rPr>
                <w:sz w:val="24"/>
                <w:szCs w:val="24"/>
                <w:lang w:val="en-US"/>
              </w:rPr>
            </w:pPr>
            <w:r w:rsidRPr="004D46BC">
              <w:rPr>
                <w:sz w:val="24"/>
                <w:szCs w:val="24"/>
                <w:lang w:val="en-US"/>
              </w:rPr>
              <w:t xml:space="preserve">13,9 % </w:t>
            </w:r>
          </w:p>
        </w:tc>
        <w:tc>
          <w:tcPr>
            <w:tcW w:w="768" w:type="pct"/>
          </w:tcPr>
          <w:p w:rsidR="00F7673B" w:rsidRPr="004D46BC" w:rsidRDefault="00F7673B" w:rsidP="003405F0">
            <w:pPr>
              <w:spacing w:after="120"/>
              <w:ind w:left="34"/>
              <w:rPr>
                <w:sz w:val="24"/>
                <w:szCs w:val="24"/>
                <w:lang w:val="en-US"/>
              </w:rPr>
            </w:pPr>
            <w:r w:rsidRPr="004D46BC">
              <w:rPr>
                <w:sz w:val="24"/>
                <w:szCs w:val="24"/>
                <w:lang w:val="en-US"/>
              </w:rPr>
              <w:t>33,0 %</w:t>
            </w:r>
          </w:p>
        </w:tc>
        <w:tc>
          <w:tcPr>
            <w:tcW w:w="707" w:type="pct"/>
          </w:tcPr>
          <w:p w:rsidR="00F7673B" w:rsidRPr="004D46BC" w:rsidRDefault="00F7673B" w:rsidP="003405F0">
            <w:pPr>
              <w:spacing w:after="120"/>
              <w:ind w:left="34"/>
              <w:rPr>
                <w:sz w:val="24"/>
                <w:szCs w:val="24"/>
                <w:lang w:val="en-US"/>
              </w:rPr>
            </w:pPr>
            <w:r w:rsidRPr="004D46BC">
              <w:rPr>
                <w:sz w:val="24"/>
                <w:szCs w:val="24"/>
                <w:lang w:val="en-US"/>
              </w:rPr>
              <w:t xml:space="preserve">42,1 % </w:t>
            </w:r>
          </w:p>
        </w:tc>
        <w:tc>
          <w:tcPr>
            <w:tcW w:w="748" w:type="pct"/>
          </w:tcPr>
          <w:p w:rsidR="00F7673B" w:rsidRPr="004D46BC" w:rsidRDefault="00F7673B" w:rsidP="003405F0">
            <w:pPr>
              <w:spacing w:after="120"/>
              <w:ind w:left="34"/>
              <w:rPr>
                <w:sz w:val="24"/>
                <w:szCs w:val="24"/>
                <w:lang w:val="en-US"/>
              </w:rPr>
            </w:pPr>
            <w:r w:rsidRPr="004D46BC">
              <w:rPr>
                <w:sz w:val="24"/>
                <w:szCs w:val="24"/>
                <w:lang w:val="en-US"/>
              </w:rPr>
              <w:t>62,7 %</w:t>
            </w:r>
          </w:p>
        </w:tc>
      </w:tr>
      <w:tr w:rsidR="00F7673B" w:rsidRPr="004D46BC" w:rsidTr="003405F0">
        <w:tc>
          <w:tcPr>
            <w:tcW w:w="1102" w:type="pct"/>
            <w:vMerge/>
          </w:tcPr>
          <w:p w:rsidR="00F7673B" w:rsidRPr="004D46BC" w:rsidRDefault="00F7673B" w:rsidP="003405F0">
            <w:pPr>
              <w:spacing w:after="120"/>
              <w:ind w:left="34"/>
              <w:rPr>
                <w:sz w:val="24"/>
                <w:szCs w:val="24"/>
                <w:lang w:val="en-US"/>
              </w:rPr>
            </w:pPr>
          </w:p>
        </w:tc>
        <w:tc>
          <w:tcPr>
            <w:tcW w:w="986" w:type="pct"/>
          </w:tcPr>
          <w:p w:rsidR="00F7673B" w:rsidRPr="004D46BC" w:rsidRDefault="00F7673B" w:rsidP="003405F0">
            <w:pPr>
              <w:spacing w:after="120"/>
              <w:ind w:left="34"/>
              <w:rPr>
                <w:sz w:val="24"/>
                <w:szCs w:val="24"/>
              </w:rPr>
            </w:pPr>
            <w:r w:rsidRPr="004D46BC">
              <w:rPr>
                <w:sz w:val="24"/>
                <w:szCs w:val="24"/>
              </w:rPr>
              <w:t>Placebo</w:t>
            </w:r>
          </w:p>
        </w:tc>
        <w:tc>
          <w:tcPr>
            <w:tcW w:w="689" w:type="pct"/>
          </w:tcPr>
          <w:p w:rsidR="00F7673B" w:rsidRPr="004D46BC" w:rsidRDefault="00F7673B" w:rsidP="003405F0">
            <w:pPr>
              <w:spacing w:after="120"/>
              <w:ind w:left="34"/>
              <w:rPr>
                <w:sz w:val="24"/>
                <w:szCs w:val="24"/>
                <w:lang w:val="en-US"/>
              </w:rPr>
            </w:pPr>
            <w:r w:rsidRPr="004D46BC">
              <w:rPr>
                <w:sz w:val="24"/>
                <w:szCs w:val="24"/>
                <w:lang w:val="en-US"/>
              </w:rPr>
              <w:t>30,7 %</w:t>
            </w:r>
          </w:p>
        </w:tc>
        <w:tc>
          <w:tcPr>
            <w:tcW w:w="768" w:type="pct"/>
          </w:tcPr>
          <w:p w:rsidR="00F7673B" w:rsidRPr="004D46BC" w:rsidRDefault="00F7673B" w:rsidP="003405F0">
            <w:pPr>
              <w:spacing w:after="120"/>
              <w:ind w:left="34"/>
              <w:rPr>
                <w:sz w:val="24"/>
                <w:szCs w:val="24"/>
                <w:lang w:val="en-US"/>
              </w:rPr>
            </w:pPr>
            <w:r w:rsidRPr="004D46BC">
              <w:rPr>
                <w:sz w:val="24"/>
                <w:szCs w:val="24"/>
                <w:lang w:val="en-US"/>
              </w:rPr>
              <w:t>49,4 %</w:t>
            </w:r>
          </w:p>
        </w:tc>
        <w:tc>
          <w:tcPr>
            <w:tcW w:w="707" w:type="pct"/>
          </w:tcPr>
          <w:p w:rsidR="00F7673B" w:rsidRPr="004D46BC" w:rsidRDefault="00F7673B" w:rsidP="003405F0">
            <w:pPr>
              <w:spacing w:after="120"/>
              <w:ind w:left="34"/>
              <w:rPr>
                <w:sz w:val="24"/>
                <w:szCs w:val="24"/>
                <w:lang w:val="en-US"/>
              </w:rPr>
            </w:pPr>
            <w:r w:rsidRPr="004D46BC">
              <w:rPr>
                <w:sz w:val="24"/>
                <w:szCs w:val="24"/>
                <w:lang w:val="en-US"/>
              </w:rPr>
              <w:t>58,6 %</w:t>
            </w:r>
          </w:p>
        </w:tc>
        <w:tc>
          <w:tcPr>
            <w:tcW w:w="748" w:type="pct"/>
          </w:tcPr>
          <w:p w:rsidR="00F7673B" w:rsidRPr="004D46BC" w:rsidRDefault="00F7673B" w:rsidP="003405F0">
            <w:pPr>
              <w:spacing w:after="120"/>
              <w:ind w:left="34"/>
              <w:rPr>
                <w:sz w:val="24"/>
                <w:szCs w:val="24"/>
                <w:lang w:val="en-US"/>
              </w:rPr>
            </w:pPr>
            <w:r w:rsidRPr="004D46BC">
              <w:rPr>
                <w:sz w:val="24"/>
                <w:szCs w:val="24"/>
                <w:lang w:val="en-US"/>
              </w:rPr>
              <w:t>72,2 %</w:t>
            </w:r>
          </w:p>
        </w:tc>
      </w:tr>
      <w:tr w:rsidR="00F7673B" w:rsidRPr="004D46BC" w:rsidTr="003405F0">
        <w:tc>
          <w:tcPr>
            <w:tcW w:w="1102" w:type="pct"/>
            <w:vMerge w:val="restart"/>
          </w:tcPr>
          <w:p w:rsidR="00F7673B" w:rsidRPr="004D46BC" w:rsidRDefault="00F7673B" w:rsidP="003405F0">
            <w:pPr>
              <w:spacing w:after="120"/>
              <w:ind w:left="34"/>
              <w:rPr>
                <w:sz w:val="24"/>
                <w:szCs w:val="24"/>
              </w:rPr>
            </w:pPr>
            <w:r w:rsidRPr="004D46BC">
              <w:rPr>
                <w:sz w:val="24"/>
                <w:szCs w:val="24"/>
              </w:rPr>
              <w:t xml:space="preserve">Radikal </w:t>
            </w:r>
            <w:proofErr w:type="spellStart"/>
            <w:r w:rsidRPr="004D46BC">
              <w:rPr>
                <w:sz w:val="24"/>
                <w:szCs w:val="24"/>
              </w:rPr>
              <w:t>prostatektomi</w:t>
            </w:r>
            <w:proofErr w:type="spellEnd"/>
            <w:r w:rsidRPr="004D46BC">
              <w:rPr>
                <w:sz w:val="24"/>
                <w:szCs w:val="24"/>
              </w:rPr>
              <w:t xml:space="preserve"> (n=1719)</w:t>
            </w:r>
          </w:p>
        </w:tc>
        <w:tc>
          <w:tcPr>
            <w:tcW w:w="986" w:type="pct"/>
          </w:tcPr>
          <w:p w:rsidR="00F7673B" w:rsidRPr="004D46BC" w:rsidRDefault="00F7673B" w:rsidP="003405F0">
            <w:pPr>
              <w:spacing w:after="120"/>
              <w:ind w:left="34"/>
              <w:rPr>
                <w:sz w:val="24"/>
                <w:szCs w:val="24"/>
              </w:rPr>
            </w:pPr>
            <w:proofErr w:type="spellStart"/>
            <w:r w:rsidRPr="004D46BC">
              <w:rPr>
                <w:sz w:val="24"/>
                <w:szCs w:val="24"/>
              </w:rPr>
              <w:t>Bicalutamid</w:t>
            </w:r>
            <w:proofErr w:type="spellEnd"/>
            <w:r w:rsidRPr="004D46BC">
              <w:rPr>
                <w:sz w:val="24"/>
                <w:szCs w:val="24"/>
              </w:rPr>
              <w:t xml:space="preserve"> 150 mg</w:t>
            </w:r>
            <w:r w:rsidRPr="004D46BC">
              <w:rPr>
                <w:sz w:val="24"/>
                <w:szCs w:val="24"/>
                <w:lang w:val="en-US"/>
              </w:rPr>
              <w:t xml:space="preserve"> </w:t>
            </w:r>
          </w:p>
        </w:tc>
        <w:tc>
          <w:tcPr>
            <w:tcW w:w="689" w:type="pct"/>
          </w:tcPr>
          <w:p w:rsidR="00F7673B" w:rsidRPr="004D46BC" w:rsidRDefault="00F7673B" w:rsidP="003405F0">
            <w:pPr>
              <w:spacing w:after="120"/>
              <w:ind w:left="34"/>
              <w:rPr>
                <w:sz w:val="24"/>
                <w:szCs w:val="24"/>
                <w:lang w:val="en-US"/>
              </w:rPr>
            </w:pPr>
            <w:r w:rsidRPr="004D46BC">
              <w:rPr>
                <w:sz w:val="24"/>
                <w:szCs w:val="24"/>
                <w:lang w:val="en-US"/>
              </w:rPr>
              <w:t>7,5 %</w:t>
            </w:r>
          </w:p>
        </w:tc>
        <w:tc>
          <w:tcPr>
            <w:tcW w:w="768" w:type="pct"/>
          </w:tcPr>
          <w:p w:rsidR="00F7673B" w:rsidRPr="004D46BC" w:rsidRDefault="00F7673B" w:rsidP="003405F0">
            <w:pPr>
              <w:spacing w:after="120"/>
              <w:ind w:left="34"/>
              <w:rPr>
                <w:sz w:val="24"/>
                <w:szCs w:val="24"/>
                <w:lang w:val="en-US"/>
              </w:rPr>
            </w:pPr>
            <w:r w:rsidRPr="004D46BC">
              <w:rPr>
                <w:sz w:val="24"/>
                <w:szCs w:val="24"/>
                <w:lang w:val="en-US"/>
              </w:rPr>
              <w:t>14,4 %</w:t>
            </w:r>
          </w:p>
        </w:tc>
        <w:tc>
          <w:tcPr>
            <w:tcW w:w="707" w:type="pct"/>
          </w:tcPr>
          <w:p w:rsidR="00F7673B" w:rsidRPr="004D46BC" w:rsidRDefault="00F7673B" w:rsidP="003405F0">
            <w:pPr>
              <w:spacing w:after="120"/>
              <w:ind w:left="34"/>
              <w:rPr>
                <w:sz w:val="24"/>
                <w:szCs w:val="24"/>
                <w:lang w:val="en-US"/>
              </w:rPr>
            </w:pPr>
            <w:r w:rsidRPr="004D46BC">
              <w:rPr>
                <w:sz w:val="24"/>
                <w:szCs w:val="24"/>
                <w:lang w:val="en-US"/>
              </w:rPr>
              <w:t xml:space="preserve">19,8 % </w:t>
            </w:r>
          </w:p>
        </w:tc>
        <w:tc>
          <w:tcPr>
            <w:tcW w:w="748" w:type="pct"/>
          </w:tcPr>
          <w:p w:rsidR="00F7673B" w:rsidRPr="004D46BC" w:rsidRDefault="00F7673B" w:rsidP="003405F0">
            <w:pPr>
              <w:spacing w:after="120"/>
              <w:ind w:left="34"/>
              <w:rPr>
                <w:sz w:val="24"/>
                <w:szCs w:val="24"/>
                <w:lang w:val="en-US"/>
              </w:rPr>
            </w:pPr>
            <w:r w:rsidRPr="004D46BC">
              <w:rPr>
                <w:sz w:val="24"/>
                <w:szCs w:val="24"/>
                <w:lang w:val="en-US"/>
              </w:rPr>
              <w:t>29,9 %</w:t>
            </w:r>
          </w:p>
        </w:tc>
      </w:tr>
      <w:tr w:rsidR="00F7673B" w:rsidRPr="004D46BC" w:rsidTr="003405F0">
        <w:tc>
          <w:tcPr>
            <w:tcW w:w="1102" w:type="pct"/>
            <w:vMerge/>
          </w:tcPr>
          <w:p w:rsidR="00F7673B" w:rsidRPr="004D46BC" w:rsidRDefault="00F7673B" w:rsidP="003405F0">
            <w:pPr>
              <w:spacing w:after="120"/>
              <w:ind w:left="34"/>
              <w:rPr>
                <w:sz w:val="24"/>
                <w:szCs w:val="24"/>
                <w:lang w:val="en-US"/>
              </w:rPr>
            </w:pPr>
          </w:p>
        </w:tc>
        <w:tc>
          <w:tcPr>
            <w:tcW w:w="986" w:type="pct"/>
          </w:tcPr>
          <w:p w:rsidR="00F7673B" w:rsidRPr="004D46BC" w:rsidRDefault="00F7673B" w:rsidP="003405F0">
            <w:pPr>
              <w:spacing w:after="120"/>
              <w:ind w:left="34"/>
              <w:rPr>
                <w:sz w:val="24"/>
                <w:szCs w:val="24"/>
              </w:rPr>
            </w:pPr>
            <w:r w:rsidRPr="004D46BC">
              <w:rPr>
                <w:sz w:val="24"/>
                <w:szCs w:val="24"/>
              </w:rPr>
              <w:t>Placebo</w:t>
            </w:r>
          </w:p>
        </w:tc>
        <w:tc>
          <w:tcPr>
            <w:tcW w:w="689" w:type="pct"/>
          </w:tcPr>
          <w:p w:rsidR="00F7673B" w:rsidRPr="004D46BC" w:rsidRDefault="00F7673B" w:rsidP="003405F0">
            <w:pPr>
              <w:spacing w:after="120"/>
              <w:ind w:left="34"/>
              <w:rPr>
                <w:sz w:val="24"/>
                <w:szCs w:val="24"/>
                <w:lang w:val="en-US"/>
              </w:rPr>
            </w:pPr>
            <w:r w:rsidRPr="004D46BC">
              <w:rPr>
                <w:sz w:val="24"/>
                <w:szCs w:val="24"/>
                <w:lang w:val="en-US"/>
              </w:rPr>
              <w:t xml:space="preserve">11,7 % </w:t>
            </w:r>
          </w:p>
        </w:tc>
        <w:tc>
          <w:tcPr>
            <w:tcW w:w="768" w:type="pct"/>
          </w:tcPr>
          <w:p w:rsidR="00F7673B" w:rsidRPr="004D46BC" w:rsidRDefault="00F7673B" w:rsidP="003405F0">
            <w:pPr>
              <w:spacing w:after="120"/>
              <w:ind w:left="34"/>
              <w:rPr>
                <w:sz w:val="24"/>
                <w:szCs w:val="24"/>
                <w:lang w:val="en-US"/>
              </w:rPr>
            </w:pPr>
            <w:r w:rsidRPr="004D46BC">
              <w:rPr>
                <w:sz w:val="24"/>
                <w:szCs w:val="24"/>
                <w:lang w:val="en-US"/>
              </w:rPr>
              <w:t>19,4 %</w:t>
            </w:r>
          </w:p>
        </w:tc>
        <w:tc>
          <w:tcPr>
            <w:tcW w:w="707" w:type="pct"/>
          </w:tcPr>
          <w:p w:rsidR="00F7673B" w:rsidRPr="004D46BC" w:rsidRDefault="00F7673B" w:rsidP="003405F0">
            <w:pPr>
              <w:spacing w:after="120"/>
              <w:ind w:left="34"/>
              <w:rPr>
                <w:sz w:val="24"/>
                <w:szCs w:val="24"/>
                <w:lang w:val="en-US"/>
              </w:rPr>
            </w:pPr>
            <w:r w:rsidRPr="004D46BC">
              <w:rPr>
                <w:sz w:val="24"/>
                <w:szCs w:val="24"/>
                <w:lang w:val="en-US"/>
              </w:rPr>
              <w:t>23,2 %</w:t>
            </w:r>
          </w:p>
        </w:tc>
        <w:tc>
          <w:tcPr>
            <w:tcW w:w="748" w:type="pct"/>
          </w:tcPr>
          <w:p w:rsidR="00F7673B" w:rsidRPr="004D46BC" w:rsidRDefault="00F7673B" w:rsidP="003405F0">
            <w:pPr>
              <w:spacing w:after="120"/>
              <w:ind w:left="34"/>
              <w:rPr>
                <w:sz w:val="24"/>
                <w:szCs w:val="24"/>
                <w:lang w:val="en-US"/>
              </w:rPr>
            </w:pPr>
            <w:r w:rsidRPr="004D46BC">
              <w:rPr>
                <w:sz w:val="24"/>
                <w:szCs w:val="24"/>
                <w:lang w:val="en-US"/>
              </w:rPr>
              <w:t xml:space="preserve">30,9 % </w:t>
            </w:r>
          </w:p>
        </w:tc>
      </w:tr>
    </w:tbl>
    <w:p w:rsidR="00F7673B" w:rsidRDefault="00F7673B" w:rsidP="004D46BC">
      <w:pPr>
        <w:rPr>
          <w:sz w:val="24"/>
          <w:szCs w:val="24"/>
          <w:lang w:val="en-US"/>
        </w:rPr>
      </w:pPr>
    </w:p>
    <w:p w:rsidR="009C2736" w:rsidRDefault="009C2736" w:rsidP="004D46BC">
      <w:pPr>
        <w:rPr>
          <w:sz w:val="24"/>
          <w:szCs w:val="24"/>
          <w:lang w:val="en-US"/>
        </w:rPr>
      </w:pPr>
    </w:p>
    <w:p w:rsidR="009C2736" w:rsidRDefault="009C2736" w:rsidP="004D46BC">
      <w:pPr>
        <w:rPr>
          <w:sz w:val="24"/>
          <w:szCs w:val="24"/>
          <w:lang w:val="en-US"/>
        </w:rPr>
      </w:pPr>
    </w:p>
    <w:p w:rsidR="009C2736" w:rsidRDefault="009C2736" w:rsidP="004D46BC">
      <w:pPr>
        <w:rPr>
          <w:sz w:val="24"/>
          <w:szCs w:val="24"/>
          <w:lang w:val="en-US"/>
        </w:rPr>
      </w:pPr>
    </w:p>
    <w:p w:rsidR="009C2736" w:rsidRDefault="009C2736" w:rsidP="004D46BC">
      <w:pPr>
        <w:rPr>
          <w:sz w:val="24"/>
          <w:szCs w:val="24"/>
          <w:lang w:val="en-US"/>
        </w:rPr>
      </w:pPr>
    </w:p>
    <w:p w:rsidR="009C2736" w:rsidRDefault="009C2736" w:rsidP="004D46BC">
      <w:pPr>
        <w:rPr>
          <w:sz w:val="24"/>
          <w:szCs w:val="24"/>
          <w:lang w:val="en-US"/>
        </w:rPr>
      </w:pPr>
    </w:p>
    <w:p w:rsidR="009C2736" w:rsidRPr="004D46BC" w:rsidRDefault="009C2736" w:rsidP="004D46BC">
      <w:pPr>
        <w:rPr>
          <w:sz w:val="24"/>
          <w:szCs w:val="24"/>
          <w:lang w:val="en-US"/>
        </w:rPr>
      </w:pPr>
    </w:p>
    <w:p w:rsidR="00F7673B" w:rsidRPr="004D46BC" w:rsidRDefault="00F7673B" w:rsidP="004D46BC">
      <w:pPr>
        <w:rPr>
          <w:b/>
          <w:sz w:val="24"/>
          <w:szCs w:val="24"/>
          <w:u w:val="single"/>
        </w:rPr>
      </w:pPr>
      <w:r w:rsidRPr="004D46BC">
        <w:rPr>
          <w:b/>
          <w:sz w:val="24"/>
          <w:szCs w:val="24"/>
          <w:u w:val="single"/>
        </w:rPr>
        <w:lastRenderedPageBreak/>
        <w:t xml:space="preserve">Skema 2 Samlet overlevelse ved lokalt fremskreden sygdom ifølge </w:t>
      </w:r>
      <w:proofErr w:type="spellStart"/>
      <w:r w:rsidRPr="004D46BC">
        <w:rPr>
          <w:b/>
          <w:sz w:val="24"/>
          <w:szCs w:val="24"/>
          <w:u w:val="single"/>
        </w:rPr>
        <w:t>behandlingssubgruppe</w:t>
      </w:r>
      <w:proofErr w:type="spellEnd"/>
    </w:p>
    <w:p w:rsidR="004D46BC" w:rsidRPr="004D46BC" w:rsidRDefault="004D46BC" w:rsidP="004D46B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910"/>
        <w:gridCol w:w="1323"/>
        <w:gridCol w:w="1469"/>
        <w:gridCol w:w="1355"/>
        <w:gridCol w:w="1434"/>
      </w:tblGrid>
      <w:tr w:rsidR="00F7673B" w:rsidRPr="004D46BC" w:rsidTr="003405F0">
        <w:tc>
          <w:tcPr>
            <w:tcW w:w="807" w:type="pct"/>
          </w:tcPr>
          <w:p w:rsidR="00F7673B" w:rsidRPr="004D46BC" w:rsidRDefault="00F7673B" w:rsidP="00712033">
            <w:pPr>
              <w:rPr>
                <w:sz w:val="24"/>
                <w:szCs w:val="24"/>
              </w:rPr>
            </w:pPr>
            <w:r w:rsidRPr="004D46BC">
              <w:rPr>
                <w:b/>
                <w:sz w:val="24"/>
                <w:szCs w:val="24"/>
              </w:rPr>
              <w:t>Analysepopulation</w:t>
            </w:r>
          </w:p>
        </w:tc>
        <w:tc>
          <w:tcPr>
            <w:tcW w:w="725" w:type="pct"/>
          </w:tcPr>
          <w:p w:rsidR="00F7673B" w:rsidRPr="004D46BC" w:rsidRDefault="00F7673B" w:rsidP="00712033">
            <w:pPr>
              <w:rPr>
                <w:sz w:val="24"/>
                <w:szCs w:val="24"/>
              </w:rPr>
            </w:pPr>
            <w:r w:rsidRPr="004D46BC">
              <w:rPr>
                <w:b/>
                <w:sz w:val="24"/>
                <w:szCs w:val="24"/>
              </w:rPr>
              <w:t>Behandlingsarm</w:t>
            </w:r>
          </w:p>
        </w:tc>
        <w:tc>
          <w:tcPr>
            <w:tcW w:w="807" w:type="pct"/>
          </w:tcPr>
          <w:p w:rsidR="00F7673B" w:rsidRPr="004D46BC" w:rsidRDefault="00F7673B" w:rsidP="00712033">
            <w:pPr>
              <w:rPr>
                <w:sz w:val="24"/>
                <w:szCs w:val="24"/>
              </w:rPr>
            </w:pPr>
            <w:r w:rsidRPr="004D46BC">
              <w:rPr>
                <w:b/>
                <w:sz w:val="24"/>
                <w:szCs w:val="24"/>
              </w:rPr>
              <w:t>Hændelser (%) efter 3 år</w:t>
            </w:r>
          </w:p>
        </w:tc>
        <w:tc>
          <w:tcPr>
            <w:tcW w:w="928" w:type="pct"/>
          </w:tcPr>
          <w:p w:rsidR="00F7673B" w:rsidRPr="004D46BC" w:rsidRDefault="00F7673B" w:rsidP="00712033">
            <w:pPr>
              <w:rPr>
                <w:sz w:val="24"/>
                <w:szCs w:val="24"/>
              </w:rPr>
            </w:pPr>
            <w:r w:rsidRPr="004D46BC">
              <w:rPr>
                <w:b/>
                <w:sz w:val="24"/>
                <w:szCs w:val="24"/>
              </w:rPr>
              <w:t>Hændelser (%) efter 5 år</w:t>
            </w:r>
          </w:p>
        </w:tc>
        <w:tc>
          <w:tcPr>
            <w:tcW w:w="846" w:type="pct"/>
          </w:tcPr>
          <w:p w:rsidR="00F7673B" w:rsidRPr="004D46BC" w:rsidRDefault="00F7673B" w:rsidP="00712033">
            <w:pPr>
              <w:rPr>
                <w:sz w:val="24"/>
                <w:szCs w:val="24"/>
              </w:rPr>
            </w:pPr>
            <w:r w:rsidRPr="004D46BC">
              <w:rPr>
                <w:b/>
                <w:sz w:val="24"/>
                <w:szCs w:val="24"/>
              </w:rPr>
              <w:t>Hændelser (%) efter 7 år</w:t>
            </w:r>
          </w:p>
        </w:tc>
        <w:tc>
          <w:tcPr>
            <w:tcW w:w="887" w:type="pct"/>
          </w:tcPr>
          <w:p w:rsidR="00F7673B" w:rsidRPr="004D46BC" w:rsidRDefault="00F7673B" w:rsidP="00712033">
            <w:pPr>
              <w:rPr>
                <w:sz w:val="24"/>
                <w:szCs w:val="24"/>
              </w:rPr>
            </w:pPr>
            <w:r w:rsidRPr="004D46BC">
              <w:rPr>
                <w:b/>
                <w:sz w:val="24"/>
                <w:szCs w:val="24"/>
              </w:rPr>
              <w:t>Hændelser (%) efter 10 år</w:t>
            </w:r>
          </w:p>
        </w:tc>
      </w:tr>
      <w:tr w:rsidR="00F7673B" w:rsidRPr="004D46BC" w:rsidTr="003405F0">
        <w:tc>
          <w:tcPr>
            <w:tcW w:w="807" w:type="pct"/>
            <w:vMerge w:val="restart"/>
          </w:tcPr>
          <w:p w:rsidR="00F7673B" w:rsidRPr="004D46BC" w:rsidRDefault="00F7673B" w:rsidP="00712033">
            <w:pPr>
              <w:rPr>
                <w:sz w:val="24"/>
                <w:szCs w:val="24"/>
              </w:rPr>
            </w:pPr>
            <w:proofErr w:type="spellStart"/>
            <w:r w:rsidRPr="004D46BC">
              <w:rPr>
                <w:sz w:val="24"/>
                <w:szCs w:val="24"/>
              </w:rPr>
              <w:t>Ekspekterende</w:t>
            </w:r>
            <w:proofErr w:type="spellEnd"/>
            <w:r w:rsidRPr="004D46BC">
              <w:rPr>
                <w:sz w:val="24"/>
                <w:szCs w:val="24"/>
              </w:rPr>
              <w:t xml:space="preserve"> behandling</w:t>
            </w:r>
          </w:p>
          <w:p w:rsidR="00F7673B" w:rsidRPr="004D46BC" w:rsidRDefault="00F7673B" w:rsidP="00712033">
            <w:pPr>
              <w:rPr>
                <w:sz w:val="24"/>
                <w:szCs w:val="24"/>
              </w:rPr>
            </w:pPr>
            <w:r w:rsidRPr="004D46BC">
              <w:rPr>
                <w:sz w:val="24"/>
                <w:szCs w:val="24"/>
              </w:rPr>
              <w:t>(n=657)</w:t>
            </w:r>
          </w:p>
        </w:tc>
        <w:tc>
          <w:tcPr>
            <w:tcW w:w="725" w:type="pct"/>
          </w:tcPr>
          <w:p w:rsidR="00F7673B" w:rsidRPr="004D46BC" w:rsidRDefault="00F7673B" w:rsidP="00712033">
            <w:pPr>
              <w:spacing w:after="120"/>
              <w:rPr>
                <w:sz w:val="24"/>
                <w:szCs w:val="24"/>
              </w:rPr>
            </w:pPr>
            <w:proofErr w:type="spellStart"/>
            <w:r w:rsidRPr="004D46BC">
              <w:rPr>
                <w:sz w:val="24"/>
                <w:szCs w:val="24"/>
              </w:rPr>
              <w:t>Bicalutamid</w:t>
            </w:r>
            <w:proofErr w:type="spellEnd"/>
            <w:r w:rsidRPr="004D46BC">
              <w:rPr>
                <w:sz w:val="24"/>
                <w:szCs w:val="24"/>
              </w:rPr>
              <w:t xml:space="preserve"> 150 mg</w:t>
            </w:r>
          </w:p>
        </w:tc>
        <w:tc>
          <w:tcPr>
            <w:tcW w:w="807" w:type="pct"/>
          </w:tcPr>
          <w:p w:rsidR="00F7673B" w:rsidRPr="004D46BC" w:rsidRDefault="00F7673B" w:rsidP="00712033">
            <w:pPr>
              <w:spacing w:after="120"/>
              <w:rPr>
                <w:sz w:val="24"/>
                <w:szCs w:val="24"/>
                <w:lang w:val="en-US"/>
              </w:rPr>
            </w:pPr>
            <w:r w:rsidRPr="004D46BC">
              <w:rPr>
                <w:sz w:val="24"/>
                <w:szCs w:val="24"/>
                <w:lang w:val="en-US"/>
              </w:rPr>
              <w:t>14,2 %</w:t>
            </w:r>
          </w:p>
        </w:tc>
        <w:tc>
          <w:tcPr>
            <w:tcW w:w="928" w:type="pct"/>
          </w:tcPr>
          <w:p w:rsidR="00F7673B" w:rsidRPr="004D46BC" w:rsidRDefault="00F7673B" w:rsidP="00712033">
            <w:pPr>
              <w:spacing w:after="120"/>
              <w:rPr>
                <w:sz w:val="24"/>
                <w:szCs w:val="24"/>
                <w:lang w:val="en-US"/>
              </w:rPr>
            </w:pPr>
            <w:r w:rsidRPr="004D46BC">
              <w:rPr>
                <w:sz w:val="24"/>
                <w:szCs w:val="24"/>
                <w:lang w:val="en-US"/>
              </w:rPr>
              <w:t xml:space="preserve">29,4 % </w:t>
            </w:r>
          </w:p>
        </w:tc>
        <w:tc>
          <w:tcPr>
            <w:tcW w:w="846" w:type="pct"/>
          </w:tcPr>
          <w:p w:rsidR="00F7673B" w:rsidRPr="004D46BC" w:rsidRDefault="00F7673B" w:rsidP="00712033">
            <w:pPr>
              <w:spacing w:after="120"/>
              <w:rPr>
                <w:sz w:val="24"/>
                <w:szCs w:val="24"/>
                <w:lang w:val="en-US"/>
              </w:rPr>
            </w:pPr>
            <w:r w:rsidRPr="004D46BC">
              <w:rPr>
                <w:sz w:val="24"/>
                <w:szCs w:val="24"/>
                <w:lang w:val="en-US"/>
              </w:rPr>
              <w:t>42,2 %</w:t>
            </w:r>
          </w:p>
        </w:tc>
        <w:tc>
          <w:tcPr>
            <w:tcW w:w="887" w:type="pct"/>
          </w:tcPr>
          <w:p w:rsidR="00F7673B" w:rsidRPr="004D46BC" w:rsidRDefault="00F7673B" w:rsidP="00712033">
            <w:pPr>
              <w:spacing w:after="120"/>
              <w:rPr>
                <w:sz w:val="24"/>
                <w:szCs w:val="24"/>
                <w:lang w:val="en-US"/>
              </w:rPr>
            </w:pPr>
            <w:r w:rsidRPr="004D46BC">
              <w:rPr>
                <w:sz w:val="24"/>
                <w:szCs w:val="24"/>
                <w:lang w:val="en-US"/>
              </w:rPr>
              <w:t xml:space="preserve">65,0 % </w:t>
            </w:r>
          </w:p>
        </w:tc>
      </w:tr>
      <w:tr w:rsidR="00F7673B" w:rsidRPr="004D46BC" w:rsidTr="003405F0">
        <w:tc>
          <w:tcPr>
            <w:tcW w:w="807" w:type="pct"/>
            <w:vMerge/>
          </w:tcPr>
          <w:p w:rsidR="00F7673B" w:rsidRPr="004D46BC" w:rsidRDefault="00F7673B" w:rsidP="00712033">
            <w:pPr>
              <w:spacing w:after="120"/>
              <w:rPr>
                <w:sz w:val="24"/>
                <w:szCs w:val="24"/>
                <w:lang w:val="en-US"/>
              </w:rPr>
            </w:pPr>
          </w:p>
        </w:tc>
        <w:tc>
          <w:tcPr>
            <w:tcW w:w="725" w:type="pct"/>
          </w:tcPr>
          <w:p w:rsidR="00F7673B" w:rsidRPr="004D46BC" w:rsidRDefault="00F7673B" w:rsidP="00712033">
            <w:pPr>
              <w:spacing w:after="120"/>
              <w:rPr>
                <w:sz w:val="24"/>
                <w:szCs w:val="24"/>
              </w:rPr>
            </w:pPr>
            <w:r w:rsidRPr="004D46BC">
              <w:rPr>
                <w:sz w:val="24"/>
                <w:szCs w:val="24"/>
              </w:rPr>
              <w:t>Placebo</w:t>
            </w:r>
          </w:p>
        </w:tc>
        <w:tc>
          <w:tcPr>
            <w:tcW w:w="807" w:type="pct"/>
          </w:tcPr>
          <w:p w:rsidR="00F7673B" w:rsidRPr="004D46BC" w:rsidRDefault="00F7673B" w:rsidP="00712033">
            <w:pPr>
              <w:spacing w:after="120"/>
              <w:rPr>
                <w:sz w:val="24"/>
                <w:szCs w:val="24"/>
                <w:lang w:val="en-US"/>
              </w:rPr>
            </w:pPr>
            <w:r w:rsidRPr="004D46BC">
              <w:rPr>
                <w:sz w:val="24"/>
                <w:szCs w:val="24"/>
                <w:lang w:val="en-US"/>
              </w:rPr>
              <w:t>17,0 %</w:t>
            </w:r>
          </w:p>
        </w:tc>
        <w:tc>
          <w:tcPr>
            <w:tcW w:w="928" w:type="pct"/>
          </w:tcPr>
          <w:p w:rsidR="00F7673B" w:rsidRPr="004D46BC" w:rsidRDefault="00F7673B" w:rsidP="00712033">
            <w:pPr>
              <w:spacing w:after="120"/>
              <w:rPr>
                <w:sz w:val="24"/>
                <w:szCs w:val="24"/>
                <w:lang w:val="en-US"/>
              </w:rPr>
            </w:pPr>
            <w:r w:rsidRPr="004D46BC">
              <w:rPr>
                <w:sz w:val="24"/>
                <w:szCs w:val="24"/>
                <w:lang w:val="en-US"/>
              </w:rPr>
              <w:t>36,4 %</w:t>
            </w:r>
          </w:p>
        </w:tc>
        <w:tc>
          <w:tcPr>
            <w:tcW w:w="846" w:type="pct"/>
          </w:tcPr>
          <w:p w:rsidR="00F7673B" w:rsidRPr="004D46BC" w:rsidRDefault="00F7673B" w:rsidP="00712033">
            <w:pPr>
              <w:spacing w:after="120"/>
              <w:rPr>
                <w:sz w:val="24"/>
                <w:szCs w:val="24"/>
                <w:lang w:val="en-US"/>
              </w:rPr>
            </w:pPr>
            <w:r w:rsidRPr="004D46BC">
              <w:rPr>
                <w:sz w:val="24"/>
                <w:szCs w:val="24"/>
                <w:lang w:val="en-US"/>
              </w:rPr>
              <w:t>53,7 %</w:t>
            </w:r>
          </w:p>
        </w:tc>
        <w:tc>
          <w:tcPr>
            <w:tcW w:w="887" w:type="pct"/>
          </w:tcPr>
          <w:p w:rsidR="00F7673B" w:rsidRPr="004D46BC" w:rsidRDefault="00F7673B" w:rsidP="00712033">
            <w:pPr>
              <w:spacing w:after="120"/>
              <w:rPr>
                <w:sz w:val="24"/>
                <w:szCs w:val="24"/>
                <w:lang w:val="en-US"/>
              </w:rPr>
            </w:pPr>
            <w:r w:rsidRPr="004D46BC">
              <w:rPr>
                <w:sz w:val="24"/>
                <w:szCs w:val="24"/>
                <w:lang w:val="en-US"/>
              </w:rPr>
              <w:t xml:space="preserve">67,5 % </w:t>
            </w:r>
          </w:p>
        </w:tc>
      </w:tr>
      <w:tr w:rsidR="00F7673B" w:rsidRPr="004D46BC" w:rsidTr="003405F0">
        <w:tc>
          <w:tcPr>
            <w:tcW w:w="807" w:type="pct"/>
            <w:vMerge w:val="restart"/>
          </w:tcPr>
          <w:p w:rsidR="00F7673B" w:rsidRPr="004D46BC" w:rsidRDefault="00F7673B" w:rsidP="00712033">
            <w:pPr>
              <w:spacing w:after="120"/>
              <w:rPr>
                <w:sz w:val="24"/>
                <w:szCs w:val="24"/>
              </w:rPr>
            </w:pPr>
            <w:r w:rsidRPr="004D46BC">
              <w:rPr>
                <w:sz w:val="24"/>
                <w:szCs w:val="24"/>
              </w:rPr>
              <w:t>Strålebehandling (n=305)</w:t>
            </w:r>
          </w:p>
        </w:tc>
        <w:tc>
          <w:tcPr>
            <w:tcW w:w="725" w:type="pct"/>
          </w:tcPr>
          <w:p w:rsidR="00F7673B" w:rsidRPr="004D46BC" w:rsidRDefault="00F7673B" w:rsidP="00712033">
            <w:pPr>
              <w:spacing w:after="120"/>
              <w:rPr>
                <w:sz w:val="24"/>
                <w:szCs w:val="24"/>
              </w:rPr>
            </w:pPr>
            <w:proofErr w:type="spellStart"/>
            <w:r w:rsidRPr="004D46BC">
              <w:rPr>
                <w:sz w:val="24"/>
                <w:szCs w:val="24"/>
              </w:rPr>
              <w:t>Bicalutamid</w:t>
            </w:r>
            <w:proofErr w:type="spellEnd"/>
            <w:r w:rsidRPr="004D46BC">
              <w:rPr>
                <w:sz w:val="24"/>
                <w:szCs w:val="24"/>
              </w:rPr>
              <w:t xml:space="preserve"> 150 mg</w:t>
            </w:r>
            <w:r w:rsidRPr="004D46BC">
              <w:rPr>
                <w:sz w:val="24"/>
                <w:szCs w:val="24"/>
                <w:lang w:val="en-US"/>
              </w:rPr>
              <w:t xml:space="preserve"> </w:t>
            </w:r>
          </w:p>
        </w:tc>
        <w:tc>
          <w:tcPr>
            <w:tcW w:w="807" w:type="pct"/>
          </w:tcPr>
          <w:p w:rsidR="00F7673B" w:rsidRPr="004D46BC" w:rsidRDefault="00F7673B" w:rsidP="00712033">
            <w:pPr>
              <w:spacing w:after="120"/>
              <w:rPr>
                <w:sz w:val="24"/>
                <w:szCs w:val="24"/>
                <w:lang w:val="en-US"/>
              </w:rPr>
            </w:pPr>
            <w:r w:rsidRPr="004D46BC">
              <w:rPr>
                <w:sz w:val="24"/>
                <w:szCs w:val="24"/>
                <w:lang w:val="en-US"/>
              </w:rPr>
              <w:t xml:space="preserve">8,2 % </w:t>
            </w:r>
          </w:p>
        </w:tc>
        <w:tc>
          <w:tcPr>
            <w:tcW w:w="928" w:type="pct"/>
          </w:tcPr>
          <w:p w:rsidR="00F7673B" w:rsidRPr="004D46BC" w:rsidRDefault="00F7673B" w:rsidP="00712033">
            <w:pPr>
              <w:spacing w:after="120"/>
              <w:rPr>
                <w:sz w:val="24"/>
                <w:szCs w:val="24"/>
                <w:lang w:val="en-US"/>
              </w:rPr>
            </w:pPr>
            <w:r w:rsidRPr="004D46BC">
              <w:rPr>
                <w:sz w:val="24"/>
                <w:szCs w:val="24"/>
                <w:lang w:val="en-US"/>
              </w:rPr>
              <w:t>20,9 %</w:t>
            </w:r>
          </w:p>
        </w:tc>
        <w:tc>
          <w:tcPr>
            <w:tcW w:w="846" w:type="pct"/>
          </w:tcPr>
          <w:p w:rsidR="00F7673B" w:rsidRPr="004D46BC" w:rsidRDefault="00F7673B" w:rsidP="00712033">
            <w:pPr>
              <w:spacing w:after="120"/>
              <w:rPr>
                <w:sz w:val="24"/>
                <w:szCs w:val="24"/>
                <w:lang w:val="en-US"/>
              </w:rPr>
            </w:pPr>
            <w:r w:rsidRPr="004D46BC">
              <w:rPr>
                <w:sz w:val="24"/>
                <w:szCs w:val="24"/>
                <w:lang w:val="en-US"/>
              </w:rPr>
              <w:t xml:space="preserve">30,0 % </w:t>
            </w:r>
          </w:p>
        </w:tc>
        <w:tc>
          <w:tcPr>
            <w:tcW w:w="887" w:type="pct"/>
          </w:tcPr>
          <w:p w:rsidR="00F7673B" w:rsidRPr="004D46BC" w:rsidRDefault="00F7673B" w:rsidP="00712033">
            <w:pPr>
              <w:spacing w:after="120"/>
              <w:rPr>
                <w:sz w:val="24"/>
                <w:szCs w:val="24"/>
                <w:lang w:val="en-US"/>
              </w:rPr>
            </w:pPr>
            <w:r w:rsidRPr="004D46BC">
              <w:rPr>
                <w:sz w:val="24"/>
                <w:szCs w:val="24"/>
                <w:lang w:val="en-US"/>
              </w:rPr>
              <w:t>48,5 %</w:t>
            </w:r>
          </w:p>
        </w:tc>
      </w:tr>
      <w:tr w:rsidR="00F7673B" w:rsidRPr="004D46BC" w:rsidTr="003405F0">
        <w:tc>
          <w:tcPr>
            <w:tcW w:w="807" w:type="pct"/>
            <w:vMerge/>
          </w:tcPr>
          <w:p w:rsidR="00F7673B" w:rsidRPr="004D46BC" w:rsidRDefault="00F7673B" w:rsidP="00712033">
            <w:pPr>
              <w:spacing w:after="120"/>
              <w:rPr>
                <w:sz w:val="24"/>
                <w:szCs w:val="24"/>
                <w:lang w:val="en-US"/>
              </w:rPr>
            </w:pPr>
          </w:p>
        </w:tc>
        <w:tc>
          <w:tcPr>
            <w:tcW w:w="725" w:type="pct"/>
          </w:tcPr>
          <w:p w:rsidR="00F7673B" w:rsidRPr="004D46BC" w:rsidRDefault="00F7673B" w:rsidP="00712033">
            <w:pPr>
              <w:spacing w:after="120"/>
              <w:rPr>
                <w:sz w:val="24"/>
                <w:szCs w:val="24"/>
              </w:rPr>
            </w:pPr>
            <w:r w:rsidRPr="004D46BC">
              <w:rPr>
                <w:sz w:val="24"/>
                <w:szCs w:val="24"/>
              </w:rPr>
              <w:t>Placebo</w:t>
            </w:r>
          </w:p>
        </w:tc>
        <w:tc>
          <w:tcPr>
            <w:tcW w:w="807" w:type="pct"/>
          </w:tcPr>
          <w:p w:rsidR="00F7673B" w:rsidRPr="004D46BC" w:rsidRDefault="00F7673B" w:rsidP="00712033">
            <w:pPr>
              <w:spacing w:after="120"/>
              <w:rPr>
                <w:sz w:val="24"/>
                <w:szCs w:val="24"/>
                <w:lang w:val="en-US"/>
              </w:rPr>
            </w:pPr>
            <w:r w:rsidRPr="004D46BC">
              <w:rPr>
                <w:sz w:val="24"/>
                <w:szCs w:val="24"/>
                <w:lang w:val="en-US"/>
              </w:rPr>
              <w:t>12,6 %</w:t>
            </w:r>
          </w:p>
        </w:tc>
        <w:tc>
          <w:tcPr>
            <w:tcW w:w="928" w:type="pct"/>
          </w:tcPr>
          <w:p w:rsidR="00F7673B" w:rsidRPr="004D46BC" w:rsidRDefault="00F7673B" w:rsidP="00712033">
            <w:pPr>
              <w:spacing w:after="120"/>
              <w:rPr>
                <w:sz w:val="24"/>
                <w:szCs w:val="24"/>
                <w:lang w:val="en-US"/>
              </w:rPr>
            </w:pPr>
            <w:r w:rsidRPr="004D46BC">
              <w:rPr>
                <w:sz w:val="24"/>
                <w:szCs w:val="24"/>
                <w:lang w:val="en-US"/>
              </w:rPr>
              <w:t>23,1 %</w:t>
            </w:r>
          </w:p>
        </w:tc>
        <w:tc>
          <w:tcPr>
            <w:tcW w:w="846" w:type="pct"/>
          </w:tcPr>
          <w:p w:rsidR="00F7673B" w:rsidRPr="004D46BC" w:rsidRDefault="00F7673B" w:rsidP="00712033">
            <w:pPr>
              <w:spacing w:after="120"/>
              <w:rPr>
                <w:sz w:val="24"/>
                <w:szCs w:val="24"/>
                <w:lang w:val="en-US"/>
              </w:rPr>
            </w:pPr>
            <w:r w:rsidRPr="004D46BC">
              <w:rPr>
                <w:sz w:val="24"/>
                <w:szCs w:val="24"/>
                <w:lang w:val="en-US"/>
              </w:rPr>
              <w:t>38,1 %</w:t>
            </w:r>
          </w:p>
        </w:tc>
        <w:tc>
          <w:tcPr>
            <w:tcW w:w="887" w:type="pct"/>
          </w:tcPr>
          <w:p w:rsidR="00F7673B" w:rsidRPr="004D46BC" w:rsidRDefault="00F7673B" w:rsidP="00712033">
            <w:pPr>
              <w:spacing w:after="120"/>
              <w:rPr>
                <w:sz w:val="24"/>
                <w:szCs w:val="24"/>
                <w:lang w:val="en-US"/>
              </w:rPr>
            </w:pPr>
            <w:r w:rsidRPr="004D46BC">
              <w:rPr>
                <w:sz w:val="24"/>
                <w:szCs w:val="24"/>
                <w:lang w:val="en-US"/>
              </w:rPr>
              <w:t>53,3 %</w:t>
            </w:r>
          </w:p>
        </w:tc>
      </w:tr>
      <w:tr w:rsidR="00F7673B" w:rsidRPr="004D46BC" w:rsidTr="003405F0">
        <w:tc>
          <w:tcPr>
            <w:tcW w:w="807" w:type="pct"/>
            <w:vMerge w:val="restart"/>
          </w:tcPr>
          <w:p w:rsidR="00F7673B" w:rsidRPr="004D46BC" w:rsidRDefault="00F7673B" w:rsidP="00712033">
            <w:pPr>
              <w:spacing w:after="120"/>
              <w:rPr>
                <w:sz w:val="24"/>
                <w:szCs w:val="24"/>
              </w:rPr>
            </w:pPr>
            <w:r w:rsidRPr="004D46BC">
              <w:rPr>
                <w:sz w:val="24"/>
                <w:szCs w:val="24"/>
              </w:rPr>
              <w:t xml:space="preserve">Radikal </w:t>
            </w:r>
            <w:proofErr w:type="spellStart"/>
            <w:r w:rsidRPr="004D46BC">
              <w:rPr>
                <w:sz w:val="24"/>
                <w:szCs w:val="24"/>
              </w:rPr>
              <w:t>prostatektomi</w:t>
            </w:r>
            <w:proofErr w:type="spellEnd"/>
            <w:r w:rsidRPr="004D46BC">
              <w:rPr>
                <w:sz w:val="24"/>
                <w:szCs w:val="24"/>
              </w:rPr>
              <w:t xml:space="preserve"> (n=1719)</w:t>
            </w:r>
          </w:p>
        </w:tc>
        <w:tc>
          <w:tcPr>
            <w:tcW w:w="725" w:type="pct"/>
          </w:tcPr>
          <w:p w:rsidR="00F7673B" w:rsidRPr="004D46BC" w:rsidRDefault="00F7673B" w:rsidP="00712033">
            <w:pPr>
              <w:spacing w:after="120"/>
              <w:rPr>
                <w:sz w:val="24"/>
                <w:szCs w:val="24"/>
              </w:rPr>
            </w:pPr>
            <w:proofErr w:type="spellStart"/>
            <w:r w:rsidRPr="004D46BC">
              <w:rPr>
                <w:sz w:val="24"/>
                <w:szCs w:val="24"/>
              </w:rPr>
              <w:t>Bicalutamid</w:t>
            </w:r>
            <w:proofErr w:type="spellEnd"/>
            <w:r w:rsidRPr="004D46BC">
              <w:rPr>
                <w:sz w:val="24"/>
                <w:szCs w:val="24"/>
              </w:rPr>
              <w:t xml:space="preserve"> 150 mg</w:t>
            </w:r>
            <w:r w:rsidRPr="004D46BC">
              <w:rPr>
                <w:sz w:val="24"/>
                <w:szCs w:val="24"/>
                <w:lang w:val="en-US"/>
              </w:rPr>
              <w:t xml:space="preserve"> </w:t>
            </w:r>
          </w:p>
        </w:tc>
        <w:tc>
          <w:tcPr>
            <w:tcW w:w="807" w:type="pct"/>
          </w:tcPr>
          <w:p w:rsidR="00F7673B" w:rsidRPr="004D46BC" w:rsidRDefault="00F7673B" w:rsidP="00712033">
            <w:pPr>
              <w:spacing w:after="120"/>
              <w:rPr>
                <w:sz w:val="24"/>
                <w:szCs w:val="24"/>
                <w:lang w:val="en-US"/>
              </w:rPr>
            </w:pPr>
            <w:r w:rsidRPr="004D46BC">
              <w:rPr>
                <w:sz w:val="24"/>
                <w:szCs w:val="24"/>
                <w:lang w:val="en-US"/>
              </w:rPr>
              <w:t>4,6 %</w:t>
            </w:r>
          </w:p>
        </w:tc>
        <w:tc>
          <w:tcPr>
            <w:tcW w:w="928" w:type="pct"/>
          </w:tcPr>
          <w:p w:rsidR="00F7673B" w:rsidRPr="004D46BC" w:rsidRDefault="00F7673B" w:rsidP="00712033">
            <w:pPr>
              <w:spacing w:after="120"/>
              <w:rPr>
                <w:sz w:val="24"/>
                <w:szCs w:val="24"/>
                <w:lang w:val="en-US"/>
              </w:rPr>
            </w:pPr>
            <w:r w:rsidRPr="004D46BC">
              <w:rPr>
                <w:sz w:val="24"/>
                <w:szCs w:val="24"/>
                <w:lang w:val="en-US"/>
              </w:rPr>
              <w:t>10,0 %</w:t>
            </w:r>
          </w:p>
        </w:tc>
        <w:tc>
          <w:tcPr>
            <w:tcW w:w="846" w:type="pct"/>
          </w:tcPr>
          <w:p w:rsidR="00F7673B" w:rsidRPr="004D46BC" w:rsidRDefault="00F7673B" w:rsidP="00712033">
            <w:pPr>
              <w:spacing w:after="120"/>
              <w:rPr>
                <w:sz w:val="24"/>
                <w:szCs w:val="24"/>
                <w:lang w:val="en-US"/>
              </w:rPr>
            </w:pPr>
            <w:r w:rsidRPr="004D46BC">
              <w:rPr>
                <w:sz w:val="24"/>
                <w:szCs w:val="24"/>
                <w:lang w:val="en-US"/>
              </w:rPr>
              <w:t xml:space="preserve">14,6 % </w:t>
            </w:r>
          </w:p>
        </w:tc>
        <w:tc>
          <w:tcPr>
            <w:tcW w:w="887" w:type="pct"/>
          </w:tcPr>
          <w:p w:rsidR="00F7673B" w:rsidRPr="004D46BC" w:rsidRDefault="00F7673B" w:rsidP="00712033">
            <w:pPr>
              <w:spacing w:after="120"/>
              <w:rPr>
                <w:sz w:val="24"/>
                <w:szCs w:val="24"/>
                <w:lang w:val="en-US"/>
              </w:rPr>
            </w:pPr>
            <w:r w:rsidRPr="004D46BC">
              <w:rPr>
                <w:sz w:val="24"/>
                <w:szCs w:val="24"/>
                <w:lang w:val="en-US"/>
              </w:rPr>
              <w:t>22,4 %</w:t>
            </w:r>
          </w:p>
        </w:tc>
      </w:tr>
      <w:tr w:rsidR="00F7673B" w:rsidRPr="004D46BC" w:rsidTr="003405F0">
        <w:tc>
          <w:tcPr>
            <w:tcW w:w="807" w:type="pct"/>
            <w:vMerge/>
          </w:tcPr>
          <w:p w:rsidR="00F7673B" w:rsidRPr="004D46BC" w:rsidRDefault="00F7673B" w:rsidP="00712033">
            <w:pPr>
              <w:spacing w:after="120"/>
              <w:rPr>
                <w:sz w:val="24"/>
                <w:szCs w:val="24"/>
                <w:lang w:val="en-US"/>
              </w:rPr>
            </w:pPr>
          </w:p>
        </w:tc>
        <w:tc>
          <w:tcPr>
            <w:tcW w:w="725" w:type="pct"/>
          </w:tcPr>
          <w:p w:rsidR="00F7673B" w:rsidRPr="004D46BC" w:rsidRDefault="00F7673B" w:rsidP="00712033">
            <w:pPr>
              <w:spacing w:after="120"/>
              <w:rPr>
                <w:sz w:val="24"/>
                <w:szCs w:val="24"/>
              </w:rPr>
            </w:pPr>
            <w:r w:rsidRPr="004D46BC">
              <w:rPr>
                <w:sz w:val="24"/>
                <w:szCs w:val="24"/>
              </w:rPr>
              <w:t>Placebo</w:t>
            </w:r>
          </w:p>
        </w:tc>
        <w:tc>
          <w:tcPr>
            <w:tcW w:w="807" w:type="pct"/>
          </w:tcPr>
          <w:p w:rsidR="00F7673B" w:rsidRPr="004D46BC" w:rsidRDefault="00F7673B" w:rsidP="00712033">
            <w:pPr>
              <w:spacing w:after="120"/>
              <w:rPr>
                <w:sz w:val="24"/>
                <w:szCs w:val="24"/>
                <w:lang w:val="en-US"/>
              </w:rPr>
            </w:pPr>
            <w:r w:rsidRPr="004D46BC">
              <w:rPr>
                <w:sz w:val="24"/>
                <w:szCs w:val="24"/>
                <w:lang w:val="en-US"/>
              </w:rPr>
              <w:t xml:space="preserve">4,2 % </w:t>
            </w:r>
          </w:p>
        </w:tc>
        <w:tc>
          <w:tcPr>
            <w:tcW w:w="928" w:type="pct"/>
          </w:tcPr>
          <w:p w:rsidR="00F7673B" w:rsidRPr="004D46BC" w:rsidRDefault="00F7673B" w:rsidP="00712033">
            <w:pPr>
              <w:spacing w:after="120"/>
              <w:rPr>
                <w:sz w:val="24"/>
                <w:szCs w:val="24"/>
                <w:lang w:val="en-US"/>
              </w:rPr>
            </w:pPr>
            <w:r w:rsidRPr="004D46BC">
              <w:rPr>
                <w:sz w:val="24"/>
                <w:szCs w:val="24"/>
                <w:lang w:val="en-US"/>
              </w:rPr>
              <w:t>8,7 %</w:t>
            </w:r>
          </w:p>
        </w:tc>
        <w:tc>
          <w:tcPr>
            <w:tcW w:w="846" w:type="pct"/>
          </w:tcPr>
          <w:p w:rsidR="00F7673B" w:rsidRPr="004D46BC" w:rsidRDefault="00F7673B" w:rsidP="00712033">
            <w:pPr>
              <w:spacing w:after="120"/>
              <w:rPr>
                <w:sz w:val="24"/>
                <w:szCs w:val="24"/>
                <w:lang w:val="en-US"/>
              </w:rPr>
            </w:pPr>
            <w:r w:rsidRPr="004D46BC">
              <w:rPr>
                <w:sz w:val="24"/>
                <w:szCs w:val="24"/>
                <w:lang w:val="en-US"/>
              </w:rPr>
              <w:t>12,6 %</w:t>
            </w:r>
          </w:p>
        </w:tc>
        <w:tc>
          <w:tcPr>
            <w:tcW w:w="887" w:type="pct"/>
          </w:tcPr>
          <w:p w:rsidR="00F7673B" w:rsidRPr="004D46BC" w:rsidRDefault="00F7673B" w:rsidP="00712033">
            <w:pPr>
              <w:spacing w:after="120"/>
              <w:rPr>
                <w:sz w:val="24"/>
                <w:szCs w:val="24"/>
                <w:lang w:val="en-US"/>
              </w:rPr>
            </w:pPr>
            <w:r w:rsidRPr="004D46BC">
              <w:rPr>
                <w:sz w:val="24"/>
                <w:szCs w:val="24"/>
                <w:lang w:val="en-US"/>
              </w:rPr>
              <w:t xml:space="preserve">20,2 % </w:t>
            </w:r>
          </w:p>
        </w:tc>
      </w:tr>
    </w:tbl>
    <w:p w:rsidR="00F7673B" w:rsidRPr="004D46BC" w:rsidRDefault="00F7673B" w:rsidP="004D46BC">
      <w:pPr>
        <w:spacing w:after="120"/>
        <w:ind w:left="851" w:hanging="851"/>
        <w:rPr>
          <w:sz w:val="24"/>
          <w:szCs w:val="24"/>
          <w:lang w:val="en-US"/>
        </w:rPr>
      </w:pPr>
    </w:p>
    <w:p w:rsidR="00F7673B" w:rsidRPr="004D46BC" w:rsidRDefault="00F7673B" w:rsidP="004D46BC">
      <w:pPr>
        <w:ind w:left="851"/>
        <w:rPr>
          <w:sz w:val="24"/>
          <w:szCs w:val="24"/>
        </w:rPr>
      </w:pPr>
      <w:r w:rsidRPr="004D46BC">
        <w:rPr>
          <w:sz w:val="24"/>
          <w:szCs w:val="24"/>
        </w:rPr>
        <w:t xml:space="preserve">For patienter med lokaliseret sygdom, der kun fik </w:t>
      </w:r>
      <w:proofErr w:type="spellStart"/>
      <w:r w:rsidRPr="004D46BC">
        <w:rPr>
          <w:sz w:val="24"/>
          <w:szCs w:val="24"/>
        </w:rPr>
        <w:t>bicalutamid</w:t>
      </w:r>
      <w:proofErr w:type="spellEnd"/>
      <w:r w:rsidRPr="004D46BC">
        <w:rPr>
          <w:sz w:val="24"/>
          <w:szCs w:val="24"/>
        </w:rPr>
        <w:t xml:space="preserve">, var der ingen signifikant forskel i progressionsfri overlevelse. Der var ingen signifikant forskel i samlet overlevelse for patienter med lokaliseret sygdom, der fik </w:t>
      </w:r>
      <w:proofErr w:type="spellStart"/>
      <w:r w:rsidRPr="004D46BC">
        <w:rPr>
          <w:sz w:val="24"/>
          <w:szCs w:val="24"/>
        </w:rPr>
        <w:t>bicalutamid</w:t>
      </w:r>
      <w:proofErr w:type="spellEnd"/>
      <w:r w:rsidRPr="004D46BC">
        <w:rPr>
          <w:sz w:val="24"/>
          <w:szCs w:val="24"/>
        </w:rPr>
        <w:t xml:space="preserve"> som </w:t>
      </w:r>
      <w:proofErr w:type="spellStart"/>
      <w:r w:rsidRPr="004D46BC">
        <w:rPr>
          <w:sz w:val="24"/>
          <w:szCs w:val="24"/>
        </w:rPr>
        <w:t>adjuverende</w:t>
      </w:r>
      <w:proofErr w:type="spellEnd"/>
      <w:r w:rsidRPr="004D46BC">
        <w:rPr>
          <w:sz w:val="24"/>
          <w:szCs w:val="24"/>
        </w:rPr>
        <w:t xml:space="preserve"> behandling efter strålebehandling (HR=0,98; 95 % KI 0,80 til 1,20) eller radikal </w:t>
      </w:r>
      <w:proofErr w:type="spellStart"/>
      <w:r w:rsidRPr="004D46BC">
        <w:rPr>
          <w:sz w:val="24"/>
          <w:szCs w:val="24"/>
        </w:rPr>
        <w:t>prostatektomi</w:t>
      </w:r>
      <w:proofErr w:type="spellEnd"/>
      <w:r w:rsidRPr="004D46BC">
        <w:rPr>
          <w:sz w:val="24"/>
          <w:szCs w:val="24"/>
        </w:rPr>
        <w:t xml:space="preserve"> (HR=1,03; 95 % KI 0,85 til 1,25). For patienter med lokaliseret sygdom, som ellers ville have fået </w:t>
      </w:r>
      <w:proofErr w:type="spellStart"/>
      <w:r w:rsidRPr="004D46BC">
        <w:rPr>
          <w:sz w:val="24"/>
          <w:szCs w:val="24"/>
        </w:rPr>
        <w:t>ekspekterende</w:t>
      </w:r>
      <w:proofErr w:type="spellEnd"/>
      <w:r w:rsidRPr="004D46BC">
        <w:rPr>
          <w:sz w:val="24"/>
          <w:szCs w:val="24"/>
        </w:rPr>
        <w:t xml:space="preserve"> behandling, var der også en tendens mod nedsat overlevelse </w:t>
      </w:r>
      <w:proofErr w:type="spellStart"/>
      <w:r w:rsidRPr="004D46BC">
        <w:rPr>
          <w:sz w:val="24"/>
          <w:szCs w:val="24"/>
        </w:rPr>
        <w:t>sammenlignt</w:t>
      </w:r>
      <w:proofErr w:type="spellEnd"/>
      <w:r w:rsidRPr="004D46BC">
        <w:rPr>
          <w:sz w:val="24"/>
          <w:szCs w:val="24"/>
        </w:rPr>
        <w:t xml:space="preserve"> med placebopatienter (HR=1,15; 95 % KI 1,00 til 1,32). Dette taget i betragtning anses </w:t>
      </w:r>
      <w:proofErr w:type="spellStart"/>
      <w:r w:rsidRPr="004D46BC">
        <w:rPr>
          <w:sz w:val="24"/>
          <w:szCs w:val="24"/>
        </w:rPr>
        <w:t>risk</w:t>
      </w:r>
      <w:proofErr w:type="spellEnd"/>
      <w:r w:rsidRPr="004D46BC">
        <w:rPr>
          <w:sz w:val="24"/>
          <w:szCs w:val="24"/>
        </w:rPr>
        <w:t>-</w:t>
      </w:r>
      <w:proofErr w:type="spellStart"/>
      <w:r w:rsidRPr="004D46BC">
        <w:rPr>
          <w:sz w:val="24"/>
          <w:szCs w:val="24"/>
        </w:rPr>
        <w:t>benefit</w:t>
      </w:r>
      <w:proofErr w:type="spellEnd"/>
      <w:r w:rsidRPr="004D46BC">
        <w:rPr>
          <w:sz w:val="24"/>
          <w:szCs w:val="24"/>
        </w:rPr>
        <w:t xml:space="preserve">-profilen for anvendelse af </w:t>
      </w:r>
      <w:proofErr w:type="spellStart"/>
      <w:r w:rsidRPr="004D46BC">
        <w:rPr>
          <w:sz w:val="24"/>
          <w:szCs w:val="24"/>
        </w:rPr>
        <w:t>bicalutamid</w:t>
      </w:r>
      <w:proofErr w:type="spellEnd"/>
      <w:r w:rsidRPr="004D46BC">
        <w:rPr>
          <w:sz w:val="24"/>
          <w:szCs w:val="24"/>
        </w:rPr>
        <w:t xml:space="preserve"> ikke som favorabel til patienter med lokaliseret sygdom.</w:t>
      </w:r>
    </w:p>
    <w:p w:rsidR="00F7673B" w:rsidRPr="004D46BC" w:rsidRDefault="00F7673B" w:rsidP="004D46BC">
      <w:pPr>
        <w:ind w:left="851"/>
        <w:rPr>
          <w:sz w:val="24"/>
          <w:szCs w:val="24"/>
        </w:rPr>
      </w:pPr>
      <w:proofErr w:type="spellStart"/>
      <w:r w:rsidRPr="004D46BC">
        <w:rPr>
          <w:sz w:val="24"/>
          <w:szCs w:val="24"/>
        </w:rPr>
        <w:t>Bicalutamid</w:t>
      </w:r>
      <w:proofErr w:type="spellEnd"/>
      <w:r w:rsidRPr="004D46BC">
        <w:rPr>
          <w:sz w:val="24"/>
          <w:szCs w:val="24"/>
        </w:rPr>
        <w:t xml:space="preserve"> er et racemat. Dets </w:t>
      </w:r>
      <w:proofErr w:type="spellStart"/>
      <w:r w:rsidRPr="004D46BC">
        <w:rPr>
          <w:sz w:val="24"/>
          <w:szCs w:val="24"/>
        </w:rPr>
        <w:t>antiandrogene</w:t>
      </w:r>
      <w:proofErr w:type="spellEnd"/>
      <w:r w:rsidRPr="004D46BC">
        <w:rPr>
          <w:sz w:val="24"/>
          <w:szCs w:val="24"/>
        </w:rPr>
        <w:t xml:space="preserve"> aktivitet er næsten udelukkende i R-</w:t>
      </w:r>
      <w:proofErr w:type="spellStart"/>
      <w:r w:rsidRPr="004D46BC">
        <w:rPr>
          <w:sz w:val="24"/>
          <w:szCs w:val="24"/>
        </w:rPr>
        <w:t>enantiomeren</w:t>
      </w:r>
      <w:proofErr w:type="spellEnd"/>
      <w:r w:rsidRPr="004D46BC">
        <w:rPr>
          <w:sz w:val="24"/>
          <w:szCs w:val="24"/>
        </w:rPr>
        <w:t>.</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5.2</w:t>
      </w:r>
      <w:r w:rsidRPr="004D46BC">
        <w:rPr>
          <w:b/>
          <w:sz w:val="24"/>
          <w:szCs w:val="24"/>
        </w:rPr>
        <w:tab/>
      </w:r>
      <w:proofErr w:type="spellStart"/>
      <w:r w:rsidRPr="004D46BC">
        <w:rPr>
          <w:b/>
          <w:sz w:val="24"/>
          <w:szCs w:val="24"/>
        </w:rPr>
        <w:t>Farmakokinetiske</w:t>
      </w:r>
      <w:proofErr w:type="spellEnd"/>
      <w:r w:rsidRPr="004D46BC">
        <w:rPr>
          <w:b/>
          <w:sz w:val="24"/>
          <w:szCs w:val="24"/>
        </w:rPr>
        <w:t xml:space="preserve"> egenskaber</w:t>
      </w:r>
    </w:p>
    <w:p w:rsidR="00F7673B" w:rsidRPr="004D46BC" w:rsidRDefault="00B003BF" w:rsidP="004D46BC">
      <w:pPr>
        <w:ind w:left="851" w:hanging="851"/>
        <w:rPr>
          <w:sz w:val="24"/>
          <w:szCs w:val="24"/>
        </w:rPr>
      </w:pPr>
      <w:r w:rsidRPr="004D46BC">
        <w:rPr>
          <w:sz w:val="24"/>
          <w:szCs w:val="24"/>
        </w:rPr>
        <w:tab/>
      </w:r>
      <w:proofErr w:type="spellStart"/>
      <w:r w:rsidR="00F7673B" w:rsidRPr="004D46BC">
        <w:rPr>
          <w:sz w:val="24"/>
          <w:szCs w:val="24"/>
        </w:rPr>
        <w:t>Bicalutamid</w:t>
      </w:r>
      <w:proofErr w:type="spellEnd"/>
      <w:r w:rsidR="00F7673B" w:rsidRPr="004D46BC">
        <w:rPr>
          <w:sz w:val="24"/>
          <w:szCs w:val="24"/>
        </w:rPr>
        <w:t xml:space="preserve"> absorberes godt efter oral indgift. Der er ingen tegn på klinisk relevant effekt af fødeindtagelse på biotilgængeligheden.</w:t>
      </w:r>
    </w:p>
    <w:p w:rsidR="00F7673B" w:rsidRPr="004D46BC" w:rsidRDefault="00F7673B" w:rsidP="004D46BC">
      <w:pPr>
        <w:ind w:left="851"/>
        <w:rPr>
          <w:sz w:val="24"/>
          <w:szCs w:val="24"/>
        </w:rPr>
      </w:pPr>
      <w:r w:rsidRPr="004D46BC">
        <w:rPr>
          <w:sz w:val="24"/>
          <w:szCs w:val="24"/>
        </w:rPr>
        <w:t>(S)-</w:t>
      </w:r>
      <w:proofErr w:type="spellStart"/>
      <w:r w:rsidRPr="004D46BC">
        <w:rPr>
          <w:sz w:val="24"/>
          <w:szCs w:val="24"/>
        </w:rPr>
        <w:t>enantiomeren</w:t>
      </w:r>
      <w:proofErr w:type="spellEnd"/>
      <w:r w:rsidRPr="004D46BC">
        <w:rPr>
          <w:sz w:val="24"/>
          <w:szCs w:val="24"/>
        </w:rPr>
        <w:t xml:space="preserve"> cleares hurtigt i forhold til (R)-</w:t>
      </w:r>
      <w:proofErr w:type="spellStart"/>
      <w:r w:rsidRPr="004D46BC">
        <w:rPr>
          <w:sz w:val="24"/>
          <w:szCs w:val="24"/>
        </w:rPr>
        <w:t>enantiomeren</w:t>
      </w:r>
      <w:proofErr w:type="spellEnd"/>
      <w:r w:rsidRPr="004D46BC">
        <w:rPr>
          <w:sz w:val="24"/>
          <w:szCs w:val="24"/>
        </w:rPr>
        <w:t>. Sidstnævnte har en eliminationshalveringstid i plasma på ca. 1 uge.</w:t>
      </w:r>
    </w:p>
    <w:p w:rsidR="00F7673B" w:rsidRPr="004D46BC" w:rsidRDefault="00F7673B" w:rsidP="004D46BC">
      <w:pPr>
        <w:ind w:left="851"/>
        <w:rPr>
          <w:sz w:val="24"/>
          <w:szCs w:val="24"/>
        </w:rPr>
      </w:pPr>
      <w:r w:rsidRPr="004D46BC">
        <w:rPr>
          <w:sz w:val="24"/>
          <w:szCs w:val="24"/>
        </w:rPr>
        <w:t xml:space="preserve">Ved daglig administration af </w:t>
      </w:r>
      <w:proofErr w:type="spellStart"/>
      <w:r w:rsidRPr="004D46BC">
        <w:rPr>
          <w:sz w:val="24"/>
          <w:szCs w:val="24"/>
        </w:rPr>
        <w:t>bicalutamid</w:t>
      </w:r>
      <w:proofErr w:type="spellEnd"/>
      <w:r w:rsidRPr="004D46BC">
        <w:rPr>
          <w:sz w:val="24"/>
          <w:szCs w:val="24"/>
        </w:rPr>
        <w:t xml:space="preserve"> akkumuleres (R)-</w:t>
      </w:r>
      <w:proofErr w:type="spellStart"/>
      <w:r w:rsidRPr="004D46BC">
        <w:rPr>
          <w:sz w:val="24"/>
          <w:szCs w:val="24"/>
        </w:rPr>
        <w:t>enantiomeren</w:t>
      </w:r>
      <w:proofErr w:type="spellEnd"/>
      <w:r w:rsidRPr="004D46BC">
        <w:rPr>
          <w:sz w:val="24"/>
          <w:szCs w:val="24"/>
        </w:rPr>
        <w:t xml:space="preserve"> ca. 10 gange i plasma som en konsekvens af dets lange halveringstid.</w:t>
      </w:r>
    </w:p>
    <w:p w:rsidR="00F7673B" w:rsidRPr="004D46BC" w:rsidRDefault="00F7673B" w:rsidP="004D46BC">
      <w:pPr>
        <w:ind w:left="851"/>
        <w:rPr>
          <w:sz w:val="24"/>
          <w:szCs w:val="24"/>
        </w:rPr>
      </w:pPr>
      <w:proofErr w:type="spellStart"/>
      <w:r w:rsidRPr="004D46BC">
        <w:rPr>
          <w:sz w:val="24"/>
          <w:szCs w:val="24"/>
        </w:rPr>
        <w:t>Steady</w:t>
      </w:r>
      <w:proofErr w:type="spellEnd"/>
      <w:r w:rsidRPr="004D46BC">
        <w:rPr>
          <w:sz w:val="24"/>
          <w:szCs w:val="24"/>
        </w:rPr>
        <w:t xml:space="preserve"> </w:t>
      </w:r>
      <w:proofErr w:type="spellStart"/>
      <w:r w:rsidRPr="004D46BC">
        <w:rPr>
          <w:sz w:val="24"/>
          <w:szCs w:val="24"/>
        </w:rPr>
        <w:t>state</w:t>
      </w:r>
      <w:proofErr w:type="spellEnd"/>
      <w:r w:rsidRPr="004D46BC">
        <w:rPr>
          <w:sz w:val="24"/>
          <w:szCs w:val="24"/>
        </w:rPr>
        <w:t xml:space="preserve"> plasmakoncentrationer af (R)-</w:t>
      </w:r>
      <w:proofErr w:type="spellStart"/>
      <w:r w:rsidRPr="004D46BC">
        <w:rPr>
          <w:sz w:val="24"/>
          <w:szCs w:val="24"/>
        </w:rPr>
        <w:t>enantiomeren</w:t>
      </w:r>
      <w:proofErr w:type="spellEnd"/>
      <w:r w:rsidRPr="004D46BC">
        <w:rPr>
          <w:sz w:val="24"/>
          <w:szCs w:val="24"/>
        </w:rPr>
        <w:t xml:space="preserve"> på ca. 22 mikrogram/ml observeres under daglig administration af </w:t>
      </w:r>
      <w:proofErr w:type="spellStart"/>
      <w:r w:rsidRPr="004D46BC">
        <w:rPr>
          <w:sz w:val="24"/>
          <w:szCs w:val="24"/>
        </w:rPr>
        <w:t>bicalutamid</w:t>
      </w:r>
      <w:proofErr w:type="spellEnd"/>
      <w:r w:rsidRPr="004D46BC">
        <w:rPr>
          <w:sz w:val="24"/>
          <w:szCs w:val="24"/>
        </w:rPr>
        <w:t xml:space="preserve"> 150 mg.</w:t>
      </w:r>
    </w:p>
    <w:p w:rsidR="00F7673B" w:rsidRPr="004D46BC" w:rsidRDefault="00F7673B" w:rsidP="004D46BC">
      <w:pPr>
        <w:ind w:left="851"/>
        <w:rPr>
          <w:sz w:val="24"/>
          <w:szCs w:val="24"/>
        </w:rPr>
      </w:pPr>
      <w:r w:rsidRPr="004D46BC">
        <w:rPr>
          <w:sz w:val="24"/>
          <w:szCs w:val="24"/>
        </w:rPr>
        <w:t xml:space="preserve">Ved </w:t>
      </w:r>
      <w:proofErr w:type="spellStart"/>
      <w:r w:rsidRPr="004D46BC">
        <w:rPr>
          <w:sz w:val="24"/>
          <w:szCs w:val="24"/>
        </w:rPr>
        <w:t>steady</w:t>
      </w:r>
      <w:proofErr w:type="spellEnd"/>
      <w:r w:rsidRPr="004D46BC">
        <w:rPr>
          <w:sz w:val="24"/>
          <w:szCs w:val="24"/>
        </w:rPr>
        <w:t xml:space="preserve"> </w:t>
      </w:r>
      <w:proofErr w:type="spellStart"/>
      <w:r w:rsidRPr="004D46BC">
        <w:rPr>
          <w:sz w:val="24"/>
          <w:szCs w:val="24"/>
        </w:rPr>
        <w:t>state</w:t>
      </w:r>
      <w:proofErr w:type="spellEnd"/>
      <w:r w:rsidRPr="004D46BC">
        <w:rPr>
          <w:sz w:val="24"/>
          <w:szCs w:val="24"/>
        </w:rPr>
        <w:t xml:space="preserve"> udgør den overvejende aktive (R)-</w:t>
      </w:r>
      <w:proofErr w:type="spellStart"/>
      <w:r w:rsidRPr="004D46BC">
        <w:rPr>
          <w:sz w:val="24"/>
          <w:szCs w:val="24"/>
        </w:rPr>
        <w:t>enantiomer</w:t>
      </w:r>
      <w:proofErr w:type="spellEnd"/>
      <w:r w:rsidRPr="004D46BC">
        <w:rPr>
          <w:sz w:val="24"/>
          <w:szCs w:val="24"/>
        </w:rPr>
        <w:t xml:space="preserve"> 99 % af de samlede cirkulerende </w:t>
      </w:r>
      <w:proofErr w:type="spellStart"/>
      <w:r w:rsidRPr="004D46BC">
        <w:rPr>
          <w:sz w:val="24"/>
          <w:szCs w:val="24"/>
        </w:rPr>
        <w:t>enantiomere</w:t>
      </w:r>
      <w:proofErr w:type="spellEnd"/>
      <w:r w:rsidRPr="004D46BC">
        <w:rPr>
          <w:sz w:val="24"/>
          <w:szCs w:val="24"/>
        </w:rPr>
        <w:t>.</w:t>
      </w:r>
    </w:p>
    <w:p w:rsidR="00F7673B" w:rsidRPr="004D46BC" w:rsidRDefault="00F7673B" w:rsidP="004D46BC">
      <w:pPr>
        <w:ind w:left="851"/>
        <w:rPr>
          <w:sz w:val="24"/>
          <w:szCs w:val="24"/>
        </w:rPr>
      </w:pPr>
      <w:r w:rsidRPr="004D46BC">
        <w:rPr>
          <w:sz w:val="24"/>
          <w:szCs w:val="24"/>
        </w:rPr>
        <w:t>(R)-</w:t>
      </w:r>
      <w:proofErr w:type="spellStart"/>
      <w:r w:rsidRPr="004D46BC">
        <w:rPr>
          <w:sz w:val="24"/>
          <w:szCs w:val="24"/>
        </w:rPr>
        <w:t>enantiomerens</w:t>
      </w:r>
      <w:proofErr w:type="spellEnd"/>
      <w:r w:rsidRPr="004D46BC">
        <w:rPr>
          <w:sz w:val="24"/>
          <w:szCs w:val="24"/>
        </w:rPr>
        <w:t xml:space="preserve"> </w:t>
      </w:r>
      <w:proofErr w:type="spellStart"/>
      <w:r w:rsidRPr="004D46BC">
        <w:rPr>
          <w:sz w:val="24"/>
          <w:szCs w:val="24"/>
        </w:rPr>
        <w:t>farmakokinetik</w:t>
      </w:r>
      <w:proofErr w:type="spellEnd"/>
      <w:r w:rsidRPr="004D46BC">
        <w:rPr>
          <w:sz w:val="24"/>
          <w:szCs w:val="24"/>
        </w:rPr>
        <w:t xml:space="preserve"> er uafhængig af alder, nedsat nyrefunktion eller mildt til moderat nedsat leverfunktion. Der er tegn på, at (R)-</w:t>
      </w:r>
      <w:proofErr w:type="spellStart"/>
      <w:r w:rsidRPr="004D46BC">
        <w:rPr>
          <w:sz w:val="24"/>
          <w:szCs w:val="24"/>
        </w:rPr>
        <w:t>enantiomeren</w:t>
      </w:r>
      <w:proofErr w:type="spellEnd"/>
      <w:r w:rsidRPr="004D46BC">
        <w:rPr>
          <w:sz w:val="24"/>
          <w:szCs w:val="24"/>
        </w:rPr>
        <w:t xml:space="preserve"> elimineres langsommere fra plasma hos personer med svært nedsat leverfunktion.</w:t>
      </w:r>
    </w:p>
    <w:p w:rsidR="00F7673B" w:rsidRPr="004D46BC" w:rsidRDefault="00F7673B" w:rsidP="004D46BC">
      <w:pPr>
        <w:ind w:left="851"/>
        <w:rPr>
          <w:sz w:val="24"/>
          <w:szCs w:val="24"/>
        </w:rPr>
      </w:pPr>
      <w:proofErr w:type="spellStart"/>
      <w:r w:rsidRPr="004D46BC">
        <w:rPr>
          <w:sz w:val="24"/>
          <w:szCs w:val="24"/>
        </w:rPr>
        <w:t>Biculatamid</w:t>
      </w:r>
      <w:proofErr w:type="spellEnd"/>
      <w:r w:rsidRPr="004D46BC">
        <w:rPr>
          <w:sz w:val="24"/>
          <w:szCs w:val="24"/>
        </w:rPr>
        <w:t xml:space="preserve"> er stærkt proteinbundet (racemat 96 %, (R)-</w:t>
      </w:r>
      <w:proofErr w:type="spellStart"/>
      <w:r w:rsidRPr="004D46BC">
        <w:rPr>
          <w:sz w:val="24"/>
          <w:szCs w:val="24"/>
        </w:rPr>
        <w:t>enantiomeren</w:t>
      </w:r>
      <w:proofErr w:type="spellEnd"/>
      <w:r w:rsidRPr="004D46BC">
        <w:rPr>
          <w:sz w:val="24"/>
          <w:szCs w:val="24"/>
        </w:rPr>
        <w:t xml:space="preserve"> &gt; 99 %) og </w:t>
      </w:r>
      <w:proofErr w:type="spellStart"/>
      <w:r w:rsidRPr="004D46BC">
        <w:rPr>
          <w:sz w:val="24"/>
          <w:szCs w:val="24"/>
        </w:rPr>
        <w:t>metaboliseres</w:t>
      </w:r>
      <w:proofErr w:type="spellEnd"/>
      <w:r w:rsidRPr="004D46BC">
        <w:rPr>
          <w:sz w:val="24"/>
          <w:szCs w:val="24"/>
        </w:rPr>
        <w:t xml:space="preserve"> ekstensivt (oxidation og </w:t>
      </w:r>
      <w:proofErr w:type="spellStart"/>
      <w:r w:rsidRPr="004D46BC">
        <w:rPr>
          <w:sz w:val="24"/>
          <w:szCs w:val="24"/>
        </w:rPr>
        <w:t>glucuronidering</w:t>
      </w:r>
      <w:proofErr w:type="spellEnd"/>
      <w:r w:rsidRPr="004D46BC">
        <w:rPr>
          <w:sz w:val="24"/>
          <w:szCs w:val="24"/>
        </w:rPr>
        <w:t xml:space="preserve">). Dets </w:t>
      </w:r>
      <w:proofErr w:type="spellStart"/>
      <w:r w:rsidRPr="004D46BC">
        <w:rPr>
          <w:sz w:val="24"/>
          <w:szCs w:val="24"/>
        </w:rPr>
        <w:t>metabolitter</w:t>
      </w:r>
      <w:proofErr w:type="spellEnd"/>
      <w:r w:rsidRPr="004D46BC">
        <w:rPr>
          <w:sz w:val="24"/>
          <w:szCs w:val="24"/>
        </w:rPr>
        <w:t xml:space="preserve"> elimineres i omtrent lige proportioner via nyrer og galde.</w:t>
      </w:r>
    </w:p>
    <w:p w:rsidR="00F7673B" w:rsidRPr="004D46BC" w:rsidRDefault="00F7673B" w:rsidP="004D46BC">
      <w:pPr>
        <w:ind w:left="851"/>
        <w:rPr>
          <w:sz w:val="24"/>
          <w:szCs w:val="24"/>
        </w:rPr>
      </w:pPr>
      <w:r w:rsidRPr="004D46BC">
        <w:rPr>
          <w:sz w:val="24"/>
          <w:szCs w:val="24"/>
        </w:rPr>
        <w:t>I et klinisk studie var den gennemsnitlige koncentration af R-</w:t>
      </w:r>
      <w:proofErr w:type="spellStart"/>
      <w:r w:rsidRPr="004D46BC">
        <w:rPr>
          <w:sz w:val="24"/>
          <w:szCs w:val="24"/>
        </w:rPr>
        <w:t>bicalutamid</w:t>
      </w:r>
      <w:proofErr w:type="spellEnd"/>
      <w:r w:rsidRPr="004D46BC">
        <w:rPr>
          <w:sz w:val="24"/>
          <w:szCs w:val="24"/>
        </w:rPr>
        <w:t xml:space="preserve"> i sæd hos mænd, der fik </w:t>
      </w:r>
      <w:proofErr w:type="spellStart"/>
      <w:r w:rsidRPr="004D46BC">
        <w:rPr>
          <w:sz w:val="24"/>
          <w:szCs w:val="24"/>
        </w:rPr>
        <w:t>bicalutamid</w:t>
      </w:r>
      <w:proofErr w:type="spellEnd"/>
      <w:r w:rsidRPr="004D46BC">
        <w:rPr>
          <w:sz w:val="24"/>
          <w:szCs w:val="24"/>
        </w:rPr>
        <w:t xml:space="preserve"> 150 mg, 4,9 mikrogram/ml. Mængden af </w:t>
      </w:r>
      <w:proofErr w:type="spellStart"/>
      <w:r w:rsidRPr="004D46BC">
        <w:rPr>
          <w:sz w:val="24"/>
          <w:szCs w:val="24"/>
        </w:rPr>
        <w:t>bicalutamid</w:t>
      </w:r>
      <w:proofErr w:type="spellEnd"/>
      <w:r w:rsidRPr="004D46BC">
        <w:rPr>
          <w:sz w:val="24"/>
          <w:szCs w:val="24"/>
        </w:rPr>
        <w:t xml:space="preserve">, der potentielt overføres til en kvindelig partner under samleje, er lav og er ca. 0,3 mikrogram/kg. Dette er under den mængde, der kræves for at inducere ændringer hos afkom af forsøgsdyr. </w:t>
      </w:r>
    </w:p>
    <w:p w:rsidR="00B003BF" w:rsidRPr="004D46BC" w:rsidRDefault="00B003BF" w:rsidP="004D46BC">
      <w:pPr>
        <w:ind w:left="851" w:hanging="851"/>
        <w:rPr>
          <w:b/>
          <w:sz w:val="24"/>
          <w:szCs w:val="24"/>
        </w:rPr>
      </w:pPr>
      <w:r w:rsidRPr="004D46BC">
        <w:rPr>
          <w:b/>
          <w:sz w:val="24"/>
          <w:szCs w:val="24"/>
        </w:rPr>
        <w:lastRenderedPageBreak/>
        <w:t>5.3</w:t>
      </w:r>
      <w:r w:rsidRPr="004D46BC">
        <w:rPr>
          <w:b/>
          <w:sz w:val="24"/>
          <w:szCs w:val="24"/>
        </w:rPr>
        <w:tab/>
        <w:t>Prækliniske sikkerhedsdata</w:t>
      </w:r>
    </w:p>
    <w:p w:rsidR="00712033" w:rsidRDefault="00B003BF" w:rsidP="009C2736">
      <w:pPr>
        <w:ind w:left="851" w:hanging="851"/>
        <w:rPr>
          <w:sz w:val="24"/>
          <w:szCs w:val="24"/>
        </w:rPr>
      </w:pPr>
      <w:r w:rsidRPr="004D46BC">
        <w:rPr>
          <w:sz w:val="24"/>
          <w:szCs w:val="24"/>
        </w:rPr>
        <w:tab/>
      </w:r>
      <w:proofErr w:type="spellStart"/>
      <w:r w:rsidR="00F7673B" w:rsidRPr="004D46BC">
        <w:rPr>
          <w:sz w:val="24"/>
          <w:szCs w:val="24"/>
        </w:rPr>
        <w:t>Bicalutamid</w:t>
      </w:r>
      <w:proofErr w:type="spellEnd"/>
      <w:r w:rsidR="00F7673B" w:rsidRPr="004D46BC">
        <w:rPr>
          <w:sz w:val="24"/>
          <w:szCs w:val="24"/>
        </w:rPr>
        <w:t xml:space="preserve"> er et potent </w:t>
      </w:r>
      <w:proofErr w:type="spellStart"/>
      <w:r w:rsidR="00F7673B" w:rsidRPr="004D46BC">
        <w:rPr>
          <w:sz w:val="24"/>
          <w:szCs w:val="24"/>
        </w:rPr>
        <w:t>antiandrogen</w:t>
      </w:r>
      <w:proofErr w:type="spellEnd"/>
      <w:r w:rsidR="00F7673B" w:rsidRPr="004D46BC">
        <w:rPr>
          <w:sz w:val="24"/>
          <w:szCs w:val="24"/>
        </w:rPr>
        <w:t xml:space="preserve"> og en </w:t>
      </w:r>
      <w:proofErr w:type="spellStart"/>
      <w:r w:rsidR="00F7673B" w:rsidRPr="004D46BC">
        <w:rPr>
          <w:sz w:val="24"/>
          <w:szCs w:val="24"/>
        </w:rPr>
        <w:t>oxidaseenzyminducer</w:t>
      </w:r>
      <w:proofErr w:type="spellEnd"/>
      <w:r w:rsidR="00F7673B" w:rsidRPr="004D46BC">
        <w:rPr>
          <w:sz w:val="24"/>
          <w:szCs w:val="24"/>
        </w:rPr>
        <w:t xml:space="preserve"> med blandet funktion hos dyr. Ændringer i målorganer, inklusive tumorinduktion (</w:t>
      </w:r>
      <w:proofErr w:type="spellStart"/>
      <w:r w:rsidR="00F7673B" w:rsidRPr="004D46BC">
        <w:rPr>
          <w:sz w:val="24"/>
          <w:szCs w:val="24"/>
        </w:rPr>
        <w:t>Leydig</w:t>
      </w:r>
      <w:proofErr w:type="spellEnd"/>
      <w:r w:rsidR="00F7673B" w:rsidRPr="004D46BC">
        <w:rPr>
          <w:sz w:val="24"/>
          <w:szCs w:val="24"/>
        </w:rPr>
        <w:t xml:space="preserve">-celler, </w:t>
      </w:r>
      <w:proofErr w:type="spellStart"/>
      <w:r w:rsidR="00F7673B" w:rsidRPr="004D46BC">
        <w:rPr>
          <w:sz w:val="24"/>
          <w:szCs w:val="24"/>
        </w:rPr>
        <w:t>thyreoidea</w:t>
      </w:r>
      <w:proofErr w:type="spellEnd"/>
      <w:r w:rsidR="00F7673B" w:rsidRPr="004D46BC">
        <w:rPr>
          <w:sz w:val="24"/>
          <w:szCs w:val="24"/>
        </w:rPr>
        <w:t xml:space="preserve">, lever) hos dyr er relateret til disse aktiviteter. Der er ikke observeret enzyminduktion hos mennesker, og ingen af disse resultater anses af have relevans for behandlingen af patienter med prostatacancer. Atrofi af sædkanaler er en forudsagt klasseeffekt med </w:t>
      </w:r>
      <w:proofErr w:type="spellStart"/>
      <w:r w:rsidR="00F7673B" w:rsidRPr="004D46BC">
        <w:rPr>
          <w:sz w:val="24"/>
          <w:szCs w:val="24"/>
        </w:rPr>
        <w:t>antiandrogener</w:t>
      </w:r>
      <w:proofErr w:type="spellEnd"/>
      <w:r w:rsidR="00F7673B" w:rsidRPr="004D46BC">
        <w:rPr>
          <w:sz w:val="24"/>
          <w:szCs w:val="24"/>
        </w:rPr>
        <w:t xml:space="preserve"> og er observeret hos alle undersøgte arter. Fuld ophævelse af testikelatrofi var 24 uger efter et 12-måneders toksicitetsforsøg med gentagne doser hos rotter, selvom den funktionelle ophævelse sås i reproduktionsforsøg 7 uger efter afslutningen på en 11-ugers doseringsperiode. Det bør antages, at der kan komme en periode med subfertilitet eller </w:t>
      </w:r>
      <w:proofErr w:type="spellStart"/>
      <w:r w:rsidR="00F7673B" w:rsidRPr="004D46BC">
        <w:rPr>
          <w:sz w:val="24"/>
          <w:szCs w:val="24"/>
        </w:rPr>
        <w:t>infertilitet</w:t>
      </w:r>
      <w:proofErr w:type="spellEnd"/>
      <w:r w:rsidR="00F7673B" w:rsidRPr="004D46BC">
        <w:rPr>
          <w:sz w:val="24"/>
          <w:szCs w:val="24"/>
        </w:rPr>
        <w:t xml:space="preserve"> hos mennesker.</w:t>
      </w:r>
    </w:p>
    <w:p w:rsidR="009C2736" w:rsidRDefault="009C2736" w:rsidP="009C2736">
      <w:pPr>
        <w:ind w:left="851" w:hanging="851"/>
        <w:rPr>
          <w:sz w:val="24"/>
          <w:szCs w:val="24"/>
        </w:rPr>
      </w:pP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6.</w:t>
      </w:r>
      <w:r w:rsidRPr="004D46BC">
        <w:rPr>
          <w:b/>
          <w:sz w:val="24"/>
          <w:szCs w:val="24"/>
        </w:rPr>
        <w:tab/>
        <w:t>FARMACEUTISKE OPLYSNINGER</w:t>
      </w:r>
    </w:p>
    <w:p w:rsidR="00B003BF" w:rsidRPr="004D46BC" w:rsidRDefault="00B003BF" w:rsidP="004D46BC">
      <w:pPr>
        <w:ind w:left="851" w:hanging="851"/>
        <w:rPr>
          <w:b/>
          <w:sz w:val="24"/>
          <w:szCs w:val="24"/>
        </w:rPr>
      </w:pPr>
    </w:p>
    <w:p w:rsidR="00B003BF" w:rsidRPr="004D46BC" w:rsidRDefault="00B003BF" w:rsidP="004D46BC">
      <w:pPr>
        <w:ind w:left="851" w:hanging="851"/>
        <w:rPr>
          <w:b/>
          <w:sz w:val="24"/>
          <w:szCs w:val="24"/>
        </w:rPr>
      </w:pPr>
      <w:r w:rsidRPr="004D46BC">
        <w:rPr>
          <w:b/>
          <w:sz w:val="24"/>
          <w:szCs w:val="24"/>
        </w:rPr>
        <w:t>6.1</w:t>
      </w:r>
      <w:r w:rsidRPr="004D46BC">
        <w:rPr>
          <w:b/>
          <w:sz w:val="24"/>
          <w:szCs w:val="24"/>
        </w:rPr>
        <w:tab/>
        <w:t>Hjælpestoffer</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 xml:space="preserve">Tabletkerne: </w:t>
      </w:r>
    </w:p>
    <w:p w:rsidR="00F7673B" w:rsidRPr="00306C95" w:rsidRDefault="00F7673B" w:rsidP="0081691F">
      <w:pPr>
        <w:ind w:left="851"/>
        <w:rPr>
          <w:sz w:val="24"/>
          <w:szCs w:val="24"/>
        </w:rPr>
      </w:pPr>
      <w:r w:rsidRPr="00306C95">
        <w:rPr>
          <w:sz w:val="24"/>
          <w:szCs w:val="24"/>
        </w:rPr>
        <w:t>Lactosemonohydrat</w:t>
      </w:r>
    </w:p>
    <w:p w:rsidR="00F7673B" w:rsidRPr="00306C95" w:rsidRDefault="00F7673B" w:rsidP="0081691F">
      <w:pPr>
        <w:ind w:left="851"/>
        <w:rPr>
          <w:sz w:val="24"/>
          <w:szCs w:val="24"/>
        </w:rPr>
      </w:pPr>
      <w:r w:rsidRPr="00306C95">
        <w:rPr>
          <w:sz w:val="24"/>
          <w:szCs w:val="24"/>
        </w:rPr>
        <w:t>Povidon K-25</w:t>
      </w:r>
    </w:p>
    <w:p w:rsidR="00F7673B" w:rsidRPr="00306C95" w:rsidRDefault="00F7673B" w:rsidP="0081691F">
      <w:pPr>
        <w:ind w:left="851"/>
        <w:rPr>
          <w:sz w:val="24"/>
          <w:szCs w:val="24"/>
        </w:rPr>
      </w:pPr>
      <w:r w:rsidRPr="00306C95">
        <w:rPr>
          <w:sz w:val="24"/>
          <w:szCs w:val="24"/>
        </w:rPr>
        <w:t>Natriumstivelsesglykolat (type A)</w:t>
      </w:r>
    </w:p>
    <w:p w:rsidR="00F7673B" w:rsidRPr="00306C95" w:rsidRDefault="00F7673B" w:rsidP="0081691F">
      <w:pPr>
        <w:ind w:left="851"/>
        <w:rPr>
          <w:sz w:val="24"/>
          <w:szCs w:val="24"/>
        </w:rPr>
      </w:pPr>
      <w:r w:rsidRPr="00306C95">
        <w:rPr>
          <w:sz w:val="24"/>
          <w:szCs w:val="24"/>
        </w:rPr>
        <w:t>Magnesiumstearat</w:t>
      </w:r>
    </w:p>
    <w:p w:rsidR="00F7673B" w:rsidRPr="00306C95" w:rsidRDefault="00F7673B" w:rsidP="004D46BC">
      <w:pPr>
        <w:ind w:left="851" w:hanging="851"/>
        <w:rPr>
          <w:sz w:val="24"/>
          <w:szCs w:val="24"/>
        </w:rPr>
      </w:pPr>
    </w:p>
    <w:p w:rsidR="00F7673B" w:rsidRPr="004D46BC" w:rsidRDefault="00F7673B" w:rsidP="0081691F">
      <w:pPr>
        <w:ind w:left="851"/>
        <w:rPr>
          <w:sz w:val="24"/>
          <w:szCs w:val="24"/>
        </w:rPr>
      </w:pPr>
      <w:r w:rsidRPr="004D46BC">
        <w:rPr>
          <w:sz w:val="24"/>
          <w:szCs w:val="24"/>
        </w:rPr>
        <w:t xml:space="preserve">Overtræk: </w:t>
      </w:r>
    </w:p>
    <w:p w:rsidR="00F7673B" w:rsidRPr="004D46BC" w:rsidRDefault="00F7673B" w:rsidP="0081691F">
      <w:pPr>
        <w:ind w:left="851"/>
        <w:rPr>
          <w:sz w:val="24"/>
          <w:szCs w:val="24"/>
        </w:rPr>
      </w:pPr>
      <w:proofErr w:type="spellStart"/>
      <w:r w:rsidRPr="004D46BC">
        <w:rPr>
          <w:sz w:val="24"/>
          <w:szCs w:val="24"/>
        </w:rPr>
        <w:t>Hypromellose</w:t>
      </w:r>
      <w:proofErr w:type="spellEnd"/>
      <w:r w:rsidRPr="004D46BC">
        <w:rPr>
          <w:sz w:val="24"/>
          <w:szCs w:val="24"/>
        </w:rPr>
        <w:t xml:space="preserve"> (5cP)</w:t>
      </w:r>
    </w:p>
    <w:p w:rsidR="00F7673B" w:rsidRPr="004D46BC" w:rsidRDefault="00F7673B" w:rsidP="0081691F">
      <w:pPr>
        <w:ind w:left="851"/>
        <w:rPr>
          <w:sz w:val="24"/>
          <w:szCs w:val="24"/>
        </w:rPr>
      </w:pPr>
      <w:r w:rsidRPr="004D46BC">
        <w:rPr>
          <w:sz w:val="24"/>
          <w:szCs w:val="24"/>
        </w:rPr>
        <w:t>Titandioxid (E171)</w:t>
      </w:r>
    </w:p>
    <w:p w:rsidR="00F7673B" w:rsidRPr="004D46BC" w:rsidRDefault="00F7673B" w:rsidP="0081691F">
      <w:pPr>
        <w:ind w:left="851"/>
        <w:rPr>
          <w:sz w:val="24"/>
          <w:szCs w:val="24"/>
        </w:rPr>
      </w:pPr>
      <w:proofErr w:type="spellStart"/>
      <w:r w:rsidRPr="004D46BC">
        <w:rPr>
          <w:sz w:val="24"/>
          <w:szCs w:val="24"/>
        </w:rPr>
        <w:t>Propylenglycol</w:t>
      </w:r>
      <w:proofErr w:type="spellEnd"/>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6.2</w:t>
      </w:r>
      <w:r w:rsidRPr="004D46BC">
        <w:rPr>
          <w:b/>
          <w:sz w:val="24"/>
          <w:szCs w:val="24"/>
        </w:rPr>
        <w:tab/>
        <w:t>Uforligeligheder</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Ikke relevant.</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6.3</w:t>
      </w:r>
      <w:r w:rsidRPr="004D46BC">
        <w:rPr>
          <w:b/>
          <w:sz w:val="24"/>
          <w:szCs w:val="24"/>
        </w:rPr>
        <w:tab/>
        <w:t>Opbevaringstid</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5 år.</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6.4</w:t>
      </w:r>
      <w:r w:rsidRPr="004D46BC">
        <w:rPr>
          <w:b/>
          <w:sz w:val="24"/>
          <w:szCs w:val="24"/>
        </w:rPr>
        <w:tab/>
        <w:t>Særlige opbevaringsforhold</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 xml:space="preserve">Dette lægemiddel kræver ingen særlige forholdsregler vedrørende opbevaringen. </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6.5</w:t>
      </w:r>
      <w:r w:rsidRPr="004D46BC">
        <w:rPr>
          <w:b/>
          <w:sz w:val="24"/>
          <w:szCs w:val="24"/>
        </w:rPr>
        <w:tab/>
        <w:t>Emballagetyper og pakningsstørrelser</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PVC/PVDC/aluminiumblister.</w:t>
      </w:r>
    </w:p>
    <w:p w:rsidR="00F7673B" w:rsidRPr="004D46BC" w:rsidRDefault="00F7673B" w:rsidP="0081691F">
      <w:pPr>
        <w:ind w:left="851"/>
        <w:rPr>
          <w:sz w:val="24"/>
          <w:szCs w:val="24"/>
        </w:rPr>
      </w:pPr>
      <w:r w:rsidRPr="004D46BC">
        <w:rPr>
          <w:sz w:val="24"/>
          <w:szCs w:val="24"/>
        </w:rPr>
        <w:t>10, 14, 28, 30, 40, 50, 60, 90, 100 filmovertrukne tabletter</w:t>
      </w:r>
    </w:p>
    <w:p w:rsidR="00F7673B" w:rsidRPr="004D46BC" w:rsidRDefault="00F7673B" w:rsidP="004D46BC">
      <w:pPr>
        <w:ind w:left="851" w:hanging="851"/>
        <w:rPr>
          <w:sz w:val="24"/>
          <w:szCs w:val="24"/>
        </w:rPr>
      </w:pPr>
    </w:p>
    <w:p w:rsidR="00F7673B" w:rsidRPr="004D46BC" w:rsidRDefault="00F7673B" w:rsidP="0081691F">
      <w:pPr>
        <w:ind w:left="851"/>
        <w:rPr>
          <w:sz w:val="24"/>
          <w:szCs w:val="24"/>
        </w:rPr>
      </w:pPr>
      <w:r w:rsidRPr="004D46BC">
        <w:rPr>
          <w:sz w:val="24"/>
          <w:szCs w:val="24"/>
        </w:rPr>
        <w:t>Ikke alle pakningsstørrelser er nødvendigvis markedsført.</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6.6</w:t>
      </w:r>
      <w:r w:rsidRPr="004D46BC">
        <w:rPr>
          <w:b/>
          <w:sz w:val="24"/>
          <w:szCs w:val="24"/>
        </w:rPr>
        <w:tab/>
        <w:t>Regler for destruktion og anden håndtering</w:t>
      </w:r>
    </w:p>
    <w:p w:rsidR="00F7673B" w:rsidRPr="004D46BC" w:rsidRDefault="00B003BF" w:rsidP="004D46BC">
      <w:pPr>
        <w:ind w:left="851" w:hanging="851"/>
        <w:rPr>
          <w:sz w:val="24"/>
          <w:szCs w:val="24"/>
        </w:rPr>
      </w:pPr>
      <w:r w:rsidRPr="004D46BC">
        <w:rPr>
          <w:sz w:val="24"/>
          <w:szCs w:val="24"/>
        </w:rPr>
        <w:tab/>
      </w:r>
      <w:r w:rsidR="00F7673B" w:rsidRPr="004D46BC">
        <w:rPr>
          <w:sz w:val="24"/>
          <w:szCs w:val="24"/>
        </w:rPr>
        <w:t>Ikke anvendte lægemidler samt affald heraf skal bortskaffes i henhold til lokale retningslinjer.</w:t>
      </w:r>
    </w:p>
    <w:p w:rsidR="00B003BF" w:rsidRPr="004D46BC" w:rsidRDefault="00B003BF" w:rsidP="004D46BC">
      <w:pPr>
        <w:ind w:left="851" w:hanging="851"/>
        <w:jc w:val="both"/>
        <w:rPr>
          <w:sz w:val="24"/>
          <w:szCs w:val="24"/>
        </w:rPr>
      </w:pPr>
    </w:p>
    <w:p w:rsidR="00B003BF" w:rsidRPr="004D46BC" w:rsidRDefault="00B003BF" w:rsidP="004D46BC">
      <w:pPr>
        <w:ind w:left="851" w:hanging="851"/>
        <w:rPr>
          <w:b/>
          <w:sz w:val="24"/>
          <w:szCs w:val="24"/>
        </w:rPr>
      </w:pPr>
      <w:r w:rsidRPr="004D46BC">
        <w:rPr>
          <w:b/>
          <w:sz w:val="24"/>
          <w:szCs w:val="24"/>
        </w:rPr>
        <w:t>7.</w:t>
      </w:r>
      <w:r w:rsidRPr="004D46BC">
        <w:rPr>
          <w:b/>
          <w:sz w:val="24"/>
          <w:szCs w:val="24"/>
        </w:rPr>
        <w:tab/>
        <w:t>INDEHAVER AF MARKEDSFØRINGSTILLADELSEN</w:t>
      </w:r>
    </w:p>
    <w:p w:rsidR="00F7673B" w:rsidRPr="004D46BC" w:rsidRDefault="00B003BF" w:rsidP="004D46BC">
      <w:pPr>
        <w:ind w:left="851" w:hanging="851"/>
        <w:jc w:val="both"/>
        <w:rPr>
          <w:sz w:val="24"/>
          <w:szCs w:val="24"/>
        </w:rPr>
      </w:pPr>
      <w:r w:rsidRPr="004D46BC">
        <w:rPr>
          <w:sz w:val="24"/>
          <w:szCs w:val="24"/>
        </w:rPr>
        <w:tab/>
      </w:r>
      <w:r w:rsidR="00F7673B" w:rsidRPr="004D46BC">
        <w:rPr>
          <w:sz w:val="24"/>
          <w:szCs w:val="24"/>
          <w:lang w:eastAsia="el-GR"/>
        </w:rPr>
        <w:t>Fair-Med Healthcare GmbH</w:t>
      </w:r>
    </w:p>
    <w:p w:rsidR="00032992" w:rsidRDefault="00F7673B" w:rsidP="0081691F">
      <w:pPr>
        <w:ind w:left="851"/>
        <w:jc w:val="both"/>
        <w:rPr>
          <w:sz w:val="24"/>
          <w:szCs w:val="24"/>
          <w:lang w:eastAsia="el-GR"/>
        </w:rPr>
      </w:pPr>
      <w:proofErr w:type="spellStart"/>
      <w:r w:rsidRPr="004D46BC">
        <w:rPr>
          <w:sz w:val="24"/>
          <w:szCs w:val="24"/>
          <w:lang w:eastAsia="el-GR"/>
        </w:rPr>
        <w:t>Planckstrasse</w:t>
      </w:r>
      <w:proofErr w:type="spellEnd"/>
      <w:r w:rsidRPr="004D46BC">
        <w:rPr>
          <w:sz w:val="24"/>
          <w:szCs w:val="24"/>
          <w:lang w:eastAsia="el-GR"/>
        </w:rPr>
        <w:t xml:space="preserve"> 13</w:t>
      </w:r>
    </w:p>
    <w:p w:rsidR="00F7673B" w:rsidRPr="004D46BC" w:rsidRDefault="00F7673B" w:rsidP="0081691F">
      <w:pPr>
        <w:ind w:left="851"/>
        <w:jc w:val="both"/>
        <w:rPr>
          <w:sz w:val="24"/>
          <w:szCs w:val="24"/>
        </w:rPr>
      </w:pPr>
      <w:r w:rsidRPr="004D46BC">
        <w:rPr>
          <w:sz w:val="24"/>
          <w:szCs w:val="24"/>
          <w:lang w:eastAsia="el-GR"/>
        </w:rPr>
        <w:t>22765 Hamburg</w:t>
      </w:r>
    </w:p>
    <w:p w:rsidR="00F7673B" w:rsidRPr="004D46BC" w:rsidRDefault="00F7673B" w:rsidP="0081691F">
      <w:pPr>
        <w:ind w:left="851"/>
        <w:rPr>
          <w:b/>
          <w:sz w:val="24"/>
          <w:szCs w:val="24"/>
        </w:rPr>
      </w:pPr>
      <w:r w:rsidRPr="004D46BC">
        <w:rPr>
          <w:sz w:val="24"/>
          <w:szCs w:val="24"/>
        </w:rPr>
        <w:t>Tyskland</w:t>
      </w:r>
      <w:bookmarkStart w:id="0" w:name="_GoBack"/>
      <w:bookmarkEnd w:id="0"/>
    </w:p>
    <w:p w:rsidR="00F7673B" w:rsidRPr="004D46BC" w:rsidRDefault="00F7673B" w:rsidP="004D46BC">
      <w:pPr>
        <w:ind w:left="851" w:hanging="851"/>
        <w:rPr>
          <w:b/>
          <w:sz w:val="24"/>
          <w:szCs w:val="24"/>
        </w:rPr>
      </w:pPr>
    </w:p>
    <w:p w:rsidR="00B003BF" w:rsidRPr="004D46BC" w:rsidRDefault="00B003BF" w:rsidP="004D46BC">
      <w:pPr>
        <w:ind w:left="851" w:hanging="851"/>
        <w:rPr>
          <w:b/>
          <w:sz w:val="24"/>
          <w:szCs w:val="24"/>
        </w:rPr>
      </w:pPr>
      <w:r w:rsidRPr="004D46BC">
        <w:rPr>
          <w:b/>
          <w:sz w:val="24"/>
          <w:szCs w:val="24"/>
        </w:rPr>
        <w:t>8.</w:t>
      </w:r>
      <w:r w:rsidRPr="004D46BC">
        <w:rPr>
          <w:b/>
          <w:sz w:val="24"/>
          <w:szCs w:val="24"/>
        </w:rPr>
        <w:tab/>
        <w:t>MARKEDSFØRINGSTILLADELSESNUMMER (NUMRE)</w:t>
      </w:r>
    </w:p>
    <w:p w:rsidR="00B003BF" w:rsidRPr="004D46BC" w:rsidRDefault="00B003BF" w:rsidP="004D46BC">
      <w:pPr>
        <w:ind w:left="851" w:hanging="851"/>
        <w:rPr>
          <w:sz w:val="24"/>
          <w:szCs w:val="24"/>
        </w:rPr>
      </w:pPr>
      <w:r w:rsidRPr="004D46BC">
        <w:rPr>
          <w:sz w:val="24"/>
          <w:szCs w:val="24"/>
        </w:rPr>
        <w:tab/>
      </w:r>
      <w:r w:rsidR="00F7673B" w:rsidRPr="004D46BC">
        <w:rPr>
          <w:sz w:val="24"/>
          <w:szCs w:val="24"/>
        </w:rPr>
        <w:t>48848</w:t>
      </w:r>
    </w:p>
    <w:p w:rsidR="00B003BF" w:rsidRPr="004D46BC" w:rsidRDefault="00B003BF" w:rsidP="004D46BC">
      <w:pPr>
        <w:ind w:left="851" w:hanging="851"/>
        <w:jc w:val="both"/>
        <w:rPr>
          <w:sz w:val="24"/>
          <w:szCs w:val="24"/>
        </w:rPr>
      </w:pPr>
    </w:p>
    <w:p w:rsidR="00B003BF" w:rsidRPr="004D46BC" w:rsidRDefault="00B003BF" w:rsidP="004D46BC">
      <w:pPr>
        <w:ind w:left="851" w:hanging="851"/>
        <w:rPr>
          <w:b/>
          <w:sz w:val="24"/>
          <w:szCs w:val="24"/>
        </w:rPr>
      </w:pPr>
      <w:r w:rsidRPr="004D46BC">
        <w:rPr>
          <w:b/>
          <w:sz w:val="24"/>
          <w:szCs w:val="24"/>
        </w:rPr>
        <w:t>9.</w:t>
      </w:r>
      <w:r w:rsidRPr="004D46BC">
        <w:rPr>
          <w:b/>
          <w:sz w:val="24"/>
          <w:szCs w:val="24"/>
        </w:rPr>
        <w:tab/>
        <w:t>DATO FOR FØRSTE MARKEDSFØRINGSTILLADELSE</w:t>
      </w:r>
    </w:p>
    <w:p w:rsidR="00B003BF" w:rsidRPr="004D46BC" w:rsidRDefault="00B003BF" w:rsidP="004D46BC">
      <w:pPr>
        <w:ind w:left="851" w:hanging="851"/>
        <w:rPr>
          <w:sz w:val="24"/>
          <w:szCs w:val="24"/>
        </w:rPr>
      </w:pPr>
      <w:r w:rsidRPr="004D46BC">
        <w:rPr>
          <w:sz w:val="24"/>
          <w:szCs w:val="24"/>
        </w:rPr>
        <w:tab/>
      </w:r>
      <w:r w:rsidR="004D46BC" w:rsidRPr="004D46BC">
        <w:rPr>
          <w:sz w:val="24"/>
          <w:szCs w:val="24"/>
        </w:rPr>
        <w:t>4. september 2012</w:t>
      </w:r>
    </w:p>
    <w:p w:rsidR="00B003BF" w:rsidRPr="004D46BC" w:rsidRDefault="00B003BF" w:rsidP="004D46BC">
      <w:pPr>
        <w:ind w:left="851" w:hanging="851"/>
        <w:rPr>
          <w:sz w:val="24"/>
          <w:szCs w:val="24"/>
        </w:rPr>
      </w:pPr>
    </w:p>
    <w:p w:rsidR="00B003BF" w:rsidRPr="004D46BC" w:rsidRDefault="00B003BF" w:rsidP="004D46BC">
      <w:pPr>
        <w:ind w:left="851" w:hanging="851"/>
        <w:rPr>
          <w:b/>
          <w:sz w:val="24"/>
          <w:szCs w:val="24"/>
        </w:rPr>
      </w:pPr>
      <w:r w:rsidRPr="004D46BC">
        <w:rPr>
          <w:b/>
          <w:sz w:val="24"/>
          <w:szCs w:val="24"/>
        </w:rPr>
        <w:t>10.</w:t>
      </w:r>
      <w:r w:rsidRPr="004D46BC">
        <w:rPr>
          <w:b/>
          <w:sz w:val="24"/>
          <w:szCs w:val="24"/>
        </w:rPr>
        <w:tab/>
        <w:t>DATO FOR ÆNDRING AF TEKSTEN</w:t>
      </w:r>
    </w:p>
    <w:p w:rsidR="00B003BF" w:rsidRPr="004D46BC" w:rsidRDefault="00B003BF" w:rsidP="004D46BC">
      <w:pPr>
        <w:ind w:left="851" w:hanging="851"/>
        <w:rPr>
          <w:sz w:val="24"/>
          <w:szCs w:val="24"/>
        </w:rPr>
      </w:pPr>
      <w:r w:rsidRPr="004D46BC">
        <w:rPr>
          <w:sz w:val="24"/>
          <w:szCs w:val="24"/>
        </w:rPr>
        <w:tab/>
      </w:r>
      <w:r w:rsidR="009C2736">
        <w:rPr>
          <w:sz w:val="24"/>
          <w:szCs w:val="24"/>
        </w:rPr>
        <w:t>14. december 2016</w:t>
      </w:r>
    </w:p>
    <w:sectPr w:rsidR="00B003BF" w:rsidRPr="004D46B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51D" w:rsidRDefault="00B2751D">
      <w:r>
        <w:separator/>
      </w:r>
    </w:p>
  </w:endnote>
  <w:endnote w:type="continuationSeparator" w:id="0">
    <w:p w:rsidR="00B2751D" w:rsidRDefault="00B2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51D" w:rsidRDefault="00B2751D">
    <w:pPr>
      <w:pStyle w:val="Sidefod"/>
      <w:pBdr>
        <w:bottom w:val="single" w:sz="6" w:space="1" w:color="auto"/>
      </w:pBdr>
    </w:pPr>
  </w:p>
  <w:p w:rsidR="00B2751D" w:rsidRDefault="00B2751D" w:rsidP="00C42586">
    <w:pPr>
      <w:pStyle w:val="Sidefod"/>
      <w:tabs>
        <w:tab w:val="clear" w:pos="4819"/>
        <w:tab w:val="left" w:pos="8505"/>
      </w:tabs>
      <w:rPr>
        <w:i/>
        <w:sz w:val="18"/>
        <w:szCs w:val="18"/>
      </w:rPr>
    </w:pPr>
  </w:p>
  <w:p w:rsidR="00B2751D" w:rsidRPr="00B373D7" w:rsidRDefault="00E3391F" w:rsidP="00C42586">
    <w:pPr>
      <w:pStyle w:val="Sidefod"/>
      <w:tabs>
        <w:tab w:val="clear" w:pos="4819"/>
        <w:tab w:val="left" w:pos="8505"/>
      </w:tabs>
      <w:rPr>
        <w:i/>
        <w:sz w:val="18"/>
        <w:szCs w:val="18"/>
      </w:rPr>
    </w:pPr>
    <w:r w:rsidRPr="00B373D7">
      <w:rPr>
        <w:i/>
        <w:sz w:val="18"/>
        <w:szCs w:val="18"/>
      </w:rPr>
      <w:fldChar w:fldCharType="begin"/>
    </w:r>
    <w:r w:rsidR="00B2751D" w:rsidRPr="00B373D7">
      <w:rPr>
        <w:i/>
        <w:sz w:val="18"/>
        <w:szCs w:val="18"/>
      </w:rPr>
      <w:instrText xml:space="preserve"> FILENAME </w:instrText>
    </w:r>
    <w:r w:rsidRPr="00B373D7">
      <w:rPr>
        <w:i/>
        <w:sz w:val="18"/>
        <w:szCs w:val="18"/>
      </w:rPr>
      <w:fldChar w:fldCharType="separate"/>
    </w:r>
    <w:r w:rsidR="0012788C">
      <w:rPr>
        <w:i/>
        <w:noProof/>
        <w:sz w:val="18"/>
        <w:szCs w:val="18"/>
      </w:rPr>
      <w:t>Bicalutamid Fair-Med, filmovertrukne tabletter 150 mg</w:t>
    </w:r>
    <w:r w:rsidRPr="00B373D7">
      <w:rPr>
        <w:i/>
        <w:sz w:val="18"/>
        <w:szCs w:val="18"/>
      </w:rPr>
      <w:fldChar w:fldCharType="end"/>
    </w:r>
    <w:r w:rsidR="00B2751D" w:rsidRPr="00B373D7">
      <w:rPr>
        <w:i/>
        <w:sz w:val="18"/>
        <w:szCs w:val="18"/>
      </w:rPr>
      <w:tab/>
      <w:t xml:space="preserve">Side </w:t>
    </w:r>
    <w:r w:rsidRPr="00B373D7">
      <w:rPr>
        <w:rStyle w:val="Sidetal"/>
        <w:i/>
        <w:sz w:val="18"/>
        <w:szCs w:val="18"/>
      </w:rPr>
      <w:fldChar w:fldCharType="begin"/>
    </w:r>
    <w:r w:rsidR="00B2751D" w:rsidRPr="00B373D7">
      <w:rPr>
        <w:rStyle w:val="Sidetal"/>
        <w:i/>
        <w:sz w:val="18"/>
        <w:szCs w:val="18"/>
      </w:rPr>
      <w:instrText xml:space="preserve"> PAGE </w:instrText>
    </w:r>
    <w:r w:rsidRPr="00B373D7">
      <w:rPr>
        <w:rStyle w:val="Sidetal"/>
        <w:i/>
        <w:sz w:val="18"/>
        <w:szCs w:val="18"/>
      </w:rPr>
      <w:fldChar w:fldCharType="separate"/>
    </w:r>
    <w:r w:rsidR="00C02464">
      <w:rPr>
        <w:rStyle w:val="Sidetal"/>
        <w:i/>
        <w:noProof/>
        <w:sz w:val="18"/>
        <w:szCs w:val="18"/>
      </w:rPr>
      <w:t>6</w:t>
    </w:r>
    <w:r w:rsidRPr="00B373D7">
      <w:rPr>
        <w:rStyle w:val="Sidetal"/>
        <w:i/>
        <w:sz w:val="18"/>
        <w:szCs w:val="18"/>
      </w:rPr>
      <w:fldChar w:fldCharType="end"/>
    </w:r>
    <w:r w:rsidR="00B2751D" w:rsidRPr="00B373D7">
      <w:rPr>
        <w:rStyle w:val="Sidetal"/>
        <w:i/>
        <w:sz w:val="18"/>
        <w:szCs w:val="18"/>
      </w:rPr>
      <w:t xml:space="preserve"> af </w:t>
    </w:r>
    <w:r w:rsidRPr="00B373D7">
      <w:rPr>
        <w:rStyle w:val="Sidetal"/>
        <w:i/>
        <w:sz w:val="18"/>
        <w:szCs w:val="18"/>
      </w:rPr>
      <w:fldChar w:fldCharType="begin"/>
    </w:r>
    <w:r w:rsidR="00B2751D" w:rsidRPr="00B373D7">
      <w:rPr>
        <w:rStyle w:val="Sidetal"/>
        <w:i/>
        <w:sz w:val="18"/>
        <w:szCs w:val="18"/>
      </w:rPr>
      <w:instrText xml:space="preserve"> NUMPAGES </w:instrText>
    </w:r>
    <w:r w:rsidRPr="00B373D7">
      <w:rPr>
        <w:rStyle w:val="Sidetal"/>
        <w:i/>
        <w:sz w:val="18"/>
        <w:szCs w:val="18"/>
      </w:rPr>
      <w:fldChar w:fldCharType="separate"/>
    </w:r>
    <w:r w:rsidR="00C02464">
      <w:rPr>
        <w:rStyle w:val="Sidetal"/>
        <w:i/>
        <w:noProof/>
        <w:sz w:val="18"/>
        <w:szCs w:val="18"/>
      </w:rPr>
      <w:t>8</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51D" w:rsidRDefault="00B2751D">
      <w:r>
        <w:separator/>
      </w:r>
    </w:p>
  </w:footnote>
  <w:footnote w:type="continuationSeparator" w:id="0">
    <w:p w:rsidR="00B2751D" w:rsidRDefault="00B27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356513"/>
    <w:multiLevelType w:val="hybridMultilevel"/>
    <w:tmpl w:val="CB92460E"/>
    <w:lvl w:ilvl="0" w:tplc="04060017">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69A4C46"/>
    <w:multiLevelType w:val="hybridMultilevel"/>
    <w:tmpl w:val="E4DA03F2"/>
    <w:lvl w:ilvl="0" w:tplc="4A54D5CE">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A0"/>
    <w:rsid w:val="000259B9"/>
    <w:rsid w:val="00032992"/>
    <w:rsid w:val="00041491"/>
    <w:rsid w:val="00050D16"/>
    <w:rsid w:val="00074F2A"/>
    <w:rsid w:val="000A1CA8"/>
    <w:rsid w:val="000A466B"/>
    <w:rsid w:val="000E4EE6"/>
    <w:rsid w:val="0012788C"/>
    <w:rsid w:val="00283A2B"/>
    <w:rsid w:val="002B30AD"/>
    <w:rsid w:val="002C2C01"/>
    <w:rsid w:val="00306C95"/>
    <w:rsid w:val="003405F0"/>
    <w:rsid w:val="003A29AE"/>
    <w:rsid w:val="003A32D7"/>
    <w:rsid w:val="003B4074"/>
    <w:rsid w:val="003C6FC2"/>
    <w:rsid w:val="003C769A"/>
    <w:rsid w:val="00417D8C"/>
    <w:rsid w:val="0045746C"/>
    <w:rsid w:val="0049104B"/>
    <w:rsid w:val="004D46BC"/>
    <w:rsid w:val="004E3B12"/>
    <w:rsid w:val="00565F0F"/>
    <w:rsid w:val="00594A86"/>
    <w:rsid w:val="00596D86"/>
    <w:rsid w:val="006560B1"/>
    <w:rsid w:val="006756DD"/>
    <w:rsid w:val="00712033"/>
    <w:rsid w:val="00740EEC"/>
    <w:rsid w:val="0078011A"/>
    <w:rsid w:val="00782AF4"/>
    <w:rsid w:val="00790EE7"/>
    <w:rsid w:val="007B6649"/>
    <w:rsid w:val="0081691F"/>
    <w:rsid w:val="0082576E"/>
    <w:rsid w:val="00907F75"/>
    <w:rsid w:val="009316FA"/>
    <w:rsid w:val="0093258A"/>
    <w:rsid w:val="0096171C"/>
    <w:rsid w:val="009734F0"/>
    <w:rsid w:val="009A4FC8"/>
    <w:rsid w:val="009C2736"/>
    <w:rsid w:val="009C7BA3"/>
    <w:rsid w:val="009D1F5A"/>
    <w:rsid w:val="00A11DA0"/>
    <w:rsid w:val="00A746BD"/>
    <w:rsid w:val="00A96C9E"/>
    <w:rsid w:val="00B003BF"/>
    <w:rsid w:val="00B2751D"/>
    <w:rsid w:val="00B373D7"/>
    <w:rsid w:val="00C02464"/>
    <w:rsid w:val="00C36276"/>
    <w:rsid w:val="00C42586"/>
    <w:rsid w:val="00C95551"/>
    <w:rsid w:val="00CB20D7"/>
    <w:rsid w:val="00D020B0"/>
    <w:rsid w:val="00D11748"/>
    <w:rsid w:val="00D366CF"/>
    <w:rsid w:val="00E108AA"/>
    <w:rsid w:val="00E3391F"/>
    <w:rsid w:val="00E3749A"/>
    <w:rsid w:val="00E7437F"/>
    <w:rsid w:val="00E865B8"/>
    <w:rsid w:val="00EA3BBD"/>
    <w:rsid w:val="00EC0B9B"/>
    <w:rsid w:val="00ED5E9F"/>
    <w:rsid w:val="00F657FE"/>
    <w:rsid w:val="00F7673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CFB0B4-34BE-4DBF-843B-97838199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Listeafsnit">
    <w:name w:val="List Paragraph"/>
    <w:basedOn w:val="Normal"/>
    <w:uiPriority w:val="34"/>
    <w:qFormat/>
    <w:rsid w:val="004D4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9048112">
      <w:bodyDiv w:val="1"/>
      <w:marLeft w:val="0"/>
      <w:marRight w:val="0"/>
      <w:marTop w:val="0"/>
      <w:marBottom w:val="0"/>
      <w:divBdr>
        <w:top w:val="none" w:sz="0" w:space="0" w:color="auto"/>
        <w:left w:val="none" w:sz="0" w:space="0" w:color="auto"/>
        <w:bottom w:val="none" w:sz="0" w:space="0" w:color="auto"/>
        <w:right w:val="none" w:sz="0" w:space="0" w:color="auto"/>
      </w:divBdr>
    </w:div>
    <w:div w:id="3501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2254</Words>
  <Characters>14708</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Pjaca</dc:creator>
  <cp:keywords/>
  <dc:description>2015092960
SPC pkt. 4.4, 4.5, 4.8</dc:description>
  <cp:lastModifiedBy>ALEKSANDRA SASA PJACA</cp:lastModifiedBy>
  <cp:revision>6</cp:revision>
  <cp:lastPrinted>2015-01-07T09:12:00Z</cp:lastPrinted>
  <dcterms:created xsi:type="dcterms:W3CDTF">2016-12-12T07:18:00Z</dcterms:created>
  <dcterms:modified xsi:type="dcterms:W3CDTF">2016-12-12T07:23:00Z</dcterms:modified>
</cp:coreProperties>
</file>