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B930C"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53C50734" w14:textId="77777777" w:rsidR="009260DE" w:rsidRPr="00C84483" w:rsidRDefault="009260DE" w:rsidP="009260DE">
      <w:pPr>
        <w:pStyle w:val="Titel"/>
        <w:tabs>
          <w:tab w:val="right" w:pos="9356"/>
        </w:tabs>
        <w:jc w:val="left"/>
        <w:rPr>
          <w:b w:val="0"/>
          <w:szCs w:val="24"/>
          <w:lang w:eastAsia="en-US"/>
        </w:rPr>
      </w:pPr>
    </w:p>
    <w:p w14:paraId="48B2398C" w14:textId="61FDAEF8"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7C5B2A">
        <w:rPr>
          <w:szCs w:val="24"/>
        </w:rPr>
        <w:t>22. oktober 2026</w:t>
      </w:r>
    </w:p>
    <w:p w14:paraId="785679A9" w14:textId="77777777" w:rsidR="009260DE" w:rsidRPr="00C84483" w:rsidRDefault="009260DE" w:rsidP="009260DE">
      <w:pPr>
        <w:pStyle w:val="Titel"/>
        <w:tabs>
          <w:tab w:val="left" w:pos="8222"/>
        </w:tabs>
        <w:jc w:val="left"/>
        <w:rPr>
          <w:b w:val="0"/>
          <w:szCs w:val="24"/>
        </w:rPr>
      </w:pPr>
    </w:p>
    <w:p w14:paraId="28864560" w14:textId="77777777" w:rsidR="009260DE" w:rsidRPr="00C84483" w:rsidRDefault="009260DE" w:rsidP="009260DE">
      <w:pPr>
        <w:pStyle w:val="Titel"/>
        <w:jc w:val="left"/>
        <w:rPr>
          <w:b w:val="0"/>
          <w:szCs w:val="24"/>
        </w:rPr>
      </w:pPr>
    </w:p>
    <w:p w14:paraId="42204CD1" w14:textId="77777777" w:rsidR="009260DE" w:rsidRPr="00C84483" w:rsidRDefault="009260DE" w:rsidP="009260DE">
      <w:pPr>
        <w:pStyle w:val="Titel"/>
        <w:jc w:val="left"/>
        <w:rPr>
          <w:b w:val="0"/>
          <w:szCs w:val="24"/>
        </w:rPr>
      </w:pPr>
    </w:p>
    <w:p w14:paraId="6C2FB8B4" w14:textId="77777777" w:rsidR="009260DE" w:rsidRPr="00C84483" w:rsidRDefault="009260DE" w:rsidP="009260DE">
      <w:pPr>
        <w:jc w:val="center"/>
        <w:rPr>
          <w:b/>
          <w:sz w:val="24"/>
          <w:szCs w:val="24"/>
        </w:rPr>
      </w:pPr>
      <w:r w:rsidRPr="00C84483">
        <w:rPr>
          <w:b/>
          <w:sz w:val="24"/>
          <w:szCs w:val="24"/>
        </w:rPr>
        <w:t>PRODUKTRESUMÉ</w:t>
      </w:r>
    </w:p>
    <w:p w14:paraId="7DCDB5DE" w14:textId="77777777" w:rsidR="009260DE" w:rsidRPr="00C84483" w:rsidRDefault="009260DE" w:rsidP="009260DE">
      <w:pPr>
        <w:jc w:val="center"/>
        <w:rPr>
          <w:b/>
          <w:sz w:val="24"/>
          <w:szCs w:val="24"/>
        </w:rPr>
      </w:pPr>
    </w:p>
    <w:p w14:paraId="57C6F5D1" w14:textId="77777777" w:rsidR="009260DE" w:rsidRDefault="009260DE" w:rsidP="009260DE">
      <w:pPr>
        <w:jc w:val="center"/>
        <w:rPr>
          <w:b/>
          <w:sz w:val="24"/>
          <w:szCs w:val="24"/>
        </w:rPr>
      </w:pPr>
      <w:r w:rsidRPr="00C84483">
        <w:rPr>
          <w:b/>
          <w:sz w:val="24"/>
          <w:szCs w:val="24"/>
        </w:rPr>
        <w:t>for</w:t>
      </w:r>
    </w:p>
    <w:p w14:paraId="06D1299F" w14:textId="77777777" w:rsidR="000B058C" w:rsidRPr="00C84483" w:rsidRDefault="000B058C" w:rsidP="009260DE">
      <w:pPr>
        <w:jc w:val="center"/>
        <w:rPr>
          <w:b/>
          <w:sz w:val="24"/>
          <w:szCs w:val="24"/>
        </w:rPr>
      </w:pPr>
    </w:p>
    <w:p w14:paraId="2136724F" w14:textId="72A01AC2" w:rsidR="009260DE" w:rsidRPr="00C84483" w:rsidRDefault="00442F2E" w:rsidP="009260DE">
      <w:pPr>
        <w:jc w:val="center"/>
        <w:rPr>
          <w:b/>
          <w:sz w:val="24"/>
          <w:szCs w:val="24"/>
        </w:rPr>
      </w:pPr>
      <w:r>
        <w:rPr>
          <w:b/>
          <w:sz w:val="24"/>
          <w:szCs w:val="24"/>
        </w:rPr>
        <w:t>Bilastine "Stada", tabhletter</w:t>
      </w:r>
    </w:p>
    <w:p w14:paraId="40CC075B" w14:textId="77777777" w:rsidR="009260DE" w:rsidRPr="00C84483" w:rsidRDefault="009260DE" w:rsidP="009260DE">
      <w:pPr>
        <w:jc w:val="both"/>
        <w:rPr>
          <w:sz w:val="24"/>
          <w:szCs w:val="24"/>
        </w:rPr>
      </w:pPr>
    </w:p>
    <w:p w14:paraId="6E4312E9" w14:textId="77777777" w:rsidR="009260DE" w:rsidRPr="00C84483" w:rsidRDefault="009260DE" w:rsidP="009260DE">
      <w:pPr>
        <w:jc w:val="both"/>
        <w:rPr>
          <w:sz w:val="24"/>
          <w:szCs w:val="24"/>
        </w:rPr>
      </w:pPr>
    </w:p>
    <w:p w14:paraId="1E396138"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1A535C77" w14:textId="3D50F8C6" w:rsidR="009260DE" w:rsidRPr="00C84483" w:rsidRDefault="006C5C65" w:rsidP="009260DE">
      <w:pPr>
        <w:tabs>
          <w:tab w:val="left" w:pos="851"/>
        </w:tabs>
        <w:ind w:left="851"/>
        <w:rPr>
          <w:sz w:val="24"/>
          <w:szCs w:val="24"/>
        </w:rPr>
      </w:pPr>
      <w:r>
        <w:rPr>
          <w:sz w:val="24"/>
          <w:szCs w:val="24"/>
        </w:rPr>
        <w:t>34194</w:t>
      </w:r>
    </w:p>
    <w:p w14:paraId="0B0F00C6" w14:textId="77777777" w:rsidR="009260DE" w:rsidRPr="00C84483" w:rsidRDefault="009260DE" w:rsidP="009260DE">
      <w:pPr>
        <w:tabs>
          <w:tab w:val="left" w:pos="851"/>
        </w:tabs>
        <w:ind w:left="851"/>
        <w:rPr>
          <w:sz w:val="24"/>
          <w:szCs w:val="24"/>
        </w:rPr>
      </w:pPr>
    </w:p>
    <w:p w14:paraId="599D609A"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58FE863" w14:textId="0BF8F808" w:rsidR="009260DE" w:rsidRPr="00C84483" w:rsidRDefault="006C5C65" w:rsidP="009260DE">
      <w:pPr>
        <w:tabs>
          <w:tab w:val="left" w:pos="851"/>
        </w:tabs>
        <w:ind w:left="851"/>
        <w:rPr>
          <w:sz w:val="24"/>
          <w:szCs w:val="24"/>
        </w:rPr>
      </w:pPr>
      <w:r>
        <w:rPr>
          <w:sz w:val="24"/>
          <w:szCs w:val="24"/>
        </w:rPr>
        <w:t>Bilastine "Stada"</w:t>
      </w:r>
    </w:p>
    <w:p w14:paraId="7CD2DBC7" w14:textId="77777777" w:rsidR="009260DE" w:rsidRPr="00C84483" w:rsidRDefault="009260DE" w:rsidP="009260DE">
      <w:pPr>
        <w:tabs>
          <w:tab w:val="left" w:pos="851"/>
        </w:tabs>
        <w:ind w:left="851"/>
        <w:rPr>
          <w:sz w:val="24"/>
          <w:szCs w:val="24"/>
        </w:rPr>
      </w:pPr>
    </w:p>
    <w:p w14:paraId="40465BE0"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B55A360" w14:textId="77777777" w:rsidR="006C5C65" w:rsidRPr="006C5C65" w:rsidRDefault="006C5C65" w:rsidP="006C5C65">
      <w:pPr>
        <w:tabs>
          <w:tab w:val="left" w:pos="851"/>
        </w:tabs>
        <w:ind w:left="851"/>
        <w:rPr>
          <w:sz w:val="24"/>
          <w:szCs w:val="24"/>
        </w:rPr>
      </w:pPr>
      <w:r w:rsidRPr="006C5C65">
        <w:rPr>
          <w:sz w:val="24"/>
          <w:szCs w:val="24"/>
        </w:rPr>
        <w:t>Hver tablet indeholder bilastin monohydrat svarende til 20 mg bilastin.</w:t>
      </w:r>
    </w:p>
    <w:p w14:paraId="7F698757" w14:textId="77777777" w:rsidR="006C5C65" w:rsidRPr="006C5C65" w:rsidRDefault="006C5C65" w:rsidP="006C5C65">
      <w:pPr>
        <w:tabs>
          <w:tab w:val="left" w:pos="851"/>
        </w:tabs>
        <w:ind w:left="851"/>
        <w:rPr>
          <w:sz w:val="24"/>
          <w:szCs w:val="24"/>
        </w:rPr>
      </w:pPr>
    </w:p>
    <w:p w14:paraId="0E7A2346" w14:textId="77777777" w:rsidR="006C5C65" w:rsidRPr="006C5C65" w:rsidRDefault="006C5C65" w:rsidP="006C5C65">
      <w:pPr>
        <w:tabs>
          <w:tab w:val="left" w:pos="851"/>
        </w:tabs>
        <w:ind w:left="851"/>
        <w:rPr>
          <w:sz w:val="24"/>
          <w:szCs w:val="24"/>
        </w:rPr>
      </w:pPr>
      <w:r w:rsidRPr="006C5C65">
        <w:rPr>
          <w:sz w:val="24"/>
          <w:szCs w:val="24"/>
        </w:rPr>
        <w:t>Alle hjælpestoffer er anført under pkt. 6.1.</w:t>
      </w:r>
    </w:p>
    <w:p w14:paraId="2D31D6CA" w14:textId="77777777" w:rsidR="009260DE" w:rsidRPr="00C84483" w:rsidRDefault="009260DE" w:rsidP="009260DE">
      <w:pPr>
        <w:tabs>
          <w:tab w:val="left" w:pos="851"/>
        </w:tabs>
        <w:ind w:left="851"/>
        <w:rPr>
          <w:sz w:val="24"/>
          <w:szCs w:val="24"/>
        </w:rPr>
      </w:pPr>
    </w:p>
    <w:p w14:paraId="6C09DBDF"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9863D7D" w14:textId="526AAB51" w:rsidR="006C5C65" w:rsidRDefault="006C5C65" w:rsidP="006C5C65">
      <w:pPr>
        <w:tabs>
          <w:tab w:val="left" w:pos="851"/>
        </w:tabs>
        <w:ind w:left="851"/>
        <w:rPr>
          <w:sz w:val="24"/>
          <w:szCs w:val="24"/>
        </w:rPr>
      </w:pPr>
      <w:r w:rsidRPr="006C5C65">
        <w:rPr>
          <w:sz w:val="24"/>
          <w:szCs w:val="24"/>
        </w:rPr>
        <w:t>Tablet</w:t>
      </w:r>
      <w:r>
        <w:rPr>
          <w:sz w:val="24"/>
          <w:szCs w:val="24"/>
        </w:rPr>
        <w:t>ter</w:t>
      </w:r>
    </w:p>
    <w:p w14:paraId="33A6EF27" w14:textId="77777777" w:rsidR="006C5C65" w:rsidRPr="006C5C65" w:rsidRDefault="006C5C65" w:rsidP="006C5C65">
      <w:pPr>
        <w:tabs>
          <w:tab w:val="left" w:pos="851"/>
        </w:tabs>
        <w:ind w:left="851"/>
        <w:rPr>
          <w:sz w:val="24"/>
          <w:szCs w:val="24"/>
        </w:rPr>
      </w:pPr>
    </w:p>
    <w:p w14:paraId="7DF198B5" w14:textId="77777777" w:rsidR="006C5C65" w:rsidRPr="006C5C65" w:rsidRDefault="006C5C65" w:rsidP="006C5C65">
      <w:pPr>
        <w:tabs>
          <w:tab w:val="left" w:pos="851"/>
        </w:tabs>
        <w:ind w:left="851"/>
        <w:rPr>
          <w:sz w:val="24"/>
          <w:szCs w:val="24"/>
        </w:rPr>
      </w:pPr>
      <w:r w:rsidRPr="006C5C65">
        <w:rPr>
          <w:sz w:val="24"/>
          <w:szCs w:val="24"/>
        </w:rPr>
        <w:t>Hvid, rund (7 mm i diameter) tablet.</w:t>
      </w:r>
    </w:p>
    <w:p w14:paraId="5B79E198" w14:textId="77777777" w:rsidR="009260DE" w:rsidRPr="00C84483" w:rsidRDefault="009260DE" w:rsidP="009260DE">
      <w:pPr>
        <w:tabs>
          <w:tab w:val="left" w:pos="851"/>
        </w:tabs>
        <w:ind w:left="851"/>
        <w:rPr>
          <w:sz w:val="24"/>
          <w:szCs w:val="24"/>
        </w:rPr>
      </w:pPr>
    </w:p>
    <w:p w14:paraId="6DD07210" w14:textId="77777777" w:rsidR="009260DE" w:rsidRPr="00C84483" w:rsidRDefault="009260DE" w:rsidP="009260DE">
      <w:pPr>
        <w:tabs>
          <w:tab w:val="left" w:pos="851"/>
        </w:tabs>
        <w:ind w:left="851"/>
        <w:rPr>
          <w:sz w:val="24"/>
          <w:szCs w:val="24"/>
        </w:rPr>
      </w:pPr>
    </w:p>
    <w:p w14:paraId="70B4B497"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5F80EA88" w14:textId="77777777" w:rsidR="009260DE" w:rsidRPr="00C84483" w:rsidRDefault="009260DE" w:rsidP="009260DE">
      <w:pPr>
        <w:tabs>
          <w:tab w:val="left" w:pos="851"/>
        </w:tabs>
        <w:ind w:left="851"/>
        <w:rPr>
          <w:b/>
          <w:sz w:val="24"/>
          <w:szCs w:val="24"/>
        </w:rPr>
      </w:pPr>
    </w:p>
    <w:p w14:paraId="6FB24FFA"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9AC6D8C" w14:textId="34C6152E" w:rsidR="006C5C65" w:rsidRPr="006C5C65" w:rsidRDefault="006C5C65" w:rsidP="006C5C65">
      <w:pPr>
        <w:tabs>
          <w:tab w:val="left" w:pos="851"/>
        </w:tabs>
        <w:ind w:left="851"/>
        <w:rPr>
          <w:sz w:val="24"/>
          <w:szCs w:val="24"/>
        </w:rPr>
      </w:pPr>
      <w:r w:rsidRPr="006C5C65">
        <w:rPr>
          <w:sz w:val="24"/>
          <w:szCs w:val="24"/>
        </w:rPr>
        <w:t xml:space="preserve">Symptombehandling af allergisk betinget rhinokonjunktivitis (sæsonbetinget eller helårlig) og urticaria. </w:t>
      </w:r>
      <w:r w:rsidR="0098080C">
        <w:rPr>
          <w:sz w:val="24"/>
          <w:szCs w:val="24"/>
        </w:rPr>
        <w:t>Bilastine "Stada"</w:t>
      </w:r>
      <w:r w:rsidRPr="006C5C65">
        <w:rPr>
          <w:sz w:val="24"/>
          <w:szCs w:val="24"/>
        </w:rPr>
        <w:t xml:space="preserve"> er indiceret til voksne og unge (12 år og derover).</w:t>
      </w:r>
    </w:p>
    <w:p w14:paraId="3DC28F01" w14:textId="77777777" w:rsidR="009260DE" w:rsidRPr="00C84483" w:rsidRDefault="009260DE" w:rsidP="009260DE">
      <w:pPr>
        <w:tabs>
          <w:tab w:val="left" w:pos="851"/>
        </w:tabs>
        <w:ind w:left="851"/>
        <w:rPr>
          <w:sz w:val="24"/>
          <w:szCs w:val="24"/>
        </w:rPr>
      </w:pPr>
    </w:p>
    <w:p w14:paraId="6BF4F885"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F4454DC" w14:textId="77777777" w:rsidR="006C5C65" w:rsidRPr="006C5C65" w:rsidRDefault="006C5C65" w:rsidP="006C5C65">
      <w:pPr>
        <w:tabs>
          <w:tab w:val="left" w:pos="851"/>
        </w:tabs>
        <w:ind w:left="851"/>
        <w:rPr>
          <w:sz w:val="24"/>
          <w:szCs w:val="24"/>
        </w:rPr>
      </w:pPr>
    </w:p>
    <w:p w14:paraId="0B7857F0" w14:textId="77777777" w:rsidR="006C5C65" w:rsidRPr="0098080C" w:rsidRDefault="006C5C65" w:rsidP="006C5C65">
      <w:pPr>
        <w:tabs>
          <w:tab w:val="left" w:pos="851"/>
        </w:tabs>
        <w:ind w:left="851"/>
        <w:rPr>
          <w:b/>
          <w:bCs/>
          <w:sz w:val="24"/>
          <w:szCs w:val="24"/>
        </w:rPr>
      </w:pPr>
      <w:r w:rsidRPr="0098080C">
        <w:rPr>
          <w:b/>
          <w:bCs/>
          <w:sz w:val="24"/>
          <w:szCs w:val="24"/>
        </w:rPr>
        <w:t>Dosering</w:t>
      </w:r>
    </w:p>
    <w:p w14:paraId="22D247C3" w14:textId="77777777" w:rsidR="006C5C65" w:rsidRPr="006C5C65" w:rsidRDefault="006C5C65" w:rsidP="006C5C65">
      <w:pPr>
        <w:tabs>
          <w:tab w:val="left" w:pos="851"/>
        </w:tabs>
        <w:ind w:left="851"/>
        <w:rPr>
          <w:sz w:val="24"/>
          <w:szCs w:val="24"/>
        </w:rPr>
      </w:pPr>
    </w:p>
    <w:p w14:paraId="7817D8CE" w14:textId="77777777" w:rsidR="006C5C65" w:rsidRPr="006C5C65" w:rsidRDefault="006C5C65" w:rsidP="006C5C65">
      <w:pPr>
        <w:tabs>
          <w:tab w:val="left" w:pos="851"/>
        </w:tabs>
        <w:ind w:left="851"/>
        <w:rPr>
          <w:iCs/>
          <w:sz w:val="24"/>
          <w:szCs w:val="24"/>
          <w:u w:val="single"/>
        </w:rPr>
      </w:pPr>
      <w:r w:rsidRPr="006C5C65">
        <w:rPr>
          <w:iCs/>
          <w:sz w:val="24"/>
          <w:szCs w:val="24"/>
          <w:u w:val="single"/>
        </w:rPr>
        <w:t>Voksne og unge (12 år og derover)</w:t>
      </w:r>
    </w:p>
    <w:p w14:paraId="45E5564A" w14:textId="77777777" w:rsidR="006C5C65" w:rsidRPr="006C5C65" w:rsidRDefault="006C5C65" w:rsidP="006C5C65">
      <w:pPr>
        <w:tabs>
          <w:tab w:val="left" w:pos="851"/>
        </w:tabs>
        <w:ind w:left="851"/>
        <w:rPr>
          <w:sz w:val="24"/>
          <w:szCs w:val="24"/>
        </w:rPr>
      </w:pPr>
      <w:r w:rsidRPr="006C5C65">
        <w:rPr>
          <w:sz w:val="24"/>
          <w:szCs w:val="24"/>
        </w:rPr>
        <w:t>20 mg bilastin (1 tablet) en gang dagligt til lindring af symptomerne på allergisk rhinokonjunktivitis (sæsonbetinget eller helårlig) og urticaria.</w:t>
      </w:r>
    </w:p>
    <w:p w14:paraId="0A2C2DAD" w14:textId="77777777" w:rsidR="006C5C65" w:rsidRPr="006C5C65" w:rsidRDefault="006C5C65" w:rsidP="006C5C65">
      <w:pPr>
        <w:tabs>
          <w:tab w:val="left" w:pos="851"/>
        </w:tabs>
        <w:ind w:left="851"/>
        <w:rPr>
          <w:sz w:val="24"/>
          <w:szCs w:val="24"/>
        </w:rPr>
      </w:pPr>
    </w:p>
    <w:p w14:paraId="5BE102B0" w14:textId="77777777" w:rsidR="006C5C65" w:rsidRPr="006C5C65" w:rsidRDefault="006C5C65" w:rsidP="006C5C65">
      <w:pPr>
        <w:tabs>
          <w:tab w:val="left" w:pos="851"/>
        </w:tabs>
        <w:ind w:left="851"/>
        <w:rPr>
          <w:sz w:val="24"/>
          <w:szCs w:val="24"/>
        </w:rPr>
      </w:pPr>
      <w:r w:rsidRPr="006C5C65">
        <w:rPr>
          <w:sz w:val="24"/>
          <w:szCs w:val="24"/>
        </w:rPr>
        <w:t>Tabletten skal indtages en time før eller to timer efter indtagelse af føde eller frugtjuice (se pkt. 4.5).</w:t>
      </w:r>
    </w:p>
    <w:p w14:paraId="623106A8" w14:textId="77777777" w:rsidR="006C5C65" w:rsidRPr="006C5C65" w:rsidRDefault="006C5C65" w:rsidP="006C5C65">
      <w:pPr>
        <w:tabs>
          <w:tab w:val="left" w:pos="851"/>
        </w:tabs>
        <w:ind w:left="851"/>
        <w:rPr>
          <w:sz w:val="24"/>
          <w:szCs w:val="24"/>
        </w:rPr>
      </w:pPr>
    </w:p>
    <w:p w14:paraId="0DD94A61" w14:textId="77777777" w:rsidR="006C5C65" w:rsidRPr="006C5C65" w:rsidRDefault="006C5C65" w:rsidP="006C5C65">
      <w:pPr>
        <w:tabs>
          <w:tab w:val="left" w:pos="851"/>
        </w:tabs>
        <w:ind w:left="851"/>
        <w:rPr>
          <w:i/>
          <w:iCs/>
          <w:sz w:val="24"/>
          <w:szCs w:val="24"/>
        </w:rPr>
      </w:pPr>
      <w:r w:rsidRPr="006C5C65">
        <w:rPr>
          <w:i/>
          <w:iCs/>
          <w:sz w:val="24"/>
          <w:szCs w:val="24"/>
        </w:rPr>
        <w:lastRenderedPageBreak/>
        <w:t>Behandlingsvarighed</w:t>
      </w:r>
    </w:p>
    <w:p w14:paraId="64071B91" w14:textId="77777777" w:rsidR="006C5C65" w:rsidRPr="006C5C65" w:rsidRDefault="006C5C65" w:rsidP="006C5C65">
      <w:pPr>
        <w:tabs>
          <w:tab w:val="left" w:pos="851"/>
        </w:tabs>
        <w:ind w:left="851"/>
        <w:rPr>
          <w:sz w:val="24"/>
          <w:szCs w:val="24"/>
        </w:rPr>
      </w:pPr>
      <w:r w:rsidRPr="006C5C65">
        <w:rPr>
          <w:sz w:val="24"/>
          <w:szCs w:val="24"/>
        </w:rPr>
        <w:t>Behandling af allergisk rhinokonjunktivitis bør begrænses til perioden med eksponering for allergener. Ved sæsonbetinget allergisk rhinitis kan behandlingen seponeres, når alle symptomerne er forsvundet, og genoptages, hvis de vender tilbage. Ved helårlig allergisk rhinitis kan der eventuelt gives vedvarende behandling til patienterne i perioden med eksponering for allergener. Ved urticaria afhænger behandlingens varighed af problemernes art, varighed og forløb.</w:t>
      </w:r>
    </w:p>
    <w:p w14:paraId="7FB96995" w14:textId="77777777" w:rsidR="006C5C65" w:rsidRPr="006C5C65" w:rsidRDefault="006C5C65" w:rsidP="006C5C65">
      <w:pPr>
        <w:tabs>
          <w:tab w:val="left" w:pos="851"/>
        </w:tabs>
        <w:ind w:left="851"/>
        <w:rPr>
          <w:sz w:val="24"/>
          <w:szCs w:val="24"/>
        </w:rPr>
      </w:pPr>
    </w:p>
    <w:p w14:paraId="07146627" w14:textId="77777777" w:rsidR="006C5C65" w:rsidRPr="0098080C" w:rsidRDefault="006C5C65" w:rsidP="006C5C65">
      <w:pPr>
        <w:tabs>
          <w:tab w:val="left" w:pos="851"/>
        </w:tabs>
        <w:ind w:left="851"/>
        <w:rPr>
          <w:sz w:val="24"/>
          <w:szCs w:val="24"/>
          <w:u w:val="single"/>
        </w:rPr>
      </w:pPr>
      <w:r w:rsidRPr="0098080C">
        <w:rPr>
          <w:sz w:val="24"/>
          <w:szCs w:val="24"/>
          <w:u w:val="single"/>
        </w:rPr>
        <w:t>Særlige populationer</w:t>
      </w:r>
    </w:p>
    <w:p w14:paraId="349FA4BC" w14:textId="77777777" w:rsidR="006C5C65" w:rsidRPr="006C5C65" w:rsidRDefault="006C5C65" w:rsidP="006C5C65">
      <w:pPr>
        <w:tabs>
          <w:tab w:val="left" w:pos="851"/>
        </w:tabs>
        <w:ind w:left="851"/>
        <w:rPr>
          <w:sz w:val="24"/>
          <w:szCs w:val="24"/>
        </w:rPr>
      </w:pPr>
    </w:p>
    <w:p w14:paraId="6B7F8D78" w14:textId="77777777" w:rsidR="006C5C65" w:rsidRPr="0098080C" w:rsidRDefault="006C5C65" w:rsidP="006C5C65">
      <w:pPr>
        <w:tabs>
          <w:tab w:val="left" w:pos="851"/>
        </w:tabs>
        <w:ind w:left="851"/>
        <w:rPr>
          <w:i/>
          <w:sz w:val="24"/>
          <w:szCs w:val="24"/>
        </w:rPr>
      </w:pPr>
      <w:r w:rsidRPr="0098080C">
        <w:rPr>
          <w:i/>
          <w:sz w:val="24"/>
          <w:szCs w:val="24"/>
        </w:rPr>
        <w:t>Ældre</w:t>
      </w:r>
    </w:p>
    <w:p w14:paraId="1763383F" w14:textId="77777777" w:rsidR="006C5C65" w:rsidRPr="006C5C65" w:rsidRDefault="006C5C65" w:rsidP="006C5C65">
      <w:pPr>
        <w:tabs>
          <w:tab w:val="left" w:pos="851"/>
        </w:tabs>
        <w:ind w:left="851"/>
        <w:rPr>
          <w:sz w:val="24"/>
          <w:szCs w:val="24"/>
        </w:rPr>
      </w:pPr>
      <w:r w:rsidRPr="006C5C65">
        <w:rPr>
          <w:sz w:val="24"/>
          <w:szCs w:val="24"/>
        </w:rPr>
        <w:t>Det er ikke nødvendigt at justere dosis til ældre patienter (se pkt. 5.1 og 5.2).</w:t>
      </w:r>
    </w:p>
    <w:p w14:paraId="547181E8" w14:textId="77777777" w:rsidR="006C5C65" w:rsidRPr="006C5C65" w:rsidRDefault="006C5C65" w:rsidP="006C5C65">
      <w:pPr>
        <w:tabs>
          <w:tab w:val="left" w:pos="851"/>
        </w:tabs>
        <w:ind w:left="851"/>
        <w:rPr>
          <w:sz w:val="24"/>
          <w:szCs w:val="24"/>
        </w:rPr>
      </w:pPr>
    </w:p>
    <w:p w14:paraId="219183E4" w14:textId="77777777" w:rsidR="006C5C65" w:rsidRPr="0098080C" w:rsidRDefault="006C5C65" w:rsidP="006C5C65">
      <w:pPr>
        <w:tabs>
          <w:tab w:val="left" w:pos="851"/>
        </w:tabs>
        <w:ind w:left="851"/>
        <w:rPr>
          <w:i/>
          <w:sz w:val="24"/>
          <w:szCs w:val="24"/>
        </w:rPr>
      </w:pPr>
      <w:r w:rsidRPr="0098080C">
        <w:rPr>
          <w:i/>
          <w:sz w:val="24"/>
          <w:szCs w:val="24"/>
        </w:rPr>
        <w:t>Nedsat nyrefunktion</w:t>
      </w:r>
    </w:p>
    <w:p w14:paraId="667D76CD" w14:textId="77777777" w:rsidR="006C5C65" w:rsidRPr="006C5C65" w:rsidRDefault="006C5C65" w:rsidP="006C5C65">
      <w:pPr>
        <w:tabs>
          <w:tab w:val="left" w:pos="851"/>
        </w:tabs>
        <w:ind w:left="851"/>
        <w:rPr>
          <w:sz w:val="24"/>
          <w:szCs w:val="24"/>
        </w:rPr>
      </w:pPr>
      <w:r w:rsidRPr="006C5C65">
        <w:rPr>
          <w:sz w:val="24"/>
          <w:szCs w:val="24"/>
        </w:rPr>
        <w:t>Ifølge undersøgelser af voksne i særlige risikogrupper (patienter med nedsat nyrefunktion), er det ikke nødvendigt at justere dosen med bilastin til voksne (se pkt. 5.2).</w:t>
      </w:r>
    </w:p>
    <w:p w14:paraId="7643806B" w14:textId="77777777" w:rsidR="006C5C65" w:rsidRPr="006C5C65" w:rsidRDefault="006C5C65" w:rsidP="006C5C65">
      <w:pPr>
        <w:tabs>
          <w:tab w:val="left" w:pos="851"/>
        </w:tabs>
        <w:ind w:left="851"/>
        <w:rPr>
          <w:sz w:val="24"/>
          <w:szCs w:val="24"/>
        </w:rPr>
      </w:pPr>
    </w:p>
    <w:p w14:paraId="16A282EF" w14:textId="77777777" w:rsidR="006C5C65" w:rsidRPr="0098080C" w:rsidRDefault="006C5C65" w:rsidP="006C5C65">
      <w:pPr>
        <w:tabs>
          <w:tab w:val="left" w:pos="851"/>
        </w:tabs>
        <w:ind w:left="851"/>
        <w:rPr>
          <w:i/>
          <w:sz w:val="24"/>
          <w:szCs w:val="24"/>
        </w:rPr>
      </w:pPr>
      <w:r w:rsidRPr="0098080C">
        <w:rPr>
          <w:i/>
          <w:sz w:val="24"/>
          <w:szCs w:val="24"/>
        </w:rPr>
        <w:t>Nedsat leverfunktion</w:t>
      </w:r>
    </w:p>
    <w:p w14:paraId="7385BA40" w14:textId="77777777" w:rsidR="006C5C65" w:rsidRPr="006C5C65" w:rsidRDefault="006C5C65" w:rsidP="006C5C65">
      <w:pPr>
        <w:tabs>
          <w:tab w:val="left" w:pos="851"/>
        </w:tabs>
        <w:ind w:left="851"/>
        <w:rPr>
          <w:sz w:val="24"/>
          <w:szCs w:val="24"/>
        </w:rPr>
      </w:pPr>
      <w:r w:rsidRPr="006C5C65">
        <w:rPr>
          <w:sz w:val="24"/>
          <w:szCs w:val="24"/>
        </w:rPr>
        <w:t>Der er ingen klinisk erfaring med voksne patienter med nedsat leverfunktion. Bilastin metaboliseres dog ikke og udskilles uændret i urin og fæces, og derfor forventes den systemiske eksponering ikke at overstige sikkerhedsmarginerne på grund af nedsat leverfunktion hos voksne patienter. Dosisjustering er derfor ikke nødvendig hos voksne patienter med nedsat leverfunktion (se pkt. 5.2).</w:t>
      </w:r>
    </w:p>
    <w:p w14:paraId="6C4728A0" w14:textId="77777777" w:rsidR="006C5C65" w:rsidRPr="006C5C65" w:rsidRDefault="006C5C65" w:rsidP="006C5C65">
      <w:pPr>
        <w:tabs>
          <w:tab w:val="left" w:pos="851"/>
        </w:tabs>
        <w:ind w:left="851"/>
        <w:rPr>
          <w:i/>
          <w:sz w:val="24"/>
          <w:szCs w:val="24"/>
        </w:rPr>
      </w:pPr>
    </w:p>
    <w:p w14:paraId="00EE7A3D" w14:textId="77777777" w:rsidR="006C5C65" w:rsidRPr="0098080C" w:rsidRDefault="006C5C65" w:rsidP="006C5C65">
      <w:pPr>
        <w:tabs>
          <w:tab w:val="left" w:pos="851"/>
        </w:tabs>
        <w:ind w:left="851"/>
        <w:rPr>
          <w:sz w:val="24"/>
          <w:szCs w:val="24"/>
          <w:u w:val="single"/>
        </w:rPr>
      </w:pPr>
      <w:r w:rsidRPr="0098080C">
        <w:rPr>
          <w:sz w:val="24"/>
          <w:szCs w:val="24"/>
          <w:u w:val="single"/>
        </w:rPr>
        <w:t>Pædiatrisk population</w:t>
      </w:r>
    </w:p>
    <w:p w14:paraId="42B1BA08" w14:textId="77777777" w:rsidR="0098080C" w:rsidRDefault="0098080C" w:rsidP="0098080C">
      <w:pPr>
        <w:tabs>
          <w:tab w:val="left" w:pos="851"/>
        </w:tabs>
        <w:ind w:left="851"/>
        <w:rPr>
          <w:iCs/>
          <w:sz w:val="24"/>
          <w:szCs w:val="24"/>
          <w:u w:val="single"/>
        </w:rPr>
      </w:pPr>
    </w:p>
    <w:p w14:paraId="57D4303A" w14:textId="6704EAD4" w:rsidR="006C5C65" w:rsidRPr="0098080C" w:rsidRDefault="006C5C65" w:rsidP="0098080C">
      <w:pPr>
        <w:tabs>
          <w:tab w:val="left" w:pos="851"/>
        </w:tabs>
        <w:ind w:left="851"/>
        <w:rPr>
          <w:i/>
          <w:sz w:val="24"/>
          <w:szCs w:val="24"/>
        </w:rPr>
      </w:pPr>
      <w:r w:rsidRPr="0098080C">
        <w:rPr>
          <w:i/>
          <w:sz w:val="24"/>
          <w:szCs w:val="24"/>
        </w:rPr>
        <w:t>Børn i alderen 2-11 år med en kropsvægt på mindst 15 kg</w:t>
      </w:r>
    </w:p>
    <w:p w14:paraId="024B1883" w14:textId="3572CDF3" w:rsidR="006C5C65" w:rsidRPr="006C5C65" w:rsidRDefault="0098080C" w:rsidP="006C5C65">
      <w:pPr>
        <w:tabs>
          <w:tab w:val="left" w:pos="851"/>
        </w:tabs>
        <w:ind w:left="851"/>
        <w:rPr>
          <w:sz w:val="24"/>
          <w:szCs w:val="24"/>
        </w:rPr>
      </w:pPr>
      <w:r>
        <w:rPr>
          <w:sz w:val="24"/>
          <w:szCs w:val="24"/>
        </w:rPr>
        <w:t>Bilastine "Stada"</w:t>
      </w:r>
      <w:r w:rsidR="006C5C65" w:rsidRPr="006C5C65">
        <w:rPr>
          <w:sz w:val="24"/>
          <w:szCs w:val="24"/>
        </w:rPr>
        <w:t xml:space="preserve"> bør ikke anvendes til børn under12 år. Men der kan være andre egnede lægemiddelformer, der er tilgængelige til børn i alderen 2-11 år.</w:t>
      </w:r>
    </w:p>
    <w:p w14:paraId="15F806B3" w14:textId="77777777" w:rsidR="006C5C65" w:rsidRPr="006C5C65" w:rsidRDefault="006C5C65" w:rsidP="006C5C65">
      <w:pPr>
        <w:tabs>
          <w:tab w:val="left" w:pos="851"/>
        </w:tabs>
        <w:ind w:left="851"/>
        <w:rPr>
          <w:sz w:val="24"/>
          <w:szCs w:val="24"/>
        </w:rPr>
      </w:pPr>
    </w:p>
    <w:p w14:paraId="6725C1D7" w14:textId="77777777" w:rsidR="006C5C65" w:rsidRPr="006C5C65" w:rsidRDefault="006C5C65" w:rsidP="006C5C65">
      <w:pPr>
        <w:tabs>
          <w:tab w:val="left" w:pos="851"/>
        </w:tabs>
        <w:ind w:left="851"/>
        <w:rPr>
          <w:sz w:val="24"/>
          <w:szCs w:val="24"/>
        </w:rPr>
      </w:pPr>
      <w:r w:rsidRPr="006C5C65">
        <w:rPr>
          <w:sz w:val="24"/>
          <w:szCs w:val="24"/>
        </w:rPr>
        <w:t>Bilastins sikkerhed og virkning hos børn med nedsat nyre- og leverfunktion er ikke klarlagt.</w:t>
      </w:r>
    </w:p>
    <w:p w14:paraId="2E8A4A85" w14:textId="77777777" w:rsidR="006C5C65" w:rsidRPr="006C5C65" w:rsidRDefault="006C5C65" w:rsidP="006C5C65">
      <w:pPr>
        <w:tabs>
          <w:tab w:val="left" w:pos="851"/>
        </w:tabs>
        <w:ind w:left="851"/>
        <w:rPr>
          <w:sz w:val="24"/>
          <w:szCs w:val="24"/>
        </w:rPr>
      </w:pPr>
    </w:p>
    <w:p w14:paraId="0A599BFF" w14:textId="77777777" w:rsidR="006C5C65" w:rsidRPr="006C5C65" w:rsidRDefault="006C5C65" w:rsidP="006C5C65">
      <w:pPr>
        <w:tabs>
          <w:tab w:val="left" w:pos="851"/>
        </w:tabs>
        <w:ind w:left="851"/>
        <w:rPr>
          <w:b/>
          <w:bCs/>
          <w:sz w:val="24"/>
          <w:szCs w:val="24"/>
        </w:rPr>
      </w:pPr>
      <w:r w:rsidRPr="006C5C65">
        <w:rPr>
          <w:b/>
          <w:bCs/>
          <w:sz w:val="24"/>
          <w:szCs w:val="24"/>
        </w:rPr>
        <w:t>Administration</w:t>
      </w:r>
    </w:p>
    <w:p w14:paraId="2AC24AA6" w14:textId="77777777" w:rsidR="006C5C65" w:rsidRPr="006C5C65" w:rsidRDefault="006C5C65" w:rsidP="006C5C65">
      <w:pPr>
        <w:tabs>
          <w:tab w:val="left" w:pos="851"/>
        </w:tabs>
        <w:ind w:left="851"/>
        <w:rPr>
          <w:sz w:val="24"/>
          <w:szCs w:val="24"/>
        </w:rPr>
      </w:pPr>
      <w:r w:rsidRPr="006C5C65">
        <w:rPr>
          <w:sz w:val="24"/>
          <w:szCs w:val="24"/>
        </w:rPr>
        <w:t>Oral anvendelse.</w:t>
      </w:r>
    </w:p>
    <w:p w14:paraId="7AB680F1" w14:textId="77777777" w:rsidR="006C5C65" w:rsidRPr="006C5C65" w:rsidRDefault="006C5C65" w:rsidP="006C5C65">
      <w:pPr>
        <w:tabs>
          <w:tab w:val="left" w:pos="851"/>
        </w:tabs>
        <w:ind w:left="851"/>
        <w:rPr>
          <w:sz w:val="24"/>
          <w:szCs w:val="24"/>
        </w:rPr>
      </w:pPr>
      <w:r w:rsidRPr="006C5C65">
        <w:rPr>
          <w:sz w:val="24"/>
          <w:szCs w:val="24"/>
        </w:rPr>
        <w:t>Tabletten sluges sammen med vand. Det anbefales at tage den daglige dosis på en gang.</w:t>
      </w:r>
    </w:p>
    <w:p w14:paraId="7E084303" w14:textId="77777777" w:rsidR="009260DE" w:rsidRPr="00C84483" w:rsidRDefault="009260DE" w:rsidP="009260DE">
      <w:pPr>
        <w:tabs>
          <w:tab w:val="left" w:pos="851"/>
        </w:tabs>
        <w:ind w:left="851"/>
        <w:rPr>
          <w:sz w:val="24"/>
          <w:szCs w:val="24"/>
        </w:rPr>
      </w:pPr>
    </w:p>
    <w:p w14:paraId="1DFFB9E3"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70E74A1C" w14:textId="77777777" w:rsidR="006C5C65" w:rsidRPr="006C5C65" w:rsidRDefault="006C5C65" w:rsidP="006C5C65">
      <w:pPr>
        <w:tabs>
          <w:tab w:val="left" w:pos="851"/>
        </w:tabs>
        <w:ind w:left="851"/>
        <w:rPr>
          <w:sz w:val="24"/>
          <w:szCs w:val="24"/>
        </w:rPr>
      </w:pPr>
      <w:r w:rsidRPr="006C5C65">
        <w:rPr>
          <w:sz w:val="24"/>
          <w:szCs w:val="24"/>
        </w:rPr>
        <w:t>Overfølsomhed over for det aktive stof eller over for et eller flere af hjælpestofferne anført i pkt. 6.1</w:t>
      </w:r>
    </w:p>
    <w:p w14:paraId="4ABC2AB4" w14:textId="77777777" w:rsidR="009260DE" w:rsidRPr="00C84483" w:rsidRDefault="009260DE" w:rsidP="009260DE">
      <w:pPr>
        <w:tabs>
          <w:tab w:val="left" w:pos="851"/>
        </w:tabs>
        <w:ind w:left="851"/>
        <w:rPr>
          <w:sz w:val="24"/>
          <w:szCs w:val="24"/>
        </w:rPr>
      </w:pPr>
    </w:p>
    <w:p w14:paraId="2FBF2ACF"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86B3B86" w14:textId="77777777" w:rsidR="006C5C65" w:rsidRPr="006C5C65" w:rsidRDefault="006C5C65" w:rsidP="006C5C65">
      <w:pPr>
        <w:tabs>
          <w:tab w:val="left" w:pos="851"/>
        </w:tabs>
        <w:ind w:left="851"/>
        <w:rPr>
          <w:sz w:val="24"/>
          <w:szCs w:val="24"/>
        </w:rPr>
      </w:pPr>
      <w:r w:rsidRPr="006C5C65">
        <w:rPr>
          <w:sz w:val="24"/>
          <w:szCs w:val="24"/>
        </w:rPr>
        <w:t>Hos patienter med moderat eller stærkt nedsat nyrefunktion kan samtidig anvendelse af bilastin og P-glykoproteinhæmmere såsom fx ketoconazol, erythromycin, ciclosporin, ritonavir eller diltiazem øge bilastins plasmakoncentration og dermed øge risikoen for bivirkninger af lægemidlet. Derfor bør samtidig anvendelse af bilastin og P-glykoproteinhæmmere undgås hos patienter med moderat eller stærkt nedsat nyrefunktion.</w:t>
      </w:r>
    </w:p>
    <w:p w14:paraId="24D75667" w14:textId="77777777" w:rsidR="006C5C65" w:rsidRPr="006C5C65" w:rsidRDefault="006C5C65" w:rsidP="006C5C65">
      <w:pPr>
        <w:tabs>
          <w:tab w:val="left" w:pos="851"/>
        </w:tabs>
        <w:ind w:left="851"/>
        <w:rPr>
          <w:sz w:val="24"/>
          <w:szCs w:val="24"/>
        </w:rPr>
      </w:pPr>
    </w:p>
    <w:p w14:paraId="741A7545" w14:textId="77777777" w:rsidR="006C5C65" w:rsidRPr="006C5C65" w:rsidRDefault="006C5C65" w:rsidP="006C5C65">
      <w:pPr>
        <w:tabs>
          <w:tab w:val="left" w:pos="851"/>
        </w:tabs>
        <w:ind w:left="851"/>
        <w:rPr>
          <w:sz w:val="24"/>
          <w:szCs w:val="24"/>
        </w:rPr>
      </w:pPr>
      <w:r w:rsidRPr="006C5C65">
        <w:rPr>
          <w:sz w:val="24"/>
          <w:szCs w:val="24"/>
        </w:rPr>
        <w:t>Der er blevet rapporteret tilfælde af forlængelse af QT-intervallet på EKG hos patienter, der indtager bilastin (se pkt. 4.8, 4.9 and 5.1). Lægemidler, der forlænger QT-/QTc-intervallet, formodes for at forøge risikoen for Torsades de pointes.</w:t>
      </w:r>
    </w:p>
    <w:p w14:paraId="3611DFB0" w14:textId="77777777" w:rsidR="006C5C65" w:rsidRPr="006C5C65" w:rsidRDefault="006C5C65" w:rsidP="006C5C65">
      <w:pPr>
        <w:tabs>
          <w:tab w:val="left" w:pos="851"/>
        </w:tabs>
        <w:ind w:left="851"/>
        <w:rPr>
          <w:sz w:val="24"/>
          <w:szCs w:val="24"/>
        </w:rPr>
      </w:pPr>
      <w:r w:rsidRPr="006C5C65">
        <w:rPr>
          <w:sz w:val="24"/>
          <w:szCs w:val="24"/>
        </w:rPr>
        <w:lastRenderedPageBreak/>
        <w:t xml:space="preserve">Derfor skal der udvises forsigtighed, når der administreres bilastin til patienter, der er i øget risiko for QT-/QTc-forlængelse. Dette gælder også for patienter med hjertearytmi; patienter med hypokaliæmi, hypomagnesiæmi, </w:t>
      </w:r>
      <w:bookmarkStart w:id="0" w:name="_Hlk206424371"/>
      <w:r w:rsidRPr="006C5C65">
        <w:rPr>
          <w:sz w:val="24"/>
          <w:szCs w:val="24"/>
        </w:rPr>
        <w:t>hypocalcæmi</w:t>
      </w:r>
      <w:bookmarkEnd w:id="0"/>
      <w:r w:rsidRPr="006C5C65">
        <w:rPr>
          <w:sz w:val="24"/>
          <w:szCs w:val="24"/>
        </w:rPr>
        <w:t>; patienter med kendt forlængelse af QT-intervallet eller alvorlig bradykardi; patienter, der også er i behandling med andre QT-/QTc forlængende lægemidler.</w:t>
      </w:r>
    </w:p>
    <w:p w14:paraId="66BF3415" w14:textId="77777777" w:rsidR="006C5C65" w:rsidRPr="006C5C65" w:rsidRDefault="006C5C65" w:rsidP="006C5C65">
      <w:pPr>
        <w:tabs>
          <w:tab w:val="left" w:pos="851"/>
        </w:tabs>
        <w:ind w:left="851"/>
        <w:rPr>
          <w:sz w:val="24"/>
          <w:szCs w:val="24"/>
        </w:rPr>
      </w:pPr>
    </w:p>
    <w:p w14:paraId="503DFEF7" w14:textId="77777777" w:rsidR="006C5C65" w:rsidRPr="006C5C65" w:rsidRDefault="006C5C65" w:rsidP="006C5C65">
      <w:pPr>
        <w:tabs>
          <w:tab w:val="left" w:pos="851"/>
        </w:tabs>
        <w:ind w:left="851"/>
        <w:rPr>
          <w:sz w:val="24"/>
          <w:szCs w:val="24"/>
          <w:u w:val="single"/>
        </w:rPr>
      </w:pPr>
      <w:r w:rsidRPr="006C5C65">
        <w:rPr>
          <w:sz w:val="24"/>
          <w:szCs w:val="24"/>
          <w:u w:val="single"/>
        </w:rPr>
        <w:t>Pædiatrisk population</w:t>
      </w:r>
    </w:p>
    <w:p w14:paraId="756B34CD" w14:textId="77777777" w:rsidR="006C5C65" w:rsidRPr="006C5C65" w:rsidRDefault="006C5C65" w:rsidP="006C5C65">
      <w:pPr>
        <w:tabs>
          <w:tab w:val="left" w:pos="851"/>
        </w:tabs>
        <w:ind w:left="851"/>
        <w:rPr>
          <w:sz w:val="24"/>
          <w:szCs w:val="24"/>
        </w:rPr>
      </w:pPr>
      <w:r w:rsidRPr="006C5C65">
        <w:rPr>
          <w:sz w:val="24"/>
          <w:szCs w:val="24"/>
        </w:rPr>
        <w:t>Bilastins sikkerhed og virkning hos børn under 2 år er endnu ikke klarlagt, og der er ikke meget klinisk erfaring hos børn i alderen 2-5 år. Bilastin bør derfor ikke anvendes til børn i disse aldersgrupper.</w:t>
      </w:r>
    </w:p>
    <w:p w14:paraId="72C4E7B5" w14:textId="77777777" w:rsidR="009260DE" w:rsidRPr="00C84483" w:rsidRDefault="009260DE" w:rsidP="009260DE">
      <w:pPr>
        <w:tabs>
          <w:tab w:val="left" w:pos="851"/>
        </w:tabs>
        <w:ind w:left="851"/>
        <w:rPr>
          <w:sz w:val="24"/>
          <w:szCs w:val="24"/>
        </w:rPr>
      </w:pPr>
    </w:p>
    <w:p w14:paraId="06F9F827"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92D81F5" w14:textId="77777777" w:rsidR="006C5C65" w:rsidRPr="006C5C65" w:rsidRDefault="006C5C65" w:rsidP="006C5C65">
      <w:pPr>
        <w:tabs>
          <w:tab w:val="left" w:pos="851"/>
        </w:tabs>
        <w:ind w:left="851"/>
        <w:rPr>
          <w:sz w:val="24"/>
          <w:szCs w:val="24"/>
        </w:rPr>
      </w:pPr>
      <w:r w:rsidRPr="006C5C65">
        <w:rPr>
          <w:sz w:val="24"/>
          <w:szCs w:val="24"/>
        </w:rPr>
        <w:t>Der er kun gennemført interaktionsstudier hos voksne. I det følgende findes en opsummering.</w:t>
      </w:r>
    </w:p>
    <w:p w14:paraId="01DF5319" w14:textId="77777777" w:rsidR="006C5C65" w:rsidRPr="006C5C65" w:rsidRDefault="006C5C65" w:rsidP="006C5C65">
      <w:pPr>
        <w:tabs>
          <w:tab w:val="left" w:pos="851"/>
        </w:tabs>
        <w:ind w:left="851"/>
        <w:rPr>
          <w:sz w:val="24"/>
          <w:szCs w:val="24"/>
        </w:rPr>
      </w:pPr>
    </w:p>
    <w:p w14:paraId="6F83974F" w14:textId="77777777" w:rsidR="006C5C65" w:rsidRPr="006C5C65" w:rsidRDefault="006C5C65" w:rsidP="006C5C65">
      <w:pPr>
        <w:tabs>
          <w:tab w:val="left" w:pos="851"/>
        </w:tabs>
        <w:ind w:left="851"/>
        <w:rPr>
          <w:sz w:val="24"/>
          <w:szCs w:val="24"/>
        </w:rPr>
      </w:pPr>
      <w:r w:rsidRPr="006C5C65">
        <w:rPr>
          <w:sz w:val="24"/>
          <w:szCs w:val="24"/>
          <w:u w:val="single"/>
        </w:rPr>
        <w:t>Fødevareinteraktion</w:t>
      </w:r>
    </w:p>
    <w:p w14:paraId="26509881" w14:textId="77777777" w:rsidR="006C5C65" w:rsidRPr="006C5C65" w:rsidRDefault="006C5C65" w:rsidP="006C5C65">
      <w:pPr>
        <w:tabs>
          <w:tab w:val="left" w:pos="851"/>
        </w:tabs>
        <w:ind w:left="851"/>
        <w:rPr>
          <w:sz w:val="24"/>
          <w:szCs w:val="24"/>
        </w:rPr>
      </w:pPr>
      <w:r w:rsidRPr="006C5C65">
        <w:rPr>
          <w:sz w:val="24"/>
          <w:szCs w:val="24"/>
        </w:rPr>
        <w:t>Føde reducerer signifikant den orale biotilgængelighed af bilastin med 30 %.</w:t>
      </w:r>
    </w:p>
    <w:p w14:paraId="7CF75F81" w14:textId="77777777" w:rsidR="006C5C65" w:rsidRPr="006C5C65" w:rsidRDefault="006C5C65" w:rsidP="006C5C65">
      <w:pPr>
        <w:tabs>
          <w:tab w:val="left" w:pos="851"/>
        </w:tabs>
        <w:ind w:left="851"/>
        <w:rPr>
          <w:sz w:val="24"/>
          <w:szCs w:val="24"/>
          <w:u w:val="single"/>
        </w:rPr>
      </w:pPr>
    </w:p>
    <w:p w14:paraId="3917E57A" w14:textId="77777777" w:rsidR="006C5C65" w:rsidRPr="006C5C65" w:rsidRDefault="006C5C65" w:rsidP="006C5C65">
      <w:pPr>
        <w:tabs>
          <w:tab w:val="left" w:pos="851"/>
        </w:tabs>
        <w:ind w:left="851"/>
        <w:rPr>
          <w:sz w:val="24"/>
          <w:szCs w:val="24"/>
        </w:rPr>
      </w:pPr>
      <w:r w:rsidRPr="006C5C65">
        <w:rPr>
          <w:sz w:val="24"/>
          <w:szCs w:val="24"/>
          <w:u w:val="single"/>
        </w:rPr>
        <w:t>Interaktion med grapefrugtjuice</w:t>
      </w:r>
    </w:p>
    <w:p w14:paraId="64CB5ED9" w14:textId="77777777" w:rsidR="006C5C65" w:rsidRPr="006C5C65" w:rsidRDefault="006C5C65" w:rsidP="006C5C65">
      <w:pPr>
        <w:tabs>
          <w:tab w:val="left" w:pos="851"/>
        </w:tabs>
        <w:ind w:left="851"/>
        <w:rPr>
          <w:sz w:val="24"/>
          <w:szCs w:val="24"/>
        </w:rPr>
      </w:pPr>
      <w:r w:rsidRPr="006C5C65">
        <w:rPr>
          <w:sz w:val="24"/>
          <w:szCs w:val="24"/>
        </w:rPr>
        <w:t>Samtidig indtagelse af 20 mg bilastin og grapefrugtjuice nedsatte biotilgængeligheden af bilastin med 30 %. Denne virkning kan også gælde for andre frugtjuicer. Faldet i biotilgængelighed kan variere afhængigt af fremstiller og frugtsort. Mekanismen bag denne interaktion er hæmning af OATP1A2, en optagstransportør, og bilastin er et substrat for denne (se pkt. 5.2). Lægemidler, som er substrater for eller hæmmere af OATP1A2 såsom ritonavir eller rifampicin, kan ligeledes potentielt nedsætte plasmakoncentrationen af bilastin.</w:t>
      </w:r>
    </w:p>
    <w:p w14:paraId="69028964" w14:textId="77777777" w:rsidR="006C5C65" w:rsidRPr="006C5C65" w:rsidRDefault="006C5C65" w:rsidP="006C5C65">
      <w:pPr>
        <w:tabs>
          <w:tab w:val="left" w:pos="851"/>
        </w:tabs>
        <w:ind w:left="851"/>
        <w:rPr>
          <w:sz w:val="24"/>
          <w:szCs w:val="24"/>
          <w:u w:val="single"/>
        </w:rPr>
      </w:pPr>
      <w:bookmarkStart w:id="1" w:name="OLE_LINK9"/>
      <w:bookmarkStart w:id="2" w:name="OLE_LINK10"/>
    </w:p>
    <w:p w14:paraId="215DA403" w14:textId="77777777" w:rsidR="006C5C65" w:rsidRPr="006C5C65" w:rsidRDefault="006C5C65" w:rsidP="006C5C65">
      <w:pPr>
        <w:tabs>
          <w:tab w:val="left" w:pos="851"/>
        </w:tabs>
        <w:ind w:left="851"/>
        <w:rPr>
          <w:sz w:val="24"/>
          <w:szCs w:val="24"/>
        </w:rPr>
      </w:pPr>
      <w:r w:rsidRPr="006C5C65">
        <w:rPr>
          <w:sz w:val="24"/>
          <w:szCs w:val="24"/>
          <w:u w:val="single"/>
        </w:rPr>
        <w:t>Interaktion med ketoconazol eller erythromycin</w:t>
      </w:r>
    </w:p>
    <w:p w14:paraId="2069C309" w14:textId="77777777" w:rsidR="006C5C65" w:rsidRPr="006C5C65" w:rsidRDefault="006C5C65" w:rsidP="006C5C65">
      <w:pPr>
        <w:tabs>
          <w:tab w:val="left" w:pos="851"/>
        </w:tabs>
        <w:ind w:left="851"/>
        <w:rPr>
          <w:sz w:val="24"/>
          <w:szCs w:val="24"/>
        </w:rPr>
      </w:pPr>
      <w:r w:rsidRPr="006C5C65">
        <w:rPr>
          <w:sz w:val="24"/>
          <w:szCs w:val="24"/>
        </w:rPr>
        <w:t>Samtidig indtagelse af 20 mg bilastin én gang om dagen og 400 mg ketoconazol en gang om dagen eller 500 mg erythromycin tre gange om dagen fordoblede bilastins AUC og øgede C</w:t>
      </w:r>
      <w:r w:rsidRPr="006C5C65">
        <w:rPr>
          <w:sz w:val="24"/>
          <w:szCs w:val="24"/>
          <w:vertAlign w:val="subscript"/>
        </w:rPr>
        <w:t>max</w:t>
      </w:r>
      <w:r w:rsidRPr="006C5C65">
        <w:rPr>
          <w:sz w:val="24"/>
          <w:szCs w:val="24"/>
        </w:rPr>
        <w:t xml:space="preserve"> med faktor 2-3. Disse forandringer kan forklares ved interaktion med transportører i tarmsystemet, eftersom bilastin er substrat for P-gp, og ikke metaboliseres (se pkt. 5.2). Forandringerne synes ikke at påvirke sikkerhedsprofilen af bilastin sammen med ketoconazol eller erythromycin. Andre lægemidler, som er substrater for eller hæmmere af P-glykoprotein såsom ciclosporin, kan ligeledes potentielt øge plasmakoncentrationen af bilastin.</w:t>
      </w:r>
    </w:p>
    <w:bookmarkEnd w:id="1"/>
    <w:bookmarkEnd w:id="2"/>
    <w:p w14:paraId="146BEFBD" w14:textId="77777777" w:rsidR="006C5C65" w:rsidRPr="006C5C65" w:rsidRDefault="006C5C65" w:rsidP="006C5C65">
      <w:pPr>
        <w:tabs>
          <w:tab w:val="left" w:pos="851"/>
        </w:tabs>
        <w:ind w:left="851"/>
        <w:rPr>
          <w:sz w:val="24"/>
          <w:szCs w:val="24"/>
          <w:u w:val="single"/>
        </w:rPr>
      </w:pPr>
    </w:p>
    <w:p w14:paraId="0BD8D35F" w14:textId="77777777" w:rsidR="006C5C65" w:rsidRPr="006C5C65" w:rsidRDefault="006C5C65" w:rsidP="006C5C65">
      <w:pPr>
        <w:tabs>
          <w:tab w:val="left" w:pos="851"/>
        </w:tabs>
        <w:ind w:left="851"/>
        <w:rPr>
          <w:sz w:val="24"/>
          <w:szCs w:val="24"/>
        </w:rPr>
      </w:pPr>
      <w:r w:rsidRPr="006C5C65">
        <w:rPr>
          <w:sz w:val="24"/>
          <w:szCs w:val="24"/>
          <w:u w:val="single"/>
        </w:rPr>
        <w:t>Interaktion med diltiazem</w:t>
      </w:r>
    </w:p>
    <w:p w14:paraId="18318F59" w14:textId="77777777" w:rsidR="006C5C65" w:rsidRPr="006C5C65" w:rsidRDefault="006C5C65" w:rsidP="006C5C65">
      <w:pPr>
        <w:tabs>
          <w:tab w:val="left" w:pos="851"/>
        </w:tabs>
        <w:ind w:left="851"/>
        <w:rPr>
          <w:sz w:val="24"/>
          <w:szCs w:val="24"/>
        </w:rPr>
      </w:pPr>
      <w:r w:rsidRPr="006C5C65">
        <w:rPr>
          <w:sz w:val="24"/>
          <w:szCs w:val="24"/>
        </w:rPr>
        <w:t>Samtidig indtagelse af 20 mg bilastin en gang om dagen og 60 mg diltiazem en gang om dagen øgede bilastins C</w:t>
      </w:r>
      <w:r w:rsidRPr="006C5C65">
        <w:rPr>
          <w:sz w:val="24"/>
          <w:szCs w:val="24"/>
          <w:vertAlign w:val="subscript"/>
        </w:rPr>
        <w:t>max</w:t>
      </w:r>
      <w:r w:rsidRPr="006C5C65">
        <w:rPr>
          <w:sz w:val="24"/>
          <w:szCs w:val="24"/>
        </w:rPr>
        <w:t xml:space="preserve"> med 50 %. Denne virkning kan forklares ved interaktion med transportører i tarmsystemet (se pkt. 5.2) og synes ikke at påvirke bilastins sikkerhedsprofil.</w:t>
      </w:r>
    </w:p>
    <w:p w14:paraId="405506C6" w14:textId="77777777" w:rsidR="006C5C65" w:rsidRPr="006C5C65" w:rsidRDefault="006C5C65" w:rsidP="006C5C65">
      <w:pPr>
        <w:tabs>
          <w:tab w:val="left" w:pos="851"/>
        </w:tabs>
        <w:ind w:left="851"/>
        <w:rPr>
          <w:sz w:val="24"/>
          <w:szCs w:val="24"/>
          <w:u w:val="single"/>
        </w:rPr>
      </w:pPr>
    </w:p>
    <w:p w14:paraId="18F1B1AC" w14:textId="77777777" w:rsidR="006C5C65" w:rsidRPr="006C5C65" w:rsidRDefault="006C5C65" w:rsidP="006C5C65">
      <w:pPr>
        <w:tabs>
          <w:tab w:val="left" w:pos="851"/>
        </w:tabs>
        <w:ind w:left="851"/>
        <w:rPr>
          <w:sz w:val="24"/>
          <w:szCs w:val="24"/>
        </w:rPr>
      </w:pPr>
      <w:r w:rsidRPr="006C5C65">
        <w:rPr>
          <w:sz w:val="24"/>
          <w:szCs w:val="24"/>
          <w:u w:val="single"/>
        </w:rPr>
        <w:t>Interaktion med alkohol</w:t>
      </w:r>
    </w:p>
    <w:p w14:paraId="0B39E1DD" w14:textId="77777777" w:rsidR="006C5C65" w:rsidRPr="006C5C65" w:rsidRDefault="006C5C65" w:rsidP="006C5C65">
      <w:pPr>
        <w:tabs>
          <w:tab w:val="left" w:pos="851"/>
        </w:tabs>
        <w:ind w:left="851"/>
        <w:rPr>
          <w:sz w:val="24"/>
          <w:szCs w:val="24"/>
        </w:rPr>
      </w:pPr>
      <w:r w:rsidRPr="006C5C65">
        <w:rPr>
          <w:sz w:val="24"/>
          <w:szCs w:val="24"/>
        </w:rPr>
        <w:t>Efter samtidig indtagelse af alkohol og 20 mg bilastin en gang om dagen var den psykomotoriske funktion sammenlignelig med funktionen efter indtagelse af alkohol og placebo.</w:t>
      </w:r>
    </w:p>
    <w:p w14:paraId="469A8E9C" w14:textId="373A97C7" w:rsidR="0098080C" w:rsidRDefault="0098080C">
      <w:pPr>
        <w:rPr>
          <w:sz w:val="24"/>
          <w:szCs w:val="24"/>
          <w:u w:val="single"/>
        </w:rPr>
      </w:pPr>
      <w:r>
        <w:rPr>
          <w:sz w:val="24"/>
          <w:szCs w:val="24"/>
          <w:u w:val="single"/>
        </w:rPr>
        <w:br w:type="page"/>
      </w:r>
    </w:p>
    <w:p w14:paraId="5DDD8316" w14:textId="77777777" w:rsidR="006C5C65" w:rsidRPr="006C5C65" w:rsidRDefault="006C5C65" w:rsidP="006C5C65">
      <w:pPr>
        <w:tabs>
          <w:tab w:val="left" w:pos="851"/>
        </w:tabs>
        <w:ind w:left="851"/>
        <w:rPr>
          <w:sz w:val="24"/>
          <w:szCs w:val="24"/>
          <w:u w:val="single"/>
        </w:rPr>
      </w:pPr>
    </w:p>
    <w:p w14:paraId="325DE0C6" w14:textId="77777777" w:rsidR="006C5C65" w:rsidRPr="006C5C65" w:rsidRDefault="006C5C65" w:rsidP="006C5C65">
      <w:pPr>
        <w:tabs>
          <w:tab w:val="left" w:pos="851"/>
        </w:tabs>
        <w:ind w:left="851"/>
        <w:rPr>
          <w:sz w:val="24"/>
          <w:szCs w:val="24"/>
        </w:rPr>
      </w:pPr>
      <w:r w:rsidRPr="006C5C65">
        <w:rPr>
          <w:sz w:val="24"/>
          <w:szCs w:val="24"/>
          <w:u w:val="single"/>
        </w:rPr>
        <w:t>Interaktion med lorazepam</w:t>
      </w:r>
    </w:p>
    <w:p w14:paraId="5684C732" w14:textId="77777777" w:rsidR="006C5C65" w:rsidRPr="006C5C65" w:rsidRDefault="006C5C65" w:rsidP="006C5C65">
      <w:pPr>
        <w:tabs>
          <w:tab w:val="left" w:pos="851"/>
        </w:tabs>
        <w:ind w:left="851"/>
        <w:rPr>
          <w:sz w:val="24"/>
          <w:szCs w:val="24"/>
        </w:rPr>
      </w:pPr>
      <w:r w:rsidRPr="006C5C65">
        <w:rPr>
          <w:sz w:val="24"/>
          <w:szCs w:val="24"/>
        </w:rPr>
        <w:t>Samtidig indtagelse af 20 mg bilastin en gang om dagen og 3 mg lorazepam en gang om dagen i 8 dage forstærkede ikke lorazepams undertrykkende virkning på centralnervesystemet.</w:t>
      </w:r>
    </w:p>
    <w:p w14:paraId="3EDABD01" w14:textId="77777777" w:rsidR="006C5C65" w:rsidRPr="006C5C65" w:rsidRDefault="006C5C65" w:rsidP="006C5C65">
      <w:pPr>
        <w:tabs>
          <w:tab w:val="left" w:pos="851"/>
        </w:tabs>
        <w:ind w:left="851"/>
        <w:rPr>
          <w:sz w:val="24"/>
          <w:szCs w:val="24"/>
          <w:u w:val="single"/>
        </w:rPr>
      </w:pPr>
    </w:p>
    <w:p w14:paraId="6891A228" w14:textId="77777777" w:rsidR="006C5C65" w:rsidRPr="006C5C65" w:rsidRDefault="006C5C65" w:rsidP="006C5C65">
      <w:pPr>
        <w:tabs>
          <w:tab w:val="left" w:pos="851"/>
        </w:tabs>
        <w:ind w:left="851"/>
        <w:rPr>
          <w:sz w:val="24"/>
          <w:szCs w:val="24"/>
          <w:u w:val="single"/>
        </w:rPr>
      </w:pPr>
      <w:r w:rsidRPr="006C5C65">
        <w:rPr>
          <w:sz w:val="24"/>
          <w:szCs w:val="24"/>
          <w:u w:val="single"/>
        </w:rPr>
        <w:t>Pædiatrisk population</w:t>
      </w:r>
    </w:p>
    <w:p w14:paraId="3606CDB8" w14:textId="77777777" w:rsidR="006C5C65" w:rsidRPr="006C5C65" w:rsidRDefault="006C5C65" w:rsidP="006C5C65">
      <w:pPr>
        <w:tabs>
          <w:tab w:val="left" w:pos="851"/>
        </w:tabs>
        <w:ind w:left="851"/>
        <w:rPr>
          <w:sz w:val="24"/>
          <w:szCs w:val="24"/>
        </w:rPr>
      </w:pPr>
      <w:r w:rsidRPr="006C5C65">
        <w:rPr>
          <w:sz w:val="24"/>
          <w:szCs w:val="24"/>
        </w:rPr>
        <w:t>Der har udelukkende været gennemført interaktionsstudier hos voksne. Eftersom der ikke er nogen kliniske erfaringer med interaktion af bilastin med andre lægemidler, fødevarer eller frugtjuicer hos børn, skal resultaterne fra interaktionsstudier for voksne for nuværende tages i betragtning ved ordinering af bilastin til børn. Der foreligger ingen kliniske data for børn til angivelse af, om ændringer i AUC eller C</w:t>
      </w:r>
      <w:r w:rsidRPr="006C5C65">
        <w:rPr>
          <w:sz w:val="24"/>
          <w:szCs w:val="24"/>
          <w:vertAlign w:val="subscript"/>
        </w:rPr>
        <w:t>max</w:t>
      </w:r>
      <w:r w:rsidRPr="006C5C65">
        <w:rPr>
          <w:sz w:val="24"/>
          <w:szCs w:val="24"/>
        </w:rPr>
        <w:t xml:space="preserve"> som følge af interaktioner påvirker bilastins sikkerhedsprofil.</w:t>
      </w:r>
    </w:p>
    <w:p w14:paraId="40FF35AE" w14:textId="77777777" w:rsidR="009260DE" w:rsidRPr="00C84483" w:rsidRDefault="009260DE" w:rsidP="009260DE">
      <w:pPr>
        <w:tabs>
          <w:tab w:val="left" w:pos="851"/>
        </w:tabs>
        <w:ind w:left="851"/>
        <w:rPr>
          <w:sz w:val="24"/>
          <w:szCs w:val="24"/>
        </w:rPr>
      </w:pPr>
    </w:p>
    <w:p w14:paraId="19BB377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4F0B6A79" w14:textId="77777777" w:rsidR="0098080C" w:rsidRDefault="0098080C" w:rsidP="006C5C65">
      <w:pPr>
        <w:tabs>
          <w:tab w:val="left" w:pos="851"/>
        </w:tabs>
        <w:ind w:left="851"/>
        <w:rPr>
          <w:sz w:val="24"/>
          <w:szCs w:val="24"/>
          <w:u w:val="single"/>
        </w:rPr>
      </w:pPr>
    </w:p>
    <w:p w14:paraId="3A7B5D4D" w14:textId="15FABC03" w:rsidR="006C5C65" w:rsidRPr="006C5C65" w:rsidRDefault="006C5C65" w:rsidP="006C5C65">
      <w:pPr>
        <w:tabs>
          <w:tab w:val="left" w:pos="851"/>
        </w:tabs>
        <w:ind w:left="851"/>
        <w:rPr>
          <w:sz w:val="24"/>
          <w:szCs w:val="24"/>
          <w:u w:val="single"/>
        </w:rPr>
      </w:pPr>
      <w:r w:rsidRPr="006C5C65">
        <w:rPr>
          <w:sz w:val="24"/>
          <w:szCs w:val="24"/>
          <w:u w:val="single"/>
        </w:rPr>
        <w:t>Graviditet</w:t>
      </w:r>
    </w:p>
    <w:p w14:paraId="29B73342" w14:textId="77777777" w:rsidR="006C5C65" w:rsidRPr="006C5C65" w:rsidRDefault="006C5C65" w:rsidP="006C5C65">
      <w:pPr>
        <w:tabs>
          <w:tab w:val="left" w:pos="851"/>
        </w:tabs>
        <w:ind w:left="851"/>
        <w:rPr>
          <w:sz w:val="24"/>
          <w:szCs w:val="24"/>
        </w:rPr>
      </w:pPr>
      <w:r w:rsidRPr="006C5C65">
        <w:rPr>
          <w:sz w:val="24"/>
          <w:szCs w:val="24"/>
        </w:rPr>
        <w:t>Der er til dato ingen eller utilstrækkelige data fra anvendelse af bilastin til gravide kvinder.</w:t>
      </w:r>
    </w:p>
    <w:p w14:paraId="74362E1C" w14:textId="77777777" w:rsidR="006C5C65" w:rsidRPr="006C5C65" w:rsidRDefault="006C5C65" w:rsidP="006C5C65">
      <w:pPr>
        <w:tabs>
          <w:tab w:val="left" w:pos="851"/>
        </w:tabs>
        <w:ind w:left="851"/>
        <w:rPr>
          <w:sz w:val="24"/>
          <w:szCs w:val="24"/>
        </w:rPr>
      </w:pPr>
    </w:p>
    <w:p w14:paraId="5D93DEC8" w14:textId="775CFBA3" w:rsidR="006C5C65" w:rsidRPr="006C5C65" w:rsidRDefault="006C5C65" w:rsidP="006C5C65">
      <w:pPr>
        <w:tabs>
          <w:tab w:val="left" w:pos="851"/>
        </w:tabs>
        <w:ind w:left="851"/>
        <w:rPr>
          <w:sz w:val="24"/>
          <w:szCs w:val="24"/>
        </w:rPr>
      </w:pPr>
      <w:r w:rsidRPr="006C5C65">
        <w:rPr>
          <w:sz w:val="24"/>
          <w:szCs w:val="24"/>
        </w:rPr>
        <w:t xml:space="preserve">Dyreforsøg indikerer hverken direkte eller indirekte skadelige virkninger, hvad angår reproduktionstoksicitet, fødslen eller den postnatale udvikling (se pkt. 5.3). For en sikkerheds skyld bør </w:t>
      </w:r>
      <w:r w:rsidR="0098080C">
        <w:rPr>
          <w:sz w:val="24"/>
          <w:szCs w:val="24"/>
        </w:rPr>
        <w:t>Bilastine "Stada"</w:t>
      </w:r>
      <w:r w:rsidRPr="006C5C65">
        <w:rPr>
          <w:sz w:val="24"/>
          <w:szCs w:val="24"/>
        </w:rPr>
        <w:t xml:space="preserve"> undgås under graviditeten.</w:t>
      </w:r>
    </w:p>
    <w:p w14:paraId="0CD68D2E" w14:textId="77777777" w:rsidR="006C5C65" w:rsidRPr="006C5C65" w:rsidRDefault="006C5C65" w:rsidP="006C5C65">
      <w:pPr>
        <w:tabs>
          <w:tab w:val="left" w:pos="851"/>
        </w:tabs>
        <w:ind w:left="851"/>
        <w:rPr>
          <w:sz w:val="24"/>
          <w:szCs w:val="24"/>
        </w:rPr>
      </w:pPr>
    </w:p>
    <w:p w14:paraId="1DF2CE1E" w14:textId="77777777" w:rsidR="006C5C65" w:rsidRPr="006C5C65" w:rsidRDefault="006C5C65" w:rsidP="006C5C65">
      <w:pPr>
        <w:tabs>
          <w:tab w:val="left" w:pos="851"/>
        </w:tabs>
        <w:ind w:left="851"/>
        <w:rPr>
          <w:sz w:val="24"/>
          <w:szCs w:val="24"/>
          <w:u w:val="single"/>
        </w:rPr>
      </w:pPr>
      <w:r w:rsidRPr="006C5C65">
        <w:rPr>
          <w:sz w:val="24"/>
          <w:szCs w:val="24"/>
          <w:u w:val="single"/>
        </w:rPr>
        <w:t>Amning</w:t>
      </w:r>
    </w:p>
    <w:p w14:paraId="06DA156A" w14:textId="77777777" w:rsidR="006C5C65" w:rsidRPr="006C5C65" w:rsidRDefault="006C5C65" w:rsidP="006C5C65">
      <w:pPr>
        <w:tabs>
          <w:tab w:val="left" w:pos="851"/>
        </w:tabs>
        <w:ind w:left="851"/>
        <w:rPr>
          <w:sz w:val="24"/>
          <w:szCs w:val="24"/>
        </w:rPr>
      </w:pPr>
      <w:r w:rsidRPr="006C5C65">
        <w:rPr>
          <w:sz w:val="24"/>
          <w:szCs w:val="24"/>
        </w:rPr>
        <w:t xml:space="preserve">Udskillelsen af bilastin i mælk er ikke undersøgt hos mennesker. De tilgængelige farmakokinetiske data fra dyreforsøg viser, at bilastin udskilles i mælk (se pkt. 5.3). </w:t>
      </w:r>
      <w:bookmarkStart w:id="3" w:name="_Hlk38975962"/>
      <w:r w:rsidRPr="006C5C65">
        <w:rPr>
          <w:sz w:val="24"/>
          <w:szCs w:val="24"/>
        </w:rPr>
        <w:t>Det skal besluttes, om amning skal fortsættes/ophøre eller om behandling med bilastin skal ophøre/undlades, idet der tages højde for fordelene ved amning for barnet i forhold til de terapeutiske fordele for moderen.</w:t>
      </w:r>
    </w:p>
    <w:bookmarkEnd w:id="3"/>
    <w:p w14:paraId="7774460B" w14:textId="77777777" w:rsidR="006C5C65" w:rsidRPr="006C5C65" w:rsidRDefault="006C5C65" w:rsidP="006C5C65">
      <w:pPr>
        <w:tabs>
          <w:tab w:val="left" w:pos="851"/>
        </w:tabs>
        <w:ind w:left="851"/>
        <w:rPr>
          <w:sz w:val="24"/>
          <w:szCs w:val="24"/>
        </w:rPr>
      </w:pPr>
    </w:p>
    <w:p w14:paraId="42AFF939" w14:textId="77777777" w:rsidR="006C5C65" w:rsidRPr="006C5C65" w:rsidRDefault="006C5C65" w:rsidP="006C5C65">
      <w:pPr>
        <w:tabs>
          <w:tab w:val="left" w:pos="851"/>
        </w:tabs>
        <w:ind w:left="851"/>
        <w:rPr>
          <w:sz w:val="24"/>
          <w:szCs w:val="24"/>
          <w:u w:val="single"/>
        </w:rPr>
      </w:pPr>
      <w:r w:rsidRPr="006C5C65">
        <w:rPr>
          <w:sz w:val="24"/>
          <w:szCs w:val="24"/>
          <w:u w:val="single"/>
        </w:rPr>
        <w:t>Fertilitet</w:t>
      </w:r>
    </w:p>
    <w:p w14:paraId="73F8E8D4" w14:textId="77777777" w:rsidR="006C5C65" w:rsidRPr="006C5C65" w:rsidRDefault="006C5C65" w:rsidP="006C5C65">
      <w:pPr>
        <w:tabs>
          <w:tab w:val="left" w:pos="851"/>
        </w:tabs>
        <w:ind w:left="851"/>
        <w:rPr>
          <w:sz w:val="24"/>
          <w:szCs w:val="24"/>
        </w:rPr>
      </w:pPr>
      <w:r w:rsidRPr="006C5C65">
        <w:rPr>
          <w:sz w:val="24"/>
          <w:szCs w:val="24"/>
        </w:rPr>
        <w:t>Der er ingen eller utilstrækkelige kliniske data. Et forsøg med rotter indikerede ikke negativ påvirkning af fertilitet (se pkt. 5.3).</w:t>
      </w:r>
    </w:p>
    <w:p w14:paraId="1E266C4F" w14:textId="77777777" w:rsidR="009260DE" w:rsidRPr="00C84483" w:rsidRDefault="009260DE" w:rsidP="009260DE">
      <w:pPr>
        <w:tabs>
          <w:tab w:val="left" w:pos="851"/>
        </w:tabs>
        <w:ind w:left="851"/>
        <w:rPr>
          <w:sz w:val="24"/>
          <w:szCs w:val="24"/>
        </w:rPr>
      </w:pPr>
    </w:p>
    <w:p w14:paraId="4315C36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8D12D75" w14:textId="77777777" w:rsidR="006C5C65" w:rsidRPr="006C5C65" w:rsidRDefault="006C5C65" w:rsidP="006C5C65">
      <w:pPr>
        <w:tabs>
          <w:tab w:val="left" w:pos="851"/>
        </w:tabs>
        <w:ind w:left="851"/>
        <w:rPr>
          <w:sz w:val="24"/>
          <w:szCs w:val="24"/>
        </w:rPr>
      </w:pPr>
      <w:r w:rsidRPr="006C5C65">
        <w:rPr>
          <w:sz w:val="24"/>
          <w:szCs w:val="24"/>
        </w:rPr>
        <w:t>Ikke mærkning</w:t>
      </w:r>
    </w:p>
    <w:p w14:paraId="0BC9EAC7" w14:textId="77777777" w:rsidR="006C5C65" w:rsidRPr="006C5C65" w:rsidRDefault="006C5C65" w:rsidP="006C5C65">
      <w:pPr>
        <w:tabs>
          <w:tab w:val="left" w:pos="851"/>
        </w:tabs>
        <w:ind w:left="851"/>
        <w:rPr>
          <w:sz w:val="24"/>
          <w:szCs w:val="24"/>
        </w:rPr>
      </w:pPr>
      <w:r w:rsidRPr="006C5C65">
        <w:rPr>
          <w:sz w:val="24"/>
          <w:szCs w:val="24"/>
        </w:rPr>
        <w:t>Det fremgik af et forsøg med voksne, der blev udført for at bedømme bilastins påvirkning af evnen til at føre motorkøretøj, at behandling med 20 mg ikke påvirker evnen til at færdes sikkert i trafikken. Eftersom der kan være forskel på, hvordan den enkelte reagerer på lægemidlet, bør patienterne dog tilrådes ikke at føre eller bruge maskiner, før de har fastslået deres egen reaktion på bilastin.</w:t>
      </w:r>
    </w:p>
    <w:p w14:paraId="61A21140" w14:textId="77777777" w:rsidR="009260DE" w:rsidRPr="00C84483" w:rsidRDefault="009260DE" w:rsidP="009260DE">
      <w:pPr>
        <w:tabs>
          <w:tab w:val="left" w:pos="851"/>
        </w:tabs>
        <w:ind w:left="851"/>
        <w:rPr>
          <w:sz w:val="24"/>
          <w:szCs w:val="24"/>
        </w:rPr>
      </w:pPr>
    </w:p>
    <w:p w14:paraId="217CAAFB"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EAC612C" w14:textId="77777777" w:rsidR="006C5C65" w:rsidRPr="006C5C65" w:rsidRDefault="006C5C65" w:rsidP="0098080C">
      <w:pPr>
        <w:ind w:left="851"/>
        <w:rPr>
          <w:sz w:val="24"/>
          <w:szCs w:val="24"/>
        </w:rPr>
      </w:pPr>
    </w:p>
    <w:p w14:paraId="2618B1BF" w14:textId="77777777" w:rsidR="006C5C65" w:rsidRPr="006C5C65" w:rsidRDefault="006C5C65" w:rsidP="0098080C">
      <w:pPr>
        <w:tabs>
          <w:tab w:val="left" w:pos="851"/>
        </w:tabs>
        <w:ind w:left="851"/>
        <w:rPr>
          <w:sz w:val="24"/>
          <w:szCs w:val="24"/>
          <w:u w:val="single"/>
        </w:rPr>
      </w:pPr>
      <w:r w:rsidRPr="006C5C65">
        <w:rPr>
          <w:sz w:val="24"/>
          <w:szCs w:val="24"/>
          <w:u w:val="single"/>
        </w:rPr>
        <w:t>Oversigt over sikkerhedsprofilen hos voksne og unge patienter</w:t>
      </w:r>
    </w:p>
    <w:p w14:paraId="1C67C148" w14:textId="77777777" w:rsidR="006C5C65" w:rsidRPr="006C5C65" w:rsidRDefault="006C5C65" w:rsidP="0098080C">
      <w:pPr>
        <w:tabs>
          <w:tab w:val="left" w:pos="851"/>
        </w:tabs>
        <w:ind w:left="851"/>
        <w:rPr>
          <w:sz w:val="24"/>
          <w:szCs w:val="24"/>
        </w:rPr>
      </w:pPr>
      <w:r w:rsidRPr="006C5C65">
        <w:rPr>
          <w:sz w:val="24"/>
          <w:szCs w:val="24"/>
        </w:rPr>
        <w:t>Incidensen af antallet af bivirkninger hos voksne og unge patienter, der led af allergisk rinokonjunktivitis eller kronisk idiopatisk urticaria, og som blev behandlet med 20 mg bilastin i kliniske forsøg, var sammenlignelig med incidensen af antallet hos patienter, der fik placebo (12,7 % versus 12,8 %).</w:t>
      </w:r>
    </w:p>
    <w:p w14:paraId="536EB947" w14:textId="77777777" w:rsidR="006C5C65" w:rsidRPr="006C5C65" w:rsidRDefault="006C5C65" w:rsidP="0098080C">
      <w:pPr>
        <w:tabs>
          <w:tab w:val="left" w:pos="851"/>
        </w:tabs>
        <w:ind w:left="851"/>
        <w:rPr>
          <w:sz w:val="24"/>
          <w:szCs w:val="24"/>
        </w:rPr>
      </w:pPr>
    </w:p>
    <w:p w14:paraId="59C6B5A1" w14:textId="77777777" w:rsidR="006C5C65" w:rsidRPr="006C5C65" w:rsidRDefault="006C5C65" w:rsidP="0098080C">
      <w:pPr>
        <w:tabs>
          <w:tab w:val="left" w:pos="851"/>
        </w:tabs>
        <w:ind w:left="851"/>
        <w:rPr>
          <w:sz w:val="24"/>
          <w:szCs w:val="24"/>
        </w:rPr>
      </w:pPr>
      <w:r w:rsidRPr="006C5C65">
        <w:rPr>
          <w:sz w:val="24"/>
          <w:szCs w:val="24"/>
        </w:rPr>
        <w:lastRenderedPageBreak/>
        <w:t>De kliniske fase II- og III-forsøg, der blev gennemført i forbindelse med den kliniske udvikling, omfattede 2.525 voksne og unge patienter, der blev behandlet med forskellige doser af bilastin, heraf fik 1.697 bilastin 20 mg, 1.362 patienter fik placebo. De hyppigste bivirkninger indberettet af patienter, der fik 20 mg bilastin for indikationerne allergisk rhinokonjunktivitis eller kronisk idiopatisk urticaria, var hovedpine, døsighed, svimmelhed og træthed. Disse bivirkninger forekom med sammenlignelig hyppighed hos patienter, der fik placebo.</w:t>
      </w:r>
    </w:p>
    <w:p w14:paraId="3732BD5A" w14:textId="77777777" w:rsidR="006C5C65" w:rsidRPr="006C5C65" w:rsidRDefault="006C5C65" w:rsidP="0098080C">
      <w:pPr>
        <w:tabs>
          <w:tab w:val="left" w:pos="851"/>
        </w:tabs>
        <w:ind w:left="851"/>
        <w:rPr>
          <w:sz w:val="24"/>
          <w:szCs w:val="24"/>
          <w:u w:val="single"/>
        </w:rPr>
      </w:pPr>
    </w:p>
    <w:p w14:paraId="3096F3B2" w14:textId="77777777" w:rsidR="006C5C65" w:rsidRPr="006C5C65" w:rsidRDefault="006C5C65" w:rsidP="0098080C">
      <w:pPr>
        <w:ind w:left="851"/>
        <w:rPr>
          <w:sz w:val="24"/>
          <w:szCs w:val="24"/>
          <w:u w:val="single"/>
        </w:rPr>
      </w:pPr>
      <w:r w:rsidRPr="006C5C65">
        <w:rPr>
          <w:sz w:val="24"/>
          <w:szCs w:val="24"/>
          <w:u w:val="single"/>
        </w:rPr>
        <w:t>Oversigt over bivirkninger hos voksne og unge patienter</w:t>
      </w:r>
    </w:p>
    <w:p w14:paraId="2A0FD0E0" w14:textId="77777777" w:rsidR="006C5C65" w:rsidRPr="006C5C65" w:rsidRDefault="006C5C65" w:rsidP="0098080C">
      <w:pPr>
        <w:tabs>
          <w:tab w:val="left" w:pos="851"/>
        </w:tabs>
        <w:ind w:left="851"/>
        <w:rPr>
          <w:sz w:val="24"/>
          <w:szCs w:val="24"/>
        </w:rPr>
      </w:pPr>
      <w:r w:rsidRPr="006C5C65">
        <w:rPr>
          <w:sz w:val="24"/>
          <w:szCs w:val="24"/>
        </w:rPr>
        <w:t xml:space="preserve">De bivirkninger, som havde en mulig relation til bilastin, og som rapporteredes hos over 0,1 % af de patienter, der fik 20 mg bilastin under den kliniske udvikling/N = 1.697), fremgår af tabellen nedenfor. </w:t>
      </w:r>
    </w:p>
    <w:p w14:paraId="3BCCF9B7" w14:textId="77777777" w:rsidR="006C5C65" w:rsidRPr="006C5C65" w:rsidRDefault="006C5C65" w:rsidP="0098080C">
      <w:pPr>
        <w:tabs>
          <w:tab w:val="left" w:pos="851"/>
        </w:tabs>
        <w:ind w:left="851"/>
        <w:rPr>
          <w:sz w:val="24"/>
          <w:szCs w:val="24"/>
        </w:rPr>
      </w:pPr>
    </w:p>
    <w:p w14:paraId="4194C13D" w14:textId="77777777" w:rsidR="006C5C65" w:rsidRPr="006C5C65" w:rsidRDefault="006C5C65" w:rsidP="0098080C">
      <w:pPr>
        <w:tabs>
          <w:tab w:val="left" w:pos="851"/>
        </w:tabs>
        <w:ind w:left="851"/>
        <w:rPr>
          <w:sz w:val="24"/>
          <w:szCs w:val="24"/>
        </w:rPr>
      </w:pPr>
      <w:r w:rsidRPr="006C5C65">
        <w:rPr>
          <w:sz w:val="24"/>
          <w:szCs w:val="24"/>
        </w:rPr>
        <w:t>Hyppighed angives som følger:</w:t>
      </w:r>
    </w:p>
    <w:p w14:paraId="02C62040" w14:textId="77777777" w:rsidR="006C5C65" w:rsidRPr="006C5C65" w:rsidRDefault="006C5C65" w:rsidP="0098080C">
      <w:pPr>
        <w:tabs>
          <w:tab w:val="left" w:pos="1701"/>
        </w:tabs>
        <w:ind w:left="851"/>
        <w:rPr>
          <w:sz w:val="24"/>
          <w:szCs w:val="24"/>
        </w:rPr>
      </w:pPr>
      <w:r w:rsidRPr="006C5C65">
        <w:rPr>
          <w:sz w:val="24"/>
          <w:szCs w:val="24"/>
        </w:rPr>
        <w:t>Meget almindelig</w:t>
      </w:r>
      <w:r w:rsidRPr="006C5C65">
        <w:rPr>
          <w:sz w:val="24"/>
          <w:szCs w:val="24"/>
        </w:rPr>
        <w:tab/>
        <w:t xml:space="preserve">(≥ 1/10) </w:t>
      </w:r>
    </w:p>
    <w:p w14:paraId="05CFD79F" w14:textId="77777777" w:rsidR="006C5C65" w:rsidRPr="006C5C65" w:rsidRDefault="006C5C65" w:rsidP="0098080C">
      <w:pPr>
        <w:tabs>
          <w:tab w:val="left" w:pos="1701"/>
        </w:tabs>
        <w:ind w:left="851"/>
        <w:rPr>
          <w:sz w:val="24"/>
          <w:szCs w:val="24"/>
        </w:rPr>
      </w:pPr>
      <w:r w:rsidRPr="006C5C65">
        <w:rPr>
          <w:sz w:val="24"/>
          <w:szCs w:val="24"/>
        </w:rPr>
        <w:t>Almindelig</w:t>
      </w:r>
      <w:r w:rsidRPr="006C5C65">
        <w:rPr>
          <w:sz w:val="24"/>
          <w:szCs w:val="24"/>
        </w:rPr>
        <w:tab/>
        <w:t xml:space="preserve">(≥ 1/100 til &lt; 1/10) </w:t>
      </w:r>
    </w:p>
    <w:p w14:paraId="118FB43A" w14:textId="77777777" w:rsidR="006C5C65" w:rsidRPr="006C5C65" w:rsidRDefault="006C5C65" w:rsidP="0098080C">
      <w:pPr>
        <w:tabs>
          <w:tab w:val="left" w:pos="1701"/>
        </w:tabs>
        <w:ind w:left="851"/>
        <w:rPr>
          <w:sz w:val="24"/>
          <w:szCs w:val="24"/>
        </w:rPr>
      </w:pPr>
      <w:r w:rsidRPr="006C5C65">
        <w:rPr>
          <w:sz w:val="24"/>
          <w:szCs w:val="24"/>
        </w:rPr>
        <w:t>Ikke almindelig</w:t>
      </w:r>
      <w:r w:rsidRPr="006C5C65">
        <w:rPr>
          <w:sz w:val="24"/>
          <w:szCs w:val="24"/>
        </w:rPr>
        <w:tab/>
        <w:t xml:space="preserve">(≥ 1/1.000 til &lt; 1/100) </w:t>
      </w:r>
    </w:p>
    <w:p w14:paraId="5101C7C9" w14:textId="050377E0" w:rsidR="006C5C65" w:rsidRPr="006C5C65" w:rsidRDefault="006C5C65" w:rsidP="0098080C">
      <w:pPr>
        <w:tabs>
          <w:tab w:val="left" w:pos="1701"/>
        </w:tabs>
        <w:ind w:left="851"/>
        <w:rPr>
          <w:sz w:val="24"/>
          <w:szCs w:val="24"/>
        </w:rPr>
      </w:pPr>
      <w:r w:rsidRPr="006C5C65">
        <w:rPr>
          <w:sz w:val="24"/>
          <w:szCs w:val="24"/>
        </w:rPr>
        <w:t>Sjælden</w:t>
      </w:r>
      <w:r w:rsidR="0098080C">
        <w:rPr>
          <w:sz w:val="24"/>
          <w:szCs w:val="24"/>
        </w:rPr>
        <w:tab/>
      </w:r>
      <w:r w:rsidR="0098080C">
        <w:rPr>
          <w:sz w:val="24"/>
          <w:szCs w:val="24"/>
        </w:rPr>
        <w:tab/>
      </w:r>
      <w:r w:rsidRPr="006C5C65">
        <w:rPr>
          <w:sz w:val="24"/>
          <w:szCs w:val="24"/>
        </w:rPr>
        <w:t xml:space="preserve">(≥ 1/10.000 til &lt; 1/1.000) </w:t>
      </w:r>
    </w:p>
    <w:p w14:paraId="4C5A59D9" w14:textId="77777777" w:rsidR="006C5C65" w:rsidRPr="006C5C65" w:rsidRDefault="006C5C65" w:rsidP="0098080C">
      <w:pPr>
        <w:tabs>
          <w:tab w:val="left" w:pos="1701"/>
        </w:tabs>
        <w:ind w:left="851"/>
        <w:rPr>
          <w:sz w:val="24"/>
          <w:szCs w:val="24"/>
        </w:rPr>
      </w:pPr>
      <w:r w:rsidRPr="006C5C65">
        <w:rPr>
          <w:sz w:val="24"/>
          <w:szCs w:val="24"/>
        </w:rPr>
        <w:t>Meget sjælden</w:t>
      </w:r>
      <w:r w:rsidRPr="006C5C65">
        <w:rPr>
          <w:sz w:val="24"/>
          <w:szCs w:val="24"/>
        </w:rPr>
        <w:tab/>
        <w:t>(&lt; 1/10.000)</w:t>
      </w:r>
    </w:p>
    <w:p w14:paraId="4135CAAD" w14:textId="77777777" w:rsidR="006C5C65" w:rsidRPr="006C5C65" w:rsidRDefault="006C5C65" w:rsidP="0098080C">
      <w:pPr>
        <w:tabs>
          <w:tab w:val="left" w:pos="1701"/>
        </w:tabs>
        <w:ind w:left="851"/>
        <w:rPr>
          <w:color w:val="000000"/>
          <w:sz w:val="24"/>
          <w:szCs w:val="24"/>
        </w:rPr>
      </w:pPr>
      <w:r w:rsidRPr="006C5C65">
        <w:rPr>
          <w:color w:val="000000"/>
          <w:sz w:val="24"/>
          <w:szCs w:val="24"/>
        </w:rPr>
        <w:t>Ikke kendt</w:t>
      </w:r>
      <w:r w:rsidRPr="006C5C65">
        <w:rPr>
          <w:color w:val="000000"/>
          <w:sz w:val="24"/>
          <w:szCs w:val="24"/>
        </w:rPr>
        <w:tab/>
        <w:t>(hyppigheden kan ikke estimeres ud fra forhåndenværende data)</w:t>
      </w:r>
    </w:p>
    <w:p w14:paraId="47AD1774" w14:textId="77777777" w:rsidR="006C5C65" w:rsidRPr="006C5C65" w:rsidRDefault="006C5C65" w:rsidP="0098080C">
      <w:pPr>
        <w:tabs>
          <w:tab w:val="left" w:pos="851"/>
        </w:tabs>
        <w:ind w:left="851"/>
        <w:rPr>
          <w:sz w:val="24"/>
          <w:szCs w:val="24"/>
        </w:rPr>
      </w:pPr>
    </w:p>
    <w:p w14:paraId="5669975A" w14:textId="77777777" w:rsidR="006C5C65" w:rsidRPr="006C5C65" w:rsidRDefault="006C5C65" w:rsidP="0098080C">
      <w:pPr>
        <w:tabs>
          <w:tab w:val="left" w:pos="851"/>
        </w:tabs>
        <w:ind w:left="851"/>
        <w:rPr>
          <w:sz w:val="24"/>
          <w:szCs w:val="24"/>
        </w:rPr>
      </w:pPr>
      <w:r w:rsidRPr="006C5C65">
        <w:rPr>
          <w:sz w:val="24"/>
          <w:szCs w:val="24"/>
        </w:rPr>
        <w:t>Bivirkninger, som er sjældne eller meget sjældne, eller for hvilke hyppigheden ikke er kendt, er ikke medtaget i tabellen.</w:t>
      </w:r>
    </w:p>
    <w:p w14:paraId="2BE04C36" w14:textId="77777777" w:rsidR="006C5C65" w:rsidRPr="0098080C" w:rsidRDefault="006C5C65" w:rsidP="0098080C">
      <w:pPr>
        <w:rPr>
          <w:sz w:val="22"/>
          <w:szCs w:val="22"/>
        </w:rPr>
      </w:pPr>
    </w:p>
    <w:tbl>
      <w:tblPr>
        <w:tblStyle w:val="Tabel-Gitter"/>
        <w:tblW w:w="0" w:type="auto"/>
        <w:tblInd w:w="0" w:type="dxa"/>
        <w:tblLook w:val="04A0" w:firstRow="1" w:lastRow="0" w:firstColumn="1" w:lastColumn="0" w:noHBand="0" w:noVBand="1"/>
      </w:tblPr>
      <w:tblGrid>
        <w:gridCol w:w="1696"/>
        <w:gridCol w:w="62"/>
        <w:gridCol w:w="2136"/>
        <w:gridCol w:w="1721"/>
        <w:gridCol w:w="1722"/>
        <w:gridCol w:w="1718"/>
      </w:tblGrid>
      <w:tr w:rsidR="006C5C65" w:rsidRPr="0098080C" w14:paraId="5E4B35D1" w14:textId="77777777">
        <w:trPr>
          <w:trHeight w:val="357"/>
          <w:tblHeader/>
        </w:trPr>
        <w:tc>
          <w:tcPr>
            <w:tcW w:w="38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D87866"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Systemorganklasse</w:t>
            </w:r>
          </w:p>
        </w:tc>
        <w:tc>
          <w:tcPr>
            <w:tcW w:w="172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8FD784"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Bilastin</w:t>
            </w:r>
          </w:p>
          <w:p w14:paraId="2E4BC376"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20 mg</w:t>
            </w:r>
          </w:p>
          <w:p w14:paraId="2B965DE9"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N = 1697</w:t>
            </w:r>
          </w:p>
        </w:tc>
        <w:tc>
          <w:tcPr>
            <w:tcW w:w="172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9D7788"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Alle bilastindoser</w:t>
            </w:r>
          </w:p>
          <w:p w14:paraId="2DFF659D"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N = 2525</w:t>
            </w:r>
          </w:p>
        </w:tc>
        <w:tc>
          <w:tcPr>
            <w:tcW w:w="171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E9FD45"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Placebo</w:t>
            </w:r>
          </w:p>
          <w:p w14:paraId="60A6139C"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N = 1362</w:t>
            </w:r>
          </w:p>
        </w:tc>
      </w:tr>
      <w:tr w:rsidR="006C5C65" w:rsidRPr="0098080C" w14:paraId="046A27E6" w14:textId="77777777">
        <w:trPr>
          <w:trHeight w:val="357"/>
          <w:tblHeader/>
        </w:trPr>
        <w:tc>
          <w:tcPr>
            <w:tcW w:w="169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5C6D38"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Hyppighed</w:t>
            </w:r>
          </w:p>
        </w:tc>
        <w:tc>
          <w:tcPr>
            <w:tcW w:w="219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D6AC1A"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Bivirkning</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95221C" w14:textId="77777777" w:rsidR="006C5C65" w:rsidRPr="0098080C" w:rsidRDefault="006C5C65" w:rsidP="0098080C">
            <w:pPr>
              <w:jc w:val="left"/>
              <w:rPr>
                <w:rFonts w:ascii="Times New Roman" w:hAnsi="Times New Roman" w:cs="Times New Roman"/>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A5CA6" w14:textId="77777777" w:rsidR="006C5C65" w:rsidRPr="0098080C" w:rsidRDefault="006C5C65" w:rsidP="0098080C">
            <w:pPr>
              <w:jc w:val="left"/>
              <w:rPr>
                <w:rFonts w:ascii="Times New Roman" w:hAnsi="Times New Roman" w:cs="Times New Roman"/>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102EE" w14:textId="77777777" w:rsidR="006C5C65" w:rsidRPr="0098080C" w:rsidRDefault="006C5C65" w:rsidP="0098080C">
            <w:pPr>
              <w:jc w:val="left"/>
              <w:rPr>
                <w:rFonts w:ascii="Times New Roman" w:hAnsi="Times New Roman" w:cs="Times New Roman"/>
                <w:b/>
                <w:bCs/>
                <w:sz w:val="22"/>
              </w:rPr>
            </w:pPr>
          </w:p>
        </w:tc>
      </w:tr>
      <w:tr w:rsidR="006C5C65" w:rsidRPr="0098080C" w14:paraId="6D73A305"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7789684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Infektioner og parasitære sygdomme</w:t>
            </w:r>
          </w:p>
        </w:tc>
      </w:tr>
      <w:tr w:rsidR="006C5C65" w:rsidRPr="0098080C" w14:paraId="781EE27A" w14:textId="77777777">
        <w:tc>
          <w:tcPr>
            <w:tcW w:w="1758" w:type="dxa"/>
            <w:gridSpan w:val="2"/>
            <w:tcBorders>
              <w:top w:val="single" w:sz="4" w:space="0" w:color="auto"/>
              <w:left w:val="single" w:sz="4" w:space="0" w:color="auto"/>
              <w:bottom w:val="single" w:sz="4" w:space="0" w:color="auto"/>
              <w:right w:val="single" w:sz="4" w:space="0" w:color="auto"/>
            </w:tcBorders>
            <w:hideMark/>
          </w:tcPr>
          <w:p w14:paraId="0841EEA1"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646C5B0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Oral herpes</w:t>
            </w:r>
          </w:p>
        </w:tc>
        <w:tc>
          <w:tcPr>
            <w:tcW w:w="1721" w:type="dxa"/>
            <w:tcBorders>
              <w:top w:val="single" w:sz="4" w:space="0" w:color="auto"/>
              <w:left w:val="single" w:sz="4" w:space="0" w:color="auto"/>
              <w:bottom w:val="single" w:sz="4" w:space="0" w:color="auto"/>
              <w:right w:val="single" w:sz="4" w:space="0" w:color="auto"/>
            </w:tcBorders>
            <w:hideMark/>
          </w:tcPr>
          <w:p w14:paraId="2BEDBCE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5A7549E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60A013A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662139E0" w14:textId="77777777">
        <w:tc>
          <w:tcPr>
            <w:tcW w:w="7337" w:type="dxa"/>
            <w:gridSpan w:val="5"/>
            <w:tcBorders>
              <w:top w:val="single" w:sz="4" w:space="0" w:color="auto"/>
              <w:left w:val="single" w:sz="4" w:space="0" w:color="auto"/>
              <w:bottom w:val="single" w:sz="4" w:space="0" w:color="auto"/>
              <w:right w:val="single" w:sz="4" w:space="0" w:color="auto"/>
            </w:tcBorders>
            <w:hideMark/>
          </w:tcPr>
          <w:p w14:paraId="53E36957"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Metabolisme og ernæring</w:t>
            </w:r>
          </w:p>
        </w:tc>
        <w:tc>
          <w:tcPr>
            <w:tcW w:w="1718" w:type="dxa"/>
            <w:tcBorders>
              <w:top w:val="single" w:sz="4" w:space="0" w:color="auto"/>
              <w:left w:val="single" w:sz="4" w:space="0" w:color="auto"/>
              <w:bottom w:val="single" w:sz="4" w:space="0" w:color="auto"/>
              <w:right w:val="single" w:sz="4" w:space="0" w:color="auto"/>
            </w:tcBorders>
          </w:tcPr>
          <w:p w14:paraId="564D14BB" w14:textId="77777777" w:rsidR="006C5C65" w:rsidRPr="0098080C" w:rsidRDefault="006C5C65" w:rsidP="0098080C">
            <w:pPr>
              <w:spacing w:before="60" w:after="60"/>
              <w:jc w:val="left"/>
              <w:rPr>
                <w:rFonts w:ascii="Times New Roman" w:hAnsi="Times New Roman" w:cs="Times New Roman"/>
                <w:sz w:val="22"/>
              </w:rPr>
            </w:pPr>
          </w:p>
        </w:tc>
      </w:tr>
      <w:tr w:rsidR="006C5C65" w:rsidRPr="0098080C" w14:paraId="44E7D425" w14:textId="77777777">
        <w:tc>
          <w:tcPr>
            <w:tcW w:w="1758" w:type="dxa"/>
            <w:gridSpan w:val="2"/>
            <w:tcBorders>
              <w:top w:val="single" w:sz="4" w:space="0" w:color="auto"/>
              <w:left w:val="single" w:sz="4" w:space="0" w:color="auto"/>
              <w:bottom w:val="single" w:sz="4" w:space="0" w:color="auto"/>
              <w:right w:val="single" w:sz="4" w:space="0" w:color="auto"/>
            </w:tcBorders>
            <w:hideMark/>
          </w:tcPr>
          <w:p w14:paraId="23B62E74"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1F20D715"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Øget appetit</w:t>
            </w:r>
          </w:p>
        </w:tc>
        <w:tc>
          <w:tcPr>
            <w:tcW w:w="1721" w:type="dxa"/>
            <w:tcBorders>
              <w:top w:val="single" w:sz="4" w:space="0" w:color="auto"/>
              <w:left w:val="single" w:sz="4" w:space="0" w:color="auto"/>
              <w:bottom w:val="single" w:sz="4" w:space="0" w:color="auto"/>
              <w:right w:val="single" w:sz="4" w:space="0" w:color="auto"/>
            </w:tcBorders>
            <w:hideMark/>
          </w:tcPr>
          <w:p w14:paraId="49E80A4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10 (0,59 %)</w:t>
            </w:r>
          </w:p>
        </w:tc>
        <w:tc>
          <w:tcPr>
            <w:tcW w:w="1722" w:type="dxa"/>
            <w:tcBorders>
              <w:top w:val="single" w:sz="4" w:space="0" w:color="auto"/>
              <w:left w:val="single" w:sz="4" w:space="0" w:color="auto"/>
              <w:bottom w:val="single" w:sz="4" w:space="0" w:color="auto"/>
              <w:right w:val="single" w:sz="4" w:space="0" w:color="auto"/>
            </w:tcBorders>
            <w:hideMark/>
          </w:tcPr>
          <w:p w14:paraId="65DF5B3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11 (0,44 %)</w:t>
            </w:r>
          </w:p>
        </w:tc>
        <w:tc>
          <w:tcPr>
            <w:tcW w:w="1718" w:type="dxa"/>
            <w:tcBorders>
              <w:top w:val="single" w:sz="4" w:space="0" w:color="auto"/>
              <w:left w:val="single" w:sz="4" w:space="0" w:color="auto"/>
              <w:bottom w:val="single" w:sz="4" w:space="0" w:color="auto"/>
              <w:right w:val="single" w:sz="4" w:space="0" w:color="auto"/>
            </w:tcBorders>
            <w:hideMark/>
          </w:tcPr>
          <w:p w14:paraId="44BA94B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7 (0,51 %)</w:t>
            </w:r>
          </w:p>
        </w:tc>
      </w:tr>
      <w:tr w:rsidR="006C5C65" w:rsidRPr="0098080C" w14:paraId="1BF4224F"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0CC27AF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Psykiske forstyrrelser</w:t>
            </w:r>
          </w:p>
        </w:tc>
      </w:tr>
      <w:tr w:rsidR="006C5C65" w:rsidRPr="0098080C" w14:paraId="42D931E8"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7FD4FC99"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28EB79D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Angst</w:t>
            </w:r>
          </w:p>
        </w:tc>
        <w:tc>
          <w:tcPr>
            <w:tcW w:w="1721" w:type="dxa"/>
            <w:tcBorders>
              <w:top w:val="single" w:sz="4" w:space="0" w:color="auto"/>
              <w:left w:val="single" w:sz="4" w:space="0" w:color="auto"/>
              <w:bottom w:val="single" w:sz="4" w:space="0" w:color="auto"/>
              <w:right w:val="single" w:sz="4" w:space="0" w:color="auto"/>
            </w:tcBorders>
            <w:hideMark/>
          </w:tcPr>
          <w:p w14:paraId="6CAEC58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 (0,35 %)</w:t>
            </w:r>
          </w:p>
        </w:tc>
        <w:tc>
          <w:tcPr>
            <w:tcW w:w="1722" w:type="dxa"/>
            <w:tcBorders>
              <w:top w:val="single" w:sz="4" w:space="0" w:color="auto"/>
              <w:left w:val="single" w:sz="4" w:space="0" w:color="auto"/>
              <w:bottom w:val="single" w:sz="4" w:space="0" w:color="auto"/>
              <w:right w:val="single" w:sz="4" w:space="0" w:color="auto"/>
            </w:tcBorders>
            <w:hideMark/>
          </w:tcPr>
          <w:p w14:paraId="07DDFA9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8 (0,32 %)</w:t>
            </w:r>
          </w:p>
        </w:tc>
        <w:tc>
          <w:tcPr>
            <w:tcW w:w="1718" w:type="dxa"/>
            <w:tcBorders>
              <w:top w:val="single" w:sz="4" w:space="0" w:color="auto"/>
              <w:left w:val="single" w:sz="4" w:space="0" w:color="auto"/>
              <w:bottom w:val="single" w:sz="4" w:space="0" w:color="auto"/>
              <w:right w:val="single" w:sz="4" w:space="0" w:color="auto"/>
            </w:tcBorders>
            <w:hideMark/>
          </w:tcPr>
          <w:p w14:paraId="69E2F4E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3C3260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5C66C7"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vAlign w:val="center"/>
            <w:hideMark/>
          </w:tcPr>
          <w:p w14:paraId="70DF9D6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Søvnløshed</w:t>
            </w:r>
          </w:p>
        </w:tc>
        <w:tc>
          <w:tcPr>
            <w:tcW w:w="1721" w:type="dxa"/>
            <w:tcBorders>
              <w:top w:val="single" w:sz="4" w:space="0" w:color="auto"/>
              <w:left w:val="single" w:sz="4" w:space="0" w:color="auto"/>
              <w:bottom w:val="single" w:sz="4" w:space="0" w:color="auto"/>
              <w:right w:val="single" w:sz="4" w:space="0" w:color="auto"/>
            </w:tcBorders>
            <w:hideMark/>
          </w:tcPr>
          <w:p w14:paraId="4DA78D8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2FEE5F85"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66D3507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272731C8"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00967585"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Nervesystemet</w:t>
            </w:r>
          </w:p>
        </w:tc>
      </w:tr>
      <w:tr w:rsidR="006C5C65" w:rsidRPr="0098080C" w14:paraId="440CEFE8"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25AD7D8E"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Almindelig</w:t>
            </w:r>
          </w:p>
        </w:tc>
        <w:tc>
          <w:tcPr>
            <w:tcW w:w="2136" w:type="dxa"/>
            <w:tcBorders>
              <w:top w:val="single" w:sz="4" w:space="0" w:color="auto"/>
              <w:left w:val="single" w:sz="4" w:space="0" w:color="auto"/>
              <w:bottom w:val="single" w:sz="4" w:space="0" w:color="auto"/>
              <w:right w:val="single" w:sz="4" w:space="0" w:color="auto"/>
            </w:tcBorders>
            <w:hideMark/>
          </w:tcPr>
          <w:p w14:paraId="0BB682E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Somnolens</w:t>
            </w:r>
          </w:p>
        </w:tc>
        <w:tc>
          <w:tcPr>
            <w:tcW w:w="1721" w:type="dxa"/>
            <w:tcBorders>
              <w:top w:val="single" w:sz="4" w:space="0" w:color="auto"/>
              <w:left w:val="single" w:sz="4" w:space="0" w:color="auto"/>
              <w:bottom w:val="single" w:sz="4" w:space="0" w:color="auto"/>
              <w:right w:val="single" w:sz="4" w:space="0" w:color="auto"/>
            </w:tcBorders>
            <w:hideMark/>
          </w:tcPr>
          <w:p w14:paraId="73C8664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52 (3,06 %)</w:t>
            </w:r>
          </w:p>
        </w:tc>
        <w:tc>
          <w:tcPr>
            <w:tcW w:w="1722" w:type="dxa"/>
            <w:tcBorders>
              <w:top w:val="single" w:sz="4" w:space="0" w:color="auto"/>
              <w:left w:val="single" w:sz="4" w:space="0" w:color="auto"/>
              <w:bottom w:val="single" w:sz="4" w:space="0" w:color="auto"/>
              <w:right w:val="single" w:sz="4" w:space="0" w:color="auto"/>
            </w:tcBorders>
            <w:hideMark/>
          </w:tcPr>
          <w:p w14:paraId="6A08237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82 (3,25 %)</w:t>
            </w:r>
          </w:p>
        </w:tc>
        <w:tc>
          <w:tcPr>
            <w:tcW w:w="1718" w:type="dxa"/>
            <w:tcBorders>
              <w:top w:val="single" w:sz="4" w:space="0" w:color="auto"/>
              <w:left w:val="single" w:sz="4" w:space="0" w:color="auto"/>
              <w:bottom w:val="single" w:sz="4" w:space="0" w:color="auto"/>
              <w:right w:val="single" w:sz="4" w:space="0" w:color="auto"/>
            </w:tcBorders>
            <w:hideMark/>
          </w:tcPr>
          <w:p w14:paraId="55449B7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39 (2,86 %)</w:t>
            </w:r>
          </w:p>
        </w:tc>
      </w:tr>
      <w:tr w:rsidR="006C5C65" w:rsidRPr="0098080C" w14:paraId="588E9AE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5C82A7"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5B0D25A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Hovedpine</w:t>
            </w:r>
          </w:p>
        </w:tc>
        <w:tc>
          <w:tcPr>
            <w:tcW w:w="1721" w:type="dxa"/>
            <w:tcBorders>
              <w:top w:val="single" w:sz="4" w:space="0" w:color="auto"/>
              <w:left w:val="single" w:sz="4" w:space="0" w:color="auto"/>
              <w:bottom w:val="single" w:sz="4" w:space="0" w:color="auto"/>
              <w:right w:val="single" w:sz="4" w:space="0" w:color="auto"/>
            </w:tcBorders>
            <w:hideMark/>
          </w:tcPr>
          <w:p w14:paraId="226B0BA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68 (4,01 %)</w:t>
            </w:r>
          </w:p>
        </w:tc>
        <w:tc>
          <w:tcPr>
            <w:tcW w:w="1722" w:type="dxa"/>
            <w:tcBorders>
              <w:top w:val="single" w:sz="4" w:space="0" w:color="auto"/>
              <w:left w:val="single" w:sz="4" w:space="0" w:color="auto"/>
              <w:bottom w:val="single" w:sz="4" w:space="0" w:color="auto"/>
              <w:right w:val="single" w:sz="4" w:space="0" w:color="auto"/>
            </w:tcBorders>
            <w:hideMark/>
          </w:tcPr>
          <w:p w14:paraId="7FA9F8A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90 (3,56 %)</w:t>
            </w:r>
          </w:p>
        </w:tc>
        <w:tc>
          <w:tcPr>
            <w:tcW w:w="1718" w:type="dxa"/>
            <w:tcBorders>
              <w:top w:val="single" w:sz="4" w:space="0" w:color="auto"/>
              <w:left w:val="single" w:sz="4" w:space="0" w:color="auto"/>
              <w:bottom w:val="single" w:sz="4" w:space="0" w:color="auto"/>
              <w:right w:val="single" w:sz="4" w:space="0" w:color="auto"/>
            </w:tcBorders>
            <w:hideMark/>
          </w:tcPr>
          <w:p w14:paraId="36B4FE5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46 (3,38 %)</w:t>
            </w:r>
          </w:p>
        </w:tc>
      </w:tr>
      <w:tr w:rsidR="006C5C65" w:rsidRPr="0098080C" w14:paraId="1FA06E6E" w14:textId="77777777">
        <w:tc>
          <w:tcPr>
            <w:tcW w:w="1758" w:type="dxa"/>
            <w:gridSpan w:val="2"/>
            <w:tcBorders>
              <w:top w:val="single" w:sz="4" w:space="0" w:color="auto"/>
              <w:left w:val="single" w:sz="4" w:space="0" w:color="auto"/>
              <w:bottom w:val="single" w:sz="4" w:space="0" w:color="auto"/>
              <w:right w:val="single" w:sz="4" w:space="0" w:color="auto"/>
            </w:tcBorders>
            <w:hideMark/>
          </w:tcPr>
          <w:p w14:paraId="71D8C849"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 xml:space="preserve">Ikke almindelig </w:t>
            </w:r>
          </w:p>
        </w:tc>
        <w:tc>
          <w:tcPr>
            <w:tcW w:w="2136" w:type="dxa"/>
            <w:tcBorders>
              <w:top w:val="single" w:sz="4" w:space="0" w:color="auto"/>
              <w:left w:val="single" w:sz="4" w:space="0" w:color="auto"/>
              <w:bottom w:val="single" w:sz="4" w:space="0" w:color="auto"/>
              <w:right w:val="single" w:sz="4" w:space="0" w:color="auto"/>
            </w:tcBorders>
            <w:hideMark/>
          </w:tcPr>
          <w:p w14:paraId="24887FD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Svimmelhed</w:t>
            </w:r>
          </w:p>
        </w:tc>
        <w:tc>
          <w:tcPr>
            <w:tcW w:w="1721" w:type="dxa"/>
            <w:tcBorders>
              <w:top w:val="single" w:sz="4" w:space="0" w:color="auto"/>
              <w:left w:val="single" w:sz="4" w:space="0" w:color="auto"/>
              <w:bottom w:val="single" w:sz="4" w:space="0" w:color="auto"/>
              <w:right w:val="single" w:sz="4" w:space="0" w:color="auto"/>
            </w:tcBorders>
            <w:hideMark/>
          </w:tcPr>
          <w:p w14:paraId="239D6DE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14 (0,83 %)</w:t>
            </w:r>
          </w:p>
        </w:tc>
        <w:tc>
          <w:tcPr>
            <w:tcW w:w="1722" w:type="dxa"/>
            <w:tcBorders>
              <w:top w:val="single" w:sz="4" w:space="0" w:color="auto"/>
              <w:left w:val="single" w:sz="4" w:space="0" w:color="auto"/>
              <w:bottom w:val="single" w:sz="4" w:space="0" w:color="auto"/>
              <w:right w:val="single" w:sz="4" w:space="0" w:color="auto"/>
            </w:tcBorders>
            <w:hideMark/>
          </w:tcPr>
          <w:p w14:paraId="698D974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23 (0,91 %)</w:t>
            </w:r>
          </w:p>
        </w:tc>
        <w:tc>
          <w:tcPr>
            <w:tcW w:w="1718" w:type="dxa"/>
            <w:tcBorders>
              <w:top w:val="single" w:sz="4" w:space="0" w:color="auto"/>
              <w:left w:val="single" w:sz="4" w:space="0" w:color="auto"/>
              <w:bottom w:val="single" w:sz="4" w:space="0" w:color="auto"/>
              <w:right w:val="single" w:sz="4" w:space="0" w:color="auto"/>
            </w:tcBorders>
            <w:hideMark/>
          </w:tcPr>
          <w:p w14:paraId="77F225C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8 (0,59 %)</w:t>
            </w:r>
          </w:p>
        </w:tc>
      </w:tr>
      <w:tr w:rsidR="006C5C65" w:rsidRPr="0098080C" w14:paraId="26DA51F1"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68B946B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Øre og labyrint</w:t>
            </w:r>
          </w:p>
        </w:tc>
      </w:tr>
      <w:tr w:rsidR="006C5C65" w:rsidRPr="0098080C" w14:paraId="6ADDD074"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20864945"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5AB590D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Tinnitus</w:t>
            </w:r>
          </w:p>
        </w:tc>
        <w:tc>
          <w:tcPr>
            <w:tcW w:w="1721" w:type="dxa"/>
            <w:tcBorders>
              <w:top w:val="single" w:sz="4" w:space="0" w:color="auto"/>
              <w:left w:val="single" w:sz="4" w:space="0" w:color="auto"/>
              <w:bottom w:val="single" w:sz="4" w:space="0" w:color="auto"/>
              <w:right w:val="single" w:sz="4" w:space="0" w:color="auto"/>
            </w:tcBorders>
            <w:hideMark/>
          </w:tcPr>
          <w:p w14:paraId="028176F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3BBDE82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7F7FF4C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03368EA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92D678"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4E3A9BD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Vertigo</w:t>
            </w:r>
          </w:p>
        </w:tc>
        <w:tc>
          <w:tcPr>
            <w:tcW w:w="1721" w:type="dxa"/>
            <w:tcBorders>
              <w:top w:val="single" w:sz="4" w:space="0" w:color="auto"/>
              <w:left w:val="single" w:sz="4" w:space="0" w:color="auto"/>
              <w:bottom w:val="single" w:sz="4" w:space="0" w:color="auto"/>
              <w:right w:val="single" w:sz="4" w:space="0" w:color="auto"/>
            </w:tcBorders>
            <w:hideMark/>
          </w:tcPr>
          <w:p w14:paraId="3978CC8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6A4A95C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(0,12 %)</w:t>
            </w:r>
          </w:p>
        </w:tc>
        <w:tc>
          <w:tcPr>
            <w:tcW w:w="1718" w:type="dxa"/>
            <w:tcBorders>
              <w:top w:val="single" w:sz="4" w:space="0" w:color="auto"/>
              <w:left w:val="single" w:sz="4" w:space="0" w:color="auto"/>
              <w:bottom w:val="single" w:sz="4" w:space="0" w:color="auto"/>
              <w:right w:val="single" w:sz="4" w:space="0" w:color="auto"/>
            </w:tcBorders>
            <w:hideMark/>
          </w:tcPr>
          <w:p w14:paraId="4A60EB7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4D14AF63"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5F0B3C4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Hjerte</w:t>
            </w:r>
          </w:p>
        </w:tc>
      </w:tr>
      <w:tr w:rsidR="006C5C65" w:rsidRPr="0098080C" w14:paraId="30C7D0FD"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2D9944E7"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BF526E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Højresidig grenblok</w:t>
            </w:r>
          </w:p>
        </w:tc>
        <w:tc>
          <w:tcPr>
            <w:tcW w:w="1721" w:type="dxa"/>
            <w:tcBorders>
              <w:top w:val="single" w:sz="4" w:space="0" w:color="auto"/>
              <w:left w:val="single" w:sz="4" w:space="0" w:color="auto"/>
              <w:bottom w:val="single" w:sz="4" w:space="0" w:color="auto"/>
              <w:right w:val="single" w:sz="4" w:space="0" w:color="auto"/>
            </w:tcBorders>
            <w:hideMark/>
          </w:tcPr>
          <w:p w14:paraId="36E1AB8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(0,24 %)</w:t>
            </w:r>
          </w:p>
        </w:tc>
        <w:tc>
          <w:tcPr>
            <w:tcW w:w="1722" w:type="dxa"/>
            <w:tcBorders>
              <w:top w:val="single" w:sz="4" w:space="0" w:color="auto"/>
              <w:left w:val="single" w:sz="4" w:space="0" w:color="auto"/>
              <w:bottom w:val="single" w:sz="4" w:space="0" w:color="auto"/>
              <w:right w:val="single" w:sz="4" w:space="0" w:color="auto"/>
            </w:tcBorders>
            <w:hideMark/>
          </w:tcPr>
          <w:p w14:paraId="0A7F3F6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(0,20 %)</w:t>
            </w:r>
          </w:p>
        </w:tc>
        <w:tc>
          <w:tcPr>
            <w:tcW w:w="1718" w:type="dxa"/>
            <w:tcBorders>
              <w:top w:val="single" w:sz="4" w:space="0" w:color="auto"/>
              <w:left w:val="single" w:sz="4" w:space="0" w:color="auto"/>
              <w:bottom w:val="single" w:sz="4" w:space="0" w:color="auto"/>
              <w:right w:val="single" w:sz="4" w:space="0" w:color="auto"/>
            </w:tcBorders>
            <w:hideMark/>
          </w:tcPr>
          <w:p w14:paraId="4EAF291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(0,22 %)</w:t>
            </w:r>
          </w:p>
        </w:tc>
      </w:tr>
      <w:tr w:rsidR="006C5C65" w:rsidRPr="0098080C" w14:paraId="2D8B000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A942E3"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0477FB8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Sinusarytmi</w:t>
            </w:r>
          </w:p>
        </w:tc>
        <w:tc>
          <w:tcPr>
            <w:tcW w:w="1721" w:type="dxa"/>
            <w:tcBorders>
              <w:top w:val="single" w:sz="4" w:space="0" w:color="auto"/>
              <w:left w:val="single" w:sz="4" w:space="0" w:color="auto"/>
              <w:bottom w:val="single" w:sz="4" w:space="0" w:color="auto"/>
              <w:right w:val="single" w:sz="4" w:space="0" w:color="auto"/>
            </w:tcBorders>
            <w:hideMark/>
          </w:tcPr>
          <w:p w14:paraId="09F8FD4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(0,30 %)</w:t>
            </w:r>
          </w:p>
        </w:tc>
        <w:tc>
          <w:tcPr>
            <w:tcW w:w="1722" w:type="dxa"/>
            <w:tcBorders>
              <w:top w:val="single" w:sz="4" w:space="0" w:color="auto"/>
              <w:left w:val="single" w:sz="4" w:space="0" w:color="auto"/>
              <w:bottom w:val="single" w:sz="4" w:space="0" w:color="auto"/>
              <w:right w:val="single" w:sz="4" w:space="0" w:color="auto"/>
            </w:tcBorders>
            <w:hideMark/>
          </w:tcPr>
          <w:p w14:paraId="301A409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(0,20 %)</w:t>
            </w:r>
          </w:p>
        </w:tc>
        <w:tc>
          <w:tcPr>
            <w:tcW w:w="1718" w:type="dxa"/>
            <w:tcBorders>
              <w:top w:val="single" w:sz="4" w:space="0" w:color="auto"/>
              <w:left w:val="single" w:sz="4" w:space="0" w:color="auto"/>
              <w:bottom w:val="single" w:sz="4" w:space="0" w:color="auto"/>
              <w:right w:val="single" w:sz="4" w:space="0" w:color="auto"/>
            </w:tcBorders>
            <w:hideMark/>
          </w:tcPr>
          <w:p w14:paraId="7A2D0E5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 (0,07 %)</w:t>
            </w:r>
          </w:p>
        </w:tc>
      </w:tr>
      <w:tr w:rsidR="006C5C65" w:rsidRPr="0098080C" w14:paraId="515AC801"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8C2AC3"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4451531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QT-forlængelse på elektrokardiogram*</w:t>
            </w:r>
          </w:p>
        </w:tc>
        <w:tc>
          <w:tcPr>
            <w:tcW w:w="1721" w:type="dxa"/>
            <w:tcBorders>
              <w:top w:val="single" w:sz="4" w:space="0" w:color="auto"/>
              <w:left w:val="single" w:sz="4" w:space="0" w:color="auto"/>
              <w:bottom w:val="single" w:sz="4" w:space="0" w:color="auto"/>
              <w:right w:val="single" w:sz="4" w:space="0" w:color="auto"/>
            </w:tcBorders>
            <w:hideMark/>
          </w:tcPr>
          <w:p w14:paraId="7EEE0B9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9 (0,53 %)</w:t>
            </w:r>
          </w:p>
        </w:tc>
        <w:tc>
          <w:tcPr>
            <w:tcW w:w="1722" w:type="dxa"/>
            <w:tcBorders>
              <w:top w:val="single" w:sz="4" w:space="0" w:color="auto"/>
              <w:left w:val="single" w:sz="4" w:space="0" w:color="auto"/>
              <w:bottom w:val="single" w:sz="4" w:space="0" w:color="auto"/>
              <w:right w:val="single" w:sz="4" w:space="0" w:color="auto"/>
            </w:tcBorders>
            <w:hideMark/>
          </w:tcPr>
          <w:p w14:paraId="0D3FCFC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10 (0,40 %)</w:t>
            </w:r>
          </w:p>
        </w:tc>
        <w:tc>
          <w:tcPr>
            <w:tcW w:w="1718" w:type="dxa"/>
            <w:tcBorders>
              <w:top w:val="single" w:sz="4" w:space="0" w:color="auto"/>
              <w:left w:val="single" w:sz="4" w:space="0" w:color="auto"/>
              <w:bottom w:val="single" w:sz="4" w:space="0" w:color="auto"/>
              <w:right w:val="single" w:sz="4" w:space="0" w:color="auto"/>
            </w:tcBorders>
            <w:hideMark/>
          </w:tcPr>
          <w:p w14:paraId="64133EBD"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(0,37 %)</w:t>
            </w:r>
          </w:p>
        </w:tc>
      </w:tr>
      <w:tr w:rsidR="006C5C65" w:rsidRPr="0098080C" w14:paraId="75C04CF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B7A50F"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7A43E9F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Andre anomalier på EKG</w:t>
            </w:r>
          </w:p>
        </w:tc>
        <w:tc>
          <w:tcPr>
            <w:tcW w:w="1721" w:type="dxa"/>
            <w:tcBorders>
              <w:top w:val="single" w:sz="4" w:space="0" w:color="auto"/>
              <w:left w:val="single" w:sz="4" w:space="0" w:color="auto"/>
              <w:bottom w:val="single" w:sz="4" w:space="0" w:color="auto"/>
              <w:right w:val="single" w:sz="4" w:space="0" w:color="auto"/>
            </w:tcBorders>
            <w:hideMark/>
          </w:tcPr>
          <w:p w14:paraId="1A74A24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7 (0,41 %)</w:t>
            </w:r>
          </w:p>
        </w:tc>
        <w:tc>
          <w:tcPr>
            <w:tcW w:w="1722" w:type="dxa"/>
            <w:tcBorders>
              <w:top w:val="single" w:sz="4" w:space="0" w:color="auto"/>
              <w:left w:val="single" w:sz="4" w:space="0" w:color="auto"/>
              <w:bottom w:val="single" w:sz="4" w:space="0" w:color="auto"/>
              <w:right w:val="single" w:sz="4" w:space="0" w:color="auto"/>
            </w:tcBorders>
            <w:hideMark/>
          </w:tcPr>
          <w:p w14:paraId="0782FC2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11 (0,44 %)</w:t>
            </w:r>
          </w:p>
        </w:tc>
        <w:tc>
          <w:tcPr>
            <w:tcW w:w="1718" w:type="dxa"/>
            <w:tcBorders>
              <w:top w:val="single" w:sz="4" w:space="0" w:color="auto"/>
              <w:left w:val="single" w:sz="4" w:space="0" w:color="auto"/>
              <w:bottom w:val="single" w:sz="4" w:space="0" w:color="auto"/>
              <w:right w:val="single" w:sz="4" w:space="0" w:color="auto"/>
            </w:tcBorders>
            <w:hideMark/>
          </w:tcPr>
          <w:p w14:paraId="4711178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(0,15 %)</w:t>
            </w:r>
          </w:p>
        </w:tc>
      </w:tr>
      <w:tr w:rsidR="006C5C65" w:rsidRPr="0098080C" w14:paraId="03F77E46"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6D557F0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Luftveje, thorax og mediastinum</w:t>
            </w:r>
          </w:p>
        </w:tc>
      </w:tr>
      <w:tr w:rsidR="006C5C65" w:rsidRPr="0098080C" w14:paraId="0D55C6AE"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48B3FC9A"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3BEE6A2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Dyspnø</w:t>
            </w:r>
          </w:p>
        </w:tc>
        <w:tc>
          <w:tcPr>
            <w:tcW w:w="1721" w:type="dxa"/>
            <w:tcBorders>
              <w:top w:val="single" w:sz="4" w:space="0" w:color="auto"/>
              <w:left w:val="single" w:sz="4" w:space="0" w:color="auto"/>
              <w:bottom w:val="single" w:sz="4" w:space="0" w:color="auto"/>
              <w:right w:val="single" w:sz="4" w:space="0" w:color="auto"/>
            </w:tcBorders>
            <w:hideMark/>
          </w:tcPr>
          <w:p w14:paraId="446A20B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36761D8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6C582A25"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D45E4C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B3B0CB"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3E921C5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Ubehag i næsehulen</w:t>
            </w:r>
          </w:p>
        </w:tc>
        <w:tc>
          <w:tcPr>
            <w:tcW w:w="1721" w:type="dxa"/>
            <w:tcBorders>
              <w:top w:val="single" w:sz="4" w:space="0" w:color="auto"/>
              <w:left w:val="single" w:sz="4" w:space="0" w:color="auto"/>
              <w:bottom w:val="single" w:sz="4" w:space="0" w:color="auto"/>
              <w:right w:val="single" w:sz="4" w:space="0" w:color="auto"/>
            </w:tcBorders>
            <w:hideMark/>
          </w:tcPr>
          <w:p w14:paraId="0655D8C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2668F87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2411E33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2E36E62F"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67A566"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6C412FD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Næsetørhed</w:t>
            </w:r>
          </w:p>
        </w:tc>
        <w:tc>
          <w:tcPr>
            <w:tcW w:w="1721" w:type="dxa"/>
            <w:tcBorders>
              <w:top w:val="single" w:sz="4" w:space="0" w:color="auto"/>
              <w:left w:val="single" w:sz="4" w:space="0" w:color="auto"/>
              <w:bottom w:val="single" w:sz="4" w:space="0" w:color="auto"/>
              <w:right w:val="single" w:sz="4" w:space="0" w:color="auto"/>
            </w:tcBorders>
            <w:hideMark/>
          </w:tcPr>
          <w:p w14:paraId="1BD539A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5E1085F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 (0.24 %)</w:t>
            </w:r>
          </w:p>
        </w:tc>
        <w:tc>
          <w:tcPr>
            <w:tcW w:w="1718" w:type="dxa"/>
            <w:tcBorders>
              <w:top w:val="single" w:sz="4" w:space="0" w:color="auto"/>
              <w:left w:val="single" w:sz="4" w:space="0" w:color="auto"/>
              <w:bottom w:val="single" w:sz="4" w:space="0" w:color="auto"/>
              <w:right w:val="single" w:sz="4" w:space="0" w:color="auto"/>
            </w:tcBorders>
            <w:hideMark/>
          </w:tcPr>
          <w:p w14:paraId="3AF0429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(0,29 %)</w:t>
            </w:r>
          </w:p>
        </w:tc>
      </w:tr>
      <w:tr w:rsidR="006C5C65" w:rsidRPr="0098080C" w14:paraId="4C2DDA97"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0B29585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Mave-tarm-kanalen</w:t>
            </w:r>
          </w:p>
        </w:tc>
      </w:tr>
      <w:tr w:rsidR="006C5C65" w:rsidRPr="0098080C" w14:paraId="6712E4C5"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1627B16B"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vAlign w:val="center"/>
            <w:hideMark/>
          </w:tcPr>
          <w:p w14:paraId="0BCE123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Smerter i øvre abdomen</w:t>
            </w:r>
          </w:p>
        </w:tc>
        <w:tc>
          <w:tcPr>
            <w:tcW w:w="1721" w:type="dxa"/>
            <w:tcBorders>
              <w:top w:val="single" w:sz="4" w:space="0" w:color="auto"/>
              <w:left w:val="single" w:sz="4" w:space="0" w:color="auto"/>
              <w:bottom w:val="single" w:sz="4" w:space="0" w:color="auto"/>
              <w:right w:val="single" w:sz="4" w:space="0" w:color="auto"/>
            </w:tcBorders>
            <w:hideMark/>
          </w:tcPr>
          <w:p w14:paraId="7B9C9DBD"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11 (0,65 %)</w:t>
            </w:r>
          </w:p>
        </w:tc>
        <w:tc>
          <w:tcPr>
            <w:tcW w:w="1722" w:type="dxa"/>
            <w:tcBorders>
              <w:top w:val="single" w:sz="4" w:space="0" w:color="auto"/>
              <w:left w:val="single" w:sz="4" w:space="0" w:color="auto"/>
              <w:bottom w:val="single" w:sz="4" w:space="0" w:color="auto"/>
              <w:right w:val="single" w:sz="4" w:space="0" w:color="auto"/>
            </w:tcBorders>
            <w:hideMark/>
          </w:tcPr>
          <w:p w14:paraId="425C67D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14 (0,55 %)</w:t>
            </w:r>
          </w:p>
        </w:tc>
        <w:tc>
          <w:tcPr>
            <w:tcW w:w="1718" w:type="dxa"/>
            <w:tcBorders>
              <w:top w:val="single" w:sz="4" w:space="0" w:color="auto"/>
              <w:left w:val="single" w:sz="4" w:space="0" w:color="auto"/>
              <w:bottom w:val="single" w:sz="4" w:space="0" w:color="auto"/>
              <w:right w:val="single" w:sz="4" w:space="0" w:color="auto"/>
            </w:tcBorders>
            <w:hideMark/>
          </w:tcPr>
          <w:p w14:paraId="6E08EA5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 (0,44 %)</w:t>
            </w:r>
          </w:p>
        </w:tc>
      </w:tr>
      <w:tr w:rsidR="006C5C65" w:rsidRPr="0098080C" w14:paraId="6063D4CD"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DF3966"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40A9E41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Abdominalsmerter</w:t>
            </w:r>
          </w:p>
        </w:tc>
        <w:tc>
          <w:tcPr>
            <w:tcW w:w="1721" w:type="dxa"/>
            <w:tcBorders>
              <w:top w:val="single" w:sz="4" w:space="0" w:color="auto"/>
              <w:left w:val="single" w:sz="4" w:space="0" w:color="auto"/>
              <w:bottom w:val="single" w:sz="4" w:space="0" w:color="auto"/>
              <w:right w:val="single" w:sz="4" w:space="0" w:color="auto"/>
            </w:tcBorders>
            <w:hideMark/>
          </w:tcPr>
          <w:p w14:paraId="50A0C8C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(0,30 %)</w:t>
            </w:r>
          </w:p>
        </w:tc>
        <w:tc>
          <w:tcPr>
            <w:tcW w:w="1722" w:type="dxa"/>
            <w:tcBorders>
              <w:top w:val="single" w:sz="4" w:space="0" w:color="auto"/>
              <w:left w:val="single" w:sz="4" w:space="0" w:color="auto"/>
              <w:bottom w:val="single" w:sz="4" w:space="0" w:color="auto"/>
              <w:right w:val="single" w:sz="4" w:space="0" w:color="auto"/>
            </w:tcBorders>
            <w:hideMark/>
          </w:tcPr>
          <w:p w14:paraId="43438CD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(0,20 %)</w:t>
            </w:r>
          </w:p>
        </w:tc>
        <w:tc>
          <w:tcPr>
            <w:tcW w:w="1718" w:type="dxa"/>
            <w:tcBorders>
              <w:top w:val="single" w:sz="4" w:space="0" w:color="auto"/>
              <w:left w:val="single" w:sz="4" w:space="0" w:color="auto"/>
              <w:bottom w:val="single" w:sz="4" w:space="0" w:color="auto"/>
              <w:right w:val="single" w:sz="4" w:space="0" w:color="auto"/>
            </w:tcBorders>
            <w:hideMark/>
          </w:tcPr>
          <w:p w14:paraId="117F6C2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(0,29 %)</w:t>
            </w:r>
          </w:p>
        </w:tc>
      </w:tr>
      <w:tr w:rsidR="006C5C65" w:rsidRPr="0098080C" w14:paraId="74FB8AB5"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E799C1"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000286C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Kvalme</w:t>
            </w:r>
          </w:p>
        </w:tc>
        <w:tc>
          <w:tcPr>
            <w:tcW w:w="1721" w:type="dxa"/>
            <w:tcBorders>
              <w:top w:val="single" w:sz="4" w:space="0" w:color="auto"/>
              <w:left w:val="single" w:sz="4" w:space="0" w:color="auto"/>
              <w:bottom w:val="single" w:sz="4" w:space="0" w:color="auto"/>
              <w:right w:val="single" w:sz="4" w:space="0" w:color="auto"/>
            </w:tcBorders>
            <w:hideMark/>
          </w:tcPr>
          <w:p w14:paraId="7BF9A8A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7 (0,41 %)</w:t>
            </w:r>
          </w:p>
        </w:tc>
        <w:tc>
          <w:tcPr>
            <w:tcW w:w="1722" w:type="dxa"/>
            <w:tcBorders>
              <w:top w:val="single" w:sz="4" w:space="0" w:color="auto"/>
              <w:left w:val="single" w:sz="4" w:space="0" w:color="auto"/>
              <w:bottom w:val="single" w:sz="4" w:space="0" w:color="auto"/>
              <w:right w:val="single" w:sz="4" w:space="0" w:color="auto"/>
            </w:tcBorders>
            <w:hideMark/>
          </w:tcPr>
          <w:p w14:paraId="33C8147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10 (0,40 %)</w:t>
            </w:r>
          </w:p>
        </w:tc>
        <w:tc>
          <w:tcPr>
            <w:tcW w:w="1718" w:type="dxa"/>
            <w:tcBorders>
              <w:top w:val="single" w:sz="4" w:space="0" w:color="auto"/>
              <w:left w:val="single" w:sz="4" w:space="0" w:color="auto"/>
              <w:bottom w:val="single" w:sz="4" w:space="0" w:color="auto"/>
              <w:right w:val="single" w:sz="4" w:space="0" w:color="auto"/>
            </w:tcBorders>
            <w:hideMark/>
          </w:tcPr>
          <w:p w14:paraId="1DC6F6E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14 (1,03 %)</w:t>
            </w:r>
          </w:p>
        </w:tc>
      </w:tr>
      <w:tr w:rsidR="006C5C65" w:rsidRPr="0098080C" w14:paraId="1CC0AE8A"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052CD3"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6E958A3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Mavebesvær</w:t>
            </w:r>
          </w:p>
        </w:tc>
        <w:tc>
          <w:tcPr>
            <w:tcW w:w="1721" w:type="dxa"/>
            <w:tcBorders>
              <w:top w:val="single" w:sz="4" w:space="0" w:color="auto"/>
              <w:left w:val="single" w:sz="4" w:space="0" w:color="auto"/>
              <w:bottom w:val="single" w:sz="4" w:space="0" w:color="auto"/>
              <w:right w:val="single" w:sz="4" w:space="0" w:color="auto"/>
            </w:tcBorders>
            <w:hideMark/>
          </w:tcPr>
          <w:p w14:paraId="79E4720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4BF6DE0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58B116B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41C6DF9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F4B1FC"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145CDFD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Diarré</w:t>
            </w:r>
          </w:p>
        </w:tc>
        <w:tc>
          <w:tcPr>
            <w:tcW w:w="1721" w:type="dxa"/>
            <w:tcBorders>
              <w:top w:val="single" w:sz="4" w:space="0" w:color="auto"/>
              <w:left w:val="single" w:sz="4" w:space="0" w:color="auto"/>
              <w:bottom w:val="single" w:sz="4" w:space="0" w:color="auto"/>
              <w:right w:val="single" w:sz="4" w:space="0" w:color="auto"/>
            </w:tcBorders>
            <w:hideMark/>
          </w:tcPr>
          <w:p w14:paraId="4A035BD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(0,24 %)</w:t>
            </w:r>
          </w:p>
        </w:tc>
        <w:tc>
          <w:tcPr>
            <w:tcW w:w="1722" w:type="dxa"/>
            <w:tcBorders>
              <w:top w:val="single" w:sz="4" w:space="0" w:color="auto"/>
              <w:left w:val="single" w:sz="4" w:space="0" w:color="auto"/>
              <w:bottom w:val="single" w:sz="4" w:space="0" w:color="auto"/>
              <w:right w:val="single" w:sz="4" w:space="0" w:color="auto"/>
            </w:tcBorders>
            <w:hideMark/>
          </w:tcPr>
          <w:p w14:paraId="7DE8590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 (0,24 %)</w:t>
            </w:r>
          </w:p>
        </w:tc>
        <w:tc>
          <w:tcPr>
            <w:tcW w:w="1718" w:type="dxa"/>
            <w:tcBorders>
              <w:top w:val="single" w:sz="4" w:space="0" w:color="auto"/>
              <w:left w:val="single" w:sz="4" w:space="0" w:color="auto"/>
              <w:bottom w:val="single" w:sz="4" w:space="0" w:color="auto"/>
              <w:right w:val="single" w:sz="4" w:space="0" w:color="auto"/>
            </w:tcBorders>
            <w:hideMark/>
          </w:tcPr>
          <w:p w14:paraId="55ABFAF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(0,22 %)</w:t>
            </w:r>
          </w:p>
        </w:tc>
      </w:tr>
      <w:tr w:rsidR="006C5C65" w:rsidRPr="0098080C" w14:paraId="3CD020BB"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7BACB9"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749DF00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Mundtørhed</w:t>
            </w:r>
          </w:p>
        </w:tc>
        <w:tc>
          <w:tcPr>
            <w:tcW w:w="1721" w:type="dxa"/>
            <w:tcBorders>
              <w:top w:val="single" w:sz="4" w:space="0" w:color="auto"/>
              <w:left w:val="single" w:sz="4" w:space="0" w:color="auto"/>
              <w:bottom w:val="single" w:sz="4" w:space="0" w:color="auto"/>
              <w:right w:val="single" w:sz="4" w:space="0" w:color="auto"/>
            </w:tcBorders>
            <w:hideMark/>
          </w:tcPr>
          <w:p w14:paraId="6A0E069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371EFA9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6 (0,24 %)</w:t>
            </w:r>
          </w:p>
        </w:tc>
        <w:tc>
          <w:tcPr>
            <w:tcW w:w="1718" w:type="dxa"/>
            <w:tcBorders>
              <w:top w:val="single" w:sz="4" w:space="0" w:color="auto"/>
              <w:left w:val="single" w:sz="4" w:space="0" w:color="auto"/>
              <w:bottom w:val="single" w:sz="4" w:space="0" w:color="auto"/>
              <w:right w:val="single" w:sz="4" w:space="0" w:color="auto"/>
            </w:tcBorders>
            <w:hideMark/>
          </w:tcPr>
          <w:p w14:paraId="3A7F32E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(0,37 %)</w:t>
            </w:r>
          </w:p>
        </w:tc>
      </w:tr>
      <w:tr w:rsidR="006C5C65" w:rsidRPr="0098080C" w14:paraId="57D5EA37"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847FDA"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5129807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Dyspepsi</w:t>
            </w:r>
          </w:p>
        </w:tc>
        <w:tc>
          <w:tcPr>
            <w:tcW w:w="1721" w:type="dxa"/>
            <w:tcBorders>
              <w:top w:val="single" w:sz="4" w:space="0" w:color="auto"/>
              <w:left w:val="single" w:sz="4" w:space="0" w:color="auto"/>
              <w:bottom w:val="single" w:sz="4" w:space="0" w:color="auto"/>
              <w:right w:val="single" w:sz="4" w:space="0" w:color="auto"/>
            </w:tcBorders>
            <w:hideMark/>
          </w:tcPr>
          <w:p w14:paraId="4032773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6B14BAA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154A20B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(0,29 %)</w:t>
            </w:r>
          </w:p>
        </w:tc>
      </w:tr>
      <w:tr w:rsidR="006C5C65" w:rsidRPr="0098080C" w14:paraId="0BAA454B"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8722BC"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0F4C6F9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Gastritis</w:t>
            </w:r>
          </w:p>
        </w:tc>
        <w:tc>
          <w:tcPr>
            <w:tcW w:w="1721" w:type="dxa"/>
            <w:tcBorders>
              <w:top w:val="single" w:sz="4" w:space="0" w:color="auto"/>
              <w:left w:val="single" w:sz="4" w:space="0" w:color="auto"/>
              <w:bottom w:val="single" w:sz="4" w:space="0" w:color="auto"/>
              <w:right w:val="single" w:sz="4" w:space="0" w:color="auto"/>
            </w:tcBorders>
            <w:hideMark/>
          </w:tcPr>
          <w:p w14:paraId="026115C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(0,24 %)</w:t>
            </w:r>
          </w:p>
        </w:tc>
        <w:tc>
          <w:tcPr>
            <w:tcW w:w="1722" w:type="dxa"/>
            <w:tcBorders>
              <w:top w:val="single" w:sz="4" w:space="0" w:color="auto"/>
              <w:left w:val="single" w:sz="4" w:space="0" w:color="auto"/>
              <w:bottom w:val="single" w:sz="4" w:space="0" w:color="auto"/>
              <w:right w:val="single" w:sz="4" w:space="0" w:color="auto"/>
            </w:tcBorders>
            <w:hideMark/>
          </w:tcPr>
          <w:p w14:paraId="618C14D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5607FE0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7B777EA"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1E30F86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Hud og subkutane væv</w:t>
            </w:r>
          </w:p>
        </w:tc>
      </w:tr>
      <w:tr w:rsidR="006C5C65" w:rsidRPr="0098080C" w14:paraId="1565A61F" w14:textId="77777777">
        <w:tc>
          <w:tcPr>
            <w:tcW w:w="1758" w:type="dxa"/>
            <w:gridSpan w:val="2"/>
            <w:tcBorders>
              <w:top w:val="single" w:sz="4" w:space="0" w:color="auto"/>
              <w:left w:val="single" w:sz="4" w:space="0" w:color="auto"/>
              <w:bottom w:val="single" w:sz="4" w:space="0" w:color="auto"/>
              <w:right w:val="single" w:sz="4" w:space="0" w:color="auto"/>
            </w:tcBorders>
            <w:hideMark/>
          </w:tcPr>
          <w:p w14:paraId="348031B0"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34FEF31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Pruritus</w:t>
            </w:r>
          </w:p>
        </w:tc>
        <w:tc>
          <w:tcPr>
            <w:tcW w:w="1721" w:type="dxa"/>
            <w:tcBorders>
              <w:top w:val="single" w:sz="4" w:space="0" w:color="auto"/>
              <w:left w:val="single" w:sz="4" w:space="0" w:color="auto"/>
              <w:bottom w:val="single" w:sz="4" w:space="0" w:color="auto"/>
              <w:right w:val="single" w:sz="4" w:space="0" w:color="auto"/>
            </w:tcBorders>
            <w:hideMark/>
          </w:tcPr>
          <w:p w14:paraId="33BFD3FB"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613400E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2312702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(0,15 %)</w:t>
            </w:r>
          </w:p>
        </w:tc>
      </w:tr>
      <w:tr w:rsidR="006C5C65" w:rsidRPr="0098080C" w14:paraId="354DF90F"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77A2A2D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Almene symptomer og reaktioner på administrationsstedet</w:t>
            </w:r>
          </w:p>
        </w:tc>
      </w:tr>
      <w:tr w:rsidR="006C5C65" w:rsidRPr="0098080C" w14:paraId="50D993B8"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0B587E1B"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hideMark/>
          </w:tcPr>
          <w:p w14:paraId="5CEA9A7D"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Træthed</w:t>
            </w:r>
          </w:p>
        </w:tc>
        <w:tc>
          <w:tcPr>
            <w:tcW w:w="1721" w:type="dxa"/>
            <w:tcBorders>
              <w:top w:val="single" w:sz="4" w:space="0" w:color="auto"/>
              <w:left w:val="single" w:sz="4" w:space="0" w:color="auto"/>
              <w:bottom w:val="single" w:sz="4" w:space="0" w:color="auto"/>
              <w:right w:val="single" w:sz="4" w:space="0" w:color="auto"/>
            </w:tcBorders>
            <w:hideMark/>
          </w:tcPr>
          <w:p w14:paraId="2F358E9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14 (0,83 %)</w:t>
            </w:r>
          </w:p>
        </w:tc>
        <w:tc>
          <w:tcPr>
            <w:tcW w:w="1722" w:type="dxa"/>
            <w:tcBorders>
              <w:top w:val="single" w:sz="4" w:space="0" w:color="auto"/>
              <w:left w:val="single" w:sz="4" w:space="0" w:color="auto"/>
              <w:bottom w:val="single" w:sz="4" w:space="0" w:color="auto"/>
              <w:right w:val="single" w:sz="4" w:space="0" w:color="auto"/>
            </w:tcBorders>
            <w:hideMark/>
          </w:tcPr>
          <w:p w14:paraId="34AC274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19 (0,75 %)</w:t>
            </w:r>
          </w:p>
        </w:tc>
        <w:tc>
          <w:tcPr>
            <w:tcW w:w="1718" w:type="dxa"/>
            <w:tcBorders>
              <w:top w:val="single" w:sz="4" w:space="0" w:color="auto"/>
              <w:left w:val="single" w:sz="4" w:space="0" w:color="auto"/>
              <w:bottom w:val="single" w:sz="4" w:space="0" w:color="auto"/>
              <w:right w:val="single" w:sz="4" w:space="0" w:color="auto"/>
            </w:tcBorders>
            <w:hideMark/>
          </w:tcPr>
          <w:p w14:paraId="4B6A876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18 (1,32 %)</w:t>
            </w:r>
          </w:p>
        </w:tc>
      </w:tr>
      <w:tr w:rsidR="006C5C65" w:rsidRPr="0098080C" w14:paraId="3D73A584"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04EC1C"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45E2C81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Tørst</w:t>
            </w:r>
          </w:p>
        </w:tc>
        <w:tc>
          <w:tcPr>
            <w:tcW w:w="1721" w:type="dxa"/>
            <w:tcBorders>
              <w:top w:val="single" w:sz="4" w:space="0" w:color="auto"/>
              <w:left w:val="single" w:sz="4" w:space="0" w:color="auto"/>
              <w:bottom w:val="single" w:sz="4" w:space="0" w:color="auto"/>
              <w:right w:val="single" w:sz="4" w:space="0" w:color="auto"/>
            </w:tcBorders>
            <w:hideMark/>
          </w:tcPr>
          <w:p w14:paraId="2822CCA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5A11381E"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61A2CBD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 (0,07 %)</w:t>
            </w:r>
          </w:p>
        </w:tc>
      </w:tr>
      <w:tr w:rsidR="006C5C65" w:rsidRPr="0098080C" w14:paraId="587D861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A196B1"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0A1EC0B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Bedring af underliggende sygdom</w:t>
            </w:r>
          </w:p>
        </w:tc>
        <w:tc>
          <w:tcPr>
            <w:tcW w:w="1721" w:type="dxa"/>
            <w:tcBorders>
              <w:top w:val="single" w:sz="4" w:space="0" w:color="auto"/>
              <w:left w:val="single" w:sz="4" w:space="0" w:color="auto"/>
              <w:bottom w:val="single" w:sz="4" w:space="0" w:color="auto"/>
              <w:right w:val="single" w:sz="4" w:space="0" w:color="auto"/>
            </w:tcBorders>
            <w:hideMark/>
          </w:tcPr>
          <w:p w14:paraId="58D32F9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38D4FC1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5DD8929D"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 (0,07 %)</w:t>
            </w:r>
          </w:p>
        </w:tc>
      </w:tr>
      <w:tr w:rsidR="006C5C65" w:rsidRPr="0098080C" w14:paraId="43B4F030"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8D561A"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632CFD0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Pyreksi</w:t>
            </w:r>
          </w:p>
        </w:tc>
        <w:tc>
          <w:tcPr>
            <w:tcW w:w="1721" w:type="dxa"/>
            <w:tcBorders>
              <w:top w:val="single" w:sz="4" w:space="0" w:color="auto"/>
              <w:left w:val="single" w:sz="4" w:space="0" w:color="auto"/>
              <w:bottom w:val="single" w:sz="4" w:space="0" w:color="auto"/>
              <w:right w:val="single" w:sz="4" w:space="0" w:color="auto"/>
            </w:tcBorders>
            <w:hideMark/>
          </w:tcPr>
          <w:p w14:paraId="4FF50B9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06CA128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(0,12 %)</w:t>
            </w:r>
          </w:p>
        </w:tc>
        <w:tc>
          <w:tcPr>
            <w:tcW w:w="1718" w:type="dxa"/>
            <w:tcBorders>
              <w:top w:val="single" w:sz="4" w:space="0" w:color="auto"/>
              <w:left w:val="single" w:sz="4" w:space="0" w:color="auto"/>
              <w:bottom w:val="single" w:sz="4" w:space="0" w:color="auto"/>
              <w:right w:val="single" w:sz="4" w:space="0" w:color="auto"/>
            </w:tcBorders>
            <w:hideMark/>
          </w:tcPr>
          <w:p w14:paraId="1135456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 (0,07 %)</w:t>
            </w:r>
          </w:p>
        </w:tc>
      </w:tr>
      <w:tr w:rsidR="006C5C65" w:rsidRPr="0098080C" w14:paraId="5B416DC2"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6F44DF"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3AB1D3E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Asteni</w:t>
            </w:r>
          </w:p>
        </w:tc>
        <w:tc>
          <w:tcPr>
            <w:tcW w:w="1721" w:type="dxa"/>
            <w:tcBorders>
              <w:top w:val="single" w:sz="4" w:space="0" w:color="auto"/>
              <w:left w:val="single" w:sz="4" w:space="0" w:color="auto"/>
              <w:bottom w:val="single" w:sz="4" w:space="0" w:color="auto"/>
              <w:right w:val="single" w:sz="4" w:space="0" w:color="auto"/>
            </w:tcBorders>
            <w:hideMark/>
          </w:tcPr>
          <w:p w14:paraId="531B74A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5F55F5F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4 (0,16 %)</w:t>
            </w:r>
          </w:p>
        </w:tc>
        <w:tc>
          <w:tcPr>
            <w:tcW w:w="1718" w:type="dxa"/>
            <w:tcBorders>
              <w:top w:val="single" w:sz="4" w:space="0" w:color="auto"/>
              <w:left w:val="single" w:sz="4" w:space="0" w:color="auto"/>
              <w:bottom w:val="single" w:sz="4" w:space="0" w:color="auto"/>
              <w:right w:val="single" w:sz="4" w:space="0" w:color="auto"/>
            </w:tcBorders>
            <w:hideMark/>
          </w:tcPr>
          <w:p w14:paraId="7FC8F3E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(0,37 %)</w:t>
            </w:r>
          </w:p>
        </w:tc>
      </w:tr>
      <w:tr w:rsidR="006C5C65" w:rsidRPr="0098080C" w14:paraId="7BB72920" w14:textId="77777777">
        <w:tc>
          <w:tcPr>
            <w:tcW w:w="9055" w:type="dxa"/>
            <w:gridSpan w:val="6"/>
            <w:tcBorders>
              <w:top w:val="single" w:sz="4" w:space="0" w:color="auto"/>
              <w:left w:val="single" w:sz="4" w:space="0" w:color="auto"/>
              <w:bottom w:val="single" w:sz="4" w:space="0" w:color="auto"/>
              <w:right w:val="single" w:sz="4" w:space="0" w:color="auto"/>
            </w:tcBorders>
            <w:hideMark/>
          </w:tcPr>
          <w:p w14:paraId="781C9619"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b/>
                <w:bCs/>
                <w:sz w:val="22"/>
              </w:rPr>
              <w:t>Undersøgelser</w:t>
            </w:r>
          </w:p>
        </w:tc>
      </w:tr>
      <w:tr w:rsidR="006C5C65" w:rsidRPr="0098080C" w14:paraId="680FC801" w14:textId="77777777">
        <w:tc>
          <w:tcPr>
            <w:tcW w:w="1758" w:type="dxa"/>
            <w:gridSpan w:val="2"/>
            <w:vMerge w:val="restart"/>
            <w:tcBorders>
              <w:top w:val="single" w:sz="4" w:space="0" w:color="auto"/>
              <w:left w:val="single" w:sz="4" w:space="0" w:color="auto"/>
              <w:bottom w:val="single" w:sz="4" w:space="0" w:color="auto"/>
              <w:right w:val="single" w:sz="4" w:space="0" w:color="auto"/>
            </w:tcBorders>
            <w:hideMark/>
          </w:tcPr>
          <w:p w14:paraId="3CB1AE21" w14:textId="77777777" w:rsidR="006C5C65" w:rsidRPr="0098080C" w:rsidRDefault="006C5C65" w:rsidP="0098080C">
            <w:pPr>
              <w:spacing w:before="60" w:after="60"/>
              <w:jc w:val="left"/>
              <w:rPr>
                <w:rFonts w:ascii="Times New Roman" w:hAnsi="Times New Roman" w:cs="Times New Roman"/>
                <w:b/>
                <w:bCs/>
                <w:sz w:val="22"/>
              </w:rPr>
            </w:pPr>
            <w:r w:rsidRPr="0098080C">
              <w:rPr>
                <w:rFonts w:ascii="Times New Roman" w:hAnsi="Times New Roman" w:cs="Times New Roman"/>
                <w:b/>
                <w:bCs/>
                <w:sz w:val="22"/>
              </w:rPr>
              <w:t>Ikke almindelig</w:t>
            </w:r>
          </w:p>
        </w:tc>
        <w:tc>
          <w:tcPr>
            <w:tcW w:w="2136" w:type="dxa"/>
            <w:tcBorders>
              <w:top w:val="single" w:sz="4" w:space="0" w:color="auto"/>
              <w:left w:val="single" w:sz="4" w:space="0" w:color="auto"/>
              <w:bottom w:val="single" w:sz="4" w:space="0" w:color="auto"/>
              <w:right w:val="single" w:sz="4" w:space="0" w:color="auto"/>
            </w:tcBorders>
            <w:vAlign w:val="center"/>
            <w:hideMark/>
          </w:tcPr>
          <w:p w14:paraId="07720B6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Forhøjet gamma-glutamyltransferase</w:t>
            </w:r>
          </w:p>
        </w:tc>
        <w:tc>
          <w:tcPr>
            <w:tcW w:w="1721" w:type="dxa"/>
            <w:tcBorders>
              <w:top w:val="single" w:sz="4" w:space="0" w:color="auto"/>
              <w:left w:val="single" w:sz="4" w:space="0" w:color="auto"/>
              <w:bottom w:val="single" w:sz="4" w:space="0" w:color="auto"/>
              <w:right w:val="single" w:sz="4" w:space="0" w:color="auto"/>
            </w:tcBorders>
            <w:hideMark/>
          </w:tcPr>
          <w:p w14:paraId="3D2CE32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7 (0,41 %)</w:t>
            </w:r>
          </w:p>
        </w:tc>
        <w:tc>
          <w:tcPr>
            <w:tcW w:w="1722" w:type="dxa"/>
            <w:tcBorders>
              <w:top w:val="single" w:sz="4" w:space="0" w:color="auto"/>
              <w:left w:val="single" w:sz="4" w:space="0" w:color="auto"/>
              <w:bottom w:val="single" w:sz="4" w:space="0" w:color="auto"/>
              <w:right w:val="single" w:sz="4" w:space="0" w:color="auto"/>
            </w:tcBorders>
            <w:hideMark/>
          </w:tcPr>
          <w:p w14:paraId="7E127254"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8 (0,32 %)</w:t>
            </w:r>
          </w:p>
        </w:tc>
        <w:tc>
          <w:tcPr>
            <w:tcW w:w="1718" w:type="dxa"/>
            <w:tcBorders>
              <w:top w:val="single" w:sz="4" w:space="0" w:color="auto"/>
              <w:left w:val="single" w:sz="4" w:space="0" w:color="auto"/>
              <w:bottom w:val="single" w:sz="4" w:space="0" w:color="auto"/>
              <w:right w:val="single" w:sz="4" w:space="0" w:color="auto"/>
            </w:tcBorders>
            <w:hideMark/>
          </w:tcPr>
          <w:p w14:paraId="24B8FEB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(0,15 %)</w:t>
            </w:r>
          </w:p>
        </w:tc>
      </w:tr>
      <w:tr w:rsidR="006C5C65" w:rsidRPr="0098080C" w14:paraId="5DAEC793"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78CA4C"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74F589B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Forhøjet alanin-aminotransferase</w:t>
            </w:r>
          </w:p>
        </w:tc>
        <w:tc>
          <w:tcPr>
            <w:tcW w:w="1721" w:type="dxa"/>
            <w:tcBorders>
              <w:top w:val="single" w:sz="4" w:space="0" w:color="auto"/>
              <w:left w:val="single" w:sz="4" w:space="0" w:color="auto"/>
              <w:bottom w:val="single" w:sz="4" w:space="0" w:color="auto"/>
              <w:right w:val="single" w:sz="4" w:space="0" w:color="auto"/>
            </w:tcBorders>
            <w:hideMark/>
          </w:tcPr>
          <w:p w14:paraId="0AB135F5"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(0,30 %)</w:t>
            </w:r>
          </w:p>
        </w:tc>
        <w:tc>
          <w:tcPr>
            <w:tcW w:w="1722" w:type="dxa"/>
            <w:tcBorders>
              <w:top w:val="single" w:sz="4" w:space="0" w:color="auto"/>
              <w:left w:val="single" w:sz="4" w:space="0" w:color="auto"/>
              <w:bottom w:val="single" w:sz="4" w:space="0" w:color="auto"/>
              <w:right w:val="single" w:sz="4" w:space="0" w:color="auto"/>
            </w:tcBorders>
            <w:hideMark/>
          </w:tcPr>
          <w:p w14:paraId="4B6FB0E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5 (0,20 %)</w:t>
            </w:r>
          </w:p>
        </w:tc>
        <w:tc>
          <w:tcPr>
            <w:tcW w:w="1718" w:type="dxa"/>
            <w:tcBorders>
              <w:top w:val="single" w:sz="4" w:space="0" w:color="auto"/>
              <w:left w:val="single" w:sz="4" w:space="0" w:color="auto"/>
              <w:bottom w:val="single" w:sz="4" w:space="0" w:color="auto"/>
              <w:right w:val="single" w:sz="4" w:space="0" w:color="auto"/>
            </w:tcBorders>
            <w:hideMark/>
          </w:tcPr>
          <w:p w14:paraId="16E1560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(0,22 %)</w:t>
            </w:r>
          </w:p>
        </w:tc>
      </w:tr>
      <w:tr w:rsidR="006C5C65" w:rsidRPr="0098080C" w14:paraId="74D9063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2B3B9B"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vAlign w:val="center"/>
            <w:hideMark/>
          </w:tcPr>
          <w:p w14:paraId="369A5DA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Forhøjet aspartat-aminotransferase</w:t>
            </w:r>
          </w:p>
        </w:tc>
        <w:tc>
          <w:tcPr>
            <w:tcW w:w="1721" w:type="dxa"/>
            <w:tcBorders>
              <w:top w:val="single" w:sz="4" w:space="0" w:color="auto"/>
              <w:left w:val="single" w:sz="4" w:space="0" w:color="auto"/>
              <w:bottom w:val="single" w:sz="4" w:space="0" w:color="auto"/>
              <w:right w:val="single" w:sz="4" w:space="0" w:color="auto"/>
            </w:tcBorders>
            <w:hideMark/>
          </w:tcPr>
          <w:p w14:paraId="5B08DB2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(0,18 %)</w:t>
            </w:r>
          </w:p>
        </w:tc>
        <w:tc>
          <w:tcPr>
            <w:tcW w:w="1722" w:type="dxa"/>
            <w:tcBorders>
              <w:top w:val="single" w:sz="4" w:space="0" w:color="auto"/>
              <w:left w:val="single" w:sz="4" w:space="0" w:color="auto"/>
              <w:bottom w:val="single" w:sz="4" w:space="0" w:color="auto"/>
              <w:right w:val="single" w:sz="4" w:space="0" w:color="auto"/>
            </w:tcBorders>
            <w:hideMark/>
          </w:tcPr>
          <w:p w14:paraId="7DCBC260"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(0,12 %)</w:t>
            </w:r>
          </w:p>
        </w:tc>
        <w:tc>
          <w:tcPr>
            <w:tcW w:w="1718" w:type="dxa"/>
            <w:tcBorders>
              <w:top w:val="single" w:sz="4" w:space="0" w:color="auto"/>
              <w:left w:val="single" w:sz="4" w:space="0" w:color="auto"/>
              <w:bottom w:val="single" w:sz="4" w:space="0" w:color="auto"/>
              <w:right w:val="single" w:sz="4" w:space="0" w:color="auto"/>
            </w:tcBorders>
            <w:hideMark/>
          </w:tcPr>
          <w:p w14:paraId="0CECD5F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(0,22 %)</w:t>
            </w:r>
          </w:p>
        </w:tc>
      </w:tr>
      <w:tr w:rsidR="006C5C65" w:rsidRPr="0098080C" w14:paraId="7207FF16"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D099F7"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11AF69E2"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Forhøjet kreatinin i blodet</w:t>
            </w:r>
          </w:p>
        </w:tc>
        <w:tc>
          <w:tcPr>
            <w:tcW w:w="1721" w:type="dxa"/>
            <w:tcBorders>
              <w:top w:val="single" w:sz="4" w:space="0" w:color="auto"/>
              <w:left w:val="single" w:sz="4" w:space="0" w:color="auto"/>
              <w:bottom w:val="single" w:sz="4" w:space="0" w:color="auto"/>
              <w:right w:val="single" w:sz="4" w:space="0" w:color="auto"/>
            </w:tcBorders>
            <w:hideMark/>
          </w:tcPr>
          <w:p w14:paraId="117DABB7"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1D315031"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07DE30EF"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60738BE"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D1ED06"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0B7EC6BD"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Forhøjede triglycerider i blodet</w:t>
            </w:r>
          </w:p>
        </w:tc>
        <w:tc>
          <w:tcPr>
            <w:tcW w:w="1721" w:type="dxa"/>
            <w:tcBorders>
              <w:top w:val="single" w:sz="4" w:space="0" w:color="auto"/>
              <w:left w:val="single" w:sz="4" w:space="0" w:color="auto"/>
              <w:bottom w:val="single" w:sz="4" w:space="0" w:color="auto"/>
              <w:right w:val="single" w:sz="4" w:space="0" w:color="auto"/>
            </w:tcBorders>
            <w:hideMark/>
          </w:tcPr>
          <w:p w14:paraId="199B060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(0,12 %)</w:t>
            </w:r>
          </w:p>
        </w:tc>
        <w:tc>
          <w:tcPr>
            <w:tcW w:w="1722" w:type="dxa"/>
            <w:tcBorders>
              <w:top w:val="single" w:sz="4" w:space="0" w:color="auto"/>
              <w:left w:val="single" w:sz="4" w:space="0" w:color="auto"/>
              <w:bottom w:val="single" w:sz="4" w:space="0" w:color="auto"/>
              <w:right w:val="single" w:sz="4" w:space="0" w:color="auto"/>
            </w:tcBorders>
            <w:hideMark/>
          </w:tcPr>
          <w:p w14:paraId="6B43B57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(0,08 %)</w:t>
            </w:r>
          </w:p>
        </w:tc>
        <w:tc>
          <w:tcPr>
            <w:tcW w:w="1718" w:type="dxa"/>
            <w:tcBorders>
              <w:top w:val="single" w:sz="4" w:space="0" w:color="auto"/>
              <w:left w:val="single" w:sz="4" w:space="0" w:color="auto"/>
              <w:bottom w:val="single" w:sz="4" w:space="0" w:color="auto"/>
              <w:right w:val="single" w:sz="4" w:space="0" w:color="auto"/>
            </w:tcBorders>
            <w:hideMark/>
          </w:tcPr>
          <w:p w14:paraId="1F95EF3A"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3 (0,22 %)</w:t>
            </w:r>
          </w:p>
        </w:tc>
      </w:tr>
      <w:tr w:rsidR="006C5C65" w:rsidRPr="0098080C" w14:paraId="0FFD8798" w14:textId="7777777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18C576" w14:textId="77777777" w:rsidR="006C5C65" w:rsidRPr="0098080C" w:rsidRDefault="006C5C65" w:rsidP="0098080C">
            <w:pPr>
              <w:jc w:val="left"/>
              <w:rPr>
                <w:rFonts w:ascii="Times New Roman" w:hAnsi="Times New Roman" w:cs="Times New Roman"/>
                <w:b/>
                <w:bCs/>
                <w:sz w:val="22"/>
              </w:rPr>
            </w:pPr>
          </w:p>
        </w:tc>
        <w:tc>
          <w:tcPr>
            <w:tcW w:w="2136" w:type="dxa"/>
            <w:tcBorders>
              <w:top w:val="single" w:sz="4" w:space="0" w:color="auto"/>
              <w:left w:val="single" w:sz="4" w:space="0" w:color="auto"/>
              <w:bottom w:val="single" w:sz="4" w:space="0" w:color="auto"/>
              <w:right w:val="single" w:sz="4" w:space="0" w:color="auto"/>
            </w:tcBorders>
            <w:hideMark/>
          </w:tcPr>
          <w:p w14:paraId="475C240C"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Vægtstigning</w:t>
            </w:r>
          </w:p>
        </w:tc>
        <w:tc>
          <w:tcPr>
            <w:tcW w:w="1721" w:type="dxa"/>
            <w:tcBorders>
              <w:top w:val="single" w:sz="4" w:space="0" w:color="auto"/>
              <w:left w:val="single" w:sz="4" w:space="0" w:color="auto"/>
              <w:bottom w:val="single" w:sz="4" w:space="0" w:color="auto"/>
              <w:right w:val="single" w:sz="4" w:space="0" w:color="auto"/>
            </w:tcBorders>
            <w:hideMark/>
          </w:tcPr>
          <w:p w14:paraId="34DFB4A8"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8 (0,47 %)</w:t>
            </w:r>
          </w:p>
        </w:tc>
        <w:tc>
          <w:tcPr>
            <w:tcW w:w="1722" w:type="dxa"/>
            <w:tcBorders>
              <w:top w:val="single" w:sz="4" w:space="0" w:color="auto"/>
              <w:left w:val="single" w:sz="4" w:space="0" w:color="auto"/>
              <w:bottom w:val="single" w:sz="4" w:space="0" w:color="auto"/>
              <w:right w:val="single" w:sz="4" w:space="0" w:color="auto"/>
            </w:tcBorders>
            <w:hideMark/>
          </w:tcPr>
          <w:p w14:paraId="052251C6"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12 (0,48 %)</w:t>
            </w:r>
          </w:p>
        </w:tc>
        <w:tc>
          <w:tcPr>
            <w:tcW w:w="1718" w:type="dxa"/>
            <w:tcBorders>
              <w:top w:val="single" w:sz="4" w:space="0" w:color="auto"/>
              <w:left w:val="single" w:sz="4" w:space="0" w:color="auto"/>
              <w:bottom w:val="single" w:sz="4" w:space="0" w:color="auto"/>
              <w:right w:val="single" w:sz="4" w:space="0" w:color="auto"/>
            </w:tcBorders>
            <w:hideMark/>
          </w:tcPr>
          <w:p w14:paraId="10A7CA03" w14:textId="77777777" w:rsidR="006C5C65" w:rsidRPr="0098080C" w:rsidRDefault="006C5C65" w:rsidP="0098080C">
            <w:pPr>
              <w:spacing w:before="60" w:after="60"/>
              <w:jc w:val="left"/>
              <w:rPr>
                <w:rFonts w:ascii="Times New Roman" w:hAnsi="Times New Roman" w:cs="Times New Roman"/>
                <w:sz w:val="22"/>
              </w:rPr>
            </w:pPr>
            <w:r w:rsidRPr="0098080C">
              <w:rPr>
                <w:rFonts w:ascii="Times New Roman" w:hAnsi="Times New Roman" w:cs="Times New Roman"/>
                <w:sz w:val="22"/>
              </w:rPr>
              <w:t>2 (0,15 %)</w:t>
            </w:r>
          </w:p>
        </w:tc>
      </w:tr>
    </w:tbl>
    <w:p w14:paraId="0C479608" w14:textId="77777777" w:rsidR="006C5C65" w:rsidRPr="0098080C" w:rsidRDefault="006C5C65" w:rsidP="0098080C">
      <w:pPr>
        <w:rPr>
          <w:sz w:val="20"/>
        </w:rPr>
      </w:pPr>
      <w:r w:rsidRPr="0098080C">
        <w:rPr>
          <w:sz w:val="20"/>
        </w:rPr>
        <w:t>* Der er også rapporteret tilfælde af forlængelse af det elektrokardiografiske QT-interval efter markedsføringen.</w:t>
      </w:r>
    </w:p>
    <w:p w14:paraId="31537325" w14:textId="77777777" w:rsidR="006C5C65" w:rsidRPr="006C5C65" w:rsidRDefault="006C5C65" w:rsidP="006C5C65">
      <w:pPr>
        <w:rPr>
          <w:sz w:val="24"/>
          <w:szCs w:val="24"/>
        </w:rPr>
      </w:pPr>
    </w:p>
    <w:p w14:paraId="69751BCB" w14:textId="77777777" w:rsidR="006C5C65" w:rsidRPr="006C5C65" w:rsidRDefault="006C5C65" w:rsidP="006C5C65">
      <w:pPr>
        <w:rPr>
          <w:sz w:val="24"/>
          <w:szCs w:val="24"/>
        </w:rPr>
      </w:pPr>
      <w:r w:rsidRPr="006C5C65">
        <w:rPr>
          <w:bCs/>
          <w:iCs/>
          <w:sz w:val="24"/>
          <w:szCs w:val="24"/>
          <w:u w:val="single"/>
        </w:rPr>
        <w:t>Ikke kendt</w:t>
      </w:r>
      <w:r w:rsidRPr="006C5C65">
        <w:rPr>
          <w:sz w:val="24"/>
          <w:szCs w:val="24"/>
        </w:rPr>
        <w:t xml:space="preserve"> (hyppighed kan ikke estimeres ud fra forhåndenværende data):</w:t>
      </w:r>
    </w:p>
    <w:p w14:paraId="4CB83448" w14:textId="77777777" w:rsidR="006C5C65" w:rsidRPr="006C5C65" w:rsidRDefault="006C5C65" w:rsidP="006C5C65">
      <w:pPr>
        <w:rPr>
          <w:sz w:val="24"/>
          <w:szCs w:val="24"/>
        </w:rPr>
      </w:pPr>
      <w:r w:rsidRPr="006C5C65">
        <w:rPr>
          <w:sz w:val="24"/>
          <w:szCs w:val="24"/>
        </w:rPr>
        <w:t xml:space="preserve">Der er observeret palpitationer, takykardi, overfølsomhedsreaktioner, såsom anafylaksi, angioødem, dyspnø, udslæt, lokaliseret ødem/lokal hævelse og erythem, </w:t>
      </w:r>
      <w:r w:rsidRPr="006C5C65">
        <w:rPr>
          <w:bCs/>
          <w:sz w:val="24"/>
          <w:szCs w:val="24"/>
        </w:rPr>
        <w:t>og opkastning</w:t>
      </w:r>
      <w:r w:rsidRPr="006C5C65">
        <w:rPr>
          <w:b/>
          <w:bCs/>
          <w:sz w:val="24"/>
          <w:szCs w:val="24"/>
        </w:rPr>
        <w:t xml:space="preserve"> </w:t>
      </w:r>
      <w:r w:rsidRPr="006C5C65">
        <w:rPr>
          <w:sz w:val="24"/>
          <w:szCs w:val="24"/>
        </w:rPr>
        <w:t>efter markedsføringen.</w:t>
      </w:r>
    </w:p>
    <w:p w14:paraId="51BA7975" w14:textId="77777777" w:rsidR="006C5C65" w:rsidRPr="006C5C65" w:rsidRDefault="006C5C65" w:rsidP="006C5C65">
      <w:pPr>
        <w:rPr>
          <w:sz w:val="24"/>
          <w:szCs w:val="24"/>
          <w:u w:val="single"/>
        </w:rPr>
      </w:pPr>
    </w:p>
    <w:p w14:paraId="79D26C65" w14:textId="77777777" w:rsidR="006C5C65" w:rsidRPr="006C5C65" w:rsidRDefault="006C5C65" w:rsidP="006C5C65">
      <w:pPr>
        <w:rPr>
          <w:sz w:val="24"/>
          <w:szCs w:val="24"/>
          <w:u w:val="single"/>
        </w:rPr>
      </w:pPr>
      <w:r w:rsidRPr="006C5C65">
        <w:rPr>
          <w:sz w:val="24"/>
          <w:szCs w:val="24"/>
          <w:u w:val="single"/>
        </w:rPr>
        <w:t>Beskrivelse af udvalgte bivirkninger hos voksne og unge patienter</w:t>
      </w:r>
    </w:p>
    <w:p w14:paraId="1895584E" w14:textId="77777777" w:rsidR="006C5C65" w:rsidRPr="006C5C65" w:rsidRDefault="006C5C65" w:rsidP="006C5C65">
      <w:pPr>
        <w:rPr>
          <w:rFonts w:eastAsia="MS Mincho"/>
          <w:sz w:val="24"/>
          <w:szCs w:val="24"/>
        </w:rPr>
      </w:pPr>
      <w:r w:rsidRPr="006C5C65">
        <w:rPr>
          <w:rFonts w:eastAsia="MS Mincho"/>
          <w:sz w:val="24"/>
          <w:szCs w:val="24"/>
        </w:rPr>
        <w:t>Somnolens, hovedpine, svimmelhed og træthed blev observeret hos patienter, der enten blev behandlet med 20 mg bilastin eller med placebo. Den indberettede hyppighed var 3,06 % med bilastin vs. 2,86 % med placebo for somnolens, svarende til 4,01 % vs. 3,38 % for hovedpine, 0,83 % vs. 0,59 % for svimmelhed og 0,83 % vs. 1,32 % for træthed.</w:t>
      </w:r>
    </w:p>
    <w:p w14:paraId="34695452" w14:textId="77777777" w:rsidR="006C5C65" w:rsidRPr="006C5C65" w:rsidRDefault="006C5C65" w:rsidP="006C5C65">
      <w:pPr>
        <w:rPr>
          <w:sz w:val="24"/>
          <w:szCs w:val="24"/>
        </w:rPr>
      </w:pPr>
    </w:p>
    <w:p w14:paraId="47D4992B" w14:textId="77777777" w:rsidR="006C5C65" w:rsidRPr="006C5C65" w:rsidRDefault="006C5C65" w:rsidP="006C5C65">
      <w:pPr>
        <w:rPr>
          <w:sz w:val="24"/>
          <w:szCs w:val="24"/>
        </w:rPr>
      </w:pPr>
      <w:r w:rsidRPr="006C5C65">
        <w:rPr>
          <w:sz w:val="24"/>
          <w:szCs w:val="24"/>
        </w:rPr>
        <w:t>De oplysninger, der er indsamlet i forbindelse med overvågning efter markedsføringen, har bekræftet den sikkerhedsprofil, der blev observeret under den kliniske udvikling.</w:t>
      </w:r>
    </w:p>
    <w:p w14:paraId="4204D61F" w14:textId="77777777" w:rsidR="006C5C65" w:rsidRPr="006C5C65" w:rsidRDefault="006C5C65" w:rsidP="006C5C65">
      <w:pPr>
        <w:rPr>
          <w:noProof/>
          <w:sz w:val="24"/>
          <w:szCs w:val="24"/>
          <w:u w:val="single"/>
        </w:rPr>
      </w:pPr>
    </w:p>
    <w:p w14:paraId="4E973263" w14:textId="77777777" w:rsidR="006C5C65" w:rsidRPr="006C5C65" w:rsidRDefault="006C5C65" w:rsidP="006C5C65">
      <w:pPr>
        <w:rPr>
          <w:iCs/>
          <w:sz w:val="24"/>
          <w:szCs w:val="24"/>
          <w:u w:val="single"/>
        </w:rPr>
      </w:pPr>
      <w:r w:rsidRPr="006C5C65">
        <w:rPr>
          <w:iCs/>
          <w:sz w:val="24"/>
          <w:szCs w:val="24"/>
          <w:u w:val="single"/>
        </w:rPr>
        <w:t>Oversigt over sikkerhedsprofilen for den pædiatriske population</w:t>
      </w:r>
    </w:p>
    <w:p w14:paraId="1974D29D" w14:textId="77777777" w:rsidR="006C5C65" w:rsidRPr="006C5C65" w:rsidRDefault="006C5C65" w:rsidP="006C5C65">
      <w:pPr>
        <w:rPr>
          <w:sz w:val="24"/>
          <w:szCs w:val="24"/>
        </w:rPr>
      </w:pPr>
      <w:r w:rsidRPr="006C5C65">
        <w:rPr>
          <w:sz w:val="24"/>
          <w:szCs w:val="24"/>
        </w:rPr>
        <w:t>Under den kliniske udvikling sås samme hyppighed, type og grad af bivirkninger hos unge (12-17 år) som hos voksne. De oplysninger, der er indsamlet for denne population (unge) i forbindelse med overvågning efter markedsføringen, har bekræftet fundene under de kliniske forsøg.</w:t>
      </w:r>
    </w:p>
    <w:p w14:paraId="31C091ED" w14:textId="77777777" w:rsidR="006C5C65" w:rsidRPr="006C5C65" w:rsidRDefault="006C5C65" w:rsidP="006C5C65">
      <w:pPr>
        <w:autoSpaceDE w:val="0"/>
        <w:autoSpaceDN w:val="0"/>
        <w:adjustRightInd w:val="0"/>
        <w:rPr>
          <w:noProof/>
          <w:sz w:val="24"/>
          <w:szCs w:val="24"/>
          <w:u w:val="single"/>
        </w:rPr>
      </w:pPr>
    </w:p>
    <w:p w14:paraId="43AAF01D" w14:textId="77777777" w:rsidR="006C5C65" w:rsidRPr="006C5C65" w:rsidRDefault="006C5C65" w:rsidP="006C5C65">
      <w:pPr>
        <w:rPr>
          <w:rFonts w:eastAsia="MS Mincho"/>
          <w:sz w:val="24"/>
          <w:szCs w:val="24"/>
        </w:rPr>
      </w:pPr>
      <w:r w:rsidRPr="006C5C65">
        <w:rPr>
          <w:rFonts w:eastAsia="MS Mincho"/>
          <w:sz w:val="24"/>
          <w:szCs w:val="24"/>
        </w:rPr>
        <w:t>Procentdelen af børn (2-11 år), som berettede om bivirkninger (uønskede hændelser (AE’er)) efter behandling med 10 mg bilastin mod allergisk rhinokonjunktivitis eller kronisk idiopatisk urticaria i et 12-ugers kontrolleret klinisk studie, var sammenlignelig med patienter, der fik placebo (68,5 % versus 67,5 %).</w:t>
      </w:r>
    </w:p>
    <w:p w14:paraId="0FCA5929" w14:textId="77777777" w:rsidR="006C5C65" w:rsidRPr="006C5C65" w:rsidRDefault="006C5C65" w:rsidP="006C5C65">
      <w:pPr>
        <w:rPr>
          <w:rFonts w:eastAsia="MS Mincho"/>
          <w:sz w:val="24"/>
          <w:szCs w:val="24"/>
        </w:rPr>
      </w:pPr>
    </w:p>
    <w:p w14:paraId="60CB3E74" w14:textId="77777777" w:rsidR="006C5C65" w:rsidRPr="006C5C65" w:rsidRDefault="006C5C65" w:rsidP="006C5C65">
      <w:pPr>
        <w:rPr>
          <w:rFonts w:eastAsia="MS Mincho"/>
          <w:sz w:val="24"/>
          <w:szCs w:val="24"/>
          <w:highlight w:val="yellow"/>
        </w:rPr>
      </w:pPr>
      <w:r w:rsidRPr="006C5C65">
        <w:rPr>
          <w:rFonts w:eastAsia="MS Mincho"/>
          <w:sz w:val="24"/>
          <w:szCs w:val="24"/>
        </w:rPr>
        <w:t>De hyppigste tilhørende bivirkninger (hændelser (AE'er), der blev indberettet af 291 børn (2-11 år), som fik bilastin (smeltetablet) i de kliniske forsøg (260* børn eksponeret i det kliniske forsøg af sikkerheden, 31 børn eksponeret i de farmakokinetiske studier), var hovedpine, allergisk konjunktivitis, rhinitis og abdominalsmerter. Disse tilhørende bivirkninger optrådte med en sammenlignelig hyppighed hos 249 patienter, som fik placebo.</w:t>
      </w:r>
    </w:p>
    <w:p w14:paraId="7027C9B2" w14:textId="77777777" w:rsidR="006C5C65" w:rsidRPr="006C5C65" w:rsidRDefault="006C5C65" w:rsidP="006C5C65">
      <w:pPr>
        <w:rPr>
          <w:noProof/>
          <w:sz w:val="24"/>
          <w:szCs w:val="24"/>
          <w:u w:val="single"/>
        </w:rPr>
      </w:pPr>
    </w:p>
    <w:p w14:paraId="41719E89" w14:textId="77777777" w:rsidR="006C5C65" w:rsidRPr="006C5C65" w:rsidRDefault="006C5C65" w:rsidP="006C5C65">
      <w:pPr>
        <w:rPr>
          <w:rFonts w:eastAsia="MS Mincho"/>
          <w:sz w:val="24"/>
          <w:szCs w:val="24"/>
          <w:u w:val="single"/>
        </w:rPr>
      </w:pPr>
      <w:r w:rsidRPr="006C5C65">
        <w:rPr>
          <w:rFonts w:eastAsia="MS Mincho"/>
          <w:sz w:val="24"/>
          <w:szCs w:val="24"/>
          <w:u w:val="single"/>
        </w:rPr>
        <w:t>Oversigt over bivirkninger hos den pædiatriske population</w:t>
      </w:r>
    </w:p>
    <w:p w14:paraId="3EDBC4C3" w14:textId="77777777" w:rsidR="006C5C65" w:rsidRPr="006C5C65" w:rsidRDefault="006C5C65" w:rsidP="006C5C65">
      <w:pPr>
        <w:rPr>
          <w:rFonts w:eastAsia="MS Mincho"/>
          <w:sz w:val="24"/>
          <w:szCs w:val="24"/>
        </w:rPr>
      </w:pPr>
      <w:r w:rsidRPr="006C5C65">
        <w:rPr>
          <w:rFonts w:eastAsia="MS Mincho"/>
          <w:sz w:val="24"/>
          <w:szCs w:val="24"/>
        </w:rPr>
        <w:t>De bivirkninger, som havde en mulig relation til bilastin hos over 0,1 % af de børn (2-11 år), der fik bilastin i forbindelse med den kliniske udvikling, fremgår af tabellen nedenfor.</w:t>
      </w:r>
    </w:p>
    <w:p w14:paraId="10184243" w14:textId="77777777" w:rsidR="006C5C65" w:rsidRPr="006C5C65" w:rsidRDefault="006C5C65" w:rsidP="006C5C65">
      <w:pPr>
        <w:rPr>
          <w:rFonts w:eastAsia="MS Mincho"/>
          <w:sz w:val="24"/>
          <w:szCs w:val="24"/>
        </w:rPr>
      </w:pPr>
    </w:p>
    <w:p w14:paraId="0DB2BA84" w14:textId="455F0733" w:rsidR="006C5C65" w:rsidRPr="006C5C65" w:rsidRDefault="006C5C65" w:rsidP="006C5C65">
      <w:pPr>
        <w:rPr>
          <w:rFonts w:eastAsia="MS Mincho"/>
          <w:sz w:val="24"/>
          <w:szCs w:val="24"/>
          <w:u w:val="single"/>
        </w:rPr>
      </w:pPr>
      <w:r w:rsidRPr="006C5C65">
        <w:rPr>
          <w:rFonts w:eastAsia="MS Mincho"/>
          <w:sz w:val="24"/>
          <w:szCs w:val="24"/>
          <w:u w:val="single"/>
        </w:rPr>
        <w:t>Hyppighed angives som følger</w:t>
      </w:r>
    </w:p>
    <w:p w14:paraId="1CAA19F2" w14:textId="77777777" w:rsidR="006C5C65" w:rsidRPr="006C5C65" w:rsidRDefault="006C5C65" w:rsidP="006C5C65">
      <w:pPr>
        <w:tabs>
          <w:tab w:val="left" w:pos="1701"/>
        </w:tabs>
        <w:rPr>
          <w:rFonts w:eastAsia="MS Mincho"/>
          <w:sz w:val="24"/>
          <w:szCs w:val="24"/>
        </w:rPr>
      </w:pPr>
      <w:r w:rsidRPr="006C5C65">
        <w:rPr>
          <w:rFonts w:eastAsia="MS Mincho"/>
          <w:sz w:val="24"/>
          <w:szCs w:val="24"/>
        </w:rPr>
        <w:t>Meget almindelig</w:t>
      </w:r>
      <w:r w:rsidRPr="006C5C65">
        <w:rPr>
          <w:rFonts w:eastAsia="MS Mincho"/>
          <w:sz w:val="24"/>
          <w:szCs w:val="24"/>
        </w:rPr>
        <w:tab/>
        <w:t>(≥ 1/10)</w:t>
      </w:r>
    </w:p>
    <w:p w14:paraId="44B21109" w14:textId="77777777" w:rsidR="006C5C65" w:rsidRPr="006C5C65" w:rsidRDefault="006C5C65" w:rsidP="006C5C65">
      <w:pPr>
        <w:tabs>
          <w:tab w:val="left" w:pos="1701"/>
        </w:tabs>
        <w:rPr>
          <w:rFonts w:eastAsia="MS Mincho"/>
          <w:sz w:val="24"/>
          <w:szCs w:val="24"/>
        </w:rPr>
      </w:pPr>
      <w:r w:rsidRPr="006C5C65">
        <w:rPr>
          <w:rFonts w:eastAsia="MS Mincho"/>
          <w:sz w:val="24"/>
          <w:szCs w:val="24"/>
        </w:rPr>
        <w:t>Almindelig</w:t>
      </w:r>
      <w:r w:rsidRPr="006C5C65">
        <w:rPr>
          <w:rFonts w:eastAsia="MS Mincho"/>
          <w:sz w:val="24"/>
          <w:szCs w:val="24"/>
        </w:rPr>
        <w:tab/>
        <w:t>(≥ 1/100 til &lt; 1/10)</w:t>
      </w:r>
    </w:p>
    <w:p w14:paraId="7E4461FA" w14:textId="77777777" w:rsidR="006C5C65" w:rsidRPr="006C5C65" w:rsidRDefault="006C5C65" w:rsidP="006C5C65">
      <w:pPr>
        <w:tabs>
          <w:tab w:val="left" w:pos="1701"/>
        </w:tabs>
        <w:rPr>
          <w:rFonts w:eastAsia="MS Mincho"/>
          <w:sz w:val="24"/>
          <w:szCs w:val="24"/>
        </w:rPr>
      </w:pPr>
      <w:r w:rsidRPr="006C5C65">
        <w:rPr>
          <w:rFonts w:eastAsia="MS Mincho"/>
          <w:sz w:val="24"/>
          <w:szCs w:val="24"/>
        </w:rPr>
        <w:t>Ikke almindelig</w:t>
      </w:r>
      <w:r w:rsidRPr="006C5C65">
        <w:rPr>
          <w:rFonts w:eastAsia="MS Mincho"/>
          <w:sz w:val="24"/>
          <w:szCs w:val="24"/>
        </w:rPr>
        <w:tab/>
        <w:t>(≥ 1/1.000 til &lt; 1/100)</w:t>
      </w:r>
    </w:p>
    <w:p w14:paraId="206FC09D" w14:textId="77777777" w:rsidR="006C5C65" w:rsidRPr="006C5C65" w:rsidRDefault="006C5C65" w:rsidP="006C5C65">
      <w:pPr>
        <w:tabs>
          <w:tab w:val="left" w:pos="1701"/>
        </w:tabs>
        <w:rPr>
          <w:rFonts w:eastAsia="MS Mincho"/>
          <w:sz w:val="24"/>
          <w:szCs w:val="24"/>
        </w:rPr>
      </w:pPr>
      <w:r w:rsidRPr="006C5C65">
        <w:rPr>
          <w:rFonts w:eastAsia="MS Mincho"/>
          <w:sz w:val="24"/>
          <w:szCs w:val="24"/>
        </w:rPr>
        <w:t>Sjælden</w:t>
      </w:r>
      <w:r w:rsidRPr="006C5C65">
        <w:rPr>
          <w:rFonts w:eastAsia="MS Mincho"/>
          <w:sz w:val="24"/>
          <w:szCs w:val="24"/>
        </w:rPr>
        <w:tab/>
        <w:t>(≥ 1/10.000 til &lt; 1/1.000)</w:t>
      </w:r>
    </w:p>
    <w:p w14:paraId="7A3D0632" w14:textId="77777777" w:rsidR="006C5C65" w:rsidRPr="006C5C65" w:rsidRDefault="006C5C65" w:rsidP="006C5C65">
      <w:pPr>
        <w:tabs>
          <w:tab w:val="left" w:pos="1701"/>
        </w:tabs>
        <w:rPr>
          <w:rFonts w:eastAsia="MS Mincho"/>
          <w:sz w:val="24"/>
          <w:szCs w:val="24"/>
        </w:rPr>
      </w:pPr>
      <w:r w:rsidRPr="006C5C65">
        <w:rPr>
          <w:rFonts w:eastAsia="MS Mincho"/>
          <w:sz w:val="24"/>
          <w:szCs w:val="24"/>
        </w:rPr>
        <w:t>Meget sjælden</w:t>
      </w:r>
      <w:r w:rsidRPr="006C5C65">
        <w:rPr>
          <w:rFonts w:eastAsia="MS Mincho"/>
          <w:sz w:val="24"/>
          <w:szCs w:val="24"/>
        </w:rPr>
        <w:tab/>
        <w:t>(&lt; 1/10.000)</w:t>
      </w:r>
    </w:p>
    <w:p w14:paraId="1223B117" w14:textId="77777777" w:rsidR="006C5C65" w:rsidRPr="006C5C65" w:rsidRDefault="006C5C65" w:rsidP="006C5C65">
      <w:pPr>
        <w:tabs>
          <w:tab w:val="left" w:pos="1701"/>
        </w:tabs>
        <w:rPr>
          <w:rFonts w:eastAsia="MS Mincho"/>
          <w:sz w:val="24"/>
          <w:szCs w:val="24"/>
        </w:rPr>
      </w:pPr>
      <w:r w:rsidRPr="006C5C65">
        <w:rPr>
          <w:rFonts w:eastAsia="MS Mincho"/>
          <w:sz w:val="24"/>
          <w:szCs w:val="24"/>
        </w:rPr>
        <w:t>Ikke kendte</w:t>
      </w:r>
      <w:r w:rsidRPr="006C5C65">
        <w:rPr>
          <w:rFonts w:eastAsia="MS Mincho"/>
          <w:sz w:val="24"/>
          <w:szCs w:val="24"/>
        </w:rPr>
        <w:tab/>
        <w:t xml:space="preserve">(kan ikke estimeres ud fra de tilrådeværende data) </w:t>
      </w:r>
    </w:p>
    <w:p w14:paraId="7E4D7BD2" w14:textId="77777777" w:rsidR="006C5C65" w:rsidRPr="006C5C65" w:rsidRDefault="006C5C65" w:rsidP="006C5C65">
      <w:pPr>
        <w:rPr>
          <w:rFonts w:eastAsia="MS Mincho"/>
          <w:sz w:val="24"/>
          <w:szCs w:val="24"/>
        </w:rPr>
      </w:pPr>
    </w:p>
    <w:p w14:paraId="7D941787" w14:textId="77777777" w:rsidR="006C5C65" w:rsidRPr="006C5C65" w:rsidRDefault="006C5C65" w:rsidP="006C5C65">
      <w:pPr>
        <w:rPr>
          <w:rFonts w:eastAsia="MS Mincho"/>
          <w:sz w:val="24"/>
          <w:szCs w:val="24"/>
        </w:rPr>
      </w:pPr>
      <w:r w:rsidRPr="006C5C65">
        <w:rPr>
          <w:rFonts w:eastAsia="MS Mincho"/>
          <w:sz w:val="24"/>
          <w:szCs w:val="24"/>
        </w:rPr>
        <w:lastRenderedPageBreak/>
        <w:t>Bivirkninger, som er sjældne eller meget sjældne, eller for hvilke hyppigheden ikke er kendt, er ikke medtaget i tabellen.</w:t>
      </w:r>
    </w:p>
    <w:p w14:paraId="35579A24" w14:textId="77777777" w:rsidR="006C5C65" w:rsidRPr="006C5C65" w:rsidRDefault="006C5C65" w:rsidP="006C5C65">
      <w:pPr>
        <w:rPr>
          <w:b/>
          <w:bCs/>
          <w:sz w:val="24"/>
          <w:szCs w:val="24"/>
        </w:rPr>
      </w:pPr>
    </w:p>
    <w:tbl>
      <w:tblPr>
        <w:tblStyle w:val="Tabel-Gitter"/>
        <w:tblW w:w="0" w:type="auto"/>
        <w:tblInd w:w="0" w:type="dxa"/>
        <w:tblLook w:val="04A0" w:firstRow="1" w:lastRow="0" w:firstColumn="1" w:lastColumn="0" w:noHBand="0" w:noVBand="1"/>
      </w:tblPr>
      <w:tblGrid>
        <w:gridCol w:w="2175"/>
        <w:gridCol w:w="2587"/>
        <w:gridCol w:w="2154"/>
        <w:gridCol w:w="2153"/>
      </w:tblGrid>
      <w:tr w:rsidR="006C5C65" w:rsidRPr="0098080C" w14:paraId="1D64CFBE" w14:textId="77777777">
        <w:trPr>
          <w:trHeight w:val="357"/>
          <w:tblHeader/>
        </w:trPr>
        <w:tc>
          <w:tcPr>
            <w:tcW w:w="474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C139E8" w14:textId="77777777" w:rsidR="006C5C65" w:rsidRPr="0098080C" w:rsidRDefault="006C5C65" w:rsidP="006C5C65">
            <w:pPr>
              <w:tabs>
                <w:tab w:val="left" w:pos="2295"/>
              </w:tabs>
              <w:spacing w:before="60" w:after="60"/>
              <w:rPr>
                <w:rFonts w:ascii="Times New Roman" w:hAnsi="Times New Roman" w:cs="Times New Roman"/>
                <w:b/>
                <w:bCs/>
                <w:sz w:val="22"/>
              </w:rPr>
            </w:pPr>
            <w:r w:rsidRPr="0098080C">
              <w:rPr>
                <w:rFonts w:ascii="Times New Roman" w:hAnsi="Times New Roman" w:cs="Times New Roman"/>
                <w:b/>
                <w:bCs/>
                <w:sz w:val="22"/>
              </w:rPr>
              <w:t>Systemorganklasse</w:t>
            </w:r>
          </w:p>
        </w:tc>
        <w:tc>
          <w:tcPr>
            <w:tcW w:w="215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D76987" w14:textId="77777777" w:rsidR="006C5C65" w:rsidRPr="0098080C" w:rsidRDefault="006C5C65" w:rsidP="006C5C65">
            <w:pPr>
              <w:spacing w:before="60" w:after="60"/>
              <w:jc w:val="center"/>
              <w:rPr>
                <w:rFonts w:ascii="Times New Roman" w:hAnsi="Times New Roman" w:cs="Times New Roman"/>
                <w:b/>
                <w:bCs/>
                <w:sz w:val="22"/>
              </w:rPr>
            </w:pPr>
            <w:r w:rsidRPr="0098080C">
              <w:rPr>
                <w:rFonts w:ascii="Times New Roman" w:hAnsi="Times New Roman" w:cs="Times New Roman"/>
                <w:b/>
                <w:bCs/>
                <w:sz w:val="22"/>
              </w:rPr>
              <w:t>Bilastin 10 mg</w:t>
            </w:r>
          </w:p>
          <w:p w14:paraId="31F8176B" w14:textId="77777777" w:rsidR="006C5C65" w:rsidRPr="0098080C" w:rsidRDefault="006C5C65" w:rsidP="006C5C65">
            <w:pPr>
              <w:spacing w:before="60" w:after="60"/>
              <w:jc w:val="center"/>
              <w:rPr>
                <w:rFonts w:ascii="Times New Roman" w:hAnsi="Times New Roman" w:cs="Times New Roman"/>
                <w:b/>
                <w:bCs/>
                <w:sz w:val="22"/>
              </w:rPr>
            </w:pPr>
            <w:r w:rsidRPr="0098080C">
              <w:rPr>
                <w:rFonts w:ascii="Times New Roman" w:hAnsi="Times New Roman" w:cs="Times New Roman"/>
                <w:b/>
                <w:bCs/>
                <w:sz w:val="22"/>
              </w:rPr>
              <w:t>(N = 291)</w:t>
            </w:r>
            <w:r w:rsidRPr="0098080C">
              <w:rPr>
                <w:rFonts w:ascii="Times New Roman" w:hAnsi="Times New Roman" w:cs="Times New Roman"/>
                <w:b/>
                <w:bCs/>
                <w:sz w:val="22"/>
                <w:vertAlign w:val="superscript"/>
              </w:rPr>
              <w:t>#</w:t>
            </w:r>
          </w:p>
        </w:tc>
        <w:tc>
          <w:tcPr>
            <w:tcW w:w="215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A72044" w14:textId="77777777" w:rsidR="006C5C65" w:rsidRPr="0098080C" w:rsidRDefault="006C5C65" w:rsidP="006C5C65">
            <w:pPr>
              <w:spacing w:before="60" w:after="60"/>
              <w:jc w:val="center"/>
              <w:rPr>
                <w:rFonts w:ascii="Times New Roman" w:hAnsi="Times New Roman" w:cs="Times New Roman"/>
                <w:b/>
                <w:bCs/>
                <w:sz w:val="22"/>
              </w:rPr>
            </w:pPr>
            <w:r w:rsidRPr="0098080C">
              <w:rPr>
                <w:rFonts w:ascii="Times New Roman" w:hAnsi="Times New Roman" w:cs="Times New Roman"/>
                <w:b/>
                <w:bCs/>
                <w:sz w:val="22"/>
              </w:rPr>
              <w:t>Placebo</w:t>
            </w:r>
          </w:p>
          <w:p w14:paraId="478D939D" w14:textId="77777777" w:rsidR="006C5C65" w:rsidRPr="0098080C" w:rsidRDefault="006C5C65" w:rsidP="006C5C65">
            <w:pPr>
              <w:spacing w:before="60" w:after="60"/>
              <w:jc w:val="center"/>
              <w:rPr>
                <w:rFonts w:ascii="Times New Roman" w:hAnsi="Times New Roman" w:cs="Times New Roman"/>
                <w:b/>
                <w:bCs/>
                <w:sz w:val="22"/>
              </w:rPr>
            </w:pPr>
            <w:r w:rsidRPr="0098080C">
              <w:rPr>
                <w:rFonts w:ascii="Times New Roman" w:hAnsi="Times New Roman" w:cs="Times New Roman"/>
                <w:b/>
                <w:bCs/>
                <w:sz w:val="22"/>
              </w:rPr>
              <w:t>(N = 249)</w:t>
            </w:r>
          </w:p>
        </w:tc>
      </w:tr>
      <w:tr w:rsidR="006C5C65" w:rsidRPr="0098080C" w14:paraId="02A2F08F" w14:textId="77777777">
        <w:trPr>
          <w:trHeight w:val="357"/>
          <w:tblHeader/>
        </w:trPr>
        <w:tc>
          <w:tcPr>
            <w:tcW w:w="21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828078"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Hyppighed</w:t>
            </w:r>
          </w:p>
        </w:tc>
        <w:tc>
          <w:tcPr>
            <w:tcW w:w="257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874A46"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Bivirkning</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90844" w14:textId="77777777" w:rsidR="006C5C65" w:rsidRPr="0098080C" w:rsidRDefault="006C5C65" w:rsidP="006C5C65">
            <w:pPr>
              <w:rPr>
                <w:rFonts w:ascii="Times New Roman" w:hAnsi="Times New Roman" w:cs="Times New Roman"/>
                <w:b/>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EF251" w14:textId="77777777" w:rsidR="006C5C65" w:rsidRPr="0098080C" w:rsidRDefault="006C5C65" w:rsidP="006C5C65">
            <w:pPr>
              <w:rPr>
                <w:rFonts w:ascii="Times New Roman" w:hAnsi="Times New Roman" w:cs="Times New Roman"/>
                <w:b/>
                <w:bCs/>
                <w:sz w:val="22"/>
              </w:rPr>
            </w:pPr>
          </w:p>
        </w:tc>
      </w:tr>
      <w:tr w:rsidR="006C5C65" w:rsidRPr="0098080C" w14:paraId="76509FB5"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3FF35D57"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Infektioner og parasitære sygdomme</w:t>
            </w:r>
          </w:p>
        </w:tc>
      </w:tr>
      <w:tr w:rsidR="006C5C65" w:rsidRPr="0098080C" w14:paraId="2E773AAD" w14:textId="77777777">
        <w:tc>
          <w:tcPr>
            <w:tcW w:w="2175" w:type="dxa"/>
            <w:tcBorders>
              <w:top w:val="single" w:sz="4" w:space="0" w:color="auto"/>
              <w:left w:val="single" w:sz="4" w:space="0" w:color="auto"/>
              <w:bottom w:val="single" w:sz="4" w:space="0" w:color="auto"/>
              <w:right w:val="single" w:sz="4" w:space="0" w:color="auto"/>
            </w:tcBorders>
            <w:hideMark/>
          </w:tcPr>
          <w:p w14:paraId="0E0BD014"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Almindelig</w:t>
            </w:r>
          </w:p>
        </w:tc>
        <w:tc>
          <w:tcPr>
            <w:tcW w:w="2573" w:type="dxa"/>
            <w:tcBorders>
              <w:top w:val="single" w:sz="4" w:space="0" w:color="auto"/>
              <w:left w:val="single" w:sz="4" w:space="0" w:color="auto"/>
              <w:bottom w:val="single" w:sz="4" w:space="0" w:color="auto"/>
              <w:right w:val="single" w:sz="4" w:space="0" w:color="auto"/>
            </w:tcBorders>
            <w:hideMark/>
          </w:tcPr>
          <w:p w14:paraId="763A4356"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Rhinitis</w:t>
            </w:r>
          </w:p>
        </w:tc>
        <w:tc>
          <w:tcPr>
            <w:tcW w:w="2154" w:type="dxa"/>
            <w:tcBorders>
              <w:top w:val="single" w:sz="4" w:space="0" w:color="auto"/>
              <w:left w:val="single" w:sz="4" w:space="0" w:color="auto"/>
              <w:bottom w:val="single" w:sz="4" w:space="0" w:color="auto"/>
              <w:right w:val="single" w:sz="4" w:space="0" w:color="auto"/>
            </w:tcBorders>
            <w:hideMark/>
          </w:tcPr>
          <w:p w14:paraId="343643A9"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3 (1,0 %)</w:t>
            </w:r>
          </w:p>
        </w:tc>
        <w:tc>
          <w:tcPr>
            <w:tcW w:w="2153" w:type="dxa"/>
            <w:tcBorders>
              <w:top w:val="single" w:sz="4" w:space="0" w:color="auto"/>
              <w:left w:val="single" w:sz="4" w:space="0" w:color="auto"/>
              <w:bottom w:val="single" w:sz="4" w:space="0" w:color="auto"/>
              <w:right w:val="single" w:sz="4" w:space="0" w:color="auto"/>
            </w:tcBorders>
            <w:hideMark/>
          </w:tcPr>
          <w:p w14:paraId="20CE8955"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3 (1,2 %)</w:t>
            </w:r>
          </w:p>
        </w:tc>
      </w:tr>
      <w:tr w:rsidR="006C5C65" w:rsidRPr="0098080C" w14:paraId="7F3DFE8E"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2F12CC8D"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Nervesystemet</w:t>
            </w:r>
          </w:p>
        </w:tc>
      </w:tr>
      <w:tr w:rsidR="006C5C65" w:rsidRPr="0098080C" w14:paraId="0853E89E" w14:textId="77777777">
        <w:tc>
          <w:tcPr>
            <w:tcW w:w="2175" w:type="dxa"/>
            <w:tcBorders>
              <w:top w:val="single" w:sz="4" w:space="0" w:color="auto"/>
              <w:left w:val="single" w:sz="4" w:space="0" w:color="auto"/>
              <w:bottom w:val="single" w:sz="4" w:space="0" w:color="auto"/>
              <w:right w:val="single" w:sz="4" w:space="0" w:color="auto"/>
            </w:tcBorders>
            <w:hideMark/>
          </w:tcPr>
          <w:p w14:paraId="085B9CC7"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Almindelig</w:t>
            </w:r>
          </w:p>
        </w:tc>
        <w:tc>
          <w:tcPr>
            <w:tcW w:w="2573" w:type="dxa"/>
            <w:tcBorders>
              <w:top w:val="single" w:sz="4" w:space="0" w:color="auto"/>
              <w:left w:val="single" w:sz="4" w:space="0" w:color="auto"/>
              <w:bottom w:val="single" w:sz="4" w:space="0" w:color="auto"/>
              <w:right w:val="single" w:sz="4" w:space="0" w:color="auto"/>
            </w:tcBorders>
            <w:hideMark/>
          </w:tcPr>
          <w:p w14:paraId="3D9A3644"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Hovedpine</w:t>
            </w:r>
          </w:p>
        </w:tc>
        <w:tc>
          <w:tcPr>
            <w:tcW w:w="2154" w:type="dxa"/>
            <w:tcBorders>
              <w:top w:val="single" w:sz="4" w:space="0" w:color="auto"/>
              <w:left w:val="single" w:sz="4" w:space="0" w:color="auto"/>
              <w:bottom w:val="single" w:sz="4" w:space="0" w:color="auto"/>
              <w:right w:val="single" w:sz="4" w:space="0" w:color="auto"/>
            </w:tcBorders>
            <w:hideMark/>
          </w:tcPr>
          <w:p w14:paraId="60209C7A"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6 (2,1 %)</w:t>
            </w:r>
          </w:p>
        </w:tc>
        <w:tc>
          <w:tcPr>
            <w:tcW w:w="2153" w:type="dxa"/>
            <w:tcBorders>
              <w:top w:val="single" w:sz="4" w:space="0" w:color="auto"/>
              <w:left w:val="single" w:sz="4" w:space="0" w:color="auto"/>
              <w:bottom w:val="single" w:sz="4" w:space="0" w:color="auto"/>
              <w:right w:val="single" w:sz="4" w:space="0" w:color="auto"/>
            </w:tcBorders>
            <w:hideMark/>
          </w:tcPr>
          <w:p w14:paraId="5E1FE2FD"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3 (1,2 %)</w:t>
            </w:r>
          </w:p>
        </w:tc>
      </w:tr>
      <w:tr w:rsidR="006C5C65" w:rsidRPr="0098080C" w14:paraId="24480510" w14:textId="77777777">
        <w:tc>
          <w:tcPr>
            <w:tcW w:w="2175" w:type="dxa"/>
            <w:vMerge w:val="restart"/>
            <w:tcBorders>
              <w:top w:val="single" w:sz="4" w:space="0" w:color="auto"/>
              <w:left w:val="single" w:sz="4" w:space="0" w:color="auto"/>
              <w:bottom w:val="single" w:sz="4" w:space="0" w:color="auto"/>
              <w:right w:val="single" w:sz="4" w:space="0" w:color="auto"/>
            </w:tcBorders>
            <w:hideMark/>
          </w:tcPr>
          <w:p w14:paraId="160FADAC"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Ikke almindelig</w:t>
            </w:r>
          </w:p>
        </w:tc>
        <w:tc>
          <w:tcPr>
            <w:tcW w:w="2573" w:type="dxa"/>
            <w:tcBorders>
              <w:top w:val="single" w:sz="4" w:space="0" w:color="auto"/>
              <w:left w:val="single" w:sz="4" w:space="0" w:color="auto"/>
              <w:bottom w:val="single" w:sz="4" w:space="0" w:color="auto"/>
              <w:right w:val="single" w:sz="4" w:space="0" w:color="auto"/>
            </w:tcBorders>
            <w:hideMark/>
          </w:tcPr>
          <w:p w14:paraId="728662C4"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Svimmelhed</w:t>
            </w:r>
          </w:p>
        </w:tc>
        <w:tc>
          <w:tcPr>
            <w:tcW w:w="2154" w:type="dxa"/>
            <w:tcBorders>
              <w:top w:val="single" w:sz="4" w:space="0" w:color="auto"/>
              <w:left w:val="single" w:sz="4" w:space="0" w:color="auto"/>
              <w:bottom w:val="single" w:sz="4" w:space="0" w:color="auto"/>
              <w:right w:val="single" w:sz="4" w:space="0" w:color="auto"/>
            </w:tcBorders>
            <w:hideMark/>
          </w:tcPr>
          <w:p w14:paraId="2887FDC1"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041E9508"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83D7C6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9F6F047" w14:textId="77777777" w:rsidR="006C5C65" w:rsidRPr="0098080C" w:rsidRDefault="006C5C65" w:rsidP="006C5C65">
            <w:pPr>
              <w:rPr>
                <w:rFonts w:ascii="Times New Roman" w:hAnsi="Times New Roman" w:cs="Times New Roman"/>
                <w:b/>
                <w:bCs/>
                <w:sz w:val="22"/>
              </w:rPr>
            </w:pPr>
          </w:p>
        </w:tc>
        <w:tc>
          <w:tcPr>
            <w:tcW w:w="2573" w:type="dxa"/>
            <w:tcBorders>
              <w:top w:val="single" w:sz="4" w:space="0" w:color="auto"/>
              <w:left w:val="single" w:sz="4" w:space="0" w:color="auto"/>
              <w:bottom w:val="single" w:sz="4" w:space="0" w:color="auto"/>
              <w:right w:val="single" w:sz="4" w:space="0" w:color="auto"/>
            </w:tcBorders>
            <w:hideMark/>
          </w:tcPr>
          <w:p w14:paraId="116CE036"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Bevidsthedstab</w:t>
            </w:r>
          </w:p>
        </w:tc>
        <w:tc>
          <w:tcPr>
            <w:tcW w:w="2154" w:type="dxa"/>
            <w:tcBorders>
              <w:top w:val="single" w:sz="4" w:space="0" w:color="auto"/>
              <w:left w:val="single" w:sz="4" w:space="0" w:color="auto"/>
              <w:bottom w:val="single" w:sz="4" w:space="0" w:color="auto"/>
              <w:right w:val="single" w:sz="4" w:space="0" w:color="auto"/>
            </w:tcBorders>
            <w:hideMark/>
          </w:tcPr>
          <w:p w14:paraId="18E23A62"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39E66F02"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677BC491"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49DABC6F"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Øjne</w:t>
            </w:r>
          </w:p>
        </w:tc>
      </w:tr>
      <w:tr w:rsidR="006C5C65" w:rsidRPr="0098080C" w14:paraId="35529061" w14:textId="77777777">
        <w:tc>
          <w:tcPr>
            <w:tcW w:w="2175" w:type="dxa"/>
            <w:tcBorders>
              <w:top w:val="single" w:sz="4" w:space="0" w:color="auto"/>
              <w:left w:val="single" w:sz="4" w:space="0" w:color="auto"/>
              <w:bottom w:val="single" w:sz="4" w:space="0" w:color="auto"/>
              <w:right w:val="single" w:sz="4" w:space="0" w:color="auto"/>
            </w:tcBorders>
            <w:hideMark/>
          </w:tcPr>
          <w:p w14:paraId="1230CB24" w14:textId="77777777" w:rsidR="006C5C65" w:rsidRPr="0098080C" w:rsidRDefault="006C5C65" w:rsidP="006C5C65">
            <w:pPr>
              <w:spacing w:before="60" w:after="60"/>
              <w:rPr>
                <w:rFonts w:ascii="Times New Roman" w:hAnsi="Times New Roman" w:cs="Times New Roman"/>
                <w:b/>
                <w:bCs/>
                <w:i/>
                <w:iCs/>
                <w:sz w:val="22"/>
              </w:rPr>
            </w:pPr>
            <w:r w:rsidRPr="0098080C">
              <w:rPr>
                <w:rFonts w:ascii="Times New Roman" w:hAnsi="Times New Roman" w:cs="Times New Roman"/>
                <w:b/>
                <w:bCs/>
                <w:sz w:val="22"/>
              </w:rPr>
              <w:t>Almindelig</w:t>
            </w:r>
          </w:p>
        </w:tc>
        <w:tc>
          <w:tcPr>
            <w:tcW w:w="2573" w:type="dxa"/>
            <w:tcBorders>
              <w:top w:val="single" w:sz="4" w:space="0" w:color="auto"/>
              <w:left w:val="single" w:sz="4" w:space="0" w:color="auto"/>
              <w:bottom w:val="single" w:sz="4" w:space="0" w:color="auto"/>
              <w:right w:val="single" w:sz="4" w:space="0" w:color="auto"/>
            </w:tcBorders>
            <w:hideMark/>
          </w:tcPr>
          <w:p w14:paraId="74EDDD18"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Allergisk konjunktivitis</w:t>
            </w:r>
          </w:p>
        </w:tc>
        <w:tc>
          <w:tcPr>
            <w:tcW w:w="2154" w:type="dxa"/>
            <w:tcBorders>
              <w:top w:val="single" w:sz="4" w:space="0" w:color="auto"/>
              <w:left w:val="single" w:sz="4" w:space="0" w:color="auto"/>
              <w:bottom w:val="single" w:sz="4" w:space="0" w:color="auto"/>
              <w:right w:val="single" w:sz="4" w:space="0" w:color="auto"/>
            </w:tcBorders>
            <w:hideMark/>
          </w:tcPr>
          <w:p w14:paraId="6447EAB0"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4 (1,4 %)</w:t>
            </w:r>
          </w:p>
        </w:tc>
        <w:tc>
          <w:tcPr>
            <w:tcW w:w="2153" w:type="dxa"/>
            <w:tcBorders>
              <w:top w:val="single" w:sz="4" w:space="0" w:color="auto"/>
              <w:left w:val="single" w:sz="4" w:space="0" w:color="auto"/>
              <w:bottom w:val="single" w:sz="4" w:space="0" w:color="auto"/>
              <w:right w:val="single" w:sz="4" w:space="0" w:color="auto"/>
            </w:tcBorders>
            <w:hideMark/>
          </w:tcPr>
          <w:p w14:paraId="36033D47"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5 (2,0 %)</w:t>
            </w:r>
          </w:p>
        </w:tc>
      </w:tr>
      <w:tr w:rsidR="006C5C65" w:rsidRPr="0098080C" w14:paraId="52B791C4" w14:textId="77777777">
        <w:tc>
          <w:tcPr>
            <w:tcW w:w="2175" w:type="dxa"/>
            <w:tcBorders>
              <w:top w:val="single" w:sz="4" w:space="0" w:color="auto"/>
              <w:left w:val="single" w:sz="4" w:space="0" w:color="auto"/>
              <w:bottom w:val="single" w:sz="4" w:space="0" w:color="auto"/>
              <w:right w:val="single" w:sz="4" w:space="0" w:color="auto"/>
            </w:tcBorders>
            <w:hideMark/>
          </w:tcPr>
          <w:p w14:paraId="3B79ACEF" w14:textId="77777777" w:rsidR="006C5C65" w:rsidRPr="0098080C" w:rsidRDefault="006C5C65" w:rsidP="006C5C65">
            <w:pPr>
              <w:spacing w:before="60" w:after="60"/>
              <w:rPr>
                <w:rFonts w:ascii="Times New Roman" w:hAnsi="Times New Roman" w:cs="Times New Roman"/>
                <w:b/>
                <w:bCs/>
                <w:i/>
                <w:iCs/>
                <w:sz w:val="22"/>
              </w:rPr>
            </w:pPr>
            <w:r w:rsidRPr="0098080C">
              <w:rPr>
                <w:rFonts w:ascii="Times New Roman" w:hAnsi="Times New Roman" w:cs="Times New Roman"/>
                <w:b/>
                <w:bCs/>
                <w:sz w:val="22"/>
              </w:rPr>
              <w:t>Ikke almindelig</w:t>
            </w:r>
          </w:p>
        </w:tc>
        <w:tc>
          <w:tcPr>
            <w:tcW w:w="2573" w:type="dxa"/>
            <w:tcBorders>
              <w:top w:val="single" w:sz="4" w:space="0" w:color="auto"/>
              <w:left w:val="single" w:sz="4" w:space="0" w:color="auto"/>
              <w:bottom w:val="single" w:sz="4" w:space="0" w:color="auto"/>
              <w:right w:val="single" w:sz="4" w:space="0" w:color="auto"/>
            </w:tcBorders>
            <w:hideMark/>
          </w:tcPr>
          <w:p w14:paraId="45EC228B"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Øjenirritation</w:t>
            </w:r>
          </w:p>
        </w:tc>
        <w:tc>
          <w:tcPr>
            <w:tcW w:w="2154" w:type="dxa"/>
            <w:tcBorders>
              <w:top w:val="single" w:sz="4" w:space="0" w:color="auto"/>
              <w:left w:val="single" w:sz="4" w:space="0" w:color="auto"/>
              <w:bottom w:val="single" w:sz="4" w:space="0" w:color="auto"/>
              <w:right w:val="single" w:sz="4" w:space="0" w:color="auto"/>
            </w:tcBorders>
            <w:hideMark/>
          </w:tcPr>
          <w:p w14:paraId="0EF6008C"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0E7FAA5E"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68F43888"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67600031"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Mave-tarm-kanalen</w:t>
            </w:r>
          </w:p>
        </w:tc>
      </w:tr>
      <w:tr w:rsidR="006C5C65" w:rsidRPr="0098080C" w14:paraId="3060CF1E" w14:textId="77777777">
        <w:tc>
          <w:tcPr>
            <w:tcW w:w="2175" w:type="dxa"/>
            <w:tcBorders>
              <w:top w:val="single" w:sz="4" w:space="0" w:color="auto"/>
              <w:left w:val="single" w:sz="4" w:space="0" w:color="auto"/>
              <w:bottom w:val="single" w:sz="4" w:space="0" w:color="auto"/>
              <w:right w:val="single" w:sz="4" w:space="0" w:color="auto"/>
            </w:tcBorders>
            <w:hideMark/>
          </w:tcPr>
          <w:p w14:paraId="7C29A659"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Almindelig</w:t>
            </w:r>
          </w:p>
        </w:tc>
        <w:tc>
          <w:tcPr>
            <w:tcW w:w="2573" w:type="dxa"/>
            <w:tcBorders>
              <w:top w:val="single" w:sz="4" w:space="0" w:color="auto"/>
              <w:left w:val="single" w:sz="4" w:space="0" w:color="auto"/>
              <w:bottom w:val="single" w:sz="4" w:space="0" w:color="auto"/>
              <w:right w:val="single" w:sz="4" w:space="0" w:color="auto"/>
            </w:tcBorders>
            <w:hideMark/>
          </w:tcPr>
          <w:p w14:paraId="64DFA894" w14:textId="77777777" w:rsidR="006C5C65" w:rsidRPr="0098080C" w:rsidRDefault="006C5C65" w:rsidP="006C5C65">
            <w:pPr>
              <w:spacing w:before="60" w:after="60"/>
              <w:rPr>
                <w:rFonts w:ascii="Times New Roman" w:hAnsi="Times New Roman" w:cs="Times New Roman"/>
                <w:sz w:val="22"/>
                <w:lang w:val="nb-NO"/>
              </w:rPr>
            </w:pPr>
            <w:r w:rsidRPr="0098080C">
              <w:rPr>
                <w:rFonts w:ascii="Times New Roman" w:hAnsi="Times New Roman" w:cs="Times New Roman"/>
                <w:sz w:val="22"/>
                <w:lang w:val="nb-NO"/>
              </w:rPr>
              <w:t>Abdominalsmerter/smerter i øvre abdomen</w:t>
            </w:r>
          </w:p>
        </w:tc>
        <w:tc>
          <w:tcPr>
            <w:tcW w:w="2154" w:type="dxa"/>
            <w:tcBorders>
              <w:top w:val="single" w:sz="4" w:space="0" w:color="auto"/>
              <w:left w:val="single" w:sz="4" w:space="0" w:color="auto"/>
              <w:bottom w:val="single" w:sz="4" w:space="0" w:color="auto"/>
              <w:right w:val="single" w:sz="4" w:space="0" w:color="auto"/>
            </w:tcBorders>
            <w:hideMark/>
          </w:tcPr>
          <w:p w14:paraId="73532688"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3 (1,0 %)</w:t>
            </w:r>
          </w:p>
        </w:tc>
        <w:tc>
          <w:tcPr>
            <w:tcW w:w="2153" w:type="dxa"/>
            <w:tcBorders>
              <w:top w:val="single" w:sz="4" w:space="0" w:color="auto"/>
              <w:left w:val="single" w:sz="4" w:space="0" w:color="auto"/>
              <w:bottom w:val="single" w:sz="4" w:space="0" w:color="auto"/>
              <w:right w:val="single" w:sz="4" w:space="0" w:color="auto"/>
            </w:tcBorders>
            <w:hideMark/>
          </w:tcPr>
          <w:p w14:paraId="57FA1768"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3 (1,2 %)</w:t>
            </w:r>
          </w:p>
        </w:tc>
      </w:tr>
      <w:tr w:rsidR="006C5C65" w:rsidRPr="0098080C" w14:paraId="4ACDFC97" w14:textId="77777777">
        <w:tc>
          <w:tcPr>
            <w:tcW w:w="2175" w:type="dxa"/>
            <w:vMerge w:val="restart"/>
            <w:tcBorders>
              <w:top w:val="single" w:sz="4" w:space="0" w:color="auto"/>
              <w:left w:val="single" w:sz="4" w:space="0" w:color="auto"/>
              <w:bottom w:val="single" w:sz="4" w:space="0" w:color="auto"/>
              <w:right w:val="single" w:sz="4" w:space="0" w:color="auto"/>
            </w:tcBorders>
            <w:hideMark/>
          </w:tcPr>
          <w:p w14:paraId="0CF67FAD" w14:textId="77777777" w:rsidR="006C5C65" w:rsidRPr="0098080C" w:rsidRDefault="006C5C65" w:rsidP="006C5C65">
            <w:pPr>
              <w:spacing w:before="60" w:after="60"/>
              <w:rPr>
                <w:rFonts w:ascii="Times New Roman" w:hAnsi="Times New Roman" w:cs="Times New Roman"/>
                <w:b/>
                <w:bCs/>
                <w:i/>
                <w:iCs/>
                <w:sz w:val="22"/>
              </w:rPr>
            </w:pPr>
            <w:r w:rsidRPr="0098080C">
              <w:rPr>
                <w:rFonts w:ascii="Times New Roman" w:hAnsi="Times New Roman" w:cs="Times New Roman"/>
                <w:b/>
                <w:bCs/>
                <w:sz w:val="22"/>
              </w:rPr>
              <w:t>Ikke almindelig</w:t>
            </w:r>
          </w:p>
        </w:tc>
        <w:tc>
          <w:tcPr>
            <w:tcW w:w="2573" w:type="dxa"/>
            <w:tcBorders>
              <w:top w:val="single" w:sz="4" w:space="0" w:color="auto"/>
              <w:left w:val="single" w:sz="4" w:space="0" w:color="auto"/>
              <w:bottom w:val="single" w:sz="4" w:space="0" w:color="auto"/>
              <w:right w:val="single" w:sz="4" w:space="0" w:color="auto"/>
            </w:tcBorders>
            <w:hideMark/>
          </w:tcPr>
          <w:p w14:paraId="678CD827"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Diarré</w:t>
            </w:r>
          </w:p>
        </w:tc>
        <w:tc>
          <w:tcPr>
            <w:tcW w:w="2154" w:type="dxa"/>
            <w:tcBorders>
              <w:top w:val="single" w:sz="4" w:space="0" w:color="auto"/>
              <w:left w:val="single" w:sz="4" w:space="0" w:color="auto"/>
              <w:bottom w:val="single" w:sz="4" w:space="0" w:color="auto"/>
              <w:right w:val="single" w:sz="4" w:space="0" w:color="auto"/>
            </w:tcBorders>
            <w:hideMark/>
          </w:tcPr>
          <w:p w14:paraId="214D34E0"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2 (0,7 %)</w:t>
            </w:r>
          </w:p>
        </w:tc>
        <w:tc>
          <w:tcPr>
            <w:tcW w:w="2153" w:type="dxa"/>
            <w:tcBorders>
              <w:top w:val="single" w:sz="4" w:space="0" w:color="auto"/>
              <w:left w:val="single" w:sz="4" w:space="0" w:color="auto"/>
              <w:bottom w:val="single" w:sz="4" w:space="0" w:color="auto"/>
              <w:right w:val="single" w:sz="4" w:space="0" w:color="auto"/>
            </w:tcBorders>
            <w:hideMark/>
          </w:tcPr>
          <w:p w14:paraId="29F22DA6"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3C1C2F9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B600B0A" w14:textId="77777777" w:rsidR="006C5C65" w:rsidRPr="0098080C" w:rsidRDefault="006C5C65" w:rsidP="006C5C65">
            <w:pPr>
              <w:rPr>
                <w:rFonts w:ascii="Times New Roman" w:hAnsi="Times New Roman" w:cs="Times New Roman"/>
                <w:b/>
                <w:bCs/>
                <w:i/>
                <w:iCs/>
                <w:sz w:val="22"/>
              </w:rPr>
            </w:pPr>
          </w:p>
        </w:tc>
        <w:tc>
          <w:tcPr>
            <w:tcW w:w="2573" w:type="dxa"/>
            <w:tcBorders>
              <w:top w:val="single" w:sz="4" w:space="0" w:color="auto"/>
              <w:left w:val="single" w:sz="4" w:space="0" w:color="auto"/>
              <w:bottom w:val="single" w:sz="4" w:space="0" w:color="auto"/>
              <w:right w:val="single" w:sz="4" w:space="0" w:color="auto"/>
            </w:tcBorders>
            <w:hideMark/>
          </w:tcPr>
          <w:p w14:paraId="0E9464D7"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Kvalme</w:t>
            </w:r>
          </w:p>
        </w:tc>
        <w:tc>
          <w:tcPr>
            <w:tcW w:w="2154" w:type="dxa"/>
            <w:tcBorders>
              <w:top w:val="single" w:sz="4" w:space="0" w:color="auto"/>
              <w:left w:val="single" w:sz="4" w:space="0" w:color="auto"/>
              <w:bottom w:val="single" w:sz="4" w:space="0" w:color="auto"/>
              <w:right w:val="single" w:sz="4" w:space="0" w:color="auto"/>
            </w:tcBorders>
            <w:hideMark/>
          </w:tcPr>
          <w:p w14:paraId="6DED364A"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404898D6"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71BA22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059C81C" w14:textId="77777777" w:rsidR="006C5C65" w:rsidRPr="0098080C" w:rsidRDefault="006C5C65" w:rsidP="006C5C65">
            <w:pPr>
              <w:rPr>
                <w:rFonts w:ascii="Times New Roman" w:hAnsi="Times New Roman" w:cs="Times New Roman"/>
                <w:b/>
                <w:bCs/>
                <w:i/>
                <w:iCs/>
                <w:sz w:val="22"/>
              </w:rPr>
            </w:pPr>
          </w:p>
        </w:tc>
        <w:tc>
          <w:tcPr>
            <w:tcW w:w="2573" w:type="dxa"/>
            <w:tcBorders>
              <w:top w:val="single" w:sz="4" w:space="0" w:color="auto"/>
              <w:left w:val="single" w:sz="4" w:space="0" w:color="auto"/>
              <w:bottom w:val="single" w:sz="4" w:space="0" w:color="auto"/>
              <w:right w:val="single" w:sz="4" w:space="0" w:color="auto"/>
            </w:tcBorders>
            <w:hideMark/>
          </w:tcPr>
          <w:p w14:paraId="2F5EAC5F"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Hævede læber</w:t>
            </w:r>
          </w:p>
        </w:tc>
        <w:tc>
          <w:tcPr>
            <w:tcW w:w="2154" w:type="dxa"/>
            <w:tcBorders>
              <w:top w:val="single" w:sz="4" w:space="0" w:color="auto"/>
              <w:left w:val="single" w:sz="4" w:space="0" w:color="auto"/>
              <w:bottom w:val="single" w:sz="4" w:space="0" w:color="auto"/>
              <w:right w:val="single" w:sz="4" w:space="0" w:color="auto"/>
            </w:tcBorders>
            <w:hideMark/>
          </w:tcPr>
          <w:p w14:paraId="5E0775F4"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5F44E961"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08862767"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0CDCAA83"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Hud og subkutane væv</w:t>
            </w:r>
          </w:p>
        </w:tc>
      </w:tr>
      <w:tr w:rsidR="006C5C65" w:rsidRPr="0098080C" w14:paraId="60188516" w14:textId="77777777">
        <w:tc>
          <w:tcPr>
            <w:tcW w:w="2175" w:type="dxa"/>
            <w:vMerge w:val="restart"/>
            <w:tcBorders>
              <w:top w:val="single" w:sz="4" w:space="0" w:color="auto"/>
              <w:left w:val="single" w:sz="4" w:space="0" w:color="auto"/>
              <w:bottom w:val="single" w:sz="4" w:space="0" w:color="auto"/>
              <w:right w:val="single" w:sz="4" w:space="0" w:color="auto"/>
            </w:tcBorders>
            <w:hideMark/>
          </w:tcPr>
          <w:p w14:paraId="1DA25CA8" w14:textId="77777777" w:rsidR="006C5C65" w:rsidRPr="0098080C" w:rsidRDefault="006C5C65" w:rsidP="006C5C65">
            <w:pPr>
              <w:spacing w:before="60" w:after="60"/>
              <w:rPr>
                <w:rFonts w:ascii="Times New Roman" w:hAnsi="Times New Roman" w:cs="Times New Roman"/>
                <w:b/>
                <w:bCs/>
                <w:i/>
                <w:iCs/>
                <w:sz w:val="22"/>
              </w:rPr>
            </w:pPr>
            <w:r w:rsidRPr="0098080C">
              <w:rPr>
                <w:rFonts w:ascii="Times New Roman" w:hAnsi="Times New Roman" w:cs="Times New Roman"/>
                <w:b/>
                <w:bCs/>
                <w:sz w:val="22"/>
              </w:rPr>
              <w:t>Ikke almindelig</w:t>
            </w:r>
          </w:p>
        </w:tc>
        <w:tc>
          <w:tcPr>
            <w:tcW w:w="2573" w:type="dxa"/>
            <w:tcBorders>
              <w:top w:val="single" w:sz="4" w:space="0" w:color="auto"/>
              <w:left w:val="single" w:sz="4" w:space="0" w:color="auto"/>
              <w:bottom w:val="single" w:sz="4" w:space="0" w:color="auto"/>
              <w:right w:val="single" w:sz="4" w:space="0" w:color="auto"/>
            </w:tcBorders>
            <w:hideMark/>
          </w:tcPr>
          <w:p w14:paraId="78C96262"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Eksem</w:t>
            </w:r>
          </w:p>
        </w:tc>
        <w:tc>
          <w:tcPr>
            <w:tcW w:w="2154" w:type="dxa"/>
            <w:tcBorders>
              <w:top w:val="single" w:sz="4" w:space="0" w:color="auto"/>
              <w:left w:val="single" w:sz="4" w:space="0" w:color="auto"/>
              <w:bottom w:val="single" w:sz="4" w:space="0" w:color="auto"/>
              <w:right w:val="single" w:sz="4" w:space="0" w:color="auto"/>
            </w:tcBorders>
            <w:hideMark/>
          </w:tcPr>
          <w:p w14:paraId="60D04322"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1 (0,3 %)</w:t>
            </w:r>
          </w:p>
        </w:tc>
        <w:tc>
          <w:tcPr>
            <w:tcW w:w="2153" w:type="dxa"/>
            <w:tcBorders>
              <w:top w:val="single" w:sz="4" w:space="0" w:color="auto"/>
              <w:left w:val="single" w:sz="4" w:space="0" w:color="auto"/>
              <w:bottom w:val="single" w:sz="4" w:space="0" w:color="auto"/>
              <w:right w:val="single" w:sz="4" w:space="0" w:color="auto"/>
            </w:tcBorders>
            <w:hideMark/>
          </w:tcPr>
          <w:p w14:paraId="30AC612B"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r w:rsidR="006C5C65" w:rsidRPr="0098080C" w14:paraId="54832F7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B68E5C" w14:textId="77777777" w:rsidR="006C5C65" w:rsidRPr="0098080C" w:rsidRDefault="006C5C65" w:rsidP="006C5C65">
            <w:pPr>
              <w:rPr>
                <w:rFonts w:ascii="Times New Roman" w:hAnsi="Times New Roman" w:cs="Times New Roman"/>
                <w:b/>
                <w:bCs/>
                <w:i/>
                <w:iCs/>
                <w:sz w:val="22"/>
              </w:rPr>
            </w:pPr>
          </w:p>
        </w:tc>
        <w:tc>
          <w:tcPr>
            <w:tcW w:w="2573" w:type="dxa"/>
            <w:tcBorders>
              <w:top w:val="single" w:sz="4" w:space="0" w:color="auto"/>
              <w:left w:val="single" w:sz="4" w:space="0" w:color="auto"/>
              <w:bottom w:val="single" w:sz="4" w:space="0" w:color="auto"/>
              <w:right w:val="single" w:sz="4" w:space="0" w:color="auto"/>
            </w:tcBorders>
            <w:hideMark/>
          </w:tcPr>
          <w:p w14:paraId="21803272"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Urticaria</w:t>
            </w:r>
          </w:p>
        </w:tc>
        <w:tc>
          <w:tcPr>
            <w:tcW w:w="2154" w:type="dxa"/>
            <w:tcBorders>
              <w:top w:val="single" w:sz="4" w:space="0" w:color="auto"/>
              <w:left w:val="single" w:sz="4" w:space="0" w:color="auto"/>
              <w:bottom w:val="single" w:sz="4" w:space="0" w:color="auto"/>
              <w:right w:val="single" w:sz="4" w:space="0" w:color="auto"/>
            </w:tcBorders>
            <w:hideMark/>
          </w:tcPr>
          <w:p w14:paraId="4E1BFCC8"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2 (0,7 %)</w:t>
            </w:r>
          </w:p>
        </w:tc>
        <w:tc>
          <w:tcPr>
            <w:tcW w:w="2153" w:type="dxa"/>
            <w:tcBorders>
              <w:top w:val="single" w:sz="4" w:space="0" w:color="auto"/>
              <w:left w:val="single" w:sz="4" w:space="0" w:color="auto"/>
              <w:bottom w:val="single" w:sz="4" w:space="0" w:color="auto"/>
              <w:right w:val="single" w:sz="4" w:space="0" w:color="auto"/>
            </w:tcBorders>
            <w:hideMark/>
          </w:tcPr>
          <w:p w14:paraId="22BD556E"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2 (0,8 %)</w:t>
            </w:r>
          </w:p>
        </w:tc>
      </w:tr>
      <w:tr w:rsidR="006C5C65" w:rsidRPr="0098080C" w14:paraId="3D4E638C" w14:textId="77777777">
        <w:tc>
          <w:tcPr>
            <w:tcW w:w="9055" w:type="dxa"/>
            <w:gridSpan w:val="4"/>
            <w:tcBorders>
              <w:top w:val="single" w:sz="4" w:space="0" w:color="auto"/>
              <w:left w:val="single" w:sz="4" w:space="0" w:color="auto"/>
              <w:bottom w:val="single" w:sz="4" w:space="0" w:color="auto"/>
              <w:right w:val="single" w:sz="4" w:space="0" w:color="auto"/>
            </w:tcBorders>
            <w:hideMark/>
          </w:tcPr>
          <w:p w14:paraId="47C074D1" w14:textId="77777777" w:rsidR="006C5C65" w:rsidRPr="0098080C" w:rsidRDefault="006C5C65" w:rsidP="006C5C65">
            <w:pPr>
              <w:spacing w:before="60" w:after="60"/>
              <w:rPr>
                <w:rFonts w:ascii="Times New Roman" w:hAnsi="Times New Roman" w:cs="Times New Roman"/>
                <w:b/>
                <w:bCs/>
                <w:sz w:val="22"/>
              </w:rPr>
            </w:pPr>
            <w:r w:rsidRPr="0098080C">
              <w:rPr>
                <w:rFonts w:ascii="Times New Roman" w:hAnsi="Times New Roman" w:cs="Times New Roman"/>
                <w:b/>
                <w:bCs/>
                <w:sz w:val="22"/>
              </w:rPr>
              <w:t>Almene symptomer og reaktioner på administrationsstedet</w:t>
            </w:r>
          </w:p>
        </w:tc>
      </w:tr>
      <w:tr w:rsidR="006C5C65" w:rsidRPr="0098080C" w14:paraId="498F350E" w14:textId="77777777">
        <w:tc>
          <w:tcPr>
            <w:tcW w:w="2175" w:type="dxa"/>
            <w:tcBorders>
              <w:top w:val="single" w:sz="4" w:space="0" w:color="auto"/>
              <w:left w:val="single" w:sz="4" w:space="0" w:color="auto"/>
              <w:bottom w:val="single" w:sz="4" w:space="0" w:color="auto"/>
              <w:right w:val="single" w:sz="4" w:space="0" w:color="auto"/>
            </w:tcBorders>
            <w:hideMark/>
          </w:tcPr>
          <w:p w14:paraId="034DC1BD" w14:textId="77777777" w:rsidR="006C5C65" w:rsidRPr="0098080C" w:rsidRDefault="006C5C65" w:rsidP="006C5C65">
            <w:pPr>
              <w:spacing w:before="60" w:after="60"/>
              <w:rPr>
                <w:rFonts w:ascii="Times New Roman" w:hAnsi="Times New Roman" w:cs="Times New Roman"/>
                <w:b/>
                <w:bCs/>
                <w:i/>
                <w:iCs/>
                <w:sz w:val="22"/>
              </w:rPr>
            </w:pPr>
            <w:r w:rsidRPr="0098080C">
              <w:rPr>
                <w:rFonts w:ascii="Times New Roman" w:hAnsi="Times New Roman" w:cs="Times New Roman"/>
                <w:b/>
                <w:bCs/>
                <w:sz w:val="22"/>
              </w:rPr>
              <w:t>Ikke almindelig</w:t>
            </w:r>
          </w:p>
        </w:tc>
        <w:tc>
          <w:tcPr>
            <w:tcW w:w="2573" w:type="dxa"/>
            <w:tcBorders>
              <w:top w:val="single" w:sz="4" w:space="0" w:color="auto"/>
              <w:left w:val="single" w:sz="4" w:space="0" w:color="auto"/>
              <w:bottom w:val="single" w:sz="4" w:space="0" w:color="auto"/>
              <w:right w:val="single" w:sz="4" w:space="0" w:color="auto"/>
            </w:tcBorders>
            <w:hideMark/>
          </w:tcPr>
          <w:p w14:paraId="590E14E6" w14:textId="77777777" w:rsidR="006C5C65" w:rsidRPr="0098080C" w:rsidRDefault="006C5C65" w:rsidP="006C5C65">
            <w:pPr>
              <w:spacing w:before="60" w:after="60"/>
              <w:rPr>
                <w:rFonts w:ascii="Times New Roman" w:hAnsi="Times New Roman" w:cs="Times New Roman"/>
                <w:sz w:val="22"/>
              </w:rPr>
            </w:pPr>
            <w:r w:rsidRPr="0098080C">
              <w:rPr>
                <w:rFonts w:ascii="Times New Roman" w:hAnsi="Times New Roman" w:cs="Times New Roman"/>
                <w:sz w:val="22"/>
              </w:rPr>
              <w:t>Træthed</w:t>
            </w:r>
          </w:p>
        </w:tc>
        <w:tc>
          <w:tcPr>
            <w:tcW w:w="2154" w:type="dxa"/>
            <w:tcBorders>
              <w:top w:val="single" w:sz="4" w:space="0" w:color="auto"/>
              <w:left w:val="single" w:sz="4" w:space="0" w:color="auto"/>
              <w:bottom w:val="single" w:sz="4" w:space="0" w:color="auto"/>
              <w:right w:val="single" w:sz="4" w:space="0" w:color="auto"/>
            </w:tcBorders>
            <w:hideMark/>
          </w:tcPr>
          <w:p w14:paraId="0C449FF7"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2 (0,7 %)</w:t>
            </w:r>
          </w:p>
        </w:tc>
        <w:tc>
          <w:tcPr>
            <w:tcW w:w="2153" w:type="dxa"/>
            <w:tcBorders>
              <w:top w:val="single" w:sz="4" w:space="0" w:color="auto"/>
              <w:left w:val="single" w:sz="4" w:space="0" w:color="auto"/>
              <w:bottom w:val="single" w:sz="4" w:space="0" w:color="auto"/>
              <w:right w:val="single" w:sz="4" w:space="0" w:color="auto"/>
            </w:tcBorders>
            <w:hideMark/>
          </w:tcPr>
          <w:p w14:paraId="3FB97A22" w14:textId="77777777" w:rsidR="006C5C65" w:rsidRPr="0098080C" w:rsidRDefault="006C5C65" w:rsidP="006C5C65">
            <w:pPr>
              <w:spacing w:before="60" w:after="60"/>
              <w:jc w:val="center"/>
              <w:rPr>
                <w:rFonts w:ascii="Times New Roman" w:hAnsi="Times New Roman" w:cs="Times New Roman"/>
                <w:sz w:val="22"/>
              </w:rPr>
            </w:pPr>
            <w:r w:rsidRPr="0098080C">
              <w:rPr>
                <w:rFonts w:ascii="Times New Roman" w:hAnsi="Times New Roman" w:cs="Times New Roman"/>
                <w:sz w:val="22"/>
              </w:rPr>
              <w:t>0 (0,0 %)</w:t>
            </w:r>
          </w:p>
        </w:tc>
      </w:tr>
    </w:tbl>
    <w:p w14:paraId="15F33799" w14:textId="77777777" w:rsidR="006C5C65" w:rsidRPr="0098080C" w:rsidRDefault="006C5C65" w:rsidP="006C5C65">
      <w:pPr>
        <w:rPr>
          <w:rFonts w:eastAsia="MS Mincho"/>
          <w:sz w:val="20"/>
        </w:rPr>
      </w:pPr>
      <w:r w:rsidRPr="0098080C">
        <w:rPr>
          <w:rFonts w:eastAsia="MS Mincho"/>
          <w:sz w:val="20"/>
        </w:rPr>
        <w:t>* 260 børn eksponeret i det kliniske sikkerhedsstudie, 31 børn eksponeret i de farmakokinetiske studier</w:t>
      </w:r>
    </w:p>
    <w:p w14:paraId="2EA8B66F" w14:textId="77777777" w:rsidR="006C5C65" w:rsidRPr="006C5C65" w:rsidRDefault="006C5C65" w:rsidP="006C5C65">
      <w:pPr>
        <w:rPr>
          <w:rFonts w:eastAsia="MS Mincho"/>
          <w:sz w:val="24"/>
          <w:szCs w:val="24"/>
          <w:u w:val="single"/>
        </w:rPr>
      </w:pPr>
    </w:p>
    <w:p w14:paraId="196B8F9A" w14:textId="77777777" w:rsidR="006C5C65" w:rsidRPr="006C5C65" w:rsidRDefault="006C5C65" w:rsidP="006C5C65">
      <w:pPr>
        <w:tabs>
          <w:tab w:val="left" w:pos="851"/>
        </w:tabs>
        <w:autoSpaceDE w:val="0"/>
        <w:autoSpaceDN w:val="0"/>
        <w:adjustRightInd w:val="0"/>
        <w:rPr>
          <w:color w:val="000000"/>
          <w:sz w:val="24"/>
          <w:szCs w:val="24"/>
          <w:u w:val="single"/>
        </w:rPr>
      </w:pPr>
      <w:r w:rsidRPr="006C5C65">
        <w:rPr>
          <w:rFonts w:eastAsia="MS Mincho"/>
          <w:color w:val="000000"/>
          <w:sz w:val="24"/>
          <w:szCs w:val="24"/>
          <w:u w:val="single"/>
        </w:rPr>
        <w:t>Beskrivelse af udvalgte bivirkninger hos den pædiatriske population</w:t>
      </w:r>
    </w:p>
    <w:p w14:paraId="4E70C12A" w14:textId="77777777" w:rsidR="006C5C65" w:rsidRPr="006C5C65" w:rsidRDefault="006C5C65" w:rsidP="006C5C65">
      <w:pPr>
        <w:tabs>
          <w:tab w:val="left" w:pos="851"/>
        </w:tabs>
        <w:autoSpaceDE w:val="0"/>
        <w:autoSpaceDN w:val="0"/>
        <w:adjustRightInd w:val="0"/>
        <w:rPr>
          <w:rFonts w:eastAsia="Calibri"/>
          <w:color w:val="000000"/>
          <w:sz w:val="24"/>
          <w:szCs w:val="24"/>
          <w:lang w:eastAsia="it-IT"/>
        </w:rPr>
      </w:pPr>
      <w:r w:rsidRPr="006C5C65">
        <w:rPr>
          <w:rFonts w:eastAsia="MS Mincho"/>
          <w:color w:val="000000"/>
          <w:sz w:val="24"/>
          <w:szCs w:val="24"/>
        </w:rPr>
        <w:t>Hovedpine, abdominalsmerter, allergisk konjunktivitis og rhinitis blev observeret hos børn, der enten blev behandlet med 10 mg bilastin eller med placebo. Den indberettede hyppighed var 2,1 % med bilastin vs. 1,2 % med placebo for hovedpine, svarende til 1,0 % vs. 1,2 % for abdominalsmerter, 1,4 % vs. 2,0 % for allergisk konjunktivitis og 1,0 % vs. 1,2 % for rhinitis.</w:t>
      </w:r>
    </w:p>
    <w:p w14:paraId="56AF4744" w14:textId="77777777" w:rsidR="006C5C65" w:rsidRPr="006C5C65" w:rsidRDefault="006C5C65" w:rsidP="006C5C65">
      <w:pPr>
        <w:tabs>
          <w:tab w:val="left" w:pos="851"/>
        </w:tabs>
        <w:autoSpaceDE w:val="0"/>
        <w:autoSpaceDN w:val="0"/>
        <w:adjustRightInd w:val="0"/>
        <w:rPr>
          <w:noProof/>
          <w:sz w:val="24"/>
          <w:szCs w:val="24"/>
          <w:u w:val="single"/>
        </w:rPr>
      </w:pPr>
    </w:p>
    <w:p w14:paraId="1D4DE1D5" w14:textId="77777777" w:rsidR="006C5C65" w:rsidRPr="006C5C65" w:rsidRDefault="006C5C65" w:rsidP="006C5C65">
      <w:pPr>
        <w:tabs>
          <w:tab w:val="left" w:pos="851"/>
        </w:tabs>
        <w:autoSpaceDE w:val="0"/>
        <w:autoSpaceDN w:val="0"/>
        <w:adjustRightInd w:val="0"/>
        <w:rPr>
          <w:sz w:val="24"/>
          <w:szCs w:val="24"/>
          <w:u w:val="single"/>
        </w:rPr>
      </w:pPr>
      <w:r w:rsidRPr="006C5C65">
        <w:rPr>
          <w:noProof/>
          <w:sz w:val="24"/>
          <w:szCs w:val="24"/>
          <w:u w:val="single"/>
        </w:rPr>
        <w:t>Indberetning af formodede bivirkninger</w:t>
      </w:r>
    </w:p>
    <w:p w14:paraId="4FDD71F5" w14:textId="77777777" w:rsidR="006C5C65" w:rsidRPr="006C5C65" w:rsidRDefault="006C5C65" w:rsidP="006C5C65">
      <w:pPr>
        <w:tabs>
          <w:tab w:val="left" w:pos="567"/>
          <w:tab w:val="left" w:pos="851"/>
        </w:tabs>
        <w:autoSpaceDE w:val="0"/>
        <w:autoSpaceDN w:val="0"/>
        <w:adjustRightInd w:val="0"/>
        <w:rPr>
          <w:noProof/>
          <w:sz w:val="24"/>
          <w:szCs w:val="24"/>
        </w:rPr>
      </w:pPr>
      <w:r w:rsidRPr="006C5C65">
        <w:rPr>
          <w:noProof/>
          <w:sz w:val="24"/>
          <w:szCs w:val="24"/>
        </w:rPr>
        <w:t>Når lægemidlet er godkendt, er indberetning af formodede bivirkninger vigtig.</w:t>
      </w:r>
      <w:r w:rsidRPr="006C5C65">
        <w:rPr>
          <w:sz w:val="24"/>
          <w:szCs w:val="24"/>
        </w:rPr>
        <w:t xml:space="preserve"> </w:t>
      </w:r>
      <w:r w:rsidRPr="006C5C65">
        <w:rPr>
          <w:noProof/>
          <w:sz w:val="24"/>
          <w:szCs w:val="24"/>
        </w:rPr>
        <w:t>Det muliggør løbende overvågning af benefit/risk-forholdet for lægemidlet.</w:t>
      </w:r>
      <w:r w:rsidRPr="006C5C65">
        <w:rPr>
          <w:sz w:val="24"/>
          <w:szCs w:val="24"/>
        </w:rPr>
        <w:t xml:space="preserve"> </w:t>
      </w:r>
      <w:r w:rsidRPr="006C5C65">
        <w:rPr>
          <w:noProof/>
          <w:sz w:val="24"/>
          <w:szCs w:val="24"/>
        </w:rPr>
        <w:t>Sundhedspersoner anmodes om at indberette alle formodede bivirkninger via:</w:t>
      </w:r>
    </w:p>
    <w:p w14:paraId="7D69AC13" w14:textId="77777777" w:rsidR="006C5C65" w:rsidRPr="006C5C65" w:rsidRDefault="006C5C65" w:rsidP="006C5C65">
      <w:pPr>
        <w:tabs>
          <w:tab w:val="left" w:pos="851"/>
        </w:tabs>
        <w:rPr>
          <w:noProof/>
          <w:sz w:val="24"/>
          <w:szCs w:val="24"/>
        </w:rPr>
      </w:pPr>
    </w:p>
    <w:p w14:paraId="59FB6091" w14:textId="18690849" w:rsidR="006C5C65" w:rsidRPr="0098080C" w:rsidRDefault="006C5C65" w:rsidP="006C5C65">
      <w:pPr>
        <w:rPr>
          <w:noProof/>
          <w:sz w:val="24"/>
          <w:szCs w:val="24"/>
        </w:rPr>
      </w:pPr>
      <w:r w:rsidRPr="006C5C65">
        <w:rPr>
          <w:noProof/>
          <w:sz w:val="24"/>
          <w:szCs w:val="24"/>
        </w:rPr>
        <w:t xml:space="preserve">Lægemiddelstyrelsen </w:t>
      </w:r>
      <w:r w:rsidRPr="006C5C65">
        <w:rPr>
          <w:noProof/>
          <w:sz w:val="24"/>
          <w:szCs w:val="24"/>
        </w:rPr>
        <w:br/>
        <w:t xml:space="preserve">Axel Heides Gade 1 </w:t>
      </w:r>
      <w:r w:rsidRPr="006C5C65">
        <w:rPr>
          <w:noProof/>
          <w:sz w:val="24"/>
          <w:szCs w:val="24"/>
        </w:rPr>
        <w:br/>
        <w:t>DK-2300 København S</w:t>
      </w:r>
      <w:r w:rsidRPr="006C5C65">
        <w:rPr>
          <w:noProof/>
          <w:sz w:val="24"/>
          <w:szCs w:val="24"/>
        </w:rPr>
        <w:br/>
      </w:r>
      <w:r w:rsidRPr="0098080C">
        <w:rPr>
          <w:noProof/>
          <w:sz w:val="24"/>
          <w:szCs w:val="24"/>
        </w:rPr>
        <w:t>Websted: www.meldenbivirkning.dk</w:t>
      </w:r>
    </w:p>
    <w:p w14:paraId="1BB48AB2" w14:textId="77777777" w:rsidR="006C5C65" w:rsidRPr="006C5C65" w:rsidRDefault="006C5C65" w:rsidP="006C5C65">
      <w:pPr>
        <w:rPr>
          <w:sz w:val="24"/>
          <w:szCs w:val="24"/>
        </w:rPr>
      </w:pPr>
    </w:p>
    <w:p w14:paraId="1EDBCD21" w14:textId="77777777" w:rsidR="009260DE" w:rsidRPr="00A10294" w:rsidRDefault="009260DE" w:rsidP="00A10294">
      <w:pPr>
        <w:tabs>
          <w:tab w:val="left" w:pos="851"/>
        </w:tabs>
        <w:ind w:left="851"/>
        <w:rPr>
          <w:sz w:val="24"/>
          <w:szCs w:val="24"/>
        </w:rPr>
      </w:pPr>
    </w:p>
    <w:p w14:paraId="71592CEC"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631AE0BE" w14:textId="77777777" w:rsidR="006C5C65" w:rsidRPr="006C5C65" w:rsidRDefault="006C5C65" w:rsidP="006C5C65">
      <w:pPr>
        <w:tabs>
          <w:tab w:val="left" w:pos="851"/>
        </w:tabs>
        <w:ind w:left="851"/>
        <w:rPr>
          <w:sz w:val="24"/>
          <w:szCs w:val="24"/>
        </w:rPr>
      </w:pPr>
      <w:r w:rsidRPr="006C5C65">
        <w:rPr>
          <w:sz w:val="24"/>
          <w:szCs w:val="24"/>
        </w:rPr>
        <w:t>Information om akut overdosering med bilastin er uddraget fra kliniske forsøg udført under udviklingen af bilastin og overvågning efter markedsføringen. Efter administration af bilastin i doser, der var 10-11 gange større end den terapeutiske dosis (220 mg som en enkeltdosis eller 200 mg/dag i 7 dage) til 26 raske, voksne forsøgspersoner, var hyppigheden af bivirkninger, der opstod under behandlingen, dobbelt så høj som med placebo under de kliniske forsøg. De hyppigst rapporterede bivirkninger var svimmelhed, hovedpine og kvalme. Der fremkom ingen rapporter om alvorlige bivirkninger eller signifikant forlængelse af QTc-intervallet. De oplysninger, der er indsamlet i forbindelse med overvågning efter markedsføringen, svarer til det, der blev indberettet under de kliniske forsøg.</w:t>
      </w:r>
    </w:p>
    <w:p w14:paraId="192CB843" w14:textId="77777777" w:rsidR="006C5C65" w:rsidRPr="006C5C65" w:rsidRDefault="006C5C65" w:rsidP="006C5C65">
      <w:pPr>
        <w:tabs>
          <w:tab w:val="left" w:pos="851"/>
        </w:tabs>
        <w:ind w:left="851"/>
        <w:rPr>
          <w:sz w:val="24"/>
          <w:szCs w:val="24"/>
        </w:rPr>
      </w:pPr>
    </w:p>
    <w:p w14:paraId="63A590A5" w14:textId="77777777" w:rsidR="006C5C65" w:rsidRPr="006C5C65" w:rsidRDefault="006C5C65" w:rsidP="006C5C65">
      <w:pPr>
        <w:tabs>
          <w:tab w:val="left" w:pos="851"/>
        </w:tabs>
        <w:ind w:left="851"/>
        <w:rPr>
          <w:sz w:val="24"/>
          <w:szCs w:val="24"/>
        </w:rPr>
      </w:pPr>
      <w:r w:rsidRPr="006C5C65">
        <w:rPr>
          <w:sz w:val="24"/>
          <w:szCs w:val="24"/>
        </w:rPr>
        <w:t xml:space="preserve">En kritisk evaluering af virkningen efter gentagne doser (100 mg i 4 dage) af bilastin på ventrikulær repolarisering i et "grundigt QT/QTc </w:t>
      </w:r>
      <w:r w:rsidRPr="006C5C65">
        <w:rPr>
          <w:i/>
          <w:iCs/>
          <w:sz w:val="24"/>
          <w:szCs w:val="24"/>
        </w:rPr>
        <w:t>cross-over</w:t>
      </w:r>
      <w:r w:rsidRPr="006C5C65">
        <w:rPr>
          <w:sz w:val="24"/>
          <w:szCs w:val="24"/>
        </w:rPr>
        <w:t xml:space="preserve">-forsøg" med 30 raske, voksne forsøgspersoner viste ikke signifikant QTc-forlængelse. </w:t>
      </w:r>
    </w:p>
    <w:p w14:paraId="61AAED85" w14:textId="77777777" w:rsidR="006C5C65" w:rsidRPr="006C5C65" w:rsidRDefault="006C5C65" w:rsidP="006C5C65">
      <w:pPr>
        <w:tabs>
          <w:tab w:val="left" w:pos="851"/>
        </w:tabs>
        <w:ind w:left="851"/>
        <w:rPr>
          <w:sz w:val="24"/>
          <w:szCs w:val="24"/>
        </w:rPr>
      </w:pPr>
    </w:p>
    <w:p w14:paraId="7566F083" w14:textId="77777777" w:rsidR="006C5C65" w:rsidRPr="006C5C65" w:rsidRDefault="006C5C65" w:rsidP="006C5C65">
      <w:pPr>
        <w:tabs>
          <w:tab w:val="left" w:pos="851"/>
        </w:tabs>
        <w:ind w:left="851"/>
        <w:rPr>
          <w:sz w:val="24"/>
          <w:szCs w:val="24"/>
        </w:rPr>
      </w:pPr>
      <w:r w:rsidRPr="006C5C65">
        <w:rPr>
          <w:sz w:val="24"/>
          <w:szCs w:val="24"/>
        </w:rPr>
        <w:t>Der foreligger ingen data for overdosis hos børn.</w:t>
      </w:r>
    </w:p>
    <w:p w14:paraId="0925D2B2" w14:textId="77777777" w:rsidR="006C5C65" w:rsidRPr="006C5C65" w:rsidRDefault="006C5C65" w:rsidP="006C5C65">
      <w:pPr>
        <w:tabs>
          <w:tab w:val="left" w:pos="851"/>
        </w:tabs>
        <w:ind w:left="851"/>
        <w:rPr>
          <w:sz w:val="24"/>
          <w:szCs w:val="24"/>
        </w:rPr>
      </w:pPr>
    </w:p>
    <w:p w14:paraId="0B10A8F2" w14:textId="77777777" w:rsidR="006C5C65" w:rsidRPr="006C5C65" w:rsidRDefault="006C5C65" w:rsidP="006C5C65">
      <w:pPr>
        <w:tabs>
          <w:tab w:val="left" w:pos="851"/>
        </w:tabs>
        <w:ind w:left="851"/>
        <w:rPr>
          <w:sz w:val="24"/>
          <w:szCs w:val="24"/>
        </w:rPr>
      </w:pPr>
      <w:r w:rsidRPr="006C5C65">
        <w:rPr>
          <w:sz w:val="24"/>
          <w:szCs w:val="24"/>
        </w:rPr>
        <w:t>Det anbefales at give symptomatisk og understøttende behandling i tilfælde af overdosering.</w:t>
      </w:r>
    </w:p>
    <w:p w14:paraId="192DFAD2" w14:textId="77777777" w:rsidR="006C5C65" w:rsidRPr="006C5C65" w:rsidRDefault="006C5C65" w:rsidP="006C5C65">
      <w:pPr>
        <w:tabs>
          <w:tab w:val="left" w:pos="851"/>
        </w:tabs>
        <w:ind w:left="851"/>
        <w:rPr>
          <w:sz w:val="24"/>
          <w:szCs w:val="24"/>
        </w:rPr>
      </w:pPr>
    </w:p>
    <w:p w14:paraId="13FC18E4" w14:textId="77777777" w:rsidR="006C5C65" w:rsidRPr="006C5C65" w:rsidRDefault="006C5C65" w:rsidP="006C5C65">
      <w:pPr>
        <w:tabs>
          <w:tab w:val="left" w:pos="851"/>
        </w:tabs>
        <w:ind w:left="851"/>
        <w:rPr>
          <w:sz w:val="24"/>
          <w:szCs w:val="24"/>
        </w:rPr>
      </w:pPr>
      <w:r w:rsidRPr="006C5C65">
        <w:rPr>
          <w:sz w:val="24"/>
          <w:szCs w:val="24"/>
        </w:rPr>
        <w:t>Der kendes intet specifikt antidot til bilastin.</w:t>
      </w:r>
    </w:p>
    <w:p w14:paraId="512A2848" w14:textId="77777777" w:rsidR="009260DE" w:rsidRPr="00C84483" w:rsidRDefault="009260DE" w:rsidP="009260DE">
      <w:pPr>
        <w:tabs>
          <w:tab w:val="left" w:pos="851"/>
        </w:tabs>
        <w:ind w:left="851"/>
        <w:rPr>
          <w:sz w:val="24"/>
          <w:szCs w:val="24"/>
        </w:rPr>
      </w:pPr>
    </w:p>
    <w:p w14:paraId="595822ED"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2540D6F5" w14:textId="49FCD3B7" w:rsidR="009260DE" w:rsidRPr="00C84483" w:rsidRDefault="006C5C65" w:rsidP="009260DE">
      <w:pPr>
        <w:tabs>
          <w:tab w:val="left" w:pos="851"/>
        </w:tabs>
        <w:ind w:left="851"/>
        <w:rPr>
          <w:sz w:val="24"/>
          <w:szCs w:val="24"/>
        </w:rPr>
      </w:pPr>
      <w:r>
        <w:rPr>
          <w:sz w:val="24"/>
          <w:szCs w:val="24"/>
        </w:rPr>
        <w:t>B</w:t>
      </w:r>
    </w:p>
    <w:p w14:paraId="43834E52" w14:textId="77777777" w:rsidR="009260DE" w:rsidRPr="00C84483" w:rsidRDefault="009260DE" w:rsidP="009260DE">
      <w:pPr>
        <w:tabs>
          <w:tab w:val="left" w:pos="851"/>
        </w:tabs>
        <w:ind w:left="851"/>
        <w:rPr>
          <w:sz w:val="24"/>
          <w:szCs w:val="24"/>
        </w:rPr>
      </w:pPr>
    </w:p>
    <w:p w14:paraId="1F60670C" w14:textId="77777777" w:rsidR="009260DE" w:rsidRPr="00C84483" w:rsidRDefault="009260DE" w:rsidP="009260DE">
      <w:pPr>
        <w:tabs>
          <w:tab w:val="left" w:pos="851"/>
        </w:tabs>
        <w:ind w:left="851"/>
        <w:rPr>
          <w:sz w:val="24"/>
          <w:szCs w:val="24"/>
        </w:rPr>
      </w:pPr>
    </w:p>
    <w:p w14:paraId="505E073B"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42485466" w14:textId="77777777" w:rsidR="009260DE" w:rsidRPr="00C84483" w:rsidRDefault="009260DE" w:rsidP="009260DE">
      <w:pPr>
        <w:tabs>
          <w:tab w:val="left" w:pos="851"/>
        </w:tabs>
        <w:ind w:left="851"/>
        <w:rPr>
          <w:sz w:val="24"/>
          <w:szCs w:val="24"/>
        </w:rPr>
      </w:pPr>
    </w:p>
    <w:p w14:paraId="6BDAB175"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94D5826" w14:textId="541423CB" w:rsidR="0098080C" w:rsidRPr="0098080C" w:rsidRDefault="0098080C" w:rsidP="0098080C">
      <w:pPr>
        <w:tabs>
          <w:tab w:val="left" w:pos="851"/>
        </w:tabs>
        <w:ind w:left="851"/>
        <w:rPr>
          <w:sz w:val="24"/>
          <w:szCs w:val="24"/>
        </w:rPr>
      </w:pPr>
      <w:r w:rsidRPr="0098080C">
        <w:rPr>
          <w:sz w:val="24"/>
          <w:szCs w:val="24"/>
        </w:rPr>
        <w:t>Farmakoterapeutisk klassifikation: Antihistaminer til systemisk brug, andre antihistaminer til systemisk brug</w:t>
      </w:r>
      <w:r>
        <w:rPr>
          <w:sz w:val="24"/>
          <w:szCs w:val="24"/>
        </w:rPr>
        <w:t xml:space="preserve">, </w:t>
      </w:r>
      <w:r w:rsidRPr="0098080C">
        <w:rPr>
          <w:sz w:val="24"/>
          <w:szCs w:val="24"/>
        </w:rPr>
        <w:t xml:space="preserve"> ATC-kode: R06AX29.</w:t>
      </w:r>
    </w:p>
    <w:p w14:paraId="473B5B55" w14:textId="77777777" w:rsidR="0098080C" w:rsidRPr="0098080C" w:rsidRDefault="0098080C" w:rsidP="0098080C">
      <w:pPr>
        <w:tabs>
          <w:tab w:val="left" w:pos="851"/>
        </w:tabs>
        <w:ind w:left="851"/>
        <w:rPr>
          <w:sz w:val="24"/>
          <w:szCs w:val="24"/>
        </w:rPr>
      </w:pPr>
    </w:p>
    <w:p w14:paraId="4B2BA831" w14:textId="77777777" w:rsidR="0098080C" w:rsidRPr="0098080C" w:rsidRDefault="0098080C" w:rsidP="0098080C">
      <w:pPr>
        <w:tabs>
          <w:tab w:val="left" w:pos="851"/>
        </w:tabs>
        <w:ind w:left="851"/>
        <w:rPr>
          <w:sz w:val="24"/>
          <w:szCs w:val="24"/>
        </w:rPr>
      </w:pPr>
      <w:r w:rsidRPr="0098080C">
        <w:rPr>
          <w:sz w:val="24"/>
          <w:szCs w:val="24"/>
          <w:u w:val="single"/>
        </w:rPr>
        <w:t>Virkningsmekanisme</w:t>
      </w:r>
    </w:p>
    <w:p w14:paraId="64E0313F" w14:textId="77777777" w:rsidR="0098080C" w:rsidRPr="0098080C" w:rsidRDefault="0098080C" w:rsidP="0098080C">
      <w:pPr>
        <w:tabs>
          <w:tab w:val="left" w:pos="851"/>
        </w:tabs>
        <w:ind w:left="851"/>
        <w:rPr>
          <w:sz w:val="24"/>
          <w:szCs w:val="24"/>
        </w:rPr>
      </w:pPr>
      <w:r w:rsidRPr="0098080C">
        <w:rPr>
          <w:sz w:val="24"/>
          <w:szCs w:val="24"/>
        </w:rPr>
        <w:t>Bilastin er et non-sederende, langtidsvirkende antihistamin med selektiv, perifer og overvejende H</w:t>
      </w:r>
      <w:r w:rsidRPr="0098080C">
        <w:rPr>
          <w:sz w:val="24"/>
          <w:szCs w:val="24"/>
          <w:vertAlign w:val="subscript"/>
        </w:rPr>
        <w:t>1</w:t>
      </w:r>
      <w:r w:rsidRPr="0098080C">
        <w:rPr>
          <w:sz w:val="24"/>
          <w:szCs w:val="24"/>
        </w:rPr>
        <w:t>-receptoraffinitet og uden affinitet for muskarine receptorer.</w:t>
      </w:r>
    </w:p>
    <w:p w14:paraId="07CE28BD" w14:textId="77777777" w:rsidR="0098080C" w:rsidRPr="0098080C" w:rsidRDefault="0098080C" w:rsidP="0098080C">
      <w:pPr>
        <w:tabs>
          <w:tab w:val="left" w:pos="851"/>
        </w:tabs>
        <w:ind w:left="851"/>
        <w:rPr>
          <w:sz w:val="24"/>
          <w:szCs w:val="24"/>
        </w:rPr>
      </w:pPr>
    </w:p>
    <w:p w14:paraId="0AFD8EE4" w14:textId="77777777" w:rsidR="0098080C" w:rsidRPr="0098080C" w:rsidRDefault="0098080C" w:rsidP="0098080C">
      <w:pPr>
        <w:tabs>
          <w:tab w:val="left" w:pos="851"/>
        </w:tabs>
        <w:ind w:left="851"/>
        <w:rPr>
          <w:sz w:val="24"/>
          <w:szCs w:val="24"/>
        </w:rPr>
      </w:pPr>
      <w:r w:rsidRPr="0098080C">
        <w:rPr>
          <w:sz w:val="24"/>
          <w:szCs w:val="24"/>
        </w:rPr>
        <w:t>Bilastin hæmmede histamininducerede hudreaktioner i form af blegner og rødme i 24 timer efter enkeltdoser.</w:t>
      </w:r>
    </w:p>
    <w:p w14:paraId="3C5F6518" w14:textId="77777777" w:rsidR="0098080C" w:rsidRPr="0098080C" w:rsidRDefault="0098080C" w:rsidP="0098080C">
      <w:pPr>
        <w:tabs>
          <w:tab w:val="left" w:pos="851"/>
        </w:tabs>
        <w:ind w:left="851"/>
        <w:rPr>
          <w:sz w:val="24"/>
          <w:szCs w:val="24"/>
        </w:rPr>
      </w:pPr>
    </w:p>
    <w:p w14:paraId="32B62043" w14:textId="77777777" w:rsidR="0098080C" w:rsidRPr="0098080C" w:rsidRDefault="0098080C" w:rsidP="0098080C">
      <w:pPr>
        <w:tabs>
          <w:tab w:val="left" w:pos="851"/>
        </w:tabs>
        <w:ind w:left="851"/>
        <w:rPr>
          <w:sz w:val="24"/>
          <w:szCs w:val="24"/>
          <w:u w:val="single"/>
        </w:rPr>
      </w:pPr>
      <w:r w:rsidRPr="0098080C">
        <w:rPr>
          <w:sz w:val="24"/>
          <w:szCs w:val="24"/>
          <w:u w:val="single"/>
        </w:rPr>
        <w:t>Klinisk virkning og sikkerhed</w:t>
      </w:r>
    </w:p>
    <w:p w14:paraId="10007C51" w14:textId="77777777" w:rsidR="0098080C" w:rsidRPr="0098080C" w:rsidRDefault="0098080C" w:rsidP="0098080C">
      <w:pPr>
        <w:tabs>
          <w:tab w:val="left" w:pos="851"/>
        </w:tabs>
        <w:ind w:left="851"/>
        <w:rPr>
          <w:sz w:val="24"/>
          <w:szCs w:val="24"/>
        </w:rPr>
      </w:pPr>
      <w:r w:rsidRPr="0098080C">
        <w:rPr>
          <w:sz w:val="24"/>
          <w:szCs w:val="24"/>
        </w:rPr>
        <w:t>I kliniske forsøg med voksne og unge med allergisk rinokonjunktivitis (sæsonbetinget og helårlig), udøvede 20 mg bilastin, der blev administreret en gang dagligt i 14-28 dage, effektiv lindring af symptomer såsom nysen, løbende næse, næsekløe, tilstoppet næse, øjenkløe, tåreflåd og røde øjne. Bilastin kontrollerede symptomerne effektivt i 24 timer.</w:t>
      </w:r>
    </w:p>
    <w:p w14:paraId="7DADD7F5" w14:textId="77777777" w:rsidR="0098080C" w:rsidRPr="0098080C" w:rsidRDefault="0098080C" w:rsidP="0098080C">
      <w:pPr>
        <w:tabs>
          <w:tab w:val="left" w:pos="851"/>
        </w:tabs>
        <w:ind w:left="851"/>
        <w:rPr>
          <w:sz w:val="24"/>
          <w:szCs w:val="24"/>
        </w:rPr>
      </w:pPr>
    </w:p>
    <w:p w14:paraId="1142DC79" w14:textId="77777777" w:rsidR="0098080C" w:rsidRPr="0098080C" w:rsidRDefault="0098080C" w:rsidP="0098080C">
      <w:pPr>
        <w:tabs>
          <w:tab w:val="left" w:pos="851"/>
        </w:tabs>
        <w:ind w:left="851"/>
        <w:rPr>
          <w:sz w:val="24"/>
          <w:szCs w:val="24"/>
        </w:rPr>
      </w:pPr>
      <w:r w:rsidRPr="0098080C">
        <w:rPr>
          <w:sz w:val="24"/>
          <w:szCs w:val="24"/>
        </w:rPr>
        <w:t>I to kliniske forsøg med patienter med kronisk idiopatisk urticaria udøvede 20 mg bilastin, der blev administreret en gang dagligt i 28 dage, effektiv lindring af kløens intensitet og nedsatte antal og størrelse af blegner samt patientens ubehag i forbindelse med urticaria. Patienterne opnåede bedre søvn og livskvalitet.</w:t>
      </w:r>
    </w:p>
    <w:p w14:paraId="4D10DB35" w14:textId="77777777" w:rsidR="0098080C" w:rsidRPr="0098080C" w:rsidRDefault="0098080C" w:rsidP="0098080C">
      <w:pPr>
        <w:tabs>
          <w:tab w:val="left" w:pos="851"/>
        </w:tabs>
        <w:ind w:left="851"/>
        <w:rPr>
          <w:sz w:val="24"/>
          <w:szCs w:val="24"/>
        </w:rPr>
      </w:pPr>
    </w:p>
    <w:p w14:paraId="1AB66483" w14:textId="77777777" w:rsidR="0098080C" w:rsidRPr="0098080C" w:rsidRDefault="0098080C" w:rsidP="0098080C">
      <w:pPr>
        <w:tabs>
          <w:tab w:val="left" w:pos="851"/>
        </w:tabs>
        <w:ind w:left="851"/>
        <w:rPr>
          <w:sz w:val="24"/>
          <w:szCs w:val="24"/>
        </w:rPr>
      </w:pPr>
      <w:r w:rsidRPr="0098080C">
        <w:rPr>
          <w:sz w:val="24"/>
          <w:szCs w:val="24"/>
        </w:rPr>
        <w:t>Der observeredes ingen klinisk relevant forlængelse af QTc-intervallet eller anden kardiovaskulær påvirkning i de kliniske forsøg udført med bilastin, selv ikke ved doser på 200 mg dagligt (10 gange den kliniske dosis) i 7 dage hos 9 deltagere, eller når stoffet blev administreret sammen med P-glykoproteinhæmmere såsom ketoconazol (24 deltagere) eller erythromycin (24 deltagere). Desuden er der foretaget en grundig undersøgelse af QT-intervallet hos 30 frivillige forsøgspersoner.</w:t>
      </w:r>
    </w:p>
    <w:p w14:paraId="623AAA6A" w14:textId="77777777" w:rsidR="0098080C" w:rsidRPr="0098080C" w:rsidRDefault="0098080C" w:rsidP="0098080C">
      <w:pPr>
        <w:tabs>
          <w:tab w:val="left" w:pos="851"/>
        </w:tabs>
        <w:ind w:left="851"/>
        <w:rPr>
          <w:sz w:val="24"/>
          <w:szCs w:val="24"/>
        </w:rPr>
      </w:pPr>
    </w:p>
    <w:p w14:paraId="7FA88084" w14:textId="77777777" w:rsidR="0098080C" w:rsidRPr="0098080C" w:rsidRDefault="0098080C" w:rsidP="0098080C">
      <w:pPr>
        <w:tabs>
          <w:tab w:val="left" w:pos="851"/>
        </w:tabs>
        <w:ind w:left="851"/>
        <w:rPr>
          <w:sz w:val="24"/>
          <w:szCs w:val="24"/>
        </w:rPr>
      </w:pPr>
      <w:r w:rsidRPr="0098080C">
        <w:rPr>
          <w:sz w:val="24"/>
          <w:szCs w:val="24"/>
        </w:rPr>
        <w:t xml:space="preserve">I kontrollerede kliniske forsøg med den anbefalede dosis på 20 mg en gang dagligt sås sammenlignelig sikkerhedsprofil af bilastin og placebo i centralnervesystemet, og incidensen af døsighed var ikke statistisk forskellig hos deltagere, der fik placebo. Bilastin i doser på op til 40 mg q.d. påvirkede ikke den psykomotoriske funktion i kliniske forsøg og nedsatte ikke evnen til at føre motorkøretøj i en standardkøreprøve. </w:t>
      </w:r>
    </w:p>
    <w:p w14:paraId="7E574A40" w14:textId="77777777" w:rsidR="0098080C" w:rsidRPr="0098080C" w:rsidRDefault="0098080C" w:rsidP="0098080C">
      <w:pPr>
        <w:tabs>
          <w:tab w:val="left" w:pos="851"/>
        </w:tabs>
        <w:ind w:left="851"/>
        <w:rPr>
          <w:sz w:val="24"/>
          <w:szCs w:val="24"/>
        </w:rPr>
      </w:pPr>
    </w:p>
    <w:p w14:paraId="75C874A7" w14:textId="77777777" w:rsidR="0098080C" w:rsidRPr="0098080C" w:rsidRDefault="0098080C" w:rsidP="0098080C">
      <w:pPr>
        <w:tabs>
          <w:tab w:val="left" w:pos="851"/>
        </w:tabs>
        <w:ind w:left="851"/>
        <w:rPr>
          <w:sz w:val="24"/>
          <w:szCs w:val="24"/>
        </w:rPr>
      </w:pPr>
      <w:r w:rsidRPr="0098080C">
        <w:rPr>
          <w:sz w:val="24"/>
          <w:szCs w:val="24"/>
        </w:rPr>
        <w:t>Hos ældre patienter (≥ 65 år), der indgik i fase II- og III-forsøg, var sikkerhed og virkning ikke anderledes end hos yngre patienter. Et studie efter godkendelsen omfattende 146 ældre patienter viste ingen forskelle i sikkerhedsprofilen i forhold til den voksne population.</w:t>
      </w:r>
    </w:p>
    <w:p w14:paraId="2630312B" w14:textId="77777777" w:rsidR="0098080C" w:rsidRPr="0098080C" w:rsidRDefault="0098080C" w:rsidP="0098080C">
      <w:pPr>
        <w:tabs>
          <w:tab w:val="left" w:pos="851"/>
        </w:tabs>
        <w:ind w:left="851"/>
        <w:rPr>
          <w:sz w:val="24"/>
          <w:szCs w:val="24"/>
        </w:rPr>
      </w:pPr>
    </w:p>
    <w:p w14:paraId="21DAF3E6" w14:textId="77777777" w:rsidR="0098080C" w:rsidRPr="0098080C" w:rsidRDefault="0098080C" w:rsidP="0098080C">
      <w:pPr>
        <w:tabs>
          <w:tab w:val="left" w:pos="851"/>
        </w:tabs>
        <w:ind w:left="851"/>
        <w:rPr>
          <w:iCs/>
          <w:sz w:val="24"/>
          <w:szCs w:val="24"/>
          <w:u w:val="single"/>
        </w:rPr>
      </w:pPr>
      <w:r w:rsidRPr="0098080C">
        <w:rPr>
          <w:iCs/>
          <w:sz w:val="24"/>
          <w:szCs w:val="24"/>
          <w:u w:val="single"/>
        </w:rPr>
        <w:t>Pædiatrisk population</w:t>
      </w:r>
    </w:p>
    <w:p w14:paraId="67CB77A6" w14:textId="77777777" w:rsidR="0098080C" w:rsidRPr="0098080C" w:rsidRDefault="0098080C" w:rsidP="0098080C">
      <w:pPr>
        <w:tabs>
          <w:tab w:val="left" w:pos="851"/>
        </w:tabs>
        <w:ind w:left="851"/>
        <w:rPr>
          <w:sz w:val="24"/>
          <w:szCs w:val="24"/>
        </w:rPr>
      </w:pPr>
      <w:r w:rsidRPr="0098080C">
        <w:rPr>
          <w:sz w:val="24"/>
          <w:szCs w:val="24"/>
        </w:rPr>
        <w:t>Unge (12-17 år) blev medtaget i den kliniske udvikling. 128 unge fik bilastin i forbindelse med de kliniske forsøg (81 i dobbeltblinde forsøg med allergisk betinget rinokonjunktivitis). Yderligere 116 unge blev randomiseret til aktiv sammenligning eller placebo. Der blev ikke fundet forskelle på virkningen og sikkerheden mellem voksne og unge.</w:t>
      </w:r>
    </w:p>
    <w:p w14:paraId="03BA04E2" w14:textId="77777777" w:rsidR="0098080C" w:rsidRPr="0098080C" w:rsidRDefault="0098080C" w:rsidP="0098080C">
      <w:pPr>
        <w:tabs>
          <w:tab w:val="left" w:pos="851"/>
        </w:tabs>
        <w:ind w:left="851"/>
        <w:rPr>
          <w:sz w:val="24"/>
          <w:szCs w:val="24"/>
        </w:rPr>
      </w:pPr>
    </w:p>
    <w:p w14:paraId="125A02F5" w14:textId="77777777" w:rsidR="0098080C" w:rsidRPr="0098080C" w:rsidRDefault="0098080C" w:rsidP="0098080C">
      <w:pPr>
        <w:tabs>
          <w:tab w:val="left" w:pos="851"/>
        </w:tabs>
        <w:ind w:left="851"/>
        <w:rPr>
          <w:sz w:val="24"/>
          <w:szCs w:val="24"/>
        </w:rPr>
      </w:pPr>
      <w:r w:rsidRPr="0098080C">
        <w:rPr>
          <w:sz w:val="24"/>
          <w:szCs w:val="24"/>
        </w:rPr>
        <w:t>I henhold til retningslinjerne kan den påviste virkning hos voksne og unge ekstrapoleres til børn, idet det har vist sig, at systemisk eksponering med 10 mg bilastin for børn i alderen 2-11 år med en kropsvægt på mindst 15 kg svarer til eksponering med 20 mg bilastin for voksne (se pkt. 5.2).</w:t>
      </w:r>
      <w:r w:rsidRPr="0098080C">
        <w:rPr>
          <w:bCs/>
          <w:iCs/>
          <w:sz w:val="24"/>
          <w:szCs w:val="24"/>
        </w:rPr>
        <w:t xml:space="preserve"> </w:t>
      </w:r>
      <w:r w:rsidRPr="0098080C">
        <w:rPr>
          <w:sz w:val="24"/>
          <w:szCs w:val="24"/>
        </w:rPr>
        <w:t xml:space="preserve">Ekstrapoleringen fra oplysninger for voksne og unge anses for passende for dette produkt, eftersom patofysiologien for allergisk rhinokonjunktivitis og urticaria er den samme for alle aldersgrupper. </w:t>
      </w:r>
    </w:p>
    <w:p w14:paraId="223034F7" w14:textId="77777777" w:rsidR="0098080C" w:rsidRPr="0098080C" w:rsidRDefault="0098080C" w:rsidP="0098080C">
      <w:pPr>
        <w:tabs>
          <w:tab w:val="left" w:pos="851"/>
        </w:tabs>
        <w:ind w:left="851"/>
        <w:rPr>
          <w:sz w:val="24"/>
          <w:szCs w:val="24"/>
        </w:rPr>
      </w:pPr>
    </w:p>
    <w:p w14:paraId="2E6CB7E8" w14:textId="77777777" w:rsidR="0098080C" w:rsidRPr="0098080C" w:rsidRDefault="0098080C" w:rsidP="0098080C">
      <w:pPr>
        <w:tabs>
          <w:tab w:val="left" w:pos="851"/>
        </w:tabs>
        <w:ind w:left="851"/>
        <w:rPr>
          <w:sz w:val="24"/>
          <w:szCs w:val="24"/>
        </w:rPr>
      </w:pPr>
      <w:r w:rsidRPr="0098080C">
        <w:rPr>
          <w:sz w:val="24"/>
          <w:szCs w:val="24"/>
        </w:rPr>
        <w:t xml:space="preserve">I et 12-ugers kontrolleret klinisk forsøg med børn i alderen 2-11 år (i alt 509 børn, 260 behandlet med 10 mg bilastin: 58 på 2 til &lt; 6 år, 105 på 6 til &lt; 9 år og 97 på 9 til &lt; 12 år og 249 behandlet med placebo: 58 på 2 til &lt; 6 år, 95 på 6 til &lt; 9 år og 96 på 9 til &lt; 12 år), med den anbefalede pædiatriske dosis på 10 mg en gang daglig, svarede sikkerhedsprofilen for bilastin (n = 260) til placebo (n = 249). Der blev set bivirkninger hos 5,8 % og 8,0 % af de patienter, der tog henholdsvis 10 mg bilastin og placebo. Både 10 mg bilastin og placebo viste i dette studie en let nedsættelse i scoren for døsighed og sedation ifølge </w:t>
      </w:r>
      <w:r w:rsidRPr="0098080C">
        <w:rPr>
          <w:i/>
          <w:iCs/>
          <w:sz w:val="24"/>
          <w:szCs w:val="24"/>
        </w:rPr>
        <w:t>Paediatric Sleep Questionnaire</w:t>
      </w:r>
      <w:r w:rsidRPr="0098080C">
        <w:rPr>
          <w:sz w:val="24"/>
          <w:szCs w:val="24"/>
        </w:rPr>
        <w:t xml:space="preserve"> uden nogen statistisk signifikant forskel på de to behandlingsgrupper. Der blev ikke observeret nogen signifikant forskel i QTc hos disse børn i alderen 2-11 år efter 10 mg bilastin daglig sammenlignet med placebo. Spørgeskemaundersøgelser specifikt om livskvaliteten for børn med allergisk rhinokonjunktivitis eller kronisk urticaria viste en generel stigning af scoren over 12 uger uden nogen statistisk signifikant forskel mellem bilastin og placebo. Den samlede population på 509 børn omfattede: 479 deltagere med allergisk rhinokonjunktivitis og 30 deltagere diagnosticeret med kronisk urticaria. 260 børn fik bilastin, 252 (96,9 %) mod allergisk rhinokonjunktivitis og 8 (3,1 %) mod kronisk urticaria. Til sammenligning med det fik 249 børn placebo, 227 (91,2 %) mod allergisk rhinokonjunktivitis og 22 (8,8 %) mod kronisk urticaria.</w:t>
      </w:r>
    </w:p>
    <w:p w14:paraId="1BD80065" w14:textId="77777777" w:rsidR="0098080C" w:rsidRPr="0098080C" w:rsidRDefault="0098080C" w:rsidP="0098080C">
      <w:pPr>
        <w:tabs>
          <w:tab w:val="left" w:pos="851"/>
        </w:tabs>
        <w:ind w:left="851"/>
        <w:rPr>
          <w:sz w:val="24"/>
          <w:szCs w:val="24"/>
        </w:rPr>
      </w:pPr>
    </w:p>
    <w:p w14:paraId="4893F69C" w14:textId="77777777" w:rsidR="0098080C" w:rsidRPr="0098080C" w:rsidRDefault="0098080C" w:rsidP="0098080C">
      <w:pPr>
        <w:tabs>
          <w:tab w:val="left" w:pos="851"/>
        </w:tabs>
        <w:ind w:left="851"/>
        <w:rPr>
          <w:sz w:val="24"/>
          <w:szCs w:val="24"/>
        </w:rPr>
      </w:pPr>
      <w:r w:rsidRPr="0098080C">
        <w:rPr>
          <w:sz w:val="24"/>
          <w:szCs w:val="24"/>
        </w:rPr>
        <w:lastRenderedPageBreak/>
        <w:t>Det Europæiske Lægemiddelagentur har dispenseret fra kravet om at fremlægge resultaterne af studier med bilastin i alle undergrupper af den pædiatriske population under 2 år (se pkt. 4.2 for oplysninger om pædiatrisk anvendelse).</w:t>
      </w:r>
    </w:p>
    <w:p w14:paraId="6F68A94B" w14:textId="77777777" w:rsidR="0098080C" w:rsidRPr="0098080C" w:rsidRDefault="0098080C" w:rsidP="0098080C">
      <w:pPr>
        <w:tabs>
          <w:tab w:val="left" w:pos="851"/>
        </w:tabs>
        <w:ind w:left="851"/>
        <w:rPr>
          <w:sz w:val="24"/>
          <w:szCs w:val="24"/>
        </w:rPr>
      </w:pPr>
    </w:p>
    <w:p w14:paraId="5F9F7288"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C230EEF" w14:textId="77777777" w:rsidR="0098080C" w:rsidRPr="0098080C" w:rsidRDefault="0098080C" w:rsidP="0098080C">
      <w:pPr>
        <w:tabs>
          <w:tab w:val="left" w:pos="851"/>
        </w:tabs>
        <w:ind w:left="851"/>
        <w:rPr>
          <w:sz w:val="24"/>
          <w:szCs w:val="24"/>
        </w:rPr>
      </w:pPr>
    </w:p>
    <w:p w14:paraId="4800BB45" w14:textId="77777777" w:rsidR="0098080C" w:rsidRPr="0098080C" w:rsidRDefault="0098080C" w:rsidP="0098080C">
      <w:pPr>
        <w:tabs>
          <w:tab w:val="left" w:pos="851"/>
        </w:tabs>
        <w:ind w:left="851"/>
        <w:rPr>
          <w:sz w:val="24"/>
          <w:szCs w:val="24"/>
          <w:u w:val="single"/>
        </w:rPr>
      </w:pPr>
      <w:r w:rsidRPr="0098080C">
        <w:rPr>
          <w:sz w:val="24"/>
          <w:szCs w:val="24"/>
          <w:u w:val="single"/>
        </w:rPr>
        <w:t>Absorption</w:t>
      </w:r>
    </w:p>
    <w:p w14:paraId="5F1D14BD" w14:textId="77777777" w:rsidR="0098080C" w:rsidRPr="0098080C" w:rsidRDefault="0098080C" w:rsidP="0098080C">
      <w:pPr>
        <w:tabs>
          <w:tab w:val="left" w:pos="851"/>
        </w:tabs>
        <w:ind w:left="851"/>
        <w:rPr>
          <w:sz w:val="24"/>
          <w:szCs w:val="24"/>
        </w:rPr>
      </w:pPr>
      <w:r w:rsidRPr="0098080C">
        <w:rPr>
          <w:sz w:val="24"/>
          <w:szCs w:val="24"/>
        </w:rPr>
        <w:t>Bilastin absorberes hurtigt efter oral administration, og tiden til maksimal plasmakoncentration er ca. 1,3 timer. Der sås ingen akkumulation. Bilastin har en gennemsnitlig oral biotilgængelighed på 61 %.</w:t>
      </w:r>
    </w:p>
    <w:p w14:paraId="79B18C38" w14:textId="77777777" w:rsidR="0098080C" w:rsidRPr="0098080C" w:rsidRDefault="0098080C" w:rsidP="0098080C">
      <w:pPr>
        <w:tabs>
          <w:tab w:val="left" w:pos="851"/>
        </w:tabs>
        <w:ind w:left="851"/>
        <w:rPr>
          <w:sz w:val="24"/>
          <w:szCs w:val="24"/>
        </w:rPr>
      </w:pPr>
    </w:p>
    <w:p w14:paraId="2B5D4053" w14:textId="77777777" w:rsidR="0098080C" w:rsidRPr="0098080C" w:rsidRDefault="0098080C" w:rsidP="0098080C">
      <w:pPr>
        <w:tabs>
          <w:tab w:val="left" w:pos="851"/>
        </w:tabs>
        <w:ind w:left="851"/>
        <w:rPr>
          <w:sz w:val="24"/>
          <w:szCs w:val="24"/>
          <w:u w:val="single"/>
        </w:rPr>
      </w:pPr>
      <w:r w:rsidRPr="0098080C">
        <w:rPr>
          <w:sz w:val="24"/>
          <w:szCs w:val="24"/>
          <w:u w:val="single"/>
        </w:rPr>
        <w:t>Fordeling</w:t>
      </w:r>
    </w:p>
    <w:p w14:paraId="33796CEC" w14:textId="77777777" w:rsidR="0098080C" w:rsidRPr="0098080C" w:rsidRDefault="0098080C" w:rsidP="0098080C">
      <w:pPr>
        <w:tabs>
          <w:tab w:val="left" w:pos="851"/>
        </w:tabs>
        <w:ind w:left="851"/>
        <w:rPr>
          <w:sz w:val="24"/>
          <w:szCs w:val="24"/>
        </w:rPr>
      </w:pPr>
      <w:r w:rsidRPr="0098080C">
        <w:rPr>
          <w:i/>
          <w:sz w:val="24"/>
          <w:szCs w:val="24"/>
        </w:rPr>
        <w:t>In vitro</w:t>
      </w:r>
      <w:r w:rsidRPr="0098080C">
        <w:rPr>
          <w:sz w:val="24"/>
          <w:szCs w:val="24"/>
        </w:rPr>
        <w:t xml:space="preserve">- og </w:t>
      </w:r>
      <w:r w:rsidRPr="0098080C">
        <w:rPr>
          <w:i/>
          <w:sz w:val="24"/>
          <w:szCs w:val="24"/>
        </w:rPr>
        <w:t>in vivo</w:t>
      </w:r>
      <w:r w:rsidRPr="0098080C">
        <w:rPr>
          <w:sz w:val="24"/>
          <w:szCs w:val="24"/>
        </w:rPr>
        <w:t xml:space="preserve">-forsøg viste, at bilastin er et substrat for P-glykoprotein (se pkt. 4.5 "Interaktion med ketoconazol eller erythromycin" og "Interaktion med diltiazem") og OATP (se pkt. 4.5 "Interaktion med grapefrugtsaft"). Bilastin synes ikke at være substrat for andre transportører såsom BCRP eller for de renale transportører, OCT2, OAT1 and OAT3. </w:t>
      </w:r>
    </w:p>
    <w:p w14:paraId="5454591F" w14:textId="77777777" w:rsidR="0098080C" w:rsidRPr="0098080C" w:rsidRDefault="0098080C" w:rsidP="0098080C">
      <w:pPr>
        <w:tabs>
          <w:tab w:val="left" w:pos="851"/>
        </w:tabs>
        <w:ind w:left="851"/>
        <w:rPr>
          <w:sz w:val="24"/>
          <w:szCs w:val="24"/>
        </w:rPr>
      </w:pPr>
      <w:r w:rsidRPr="0098080C">
        <w:rPr>
          <w:sz w:val="24"/>
          <w:szCs w:val="24"/>
        </w:rPr>
        <w:t xml:space="preserve">Ud fra </w:t>
      </w:r>
      <w:r w:rsidRPr="0098080C">
        <w:rPr>
          <w:i/>
          <w:sz w:val="24"/>
          <w:szCs w:val="24"/>
        </w:rPr>
        <w:t>in vitro</w:t>
      </w:r>
      <w:r w:rsidRPr="0098080C">
        <w:rPr>
          <w:sz w:val="24"/>
          <w:szCs w:val="24"/>
        </w:rPr>
        <w:t>-forsøg forventes bilastin ikke at hæmme transportørerne P-glykoprotein, MRP2, BCRP, BSEP, OATP1B1, OATP1B3, OATP2B1, OAT1, OAT3, OCT1, OCT2 eller NTCP i det systemiske kredsløb, eftersom der kun blev påvist lettere hæmning af P-glykoprotein, OATP2B1 og OCT1, og IC</w:t>
      </w:r>
      <w:r w:rsidRPr="0098080C">
        <w:rPr>
          <w:sz w:val="24"/>
          <w:szCs w:val="24"/>
          <w:vertAlign w:val="subscript"/>
        </w:rPr>
        <w:t>50</w:t>
      </w:r>
      <w:r w:rsidRPr="0098080C">
        <w:rPr>
          <w:sz w:val="24"/>
          <w:szCs w:val="24"/>
        </w:rPr>
        <w:t xml:space="preserve"> blev estimeret til ≥ 300 µM, hvilket er langt højere end den beregnede maksimale kliniske plasmakoncentration C</w:t>
      </w:r>
      <w:r w:rsidRPr="0098080C">
        <w:rPr>
          <w:sz w:val="24"/>
          <w:szCs w:val="24"/>
          <w:vertAlign w:val="subscript"/>
        </w:rPr>
        <w:t>max</w:t>
      </w:r>
      <w:r w:rsidRPr="0098080C">
        <w:rPr>
          <w:sz w:val="24"/>
          <w:szCs w:val="24"/>
        </w:rPr>
        <w:t>, og disse interaktioner har derfor ingen klinisk relevans. Ud fra disse resultater kan det dog ikke udelukkes, at bilastin hæmmes af transportører i tarmslimhinder, fx P-glykoprotein.</w:t>
      </w:r>
    </w:p>
    <w:p w14:paraId="42EBEDBA" w14:textId="77777777" w:rsidR="0098080C" w:rsidRPr="0098080C" w:rsidRDefault="0098080C" w:rsidP="0098080C">
      <w:pPr>
        <w:tabs>
          <w:tab w:val="left" w:pos="851"/>
        </w:tabs>
        <w:ind w:left="851"/>
        <w:rPr>
          <w:sz w:val="24"/>
          <w:szCs w:val="24"/>
        </w:rPr>
      </w:pPr>
    </w:p>
    <w:p w14:paraId="700BCEE3" w14:textId="77777777" w:rsidR="0098080C" w:rsidRPr="0098080C" w:rsidRDefault="0098080C" w:rsidP="0098080C">
      <w:pPr>
        <w:tabs>
          <w:tab w:val="left" w:pos="851"/>
        </w:tabs>
        <w:ind w:left="851"/>
        <w:rPr>
          <w:sz w:val="24"/>
          <w:szCs w:val="24"/>
        </w:rPr>
      </w:pPr>
      <w:r w:rsidRPr="0098080C">
        <w:rPr>
          <w:sz w:val="24"/>
          <w:szCs w:val="24"/>
        </w:rPr>
        <w:t>Ved alle terapeutiske bilastindoser bindes 84-90 % til plasmaproteiner.</w:t>
      </w:r>
    </w:p>
    <w:p w14:paraId="100CBDE6" w14:textId="77777777" w:rsidR="0098080C" w:rsidRPr="0098080C" w:rsidRDefault="0098080C" w:rsidP="0098080C">
      <w:pPr>
        <w:tabs>
          <w:tab w:val="left" w:pos="851"/>
        </w:tabs>
        <w:ind w:left="851"/>
        <w:rPr>
          <w:sz w:val="24"/>
          <w:szCs w:val="24"/>
          <w:u w:val="single"/>
        </w:rPr>
      </w:pPr>
    </w:p>
    <w:p w14:paraId="53DDD587" w14:textId="77777777" w:rsidR="0098080C" w:rsidRPr="0098080C" w:rsidRDefault="0098080C" w:rsidP="0098080C">
      <w:pPr>
        <w:tabs>
          <w:tab w:val="left" w:pos="851"/>
        </w:tabs>
        <w:ind w:left="851"/>
        <w:rPr>
          <w:sz w:val="24"/>
          <w:szCs w:val="24"/>
          <w:u w:val="single"/>
        </w:rPr>
      </w:pPr>
      <w:r w:rsidRPr="0098080C">
        <w:rPr>
          <w:sz w:val="24"/>
          <w:szCs w:val="24"/>
          <w:u w:val="single"/>
        </w:rPr>
        <w:t>Biotransformation</w:t>
      </w:r>
    </w:p>
    <w:p w14:paraId="005585FF" w14:textId="77777777" w:rsidR="0098080C" w:rsidRPr="0098080C" w:rsidRDefault="0098080C" w:rsidP="0098080C">
      <w:pPr>
        <w:tabs>
          <w:tab w:val="left" w:pos="851"/>
        </w:tabs>
        <w:ind w:left="851"/>
        <w:rPr>
          <w:sz w:val="24"/>
          <w:szCs w:val="24"/>
        </w:rPr>
      </w:pPr>
      <w:r w:rsidRPr="0098080C">
        <w:rPr>
          <w:sz w:val="24"/>
          <w:szCs w:val="24"/>
        </w:rPr>
        <w:t xml:space="preserve">Bilastin medførte hverken induktion eller inhibering af CYP450-isoenzymer i </w:t>
      </w:r>
      <w:r w:rsidRPr="0098080C">
        <w:rPr>
          <w:i/>
          <w:sz w:val="24"/>
          <w:szCs w:val="24"/>
        </w:rPr>
        <w:t>in vitro</w:t>
      </w:r>
      <w:r w:rsidRPr="0098080C">
        <w:rPr>
          <w:sz w:val="24"/>
          <w:szCs w:val="24"/>
        </w:rPr>
        <w:t xml:space="preserve">-forsøg. </w:t>
      </w:r>
    </w:p>
    <w:p w14:paraId="6C0234F7" w14:textId="77777777" w:rsidR="0098080C" w:rsidRPr="0098080C" w:rsidRDefault="0098080C" w:rsidP="0098080C">
      <w:pPr>
        <w:tabs>
          <w:tab w:val="left" w:pos="851"/>
        </w:tabs>
        <w:ind w:left="851"/>
        <w:rPr>
          <w:sz w:val="24"/>
          <w:szCs w:val="24"/>
        </w:rPr>
      </w:pPr>
    </w:p>
    <w:p w14:paraId="2BB6E3D1" w14:textId="77777777" w:rsidR="0098080C" w:rsidRPr="0098080C" w:rsidRDefault="0098080C" w:rsidP="0098080C">
      <w:pPr>
        <w:tabs>
          <w:tab w:val="left" w:pos="851"/>
        </w:tabs>
        <w:ind w:left="851"/>
        <w:rPr>
          <w:sz w:val="24"/>
          <w:szCs w:val="24"/>
          <w:u w:val="single"/>
        </w:rPr>
      </w:pPr>
      <w:r w:rsidRPr="0098080C">
        <w:rPr>
          <w:sz w:val="24"/>
          <w:szCs w:val="24"/>
          <w:u w:val="single"/>
        </w:rPr>
        <w:t>Elimination</w:t>
      </w:r>
    </w:p>
    <w:p w14:paraId="224E82FF" w14:textId="77777777" w:rsidR="0098080C" w:rsidRPr="0098080C" w:rsidRDefault="0098080C" w:rsidP="0098080C">
      <w:pPr>
        <w:tabs>
          <w:tab w:val="left" w:pos="851"/>
        </w:tabs>
        <w:ind w:left="851"/>
        <w:rPr>
          <w:sz w:val="24"/>
          <w:szCs w:val="24"/>
        </w:rPr>
      </w:pPr>
      <w:r w:rsidRPr="0098080C">
        <w:rPr>
          <w:sz w:val="24"/>
          <w:szCs w:val="24"/>
        </w:rPr>
        <w:t xml:space="preserve">En undersøgelse af den totale omsætning af bilastin hos raske, voksne forsøgspersoner viste, at efter administration af en enkelt dosis på 20 mg </w:t>
      </w:r>
      <w:r w:rsidRPr="0098080C">
        <w:rPr>
          <w:sz w:val="24"/>
          <w:szCs w:val="24"/>
          <w:vertAlign w:val="superscript"/>
        </w:rPr>
        <w:t>14</w:t>
      </w:r>
      <w:r w:rsidRPr="0098080C">
        <w:rPr>
          <w:sz w:val="24"/>
          <w:szCs w:val="24"/>
        </w:rPr>
        <w:t xml:space="preserve">C-mærket bilastin blev næsten 95 % af dosis genfundet i urinen (28,3 %) og fæces (66,5 %) som uomdannet bilastin, hvilket bekræfter, at bilastin ikke metaboliseres i signifikant grad hos mennesker. Den beregnede middelhalveringstid hos raske forsøgspersoner var 14,5 timer. </w:t>
      </w:r>
    </w:p>
    <w:p w14:paraId="390441B6" w14:textId="77777777" w:rsidR="0098080C" w:rsidRPr="0098080C" w:rsidRDefault="0098080C" w:rsidP="0098080C">
      <w:pPr>
        <w:tabs>
          <w:tab w:val="left" w:pos="851"/>
        </w:tabs>
        <w:ind w:left="851"/>
        <w:rPr>
          <w:sz w:val="24"/>
          <w:szCs w:val="24"/>
          <w:u w:val="single"/>
        </w:rPr>
      </w:pPr>
    </w:p>
    <w:p w14:paraId="7359AB1F" w14:textId="77777777" w:rsidR="0098080C" w:rsidRPr="0098080C" w:rsidRDefault="0098080C" w:rsidP="0098080C">
      <w:pPr>
        <w:tabs>
          <w:tab w:val="left" w:pos="851"/>
        </w:tabs>
        <w:ind w:left="851"/>
        <w:rPr>
          <w:sz w:val="24"/>
          <w:szCs w:val="24"/>
        </w:rPr>
      </w:pPr>
      <w:r w:rsidRPr="0098080C">
        <w:rPr>
          <w:sz w:val="24"/>
          <w:szCs w:val="24"/>
          <w:u w:val="single"/>
        </w:rPr>
        <w:t>Linearitet</w:t>
      </w:r>
      <w:r w:rsidRPr="0098080C">
        <w:rPr>
          <w:sz w:val="24"/>
          <w:szCs w:val="24"/>
        </w:rPr>
        <w:t xml:space="preserve"> </w:t>
      </w:r>
    </w:p>
    <w:p w14:paraId="5206B374" w14:textId="77777777" w:rsidR="0098080C" w:rsidRPr="0098080C" w:rsidRDefault="0098080C" w:rsidP="0098080C">
      <w:pPr>
        <w:tabs>
          <w:tab w:val="left" w:pos="851"/>
        </w:tabs>
        <w:ind w:left="851"/>
        <w:rPr>
          <w:sz w:val="24"/>
          <w:szCs w:val="24"/>
        </w:rPr>
      </w:pPr>
      <w:r w:rsidRPr="0098080C">
        <w:rPr>
          <w:sz w:val="24"/>
          <w:szCs w:val="24"/>
        </w:rPr>
        <w:t xml:space="preserve">Bilastin udviste lineær farmakokinetik i det undersøgte dosisinterval (5-220 mg) med små interindividuelle variationer. </w:t>
      </w:r>
    </w:p>
    <w:p w14:paraId="661F5842" w14:textId="77777777" w:rsidR="0098080C" w:rsidRPr="0098080C" w:rsidRDefault="0098080C" w:rsidP="0098080C">
      <w:pPr>
        <w:tabs>
          <w:tab w:val="left" w:pos="851"/>
        </w:tabs>
        <w:ind w:left="851"/>
        <w:rPr>
          <w:sz w:val="24"/>
          <w:szCs w:val="24"/>
        </w:rPr>
      </w:pPr>
    </w:p>
    <w:p w14:paraId="5B89C420" w14:textId="77777777" w:rsidR="0098080C" w:rsidRPr="0098080C" w:rsidRDefault="0098080C" w:rsidP="0098080C">
      <w:pPr>
        <w:tabs>
          <w:tab w:val="left" w:pos="851"/>
        </w:tabs>
        <w:ind w:left="851"/>
        <w:rPr>
          <w:sz w:val="24"/>
          <w:szCs w:val="24"/>
        </w:rPr>
      </w:pPr>
      <w:r w:rsidRPr="0098080C">
        <w:rPr>
          <w:sz w:val="24"/>
          <w:szCs w:val="24"/>
          <w:u w:val="single"/>
        </w:rPr>
        <w:t>Nedsat nyrefunktion</w:t>
      </w:r>
    </w:p>
    <w:p w14:paraId="4F35EBE5" w14:textId="77777777" w:rsidR="0098080C" w:rsidRPr="0098080C" w:rsidRDefault="0098080C" w:rsidP="0098080C">
      <w:pPr>
        <w:tabs>
          <w:tab w:val="left" w:pos="851"/>
        </w:tabs>
        <w:ind w:left="851"/>
        <w:rPr>
          <w:sz w:val="24"/>
          <w:szCs w:val="24"/>
        </w:rPr>
      </w:pPr>
      <w:bookmarkStart w:id="4" w:name="OLE_LINK19"/>
      <w:bookmarkStart w:id="5" w:name="OLE_LINK20"/>
      <w:r w:rsidRPr="0098080C">
        <w:rPr>
          <w:sz w:val="24"/>
          <w:szCs w:val="24"/>
        </w:rPr>
        <w:t>I et forsøg, hvor deltagerne havde nedsat nyrefunktion, steg middelværdien (± SD) af AUC</w:t>
      </w:r>
      <w:r w:rsidRPr="0098080C">
        <w:rPr>
          <w:sz w:val="24"/>
          <w:szCs w:val="24"/>
          <w:vertAlign w:val="subscript"/>
        </w:rPr>
        <w:t>0-</w:t>
      </w:r>
      <w:r w:rsidRPr="0098080C">
        <w:rPr>
          <w:sz w:val="24"/>
          <w:szCs w:val="24"/>
          <w:vertAlign w:val="subscript"/>
        </w:rPr>
        <w:sym w:font="Symbol" w:char="F0A5"/>
      </w:r>
      <w:r w:rsidRPr="0098080C">
        <w:rPr>
          <w:sz w:val="24"/>
          <w:szCs w:val="24"/>
        </w:rPr>
        <w:t xml:space="preserve"> fra 737,4 (± 260,8) timer x ng/ml hos deltagere uden nedsat funktion (GFR: &gt; 80 ml/min/1,73 m</w:t>
      </w:r>
      <w:r w:rsidRPr="0098080C">
        <w:rPr>
          <w:sz w:val="24"/>
          <w:szCs w:val="24"/>
          <w:vertAlign w:val="superscript"/>
        </w:rPr>
        <w:t>2</w:t>
      </w:r>
      <w:r w:rsidRPr="0098080C">
        <w:rPr>
          <w:sz w:val="24"/>
          <w:szCs w:val="24"/>
        </w:rPr>
        <w:t>) til 967,4 (± 140,2) timer x ng/ml hos deltagere med let funktionsnedsættelse (GFR: 50-80 ml/min/1,73 m</w:t>
      </w:r>
      <w:r w:rsidRPr="0098080C">
        <w:rPr>
          <w:sz w:val="24"/>
          <w:szCs w:val="24"/>
          <w:vertAlign w:val="superscript"/>
        </w:rPr>
        <w:t>2</w:t>
      </w:r>
      <w:r w:rsidRPr="0098080C">
        <w:rPr>
          <w:sz w:val="24"/>
          <w:szCs w:val="24"/>
        </w:rPr>
        <w:t>), 1384,2 (± 263,23) timer x ng/ml hos deltagere med moderat funktionsnedsættelse (GFR: 30 – &lt;50 ml/min/1,73 m</w:t>
      </w:r>
      <w:r w:rsidRPr="0098080C">
        <w:rPr>
          <w:sz w:val="24"/>
          <w:szCs w:val="24"/>
          <w:vertAlign w:val="superscript"/>
        </w:rPr>
        <w:t>2</w:t>
      </w:r>
      <w:r w:rsidRPr="0098080C">
        <w:rPr>
          <w:sz w:val="24"/>
          <w:szCs w:val="24"/>
        </w:rPr>
        <w:t>), og 1708,5 (± 699,0) timer x ng/ml hos deltagere med stærkt nedsat nyrefunktion (GFR: &lt; 30 ml/min/1,73 m</w:t>
      </w:r>
      <w:r w:rsidRPr="0098080C">
        <w:rPr>
          <w:sz w:val="24"/>
          <w:szCs w:val="24"/>
          <w:vertAlign w:val="superscript"/>
        </w:rPr>
        <w:t>2</w:t>
      </w:r>
      <w:r w:rsidRPr="0098080C">
        <w:rPr>
          <w:sz w:val="24"/>
          <w:szCs w:val="24"/>
        </w:rPr>
        <w:t xml:space="preserve">). Middelværdien (SD) for bilastins halveringstid var 9,3 timer (± 2,8) hos deltagere uden nedsat nyrefunktion, 15,1 timer (± 7,7) hos deltagere med let </w:t>
      </w:r>
      <w:r w:rsidRPr="0098080C">
        <w:rPr>
          <w:sz w:val="24"/>
          <w:szCs w:val="24"/>
        </w:rPr>
        <w:lastRenderedPageBreak/>
        <w:t>funktionsnedsættelse, 10,5 timer (± 2,3) hos deltagere med moderat funktionsnedsættelse og 18,4 timer (± 11,4) hos deltagere med stærkt nedsat nyrefunktion. Udskillelse af bilastin i urinen var næsten fuldstændig efter 48-72 timer hos alle deltagere. Disse farmakokinetiske forandringer forventes ikke at påvirke sikkerheden af bilastin i et klinisk relevant omfang, eftersom patienter med nedsat nyrefunktion stadig falder inden for bilastins sikkerhedsinterval.</w:t>
      </w:r>
    </w:p>
    <w:bookmarkEnd w:id="4"/>
    <w:bookmarkEnd w:id="5"/>
    <w:p w14:paraId="62A79C16" w14:textId="77777777" w:rsidR="0098080C" w:rsidRPr="0098080C" w:rsidRDefault="0098080C" w:rsidP="0098080C">
      <w:pPr>
        <w:tabs>
          <w:tab w:val="left" w:pos="851"/>
        </w:tabs>
        <w:ind w:left="851"/>
        <w:rPr>
          <w:sz w:val="24"/>
          <w:szCs w:val="24"/>
        </w:rPr>
      </w:pPr>
    </w:p>
    <w:p w14:paraId="531BE769" w14:textId="77777777" w:rsidR="0098080C" w:rsidRPr="0098080C" w:rsidRDefault="0098080C" w:rsidP="0098080C">
      <w:pPr>
        <w:tabs>
          <w:tab w:val="left" w:pos="851"/>
        </w:tabs>
        <w:ind w:left="851"/>
        <w:rPr>
          <w:sz w:val="24"/>
          <w:szCs w:val="24"/>
        </w:rPr>
      </w:pPr>
      <w:r w:rsidRPr="0098080C">
        <w:rPr>
          <w:sz w:val="24"/>
          <w:szCs w:val="24"/>
          <w:u w:val="single"/>
        </w:rPr>
        <w:t>Nedsat leverfunktion</w:t>
      </w:r>
    </w:p>
    <w:p w14:paraId="708984CD" w14:textId="77777777" w:rsidR="0098080C" w:rsidRPr="0098080C" w:rsidRDefault="0098080C" w:rsidP="0098080C">
      <w:pPr>
        <w:tabs>
          <w:tab w:val="left" w:pos="851"/>
        </w:tabs>
        <w:ind w:left="851"/>
        <w:rPr>
          <w:sz w:val="24"/>
          <w:szCs w:val="24"/>
        </w:rPr>
      </w:pPr>
      <w:bookmarkStart w:id="6" w:name="OLE_LINK23"/>
      <w:bookmarkStart w:id="7" w:name="OLE_LINK24"/>
      <w:r w:rsidRPr="0098080C">
        <w:rPr>
          <w:sz w:val="24"/>
          <w:szCs w:val="24"/>
        </w:rPr>
        <w:t>Der foreligger ingen farmakokinetiske data fra patienter med nedsat leverfunktion. Bilastin metaboliseres ikke hos mennesker. Eftersom forsøgsresultaterne for nedsat nyrefunktion indikerer, at renal elimination udgør en væsentlig eliminationsmåde, forventes biliær ekskretion kun at spille en marginal rolle i eliminationen af bilastin.</w:t>
      </w:r>
      <w:r w:rsidRPr="0098080C">
        <w:rPr>
          <w:b/>
          <w:i/>
          <w:sz w:val="24"/>
          <w:szCs w:val="24"/>
        </w:rPr>
        <w:t xml:space="preserve"> </w:t>
      </w:r>
      <w:r w:rsidRPr="0098080C">
        <w:rPr>
          <w:sz w:val="24"/>
          <w:szCs w:val="24"/>
        </w:rPr>
        <w:t>Forandringer i leverfunktionen forventes ikke at påvirke bilastins farmakokinetik i et klinisk relevant omfang.</w:t>
      </w:r>
      <w:bookmarkEnd w:id="6"/>
      <w:bookmarkEnd w:id="7"/>
    </w:p>
    <w:p w14:paraId="66B8AE9F" w14:textId="77777777" w:rsidR="0098080C" w:rsidRPr="0098080C" w:rsidRDefault="0098080C" w:rsidP="0098080C">
      <w:pPr>
        <w:tabs>
          <w:tab w:val="left" w:pos="851"/>
        </w:tabs>
        <w:ind w:left="851"/>
        <w:rPr>
          <w:sz w:val="24"/>
          <w:szCs w:val="24"/>
        </w:rPr>
      </w:pPr>
    </w:p>
    <w:p w14:paraId="560FF73B" w14:textId="77777777" w:rsidR="0098080C" w:rsidRPr="0098080C" w:rsidRDefault="0098080C" w:rsidP="0098080C">
      <w:pPr>
        <w:tabs>
          <w:tab w:val="left" w:pos="851"/>
        </w:tabs>
        <w:ind w:left="851"/>
        <w:rPr>
          <w:sz w:val="24"/>
          <w:szCs w:val="24"/>
        </w:rPr>
      </w:pPr>
      <w:r w:rsidRPr="0098080C">
        <w:rPr>
          <w:sz w:val="24"/>
          <w:szCs w:val="24"/>
          <w:u w:val="single"/>
        </w:rPr>
        <w:t>Ældre</w:t>
      </w:r>
    </w:p>
    <w:p w14:paraId="3D8C7ABC" w14:textId="77777777" w:rsidR="0098080C" w:rsidRPr="0098080C" w:rsidRDefault="0098080C" w:rsidP="0098080C">
      <w:pPr>
        <w:tabs>
          <w:tab w:val="left" w:pos="851"/>
        </w:tabs>
        <w:ind w:left="851"/>
        <w:rPr>
          <w:sz w:val="24"/>
          <w:szCs w:val="24"/>
        </w:rPr>
      </w:pPr>
      <w:r w:rsidRPr="0098080C">
        <w:rPr>
          <w:sz w:val="24"/>
          <w:szCs w:val="24"/>
        </w:rPr>
        <w:t>Der foreligger kun begrænsede farmakokinetiske data for personer over 65 år. Der er ikke observeret statistisk signifikante forskelle i bilastins farmakokinetik hos ældre over 65 år sammenlignet med voksne mellem 18 og 35 år.</w:t>
      </w:r>
    </w:p>
    <w:p w14:paraId="514D5224" w14:textId="77777777" w:rsidR="0098080C" w:rsidRPr="0098080C" w:rsidRDefault="0098080C" w:rsidP="0098080C">
      <w:pPr>
        <w:tabs>
          <w:tab w:val="left" w:pos="851"/>
        </w:tabs>
        <w:ind w:left="851"/>
        <w:rPr>
          <w:sz w:val="24"/>
          <w:szCs w:val="24"/>
        </w:rPr>
      </w:pPr>
    </w:p>
    <w:p w14:paraId="1E5512BC" w14:textId="77777777" w:rsidR="0098080C" w:rsidRPr="0098080C" w:rsidRDefault="0098080C" w:rsidP="0098080C">
      <w:pPr>
        <w:tabs>
          <w:tab w:val="left" w:pos="851"/>
        </w:tabs>
        <w:ind w:left="851"/>
        <w:rPr>
          <w:sz w:val="24"/>
          <w:szCs w:val="24"/>
          <w:u w:val="single"/>
        </w:rPr>
      </w:pPr>
      <w:r w:rsidRPr="0098080C">
        <w:rPr>
          <w:sz w:val="24"/>
          <w:szCs w:val="24"/>
          <w:u w:val="single"/>
        </w:rPr>
        <w:t>Pædiatrisk population</w:t>
      </w:r>
    </w:p>
    <w:p w14:paraId="40BC801A" w14:textId="77777777" w:rsidR="0098080C" w:rsidRPr="0098080C" w:rsidRDefault="0098080C" w:rsidP="0098080C">
      <w:pPr>
        <w:tabs>
          <w:tab w:val="left" w:pos="851"/>
        </w:tabs>
        <w:ind w:left="851"/>
        <w:rPr>
          <w:sz w:val="24"/>
          <w:szCs w:val="24"/>
        </w:rPr>
      </w:pPr>
      <w:r w:rsidRPr="0098080C">
        <w:rPr>
          <w:sz w:val="24"/>
          <w:szCs w:val="24"/>
        </w:rPr>
        <w:t>Der er ingen tilgængelige farmakokinetiske data vedrørende unge (12-17 år), eftersom det ansås for passende at ekstrapolere fra voksne data for dette produkt.</w:t>
      </w:r>
    </w:p>
    <w:p w14:paraId="1A8B3C11" w14:textId="77777777" w:rsidR="0098080C" w:rsidRPr="0098080C" w:rsidRDefault="0098080C" w:rsidP="0098080C">
      <w:pPr>
        <w:tabs>
          <w:tab w:val="left" w:pos="851"/>
        </w:tabs>
        <w:ind w:left="851"/>
        <w:rPr>
          <w:sz w:val="24"/>
          <w:szCs w:val="24"/>
        </w:rPr>
      </w:pPr>
    </w:p>
    <w:p w14:paraId="6A8C0AC0" w14:textId="77777777" w:rsidR="0098080C" w:rsidRPr="0098080C" w:rsidRDefault="0098080C" w:rsidP="0098080C">
      <w:pPr>
        <w:tabs>
          <w:tab w:val="left" w:pos="851"/>
        </w:tabs>
        <w:ind w:left="851"/>
        <w:rPr>
          <w:sz w:val="24"/>
          <w:szCs w:val="24"/>
        </w:rPr>
      </w:pPr>
      <w:r w:rsidRPr="0098080C">
        <w:rPr>
          <w:iCs/>
          <w:sz w:val="24"/>
          <w:szCs w:val="24"/>
        </w:rPr>
        <w:t xml:space="preserve">Farmakokinetisk analyse på børn blev indhentet i et farmakokinetisk fase II-studie med 31 børn i alderen 4-11 år med allergisk rhinokonjunktivitis eller kronisk urticaria, som fik en smeltetablet med 10 mg bilastin en gang daglig. </w:t>
      </w:r>
      <w:r w:rsidRPr="0098080C">
        <w:rPr>
          <w:sz w:val="24"/>
          <w:szCs w:val="24"/>
        </w:rPr>
        <w:t xml:space="preserve">Farmakokinetisk analyse af data om plasmakoncentrationen viste, at den pædiatriske dosis på 10 mg bilastin en gang dagligt medfører systemisk eksponering </w:t>
      </w:r>
      <w:r w:rsidRPr="0098080C">
        <w:rPr>
          <w:iCs/>
          <w:sz w:val="24"/>
          <w:szCs w:val="24"/>
        </w:rPr>
        <w:t>svarende til det, der ses efter en dosis på 20 mg hos voksne og unge, hvilket er AUC-middelværdien 1.014 ng x t/ml for børn på 6-11 år</w:t>
      </w:r>
      <w:r w:rsidRPr="0098080C">
        <w:rPr>
          <w:sz w:val="24"/>
          <w:szCs w:val="24"/>
        </w:rPr>
        <w:t>. Disse resultater ligger godt under sikkerhedsniveauet på basis af data om en dosis på 80 mg en gang om dagen hos voksne i henhold til sikkerhedsprofilen. Disse resultater bekræftede, at 10 mg bilastin oralt en gang dagligt er en passende terapeutisk dosis til den pædiatriske population i alderen 6-11 år med en kropsvægt på mindst 20 kg.</w:t>
      </w:r>
    </w:p>
    <w:p w14:paraId="419DCD05" w14:textId="77777777" w:rsidR="009260DE" w:rsidRPr="00C84483" w:rsidRDefault="009260DE" w:rsidP="009260DE">
      <w:pPr>
        <w:tabs>
          <w:tab w:val="left" w:pos="851"/>
        </w:tabs>
        <w:ind w:left="851"/>
        <w:rPr>
          <w:sz w:val="24"/>
          <w:szCs w:val="24"/>
        </w:rPr>
      </w:pPr>
    </w:p>
    <w:p w14:paraId="5DCF11C2"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013ADCD" w14:textId="77777777" w:rsidR="0098080C" w:rsidRPr="0098080C" w:rsidRDefault="0098080C" w:rsidP="0098080C">
      <w:pPr>
        <w:tabs>
          <w:tab w:val="left" w:pos="851"/>
        </w:tabs>
        <w:ind w:left="851"/>
        <w:rPr>
          <w:sz w:val="24"/>
          <w:szCs w:val="24"/>
        </w:rPr>
      </w:pPr>
    </w:p>
    <w:p w14:paraId="7DFF543B" w14:textId="77777777" w:rsidR="0098080C" w:rsidRPr="0098080C" w:rsidRDefault="0098080C" w:rsidP="0098080C">
      <w:pPr>
        <w:tabs>
          <w:tab w:val="left" w:pos="851"/>
        </w:tabs>
        <w:ind w:left="851"/>
        <w:rPr>
          <w:sz w:val="24"/>
          <w:szCs w:val="24"/>
        </w:rPr>
      </w:pPr>
      <w:r w:rsidRPr="0098080C">
        <w:rPr>
          <w:sz w:val="24"/>
          <w:szCs w:val="24"/>
        </w:rPr>
        <w:t>Non-kliniske data for bilastin viser ingen speciel risiko for mennesker vurderet ud fra konventionelle studier af sikkerhedsfarmakologi, toksicitet efter gentagne doser, genotoksicitet, samt karcinogent potentiale.</w:t>
      </w:r>
    </w:p>
    <w:p w14:paraId="474F5591" w14:textId="77777777" w:rsidR="0098080C" w:rsidRPr="0098080C" w:rsidRDefault="0098080C" w:rsidP="0098080C">
      <w:pPr>
        <w:tabs>
          <w:tab w:val="left" w:pos="851"/>
        </w:tabs>
        <w:ind w:left="851"/>
        <w:rPr>
          <w:sz w:val="24"/>
          <w:szCs w:val="24"/>
        </w:rPr>
      </w:pPr>
      <w:bookmarkStart w:id="8" w:name="OLE_LINK28"/>
      <w:bookmarkStart w:id="9" w:name="OLE_LINK27"/>
      <w:bookmarkStart w:id="10" w:name="OLE_LINK26"/>
      <w:bookmarkStart w:id="11" w:name="OLE_LINK25"/>
    </w:p>
    <w:p w14:paraId="49927883" w14:textId="77777777" w:rsidR="0098080C" w:rsidRPr="0098080C" w:rsidRDefault="0098080C" w:rsidP="0098080C">
      <w:pPr>
        <w:tabs>
          <w:tab w:val="left" w:pos="851"/>
        </w:tabs>
        <w:ind w:left="851"/>
        <w:rPr>
          <w:sz w:val="24"/>
          <w:szCs w:val="24"/>
        </w:rPr>
      </w:pPr>
      <w:r w:rsidRPr="0098080C">
        <w:rPr>
          <w:sz w:val="24"/>
          <w:szCs w:val="24"/>
        </w:rPr>
        <w:t xml:space="preserve">I studier af reproduktionstoksicitet sås der kun fosterpåvirkning (fostertab før og efter implantation hos rotter og ufuldstændig ossifikation af kranieknogler, segmenterne i corpus sterni og lemmer hos kaniner) ved doser, der var toksiske for moderdyret. Eksponeringsniveauerne uden observerede negative effekter (NOAELs – </w:t>
      </w:r>
      <w:r w:rsidRPr="0098080C">
        <w:rPr>
          <w:i/>
          <w:sz w:val="24"/>
          <w:szCs w:val="24"/>
        </w:rPr>
        <w:t>no observed adverse effect levels</w:t>
      </w:r>
      <w:r w:rsidRPr="0098080C">
        <w:rPr>
          <w:sz w:val="24"/>
          <w:szCs w:val="24"/>
        </w:rPr>
        <w:t>) overstiger human eksponering ved den anbefalede terapeutiske dosis i tilstrækkelig grad (&gt; 30 gange).</w:t>
      </w:r>
    </w:p>
    <w:p w14:paraId="13261574" w14:textId="77777777" w:rsidR="0098080C" w:rsidRPr="0098080C" w:rsidRDefault="0098080C" w:rsidP="0098080C">
      <w:pPr>
        <w:tabs>
          <w:tab w:val="left" w:pos="851"/>
        </w:tabs>
        <w:ind w:left="851"/>
        <w:rPr>
          <w:sz w:val="24"/>
          <w:szCs w:val="24"/>
        </w:rPr>
      </w:pPr>
    </w:p>
    <w:p w14:paraId="3711D124" w14:textId="77777777" w:rsidR="0098080C" w:rsidRPr="0098080C" w:rsidRDefault="0098080C" w:rsidP="0098080C">
      <w:pPr>
        <w:tabs>
          <w:tab w:val="left" w:pos="851"/>
        </w:tabs>
        <w:ind w:left="851"/>
        <w:rPr>
          <w:sz w:val="24"/>
          <w:szCs w:val="24"/>
        </w:rPr>
      </w:pPr>
      <w:r w:rsidRPr="0098080C">
        <w:rPr>
          <w:sz w:val="24"/>
          <w:szCs w:val="24"/>
        </w:rPr>
        <w:t xml:space="preserve">I et diegivningsstudie blev der identificeret bilastin i mælken hos ammende rotter, som blev indgivet med en enkelt oral dosis (20 mg/kg). Koncentrationer af bilastin i mælk var </w:t>
      </w:r>
      <w:r w:rsidRPr="0098080C">
        <w:rPr>
          <w:sz w:val="24"/>
          <w:szCs w:val="24"/>
        </w:rPr>
        <w:lastRenderedPageBreak/>
        <w:t>ca. halvdelen i forhold til koncentrationerne i moderens plasma. Relevansen af disse resultater for mennesker er ikke kendt.</w:t>
      </w:r>
    </w:p>
    <w:bookmarkEnd w:id="8"/>
    <w:bookmarkEnd w:id="9"/>
    <w:bookmarkEnd w:id="10"/>
    <w:bookmarkEnd w:id="11"/>
    <w:p w14:paraId="41912F4A" w14:textId="77777777" w:rsidR="0098080C" w:rsidRPr="0098080C" w:rsidRDefault="0098080C" w:rsidP="0098080C">
      <w:pPr>
        <w:tabs>
          <w:tab w:val="left" w:pos="851"/>
        </w:tabs>
        <w:ind w:left="851"/>
        <w:rPr>
          <w:sz w:val="24"/>
          <w:szCs w:val="24"/>
        </w:rPr>
      </w:pPr>
    </w:p>
    <w:p w14:paraId="79D00238" w14:textId="77777777" w:rsidR="0098080C" w:rsidRPr="0098080C" w:rsidRDefault="0098080C" w:rsidP="0098080C">
      <w:pPr>
        <w:tabs>
          <w:tab w:val="left" w:pos="851"/>
        </w:tabs>
        <w:ind w:left="851"/>
        <w:rPr>
          <w:sz w:val="24"/>
          <w:szCs w:val="24"/>
        </w:rPr>
      </w:pPr>
      <w:r w:rsidRPr="0098080C">
        <w:rPr>
          <w:sz w:val="24"/>
          <w:szCs w:val="24"/>
        </w:rPr>
        <w:t>I et fertilitetsforsøg i rotter blev bilastin administreret oralt i doser på op til 1.000 mg/kg/dag uden påvirkning af kønsorganerne hos han- eller hundyr. Parrings-, fertilitets- eller drægtighedsindeks blev ikke påvirkede.</w:t>
      </w:r>
    </w:p>
    <w:p w14:paraId="3BF22477" w14:textId="77777777" w:rsidR="0098080C" w:rsidRPr="0098080C" w:rsidRDefault="0098080C" w:rsidP="0098080C">
      <w:pPr>
        <w:tabs>
          <w:tab w:val="left" w:pos="851"/>
        </w:tabs>
        <w:ind w:left="851"/>
        <w:rPr>
          <w:sz w:val="24"/>
          <w:szCs w:val="24"/>
        </w:rPr>
      </w:pPr>
    </w:p>
    <w:p w14:paraId="536DC877" w14:textId="77777777" w:rsidR="0098080C" w:rsidRPr="0098080C" w:rsidRDefault="0098080C" w:rsidP="0098080C">
      <w:pPr>
        <w:tabs>
          <w:tab w:val="left" w:pos="851"/>
        </w:tabs>
        <w:ind w:left="851"/>
        <w:rPr>
          <w:sz w:val="24"/>
          <w:szCs w:val="24"/>
        </w:rPr>
      </w:pPr>
      <w:r w:rsidRPr="0098080C">
        <w:rPr>
          <w:sz w:val="24"/>
          <w:szCs w:val="24"/>
        </w:rPr>
        <w:t>Det fremgår af et fordelingsforsøg i rotter, hvor lægemiddelkoncentrationer blev bestemt ved hjælp af autoradiografi, at bilastin ikke akkumuleres i centralnervesystemet.</w:t>
      </w:r>
    </w:p>
    <w:p w14:paraId="35B051E7" w14:textId="77777777" w:rsidR="0098080C" w:rsidRPr="0098080C" w:rsidRDefault="0098080C" w:rsidP="0098080C">
      <w:pPr>
        <w:tabs>
          <w:tab w:val="left" w:pos="851"/>
        </w:tabs>
        <w:ind w:left="851"/>
        <w:rPr>
          <w:sz w:val="24"/>
          <w:szCs w:val="24"/>
        </w:rPr>
      </w:pPr>
    </w:p>
    <w:p w14:paraId="492112E2" w14:textId="77777777" w:rsidR="009260DE" w:rsidRPr="00C84483" w:rsidRDefault="009260DE" w:rsidP="009260DE">
      <w:pPr>
        <w:tabs>
          <w:tab w:val="left" w:pos="851"/>
        </w:tabs>
        <w:ind w:left="851"/>
        <w:rPr>
          <w:sz w:val="24"/>
          <w:szCs w:val="24"/>
        </w:rPr>
      </w:pPr>
    </w:p>
    <w:p w14:paraId="14DE37AE"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2C0ABDF1" w14:textId="77777777" w:rsidR="009260DE" w:rsidRPr="00BA09F1" w:rsidRDefault="009260DE" w:rsidP="009260DE">
      <w:pPr>
        <w:tabs>
          <w:tab w:val="left" w:pos="851"/>
        </w:tabs>
        <w:ind w:left="851"/>
        <w:rPr>
          <w:sz w:val="24"/>
          <w:szCs w:val="24"/>
        </w:rPr>
      </w:pPr>
    </w:p>
    <w:p w14:paraId="33259514"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2FE92F95" w14:textId="77777777" w:rsidR="0098080C" w:rsidRPr="0098080C" w:rsidRDefault="0098080C" w:rsidP="0098080C">
      <w:pPr>
        <w:tabs>
          <w:tab w:val="left" w:pos="851"/>
        </w:tabs>
        <w:ind w:left="851"/>
        <w:rPr>
          <w:sz w:val="24"/>
          <w:szCs w:val="24"/>
        </w:rPr>
      </w:pPr>
      <w:r w:rsidRPr="0098080C">
        <w:rPr>
          <w:sz w:val="24"/>
          <w:szCs w:val="24"/>
        </w:rPr>
        <w:t>Cellulose mikrokrystallinsk</w:t>
      </w:r>
    </w:p>
    <w:p w14:paraId="1FD34624" w14:textId="77777777" w:rsidR="0098080C" w:rsidRPr="0098080C" w:rsidRDefault="0098080C" w:rsidP="0098080C">
      <w:pPr>
        <w:tabs>
          <w:tab w:val="left" w:pos="851"/>
        </w:tabs>
        <w:ind w:left="851"/>
        <w:rPr>
          <w:sz w:val="24"/>
          <w:szCs w:val="24"/>
        </w:rPr>
      </w:pPr>
      <w:r w:rsidRPr="0098080C">
        <w:rPr>
          <w:sz w:val="24"/>
          <w:szCs w:val="24"/>
        </w:rPr>
        <w:t>Crospovidon type A</w:t>
      </w:r>
    </w:p>
    <w:p w14:paraId="073692D9" w14:textId="77777777" w:rsidR="0098080C" w:rsidRPr="0098080C" w:rsidRDefault="0098080C" w:rsidP="0098080C">
      <w:pPr>
        <w:tabs>
          <w:tab w:val="left" w:pos="851"/>
        </w:tabs>
        <w:ind w:left="851"/>
        <w:rPr>
          <w:sz w:val="24"/>
          <w:szCs w:val="24"/>
        </w:rPr>
      </w:pPr>
      <w:r w:rsidRPr="0098080C">
        <w:rPr>
          <w:sz w:val="24"/>
          <w:szCs w:val="24"/>
        </w:rPr>
        <w:t>Magnesiumstearat</w:t>
      </w:r>
    </w:p>
    <w:p w14:paraId="53AC320C" w14:textId="77777777" w:rsidR="0098080C" w:rsidRPr="0098080C" w:rsidRDefault="0098080C" w:rsidP="0098080C">
      <w:pPr>
        <w:tabs>
          <w:tab w:val="left" w:pos="851"/>
        </w:tabs>
        <w:ind w:left="851"/>
        <w:rPr>
          <w:sz w:val="24"/>
          <w:szCs w:val="24"/>
        </w:rPr>
      </w:pPr>
      <w:r w:rsidRPr="0098080C">
        <w:rPr>
          <w:sz w:val="24"/>
          <w:szCs w:val="24"/>
        </w:rPr>
        <w:t>Silica, kolloid vandfri</w:t>
      </w:r>
    </w:p>
    <w:p w14:paraId="58DCD9E6" w14:textId="77777777" w:rsidR="009260DE" w:rsidRPr="00C84483" w:rsidRDefault="009260DE" w:rsidP="009260DE">
      <w:pPr>
        <w:tabs>
          <w:tab w:val="left" w:pos="851"/>
        </w:tabs>
        <w:ind w:left="851"/>
        <w:rPr>
          <w:sz w:val="24"/>
          <w:szCs w:val="24"/>
        </w:rPr>
      </w:pPr>
    </w:p>
    <w:p w14:paraId="2BA02EF0"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2ED5CAD" w14:textId="77777777" w:rsidR="0098080C" w:rsidRPr="0098080C" w:rsidRDefault="0098080C" w:rsidP="0098080C">
      <w:pPr>
        <w:tabs>
          <w:tab w:val="left" w:pos="851"/>
        </w:tabs>
        <w:ind w:left="851"/>
        <w:rPr>
          <w:sz w:val="24"/>
          <w:szCs w:val="24"/>
        </w:rPr>
      </w:pPr>
      <w:r w:rsidRPr="0098080C">
        <w:rPr>
          <w:sz w:val="24"/>
          <w:szCs w:val="24"/>
        </w:rPr>
        <w:t>Ikke relevant.</w:t>
      </w:r>
    </w:p>
    <w:p w14:paraId="0CA16AB7" w14:textId="77777777" w:rsidR="009260DE" w:rsidRPr="00C84483" w:rsidRDefault="009260DE" w:rsidP="009260DE">
      <w:pPr>
        <w:tabs>
          <w:tab w:val="left" w:pos="851"/>
        </w:tabs>
        <w:ind w:left="851"/>
        <w:rPr>
          <w:sz w:val="24"/>
          <w:szCs w:val="24"/>
        </w:rPr>
      </w:pPr>
    </w:p>
    <w:p w14:paraId="27879AB1"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FEB214D" w14:textId="23ADF266" w:rsidR="0098080C" w:rsidRPr="0098080C" w:rsidRDefault="0098080C" w:rsidP="0098080C">
      <w:pPr>
        <w:tabs>
          <w:tab w:val="left" w:pos="851"/>
        </w:tabs>
        <w:ind w:left="851"/>
        <w:rPr>
          <w:sz w:val="24"/>
          <w:szCs w:val="24"/>
        </w:rPr>
      </w:pPr>
      <w:r w:rsidRPr="0098080C">
        <w:rPr>
          <w:sz w:val="24"/>
          <w:szCs w:val="24"/>
        </w:rPr>
        <w:t>3 år</w:t>
      </w:r>
      <w:r>
        <w:rPr>
          <w:sz w:val="24"/>
          <w:szCs w:val="24"/>
        </w:rPr>
        <w:t>.</w:t>
      </w:r>
    </w:p>
    <w:p w14:paraId="580177D7" w14:textId="77777777" w:rsidR="009260DE" w:rsidRPr="00C84483" w:rsidRDefault="009260DE" w:rsidP="009260DE">
      <w:pPr>
        <w:tabs>
          <w:tab w:val="left" w:pos="851"/>
        </w:tabs>
        <w:ind w:left="851"/>
        <w:rPr>
          <w:sz w:val="24"/>
          <w:szCs w:val="24"/>
        </w:rPr>
      </w:pPr>
    </w:p>
    <w:p w14:paraId="4B5F69B7"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6079B50A" w14:textId="77777777" w:rsidR="0098080C" w:rsidRPr="0098080C" w:rsidRDefault="0098080C" w:rsidP="0098080C">
      <w:pPr>
        <w:tabs>
          <w:tab w:val="left" w:pos="851"/>
        </w:tabs>
        <w:ind w:left="851"/>
        <w:rPr>
          <w:sz w:val="24"/>
          <w:szCs w:val="24"/>
        </w:rPr>
      </w:pPr>
      <w:r w:rsidRPr="0098080C">
        <w:rPr>
          <w:sz w:val="24"/>
          <w:szCs w:val="24"/>
        </w:rPr>
        <w:t xml:space="preserve">Dette lægemiddel kræver </w:t>
      </w:r>
      <w:bookmarkStart w:id="12" w:name="_Hlk239945221"/>
      <w:r w:rsidRPr="0098080C">
        <w:rPr>
          <w:sz w:val="24"/>
          <w:szCs w:val="24"/>
        </w:rPr>
        <w:t>ingen særlige forholdsregler vedrørende opbevaringen</w:t>
      </w:r>
      <w:bookmarkEnd w:id="12"/>
      <w:r w:rsidRPr="0098080C">
        <w:rPr>
          <w:sz w:val="24"/>
          <w:szCs w:val="24"/>
        </w:rPr>
        <w:t>.</w:t>
      </w:r>
    </w:p>
    <w:p w14:paraId="6BA376E5" w14:textId="77777777" w:rsidR="009260DE" w:rsidRPr="00C84483" w:rsidRDefault="009260DE" w:rsidP="009260DE">
      <w:pPr>
        <w:tabs>
          <w:tab w:val="left" w:pos="851"/>
        </w:tabs>
        <w:ind w:left="851"/>
        <w:rPr>
          <w:sz w:val="24"/>
          <w:szCs w:val="24"/>
        </w:rPr>
      </w:pPr>
    </w:p>
    <w:p w14:paraId="79151A30"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10B5862" w14:textId="77777777" w:rsidR="0098080C" w:rsidRDefault="0098080C" w:rsidP="0098080C">
      <w:pPr>
        <w:tabs>
          <w:tab w:val="left" w:pos="851"/>
        </w:tabs>
        <w:ind w:left="851"/>
        <w:rPr>
          <w:sz w:val="24"/>
          <w:szCs w:val="24"/>
        </w:rPr>
      </w:pPr>
      <w:r>
        <w:rPr>
          <w:sz w:val="24"/>
          <w:szCs w:val="24"/>
        </w:rPr>
        <w:t>O</w:t>
      </w:r>
      <w:r w:rsidRPr="0098080C">
        <w:rPr>
          <w:sz w:val="24"/>
          <w:szCs w:val="24"/>
        </w:rPr>
        <w:t>PA/alu/PVC//alu-blister</w:t>
      </w:r>
      <w:r>
        <w:rPr>
          <w:sz w:val="24"/>
          <w:szCs w:val="24"/>
        </w:rPr>
        <w:t>.</w:t>
      </w:r>
    </w:p>
    <w:p w14:paraId="5837310D" w14:textId="77777777" w:rsidR="0098080C" w:rsidRDefault="0098080C" w:rsidP="0098080C">
      <w:pPr>
        <w:tabs>
          <w:tab w:val="left" w:pos="851"/>
        </w:tabs>
        <w:ind w:left="851"/>
        <w:rPr>
          <w:sz w:val="24"/>
          <w:szCs w:val="24"/>
        </w:rPr>
      </w:pPr>
    </w:p>
    <w:p w14:paraId="646777B8" w14:textId="45B454F3" w:rsidR="0098080C" w:rsidRPr="0098080C" w:rsidRDefault="0098080C" w:rsidP="0098080C">
      <w:pPr>
        <w:tabs>
          <w:tab w:val="left" w:pos="851"/>
        </w:tabs>
        <w:ind w:left="851"/>
        <w:rPr>
          <w:sz w:val="24"/>
          <w:szCs w:val="24"/>
        </w:rPr>
      </w:pPr>
      <w:r>
        <w:rPr>
          <w:sz w:val="24"/>
          <w:szCs w:val="24"/>
        </w:rPr>
        <w:t xml:space="preserve">Pakningsstørrelser: </w:t>
      </w:r>
      <w:r w:rsidRPr="0098080C">
        <w:rPr>
          <w:sz w:val="24"/>
          <w:szCs w:val="24"/>
        </w:rPr>
        <w:t xml:space="preserve">10, 20, 30, 40, 50 </w:t>
      </w:r>
      <w:r>
        <w:rPr>
          <w:sz w:val="24"/>
          <w:szCs w:val="24"/>
        </w:rPr>
        <w:t>og</w:t>
      </w:r>
      <w:r w:rsidRPr="0098080C">
        <w:rPr>
          <w:sz w:val="24"/>
          <w:szCs w:val="24"/>
        </w:rPr>
        <w:t xml:space="preserve"> 100 tabletter.</w:t>
      </w:r>
    </w:p>
    <w:p w14:paraId="7068B3E5" w14:textId="77777777" w:rsidR="0098080C" w:rsidRPr="0098080C" w:rsidRDefault="0098080C" w:rsidP="0098080C">
      <w:pPr>
        <w:tabs>
          <w:tab w:val="left" w:pos="851"/>
        </w:tabs>
        <w:ind w:left="851"/>
        <w:rPr>
          <w:sz w:val="24"/>
          <w:szCs w:val="24"/>
        </w:rPr>
      </w:pPr>
    </w:p>
    <w:p w14:paraId="7BCA4F8D" w14:textId="77777777" w:rsidR="0098080C" w:rsidRPr="0098080C" w:rsidRDefault="0098080C" w:rsidP="0098080C">
      <w:pPr>
        <w:tabs>
          <w:tab w:val="left" w:pos="851"/>
        </w:tabs>
        <w:ind w:left="851"/>
        <w:rPr>
          <w:sz w:val="24"/>
          <w:szCs w:val="24"/>
        </w:rPr>
      </w:pPr>
      <w:r w:rsidRPr="0098080C">
        <w:rPr>
          <w:sz w:val="24"/>
          <w:szCs w:val="24"/>
        </w:rPr>
        <w:t>Ikke alle pakningsstørrelser er nødvendigvis markedsført.</w:t>
      </w:r>
    </w:p>
    <w:p w14:paraId="78F84530" w14:textId="77777777" w:rsidR="009260DE" w:rsidRPr="00C84483" w:rsidRDefault="009260DE" w:rsidP="009260DE">
      <w:pPr>
        <w:tabs>
          <w:tab w:val="left" w:pos="851"/>
        </w:tabs>
        <w:ind w:left="851"/>
        <w:rPr>
          <w:sz w:val="24"/>
          <w:szCs w:val="24"/>
        </w:rPr>
      </w:pPr>
    </w:p>
    <w:p w14:paraId="6783470F"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01928D32" w14:textId="77777777" w:rsidR="0098080C" w:rsidRPr="0098080C" w:rsidRDefault="0098080C" w:rsidP="0098080C">
      <w:pPr>
        <w:tabs>
          <w:tab w:val="left" w:pos="851"/>
        </w:tabs>
        <w:ind w:left="851"/>
        <w:rPr>
          <w:sz w:val="24"/>
          <w:szCs w:val="24"/>
        </w:rPr>
      </w:pPr>
      <w:r w:rsidRPr="0098080C">
        <w:rPr>
          <w:sz w:val="24"/>
          <w:szCs w:val="24"/>
        </w:rPr>
        <w:t>Ikke anvendt lægemiddel samt affald heraf skal bortskaffes i henhold til lokale retningslinjer.</w:t>
      </w:r>
    </w:p>
    <w:p w14:paraId="5AB31AEE" w14:textId="77777777" w:rsidR="009260DE" w:rsidRPr="00C84483" w:rsidRDefault="009260DE" w:rsidP="000730CA">
      <w:pPr>
        <w:tabs>
          <w:tab w:val="left" w:pos="851"/>
        </w:tabs>
        <w:ind w:left="851"/>
        <w:rPr>
          <w:sz w:val="24"/>
          <w:szCs w:val="24"/>
        </w:rPr>
      </w:pPr>
    </w:p>
    <w:p w14:paraId="241CF88D"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7C07FB49" w14:textId="77777777" w:rsidR="0098080C" w:rsidRPr="0098080C" w:rsidRDefault="0098080C" w:rsidP="0098080C">
      <w:pPr>
        <w:tabs>
          <w:tab w:val="left" w:pos="851"/>
        </w:tabs>
        <w:ind w:left="851"/>
        <w:rPr>
          <w:sz w:val="24"/>
          <w:szCs w:val="24"/>
        </w:rPr>
      </w:pPr>
      <w:r w:rsidRPr="0098080C">
        <w:rPr>
          <w:sz w:val="24"/>
          <w:szCs w:val="24"/>
        </w:rPr>
        <w:t>STADA Arzneimittel AG</w:t>
      </w:r>
    </w:p>
    <w:p w14:paraId="594017A1" w14:textId="77777777" w:rsidR="0098080C" w:rsidRPr="0098080C" w:rsidRDefault="0098080C" w:rsidP="0098080C">
      <w:pPr>
        <w:tabs>
          <w:tab w:val="left" w:pos="851"/>
        </w:tabs>
        <w:ind w:left="851"/>
        <w:rPr>
          <w:sz w:val="24"/>
          <w:szCs w:val="24"/>
        </w:rPr>
      </w:pPr>
      <w:r w:rsidRPr="0098080C">
        <w:rPr>
          <w:sz w:val="24"/>
          <w:szCs w:val="24"/>
        </w:rPr>
        <w:t>Stadastr. 2-18</w:t>
      </w:r>
    </w:p>
    <w:p w14:paraId="0AD75BED" w14:textId="77777777" w:rsidR="0098080C" w:rsidRPr="0098080C" w:rsidRDefault="0098080C" w:rsidP="0098080C">
      <w:pPr>
        <w:tabs>
          <w:tab w:val="left" w:pos="851"/>
        </w:tabs>
        <w:ind w:left="851"/>
        <w:rPr>
          <w:sz w:val="24"/>
          <w:szCs w:val="24"/>
        </w:rPr>
      </w:pPr>
      <w:r w:rsidRPr="0098080C">
        <w:rPr>
          <w:sz w:val="24"/>
          <w:szCs w:val="24"/>
        </w:rPr>
        <w:t>61118 Bad Vilbel</w:t>
      </w:r>
    </w:p>
    <w:p w14:paraId="02EE3DD0" w14:textId="77777777" w:rsidR="0098080C" w:rsidRPr="0098080C" w:rsidRDefault="0098080C" w:rsidP="0098080C">
      <w:pPr>
        <w:tabs>
          <w:tab w:val="left" w:pos="851"/>
        </w:tabs>
        <w:ind w:left="851"/>
        <w:rPr>
          <w:sz w:val="24"/>
          <w:szCs w:val="24"/>
        </w:rPr>
      </w:pPr>
      <w:r w:rsidRPr="0098080C">
        <w:rPr>
          <w:sz w:val="24"/>
          <w:szCs w:val="24"/>
        </w:rPr>
        <w:t>Tyskland</w:t>
      </w:r>
    </w:p>
    <w:p w14:paraId="08C5F636" w14:textId="77777777" w:rsidR="0098080C" w:rsidRPr="0098080C" w:rsidRDefault="0098080C" w:rsidP="0098080C">
      <w:pPr>
        <w:tabs>
          <w:tab w:val="left" w:pos="851"/>
        </w:tabs>
        <w:ind w:left="851"/>
        <w:rPr>
          <w:sz w:val="24"/>
          <w:szCs w:val="24"/>
        </w:rPr>
      </w:pPr>
    </w:p>
    <w:p w14:paraId="2D831817" w14:textId="77777777" w:rsidR="0098080C" w:rsidRPr="0098080C" w:rsidRDefault="0098080C" w:rsidP="0098080C">
      <w:pPr>
        <w:tabs>
          <w:tab w:val="left" w:pos="851"/>
        </w:tabs>
        <w:ind w:left="851"/>
        <w:rPr>
          <w:sz w:val="24"/>
          <w:szCs w:val="24"/>
        </w:rPr>
      </w:pPr>
      <w:r w:rsidRPr="0098080C">
        <w:rPr>
          <w:b/>
          <w:sz w:val="24"/>
          <w:szCs w:val="24"/>
        </w:rPr>
        <w:t>Repræsentant</w:t>
      </w:r>
    </w:p>
    <w:p w14:paraId="193FE3BE" w14:textId="77777777" w:rsidR="0098080C" w:rsidRPr="0098080C" w:rsidRDefault="0098080C" w:rsidP="0098080C">
      <w:pPr>
        <w:tabs>
          <w:tab w:val="left" w:pos="851"/>
        </w:tabs>
        <w:ind w:left="851"/>
        <w:rPr>
          <w:sz w:val="24"/>
          <w:szCs w:val="24"/>
        </w:rPr>
      </w:pPr>
      <w:r w:rsidRPr="0098080C">
        <w:rPr>
          <w:sz w:val="24"/>
          <w:szCs w:val="24"/>
        </w:rPr>
        <w:t>STADA Nordic ApS</w:t>
      </w:r>
    </w:p>
    <w:p w14:paraId="4310BFDC" w14:textId="77777777" w:rsidR="0098080C" w:rsidRPr="0098080C" w:rsidRDefault="0098080C" w:rsidP="0098080C">
      <w:pPr>
        <w:tabs>
          <w:tab w:val="left" w:pos="851"/>
        </w:tabs>
        <w:ind w:left="851"/>
        <w:rPr>
          <w:sz w:val="24"/>
          <w:szCs w:val="24"/>
        </w:rPr>
      </w:pPr>
      <w:r w:rsidRPr="0098080C">
        <w:rPr>
          <w:sz w:val="24"/>
          <w:szCs w:val="24"/>
        </w:rPr>
        <w:t>Marielundvej 46 A</w:t>
      </w:r>
    </w:p>
    <w:p w14:paraId="749D3638" w14:textId="77777777" w:rsidR="0098080C" w:rsidRPr="0098080C" w:rsidRDefault="0098080C" w:rsidP="0098080C">
      <w:pPr>
        <w:tabs>
          <w:tab w:val="left" w:pos="851"/>
        </w:tabs>
        <w:ind w:left="851"/>
        <w:rPr>
          <w:sz w:val="24"/>
          <w:szCs w:val="24"/>
        </w:rPr>
      </w:pPr>
      <w:r w:rsidRPr="0098080C">
        <w:rPr>
          <w:sz w:val="24"/>
          <w:szCs w:val="24"/>
        </w:rPr>
        <w:t>2730 Herlev</w:t>
      </w:r>
    </w:p>
    <w:p w14:paraId="4E35FC07" w14:textId="322BBA7B" w:rsidR="0098080C" w:rsidRDefault="0098080C">
      <w:pPr>
        <w:rPr>
          <w:sz w:val="24"/>
          <w:szCs w:val="24"/>
        </w:rPr>
      </w:pPr>
      <w:r>
        <w:rPr>
          <w:sz w:val="24"/>
          <w:szCs w:val="24"/>
        </w:rPr>
        <w:br w:type="page"/>
      </w:r>
    </w:p>
    <w:p w14:paraId="529DD01B" w14:textId="77777777" w:rsidR="0098080C" w:rsidRPr="0098080C" w:rsidRDefault="0098080C" w:rsidP="0098080C">
      <w:pPr>
        <w:tabs>
          <w:tab w:val="left" w:pos="851"/>
        </w:tabs>
        <w:ind w:left="851"/>
        <w:rPr>
          <w:sz w:val="24"/>
          <w:szCs w:val="24"/>
        </w:rPr>
      </w:pPr>
    </w:p>
    <w:p w14:paraId="79352A65"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07A8686C" w14:textId="7A23E9DC" w:rsidR="009260DE" w:rsidRPr="00C84483" w:rsidRDefault="0098080C" w:rsidP="009260DE">
      <w:pPr>
        <w:tabs>
          <w:tab w:val="left" w:pos="851"/>
        </w:tabs>
        <w:ind w:left="851"/>
        <w:rPr>
          <w:sz w:val="24"/>
          <w:szCs w:val="24"/>
        </w:rPr>
      </w:pPr>
      <w:r>
        <w:rPr>
          <w:sz w:val="24"/>
          <w:szCs w:val="24"/>
        </w:rPr>
        <w:t>72441</w:t>
      </w:r>
    </w:p>
    <w:p w14:paraId="62BAA7DC" w14:textId="77777777" w:rsidR="009260DE" w:rsidRPr="00C84483" w:rsidRDefault="009260DE" w:rsidP="009260DE">
      <w:pPr>
        <w:tabs>
          <w:tab w:val="left" w:pos="851"/>
        </w:tabs>
        <w:ind w:left="851"/>
        <w:jc w:val="both"/>
        <w:rPr>
          <w:sz w:val="24"/>
          <w:szCs w:val="24"/>
        </w:rPr>
      </w:pPr>
    </w:p>
    <w:p w14:paraId="2DC69EB4"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37C33BEE" w14:textId="2301C845" w:rsidR="009260DE" w:rsidRPr="00C84483" w:rsidRDefault="007C5B2A" w:rsidP="009260DE">
      <w:pPr>
        <w:tabs>
          <w:tab w:val="left" w:pos="851"/>
        </w:tabs>
        <w:ind w:left="851"/>
        <w:rPr>
          <w:sz w:val="24"/>
          <w:szCs w:val="24"/>
        </w:rPr>
      </w:pPr>
      <w:r>
        <w:rPr>
          <w:sz w:val="24"/>
          <w:szCs w:val="24"/>
        </w:rPr>
        <w:t>22. oktober 2026</w:t>
      </w:r>
    </w:p>
    <w:p w14:paraId="57DED973" w14:textId="77777777" w:rsidR="009260DE" w:rsidRPr="00C84483" w:rsidRDefault="009260DE" w:rsidP="009260DE">
      <w:pPr>
        <w:tabs>
          <w:tab w:val="left" w:pos="851"/>
        </w:tabs>
        <w:ind w:left="851"/>
        <w:rPr>
          <w:sz w:val="24"/>
          <w:szCs w:val="24"/>
        </w:rPr>
      </w:pPr>
    </w:p>
    <w:p w14:paraId="1B48EF44"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80FB90D" w14:textId="44C433D6" w:rsidR="009260DE" w:rsidRPr="00C84483" w:rsidRDefault="0098080C"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0979" w14:textId="77777777" w:rsidR="005C516A" w:rsidRDefault="005C516A">
      <w:r>
        <w:separator/>
      </w:r>
    </w:p>
  </w:endnote>
  <w:endnote w:type="continuationSeparator" w:id="0">
    <w:p w14:paraId="51408493" w14:textId="77777777" w:rsidR="005C516A" w:rsidRDefault="005C5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604E" w14:textId="77777777" w:rsidR="000259B9" w:rsidRDefault="000259B9">
    <w:pPr>
      <w:pStyle w:val="Sidefod"/>
      <w:pBdr>
        <w:bottom w:val="single" w:sz="6" w:space="1" w:color="auto"/>
      </w:pBdr>
    </w:pPr>
  </w:p>
  <w:p w14:paraId="4CBC66E1" w14:textId="77777777" w:rsidR="000259B9" w:rsidRDefault="000259B9" w:rsidP="00C42586">
    <w:pPr>
      <w:pStyle w:val="Sidefod"/>
      <w:tabs>
        <w:tab w:val="clear" w:pos="4819"/>
        <w:tab w:val="left" w:pos="8505"/>
      </w:tabs>
      <w:rPr>
        <w:i/>
        <w:sz w:val="18"/>
        <w:szCs w:val="18"/>
      </w:rPr>
    </w:pPr>
  </w:p>
  <w:p w14:paraId="72C397B5" w14:textId="26845A05"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98080C">
      <w:rPr>
        <w:i/>
        <w:noProof/>
        <w:sz w:val="18"/>
        <w:szCs w:val="18"/>
      </w:rPr>
      <w:t>Bilastine Stada, tabletter 20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59CA" w14:textId="77777777" w:rsidR="005C516A" w:rsidRDefault="005C516A">
      <w:r>
        <w:separator/>
      </w:r>
    </w:p>
  </w:footnote>
  <w:footnote w:type="continuationSeparator" w:id="0">
    <w:p w14:paraId="0F0DBE84" w14:textId="77777777" w:rsidR="005C516A" w:rsidRDefault="005C5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39DF71E7"/>
    <w:multiLevelType w:val="hybridMultilevel"/>
    <w:tmpl w:val="EB56C2A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58171506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695421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556049">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36586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612963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5842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2E"/>
    <w:rsid w:val="000259B9"/>
    <w:rsid w:val="00041491"/>
    <w:rsid w:val="00050D16"/>
    <w:rsid w:val="000730CA"/>
    <w:rsid w:val="00074F2A"/>
    <w:rsid w:val="000A1CA8"/>
    <w:rsid w:val="000A466B"/>
    <w:rsid w:val="000B058C"/>
    <w:rsid w:val="000D68B0"/>
    <w:rsid w:val="000E4EE6"/>
    <w:rsid w:val="001454E2"/>
    <w:rsid w:val="001972CF"/>
    <w:rsid w:val="00206CE8"/>
    <w:rsid w:val="0021526C"/>
    <w:rsid w:val="00283A2B"/>
    <w:rsid w:val="002B30AD"/>
    <w:rsid w:val="002C1EC0"/>
    <w:rsid w:val="002C2C01"/>
    <w:rsid w:val="003A29AE"/>
    <w:rsid w:val="003A32D7"/>
    <w:rsid w:val="003B4074"/>
    <w:rsid w:val="003C769A"/>
    <w:rsid w:val="003D3A90"/>
    <w:rsid w:val="003F1838"/>
    <w:rsid w:val="004251C1"/>
    <w:rsid w:val="004260C3"/>
    <w:rsid w:val="00442F2E"/>
    <w:rsid w:val="0045746C"/>
    <w:rsid w:val="0049104B"/>
    <w:rsid w:val="004E3B12"/>
    <w:rsid w:val="00532310"/>
    <w:rsid w:val="00565F0F"/>
    <w:rsid w:val="00594A86"/>
    <w:rsid w:val="00596D86"/>
    <w:rsid w:val="005C516A"/>
    <w:rsid w:val="005D3526"/>
    <w:rsid w:val="00637F5A"/>
    <w:rsid w:val="00641C65"/>
    <w:rsid w:val="006560B1"/>
    <w:rsid w:val="006756DD"/>
    <w:rsid w:val="006C5C65"/>
    <w:rsid w:val="0071241E"/>
    <w:rsid w:val="00737275"/>
    <w:rsid w:val="00740EEC"/>
    <w:rsid w:val="0078011A"/>
    <w:rsid w:val="00782AF4"/>
    <w:rsid w:val="00790EE7"/>
    <w:rsid w:val="007956F6"/>
    <w:rsid w:val="007B6649"/>
    <w:rsid w:val="007C5B2A"/>
    <w:rsid w:val="0082576E"/>
    <w:rsid w:val="0089346F"/>
    <w:rsid w:val="00907F75"/>
    <w:rsid w:val="009260DE"/>
    <w:rsid w:val="0093258A"/>
    <w:rsid w:val="0098080C"/>
    <w:rsid w:val="009C7BA3"/>
    <w:rsid w:val="009D1F5A"/>
    <w:rsid w:val="00A10294"/>
    <w:rsid w:val="00B003BF"/>
    <w:rsid w:val="00B2263C"/>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50275"/>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7E4DA"/>
  <w15:chartTrackingRefBased/>
  <w15:docId w15:val="{DA98CE23-8756-4D6F-9B60-4150132FB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uiPriority w:val="59"/>
    <w:rsid w:val="006C5C65"/>
    <w:pPr>
      <w:jc w:val="both"/>
    </w:pPr>
    <w:rPr>
      <w:rFonts w:ascii="Arial" w:eastAsia="Calibri" w:hAnsi="Arial" w:cs="Arial"/>
      <w:sz w:val="22"/>
      <w:szCs w:val="22"/>
      <w:lang w:val="de-D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21</TotalTime>
  <Pages>14</Pages>
  <Words>4228</Words>
  <Characters>25793</Characters>
  <Application>Microsoft Office Word</Application>
  <DocSecurity>0</DocSecurity>
  <Lines>214</Lines>
  <Paragraphs>59</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29962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2024090058 MT</dc:description>
  <cp:lastModifiedBy>Hanne Thy Iversen</cp:lastModifiedBy>
  <cp:revision>4</cp:revision>
  <cp:lastPrinted>2012-08-22T08:53:00Z</cp:lastPrinted>
  <dcterms:created xsi:type="dcterms:W3CDTF">2026-10-12T10:35:00Z</dcterms:created>
  <dcterms:modified xsi:type="dcterms:W3CDTF">2026-10-22T10:41:00Z</dcterms:modified>
</cp:coreProperties>
</file>