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7EA95" w14:textId="77777777" w:rsidR="004A3BF4" w:rsidRPr="00303008" w:rsidRDefault="00056601" w:rsidP="004A3BF4">
      <w:pPr>
        <w:rPr>
          <w:sz w:val="24"/>
          <w:szCs w:val="24"/>
          <w:lang w:val="en-GB"/>
        </w:rPr>
      </w:pPr>
      <w:bookmarkStart w:id="0" w:name="_GoBack"/>
      <w:bookmarkEnd w:id="0"/>
      <w:r w:rsidRPr="00303008">
        <w:rPr>
          <w:noProof/>
          <w:sz w:val="24"/>
          <w:szCs w:val="24"/>
          <w:lang w:val="en-GB"/>
        </w:rPr>
        <w:drawing>
          <wp:inline distT="0" distB="0" distL="0" distR="0" wp14:anchorId="6054F8E9" wp14:editId="36DDFEF4">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3DDF2D0C" w14:textId="77777777" w:rsidR="006B3847" w:rsidRPr="00303008" w:rsidRDefault="006B3847" w:rsidP="006B3847">
      <w:pPr>
        <w:rPr>
          <w:sz w:val="24"/>
          <w:szCs w:val="24"/>
          <w:lang w:val="en-GB"/>
        </w:rPr>
      </w:pPr>
    </w:p>
    <w:p w14:paraId="35CFF3CF" w14:textId="1D25D303" w:rsidR="006B3847" w:rsidRPr="00303008" w:rsidRDefault="006B3847" w:rsidP="006B3847">
      <w:pPr>
        <w:tabs>
          <w:tab w:val="right" w:pos="9356"/>
        </w:tabs>
        <w:rPr>
          <w:b/>
          <w:sz w:val="24"/>
          <w:szCs w:val="24"/>
          <w:lang w:val="en-GB"/>
        </w:rPr>
      </w:pPr>
      <w:r w:rsidRPr="00303008">
        <w:rPr>
          <w:b/>
          <w:sz w:val="24"/>
          <w:szCs w:val="24"/>
          <w:lang w:val="en-GB"/>
        </w:rPr>
        <w:tab/>
      </w:r>
      <w:r w:rsidR="00123FA5">
        <w:rPr>
          <w:b/>
          <w:sz w:val="24"/>
          <w:szCs w:val="24"/>
          <w:lang w:val="en-GB"/>
        </w:rPr>
        <w:t>8 January 2026</w:t>
      </w:r>
    </w:p>
    <w:p w14:paraId="05C92CDC" w14:textId="77777777" w:rsidR="006B3847" w:rsidRPr="00303008" w:rsidRDefault="006B3847" w:rsidP="006B3847">
      <w:pPr>
        <w:rPr>
          <w:sz w:val="24"/>
          <w:szCs w:val="24"/>
          <w:lang w:val="en-GB"/>
        </w:rPr>
      </w:pPr>
    </w:p>
    <w:p w14:paraId="11CAB38A" w14:textId="77777777" w:rsidR="007C5D2A" w:rsidRPr="00303008" w:rsidRDefault="007C5D2A" w:rsidP="007C5D2A">
      <w:pPr>
        <w:rPr>
          <w:sz w:val="24"/>
          <w:szCs w:val="24"/>
          <w:lang w:val="en-GB"/>
        </w:rPr>
      </w:pPr>
    </w:p>
    <w:p w14:paraId="17314C40" w14:textId="77777777" w:rsidR="007C5D2A" w:rsidRPr="00303008" w:rsidRDefault="007C5D2A" w:rsidP="007C5D2A">
      <w:pPr>
        <w:jc w:val="center"/>
        <w:rPr>
          <w:b/>
          <w:sz w:val="24"/>
          <w:szCs w:val="24"/>
          <w:lang w:val="en-GB"/>
        </w:rPr>
      </w:pPr>
      <w:bookmarkStart w:id="1" w:name="_Hlk49158549"/>
      <w:r w:rsidRPr="00303008">
        <w:rPr>
          <w:b/>
          <w:sz w:val="24"/>
          <w:szCs w:val="24"/>
          <w:lang w:val="en-GB"/>
        </w:rPr>
        <w:t>SUMMARY OF PRODUCT CHARACTERISTICS</w:t>
      </w:r>
    </w:p>
    <w:bookmarkEnd w:id="1"/>
    <w:p w14:paraId="5946F170" w14:textId="77777777" w:rsidR="007C5D2A" w:rsidRPr="00303008" w:rsidRDefault="007C5D2A" w:rsidP="007C5D2A">
      <w:pPr>
        <w:jc w:val="center"/>
        <w:rPr>
          <w:sz w:val="24"/>
          <w:szCs w:val="24"/>
          <w:lang w:val="en-GB"/>
        </w:rPr>
      </w:pPr>
    </w:p>
    <w:p w14:paraId="11A94CC0" w14:textId="77777777" w:rsidR="007C5D2A" w:rsidRPr="00303008" w:rsidRDefault="007C5D2A" w:rsidP="007C5D2A">
      <w:pPr>
        <w:jc w:val="center"/>
        <w:rPr>
          <w:b/>
          <w:sz w:val="24"/>
          <w:szCs w:val="24"/>
          <w:lang w:val="en-GB"/>
        </w:rPr>
      </w:pPr>
      <w:r w:rsidRPr="00303008">
        <w:rPr>
          <w:b/>
          <w:sz w:val="24"/>
          <w:szCs w:val="24"/>
          <w:lang w:val="en-GB"/>
        </w:rPr>
        <w:t>for</w:t>
      </w:r>
    </w:p>
    <w:p w14:paraId="26F22D48" w14:textId="77777777" w:rsidR="007C5D2A" w:rsidRPr="00303008" w:rsidRDefault="007C5D2A" w:rsidP="007C5D2A">
      <w:pPr>
        <w:jc w:val="center"/>
        <w:rPr>
          <w:sz w:val="24"/>
          <w:szCs w:val="24"/>
          <w:lang w:val="en-GB"/>
        </w:rPr>
      </w:pPr>
    </w:p>
    <w:p w14:paraId="33BFDA3B" w14:textId="6A649DA0" w:rsidR="007C5D2A" w:rsidRPr="00303008" w:rsidRDefault="00650F04" w:rsidP="007C5D2A">
      <w:pPr>
        <w:jc w:val="center"/>
        <w:rPr>
          <w:b/>
          <w:sz w:val="24"/>
          <w:szCs w:val="24"/>
          <w:lang w:val="en-GB"/>
        </w:rPr>
      </w:pPr>
      <w:r>
        <w:rPr>
          <w:b/>
          <w:sz w:val="24"/>
          <w:szCs w:val="24"/>
          <w:lang w:val="en-GB"/>
        </w:rPr>
        <w:t>Bitrisal, film</w:t>
      </w:r>
      <w:r w:rsidR="00454BC9">
        <w:rPr>
          <w:b/>
          <w:sz w:val="24"/>
          <w:szCs w:val="24"/>
          <w:lang w:val="en-GB"/>
        </w:rPr>
        <w:t>-</w:t>
      </w:r>
      <w:r>
        <w:rPr>
          <w:b/>
          <w:sz w:val="24"/>
          <w:szCs w:val="24"/>
          <w:lang w:val="en-GB"/>
        </w:rPr>
        <w:t>coated tablets</w:t>
      </w:r>
    </w:p>
    <w:p w14:paraId="6223D050" w14:textId="77777777" w:rsidR="007C5D2A" w:rsidRPr="00303008" w:rsidRDefault="007C5D2A" w:rsidP="007C5D2A">
      <w:pPr>
        <w:jc w:val="both"/>
        <w:rPr>
          <w:sz w:val="24"/>
          <w:szCs w:val="24"/>
          <w:lang w:val="en-GB"/>
        </w:rPr>
      </w:pPr>
    </w:p>
    <w:p w14:paraId="12FB86D3" w14:textId="77777777" w:rsidR="0042292D" w:rsidRPr="00303008" w:rsidRDefault="0042292D" w:rsidP="007C5D2A">
      <w:pPr>
        <w:jc w:val="both"/>
        <w:rPr>
          <w:sz w:val="24"/>
          <w:szCs w:val="24"/>
          <w:lang w:val="en-GB"/>
        </w:rPr>
      </w:pPr>
    </w:p>
    <w:p w14:paraId="5670067F" w14:textId="77777777" w:rsidR="008F2F8C" w:rsidRPr="00303008" w:rsidRDefault="008F2F8C" w:rsidP="008F2F8C">
      <w:pPr>
        <w:tabs>
          <w:tab w:val="left" w:pos="8222"/>
        </w:tabs>
        <w:ind w:left="851" w:hanging="851"/>
        <w:rPr>
          <w:b/>
          <w:sz w:val="24"/>
          <w:szCs w:val="24"/>
          <w:lang w:val="en-GB"/>
        </w:rPr>
      </w:pPr>
      <w:r w:rsidRPr="00303008">
        <w:rPr>
          <w:b/>
          <w:sz w:val="24"/>
          <w:szCs w:val="24"/>
          <w:lang w:val="en-GB"/>
        </w:rPr>
        <w:t>0.</w:t>
      </w:r>
      <w:r w:rsidRPr="00303008">
        <w:rPr>
          <w:b/>
          <w:sz w:val="24"/>
          <w:szCs w:val="24"/>
          <w:lang w:val="en-GB"/>
        </w:rPr>
        <w:tab/>
        <w:t>D.SP.NO.</w:t>
      </w:r>
    </w:p>
    <w:p w14:paraId="22B618AB" w14:textId="23C4D03F" w:rsidR="008F2F8C" w:rsidRPr="00303008" w:rsidRDefault="005F67E0" w:rsidP="008F2F8C">
      <w:pPr>
        <w:tabs>
          <w:tab w:val="left" w:pos="8222"/>
        </w:tabs>
        <w:ind w:left="851"/>
        <w:rPr>
          <w:sz w:val="24"/>
          <w:szCs w:val="24"/>
          <w:lang w:val="en-GB"/>
        </w:rPr>
      </w:pPr>
      <w:r>
        <w:rPr>
          <w:sz w:val="24"/>
          <w:szCs w:val="24"/>
          <w:lang w:val="en-GB"/>
        </w:rPr>
        <w:t>33864</w:t>
      </w:r>
    </w:p>
    <w:p w14:paraId="3EDD2C7E" w14:textId="77777777" w:rsidR="007C5D2A" w:rsidRPr="00303008" w:rsidRDefault="007C5D2A" w:rsidP="007C5D2A">
      <w:pPr>
        <w:tabs>
          <w:tab w:val="left" w:pos="851"/>
        </w:tabs>
        <w:jc w:val="both"/>
        <w:rPr>
          <w:sz w:val="24"/>
          <w:szCs w:val="24"/>
          <w:lang w:val="en-GB"/>
        </w:rPr>
      </w:pPr>
    </w:p>
    <w:p w14:paraId="4600A57B" w14:textId="77777777" w:rsidR="007C5D2A" w:rsidRPr="00303008" w:rsidRDefault="009925C9" w:rsidP="007C5D2A">
      <w:pPr>
        <w:tabs>
          <w:tab w:val="left" w:pos="851"/>
        </w:tabs>
        <w:ind w:left="851" w:hanging="851"/>
        <w:rPr>
          <w:sz w:val="24"/>
          <w:szCs w:val="24"/>
          <w:lang w:val="en-GB"/>
        </w:rPr>
      </w:pPr>
      <w:r w:rsidRPr="00303008">
        <w:rPr>
          <w:b/>
          <w:sz w:val="24"/>
          <w:szCs w:val="24"/>
          <w:lang w:val="en-GB"/>
        </w:rPr>
        <w:t>1.</w:t>
      </w:r>
      <w:r w:rsidR="007C5D2A" w:rsidRPr="00303008">
        <w:rPr>
          <w:b/>
          <w:sz w:val="24"/>
          <w:szCs w:val="24"/>
          <w:lang w:val="en-GB"/>
        </w:rPr>
        <w:tab/>
        <w:t>NAME OF THE MEDICINAL PRODUCT</w:t>
      </w:r>
    </w:p>
    <w:p w14:paraId="21D93302" w14:textId="532EC8A3" w:rsidR="007C5D2A" w:rsidRPr="00303008" w:rsidRDefault="005F67E0" w:rsidP="004A3BF4">
      <w:pPr>
        <w:tabs>
          <w:tab w:val="left" w:pos="851"/>
        </w:tabs>
        <w:ind w:left="851"/>
        <w:rPr>
          <w:sz w:val="24"/>
          <w:szCs w:val="24"/>
          <w:lang w:val="en-GB"/>
        </w:rPr>
      </w:pPr>
      <w:r>
        <w:rPr>
          <w:sz w:val="24"/>
          <w:szCs w:val="24"/>
          <w:lang w:val="en-GB"/>
        </w:rPr>
        <w:t>Bitrisal</w:t>
      </w:r>
    </w:p>
    <w:p w14:paraId="2486869B" w14:textId="77777777" w:rsidR="007C5D2A" w:rsidRPr="00303008" w:rsidRDefault="007C5D2A" w:rsidP="004A3BF4">
      <w:pPr>
        <w:tabs>
          <w:tab w:val="left" w:pos="851"/>
        </w:tabs>
        <w:ind w:left="851"/>
        <w:rPr>
          <w:sz w:val="24"/>
          <w:szCs w:val="24"/>
          <w:lang w:val="en-GB"/>
        </w:rPr>
      </w:pPr>
    </w:p>
    <w:p w14:paraId="57E6A899" w14:textId="77777777" w:rsidR="007C5D2A" w:rsidRPr="00303008" w:rsidRDefault="009925C9" w:rsidP="007C5D2A">
      <w:pPr>
        <w:ind w:left="851" w:hanging="851"/>
        <w:rPr>
          <w:b/>
          <w:sz w:val="24"/>
          <w:szCs w:val="24"/>
          <w:lang w:val="en-GB"/>
        </w:rPr>
      </w:pPr>
      <w:r w:rsidRPr="00303008">
        <w:rPr>
          <w:b/>
          <w:sz w:val="24"/>
          <w:szCs w:val="24"/>
          <w:lang w:val="en-GB"/>
        </w:rPr>
        <w:t>2.</w:t>
      </w:r>
      <w:r w:rsidR="007C5D2A" w:rsidRPr="00303008">
        <w:rPr>
          <w:b/>
          <w:sz w:val="24"/>
          <w:szCs w:val="24"/>
          <w:lang w:val="en-GB"/>
        </w:rPr>
        <w:tab/>
        <w:t>QUALITATIVE AND QUANTITATIVE COMPOSITION</w:t>
      </w:r>
    </w:p>
    <w:p w14:paraId="78E79953" w14:textId="77777777" w:rsidR="005F67E0" w:rsidRDefault="005F67E0" w:rsidP="005F67E0">
      <w:pPr>
        <w:tabs>
          <w:tab w:val="left" w:pos="851"/>
        </w:tabs>
        <w:ind w:left="851"/>
        <w:rPr>
          <w:sz w:val="24"/>
          <w:szCs w:val="24"/>
          <w:u w:val="single"/>
          <w:lang w:val="en-US"/>
        </w:rPr>
      </w:pPr>
    </w:p>
    <w:p w14:paraId="11BD3DDC" w14:textId="5B9EDF41" w:rsidR="005F67E0" w:rsidRPr="005F67E0" w:rsidRDefault="005F67E0" w:rsidP="005F67E0">
      <w:pPr>
        <w:tabs>
          <w:tab w:val="left" w:pos="851"/>
        </w:tabs>
        <w:ind w:left="851"/>
        <w:rPr>
          <w:sz w:val="24"/>
          <w:szCs w:val="24"/>
          <w:u w:val="single"/>
          <w:lang w:val="en-US"/>
        </w:rPr>
      </w:pPr>
      <w:r w:rsidRPr="005F67E0">
        <w:rPr>
          <w:sz w:val="24"/>
          <w:szCs w:val="24"/>
          <w:u w:val="single"/>
          <w:lang w:val="en-US"/>
        </w:rPr>
        <w:t>Bitrisal 24 mg/26 mg film-coated tablets</w:t>
      </w:r>
    </w:p>
    <w:p w14:paraId="6A458C9E" w14:textId="77777777" w:rsidR="005F67E0" w:rsidRPr="005F67E0" w:rsidRDefault="005F67E0" w:rsidP="005F67E0">
      <w:pPr>
        <w:tabs>
          <w:tab w:val="left" w:pos="851"/>
        </w:tabs>
        <w:ind w:left="851"/>
        <w:rPr>
          <w:sz w:val="24"/>
          <w:szCs w:val="24"/>
          <w:lang w:val="en-US"/>
        </w:rPr>
      </w:pPr>
      <w:r w:rsidRPr="005F67E0">
        <w:rPr>
          <w:sz w:val="24"/>
          <w:szCs w:val="24"/>
          <w:lang w:val="en-US"/>
        </w:rPr>
        <w:t>Each film-coated tablet contains 24.3 mg sacubitril (as sacubitril sodium) and 25.7 mg valsartan as valsartan disodium).</w:t>
      </w:r>
    </w:p>
    <w:p w14:paraId="093087A8" w14:textId="77777777" w:rsidR="005F67E0" w:rsidRPr="005F67E0" w:rsidRDefault="005F67E0" w:rsidP="005F67E0">
      <w:pPr>
        <w:tabs>
          <w:tab w:val="left" w:pos="851"/>
        </w:tabs>
        <w:ind w:left="851"/>
        <w:rPr>
          <w:sz w:val="24"/>
          <w:szCs w:val="24"/>
          <w:lang w:val="en-US"/>
        </w:rPr>
      </w:pPr>
    </w:p>
    <w:p w14:paraId="25D0EDFB" w14:textId="77777777" w:rsidR="005F67E0" w:rsidRPr="005F67E0" w:rsidRDefault="005F67E0" w:rsidP="005F67E0">
      <w:pPr>
        <w:tabs>
          <w:tab w:val="left" w:pos="851"/>
        </w:tabs>
        <w:ind w:left="851"/>
        <w:rPr>
          <w:sz w:val="24"/>
          <w:szCs w:val="24"/>
          <w:u w:val="single"/>
          <w:lang w:val="en-US"/>
        </w:rPr>
      </w:pPr>
      <w:r w:rsidRPr="005F67E0">
        <w:rPr>
          <w:sz w:val="24"/>
          <w:szCs w:val="24"/>
          <w:u w:val="single"/>
          <w:lang w:val="en-US"/>
        </w:rPr>
        <w:t>Bitrisal 49 mg/51 mg film-coated tablets</w:t>
      </w:r>
    </w:p>
    <w:p w14:paraId="3BCE1656" w14:textId="77777777" w:rsidR="005F67E0" w:rsidRPr="005F67E0" w:rsidRDefault="005F67E0" w:rsidP="005F67E0">
      <w:pPr>
        <w:tabs>
          <w:tab w:val="left" w:pos="851"/>
        </w:tabs>
        <w:ind w:left="851"/>
        <w:rPr>
          <w:sz w:val="24"/>
          <w:szCs w:val="24"/>
          <w:lang w:val="en-US"/>
        </w:rPr>
      </w:pPr>
      <w:r w:rsidRPr="005F67E0">
        <w:rPr>
          <w:sz w:val="24"/>
          <w:szCs w:val="24"/>
          <w:lang w:val="en-US"/>
        </w:rPr>
        <w:t>Each film-coated tablet contains 48.6 mg sacubitril (as sacubitril sodium) and 51.4 mg valsartan (as valsartan disodium).</w:t>
      </w:r>
    </w:p>
    <w:p w14:paraId="6C3BBBD4" w14:textId="77777777" w:rsidR="005F67E0" w:rsidRPr="005F67E0" w:rsidRDefault="005F67E0" w:rsidP="005F67E0">
      <w:pPr>
        <w:tabs>
          <w:tab w:val="left" w:pos="851"/>
        </w:tabs>
        <w:ind w:left="851"/>
        <w:rPr>
          <w:sz w:val="24"/>
          <w:szCs w:val="24"/>
          <w:lang w:val="en-US"/>
        </w:rPr>
      </w:pPr>
    </w:p>
    <w:p w14:paraId="4AA1A502" w14:textId="77777777" w:rsidR="005F67E0" w:rsidRPr="005F67E0" w:rsidRDefault="005F67E0" w:rsidP="005F67E0">
      <w:pPr>
        <w:tabs>
          <w:tab w:val="left" w:pos="851"/>
        </w:tabs>
        <w:ind w:left="851"/>
        <w:rPr>
          <w:sz w:val="24"/>
          <w:szCs w:val="24"/>
          <w:u w:val="single"/>
          <w:lang w:val="en-US"/>
        </w:rPr>
      </w:pPr>
      <w:r w:rsidRPr="005F67E0">
        <w:rPr>
          <w:sz w:val="24"/>
          <w:szCs w:val="24"/>
          <w:u w:val="single"/>
          <w:lang w:val="en-US"/>
        </w:rPr>
        <w:t>Bitrisal 97 mg/103 mg film-coated tablets</w:t>
      </w:r>
    </w:p>
    <w:p w14:paraId="6CCA6D09" w14:textId="77777777" w:rsidR="005F67E0" w:rsidRPr="005F67E0" w:rsidRDefault="005F67E0" w:rsidP="005F67E0">
      <w:pPr>
        <w:tabs>
          <w:tab w:val="left" w:pos="851"/>
        </w:tabs>
        <w:ind w:left="851"/>
        <w:rPr>
          <w:sz w:val="24"/>
          <w:szCs w:val="24"/>
          <w:lang w:val="en-US"/>
        </w:rPr>
      </w:pPr>
      <w:r w:rsidRPr="005F67E0">
        <w:rPr>
          <w:sz w:val="24"/>
          <w:szCs w:val="24"/>
          <w:lang w:val="en-US"/>
        </w:rPr>
        <w:t>Each film-coated tablet contains 97.2 mg sacubitril (as sacubitril sodium) and 102.8 mg valsartan (as valsartan disodium).</w:t>
      </w:r>
    </w:p>
    <w:p w14:paraId="2CC5E789" w14:textId="77777777" w:rsidR="005F67E0" w:rsidRPr="005F67E0" w:rsidRDefault="005F67E0" w:rsidP="005F67E0">
      <w:pPr>
        <w:tabs>
          <w:tab w:val="left" w:pos="851"/>
        </w:tabs>
        <w:ind w:left="851"/>
        <w:rPr>
          <w:sz w:val="24"/>
          <w:szCs w:val="24"/>
          <w:lang w:val="en-US"/>
        </w:rPr>
      </w:pPr>
    </w:p>
    <w:p w14:paraId="3F503096" w14:textId="77777777" w:rsidR="005F67E0" w:rsidRPr="005F67E0" w:rsidRDefault="005F67E0" w:rsidP="005F67E0">
      <w:pPr>
        <w:tabs>
          <w:tab w:val="left" w:pos="851"/>
        </w:tabs>
        <w:ind w:left="851"/>
        <w:rPr>
          <w:sz w:val="24"/>
          <w:szCs w:val="24"/>
          <w:lang w:val="en-US"/>
        </w:rPr>
      </w:pPr>
      <w:r w:rsidRPr="005F67E0">
        <w:rPr>
          <w:sz w:val="24"/>
          <w:szCs w:val="24"/>
          <w:lang w:val="en-US"/>
        </w:rPr>
        <w:t>For the full list of excipients, see section 6.1.</w:t>
      </w:r>
    </w:p>
    <w:p w14:paraId="6BE7FDFE" w14:textId="77777777" w:rsidR="007C5D2A" w:rsidRPr="005F67E0" w:rsidRDefault="007C5D2A" w:rsidP="004A3BF4">
      <w:pPr>
        <w:tabs>
          <w:tab w:val="left" w:pos="851"/>
        </w:tabs>
        <w:ind w:left="851"/>
        <w:rPr>
          <w:sz w:val="24"/>
          <w:szCs w:val="24"/>
          <w:lang w:val="en-US"/>
        </w:rPr>
      </w:pPr>
    </w:p>
    <w:p w14:paraId="3E07E133"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3.</w:t>
      </w:r>
      <w:r w:rsidRPr="00303008">
        <w:rPr>
          <w:b/>
          <w:sz w:val="24"/>
          <w:szCs w:val="24"/>
          <w:lang w:val="en-GB"/>
        </w:rPr>
        <w:tab/>
        <w:t>PHARMACEUTICAL FORM</w:t>
      </w:r>
    </w:p>
    <w:p w14:paraId="1C50B658" w14:textId="5B9A8DFF" w:rsidR="005F67E0" w:rsidRPr="005F67E0" w:rsidRDefault="005F67E0" w:rsidP="005F67E0">
      <w:pPr>
        <w:tabs>
          <w:tab w:val="left" w:pos="851"/>
        </w:tabs>
        <w:ind w:left="851"/>
        <w:rPr>
          <w:sz w:val="24"/>
          <w:szCs w:val="24"/>
          <w:lang w:val="en-US"/>
        </w:rPr>
      </w:pPr>
      <w:r w:rsidRPr="005F67E0">
        <w:rPr>
          <w:sz w:val="24"/>
          <w:szCs w:val="24"/>
          <w:lang w:val="en-US"/>
        </w:rPr>
        <w:t>Film-coated tablet</w:t>
      </w:r>
      <w:r>
        <w:rPr>
          <w:sz w:val="24"/>
          <w:szCs w:val="24"/>
          <w:lang w:val="en-US"/>
        </w:rPr>
        <w:t>s</w:t>
      </w:r>
      <w:r w:rsidRPr="005F67E0">
        <w:rPr>
          <w:sz w:val="24"/>
          <w:szCs w:val="24"/>
          <w:lang w:val="en-US"/>
        </w:rPr>
        <w:t xml:space="preserve"> (tablet)</w:t>
      </w:r>
    </w:p>
    <w:p w14:paraId="5F700D95" w14:textId="77777777" w:rsidR="005F67E0" w:rsidRPr="005F67E0" w:rsidRDefault="005F67E0" w:rsidP="005F67E0">
      <w:pPr>
        <w:tabs>
          <w:tab w:val="left" w:pos="851"/>
        </w:tabs>
        <w:ind w:left="851"/>
        <w:rPr>
          <w:sz w:val="24"/>
          <w:szCs w:val="24"/>
          <w:lang w:val="el-GR"/>
        </w:rPr>
      </w:pPr>
    </w:p>
    <w:p w14:paraId="68C5EF22" w14:textId="77777777" w:rsidR="005F67E0" w:rsidRPr="005F67E0" w:rsidRDefault="005F67E0" w:rsidP="005F67E0">
      <w:pPr>
        <w:tabs>
          <w:tab w:val="left" w:pos="851"/>
        </w:tabs>
        <w:ind w:left="851"/>
        <w:rPr>
          <w:sz w:val="24"/>
          <w:szCs w:val="24"/>
          <w:u w:val="single"/>
          <w:lang w:val="en-US"/>
        </w:rPr>
      </w:pPr>
      <w:r w:rsidRPr="005F67E0">
        <w:rPr>
          <w:sz w:val="24"/>
          <w:szCs w:val="24"/>
          <w:u w:val="single"/>
          <w:lang w:val="en-US"/>
        </w:rPr>
        <w:t>Bitrisal 24 mg/26 mg film-coated tablets</w:t>
      </w:r>
    </w:p>
    <w:p w14:paraId="53BF13AD" w14:textId="77777777" w:rsidR="005F67E0" w:rsidRPr="005F67E0" w:rsidRDefault="005F67E0" w:rsidP="005F67E0">
      <w:pPr>
        <w:tabs>
          <w:tab w:val="left" w:pos="851"/>
        </w:tabs>
        <w:ind w:left="851"/>
        <w:rPr>
          <w:sz w:val="24"/>
          <w:szCs w:val="24"/>
          <w:lang w:val="en-US"/>
        </w:rPr>
      </w:pPr>
      <w:r w:rsidRPr="005F67E0">
        <w:rPr>
          <w:sz w:val="24"/>
          <w:szCs w:val="24"/>
          <w:lang w:val="en-US"/>
        </w:rPr>
        <w:t xml:space="preserve">Light pink, ovaloid, biconvex film-coated tablets, with a nominal length of 9.6 mm and nominal width of 3.9 mm, debossed with “SLL” on one side, plain on the other side. </w:t>
      </w:r>
    </w:p>
    <w:p w14:paraId="6462A48B" w14:textId="77777777" w:rsidR="005F67E0" w:rsidRPr="005F67E0" w:rsidRDefault="005F67E0" w:rsidP="005F67E0">
      <w:pPr>
        <w:tabs>
          <w:tab w:val="left" w:pos="851"/>
        </w:tabs>
        <w:ind w:left="851"/>
        <w:rPr>
          <w:sz w:val="24"/>
          <w:szCs w:val="24"/>
          <w:lang w:val="en-US"/>
        </w:rPr>
      </w:pPr>
    </w:p>
    <w:p w14:paraId="374F5A63" w14:textId="77777777" w:rsidR="005F67E0" w:rsidRPr="005F67E0" w:rsidRDefault="005F67E0" w:rsidP="005F67E0">
      <w:pPr>
        <w:tabs>
          <w:tab w:val="left" w:pos="851"/>
        </w:tabs>
        <w:ind w:left="851"/>
        <w:rPr>
          <w:sz w:val="24"/>
          <w:szCs w:val="24"/>
          <w:u w:val="single"/>
          <w:lang w:val="en-US"/>
        </w:rPr>
      </w:pPr>
      <w:r w:rsidRPr="005F67E0">
        <w:rPr>
          <w:sz w:val="24"/>
          <w:szCs w:val="24"/>
          <w:u w:val="single"/>
          <w:lang w:val="en-US"/>
        </w:rPr>
        <w:t>Bitrisal 49 mg/51 mg film-coated tablets</w:t>
      </w:r>
    </w:p>
    <w:p w14:paraId="397DE74D" w14:textId="77777777" w:rsidR="005F67E0" w:rsidRPr="005F67E0" w:rsidRDefault="005F67E0" w:rsidP="005F67E0">
      <w:pPr>
        <w:tabs>
          <w:tab w:val="left" w:pos="851"/>
        </w:tabs>
        <w:ind w:left="851"/>
        <w:rPr>
          <w:sz w:val="24"/>
          <w:szCs w:val="24"/>
          <w:lang w:val="en-US"/>
        </w:rPr>
      </w:pPr>
      <w:r w:rsidRPr="005F67E0">
        <w:rPr>
          <w:sz w:val="24"/>
          <w:szCs w:val="24"/>
          <w:lang w:val="en-US"/>
        </w:rPr>
        <w:t>Yellow, ovaloid, biconvex film-coated tablets, with a nominal length of 13.2 mm and nominal width of 5.3 mm, debossed with “SLM” on one side, plain on the other side.</w:t>
      </w:r>
    </w:p>
    <w:p w14:paraId="2E1F4885" w14:textId="77777777" w:rsidR="005F67E0" w:rsidRPr="005F67E0" w:rsidRDefault="005F67E0" w:rsidP="005F67E0">
      <w:pPr>
        <w:tabs>
          <w:tab w:val="left" w:pos="851"/>
        </w:tabs>
        <w:ind w:left="851"/>
        <w:rPr>
          <w:sz w:val="24"/>
          <w:szCs w:val="24"/>
          <w:lang w:val="en-US"/>
        </w:rPr>
      </w:pPr>
    </w:p>
    <w:p w14:paraId="012DDE1A" w14:textId="77777777" w:rsidR="005F67E0" w:rsidRPr="005F67E0" w:rsidRDefault="005F67E0" w:rsidP="005F67E0">
      <w:pPr>
        <w:tabs>
          <w:tab w:val="left" w:pos="851"/>
        </w:tabs>
        <w:ind w:left="851"/>
        <w:rPr>
          <w:sz w:val="24"/>
          <w:szCs w:val="24"/>
          <w:u w:val="single"/>
          <w:lang w:val="en-US"/>
        </w:rPr>
      </w:pPr>
      <w:r w:rsidRPr="005F67E0">
        <w:rPr>
          <w:sz w:val="24"/>
          <w:szCs w:val="24"/>
          <w:u w:val="single"/>
          <w:lang w:val="en-US"/>
        </w:rPr>
        <w:t>Bitrisal 97 mg/103 mg film-coated tablets</w:t>
      </w:r>
    </w:p>
    <w:p w14:paraId="52C1F4A1" w14:textId="77777777" w:rsidR="005F67E0" w:rsidRPr="005F67E0" w:rsidRDefault="005F67E0" w:rsidP="005F67E0">
      <w:pPr>
        <w:tabs>
          <w:tab w:val="left" w:pos="851"/>
        </w:tabs>
        <w:ind w:left="851"/>
        <w:rPr>
          <w:sz w:val="24"/>
          <w:szCs w:val="24"/>
          <w:lang w:val="en-US"/>
        </w:rPr>
      </w:pPr>
      <w:r w:rsidRPr="005F67E0">
        <w:rPr>
          <w:sz w:val="24"/>
          <w:szCs w:val="24"/>
          <w:lang w:val="en-US"/>
        </w:rPr>
        <w:t>Pink, ovaloid, biconvex film-coated tablets, with a nominal length of 15.3 mm and nominal width of 6.1 mm, debossed with “SLH” on one side, plain on the other side.</w:t>
      </w:r>
    </w:p>
    <w:p w14:paraId="75D2B6FA" w14:textId="77777777" w:rsidR="005F67E0" w:rsidRPr="005F67E0" w:rsidRDefault="005F67E0" w:rsidP="005F67E0">
      <w:pPr>
        <w:tabs>
          <w:tab w:val="left" w:pos="851"/>
        </w:tabs>
        <w:ind w:left="851"/>
        <w:rPr>
          <w:sz w:val="24"/>
          <w:szCs w:val="24"/>
          <w:lang w:val="en-US"/>
        </w:rPr>
      </w:pPr>
    </w:p>
    <w:p w14:paraId="60315AF5" w14:textId="77777777" w:rsidR="007C5D2A" w:rsidRPr="005F67E0" w:rsidRDefault="007C5D2A" w:rsidP="004A3BF4">
      <w:pPr>
        <w:tabs>
          <w:tab w:val="left" w:pos="851"/>
        </w:tabs>
        <w:ind w:left="851"/>
        <w:rPr>
          <w:sz w:val="24"/>
          <w:szCs w:val="24"/>
          <w:lang w:val="en-US"/>
        </w:rPr>
      </w:pPr>
    </w:p>
    <w:p w14:paraId="607B532D" w14:textId="77777777" w:rsidR="007C5D2A" w:rsidRPr="00303008" w:rsidRDefault="007C5D2A" w:rsidP="004A3BF4">
      <w:pPr>
        <w:tabs>
          <w:tab w:val="left" w:pos="851"/>
        </w:tabs>
        <w:ind w:left="851"/>
        <w:rPr>
          <w:sz w:val="24"/>
          <w:szCs w:val="24"/>
          <w:lang w:val="en-GB"/>
        </w:rPr>
      </w:pPr>
    </w:p>
    <w:p w14:paraId="7632CDF2" w14:textId="77777777" w:rsidR="007C5D2A" w:rsidRPr="00303008" w:rsidRDefault="007C5D2A" w:rsidP="007C5D2A">
      <w:pPr>
        <w:ind w:left="851" w:hanging="851"/>
        <w:rPr>
          <w:b/>
          <w:sz w:val="24"/>
          <w:szCs w:val="24"/>
          <w:lang w:val="en-GB"/>
        </w:rPr>
      </w:pPr>
      <w:r w:rsidRPr="00303008">
        <w:rPr>
          <w:b/>
          <w:sz w:val="24"/>
          <w:szCs w:val="24"/>
          <w:lang w:val="en-GB"/>
        </w:rPr>
        <w:t>4.</w:t>
      </w:r>
      <w:r w:rsidRPr="00303008">
        <w:rPr>
          <w:b/>
          <w:sz w:val="24"/>
          <w:szCs w:val="24"/>
          <w:lang w:val="en-GB"/>
        </w:rPr>
        <w:tab/>
        <w:t>CLINICAL PARTICULARS</w:t>
      </w:r>
    </w:p>
    <w:p w14:paraId="1613ACA3" w14:textId="77777777" w:rsidR="007C5D2A" w:rsidRPr="00303008" w:rsidRDefault="007C5D2A" w:rsidP="004A3BF4">
      <w:pPr>
        <w:tabs>
          <w:tab w:val="left" w:pos="851"/>
        </w:tabs>
        <w:ind w:left="851"/>
        <w:rPr>
          <w:sz w:val="24"/>
          <w:szCs w:val="24"/>
          <w:lang w:val="en-GB"/>
        </w:rPr>
      </w:pPr>
    </w:p>
    <w:p w14:paraId="0BD2961A" w14:textId="77777777" w:rsidR="007C5D2A" w:rsidRPr="00303008" w:rsidRDefault="007C5D2A" w:rsidP="007C5D2A">
      <w:pPr>
        <w:ind w:left="851" w:hanging="851"/>
        <w:rPr>
          <w:b/>
          <w:sz w:val="24"/>
          <w:szCs w:val="24"/>
          <w:u w:val="single"/>
          <w:lang w:val="en-GB"/>
        </w:rPr>
      </w:pPr>
      <w:r w:rsidRPr="00303008">
        <w:rPr>
          <w:b/>
          <w:sz w:val="24"/>
          <w:szCs w:val="24"/>
          <w:lang w:val="en-GB"/>
        </w:rPr>
        <w:t>4.1</w:t>
      </w:r>
      <w:r w:rsidRPr="00303008">
        <w:rPr>
          <w:b/>
          <w:sz w:val="24"/>
          <w:szCs w:val="24"/>
          <w:lang w:val="en-GB"/>
        </w:rPr>
        <w:tab/>
        <w:t>Therapeutic indications</w:t>
      </w:r>
    </w:p>
    <w:p w14:paraId="6A3605C8" w14:textId="77777777" w:rsidR="005F67E0" w:rsidRDefault="005F67E0" w:rsidP="005F67E0">
      <w:pPr>
        <w:tabs>
          <w:tab w:val="left" w:pos="851"/>
        </w:tabs>
        <w:ind w:left="851"/>
        <w:rPr>
          <w:sz w:val="24"/>
          <w:szCs w:val="24"/>
          <w:u w:val="single"/>
          <w:lang w:val="en-US"/>
        </w:rPr>
      </w:pPr>
    </w:p>
    <w:p w14:paraId="16870126" w14:textId="064A4497" w:rsidR="005F67E0" w:rsidRPr="005F67E0" w:rsidRDefault="005F67E0" w:rsidP="005F67E0">
      <w:pPr>
        <w:tabs>
          <w:tab w:val="left" w:pos="851"/>
        </w:tabs>
        <w:ind w:left="851"/>
        <w:rPr>
          <w:sz w:val="24"/>
          <w:szCs w:val="24"/>
          <w:u w:val="single"/>
          <w:lang w:val="en-US"/>
        </w:rPr>
      </w:pPr>
      <w:r w:rsidRPr="005F67E0">
        <w:rPr>
          <w:sz w:val="24"/>
          <w:szCs w:val="24"/>
          <w:u w:val="single"/>
          <w:lang w:val="en-US"/>
        </w:rPr>
        <w:t>Adult heart failure</w:t>
      </w:r>
    </w:p>
    <w:p w14:paraId="45F15C4B" w14:textId="77777777" w:rsidR="005F67E0" w:rsidRPr="005F67E0" w:rsidRDefault="005F67E0" w:rsidP="005F67E0">
      <w:pPr>
        <w:tabs>
          <w:tab w:val="left" w:pos="851"/>
        </w:tabs>
        <w:ind w:left="851"/>
        <w:rPr>
          <w:sz w:val="24"/>
          <w:szCs w:val="24"/>
          <w:lang w:val="en-US"/>
        </w:rPr>
      </w:pPr>
      <w:r w:rsidRPr="005F67E0">
        <w:rPr>
          <w:sz w:val="24"/>
          <w:szCs w:val="24"/>
          <w:lang w:val="en-US"/>
        </w:rPr>
        <w:t>Bitrisal is indicated in adult patients for treatment of symptomatic chronic heart failure with reduced ejection fraction (see section 5.1).</w:t>
      </w:r>
    </w:p>
    <w:p w14:paraId="576E90DF" w14:textId="77777777" w:rsidR="005F67E0" w:rsidRPr="005F67E0" w:rsidRDefault="005F67E0" w:rsidP="005F67E0">
      <w:pPr>
        <w:tabs>
          <w:tab w:val="left" w:pos="851"/>
        </w:tabs>
        <w:ind w:left="851"/>
        <w:rPr>
          <w:sz w:val="24"/>
          <w:szCs w:val="24"/>
          <w:lang w:val="en-US"/>
        </w:rPr>
      </w:pPr>
    </w:p>
    <w:p w14:paraId="47B89CDE" w14:textId="77777777" w:rsidR="005F67E0" w:rsidRPr="005F67E0" w:rsidRDefault="005F67E0" w:rsidP="005F67E0">
      <w:pPr>
        <w:tabs>
          <w:tab w:val="left" w:pos="851"/>
        </w:tabs>
        <w:ind w:left="851"/>
        <w:rPr>
          <w:sz w:val="24"/>
          <w:szCs w:val="24"/>
          <w:u w:val="single"/>
          <w:lang w:val="en-US"/>
        </w:rPr>
      </w:pPr>
      <w:r w:rsidRPr="005F67E0">
        <w:rPr>
          <w:sz w:val="24"/>
          <w:szCs w:val="24"/>
          <w:u w:val="single"/>
          <w:lang w:val="en-US"/>
        </w:rPr>
        <w:t>Paediatric heart failure</w:t>
      </w:r>
    </w:p>
    <w:p w14:paraId="53BAA057" w14:textId="77777777" w:rsidR="005F67E0" w:rsidRPr="005F67E0" w:rsidRDefault="005F67E0" w:rsidP="005F67E0">
      <w:pPr>
        <w:tabs>
          <w:tab w:val="left" w:pos="851"/>
        </w:tabs>
        <w:ind w:left="851"/>
        <w:rPr>
          <w:sz w:val="24"/>
          <w:szCs w:val="24"/>
          <w:lang w:val="en-US"/>
        </w:rPr>
      </w:pPr>
      <w:r w:rsidRPr="005F67E0">
        <w:rPr>
          <w:sz w:val="24"/>
          <w:szCs w:val="24"/>
          <w:lang w:val="en-US"/>
        </w:rPr>
        <w:t>Bitrisal is indicated in children and adolescents aged one year or older for treatment of symptomatic chronic heart failure with left ventricular systolic dysfunction (see section 5.1).</w:t>
      </w:r>
    </w:p>
    <w:p w14:paraId="10BADA79" w14:textId="77777777" w:rsidR="007C5D2A" w:rsidRPr="005F67E0" w:rsidRDefault="007C5D2A" w:rsidP="00A85D26">
      <w:pPr>
        <w:tabs>
          <w:tab w:val="left" w:pos="851"/>
        </w:tabs>
        <w:ind w:left="851"/>
        <w:rPr>
          <w:sz w:val="24"/>
          <w:szCs w:val="24"/>
          <w:lang w:val="en-US"/>
        </w:rPr>
      </w:pPr>
    </w:p>
    <w:p w14:paraId="6B5C0136" w14:textId="77777777" w:rsidR="007C5D2A" w:rsidRPr="00303008" w:rsidRDefault="009925C9" w:rsidP="007C5D2A">
      <w:pPr>
        <w:tabs>
          <w:tab w:val="left" w:pos="851"/>
        </w:tabs>
        <w:ind w:left="851" w:hanging="851"/>
        <w:rPr>
          <w:sz w:val="24"/>
          <w:szCs w:val="24"/>
          <w:lang w:val="en-GB"/>
        </w:rPr>
      </w:pPr>
      <w:r w:rsidRPr="00303008">
        <w:rPr>
          <w:b/>
          <w:sz w:val="24"/>
          <w:szCs w:val="24"/>
          <w:lang w:val="en-GB"/>
        </w:rPr>
        <w:t>4.2</w:t>
      </w:r>
      <w:r w:rsidR="007C5D2A" w:rsidRPr="00303008">
        <w:rPr>
          <w:b/>
          <w:sz w:val="24"/>
          <w:szCs w:val="24"/>
          <w:lang w:val="en-GB"/>
        </w:rPr>
        <w:tab/>
        <w:t>Posology and method of administration</w:t>
      </w:r>
    </w:p>
    <w:p w14:paraId="45381742" w14:textId="77777777" w:rsidR="005F67E0" w:rsidRDefault="005F67E0" w:rsidP="005F67E0">
      <w:pPr>
        <w:tabs>
          <w:tab w:val="left" w:pos="851"/>
        </w:tabs>
        <w:ind w:left="851"/>
        <w:rPr>
          <w:sz w:val="24"/>
          <w:szCs w:val="24"/>
          <w:u w:val="single"/>
          <w:lang w:val="en-US"/>
        </w:rPr>
      </w:pPr>
    </w:p>
    <w:p w14:paraId="3275DD57" w14:textId="5F6BCA2D" w:rsidR="005F67E0" w:rsidRPr="005F67E0" w:rsidRDefault="005F67E0" w:rsidP="005F67E0">
      <w:pPr>
        <w:tabs>
          <w:tab w:val="left" w:pos="851"/>
        </w:tabs>
        <w:ind w:left="851"/>
        <w:rPr>
          <w:sz w:val="24"/>
          <w:szCs w:val="24"/>
          <w:u w:val="single"/>
          <w:lang w:val="en-US"/>
        </w:rPr>
      </w:pPr>
      <w:r w:rsidRPr="005F67E0">
        <w:rPr>
          <w:sz w:val="24"/>
          <w:szCs w:val="24"/>
          <w:u w:val="single"/>
          <w:lang w:val="en-US"/>
        </w:rPr>
        <w:t>Posology</w:t>
      </w:r>
    </w:p>
    <w:p w14:paraId="6EB91584" w14:textId="77777777" w:rsidR="005F67E0" w:rsidRPr="005F67E0" w:rsidRDefault="005F67E0" w:rsidP="005F67E0">
      <w:pPr>
        <w:tabs>
          <w:tab w:val="left" w:pos="851"/>
        </w:tabs>
        <w:ind w:left="851"/>
        <w:rPr>
          <w:sz w:val="24"/>
          <w:szCs w:val="24"/>
          <w:u w:val="single"/>
          <w:lang w:val="en-US"/>
        </w:rPr>
      </w:pPr>
    </w:p>
    <w:p w14:paraId="4D7B4AA9" w14:textId="77777777" w:rsidR="005F67E0" w:rsidRPr="005F67E0" w:rsidRDefault="005F67E0" w:rsidP="005F67E0">
      <w:pPr>
        <w:tabs>
          <w:tab w:val="left" w:pos="851"/>
        </w:tabs>
        <w:ind w:left="851"/>
        <w:rPr>
          <w:i/>
          <w:iCs/>
          <w:sz w:val="24"/>
          <w:szCs w:val="24"/>
          <w:u w:val="single"/>
          <w:lang w:val="en-US"/>
        </w:rPr>
      </w:pPr>
      <w:r w:rsidRPr="005F67E0">
        <w:rPr>
          <w:i/>
          <w:iCs/>
          <w:sz w:val="24"/>
          <w:szCs w:val="24"/>
          <w:u w:val="single"/>
          <w:lang w:val="en-US"/>
        </w:rPr>
        <w:t>General considerations</w:t>
      </w:r>
    </w:p>
    <w:p w14:paraId="0DEC09D8" w14:textId="77777777" w:rsidR="005F67E0" w:rsidRPr="005F67E0" w:rsidRDefault="005F67E0" w:rsidP="005F67E0">
      <w:pPr>
        <w:tabs>
          <w:tab w:val="left" w:pos="851"/>
        </w:tabs>
        <w:ind w:left="851"/>
        <w:rPr>
          <w:sz w:val="24"/>
          <w:szCs w:val="24"/>
          <w:lang w:val="en-US"/>
        </w:rPr>
      </w:pPr>
      <w:r w:rsidRPr="005F67E0">
        <w:rPr>
          <w:sz w:val="24"/>
          <w:szCs w:val="24"/>
          <w:lang w:val="en-US"/>
        </w:rPr>
        <w:t>Bitrisal should not be co-administered with an angiotensin-converting enzyme (ACE) inhibitor or an angiotensin II receptor blocker (ARB). Due to the potential risk of angioedema when used concomitantly with an ACE inhibitor, it must not be started for at least 36 hours after discontinuing ACE inhibitor therapy (see sections 4.3, 4.4 and 4.5).</w:t>
      </w:r>
    </w:p>
    <w:p w14:paraId="33424BC8" w14:textId="77777777" w:rsidR="005F67E0" w:rsidRPr="005F67E0" w:rsidRDefault="005F67E0" w:rsidP="005F67E0">
      <w:pPr>
        <w:tabs>
          <w:tab w:val="left" w:pos="851"/>
        </w:tabs>
        <w:ind w:left="851"/>
        <w:rPr>
          <w:sz w:val="24"/>
          <w:szCs w:val="24"/>
          <w:lang w:val="en-US"/>
        </w:rPr>
      </w:pPr>
    </w:p>
    <w:p w14:paraId="116206DC" w14:textId="77777777" w:rsidR="005F67E0" w:rsidRPr="005F67E0" w:rsidRDefault="005F67E0" w:rsidP="005F67E0">
      <w:pPr>
        <w:tabs>
          <w:tab w:val="left" w:pos="851"/>
        </w:tabs>
        <w:ind w:left="851"/>
        <w:rPr>
          <w:sz w:val="24"/>
          <w:szCs w:val="24"/>
          <w:lang w:val="en-US"/>
        </w:rPr>
      </w:pPr>
      <w:r w:rsidRPr="005F67E0">
        <w:rPr>
          <w:sz w:val="24"/>
          <w:szCs w:val="24"/>
          <w:lang w:val="en-US"/>
        </w:rPr>
        <w:t>The valsartan contained within sacubitril/valsartan is more bioavailable than the valsartan in other marketed tablet formulations (see section 5.2).</w:t>
      </w:r>
    </w:p>
    <w:p w14:paraId="78ADD92B" w14:textId="77777777" w:rsidR="005F67E0" w:rsidRPr="005F67E0" w:rsidRDefault="005F67E0" w:rsidP="005F67E0">
      <w:pPr>
        <w:tabs>
          <w:tab w:val="left" w:pos="851"/>
        </w:tabs>
        <w:ind w:left="851"/>
        <w:rPr>
          <w:sz w:val="24"/>
          <w:szCs w:val="24"/>
          <w:lang w:val="en-US"/>
        </w:rPr>
      </w:pPr>
    </w:p>
    <w:p w14:paraId="4071501D" w14:textId="77777777" w:rsidR="005F67E0" w:rsidRPr="005F67E0" w:rsidRDefault="005F67E0" w:rsidP="005F67E0">
      <w:pPr>
        <w:tabs>
          <w:tab w:val="left" w:pos="851"/>
        </w:tabs>
        <w:ind w:left="851"/>
        <w:rPr>
          <w:sz w:val="24"/>
          <w:szCs w:val="24"/>
          <w:lang w:val="en-US"/>
        </w:rPr>
      </w:pPr>
      <w:r w:rsidRPr="005F67E0">
        <w:rPr>
          <w:sz w:val="24"/>
          <w:szCs w:val="24"/>
          <w:lang w:val="en-US"/>
        </w:rPr>
        <w:t>If a dose is missed, the patient should take the next dose at the scheduled time.</w:t>
      </w:r>
    </w:p>
    <w:p w14:paraId="561B4E5D" w14:textId="77777777" w:rsidR="005F67E0" w:rsidRPr="005F67E0" w:rsidRDefault="005F67E0" w:rsidP="005F67E0">
      <w:pPr>
        <w:tabs>
          <w:tab w:val="left" w:pos="851"/>
        </w:tabs>
        <w:ind w:left="851"/>
        <w:rPr>
          <w:sz w:val="24"/>
          <w:szCs w:val="24"/>
          <w:lang w:val="en-US"/>
        </w:rPr>
      </w:pPr>
    </w:p>
    <w:p w14:paraId="709A19DA" w14:textId="77777777" w:rsidR="005F67E0" w:rsidRPr="005F67E0" w:rsidRDefault="005F67E0" w:rsidP="005F67E0">
      <w:pPr>
        <w:tabs>
          <w:tab w:val="left" w:pos="851"/>
        </w:tabs>
        <w:ind w:left="851"/>
        <w:rPr>
          <w:i/>
          <w:iCs/>
          <w:sz w:val="24"/>
          <w:szCs w:val="24"/>
          <w:u w:val="single"/>
          <w:lang w:val="en-US"/>
        </w:rPr>
      </w:pPr>
      <w:r w:rsidRPr="005F67E0">
        <w:rPr>
          <w:i/>
          <w:iCs/>
          <w:sz w:val="24"/>
          <w:szCs w:val="24"/>
          <w:u w:val="single"/>
          <w:lang w:val="en-US"/>
        </w:rPr>
        <w:t>Adult heart failure</w:t>
      </w:r>
    </w:p>
    <w:p w14:paraId="62DEB8C1" w14:textId="77777777" w:rsidR="005F67E0" w:rsidRPr="005F67E0" w:rsidRDefault="005F67E0" w:rsidP="005F67E0">
      <w:pPr>
        <w:tabs>
          <w:tab w:val="left" w:pos="851"/>
        </w:tabs>
        <w:ind w:left="851"/>
        <w:rPr>
          <w:sz w:val="24"/>
          <w:szCs w:val="24"/>
          <w:lang w:val="en-US"/>
        </w:rPr>
      </w:pPr>
      <w:r w:rsidRPr="005F67E0">
        <w:rPr>
          <w:sz w:val="24"/>
          <w:szCs w:val="24"/>
          <w:lang w:val="en-US"/>
        </w:rPr>
        <w:t>The recommended starting dose of Bitrisal is one tablet of 49 mg/51 mg twice daily, except in the situations described below. The dose should be doubled at 2-4 weeks to the target dose of one tablet of 97 mg/103 mg twice daily, as tolerated by the patient (see section 5.1).</w:t>
      </w:r>
    </w:p>
    <w:p w14:paraId="1562A7FF" w14:textId="77777777" w:rsidR="005F67E0" w:rsidRPr="005F67E0" w:rsidRDefault="005F67E0" w:rsidP="005F67E0">
      <w:pPr>
        <w:tabs>
          <w:tab w:val="left" w:pos="851"/>
        </w:tabs>
        <w:ind w:left="851"/>
        <w:rPr>
          <w:sz w:val="24"/>
          <w:szCs w:val="24"/>
          <w:lang w:val="en-US"/>
        </w:rPr>
      </w:pPr>
    </w:p>
    <w:p w14:paraId="04D399FD" w14:textId="77777777" w:rsidR="005F67E0" w:rsidRPr="005F67E0" w:rsidRDefault="005F67E0" w:rsidP="005F67E0">
      <w:pPr>
        <w:tabs>
          <w:tab w:val="left" w:pos="851"/>
        </w:tabs>
        <w:ind w:left="851"/>
        <w:rPr>
          <w:sz w:val="24"/>
          <w:szCs w:val="24"/>
          <w:lang w:val="en-US"/>
        </w:rPr>
      </w:pPr>
      <w:r w:rsidRPr="005F67E0">
        <w:rPr>
          <w:sz w:val="24"/>
          <w:szCs w:val="24"/>
          <w:lang w:val="en-US"/>
        </w:rPr>
        <w:t>If patients experience tolerability issues (systolic blood pressure [SBP] ≤95 mmHg, symptomatic hypotension, hyperkalaemia, renal dysfunction), adjustment of concomitant medicinal products, temporary down–titration or discontinuation of Bitrisal is recommended (see section 4.4).</w:t>
      </w:r>
    </w:p>
    <w:p w14:paraId="44C722CD" w14:textId="77777777" w:rsidR="005F67E0" w:rsidRPr="005F67E0" w:rsidRDefault="005F67E0" w:rsidP="005F67E0">
      <w:pPr>
        <w:tabs>
          <w:tab w:val="left" w:pos="851"/>
        </w:tabs>
        <w:ind w:left="851"/>
        <w:rPr>
          <w:sz w:val="24"/>
          <w:szCs w:val="24"/>
          <w:lang w:val="en-US"/>
        </w:rPr>
      </w:pPr>
    </w:p>
    <w:p w14:paraId="268EEC8A" w14:textId="77777777" w:rsidR="005F67E0" w:rsidRPr="005F67E0" w:rsidRDefault="005F67E0" w:rsidP="005F67E0">
      <w:pPr>
        <w:tabs>
          <w:tab w:val="left" w:pos="851"/>
        </w:tabs>
        <w:ind w:left="851"/>
        <w:rPr>
          <w:sz w:val="24"/>
          <w:szCs w:val="24"/>
          <w:lang w:val="en-US"/>
        </w:rPr>
      </w:pPr>
      <w:r w:rsidRPr="005F67E0">
        <w:rPr>
          <w:sz w:val="24"/>
          <w:szCs w:val="24"/>
          <w:lang w:val="en-US"/>
        </w:rPr>
        <w:t>In PARADIGM-HF study, sacubitril/valsartan was administered in conjunction with other heart failure therapies, in place of an ACE inhibitor or other ARB (see section 5.1). There is limited experience in patients not currently taking an ACE inhibitor or an ARB or taking low doses of these medicinal products, therefore a starting dose of 24 mg/26 mg twice daily and slow dose titration (doubling every 3-4 weeks) are recommended in these patients (see “Titration” in section 5.1).</w:t>
      </w:r>
    </w:p>
    <w:p w14:paraId="54152A58" w14:textId="77777777" w:rsidR="005F67E0" w:rsidRPr="005F67E0" w:rsidRDefault="005F67E0" w:rsidP="005F67E0">
      <w:pPr>
        <w:tabs>
          <w:tab w:val="left" w:pos="851"/>
        </w:tabs>
        <w:ind w:left="851"/>
        <w:rPr>
          <w:sz w:val="24"/>
          <w:szCs w:val="24"/>
          <w:lang w:val="en-US"/>
        </w:rPr>
      </w:pPr>
    </w:p>
    <w:p w14:paraId="4B06655C" w14:textId="77777777" w:rsidR="005F67E0" w:rsidRPr="005F67E0" w:rsidRDefault="005F67E0" w:rsidP="005F67E0">
      <w:pPr>
        <w:tabs>
          <w:tab w:val="left" w:pos="851"/>
        </w:tabs>
        <w:ind w:left="851"/>
        <w:rPr>
          <w:sz w:val="24"/>
          <w:szCs w:val="24"/>
          <w:lang w:val="en-US"/>
        </w:rPr>
      </w:pPr>
      <w:r w:rsidRPr="005F67E0">
        <w:rPr>
          <w:sz w:val="24"/>
          <w:szCs w:val="24"/>
          <w:lang w:val="en-US"/>
        </w:rPr>
        <w:lastRenderedPageBreak/>
        <w:t>Treatment should not be initiated in patients with serum potassium level &gt;5.4 mmol/l or with SBP &lt;100 mmHg (see section 4.4). A starting dose of 24 mg/26 mg twice daily should be considered for patients with SBP ≥100 to 110 mmHg.</w:t>
      </w:r>
    </w:p>
    <w:p w14:paraId="4F6B49C5" w14:textId="77777777" w:rsidR="005F67E0" w:rsidRPr="005F67E0" w:rsidRDefault="005F67E0" w:rsidP="005F67E0">
      <w:pPr>
        <w:tabs>
          <w:tab w:val="left" w:pos="851"/>
        </w:tabs>
        <w:ind w:left="851"/>
        <w:rPr>
          <w:sz w:val="24"/>
          <w:szCs w:val="24"/>
          <w:lang w:val="en-US"/>
        </w:rPr>
      </w:pPr>
    </w:p>
    <w:p w14:paraId="61F9F21E" w14:textId="77777777" w:rsidR="005F67E0" w:rsidRPr="005F67E0" w:rsidRDefault="005F67E0" w:rsidP="005F67E0">
      <w:pPr>
        <w:tabs>
          <w:tab w:val="left" w:pos="851"/>
        </w:tabs>
        <w:ind w:left="851"/>
        <w:rPr>
          <w:i/>
          <w:iCs/>
          <w:sz w:val="24"/>
          <w:szCs w:val="24"/>
          <w:u w:val="single"/>
          <w:lang w:val="en-US"/>
        </w:rPr>
      </w:pPr>
      <w:r w:rsidRPr="005F67E0">
        <w:rPr>
          <w:i/>
          <w:iCs/>
          <w:sz w:val="24"/>
          <w:szCs w:val="24"/>
          <w:u w:val="single"/>
          <w:lang w:val="en-US"/>
        </w:rPr>
        <w:t>Paediatric heart failure</w:t>
      </w:r>
    </w:p>
    <w:p w14:paraId="4CCA43C9" w14:textId="77777777" w:rsidR="005F67E0" w:rsidRPr="005F67E0" w:rsidRDefault="005F67E0" w:rsidP="005F67E0">
      <w:pPr>
        <w:tabs>
          <w:tab w:val="left" w:pos="851"/>
        </w:tabs>
        <w:ind w:left="851"/>
        <w:rPr>
          <w:sz w:val="24"/>
          <w:szCs w:val="24"/>
          <w:lang w:val="en-US"/>
        </w:rPr>
      </w:pPr>
      <w:r w:rsidRPr="005F67E0">
        <w:rPr>
          <w:sz w:val="24"/>
          <w:szCs w:val="24"/>
          <w:lang w:val="en-US"/>
        </w:rPr>
        <w:t>Table 1 shows the recommended dose for paediatric patients. The recommended dose should be taken orally twice daily. The dose should be increased every 2-4 weeks to the target dose, as tolerated by the patient.</w:t>
      </w:r>
    </w:p>
    <w:p w14:paraId="06975C86" w14:textId="77777777" w:rsidR="005F67E0" w:rsidRPr="005F67E0" w:rsidRDefault="005F67E0" w:rsidP="005F67E0">
      <w:pPr>
        <w:tabs>
          <w:tab w:val="left" w:pos="851"/>
        </w:tabs>
        <w:ind w:left="851"/>
        <w:rPr>
          <w:sz w:val="24"/>
          <w:szCs w:val="24"/>
          <w:lang w:val="en-US"/>
        </w:rPr>
      </w:pPr>
    </w:p>
    <w:p w14:paraId="77C546BC" w14:textId="77777777" w:rsidR="005F67E0" w:rsidRPr="005F67E0" w:rsidRDefault="005F67E0" w:rsidP="005F67E0">
      <w:pPr>
        <w:tabs>
          <w:tab w:val="left" w:pos="851"/>
        </w:tabs>
        <w:ind w:left="851"/>
        <w:rPr>
          <w:sz w:val="24"/>
          <w:szCs w:val="24"/>
          <w:lang w:val="en-US"/>
        </w:rPr>
      </w:pPr>
      <w:r w:rsidRPr="005F67E0">
        <w:rPr>
          <w:sz w:val="24"/>
          <w:szCs w:val="24"/>
          <w:lang w:val="en-US"/>
        </w:rPr>
        <w:t>Bitrisal film-coated tablets are not suitable for children weighing less than 40 kg. Another pharmaceutical form, under a different trade name, is available in the market for these patients.</w:t>
      </w:r>
    </w:p>
    <w:p w14:paraId="66379421" w14:textId="77777777" w:rsidR="005F67E0" w:rsidRPr="005F67E0" w:rsidRDefault="005F67E0" w:rsidP="005F67E0">
      <w:pPr>
        <w:tabs>
          <w:tab w:val="left" w:pos="851"/>
        </w:tabs>
        <w:ind w:left="851"/>
        <w:rPr>
          <w:sz w:val="24"/>
          <w:szCs w:val="24"/>
          <w:lang w:val="en-US"/>
        </w:rPr>
      </w:pPr>
    </w:p>
    <w:p w14:paraId="7D3A9D50" w14:textId="77777777" w:rsidR="005F67E0" w:rsidRPr="005F67E0" w:rsidRDefault="005F67E0" w:rsidP="005F67E0">
      <w:pPr>
        <w:tabs>
          <w:tab w:val="left" w:pos="851"/>
        </w:tabs>
        <w:ind w:left="851"/>
        <w:rPr>
          <w:b/>
          <w:bCs/>
          <w:sz w:val="24"/>
          <w:szCs w:val="24"/>
          <w:lang w:val="en-US"/>
        </w:rPr>
      </w:pPr>
      <w:r w:rsidRPr="005F67E0">
        <w:rPr>
          <w:b/>
          <w:bCs/>
          <w:sz w:val="24"/>
          <w:szCs w:val="24"/>
          <w:lang w:val="en-US"/>
        </w:rPr>
        <w:t>Table 1</w:t>
      </w:r>
      <w:r w:rsidRPr="005F67E0">
        <w:rPr>
          <w:b/>
          <w:bCs/>
          <w:sz w:val="24"/>
          <w:szCs w:val="24"/>
          <w:lang w:val="en-US"/>
        </w:rPr>
        <w:tab/>
      </w:r>
      <w:r w:rsidRPr="005F67E0">
        <w:rPr>
          <w:b/>
          <w:bCs/>
          <w:sz w:val="24"/>
          <w:szCs w:val="24"/>
          <w:lang w:val="en-US"/>
        </w:rPr>
        <w:tab/>
        <w:t>Recommended dose titration</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6"/>
        <w:gridCol w:w="1595"/>
        <w:gridCol w:w="1655"/>
        <w:gridCol w:w="2095"/>
        <w:gridCol w:w="1592"/>
      </w:tblGrid>
      <w:tr w:rsidR="005F67E0" w:rsidRPr="00123FA5" w14:paraId="168DA3E3" w14:textId="77777777" w:rsidTr="005F67E0">
        <w:trPr>
          <w:trHeight w:val="258"/>
          <w:jc w:val="center"/>
        </w:trPr>
        <w:tc>
          <w:tcPr>
            <w:tcW w:w="2314" w:type="dxa"/>
            <w:tcBorders>
              <w:top w:val="single" w:sz="8" w:space="0" w:color="000000"/>
              <w:left w:val="single" w:sz="8" w:space="0" w:color="000000"/>
              <w:bottom w:val="single" w:sz="8" w:space="0" w:color="000000"/>
              <w:right w:val="single" w:sz="4" w:space="0" w:color="000000"/>
            </w:tcBorders>
            <w:hideMark/>
          </w:tcPr>
          <w:p w14:paraId="082B75DE" w14:textId="77777777" w:rsidR="005F67E0" w:rsidRDefault="005F67E0">
            <w:pPr>
              <w:widowControl w:val="0"/>
              <w:autoSpaceDE w:val="0"/>
              <w:autoSpaceDN w:val="0"/>
              <w:spacing w:before="5" w:line="233" w:lineRule="exact"/>
              <w:ind w:left="633"/>
              <w:rPr>
                <w:sz w:val="22"/>
                <w:lang w:val="de-DE" w:eastAsia="de-DE" w:bidi="de-DE"/>
              </w:rPr>
            </w:pPr>
            <w:r>
              <w:rPr>
                <w:lang w:val="de-DE" w:eastAsia="de-DE" w:bidi="de-DE"/>
              </w:rPr>
              <w:t>Patient weight</w:t>
            </w:r>
          </w:p>
        </w:tc>
        <w:tc>
          <w:tcPr>
            <w:tcW w:w="5977" w:type="dxa"/>
            <w:gridSpan w:val="4"/>
            <w:tcBorders>
              <w:top w:val="single" w:sz="6" w:space="0" w:color="000000"/>
              <w:left w:val="single" w:sz="4" w:space="0" w:color="000000"/>
              <w:bottom w:val="single" w:sz="4" w:space="0" w:color="000000"/>
              <w:right w:val="single" w:sz="4" w:space="0" w:color="000000"/>
            </w:tcBorders>
            <w:hideMark/>
          </w:tcPr>
          <w:p w14:paraId="06556EF0" w14:textId="77777777" w:rsidR="005F67E0" w:rsidRDefault="005F67E0">
            <w:pPr>
              <w:widowControl w:val="0"/>
              <w:autoSpaceDE w:val="0"/>
              <w:autoSpaceDN w:val="0"/>
              <w:spacing w:before="5" w:line="233" w:lineRule="exact"/>
              <w:ind w:left="2215" w:right="2196"/>
              <w:jc w:val="center"/>
              <w:rPr>
                <w:lang w:val="de-DE" w:eastAsia="de-DE" w:bidi="de-DE"/>
              </w:rPr>
            </w:pPr>
            <w:r>
              <w:rPr>
                <w:lang w:val="de-DE" w:eastAsia="de-DE" w:bidi="de-DE"/>
              </w:rPr>
              <w:t>To be given twice daily</w:t>
            </w:r>
          </w:p>
        </w:tc>
      </w:tr>
      <w:tr w:rsidR="005F67E0" w14:paraId="0F001F91" w14:textId="77777777" w:rsidTr="005F67E0">
        <w:trPr>
          <w:trHeight w:val="505"/>
          <w:jc w:val="center"/>
        </w:trPr>
        <w:tc>
          <w:tcPr>
            <w:tcW w:w="2314" w:type="dxa"/>
            <w:tcBorders>
              <w:top w:val="single" w:sz="8" w:space="0" w:color="000000"/>
              <w:left w:val="single" w:sz="8" w:space="0" w:color="000000"/>
              <w:bottom w:val="single" w:sz="8" w:space="0" w:color="000000"/>
              <w:right w:val="single" w:sz="8" w:space="0" w:color="000000"/>
            </w:tcBorders>
          </w:tcPr>
          <w:p w14:paraId="52D505DE" w14:textId="77777777" w:rsidR="005F67E0" w:rsidRDefault="005F67E0">
            <w:pPr>
              <w:widowControl w:val="0"/>
              <w:autoSpaceDE w:val="0"/>
              <w:autoSpaceDN w:val="0"/>
              <w:rPr>
                <w:lang w:val="de-DE" w:eastAsia="de-DE" w:bidi="de-DE"/>
              </w:rPr>
            </w:pPr>
          </w:p>
        </w:tc>
        <w:tc>
          <w:tcPr>
            <w:tcW w:w="1374" w:type="dxa"/>
            <w:tcBorders>
              <w:top w:val="single" w:sz="4" w:space="0" w:color="000000"/>
              <w:left w:val="single" w:sz="8" w:space="0" w:color="000000"/>
              <w:bottom w:val="single" w:sz="8" w:space="0" w:color="000000"/>
              <w:right w:val="single" w:sz="8" w:space="0" w:color="000000"/>
            </w:tcBorders>
            <w:hideMark/>
          </w:tcPr>
          <w:p w14:paraId="514EFDA6" w14:textId="77777777" w:rsidR="005F67E0" w:rsidRDefault="005F67E0">
            <w:pPr>
              <w:widowControl w:val="0"/>
              <w:autoSpaceDE w:val="0"/>
              <w:autoSpaceDN w:val="0"/>
              <w:spacing w:line="254" w:lineRule="exact"/>
              <w:ind w:left="107" w:right="127"/>
              <w:rPr>
                <w:lang w:val="de-DE" w:eastAsia="de-DE" w:bidi="de-DE"/>
              </w:rPr>
            </w:pPr>
            <w:r>
              <w:rPr>
                <w:lang w:val="de-DE" w:eastAsia="de-DE" w:bidi="de-DE"/>
              </w:rPr>
              <w:t>Half the starting dose*</w:t>
            </w:r>
          </w:p>
        </w:tc>
        <w:tc>
          <w:tcPr>
            <w:tcW w:w="1426" w:type="dxa"/>
            <w:tcBorders>
              <w:top w:val="single" w:sz="4" w:space="0" w:color="000000"/>
              <w:left w:val="single" w:sz="8" w:space="0" w:color="000000"/>
              <w:bottom w:val="single" w:sz="4" w:space="0" w:color="000000"/>
              <w:right w:val="single" w:sz="8" w:space="0" w:color="000000"/>
            </w:tcBorders>
            <w:hideMark/>
          </w:tcPr>
          <w:p w14:paraId="5E65A7A3" w14:textId="77777777" w:rsidR="005F67E0" w:rsidRDefault="005F67E0">
            <w:pPr>
              <w:widowControl w:val="0"/>
              <w:autoSpaceDE w:val="0"/>
              <w:autoSpaceDN w:val="0"/>
              <w:spacing w:before="125"/>
              <w:ind w:left="107"/>
              <w:rPr>
                <w:lang w:val="de-DE" w:eastAsia="de-DE" w:bidi="de-DE"/>
              </w:rPr>
            </w:pPr>
            <w:r>
              <w:rPr>
                <w:lang w:val="de-DE" w:eastAsia="de-DE" w:bidi="de-DE"/>
              </w:rPr>
              <w:t>Starting dose</w:t>
            </w:r>
          </w:p>
        </w:tc>
        <w:tc>
          <w:tcPr>
            <w:tcW w:w="1805" w:type="dxa"/>
            <w:tcBorders>
              <w:top w:val="single" w:sz="4" w:space="0" w:color="000000"/>
              <w:left w:val="single" w:sz="8" w:space="0" w:color="000000"/>
              <w:bottom w:val="single" w:sz="4" w:space="0" w:color="000000"/>
              <w:right w:val="single" w:sz="8" w:space="0" w:color="000000"/>
            </w:tcBorders>
            <w:hideMark/>
          </w:tcPr>
          <w:p w14:paraId="7CDD0C5A" w14:textId="77777777" w:rsidR="005F67E0" w:rsidRDefault="005F67E0">
            <w:pPr>
              <w:widowControl w:val="0"/>
              <w:autoSpaceDE w:val="0"/>
              <w:autoSpaceDN w:val="0"/>
              <w:spacing w:before="125"/>
              <w:ind w:left="104"/>
              <w:rPr>
                <w:lang w:val="de-DE" w:eastAsia="de-DE" w:bidi="de-DE"/>
              </w:rPr>
            </w:pPr>
            <w:r>
              <w:rPr>
                <w:lang w:val="de-DE" w:eastAsia="de-DE" w:bidi="de-DE"/>
              </w:rPr>
              <w:t>Intermediate dose</w:t>
            </w:r>
          </w:p>
        </w:tc>
        <w:tc>
          <w:tcPr>
            <w:tcW w:w="1372" w:type="dxa"/>
            <w:tcBorders>
              <w:top w:val="single" w:sz="4" w:space="0" w:color="000000"/>
              <w:left w:val="single" w:sz="8" w:space="0" w:color="000000"/>
              <w:bottom w:val="single" w:sz="4" w:space="0" w:color="000000"/>
              <w:right w:val="single" w:sz="8" w:space="0" w:color="000000"/>
            </w:tcBorders>
            <w:hideMark/>
          </w:tcPr>
          <w:p w14:paraId="472FC75D" w14:textId="77777777" w:rsidR="005F67E0" w:rsidRDefault="005F67E0">
            <w:pPr>
              <w:widowControl w:val="0"/>
              <w:autoSpaceDE w:val="0"/>
              <w:autoSpaceDN w:val="0"/>
              <w:spacing w:before="125"/>
              <w:ind w:left="107"/>
              <w:rPr>
                <w:lang w:val="de-DE" w:eastAsia="de-DE" w:bidi="de-DE"/>
              </w:rPr>
            </w:pPr>
            <w:r>
              <w:rPr>
                <w:lang w:val="de-DE" w:eastAsia="de-DE" w:bidi="de-DE"/>
              </w:rPr>
              <w:t>Target dose</w:t>
            </w:r>
          </w:p>
        </w:tc>
      </w:tr>
      <w:tr w:rsidR="005F67E0" w14:paraId="1C8CA26C" w14:textId="77777777" w:rsidTr="005F67E0">
        <w:trPr>
          <w:trHeight w:val="503"/>
          <w:jc w:val="center"/>
        </w:trPr>
        <w:tc>
          <w:tcPr>
            <w:tcW w:w="2314" w:type="dxa"/>
            <w:tcBorders>
              <w:top w:val="single" w:sz="8" w:space="0" w:color="000000"/>
              <w:left w:val="single" w:sz="8" w:space="0" w:color="000000"/>
              <w:bottom w:val="single" w:sz="8" w:space="0" w:color="000000"/>
              <w:right w:val="single" w:sz="8" w:space="0" w:color="000000"/>
            </w:tcBorders>
            <w:hideMark/>
          </w:tcPr>
          <w:p w14:paraId="12C7BCEB" w14:textId="77777777" w:rsidR="005F67E0" w:rsidRDefault="005F67E0">
            <w:pPr>
              <w:widowControl w:val="0"/>
              <w:autoSpaceDE w:val="0"/>
              <w:autoSpaceDN w:val="0"/>
              <w:spacing w:before="2" w:line="252" w:lineRule="exact"/>
              <w:ind w:left="107" w:right="384"/>
              <w:rPr>
                <w:lang w:val="de-DE" w:eastAsia="de-DE" w:bidi="de-DE"/>
              </w:rPr>
            </w:pPr>
            <w:r>
              <w:rPr>
                <w:lang w:val="de-DE" w:eastAsia="de-DE" w:bidi="de-DE"/>
              </w:rPr>
              <w:t>Paediatric patients less than 40 kg</w:t>
            </w:r>
          </w:p>
        </w:tc>
        <w:tc>
          <w:tcPr>
            <w:tcW w:w="1374" w:type="dxa"/>
            <w:tcBorders>
              <w:top w:val="single" w:sz="8" w:space="0" w:color="000000"/>
              <w:left w:val="single" w:sz="8" w:space="0" w:color="000000"/>
              <w:bottom w:val="single" w:sz="8" w:space="0" w:color="000000"/>
              <w:right w:val="single" w:sz="8" w:space="0" w:color="000000"/>
            </w:tcBorders>
            <w:vAlign w:val="center"/>
            <w:hideMark/>
          </w:tcPr>
          <w:p w14:paraId="13A7428A" w14:textId="77777777" w:rsidR="005F67E0" w:rsidRDefault="005F67E0">
            <w:pPr>
              <w:widowControl w:val="0"/>
              <w:autoSpaceDE w:val="0"/>
              <w:autoSpaceDN w:val="0"/>
              <w:spacing w:line="251" w:lineRule="exact"/>
              <w:ind w:left="107"/>
              <w:rPr>
                <w:sz w:val="14"/>
                <w:lang w:val="de-DE" w:eastAsia="de-DE" w:bidi="de-DE"/>
              </w:rPr>
            </w:pPr>
            <w:r>
              <w:rPr>
                <w:lang w:val="de-DE" w:eastAsia="de-DE" w:bidi="de-DE"/>
              </w:rPr>
              <w:t>0.8 mg/kg</w:t>
            </w:r>
            <w:r>
              <w:rPr>
                <w:position w:val="8"/>
                <w:sz w:val="14"/>
                <w:lang w:val="de-DE" w:eastAsia="de-DE" w:bidi="de-DE"/>
              </w:rPr>
              <w:t>#</w:t>
            </w:r>
          </w:p>
        </w:tc>
        <w:tc>
          <w:tcPr>
            <w:tcW w:w="1426" w:type="dxa"/>
            <w:tcBorders>
              <w:top w:val="single" w:sz="4" w:space="0" w:color="000000"/>
              <w:left w:val="single" w:sz="8" w:space="0" w:color="000000"/>
              <w:bottom w:val="single" w:sz="8" w:space="0" w:color="000000"/>
              <w:right w:val="single" w:sz="8" w:space="0" w:color="000000"/>
            </w:tcBorders>
            <w:vAlign w:val="center"/>
            <w:hideMark/>
          </w:tcPr>
          <w:p w14:paraId="12B06055" w14:textId="77777777" w:rsidR="005F67E0" w:rsidRDefault="005F67E0">
            <w:pPr>
              <w:widowControl w:val="0"/>
              <w:autoSpaceDE w:val="0"/>
              <w:autoSpaceDN w:val="0"/>
              <w:spacing w:before="117"/>
              <w:ind w:left="107"/>
              <w:rPr>
                <w:sz w:val="14"/>
                <w:lang w:val="de-DE" w:eastAsia="de-DE" w:bidi="de-DE"/>
              </w:rPr>
            </w:pPr>
            <w:r>
              <w:rPr>
                <w:lang w:val="de-DE" w:eastAsia="de-DE" w:bidi="de-DE"/>
              </w:rPr>
              <w:t>1.6 mg/kg</w:t>
            </w:r>
            <w:r>
              <w:rPr>
                <w:position w:val="8"/>
                <w:sz w:val="14"/>
                <w:lang w:val="de-DE" w:eastAsia="de-DE" w:bidi="de-DE"/>
              </w:rPr>
              <w:t>#</w:t>
            </w:r>
          </w:p>
        </w:tc>
        <w:tc>
          <w:tcPr>
            <w:tcW w:w="1805" w:type="dxa"/>
            <w:tcBorders>
              <w:top w:val="single" w:sz="4" w:space="0" w:color="000000"/>
              <w:left w:val="single" w:sz="8" w:space="0" w:color="000000"/>
              <w:bottom w:val="single" w:sz="8" w:space="0" w:color="000000"/>
              <w:right w:val="single" w:sz="8" w:space="0" w:color="000000"/>
            </w:tcBorders>
            <w:vAlign w:val="center"/>
            <w:hideMark/>
          </w:tcPr>
          <w:p w14:paraId="136C5933" w14:textId="77777777" w:rsidR="005F67E0" w:rsidRDefault="005F67E0">
            <w:pPr>
              <w:widowControl w:val="0"/>
              <w:autoSpaceDE w:val="0"/>
              <w:autoSpaceDN w:val="0"/>
              <w:spacing w:before="117"/>
              <w:ind w:left="104"/>
              <w:rPr>
                <w:sz w:val="14"/>
                <w:lang w:val="de-DE" w:eastAsia="de-DE" w:bidi="de-DE"/>
              </w:rPr>
            </w:pPr>
            <w:r>
              <w:rPr>
                <w:lang w:val="de-DE" w:eastAsia="de-DE" w:bidi="de-DE"/>
              </w:rPr>
              <w:t>2.3 mg/kg</w:t>
            </w:r>
            <w:r>
              <w:rPr>
                <w:position w:val="8"/>
                <w:sz w:val="14"/>
                <w:lang w:val="de-DE" w:eastAsia="de-DE" w:bidi="de-DE"/>
              </w:rPr>
              <w:t>#</w:t>
            </w:r>
          </w:p>
        </w:tc>
        <w:tc>
          <w:tcPr>
            <w:tcW w:w="1372" w:type="dxa"/>
            <w:tcBorders>
              <w:top w:val="single" w:sz="4" w:space="0" w:color="000000"/>
              <w:left w:val="single" w:sz="8" w:space="0" w:color="000000"/>
              <w:bottom w:val="single" w:sz="8" w:space="0" w:color="000000"/>
              <w:right w:val="single" w:sz="4" w:space="0" w:color="000000"/>
            </w:tcBorders>
            <w:vAlign w:val="center"/>
            <w:hideMark/>
          </w:tcPr>
          <w:p w14:paraId="3EA6B578" w14:textId="77777777" w:rsidR="005F67E0" w:rsidRDefault="005F67E0">
            <w:pPr>
              <w:widowControl w:val="0"/>
              <w:autoSpaceDE w:val="0"/>
              <w:autoSpaceDN w:val="0"/>
              <w:spacing w:before="117"/>
              <w:ind w:left="107"/>
              <w:rPr>
                <w:sz w:val="14"/>
                <w:lang w:val="de-DE" w:eastAsia="de-DE" w:bidi="de-DE"/>
              </w:rPr>
            </w:pPr>
            <w:r>
              <w:rPr>
                <w:lang w:val="de-DE" w:eastAsia="de-DE" w:bidi="de-DE"/>
              </w:rPr>
              <w:t>3.1 mg/kg</w:t>
            </w:r>
            <w:r>
              <w:rPr>
                <w:position w:val="8"/>
                <w:sz w:val="14"/>
                <w:lang w:val="de-DE" w:eastAsia="de-DE" w:bidi="de-DE"/>
              </w:rPr>
              <w:t>#</w:t>
            </w:r>
          </w:p>
        </w:tc>
      </w:tr>
      <w:tr w:rsidR="005F67E0" w14:paraId="386DE1AC" w14:textId="77777777" w:rsidTr="005F67E0">
        <w:trPr>
          <w:trHeight w:val="505"/>
          <w:jc w:val="center"/>
        </w:trPr>
        <w:tc>
          <w:tcPr>
            <w:tcW w:w="2314" w:type="dxa"/>
            <w:tcBorders>
              <w:top w:val="single" w:sz="8" w:space="0" w:color="000000"/>
              <w:left w:val="single" w:sz="8" w:space="0" w:color="000000"/>
              <w:bottom w:val="single" w:sz="4" w:space="0" w:color="000000"/>
              <w:right w:val="single" w:sz="8" w:space="0" w:color="000000"/>
            </w:tcBorders>
            <w:hideMark/>
          </w:tcPr>
          <w:p w14:paraId="5A3FDD4D" w14:textId="77777777" w:rsidR="005F67E0" w:rsidRDefault="005F67E0">
            <w:pPr>
              <w:widowControl w:val="0"/>
              <w:autoSpaceDE w:val="0"/>
              <w:autoSpaceDN w:val="0"/>
              <w:spacing w:before="1" w:line="252" w:lineRule="exact"/>
              <w:ind w:left="107" w:right="97"/>
              <w:rPr>
                <w:sz w:val="22"/>
                <w:lang w:val="de-DE" w:eastAsia="de-DE" w:bidi="de-DE"/>
              </w:rPr>
            </w:pPr>
            <w:r>
              <w:rPr>
                <w:lang w:val="de-DE" w:eastAsia="de-DE" w:bidi="de-DE"/>
              </w:rPr>
              <w:t>Paediatric patients at least 40 kg, less than 50 kg</w:t>
            </w:r>
          </w:p>
        </w:tc>
        <w:tc>
          <w:tcPr>
            <w:tcW w:w="1374" w:type="dxa"/>
            <w:tcBorders>
              <w:top w:val="single" w:sz="8" w:space="0" w:color="000000"/>
              <w:left w:val="single" w:sz="8" w:space="0" w:color="000000"/>
              <w:bottom w:val="single" w:sz="4" w:space="0" w:color="000000"/>
              <w:right w:val="single" w:sz="8" w:space="0" w:color="000000"/>
            </w:tcBorders>
            <w:vAlign w:val="center"/>
            <w:hideMark/>
          </w:tcPr>
          <w:p w14:paraId="5F19CB88" w14:textId="77777777" w:rsidR="005F67E0" w:rsidRDefault="005F67E0">
            <w:pPr>
              <w:widowControl w:val="0"/>
              <w:autoSpaceDE w:val="0"/>
              <w:autoSpaceDN w:val="0"/>
              <w:spacing w:line="251" w:lineRule="exact"/>
              <w:ind w:left="107"/>
              <w:rPr>
                <w:sz w:val="14"/>
                <w:lang w:val="de-DE" w:eastAsia="de-DE" w:bidi="de-DE"/>
              </w:rPr>
            </w:pPr>
            <w:r>
              <w:rPr>
                <w:lang w:val="de-DE" w:eastAsia="de-DE" w:bidi="de-DE"/>
              </w:rPr>
              <w:t>0.8 mg/kg</w:t>
            </w:r>
            <w:r>
              <w:rPr>
                <w:position w:val="8"/>
                <w:sz w:val="14"/>
                <w:lang w:val="de-DE" w:eastAsia="de-DE" w:bidi="de-DE"/>
              </w:rPr>
              <w:t>#</w:t>
            </w:r>
          </w:p>
        </w:tc>
        <w:tc>
          <w:tcPr>
            <w:tcW w:w="1426" w:type="dxa"/>
            <w:tcBorders>
              <w:top w:val="single" w:sz="8" w:space="0" w:color="000000"/>
              <w:left w:val="single" w:sz="8" w:space="0" w:color="000000"/>
              <w:bottom w:val="single" w:sz="4" w:space="0" w:color="000000"/>
              <w:right w:val="single" w:sz="8" w:space="0" w:color="000000"/>
            </w:tcBorders>
            <w:vAlign w:val="center"/>
            <w:hideMark/>
          </w:tcPr>
          <w:p w14:paraId="7BA20435" w14:textId="77777777" w:rsidR="005F67E0" w:rsidRDefault="005F67E0">
            <w:pPr>
              <w:widowControl w:val="0"/>
              <w:autoSpaceDE w:val="0"/>
              <w:autoSpaceDN w:val="0"/>
              <w:spacing w:before="122"/>
              <w:ind w:left="107"/>
              <w:rPr>
                <w:sz w:val="22"/>
                <w:lang w:val="de-DE" w:eastAsia="de-DE" w:bidi="de-DE"/>
              </w:rPr>
            </w:pPr>
            <w:r>
              <w:rPr>
                <w:lang w:val="de-DE" w:eastAsia="de-DE" w:bidi="de-DE"/>
              </w:rPr>
              <w:t>24 mg/26 mg</w:t>
            </w:r>
          </w:p>
        </w:tc>
        <w:tc>
          <w:tcPr>
            <w:tcW w:w="1805" w:type="dxa"/>
            <w:tcBorders>
              <w:top w:val="single" w:sz="8" w:space="0" w:color="000000"/>
              <w:left w:val="single" w:sz="8" w:space="0" w:color="000000"/>
              <w:bottom w:val="single" w:sz="4" w:space="0" w:color="000000"/>
              <w:right w:val="single" w:sz="8" w:space="0" w:color="000000"/>
            </w:tcBorders>
            <w:vAlign w:val="center"/>
            <w:hideMark/>
          </w:tcPr>
          <w:p w14:paraId="1188635D" w14:textId="77777777" w:rsidR="005F67E0" w:rsidRDefault="005F67E0">
            <w:pPr>
              <w:widowControl w:val="0"/>
              <w:autoSpaceDE w:val="0"/>
              <w:autoSpaceDN w:val="0"/>
              <w:spacing w:before="122"/>
              <w:ind w:left="104"/>
              <w:rPr>
                <w:lang w:val="de-DE" w:eastAsia="de-DE" w:bidi="de-DE"/>
              </w:rPr>
            </w:pPr>
            <w:r>
              <w:rPr>
                <w:lang w:val="de-DE" w:eastAsia="de-DE" w:bidi="de-DE"/>
              </w:rPr>
              <w:t>49 mg/51 mg</w:t>
            </w:r>
          </w:p>
        </w:tc>
        <w:tc>
          <w:tcPr>
            <w:tcW w:w="1372" w:type="dxa"/>
            <w:tcBorders>
              <w:top w:val="single" w:sz="8" w:space="0" w:color="000000"/>
              <w:left w:val="single" w:sz="8" w:space="0" w:color="000000"/>
              <w:bottom w:val="single" w:sz="4" w:space="0" w:color="000000"/>
              <w:right w:val="single" w:sz="8" w:space="0" w:color="000000"/>
            </w:tcBorders>
            <w:vAlign w:val="center"/>
            <w:hideMark/>
          </w:tcPr>
          <w:p w14:paraId="38588EDF" w14:textId="77777777" w:rsidR="005F67E0" w:rsidRDefault="005F67E0">
            <w:pPr>
              <w:widowControl w:val="0"/>
              <w:autoSpaceDE w:val="0"/>
              <w:autoSpaceDN w:val="0"/>
              <w:spacing w:before="122"/>
              <w:ind w:left="107"/>
              <w:rPr>
                <w:lang w:val="de-DE" w:eastAsia="de-DE" w:bidi="de-DE"/>
              </w:rPr>
            </w:pPr>
            <w:r>
              <w:rPr>
                <w:lang w:val="de-DE" w:eastAsia="de-DE" w:bidi="de-DE"/>
              </w:rPr>
              <w:t>72 mg/78 mg</w:t>
            </w:r>
          </w:p>
        </w:tc>
      </w:tr>
      <w:tr w:rsidR="005F67E0" w14:paraId="0A473FA2" w14:textId="77777777" w:rsidTr="005F67E0">
        <w:trPr>
          <w:trHeight w:val="505"/>
          <w:jc w:val="center"/>
        </w:trPr>
        <w:tc>
          <w:tcPr>
            <w:tcW w:w="2314" w:type="dxa"/>
            <w:tcBorders>
              <w:top w:val="single" w:sz="4" w:space="0" w:color="000000"/>
              <w:left w:val="single" w:sz="4" w:space="0" w:color="000000"/>
              <w:bottom w:val="single" w:sz="4" w:space="0" w:color="000000"/>
              <w:right w:val="single" w:sz="4" w:space="0" w:color="000000"/>
            </w:tcBorders>
            <w:hideMark/>
          </w:tcPr>
          <w:p w14:paraId="6A774319" w14:textId="77777777" w:rsidR="005F67E0" w:rsidRDefault="005F67E0">
            <w:pPr>
              <w:widowControl w:val="0"/>
              <w:autoSpaceDE w:val="0"/>
              <w:autoSpaceDN w:val="0"/>
              <w:spacing w:before="2" w:line="252" w:lineRule="exact"/>
              <w:ind w:left="112" w:right="102"/>
              <w:rPr>
                <w:lang w:val="de-DE" w:eastAsia="de-DE" w:bidi="de-DE"/>
              </w:rPr>
            </w:pPr>
            <w:r>
              <w:rPr>
                <w:lang w:val="de-DE" w:eastAsia="de-DE" w:bidi="de-DE"/>
              </w:rPr>
              <w:t>Paediatric patients at least 50 kg</w:t>
            </w:r>
          </w:p>
        </w:tc>
        <w:tc>
          <w:tcPr>
            <w:tcW w:w="1374" w:type="dxa"/>
            <w:tcBorders>
              <w:top w:val="single" w:sz="4" w:space="0" w:color="000000"/>
              <w:left w:val="single" w:sz="4" w:space="0" w:color="000000"/>
              <w:bottom w:val="single" w:sz="4" w:space="0" w:color="000000"/>
              <w:right w:val="single" w:sz="4" w:space="0" w:color="000000"/>
            </w:tcBorders>
            <w:vAlign w:val="center"/>
            <w:hideMark/>
          </w:tcPr>
          <w:p w14:paraId="7C55F816" w14:textId="77777777" w:rsidR="005F67E0" w:rsidRDefault="005F67E0">
            <w:pPr>
              <w:widowControl w:val="0"/>
              <w:autoSpaceDE w:val="0"/>
              <w:autoSpaceDN w:val="0"/>
              <w:spacing w:line="251" w:lineRule="exact"/>
              <w:ind w:left="112"/>
              <w:rPr>
                <w:lang w:val="de-DE" w:eastAsia="de-DE" w:bidi="de-DE"/>
              </w:rPr>
            </w:pPr>
            <w:r>
              <w:rPr>
                <w:lang w:val="de-DE" w:eastAsia="de-DE" w:bidi="de-DE"/>
              </w:rPr>
              <w:t>24 mg/26 mg</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091B5450" w14:textId="77777777" w:rsidR="005F67E0" w:rsidRDefault="005F67E0">
            <w:pPr>
              <w:widowControl w:val="0"/>
              <w:autoSpaceDE w:val="0"/>
              <w:autoSpaceDN w:val="0"/>
              <w:spacing w:before="123"/>
              <w:ind w:left="112"/>
              <w:rPr>
                <w:lang w:val="de-DE" w:eastAsia="de-DE" w:bidi="de-DE"/>
              </w:rPr>
            </w:pPr>
            <w:r>
              <w:rPr>
                <w:lang w:val="de-DE" w:eastAsia="de-DE" w:bidi="de-DE"/>
              </w:rPr>
              <w:t>49 mg/51 mg</w:t>
            </w:r>
          </w:p>
        </w:tc>
        <w:tc>
          <w:tcPr>
            <w:tcW w:w="1805" w:type="dxa"/>
            <w:tcBorders>
              <w:top w:val="single" w:sz="4" w:space="0" w:color="000000"/>
              <w:left w:val="single" w:sz="4" w:space="0" w:color="000000"/>
              <w:bottom w:val="single" w:sz="4" w:space="0" w:color="000000"/>
              <w:right w:val="single" w:sz="4" w:space="0" w:color="000000"/>
            </w:tcBorders>
            <w:vAlign w:val="center"/>
            <w:hideMark/>
          </w:tcPr>
          <w:p w14:paraId="787E3F53" w14:textId="77777777" w:rsidR="005F67E0" w:rsidRDefault="005F67E0">
            <w:pPr>
              <w:widowControl w:val="0"/>
              <w:autoSpaceDE w:val="0"/>
              <w:autoSpaceDN w:val="0"/>
              <w:spacing w:before="123"/>
              <w:ind w:left="109"/>
              <w:rPr>
                <w:lang w:val="de-DE" w:eastAsia="de-DE" w:bidi="de-DE"/>
              </w:rPr>
            </w:pPr>
            <w:r>
              <w:rPr>
                <w:lang w:val="de-DE" w:eastAsia="de-DE" w:bidi="de-DE"/>
              </w:rPr>
              <w:t>72 mg/78 mg</w:t>
            </w:r>
          </w:p>
        </w:tc>
        <w:tc>
          <w:tcPr>
            <w:tcW w:w="1372" w:type="dxa"/>
            <w:tcBorders>
              <w:top w:val="single" w:sz="4" w:space="0" w:color="000000"/>
              <w:left w:val="single" w:sz="4" w:space="0" w:color="000000"/>
              <w:bottom w:val="single" w:sz="4" w:space="0" w:color="000000"/>
              <w:right w:val="single" w:sz="4" w:space="0" w:color="000000"/>
            </w:tcBorders>
            <w:vAlign w:val="center"/>
            <w:hideMark/>
          </w:tcPr>
          <w:p w14:paraId="1E50512F" w14:textId="77777777" w:rsidR="005F67E0" w:rsidRDefault="005F67E0">
            <w:pPr>
              <w:widowControl w:val="0"/>
              <w:autoSpaceDE w:val="0"/>
              <w:autoSpaceDN w:val="0"/>
              <w:spacing w:before="123"/>
              <w:ind w:left="112"/>
              <w:rPr>
                <w:lang w:val="de-DE" w:eastAsia="de-DE" w:bidi="de-DE"/>
              </w:rPr>
            </w:pPr>
            <w:r>
              <w:rPr>
                <w:lang w:val="de-DE" w:eastAsia="de-DE" w:bidi="de-DE"/>
              </w:rPr>
              <w:t>97 mg/103 mg</w:t>
            </w:r>
          </w:p>
        </w:tc>
      </w:tr>
    </w:tbl>
    <w:p w14:paraId="68371DA4" w14:textId="77777777" w:rsidR="005F67E0" w:rsidRPr="005F67E0" w:rsidRDefault="005F67E0" w:rsidP="005F67E0">
      <w:pPr>
        <w:tabs>
          <w:tab w:val="left" w:pos="851"/>
        </w:tabs>
        <w:ind w:left="851"/>
        <w:rPr>
          <w:sz w:val="20"/>
          <w:lang w:val="en-US"/>
        </w:rPr>
      </w:pPr>
      <w:r w:rsidRPr="005F67E0">
        <w:rPr>
          <w:sz w:val="20"/>
          <w:lang w:val="en-US"/>
        </w:rPr>
        <w:t>* Half the starting dose is recommended in patients who have not been taking an ACE inhibitor or an ARB or have been taking low doses of these medicinal products, patients who have renal impairment (estimated glomerular filtration rate [eGFR] &lt;60 ml/min/1.73 m</w:t>
      </w:r>
      <w:r w:rsidRPr="005F67E0">
        <w:rPr>
          <w:sz w:val="20"/>
          <w:vertAlign w:val="superscript"/>
          <w:lang w:val="en-US"/>
        </w:rPr>
        <w:t>2</w:t>
      </w:r>
      <w:r w:rsidRPr="005F67E0">
        <w:rPr>
          <w:sz w:val="20"/>
          <w:lang w:val="en-US"/>
        </w:rPr>
        <w:t>) and patients who have moderate hepatic impairment (see special populations).</w:t>
      </w:r>
    </w:p>
    <w:p w14:paraId="25790C99" w14:textId="77777777" w:rsidR="005F67E0" w:rsidRPr="005F67E0" w:rsidRDefault="005F67E0" w:rsidP="005F67E0">
      <w:pPr>
        <w:tabs>
          <w:tab w:val="left" w:pos="851"/>
        </w:tabs>
        <w:ind w:left="851"/>
        <w:rPr>
          <w:sz w:val="20"/>
          <w:lang w:val="en-US"/>
        </w:rPr>
      </w:pPr>
      <w:r w:rsidRPr="005F67E0">
        <w:rPr>
          <w:sz w:val="20"/>
          <w:lang w:val="en-US"/>
        </w:rPr>
        <w:t>#0.8 mg/kg, 1.6 mg/kg, 2.3 mg/kg and 3.1 mg/kg refer to the combined amount of sacubitril and valsartan and are to be given using another pharmaceutical form, available in the market under a different trade name.</w:t>
      </w:r>
    </w:p>
    <w:p w14:paraId="2FE51244" w14:textId="77777777" w:rsidR="005F67E0" w:rsidRPr="005F67E0" w:rsidRDefault="005F67E0" w:rsidP="005F67E0">
      <w:pPr>
        <w:tabs>
          <w:tab w:val="left" w:pos="851"/>
        </w:tabs>
        <w:ind w:left="851"/>
        <w:rPr>
          <w:sz w:val="24"/>
          <w:szCs w:val="24"/>
          <w:lang w:val="en-US"/>
        </w:rPr>
      </w:pPr>
    </w:p>
    <w:p w14:paraId="01FA7587" w14:textId="77777777" w:rsidR="005F67E0" w:rsidRPr="005F67E0" w:rsidRDefault="005F67E0" w:rsidP="005F67E0">
      <w:pPr>
        <w:tabs>
          <w:tab w:val="left" w:pos="851"/>
        </w:tabs>
        <w:ind w:left="851"/>
        <w:rPr>
          <w:sz w:val="24"/>
          <w:szCs w:val="24"/>
          <w:lang w:val="en-US"/>
        </w:rPr>
      </w:pPr>
      <w:r w:rsidRPr="005F67E0">
        <w:rPr>
          <w:sz w:val="24"/>
          <w:szCs w:val="24"/>
          <w:lang w:val="en-US"/>
        </w:rPr>
        <w:t>In patients not currently taking an ACE inhibitor or an ARB or taking low doses of these medicinal products, half of the starting dose is recommended. For paediatric patients weighing 40 kg to less than 50 kg, a starting dose of 0.8 mg/kg twice daily (given as another pharmaceutical form, available in the market under a different trade name) is recommended. After initiation, the dose should be increased to the standard starting dose following the recommended dose titration in Table 1 and adjusted every 3-4 weeks.</w:t>
      </w:r>
    </w:p>
    <w:p w14:paraId="007B5FB7" w14:textId="77777777" w:rsidR="005F67E0" w:rsidRPr="005F67E0" w:rsidRDefault="005F67E0" w:rsidP="005F67E0">
      <w:pPr>
        <w:tabs>
          <w:tab w:val="left" w:pos="851"/>
        </w:tabs>
        <w:ind w:left="851"/>
        <w:rPr>
          <w:sz w:val="24"/>
          <w:szCs w:val="24"/>
          <w:lang w:val="en-US"/>
        </w:rPr>
      </w:pPr>
    </w:p>
    <w:p w14:paraId="18138E48" w14:textId="77777777" w:rsidR="005F67E0" w:rsidRPr="005F67E0" w:rsidRDefault="005F67E0" w:rsidP="005F67E0">
      <w:pPr>
        <w:tabs>
          <w:tab w:val="left" w:pos="851"/>
        </w:tabs>
        <w:ind w:left="851"/>
        <w:rPr>
          <w:sz w:val="24"/>
          <w:szCs w:val="24"/>
          <w:lang w:val="en-US"/>
        </w:rPr>
      </w:pPr>
      <w:r w:rsidRPr="005F67E0">
        <w:rPr>
          <w:sz w:val="24"/>
          <w:szCs w:val="24"/>
          <w:lang w:val="en-US"/>
        </w:rPr>
        <w:t>For example, a paediatric patient weighing 25 kg who has not previously taken an ACE inhibitor should start with half the standard starting dose, which corresponds to 20 mg (25 kg × 0.8 mg/kg) twice daily, given as another pharmaceutical form, available in the market under a different trade name. After rounding to the closest number of full capsules, this corresponds to 2 capsules of 6 mg/6 mg sacubitril/valsartan twice daily.</w:t>
      </w:r>
    </w:p>
    <w:p w14:paraId="41461D5E" w14:textId="77777777" w:rsidR="005F67E0" w:rsidRPr="005F67E0" w:rsidRDefault="005F67E0" w:rsidP="005F67E0">
      <w:pPr>
        <w:tabs>
          <w:tab w:val="left" w:pos="851"/>
        </w:tabs>
        <w:ind w:left="851"/>
        <w:rPr>
          <w:sz w:val="24"/>
          <w:szCs w:val="24"/>
          <w:lang w:val="en-US"/>
        </w:rPr>
      </w:pPr>
    </w:p>
    <w:p w14:paraId="39E17539" w14:textId="77777777" w:rsidR="005F67E0" w:rsidRPr="005F67E0" w:rsidRDefault="005F67E0" w:rsidP="005F67E0">
      <w:pPr>
        <w:tabs>
          <w:tab w:val="left" w:pos="851"/>
        </w:tabs>
        <w:ind w:left="851"/>
        <w:rPr>
          <w:sz w:val="24"/>
          <w:szCs w:val="24"/>
          <w:lang w:val="en-US"/>
        </w:rPr>
      </w:pPr>
      <w:r w:rsidRPr="005F67E0">
        <w:rPr>
          <w:sz w:val="24"/>
          <w:szCs w:val="24"/>
          <w:lang w:val="en-US"/>
        </w:rPr>
        <w:t>Treatment should not be initiated in patients with serum potassium level &gt;5.3 mmol/l or with SBP &lt;5th percentile for the age of the patient. If patients experience tolerability issues (SBP &lt;5th percentile for the age of the patient, symptomatic hypotension, hyperkalaemia, renal dysfunction), adjustment of concomitant medicinal products, temporary down-titration or discontinuation of Bitrisal is recommended (see section 4.4).</w:t>
      </w:r>
    </w:p>
    <w:p w14:paraId="195AE21A" w14:textId="18204A5E" w:rsidR="005F67E0" w:rsidRDefault="005F67E0">
      <w:pPr>
        <w:rPr>
          <w:sz w:val="24"/>
          <w:szCs w:val="24"/>
          <w:lang w:val="en-US"/>
        </w:rPr>
      </w:pPr>
      <w:r>
        <w:rPr>
          <w:sz w:val="24"/>
          <w:szCs w:val="24"/>
          <w:lang w:val="en-US"/>
        </w:rPr>
        <w:br w:type="page"/>
      </w:r>
    </w:p>
    <w:p w14:paraId="29D1B1EB" w14:textId="77777777" w:rsidR="005F67E0" w:rsidRPr="005F67E0" w:rsidRDefault="005F67E0" w:rsidP="005F67E0">
      <w:pPr>
        <w:tabs>
          <w:tab w:val="left" w:pos="851"/>
        </w:tabs>
        <w:ind w:left="851"/>
        <w:rPr>
          <w:sz w:val="24"/>
          <w:szCs w:val="24"/>
          <w:lang w:val="en-US"/>
        </w:rPr>
      </w:pPr>
    </w:p>
    <w:p w14:paraId="4EA0C37B" w14:textId="77777777" w:rsidR="005F67E0" w:rsidRPr="005F67E0" w:rsidRDefault="005F67E0" w:rsidP="005F67E0">
      <w:pPr>
        <w:tabs>
          <w:tab w:val="left" w:pos="851"/>
        </w:tabs>
        <w:ind w:left="851"/>
        <w:rPr>
          <w:i/>
          <w:iCs/>
          <w:sz w:val="24"/>
          <w:szCs w:val="24"/>
          <w:u w:val="single"/>
          <w:lang w:val="en-US"/>
        </w:rPr>
      </w:pPr>
      <w:r w:rsidRPr="005F67E0">
        <w:rPr>
          <w:i/>
          <w:iCs/>
          <w:sz w:val="24"/>
          <w:szCs w:val="24"/>
          <w:u w:val="single"/>
          <w:lang w:val="en-US"/>
        </w:rPr>
        <w:t>Special populations</w:t>
      </w:r>
    </w:p>
    <w:p w14:paraId="56230269" w14:textId="77777777" w:rsidR="005F67E0" w:rsidRDefault="005F67E0" w:rsidP="005F67E0">
      <w:pPr>
        <w:tabs>
          <w:tab w:val="left" w:pos="851"/>
        </w:tabs>
        <w:ind w:left="851"/>
        <w:rPr>
          <w:i/>
          <w:iCs/>
          <w:sz w:val="24"/>
          <w:szCs w:val="24"/>
          <w:lang w:val="en-US"/>
        </w:rPr>
      </w:pPr>
    </w:p>
    <w:p w14:paraId="08781CD4" w14:textId="571EDD77" w:rsidR="005F67E0" w:rsidRPr="005F67E0" w:rsidRDefault="005F67E0" w:rsidP="005F67E0">
      <w:pPr>
        <w:tabs>
          <w:tab w:val="left" w:pos="851"/>
        </w:tabs>
        <w:ind w:left="851"/>
        <w:rPr>
          <w:i/>
          <w:iCs/>
          <w:sz w:val="24"/>
          <w:szCs w:val="24"/>
          <w:lang w:val="en-US"/>
        </w:rPr>
      </w:pPr>
      <w:r w:rsidRPr="005F67E0">
        <w:rPr>
          <w:i/>
          <w:iCs/>
          <w:sz w:val="24"/>
          <w:szCs w:val="24"/>
          <w:lang w:val="en-US"/>
        </w:rPr>
        <w:t>Elderly</w:t>
      </w:r>
    </w:p>
    <w:p w14:paraId="02F6AE03" w14:textId="77777777" w:rsidR="005F67E0" w:rsidRPr="005F67E0" w:rsidRDefault="005F67E0" w:rsidP="005F67E0">
      <w:pPr>
        <w:tabs>
          <w:tab w:val="left" w:pos="851"/>
        </w:tabs>
        <w:ind w:left="851"/>
        <w:rPr>
          <w:sz w:val="24"/>
          <w:szCs w:val="24"/>
          <w:lang w:val="en-US"/>
        </w:rPr>
      </w:pPr>
      <w:r w:rsidRPr="005F67E0">
        <w:rPr>
          <w:sz w:val="24"/>
          <w:szCs w:val="24"/>
          <w:lang w:val="en-US"/>
        </w:rPr>
        <w:t>The dose should be in line with the renal function of the elderly patient.</w:t>
      </w:r>
    </w:p>
    <w:p w14:paraId="4C7E5705" w14:textId="77777777" w:rsidR="005F67E0" w:rsidRPr="005F67E0" w:rsidRDefault="005F67E0" w:rsidP="005F67E0">
      <w:pPr>
        <w:tabs>
          <w:tab w:val="left" w:pos="851"/>
        </w:tabs>
        <w:ind w:left="851"/>
        <w:rPr>
          <w:sz w:val="24"/>
          <w:szCs w:val="24"/>
          <w:lang w:val="en-US"/>
        </w:rPr>
      </w:pPr>
    </w:p>
    <w:p w14:paraId="25DD41EC" w14:textId="77777777" w:rsidR="005F67E0" w:rsidRPr="005F67E0" w:rsidRDefault="005F67E0" w:rsidP="005F67E0">
      <w:pPr>
        <w:tabs>
          <w:tab w:val="left" w:pos="851"/>
        </w:tabs>
        <w:ind w:left="851"/>
        <w:rPr>
          <w:i/>
          <w:iCs/>
          <w:sz w:val="24"/>
          <w:szCs w:val="24"/>
          <w:lang w:val="en-US"/>
        </w:rPr>
      </w:pPr>
      <w:r w:rsidRPr="005F67E0">
        <w:rPr>
          <w:i/>
          <w:iCs/>
          <w:sz w:val="24"/>
          <w:szCs w:val="24"/>
          <w:lang w:val="en-US"/>
        </w:rPr>
        <w:t>Renal impairment</w:t>
      </w:r>
    </w:p>
    <w:p w14:paraId="3436C2D1" w14:textId="77777777" w:rsidR="005F67E0" w:rsidRPr="005F67E0" w:rsidRDefault="005F67E0" w:rsidP="005F67E0">
      <w:pPr>
        <w:tabs>
          <w:tab w:val="left" w:pos="851"/>
        </w:tabs>
        <w:ind w:left="851"/>
        <w:rPr>
          <w:sz w:val="24"/>
          <w:szCs w:val="24"/>
          <w:lang w:val="en-US"/>
        </w:rPr>
      </w:pPr>
      <w:r w:rsidRPr="005F67E0">
        <w:rPr>
          <w:sz w:val="24"/>
          <w:szCs w:val="24"/>
          <w:lang w:val="en-US"/>
        </w:rPr>
        <w:t>No dose adjustment is required in patients with mild (eGFR 60-90 ml/min/1.73 m</w:t>
      </w:r>
      <w:r w:rsidRPr="005F67E0">
        <w:rPr>
          <w:sz w:val="24"/>
          <w:szCs w:val="24"/>
          <w:vertAlign w:val="superscript"/>
          <w:lang w:val="en-US"/>
        </w:rPr>
        <w:t>2</w:t>
      </w:r>
      <w:r w:rsidRPr="005F67E0">
        <w:rPr>
          <w:sz w:val="24"/>
          <w:szCs w:val="24"/>
          <w:lang w:val="en-US"/>
        </w:rPr>
        <w:t>) renal impairment.</w:t>
      </w:r>
    </w:p>
    <w:p w14:paraId="33DC9BBA" w14:textId="77777777" w:rsidR="005F67E0" w:rsidRPr="005F67E0" w:rsidRDefault="005F67E0" w:rsidP="005F67E0">
      <w:pPr>
        <w:tabs>
          <w:tab w:val="left" w:pos="851"/>
        </w:tabs>
        <w:ind w:left="851"/>
        <w:rPr>
          <w:sz w:val="24"/>
          <w:szCs w:val="24"/>
          <w:lang w:val="en-US"/>
        </w:rPr>
      </w:pPr>
    </w:p>
    <w:p w14:paraId="314EF335" w14:textId="77777777" w:rsidR="005F67E0" w:rsidRPr="005F67E0" w:rsidRDefault="005F67E0" w:rsidP="005F67E0">
      <w:pPr>
        <w:tabs>
          <w:tab w:val="left" w:pos="851"/>
        </w:tabs>
        <w:ind w:left="851"/>
        <w:rPr>
          <w:sz w:val="24"/>
          <w:szCs w:val="24"/>
          <w:lang w:val="en-US"/>
        </w:rPr>
      </w:pPr>
      <w:r w:rsidRPr="005F67E0">
        <w:rPr>
          <w:sz w:val="24"/>
          <w:szCs w:val="24"/>
          <w:lang w:val="en-US"/>
        </w:rPr>
        <w:t>Half of the starting dose should be considered in patients with moderate renal impairment (eGFR 30-60 ml/min/1.73 m</w:t>
      </w:r>
      <w:r w:rsidRPr="005F67E0">
        <w:rPr>
          <w:sz w:val="24"/>
          <w:szCs w:val="24"/>
          <w:vertAlign w:val="superscript"/>
          <w:lang w:val="en-US"/>
        </w:rPr>
        <w:t>2</w:t>
      </w:r>
      <w:r w:rsidRPr="005F67E0">
        <w:rPr>
          <w:sz w:val="24"/>
          <w:szCs w:val="24"/>
          <w:lang w:val="en-US"/>
        </w:rPr>
        <w:t>). As there is very limited clinical experience in patients with severe renal impairment (eGFR &lt;30 ml/min/1.73 m</w:t>
      </w:r>
      <w:r w:rsidRPr="005F67E0">
        <w:rPr>
          <w:sz w:val="24"/>
          <w:szCs w:val="24"/>
          <w:vertAlign w:val="superscript"/>
          <w:lang w:val="en-US"/>
        </w:rPr>
        <w:t>2</w:t>
      </w:r>
      <w:r w:rsidRPr="005F67E0">
        <w:rPr>
          <w:sz w:val="24"/>
          <w:szCs w:val="24"/>
          <w:lang w:val="en-US"/>
        </w:rPr>
        <w:t>) (see section 5.1), Bitrisal should be used with caution and half of the starting dose is recommended. In paediatric patients weighing 40 kg to less than 50 kg, a starting dose of 0.8 mg/kg twice daily (given as another pharmaceutical form, available in the market under a different trade name) is recommended. After initiation, the dose should be increased following the recommended dose titration every 2-4 weeks.</w:t>
      </w:r>
    </w:p>
    <w:p w14:paraId="3CD4FA6B" w14:textId="77777777" w:rsidR="005F67E0" w:rsidRPr="005F67E0" w:rsidRDefault="005F67E0" w:rsidP="005F67E0">
      <w:pPr>
        <w:tabs>
          <w:tab w:val="left" w:pos="851"/>
        </w:tabs>
        <w:ind w:left="851"/>
        <w:rPr>
          <w:sz w:val="24"/>
          <w:szCs w:val="24"/>
          <w:lang w:val="en-US"/>
        </w:rPr>
      </w:pPr>
    </w:p>
    <w:p w14:paraId="51979D42" w14:textId="77777777" w:rsidR="005F67E0" w:rsidRPr="005F67E0" w:rsidRDefault="005F67E0" w:rsidP="005F67E0">
      <w:pPr>
        <w:tabs>
          <w:tab w:val="left" w:pos="851"/>
        </w:tabs>
        <w:ind w:left="851"/>
        <w:rPr>
          <w:sz w:val="24"/>
          <w:szCs w:val="24"/>
          <w:lang w:val="en-US"/>
        </w:rPr>
      </w:pPr>
      <w:r w:rsidRPr="005F67E0">
        <w:rPr>
          <w:sz w:val="24"/>
          <w:szCs w:val="24"/>
          <w:lang w:val="en-US"/>
        </w:rPr>
        <w:t>There is no experience in patients with end-stage renal disease and use of Bitrisal is not recommended.</w:t>
      </w:r>
    </w:p>
    <w:p w14:paraId="4078C445" w14:textId="77777777" w:rsidR="005F67E0" w:rsidRPr="005F67E0" w:rsidRDefault="005F67E0" w:rsidP="005F67E0">
      <w:pPr>
        <w:tabs>
          <w:tab w:val="left" w:pos="851"/>
        </w:tabs>
        <w:ind w:left="851"/>
        <w:rPr>
          <w:sz w:val="24"/>
          <w:szCs w:val="24"/>
          <w:lang w:val="en-US"/>
        </w:rPr>
      </w:pPr>
    </w:p>
    <w:p w14:paraId="740E55FE" w14:textId="77777777" w:rsidR="005F67E0" w:rsidRPr="005F67E0" w:rsidRDefault="005F67E0" w:rsidP="005F67E0">
      <w:pPr>
        <w:tabs>
          <w:tab w:val="left" w:pos="851"/>
        </w:tabs>
        <w:ind w:left="851"/>
        <w:rPr>
          <w:i/>
          <w:iCs/>
          <w:sz w:val="24"/>
          <w:szCs w:val="24"/>
          <w:lang w:val="en-US"/>
        </w:rPr>
      </w:pPr>
      <w:bookmarkStart w:id="2" w:name="_Hlk132014563"/>
      <w:r w:rsidRPr="005F67E0">
        <w:rPr>
          <w:i/>
          <w:iCs/>
          <w:sz w:val="24"/>
          <w:szCs w:val="24"/>
          <w:lang w:val="en-US"/>
        </w:rPr>
        <w:t>Hepatic impairment</w:t>
      </w:r>
    </w:p>
    <w:bookmarkEnd w:id="2"/>
    <w:p w14:paraId="6505E3B0" w14:textId="77777777" w:rsidR="005F67E0" w:rsidRPr="005F67E0" w:rsidRDefault="005F67E0" w:rsidP="005F67E0">
      <w:pPr>
        <w:tabs>
          <w:tab w:val="left" w:pos="851"/>
        </w:tabs>
        <w:ind w:left="851"/>
        <w:rPr>
          <w:sz w:val="24"/>
          <w:szCs w:val="24"/>
          <w:lang w:val="en-US"/>
        </w:rPr>
      </w:pPr>
      <w:r w:rsidRPr="005F67E0">
        <w:rPr>
          <w:sz w:val="24"/>
          <w:szCs w:val="24"/>
          <w:lang w:val="en-US"/>
        </w:rPr>
        <w:t>No dose adjustment is required when administering Bitrisal to patients with mild hepatic impairment (Child-Pugh A classification).</w:t>
      </w:r>
    </w:p>
    <w:p w14:paraId="2DFCBEDD" w14:textId="77777777" w:rsidR="005F67E0" w:rsidRPr="005F67E0" w:rsidRDefault="005F67E0" w:rsidP="005F67E0">
      <w:pPr>
        <w:tabs>
          <w:tab w:val="left" w:pos="851"/>
        </w:tabs>
        <w:ind w:left="851"/>
        <w:rPr>
          <w:sz w:val="24"/>
          <w:szCs w:val="24"/>
          <w:lang w:val="en-US"/>
        </w:rPr>
      </w:pPr>
    </w:p>
    <w:p w14:paraId="5432FBA7" w14:textId="77777777" w:rsidR="005F67E0" w:rsidRPr="005F67E0" w:rsidRDefault="005F67E0" w:rsidP="005F67E0">
      <w:pPr>
        <w:tabs>
          <w:tab w:val="left" w:pos="851"/>
        </w:tabs>
        <w:ind w:left="851"/>
        <w:rPr>
          <w:sz w:val="24"/>
          <w:szCs w:val="24"/>
          <w:lang w:val="en-US"/>
        </w:rPr>
      </w:pPr>
      <w:r w:rsidRPr="005F67E0">
        <w:rPr>
          <w:sz w:val="24"/>
          <w:szCs w:val="24"/>
          <w:lang w:val="en-US"/>
        </w:rPr>
        <w:t>There is limited clinical experience in patients with moderate hepatic impairment (Child-Pugh B classification) or with aspartate transaminase (AST)/alanine transaminase (ALT) values more than twice the upper limit of the normal range. Bitrisal should be used with caution in these patients and half of the starting dose is recommended (see sections 4.4 and 5.2). In paediatric patients weighing 40 kg to less than 50 kg, a starting dose of 0.8 mg/kg twice daily (given as another pharmaceutical form, available in the market under a different trade name) is recommended. After initiation, the dose should be increased following the recommended dose titration every 2-4 weeks.</w:t>
      </w:r>
    </w:p>
    <w:p w14:paraId="42ED0791" w14:textId="77777777" w:rsidR="005F67E0" w:rsidRPr="005F67E0" w:rsidRDefault="005F67E0" w:rsidP="005F67E0">
      <w:pPr>
        <w:tabs>
          <w:tab w:val="left" w:pos="851"/>
        </w:tabs>
        <w:ind w:left="851"/>
        <w:rPr>
          <w:sz w:val="24"/>
          <w:szCs w:val="24"/>
          <w:lang w:val="en-US"/>
        </w:rPr>
      </w:pPr>
    </w:p>
    <w:p w14:paraId="1A480D9C" w14:textId="77777777" w:rsidR="005F67E0" w:rsidRPr="005F67E0" w:rsidRDefault="005F67E0" w:rsidP="005F67E0">
      <w:pPr>
        <w:tabs>
          <w:tab w:val="left" w:pos="851"/>
        </w:tabs>
        <w:ind w:left="851"/>
        <w:rPr>
          <w:sz w:val="24"/>
          <w:szCs w:val="24"/>
          <w:lang w:val="en-US"/>
        </w:rPr>
      </w:pPr>
      <w:r w:rsidRPr="005F67E0">
        <w:rPr>
          <w:sz w:val="24"/>
          <w:szCs w:val="24"/>
          <w:lang w:val="en-US"/>
        </w:rPr>
        <w:t>Bitrisal is contraindicated in patients with severe hepatic impairment, biliary cirrhosis or cholestasis (Child-Pugh C classification) (see section 4.3).</w:t>
      </w:r>
    </w:p>
    <w:p w14:paraId="593EDB88" w14:textId="77777777" w:rsidR="005F67E0" w:rsidRPr="005F67E0" w:rsidRDefault="005F67E0" w:rsidP="005F67E0">
      <w:pPr>
        <w:tabs>
          <w:tab w:val="left" w:pos="851"/>
        </w:tabs>
        <w:ind w:left="851"/>
        <w:rPr>
          <w:sz w:val="24"/>
          <w:szCs w:val="24"/>
          <w:lang w:val="en-US"/>
        </w:rPr>
      </w:pPr>
    </w:p>
    <w:p w14:paraId="5B78E3A5" w14:textId="77777777" w:rsidR="005F67E0" w:rsidRPr="005F67E0" w:rsidRDefault="005F67E0" w:rsidP="005F67E0">
      <w:pPr>
        <w:tabs>
          <w:tab w:val="left" w:pos="851"/>
        </w:tabs>
        <w:ind w:left="851"/>
        <w:rPr>
          <w:i/>
          <w:iCs/>
          <w:sz w:val="24"/>
          <w:szCs w:val="24"/>
          <w:lang w:val="en-US"/>
        </w:rPr>
      </w:pPr>
      <w:r w:rsidRPr="005F67E0">
        <w:rPr>
          <w:i/>
          <w:iCs/>
          <w:sz w:val="24"/>
          <w:szCs w:val="24"/>
          <w:lang w:val="en-US"/>
        </w:rPr>
        <w:t>Paediatric population</w:t>
      </w:r>
    </w:p>
    <w:p w14:paraId="47C218B8" w14:textId="77777777" w:rsidR="005F67E0" w:rsidRPr="005F67E0" w:rsidRDefault="005F67E0" w:rsidP="005F67E0">
      <w:pPr>
        <w:tabs>
          <w:tab w:val="left" w:pos="851"/>
        </w:tabs>
        <w:ind w:left="851"/>
        <w:rPr>
          <w:sz w:val="24"/>
          <w:szCs w:val="24"/>
          <w:lang w:val="en-US"/>
        </w:rPr>
      </w:pPr>
      <w:r w:rsidRPr="005F67E0">
        <w:rPr>
          <w:sz w:val="24"/>
          <w:szCs w:val="24"/>
          <w:lang w:val="en-US"/>
        </w:rPr>
        <w:t>The safety and efficacy of sacubitril/valsartan in children aged below 1 year have not been established. Currently available data are described in section 5.1 but no recommendation on a posology can be made.</w:t>
      </w:r>
    </w:p>
    <w:p w14:paraId="7C3B1445" w14:textId="77777777" w:rsidR="005F67E0" w:rsidRPr="005F67E0" w:rsidRDefault="005F67E0" w:rsidP="005F67E0">
      <w:pPr>
        <w:tabs>
          <w:tab w:val="left" w:pos="851"/>
        </w:tabs>
        <w:ind w:left="851"/>
        <w:rPr>
          <w:sz w:val="24"/>
          <w:szCs w:val="24"/>
          <w:lang w:val="en-US"/>
        </w:rPr>
      </w:pPr>
    </w:p>
    <w:p w14:paraId="01859B93" w14:textId="77777777" w:rsidR="005F67E0" w:rsidRPr="005F67E0" w:rsidRDefault="005F67E0" w:rsidP="005F67E0">
      <w:pPr>
        <w:tabs>
          <w:tab w:val="left" w:pos="851"/>
        </w:tabs>
        <w:ind w:left="851"/>
        <w:rPr>
          <w:sz w:val="24"/>
          <w:szCs w:val="24"/>
          <w:u w:val="single"/>
          <w:lang w:val="en-US"/>
        </w:rPr>
      </w:pPr>
      <w:r w:rsidRPr="005F67E0">
        <w:rPr>
          <w:sz w:val="24"/>
          <w:szCs w:val="24"/>
          <w:u w:val="single"/>
          <w:lang w:val="en-US"/>
        </w:rPr>
        <w:t>Method of administration</w:t>
      </w:r>
    </w:p>
    <w:p w14:paraId="15F4EE7D" w14:textId="77777777" w:rsidR="005F67E0" w:rsidRPr="005F67E0" w:rsidRDefault="005F67E0" w:rsidP="005F67E0">
      <w:pPr>
        <w:tabs>
          <w:tab w:val="left" w:pos="851"/>
        </w:tabs>
        <w:ind w:left="851"/>
        <w:rPr>
          <w:sz w:val="24"/>
          <w:szCs w:val="24"/>
          <w:lang w:val="en-US"/>
        </w:rPr>
      </w:pPr>
      <w:r w:rsidRPr="005F67E0">
        <w:rPr>
          <w:sz w:val="24"/>
          <w:szCs w:val="24"/>
          <w:lang w:val="en-US"/>
        </w:rPr>
        <w:t>Oral use.</w:t>
      </w:r>
    </w:p>
    <w:p w14:paraId="706DE230" w14:textId="77777777" w:rsidR="005F67E0" w:rsidRPr="005F67E0" w:rsidRDefault="005F67E0" w:rsidP="005F67E0">
      <w:pPr>
        <w:tabs>
          <w:tab w:val="left" w:pos="851"/>
        </w:tabs>
        <w:ind w:left="851"/>
        <w:rPr>
          <w:sz w:val="24"/>
          <w:szCs w:val="24"/>
          <w:lang w:val="en-US"/>
        </w:rPr>
      </w:pPr>
      <w:r w:rsidRPr="005F67E0">
        <w:rPr>
          <w:sz w:val="24"/>
          <w:szCs w:val="24"/>
          <w:lang w:val="en-US"/>
        </w:rPr>
        <w:t>Bitrisal may be administered with or without food (see section 5.2). The tablets must be swallowed with a glass of water. Splitting or crushing of the tablets is not recommended.</w:t>
      </w:r>
    </w:p>
    <w:p w14:paraId="428B2ECB" w14:textId="74B204C7" w:rsidR="00431158" w:rsidRDefault="00431158">
      <w:pPr>
        <w:rPr>
          <w:sz w:val="24"/>
          <w:szCs w:val="24"/>
          <w:lang w:val="en-US"/>
        </w:rPr>
      </w:pPr>
      <w:r>
        <w:rPr>
          <w:sz w:val="24"/>
          <w:szCs w:val="24"/>
          <w:lang w:val="en-US"/>
        </w:rPr>
        <w:br w:type="page"/>
      </w:r>
    </w:p>
    <w:p w14:paraId="6C6E436C" w14:textId="77777777" w:rsidR="005F67E0" w:rsidRPr="005F67E0" w:rsidRDefault="005F67E0" w:rsidP="005F67E0">
      <w:pPr>
        <w:tabs>
          <w:tab w:val="left" w:pos="851"/>
        </w:tabs>
        <w:ind w:left="851"/>
        <w:rPr>
          <w:sz w:val="24"/>
          <w:szCs w:val="24"/>
          <w:lang w:val="en-US"/>
        </w:rPr>
      </w:pPr>
    </w:p>
    <w:p w14:paraId="1789F7D0"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4.3</w:t>
      </w:r>
      <w:r w:rsidRPr="00303008">
        <w:rPr>
          <w:b/>
          <w:sz w:val="24"/>
          <w:szCs w:val="24"/>
          <w:lang w:val="en-GB"/>
        </w:rPr>
        <w:tab/>
        <w:t>Contraindications</w:t>
      </w:r>
    </w:p>
    <w:p w14:paraId="7C1D980F" w14:textId="77777777" w:rsidR="00431158" w:rsidRPr="00431158" w:rsidRDefault="00431158" w:rsidP="00431158">
      <w:pPr>
        <w:numPr>
          <w:ilvl w:val="0"/>
          <w:numId w:val="5"/>
        </w:numPr>
        <w:tabs>
          <w:tab w:val="left" w:pos="851"/>
        </w:tabs>
        <w:ind w:left="1134" w:hanging="283"/>
        <w:rPr>
          <w:sz w:val="24"/>
          <w:szCs w:val="24"/>
          <w:lang w:val="en-US"/>
        </w:rPr>
      </w:pPr>
      <w:r w:rsidRPr="00431158">
        <w:rPr>
          <w:sz w:val="24"/>
          <w:szCs w:val="24"/>
          <w:lang w:val="en-US"/>
        </w:rPr>
        <w:t>Hypersensitivity to the active substances or to any of the excipients listed in section 6.1.</w:t>
      </w:r>
    </w:p>
    <w:p w14:paraId="165F5F74" w14:textId="77777777" w:rsidR="00431158" w:rsidRPr="00431158" w:rsidRDefault="00431158" w:rsidP="00431158">
      <w:pPr>
        <w:numPr>
          <w:ilvl w:val="0"/>
          <w:numId w:val="5"/>
        </w:numPr>
        <w:tabs>
          <w:tab w:val="left" w:pos="851"/>
        </w:tabs>
        <w:ind w:left="1134" w:hanging="283"/>
        <w:rPr>
          <w:sz w:val="24"/>
          <w:szCs w:val="24"/>
          <w:lang w:val="en-US"/>
        </w:rPr>
      </w:pPr>
      <w:r w:rsidRPr="00431158">
        <w:rPr>
          <w:sz w:val="24"/>
          <w:szCs w:val="24"/>
          <w:lang w:val="en-US"/>
        </w:rPr>
        <w:t>Concomitant use with ACE inhibitors (see sections 4.4 and 4.5). Bitrisal must not be administered until 36 hours after discontinuing ACE inhibitor therapy.</w:t>
      </w:r>
    </w:p>
    <w:p w14:paraId="63DD9D1C" w14:textId="77777777" w:rsidR="00431158" w:rsidRPr="00431158" w:rsidRDefault="00431158" w:rsidP="00431158">
      <w:pPr>
        <w:numPr>
          <w:ilvl w:val="0"/>
          <w:numId w:val="5"/>
        </w:numPr>
        <w:tabs>
          <w:tab w:val="left" w:pos="851"/>
        </w:tabs>
        <w:ind w:left="1134" w:hanging="283"/>
        <w:rPr>
          <w:sz w:val="24"/>
          <w:szCs w:val="24"/>
          <w:lang w:val="en-US"/>
        </w:rPr>
      </w:pPr>
      <w:r w:rsidRPr="00431158">
        <w:rPr>
          <w:sz w:val="24"/>
          <w:szCs w:val="24"/>
          <w:lang w:val="en-US"/>
        </w:rPr>
        <w:t>Known history of angioedema related to previous ACE inhibitor or ARB therapy (see section 4.4).</w:t>
      </w:r>
    </w:p>
    <w:p w14:paraId="47E12F50" w14:textId="77777777" w:rsidR="00431158" w:rsidRPr="00431158" w:rsidRDefault="00431158" w:rsidP="00431158">
      <w:pPr>
        <w:numPr>
          <w:ilvl w:val="0"/>
          <w:numId w:val="5"/>
        </w:numPr>
        <w:tabs>
          <w:tab w:val="left" w:pos="851"/>
        </w:tabs>
        <w:ind w:left="1134" w:hanging="283"/>
        <w:rPr>
          <w:sz w:val="24"/>
          <w:szCs w:val="24"/>
          <w:lang w:val="en-US"/>
        </w:rPr>
      </w:pPr>
      <w:r w:rsidRPr="00431158">
        <w:rPr>
          <w:sz w:val="24"/>
          <w:szCs w:val="24"/>
          <w:lang w:val="en-US"/>
        </w:rPr>
        <w:t>Hereditary or idiopathic angioedema (see section 4.4).</w:t>
      </w:r>
    </w:p>
    <w:p w14:paraId="24E0D85F" w14:textId="77777777" w:rsidR="00431158" w:rsidRPr="00431158" w:rsidRDefault="00431158" w:rsidP="00431158">
      <w:pPr>
        <w:numPr>
          <w:ilvl w:val="0"/>
          <w:numId w:val="5"/>
        </w:numPr>
        <w:tabs>
          <w:tab w:val="left" w:pos="851"/>
        </w:tabs>
        <w:ind w:left="1134" w:hanging="283"/>
        <w:rPr>
          <w:sz w:val="24"/>
          <w:szCs w:val="24"/>
          <w:lang w:val="en-US"/>
        </w:rPr>
      </w:pPr>
      <w:r w:rsidRPr="00431158">
        <w:rPr>
          <w:sz w:val="24"/>
          <w:szCs w:val="24"/>
          <w:lang w:val="en-US"/>
        </w:rPr>
        <w:t>Concomitant use with aliskiren-containing medicinal products in patients with diabetes mellitus or in patients with renal impairment (eGFR &lt;60 ml/min/1.73 m</w:t>
      </w:r>
      <w:r w:rsidRPr="00431158">
        <w:rPr>
          <w:sz w:val="24"/>
          <w:szCs w:val="24"/>
          <w:vertAlign w:val="superscript"/>
          <w:lang w:val="en-US"/>
        </w:rPr>
        <w:t>2</w:t>
      </w:r>
      <w:r w:rsidRPr="00431158">
        <w:rPr>
          <w:sz w:val="24"/>
          <w:szCs w:val="24"/>
          <w:lang w:val="en-US"/>
        </w:rPr>
        <w:t>) (see sections 4.4 and 4.5).</w:t>
      </w:r>
    </w:p>
    <w:p w14:paraId="60D972DA" w14:textId="77777777" w:rsidR="00431158" w:rsidRPr="00431158" w:rsidRDefault="00431158" w:rsidP="00431158">
      <w:pPr>
        <w:numPr>
          <w:ilvl w:val="0"/>
          <w:numId w:val="5"/>
        </w:numPr>
        <w:tabs>
          <w:tab w:val="left" w:pos="851"/>
        </w:tabs>
        <w:ind w:left="1134" w:hanging="283"/>
        <w:rPr>
          <w:sz w:val="24"/>
          <w:szCs w:val="24"/>
          <w:lang w:val="en-US"/>
        </w:rPr>
      </w:pPr>
      <w:r w:rsidRPr="00431158">
        <w:rPr>
          <w:sz w:val="24"/>
          <w:szCs w:val="24"/>
          <w:lang w:val="en-US"/>
        </w:rPr>
        <w:t>Severe hepatic impairment, biliary cirrhosis and cholestasis (see section 4.2).</w:t>
      </w:r>
    </w:p>
    <w:p w14:paraId="1117F3D5" w14:textId="77777777" w:rsidR="00431158" w:rsidRPr="00431158" w:rsidRDefault="00431158" w:rsidP="00431158">
      <w:pPr>
        <w:numPr>
          <w:ilvl w:val="0"/>
          <w:numId w:val="5"/>
        </w:numPr>
        <w:tabs>
          <w:tab w:val="left" w:pos="851"/>
        </w:tabs>
        <w:ind w:left="1134" w:hanging="283"/>
        <w:rPr>
          <w:sz w:val="24"/>
          <w:szCs w:val="24"/>
          <w:lang w:val="en-US"/>
        </w:rPr>
      </w:pPr>
      <w:r w:rsidRPr="00431158">
        <w:rPr>
          <w:sz w:val="24"/>
          <w:szCs w:val="24"/>
          <w:lang w:val="en-US"/>
        </w:rPr>
        <w:t>Second and third trimesters of pregnancy (see section 4.6).</w:t>
      </w:r>
    </w:p>
    <w:p w14:paraId="1D9AF9BD" w14:textId="77777777" w:rsidR="007C5D2A" w:rsidRPr="00431158" w:rsidRDefault="007C5D2A" w:rsidP="003E0341">
      <w:pPr>
        <w:tabs>
          <w:tab w:val="left" w:pos="851"/>
        </w:tabs>
        <w:ind w:left="851"/>
        <w:rPr>
          <w:sz w:val="24"/>
          <w:szCs w:val="24"/>
          <w:lang w:val="en-US"/>
        </w:rPr>
      </w:pPr>
    </w:p>
    <w:p w14:paraId="5D6B7CA2" w14:textId="77777777" w:rsidR="007C5D2A" w:rsidRPr="00303008" w:rsidRDefault="007C5D2A" w:rsidP="007C5D2A">
      <w:pPr>
        <w:tabs>
          <w:tab w:val="left" w:pos="851"/>
        </w:tabs>
        <w:rPr>
          <w:b/>
          <w:sz w:val="24"/>
          <w:szCs w:val="24"/>
          <w:lang w:val="en-GB"/>
        </w:rPr>
      </w:pPr>
      <w:r w:rsidRPr="00303008">
        <w:rPr>
          <w:b/>
          <w:sz w:val="24"/>
          <w:szCs w:val="24"/>
          <w:lang w:val="en-GB"/>
        </w:rPr>
        <w:t>4.4</w:t>
      </w:r>
      <w:r w:rsidRPr="00303008">
        <w:rPr>
          <w:b/>
          <w:sz w:val="24"/>
          <w:szCs w:val="24"/>
          <w:lang w:val="en-GB"/>
        </w:rPr>
        <w:tab/>
        <w:t>Special warnings and precautions for use</w:t>
      </w:r>
    </w:p>
    <w:p w14:paraId="05A7FC11" w14:textId="77777777" w:rsidR="00431158" w:rsidRDefault="00431158" w:rsidP="00431158">
      <w:pPr>
        <w:tabs>
          <w:tab w:val="left" w:pos="851"/>
        </w:tabs>
        <w:ind w:left="851"/>
        <w:rPr>
          <w:sz w:val="24"/>
          <w:szCs w:val="24"/>
          <w:u w:val="single"/>
          <w:lang w:val="en-US"/>
        </w:rPr>
      </w:pPr>
    </w:p>
    <w:p w14:paraId="705146ED" w14:textId="2AF7F613" w:rsidR="00431158" w:rsidRPr="00431158" w:rsidRDefault="00431158" w:rsidP="00431158">
      <w:pPr>
        <w:tabs>
          <w:tab w:val="left" w:pos="851"/>
        </w:tabs>
        <w:ind w:left="851"/>
        <w:rPr>
          <w:sz w:val="24"/>
          <w:szCs w:val="24"/>
          <w:u w:val="single"/>
          <w:lang w:val="en-US"/>
        </w:rPr>
      </w:pPr>
      <w:r w:rsidRPr="00431158">
        <w:rPr>
          <w:sz w:val="24"/>
          <w:szCs w:val="24"/>
          <w:u w:val="single"/>
          <w:lang w:val="en-US"/>
        </w:rPr>
        <w:t>Dual blockade of the renin-angiotensin-aldosterone system (RAAS)</w:t>
      </w:r>
    </w:p>
    <w:p w14:paraId="791ADEBE" w14:textId="77777777" w:rsidR="00431158" w:rsidRPr="00431158" w:rsidRDefault="00431158" w:rsidP="00431158">
      <w:pPr>
        <w:tabs>
          <w:tab w:val="left" w:pos="851"/>
        </w:tabs>
        <w:ind w:left="851"/>
        <w:rPr>
          <w:sz w:val="24"/>
          <w:szCs w:val="24"/>
          <w:lang w:val="en-US"/>
        </w:rPr>
      </w:pPr>
    </w:p>
    <w:p w14:paraId="16E0078D" w14:textId="77777777" w:rsidR="00431158" w:rsidRPr="00431158" w:rsidRDefault="00431158" w:rsidP="00431158">
      <w:pPr>
        <w:numPr>
          <w:ilvl w:val="0"/>
          <w:numId w:val="5"/>
        </w:numPr>
        <w:tabs>
          <w:tab w:val="left" w:pos="851"/>
        </w:tabs>
        <w:ind w:left="1134" w:hanging="283"/>
        <w:rPr>
          <w:sz w:val="24"/>
          <w:szCs w:val="24"/>
          <w:lang w:val="en-US"/>
        </w:rPr>
      </w:pPr>
      <w:r w:rsidRPr="00431158">
        <w:rPr>
          <w:sz w:val="24"/>
          <w:szCs w:val="24"/>
          <w:lang w:val="en-US"/>
        </w:rPr>
        <w:t>The combination of sacubitril/valsartan with an ACE inhibitor is contraindicated due to the increased risk of angioedema (see section 4.3). Sacubitril/valsartan must not be initiated until 36 hours after taking the last dose of ACE inhibitor therapy. If treatment with sacubitril/valsartan is stopped, ACE inhibitor therapy must not be initiated until 36 hours after the last dose of sacubitril/valsartan (see sections 4.2, 4.3 and 4.5).</w:t>
      </w:r>
    </w:p>
    <w:p w14:paraId="2B8E6EB0" w14:textId="77777777" w:rsidR="00431158" w:rsidRPr="00431158" w:rsidRDefault="00431158" w:rsidP="00431158">
      <w:pPr>
        <w:numPr>
          <w:ilvl w:val="0"/>
          <w:numId w:val="5"/>
        </w:numPr>
        <w:tabs>
          <w:tab w:val="left" w:pos="851"/>
        </w:tabs>
        <w:ind w:left="1134" w:hanging="283"/>
        <w:rPr>
          <w:sz w:val="24"/>
          <w:szCs w:val="24"/>
          <w:lang w:val="en-US"/>
        </w:rPr>
      </w:pPr>
      <w:r w:rsidRPr="00431158">
        <w:rPr>
          <w:sz w:val="24"/>
          <w:szCs w:val="24"/>
          <w:lang w:val="en-US"/>
        </w:rPr>
        <w:t>The combination of sacubitril/valsartan with direct renin inhibitors such as aliskiren is not recommended (see section 4.5). The combination of sacubitril/valsartan with aliskiren- containing medicinal products is contraindicated in patients with diabetes mellitus or in patients with renal impairment (eGFR &lt;60 ml/min/1.73 m</w:t>
      </w:r>
      <w:r w:rsidRPr="00431158">
        <w:rPr>
          <w:sz w:val="24"/>
          <w:szCs w:val="24"/>
          <w:vertAlign w:val="superscript"/>
          <w:lang w:val="en-US"/>
        </w:rPr>
        <w:t>2</w:t>
      </w:r>
      <w:r w:rsidRPr="00431158">
        <w:rPr>
          <w:sz w:val="24"/>
          <w:szCs w:val="24"/>
          <w:lang w:val="en-US"/>
        </w:rPr>
        <w:t>) (see sections 4.3 and 4.5).</w:t>
      </w:r>
    </w:p>
    <w:p w14:paraId="12390DD6" w14:textId="77777777" w:rsidR="00431158" w:rsidRPr="00431158" w:rsidRDefault="00431158" w:rsidP="00431158">
      <w:pPr>
        <w:numPr>
          <w:ilvl w:val="0"/>
          <w:numId w:val="5"/>
        </w:numPr>
        <w:tabs>
          <w:tab w:val="left" w:pos="851"/>
        </w:tabs>
        <w:ind w:left="1134" w:hanging="283"/>
        <w:rPr>
          <w:sz w:val="24"/>
          <w:szCs w:val="24"/>
          <w:lang w:val="en-US"/>
        </w:rPr>
      </w:pPr>
      <w:r w:rsidRPr="00431158">
        <w:rPr>
          <w:sz w:val="24"/>
          <w:szCs w:val="24"/>
          <w:lang w:val="en-US"/>
        </w:rPr>
        <w:t>Bitrisal contains valsartan, and therefore should not be co-administered with another ARB containing medicinal product (see sections 4.2 and 4.5).</w:t>
      </w:r>
    </w:p>
    <w:p w14:paraId="31D4918D" w14:textId="77777777" w:rsidR="00431158" w:rsidRPr="00431158" w:rsidRDefault="00431158" w:rsidP="00431158">
      <w:pPr>
        <w:tabs>
          <w:tab w:val="left" w:pos="851"/>
        </w:tabs>
        <w:ind w:left="851"/>
        <w:rPr>
          <w:sz w:val="24"/>
          <w:szCs w:val="24"/>
          <w:lang w:val="en-US"/>
        </w:rPr>
      </w:pPr>
    </w:p>
    <w:p w14:paraId="42E09AA6" w14:textId="77777777" w:rsidR="00431158" w:rsidRPr="00431158" w:rsidRDefault="00431158" w:rsidP="00431158">
      <w:pPr>
        <w:tabs>
          <w:tab w:val="left" w:pos="851"/>
        </w:tabs>
        <w:ind w:left="851"/>
        <w:rPr>
          <w:sz w:val="24"/>
          <w:szCs w:val="24"/>
          <w:u w:val="single"/>
          <w:lang w:val="en-US"/>
        </w:rPr>
      </w:pPr>
      <w:r w:rsidRPr="00431158">
        <w:rPr>
          <w:sz w:val="24"/>
          <w:szCs w:val="24"/>
          <w:u w:val="single"/>
          <w:lang w:val="en-US"/>
        </w:rPr>
        <w:t>Hypotension</w:t>
      </w:r>
    </w:p>
    <w:p w14:paraId="4D004702" w14:textId="77777777" w:rsidR="00431158" w:rsidRPr="00431158" w:rsidRDefault="00431158" w:rsidP="00431158">
      <w:pPr>
        <w:tabs>
          <w:tab w:val="left" w:pos="851"/>
        </w:tabs>
        <w:ind w:left="851"/>
        <w:rPr>
          <w:sz w:val="24"/>
          <w:szCs w:val="24"/>
          <w:lang w:val="en-US"/>
        </w:rPr>
      </w:pPr>
      <w:r w:rsidRPr="00431158">
        <w:rPr>
          <w:sz w:val="24"/>
          <w:szCs w:val="24"/>
          <w:lang w:val="en-US"/>
        </w:rPr>
        <w:t>Treatment should not be initiated unless SBP is ≥100 mmHg for adult patients or ≥5th percentile SBP for the age of the paediatric patient. Patients with SBP below these values were not studied (see section 5.1). Cases of symptomatic hypotension have been reported in adult patients treated with sacubitril/valsartan during clinical studies (see section 4.8), especially in patients ≥65 years old, patients with renal disease and patients with low SBP (&lt;112 mmHg). When initiating therapy or during dose titration with sacubitril/valsartan, blood pressure should be monitored routinely. If hypotension occurs, temporary down-titration or discontinuation of sacubitril/valsartan is recommended (see section 4.2). Dose adjustment of diuretics, concomitant antihypertensives and treatment of other causes of hypotension (e.g. hypovolaemia) should be considered. Symptomatic hypotension is more likely to occur if the patient has been volume-depleted, e.g. by diuretic therapy, dietary salt restriction, diarrhoea or vomiting. Sodium and/or volume depletion should be corrected before starting treatment with sacubitril/valsartan, however, such corrective action must be carefully weighed against the risk of volume overload.</w:t>
      </w:r>
    </w:p>
    <w:p w14:paraId="1EB0EF9F" w14:textId="77777777" w:rsidR="00431158" w:rsidRPr="00431158" w:rsidRDefault="00431158" w:rsidP="00431158">
      <w:pPr>
        <w:tabs>
          <w:tab w:val="left" w:pos="851"/>
        </w:tabs>
        <w:ind w:left="851"/>
        <w:rPr>
          <w:sz w:val="24"/>
          <w:szCs w:val="24"/>
          <w:lang w:val="en-US"/>
        </w:rPr>
      </w:pPr>
    </w:p>
    <w:p w14:paraId="04E55CB7" w14:textId="77777777" w:rsidR="00431158" w:rsidRPr="00431158" w:rsidRDefault="00431158" w:rsidP="00431158">
      <w:pPr>
        <w:tabs>
          <w:tab w:val="left" w:pos="851"/>
        </w:tabs>
        <w:ind w:left="851"/>
        <w:rPr>
          <w:sz w:val="24"/>
          <w:szCs w:val="24"/>
          <w:u w:val="single"/>
          <w:lang w:val="en-US"/>
        </w:rPr>
      </w:pPr>
      <w:r w:rsidRPr="00431158">
        <w:rPr>
          <w:sz w:val="24"/>
          <w:szCs w:val="24"/>
          <w:u w:val="single"/>
          <w:lang w:val="en-US"/>
        </w:rPr>
        <w:t>Renal impairment</w:t>
      </w:r>
    </w:p>
    <w:p w14:paraId="3D1E1629" w14:textId="77777777" w:rsidR="00431158" w:rsidRPr="00431158" w:rsidRDefault="00431158" w:rsidP="00431158">
      <w:pPr>
        <w:tabs>
          <w:tab w:val="left" w:pos="851"/>
        </w:tabs>
        <w:ind w:left="851"/>
        <w:rPr>
          <w:sz w:val="24"/>
          <w:szCs w:val="24"/>
          <w:lang w:val="en-US"/>
        </w:rPr>
      </w:pPr>
      <w:r w:rsidRPr="00431158">
        <w:rPr>
          <w:sz w:val="24"/>
          <w:szCs w:val="24"/>
          <w:lang w:val="en-US"/>
        </w:rPr>
        <w:t xml:space="preserve">Evaluation of patients with heart failure should always include assessment of renal function. Patients with mild and moderate renal impairment are more at risk of developing hypotension (see section 4.2). There is very limited clinical experience in patients with </w:t>
      </w:r>
      <w:r w:rsidRPr="00431158">
        <w:rPr>
          <w:sz w:val="24"/>
          <w:szCs w:val="24"/>
          <w:lang w:val="en-US"/>
        </w:rPr>
        <w:lastRenderedPageBreak/>
        <w:t>severe renal impairment (estimated GFR &lt;30 ml/min/1.73m</w:t>
      </w:r>
      <w:r w:rsidRPr="00431158">
        <w:rPr>
          <w:sz w:val="24"/>
          <w:szCs w:val="24"/>
          <w:vertAlign w:val="superscript"/>
          <w:lang w:val="en-US"/>
        </w:rPr>
        <w:t>2</w:t>
      </w:r>
      <w:r w:rsidRPr="00431158">
        <w:rPr>
          <w:sz w:val="24"/>
          <w:szCs w:val="24"/>
          <w:lang w:val="en-US"/>
        </w:rPr>
        <w:t>) and these patients may be at greatest risk of hypotension (see section 4.2). There is no experience in patients with end-stage renal disease and use of sacubitril/valsartan is not recommended.</w:t>
      </w:r>
    </w:p>
    <w:p w14:paraId="4644FDA2" w14:textId="77777777" w:rsidR="00431158" w:rsidRPr="00431158" w:rsidRDefault="00431158" w:rsidP="00431158">
      <w:pPr>
        <w:tabs>
          <w:tab w:val="left" w:pos="851"/>
        </w:tabs>
        <w:ind w:left="851"/>
        <w:rPr>
          <w:sz w:val="24"/>
          <w:szCs w:val="24"/>
          <w:lang w:val="en-US"/>
        </w:rPr>
      </w:pPr>
    </w:p>
    <w:p w14:paraId="5FC3086A" w14:textId="77777777" w:rsidR="00431158" w:rsidRPr="00431158" w:rsidRDefault="00431158" w:rsidP="00431158">
      <w:pPr>
        <w:tabs>
          <w:tab w:val="left" w:pos="851"/>
        </w:tabs>
        <w:ind w:left="851"/>
        <w:rPr>
          <w:sz w:val="24"/>
          <w:szCs w:val="24"/>
          <w:u w:val="single"/>
          <w:lang w:val="en-US"/>
        </w:rPr>
      </w:pPr>
      <w:r w:rsidRPr="00431158">
        <w:rPr>
          <w:sz w:val="24"/>
          <w:szCs w:val="24"/>
          <w:u w:val="single"/>
          <w:lang w:val="en-US"/>
        </w:rPr>
        <w:t>Worsening renal function</w:t>
      </w:r>
    </w:p>
    <w:p w14:paraId="6180CDB4" w14:textId="77777777" w:rsidR="00431158" w:rsidRPr="00431158" w:rsidRDefault="00431158" w:rsidP="00431158">
      <w:pPr>
        <w:tabs>
          <w:tab w:val="left" w:pos="851"/>
        </w:tabs>
        <w:ind w:left="851"/>
        <w:rPr>
          <w:sz w:val="24"/>
          <w:szCs w:val="24"/>
          <w:lang w:val="en-US"/>
        </w:rPr>
      </w:pPr>
      <w:r w:rsidRPr="00431158">
        <w:rPr>
          <w:sz w:val="24"/>
          <w:szCs w:val="24"/>
          <w:lang w:val="en-US"/>
        </w:rPr>
        <w:t>Use of sacubitril/valsartan may be associated with decreased renal function. The risk may be further increased by dehydration or concomitant use of non-steroidal anti-inflammatory agents (NSAIDs) (see section 4.5). Down-titration should be considered in patients who develop a clinically significant decrease in renal function.</w:t>
      </w:r>
    </w:p>
    <w:p w14:paraId="2560609D" w14:textId="77777777" w:rsidR="00431158" w:rsidRPr="00431158" w:rsidRDefault="00431158" w:rsidP="00431158">
      <w:pPr>
        <w:tabs>
          <w:tab w:val="left" w:pos="851"/>
        </w:tabs>
        <w:ind w:left="851"/>
        <w:rPr>
          <w:sz w:val="24"/>
          <w:szCs w:val="24"/>
          <w:lang w:val="en-US"/>
        </w:rPr>
      </w:pPr>
    </w:p>
    <w:p w14:paraId="7D6721ED" w14:textId="77777777" w:rsidR="00431158" w:rsidRPr="00431158" w:rsidRDefault="00431158" w:rsidP="00431158">
      <w:pPr>
        <w:tabs>
          <w:tab w:val="left" w:pos="851"/>
        </w:tabs>
        <w:ind w:left="851"/>
        <w:rPr>
          <w:sz w:val="24"/>
          <w:szCs w:val="24"/>
          <w:u w:val="single"/>
          <w:lang w:val="en-US"/>
        </w:rPr>
      </w:pPr>
      <w:r w:rsidRPr="00431158">
        <w:rPr>
          <w:sz w:val="24"/>
          <w:szCs w:val="24"/>
          <w:u w:val="single"/>
          <w:lang w:val="en-US"/>
        </w:rPr>
        <w:t>Hyperkalaemia</w:t>
      </w:r>
    </w:p>
    <w:p w14:paraId="665307FA" w14:textId="77777777" w:rsidR="00431158" w:rsidRPr="00431158" w:rsidRDefault="00431158" w:rsidP="00431158">
      <w:pPr>
        <w:tabs>
          <w:tab w:val="left" w:pos="851"/>
        </w:tabs>
        <w:ind w:left="851"/>
        <w:rPr>
          <w:sz w:val="24"/>
          <w:szCs w:val="24"/>
          <w:lang w:val="en-US"/>
        </w:rPr>
      </w:pPr>
      <w:r w:rsidRPr="00431158">
        <w:rPr>
          <w:sz w:val="24"/>
          <w:szCs w:val="24"/>
          <w:lang w:val="en-US"/>
        </w:rPr>
        <w:t>Treatment should not be initiated if the serum potassium level is &gt;5.4 mmol/l in adult patients and &gt;5.3 mmol/l in paediatric patients. Use of sacubitril/valsartan may be associated with an increased risk of hyperkalaemia, although hypokalaemia may also occur (see section 4.8). Monitoring of serum potassium is recommended, especially in patients who have risk factors such as renal impairment, diabetes mellitus or hypoaldosteronism or who are on a high potassium diet or on mineralocorticoid antagonists (see section 4.2). If patients experience clinically significant hyperkalaemia adjustment of concomitant medicinal products, or temporary down–titration or discontinuation is recommended. If serum potassium level is &gt;5.4 mmol/l discontinuation should be considered.</w:t>
      </w:r>
    </w:p>
    <w:p w14:paraId="1A65FC2E" w14:textId="77777777" w:rsidR="00431158" w:rsidRPr="00431158" w:rsidRDefault="00431158" w:rsidP="00431158">
      <w:pPr>
        <w:tabs>
          <w:tab w:val="left" w:pos="851"/>
        </w:tabs>
        <w:ind w:left="851"/>
        <w:rPr>
          <w:sz w:val="24"/>
          <w:szCs w:val="24"/>
          <w:lang w:val="en-US"/>
        </w:rPr>
      </w:pPr>
    </w:p>
    <w:p w14:paraId="55883BF0" w14:textId="77777777" w:rsidR="00431158" w:rsidRPr="00431158" w:rsidRDefault="00431158" w:rsidP="00431158">
      <w:pPr>
        <w:tabs>
          <w:tab w:val="left" w:pos="851"/>
        </w:tabs>
        <w:ind w:left="851"/>
        <w:rPr>
          <w:sz w:val="24"/>
          <w:szCs w:val="24"/>
          <w:u w:val="single"/>
          <w:lang w:val="en-US"/>
        </w:rPr>
      </w:pPr>
      <w:r w:rsidRPr="00431158">
        <w:rPr>
          <w:sz w:val="24"/>
          <w:szCs w:val="24"/>
          <w:u w:val="single"/>
          <w:lang w:val="en-US"/>
        </w:rPr>
        <w:t>Angioedema</w:t>
      </w:r>
    </w:p>
    <w:p w14:paraId="7D7185E6" w14:textId="77777777" w:rsidR="00431158" w:rsidRPr="00431158" w:rsidRDefault="00431158" w:rsidP="00431158">
      <w:pPr>
        <w:tabs>
          <w:tab w:val="left" w:pos="851"/>
        </w:tabs>
        <w:ind w:left="851"/>
        <w:rPr>
          <w:sz w:val="24"/>
          <w:szCs w:val="24"/>
          <w:lang w:val="en-US"/>
        </w:rPr>
      </w:pPr>
      <w:r w:rsidRPr="00431158">
        <w:rPr>
          <w:sz w:val="24"/>
          <w:szCs w:val="24"/>
          <w:lang w:val="en-US"/>
        </w:rPr>
        <w:t>Angioedema has been reported in patients treated with sacubitril/valsartan. If angioedema occurs, sacubitril/valsartan should be immediately discontinued and appropriate therapy and monitoring should be provided until complete and sustained resolution of signs and symptoms has occurred. It must not be re-administered. In cases of confirmed angioedema where swelling has been confined to the face and lips, the condition has generally resolved without treatment, although antihistamines have been useful in relieving symptoms.</w:t>
      </w:r>
    </w:p>
    <w:p w14:paraId="072AC0D2" w14:textId="77777777" w:rsidR="00431158" w:rsidRPr="00431158" w:rsidRDefault="00431158" w:rsidP="00431158">
      <w:pPr>
        <w:tabs>
          <w:tab w:val="left" w:pos="851"/>
        </w:tabs>
        <w:ind w:left="851"/>
        <w:rPr>
          <w:sz w:val="24"/>
          <w:szCs w:val="24"/>
          <w:lang w:val="en-US"/>
        </w:rPr>
      </w:pPr>
    </w:p>
    <w:p w14:paraId="0E33D9EF" w14:textId="77777777" w:rsidR="00431158" w:rsidRPr="00431158" w:rsidRDefault="00431158" w:rsidP="00431158">
      <w:pPr>
        <w:tabs>
          <w:tab w:val="left" w:pos="851"/>
        </w:tabs>
        <w:ind w:left="851"/>
        <w:rPr>
          <w:sz w:val="24"/>
          <w:szCs w:val="24"/>
          <w:lang w:val="en-US"/>
        </w:rPr>
      </w:pPr>
      <w:r w:rsidRPr="00431158">
        <w:rPr>
          <w:sz w:val="24"/>
          <w:szCs w:val="24"/>
          <w:lang w:val="en-US"/>
        </w:rPr>
        <w:t>Angioedema associated with laryngeal oedema may be fatal. Where there is involvement of the tongue, glottis or larynx likely to cause airway obstruction, appropriate therapy, e.g. adrenaline solution 1 mg/1 ml (0.3-0.5 ml), and/or measures necessary to ensure a patent airway, should be promptly administered.</w:t>
      </w:r>
    </w:p>
    <w:p w14:paraId="763C6EA7" w14:textId="77777777" w:rsidR="00431158" w:rsidRPr="00431158" w:rsidRDefault="00431158" w:rsidP="00431158">
      <w:pPr>
        <w:tabs>
          <w:tab w:val="left" w:pos="851"/>
        </w:tabs>
        <w:ind w:left="851"/>
        <w:rPr>
          <w:sz w:val="24"/>
          <w:szCs w:val="24"/>
          <w:lang w:val="en-US"/>
        </w:rPr>
      </w:pPr>
    </w:p>
    <w:p w14:paraId="076DEBCA" w14:textId="77777777" w:rsidR="00431158" w:rsidRPr="00431158" w:rsidRDefault="00431158" w:rsidP="00431158">
      <w:pPr>
        <w:tabs>
          <w:tab w:val="left" w:pos="851"/>
        </w:tabs>
        <w:ind w:left="851"/>
        <w:rPr>
          <w:sz w:val="24"/>
          <w:szCs w:val="24"/>
          <w:lang w:val="en-US"/>
        </w:rPr>
      </w:pPr>
      <w:r w:rsidRPr="00431158">
        <w:rPr>
          <w:sz w:val="24"/>
          <w:szCs w:val="24"/>
          <w:lang w:val="en-US"/>
        </w:rPr>
        <w:t>Patients with a prior history of angioedema were not studied. As they may be at higher risk for angioedema, caution is recommended if sacubitril/valsartan is used in these patients.</w:t>
      </w:r>
    </w:p>
    <w:p w14:paraId="1EFB663F" w14:textId="77777777" w:rsidR="00431158" w:rsidRPr="00431158" w:rsidRDefault="00431158" w:rsidP="00431158">
      <w:pPr>
        <w:tabs>
          <w:tab w:val="left" w:pos="851"/>
        </w:tabs>
        <w:ind w:left="851"/>
        <w:rPr>
          <w:sz w:val="24"/>
          <w:szCs w:val="24"/>
          <w:lang w:val="en-US"/>
        </w:rPr>
      </w:pPr>
      <w:r w:rsidRPr="00431158">
        <w:rPr>
          <w:sz w:val="24"/>
          <w:szCs w:val="24"/>
          <w:lang w:val="en-US"/>
        </w:rPr>
        <w:t>Sacubitril/valsartan is contraindicated in patients with a known history of angioedema related to previous ACE inhibitor or ARB therapy or with hereditary or idiopathic angioedema (see section 4.3).</w:t>
      </w:r>
    </w:p>
    <w:p w14:paraId="2D8E4BC4" w14:textId="77777777" w:rsidR="00431158" w:rsidRPr="00431158" w:rsidRDefault="00431158" w:rsidP="00431158">
      <w:pPr>
        <w:tabs>
          <w:tab w:val="left" w:pos="851"/>
        </w:tabs>
        <w:ind w:left="851"/>
        <w:rPr>
          <w:sz w:val="24"/>
          <w:szCs w:val="24"/>
          <w:lang w:val="en-US"/>
        </w:rPr>
      </w:pPr>
    </w:p>
    <w:p w14:paraId="46FD5F9E" w14:textId="77777777" w:rsidR="00431158" w:rsidRPr="00431158" w:rsidRDefault="00431158" w:rsidP="00431158">
      <w:pPr>
        <w:tabs>
          <w:tab w:val="left" w:pos="851"/>
        </w:tabs>
        <w:ind w:left="851"/>
        <w:rPr>
          <w:sz w:val="24"/>
          <w:szCs w:val="24"/>
          <w:lang w:val="en-US"/>
        </w:rPr>
      </w:pPr>
      <w:r w:rsidRPr="00431158">
        <w:rPr>
          <w:sz w:val="24"/>
          <w:szCs w:val="24"/>
          <w:lang w:val="en-US"/>
        </w:rPr>
        <w:t>Black patients have an increased susceptibility to develop angioedema (see section 4.8).</w:t>
      </w:r>
    </w:p>
    <w:p w14:paraId="0149F9D5" w14:textId="77777777" w:rsidR="00431158" w:rsidRPr="00431158" w:rsidRDefault="00431158" w:rsidP="00431158">
      <w:pPr>
        <w:tabs>
          <w:tab w:val="left" w:pos="851"/>
        </w:tabs>
        <w:ind w:left="851"/>
        <w:rPr>
          <w:sz w:val="24"/>
          <w:szCs w:val="24"/>
          <w:lang w:val="en-US"/>
        </w:rPr>
      </w:pPr>
    </w:p>
    <w:p w14:paraId="0E021428" w14:textId="77777777" w:rsidR="00431158" w:rsidRPr="00431158" w:rsidRDefault="00431158" w:rsidP="00431158">
      <w:pPr>
        <w:tabs>
          <w:tab w:val="left" w:pos="851"/>
        </w:tabs>
        <w:ind w:left="851"/>
        <w:rPr>
          <w:sz w:val="24"/>
          <w:szCs w:val="24"/>
          <w:lang w:val="en-US"/>
        </w:rPr>
      </w:pPr>
      <w:r w:rsidRPr="00431158">
        <w:rPr>
          <w:sz w:val="24"/>
          <w:szCs w:val="24"/>
          <w:lang w:val="en-US"/>
        </w:rPr>
        <w:t>Intestinal angioedema has been reported in patients treated with angiotensin II receptor antagonists, including valsartan (see section 4.8). These patients presented with abdominal pain, nausea, vomiting and diarrhoea. Symptoms resolved after discontinuation of angiotensin II receptor antagonists. If intestinal angioedema is diagnosed, sacubitril/valsartan should be discontinued and appropriate monitoring should be initiated until complete resolution of symptoms has occurred.</w:t>
      </w:r>
    </w:p>
    <w:p w14:paraId="00CC09B8" w14:textId="023D6D2C" w:rsidR="00431158" w:rsidRDefault="00431158">
      <w:pPr>
        <w:rPr>
          <w:sz w:val="24"/>
          <w:szCs w:val="24"/>
          <w:lang w:val="en-US"/>
        </w:rPr>
      </w:pPr>
      <w:r>
        <w:rPr>
          <w:sz w:val="24"/>
          <w:szCs w:val="24"/>
          <w:lang w:val="en-US"/>
        </w:rPr>
        <w:br w:type="page"/>
      </w:r>
    </w:p>
    <w:p w14:paraId="0991E391" w14:textId="77777777" w:rsidR="00431158" w:rsidRPr="00431158" w:rsidRDefault="00431158" w:rsidP="00431158">
      <w:pPr>
        <w:tabs>
          <w:tab w:val="left" w:pos="851"/>
        </w:tabs>
        <w:ind w:left="851"/>
        <w:rPr>
          <w:sz w:val="24"/>
          <w:szCs w:val="24"/>
          <w:lang w:val="en-US"/>
        </w:rPr>
      </w:pPr>
    </w:p>
    <w:p w14:paraId="2E9D85E3" w14:textId="77777777" w:rsidR="00431158" w:rsidRPr="00431158" w:rsidRDefault="00431158" w:rsidP="00431158">
      <w:pPr>
        <w:tabs>
          <w:tab w:val="left" w:pos="851"/>
        </w:tabs>
        <w:ind w:left="851"/>
        <w:rPr>
          <w:sz w:val="24"/>
          <w:szCs w:val="24"/>
          <w:u w:val="single"/>
          <w:lang w:val="en-US"/>
        </w:rPr>
      </w:pPr>
      <w:r w:rsidRPr="00431158">
        <w:rPr>
          <w:sz w:val="24"/>
          <w:szCs w:val="24"/>
          <w:u w:val="single"/>
          <w:lang w:val="en-US"/>
        </w:rPr>
        <w:t>Patients with renal artery stenosis</w:t>
      </w:r>
    </w:p>
    <w:p w14:paraId="109F88B0" w14:textId="77777777" w:rsidR="00431158" w:rsidRPr="00431158" w:rsidRDefault="00431158" w:rsidP="00431158">
      <w:pPr>
        <w:tabs>
          <w:tab w:val="left" w:pos="851"/>
        </w:tabs>
        <w:ind w:left="851"/>
        <w:rPr>
          <w:sz w:val="24"/>
          <w:szCs w:val="24"/>
          <w:lang w:val="en-US"/>
        </w:rPr>
      </w:pPr>
      <w:r w:rsidRPr="00431158">
        <w:rPr>
          <w:sz w:val="24"/>
          <w:szCs w:val="24"/>
          <w:lang w:val="en-US"/>
        </w:rPr>
        <w:t>Sacubitril/valsartan may increase blood urea and serum creatinine levels in patients with bilateral or unilateral renal artery stenosis. Caution is required in patients with renal artery stenosis and monitoring of renal function is recommended.</w:t>
      </w:r>
    </w:p>
    <w:p w14:paraId="534B89CC" w14:textId="77777777" w:rsidR="00431158" w:rsidRPr="00431158" w:rsidRDefault="00431158" w:rsidP="00431158">
      <w:pPr>
        <w:tabs>
          <w:tab w:val="left" w:pos="851"/>
        </w:tabs>
        <w:ind w:left="851"/>
        <w:rPr>
          <w:sz w:val="24"/>
          <w:szCs w:val="24"/>
          <w:lang w:val="en-US"/>
        </w:rPr>
      </w:pPr>
    </w:p>
    <w:p w14:paraId="13F24A5A" w14:textId="77777777" w:rsidR="00431158" w:rsidRPr="00431158" w:rsidRDefault="00431158" w:rsidP="00431158">
      <w:pPr>
        <w:tabs>
          <w:tab w:val="left" w:pos="851"/>
        </w:tabs>
        <w:ind w:left="851"/>
        <w:rPr>
          <w:sz w:val="24"/>
          <w:szCs w:val="24"/>
          <w:u w:val="single"/>
          <w:lang w:val="en-US"/>
        </w:rPr>
      </w:pPr>
      <w:r w:rsidRPr="00431158">
        <w:rPr>
          <w:sz w:val="24"/>
          <w:szCs w:val="24"/>
          <w:u w:val="single"/>
          <w:lang w:val="en-US"/>
        </w:rPr>
        <w:t>Patients with New York Heart Association (NYHA) functional classification IV</w:t>
      </w:r>
    </w:p>
    <w:p w14:paraId="18AB9B9B" w14:textId="77777777" w:rsidR="00431158" w:rsidRPr="00431158" w:rsidRDefault="00431158" w:rsidP="00431158">
      <w:pPr>
        <w:tabs>
          <w:tab w:val="left" w:pos="851"/>
        </w:tabs>
        <w:ind w:left="851"/>
        <w:rPr>
          <w:sz w:val="24"/>
          <w:szCs w:val="24"/>
          <w:lang w:val="en-US"/>
        </w:rPr>
      </w:pPr>
      <w:r w:rsidRPr="00431158">
        <w:rPr>
          <w:sz w:val="24"/>
          <w:szCs w:val="24"/>
          <w:lang w:val="en-US"/>
        </w:rPr>
        <w:t>Caution should be exercised when initiating sacubitril/valsartan in patients with NYHA functional classification IV due to limited clinical experience in this population.</w:t>
      </w:r>
    </w:p>
    <w:p w14:paraId="0A7D3D16" w14:textId="77777777" w:rsidR="00431158" w:rsidRPr="00431158" w:rsidRDefault="00431158" w:rsidP="00431158">
      <w:pPr>
        <w:tabs>
          <w:tab w:val="left" w:pos="851"/>
        </w:tabs>
        <w:ind w:left="851"/>
        <w:rPr>
          <w:sz w:val="24"/>
          <w:szCs w:val="24"/>
          <w:lang w:val="en-US"/>
        </w:rPr>
      </w:pPr>
    </w:p>
    <w:p w14:paraId="019D3C2E" w14:textId="77777777" w:rsidR="00431158" w:rsidRPr="00431158" w:rsidRDefault="00431158" w:rsidP="00431158">
      <w:pPr>
        <w:tabs>
          <w:tab w:val="left" w:pos="851"/>
        </w:tabs>
        <w:ind w:left="851"/>
        <w:rPr>
          <w:sz w:val="24"/>
          <w:szCs w:val="24"/>
          <w:u w:val="single"/>
          <w:lang w:val="en-US"/>
        </w:rPr>
      </w:pPr>
      <w:r w:rsidRPr="00431158">
        <w:rPr>
          <w:sz w:val="24"/>
          <w:szCs w:val="24"/>
          <w:u w:val="single"/>
          <w:lang w:val="en-US"/>
        </w:rPr>
        <w:t>B-type natriuretic peptide (BNP)</w:t>
      </w:r>
    </w:p>
    <w:p w14:paraId="74F8B456" w14:textId="77777777" w:rsidR="00431158" w:rsidRPr="00431158" w:rsidRDefault="00431158" w:rsidP="00431158">
      <w:pPr>
        <w:tabs>
          <w:tab w:val="left" w:pos="851"/>
        </w:tabs>
        <w:ind w:left="851"/>
        <w:rPr>
          <w:sz w:val="24"/>
          <w:szCs w:val="24"/>
          <w:lang w:val="en-US"/>
        </w:rPr>
      </w:pPr>
      <w:r w:rsidRPr="00431158">
        <w:rPr>
          <w:sz w:val="24"/>
          <w:szCs w:val="24"/>
          <w:lang w:val="en-US"/>
        </w:rPr>
        <w:t>BNP is not a suitable biomarker of heart failure in patients treated with sacubitril/valsartan because it is a neprilysin substrate (see section 5.1).</w:t>
      </w:r>
    </w:p>
    <w:p w14:paraId="042B36C7" w14:textId="77777777" w:rsidR="00431158" w:rsidRPr="00431158" w:rsidRDefault="00431158" w:rsidP="00431158">
      <w:pPr>
        <w:tabs>
          <w:tab w:val="left" w:pos="851"/>
        </w:tabs>
        <w:ind w:left="851"/>
        <w:rPr>
          <w:sz w:val="24"/>
          <w:szCs w:val="24"/>
          <w:lang w:val="en-US"/>
        </w:rPr>
      </w:pPr>
    </w:p>
    <w:p w14:paraId="08E11EFA" w14:textId="77777777" w:rsidR="00431158" w:rsidRPr="00431158" w:rsidRDefault="00431158" w:rsidP="00431158">
      <w:pPr>
        <w:tabs>
          <w:tab w:val="left" w:pos="851"/>
        </w:tabs>
        <w:ind w:left="851"/>
        <w:rPr>
          <w:sz w:val="24"/>
          <w:szCs w:val="24"/>
          <w:u w:val="single"/>
          <w:lang w:val="en-US"/>
        </w:rPr>
      </w:pPr>
      <w:r w:rsidRPr="00431158">
        <w:rPr>
          <w:sz w:val="24"/>
          <w:szCs w:val="24"/>
          <w:u w:val="single"/>
          <w:lang w:val="en-US"/>
        </w:rPr>
        <w:t>Patients with hepatic impairment</w:t>
      </w:r>
    </w:p>
    <w:p w14:paraId="7D629A8B" w14:textId="77777777" w:rsidR="00431158" w:rsidRPr="00431158" w:rsidRDefault="00431158" w:rsidP="00431158">
      <w:pPr>
        <w:tabs>
          <w:tab w:val="left" w:pos="851"/>
        </w:tabs>
        <w:ind w:left="851"/>
        <w:rPr>
          <w:sz w:val="24"/>
          <w:szCs w:val="24"/>
          <w:lang w:val="en-US"/>
        </w:rPr>
      </w:pPr>
      <w:r w:rsidRPr="00431158">
        <w:rPr>
          <w:sz w:val="24"/>
          <w:szCs w:val="24"/>
          <w:lang w:val="en-US"/>
        </w:rPr>
        <w:t>There is limited clinical experience in patients with moderate hepatic impairment (Child-Pugh B classification) or with AST/ALT values more than twice the upper limit of the normal range. In these patients, exposure may be increased and safety is not established. Caution is therefore recommended when using it in these patients (see section 4.2 and 5.2). Sacubitril/valsartan is contraindicated in patients with severe hepatic impairment, biliary cirrhosis or cholestasis (Child-Pugh C classification) (see section 4.3).</w:t>
      </w:r>
    </w:p>
    <w:p w14:paraId="4ACFC978" w14:textId="77777777" w:rsidR="00431158" w:rsidRPr="00431158" w:rsidRDefault="00431158" w:rsidP="00431158">
      <w:pPr>
        <w:tabs>
          <w:tab w:val="left" w:pos="851"/>
        </w:tabs>
        <w:ind w:left="851"/>
        <w:rPr>
          <w:sz w:val="24"/>
          <w:szCs w:val="24"/>
          <w:lang w:val="en-US"/>
        </w:rPr>
      </w:pPr>
    </w:p>
    <w:p w14:paraId="2070EDEB" w14:textId="77777777" w:rsidR="00431158" w:rsidRPr="00431158" w:rsidRDefault="00431158" w:rsidP="00431158">
      <w:pPr>
        <w:tabs>
          <w:tab w:val="left" w:pos="851"/>
        </w:tabs>
        <w:ind w:left="851"/>
        <w:rPr>
          <w:sz w:val="24"/>
          <w:szCs w:val="24"/>
          <w:u w:val="single"/>
          <w:lang w:val="en-US"/>
        </w:rPr>
      </w:pPr>
      <w:r w:rsidRPr="00431158">
        <w:rPr>
          <w:sz w:val="24"/>
          <w:szCs w:val="24"/>
          <w:u w:val="single"/>
          <w:lang w:val="en-US"/>
        </w:rPr>
        <w:t>Psychiatric disorders</w:t>
      </w:r>
    </w:p>
    <w:p w14:paraId="43088C99" w14:textId="77777777" w:rsidR="00431158" w:rsidRPr="00431158" w:rsidRDefault="00431158" w:rsidP="00431158">
      <w:pPr>
        <w:tabs>
          <w:tab w:val="left" w:pos="851"/>
        </w:tabs>
        <w:ind w:left="851"/>
        <w:rPr>
          <w:sz w:val="24"/>
          <w:szCs w:val="24"/>
          <w:lang w:val="en-US"/>
        </w:rPr>
      </w:pPr>
      <w:r w:rsidRPr="00431158">
        <w:rPr>
          <w:sz w:val="24"/>
          <w:szCs w:val="24"/>
          <w:lang w:val="en-US"/>
        </w:rPr>
        <w:t>Psychiatric events such as hallucinations, paranoia and sleep disorders, in context of psychotic events, have been associated with sacubitril/valsartan use. If a patient experiences such events, discontinuation of sacubitril/valsartan treatment should be considered.</w:t>
      </w:r>
    </w:p>
    <w:p w14:paraId="3A06AC7D" w14:textId="77777777" w:rsidR="00431158" w:rsidRPr="00431158" w:rsidRDefault="00431158" w:rsidP="00431158">
      <w:pPr>
        <w:tabs>
          <w:tab w:val="left" w:pos="851"/>
        </w:tabs>
        <w:ind w:left="851"/>
        <w:rPr>
          <w:sz w:val="24"/>
          <w:szCs w:val="24"/>
          <w:lang w:val="en-US"/>
        </w:rPr>
      </w:pPr>
    </w:p>
    <w:p w14:paraId="2D140842" w14:textId="77777777" w:rsidR="00431158" w:rsidRPr="00431158" w:rsidRDefault="00431158" w:rsidP="00431158">
      <w:pPr>
        <w:tabs>
          <w:tab w:val="left" w:pos="851"/>
        </w:tabs>
        <w:ind w:left="851"/>
        <w:rPr>
          <w:sz w:val="24"/>
          <w:szCs w:val="24"/>
          <w:u w:val="single"/>
          <w:lang w:val="en-US"/>
        </w:rPr>
      </w:pPr>
      <w:r w:rsidRPr="00431158">
        <w:rPr>
          <w:sz w:val="24"/>
          <w:szCs w:val="24"/>
          <w:u w:val="single"/>
          <w:lang w:val="en-US"/>
        </w:rPr>
        <w:t>Sodium</w:t>
      </w:r>
    </w:p>
    <w:p w14:paraId="7910B53E" w14:textId="77777777" w:rsidR="00431158" w:rsidRPr="00431158" w:rsidRDefault="00431158" w:rsidP="00431158">
      <w:pPr>
        <w:tabs>
          <w:tab w:val="left" w:pos="851"/>
        </w:tabs>
        <w:ind w:left="851"/>
        <w:rPr>
          <w:sz w:val="24"/>
          <w:szCs w:val="24"/>
          <w:lang w:val="en-US"/>
        </w:rPr>
      </w:pPr>
      <w:r w:rsidRPr="00431158">
        <w:rPr>
          <w:sz w:val="24"/>
          <w:szCs w:val="24"/>
          <w:lang w:val="en-US"/>
        </w:rPr>
        <w:t>This medicinal product contains less than 1 mmol sodium (23 mg) per 97 mg/103 mg dose, that is to say essentially ‘sodium free’.</w:t>
      </w:r>
    </w:p>
    <w:p w14:paraId="34BE582B" w14:textId="77777777" w:rsidR="007C5D2A" w:rsidRPr="00431158" w:rsidRDefault="007C5D2A" w:rsidP="003E0341">
      <w:pPr>
        <w:tabs>
          <w:tab w:val="left" w:pos="851"/>
        </w:tabs>
        <w:ind w:left="851"/>
        <w:rPr>
          <w:sz w:val="24"/>
          <w:szCs w:val="24"/>
          <w:lang w:val="en-US"/>
        </w:rPr>
      </w:pPr>
    </w:p>
    <w:p w14:paraId="05493F6B" w14:textId="77777777" w:rsidR="007C5D2A" w:rsidRPr="00303008" w:rsidRDefault="007C5D2A" w:rsidP="007C5D2A">
      <w:pPr>
        <w:ind w:left="851" w:hanging="851"/>
        <w:rPr>
          <w:b/>
          <w:sz w:val="24"/>
          <w:szCs w:val="24"/>
          <w:lang w:val="en-GB"/>
        </w:rPr>
      </w:pPr>
      <w:r w:rsidRPr="00303008">
        <w:rPr>
          <w:b/>
          <w:sz w:val="24"/>
          <w:szCs w:val="24"/>
          <w:lang w:val="en-GB"/>
        </w:rPr>
        <w:t>4.5</w:t>
      </w:r>
      <w:r w:rsidRPr="00303008">
        <w:rPr>
          <w:b/>
          <w:sz w:val="24"/>
          <w:szCs w:val="24"/>
          <w:lang w:val="en-GB"/>
        </w:rPr>
        <w:tab/>
        <w:t>Interaction with other medicinal products and other forms of interaction</w:t>
      </w:r>
    </w:p>
    <w:p w14:paraId="6000909B" w14:textId="77777777" w:rsidR="00431158" w:rsidRDefault="00431158" w:rsidP="00431158">
      <w:pPr>
        <w:tabs>
          <w:tab w:val="left" w:pos="851"/>
        </w:tabs>
        <w:ind w:left="851"/>
        <w:rPr>
          <w:sz w:val="24"/>
          <w:szCs w:val="24"/>
          <w:u w:val="single"/>
          <w:lang w:val="en-US"/>
        </w:rPr>
      </w:pPr>
    </w:p>
    <w:p w14:paraId="251B03EA" w14:textId="59244890" w:rsidR="00431158" w:rsidRPr="00431158" w:rsidRDefault="00431158" w:rsidP="00431158">
      <w:pPr>
        <w:tabs>
          <w:tab w:val="left" w:pos="851"/>
        </w:tabs>
        <w:ind w:left="851"/>
        <w:rPr>
          <w:sz w:val="24"/>
          <w:szCs w:val="24"/>
          <w:u w:val="single"/>
          <w:lang w:val="en-US"/>
        </w:rPr>
      </w:pPr>
      <w:r w:rsidRPr="00431158">
        <w:rPr>
          <w:sz w:val="24"/>
          <w:szCs w:val="24"/>
          <w:u w:val="single"/>
          <w:lang w:val="en-US"/>
        </w:rPr>
        <w:t>Interactions resulting in a contraindication</w:t>
      </w:r>
    </w:p>
    <w:p w14:paraId="1871F6FC" w14:textId="77777777" w:rsidR="00431158" w:rsidRPr="00431158" w:rsidRDefault="00431158" w:rsidP="00431158">
      <w:pPr>
        <w:tabs>
          <w:tab w:val="left" w:pos="851"/>
        </w:tabs>
        <w:ind w:left="851"/>
        <w:rPr>
          <w:sz w:val="24"/>
          <w:szCs w:val="24"/>
          <w:u w:val="single"/>
          <w:lang w:val="en-US"/>
        </w:rPr>
      </w:pPr>
    </w:p>
    <w:p w14:paraId="671CE641" w14:textId="77777777" w:rsidR="00431158" w:rsidRPr="00431158" w:rsidRDefault="00431158" w:rsidP="00431158">
      <w:pPr>
        <w:tabs>
          <w:tab w:val="left" w:pos="851"/>
        </w:tabs>
        <w:ind w:left="851"/>
        <w:rPr>
          <w:i/>
          <w:iCs/>
          <w:sz w:val="24"/>
          <w:szCs w:val="24"/>
          <w:u w:val="single"/>
          <w:lang w:val="en-US"/>
        </w:rPr>
      </w:pPr>
      <w:r w:rsidRPr="00431158">
        <w:rPr>
          <w:i/>
          <w:iCs/>
          <w:sz w:val="24"/>
          <w:szCs w:val="24"/>
          <w:u w:val="single"/>
          <w:lang w:val="en-US"/>
        </w:rPr>
        <w:t>ACE inhibitors</w:t>
      </w:r>
    </w:p>
    <w:p w14:paraId="5ABA3B1B" w14:textId="77777777" w:rsidR="00431158" w:rsidRPr="00431158" w:rsidRDefault="00431158" w:rsidP="00431158">
      <w:pPr>
        <w:tabs>
          <w:tab w:val="left" w:pos="851"/>
        </w:tabs>
        <w:ind w:left="851"/>
        <w:rPr>
          <w:sz w:val="24"/>
          <w:szCs w:val="24"/>
          <w:lang w:val="en-US"/>
        </w:rPr>
      </w:pPr>
      <w:r w:rsidRPr="00431158">
        <w:rPr>
          <w:sz w:val="24"/>
          <w:szCs w:val="24"/>
          <w:lang w:val="en-US"/>
        </w:rPr>
        <w:t>The concomitant use of sacubitril/valsartan with ACE inhibitors is contraindicated, as the concomitant inhibition of neprilysin (NEP) and ACE may increase the risk of angioedema. Sacubitril/valsartan must not be started until 36 hours after taking the last dose of ACE inhibitor therapy. ACE inhibitor therapy must not be started until 36 hours after the last dose of sacubitril/valsartan (see sections 4.2 and 4.3).</w:t>
      </w:r>
    </w:p>
    <w:p w14:paraId="357A5F70" w14:textId="77777777" w:rsidR="00431158" w:rsidRPr="00431158" w:rsidRDefault="00431158" w:rsidP="00431158">
      <w:pPr>
        <w:tabs>
          <w:tab w:val="left" w:pos="851"/>
        </w:tabs>
        <w:ind w:left="851"/>
        <w:rPr>
          <w:sz w:val="24"/>
          <w:szCs w:val="24"/>
          <w:lang w:val="en-US"/>
        </w:rPr>
      </w:pPr>
    </w:p>
    <w:p w14:paraId="32AC235B" w14:textId="77777777" w:rsidR="00431158" w:rsidRPr="00431158" w:rsidRDefault="00431158" w:rsidP="00431158">
      <w:pPr>
        <w:tabs>
          <w:tab w:val="left" w:pos="851"/>
        </w:tabs>
        <w:ind w:left="851"/>
        <w:rPr>
          <w:sz w:val="24"/>
          <w:szCs w:val="24"/>
          <w:u w:val="single"/>
          <w:lang w:val="en-US"/>
        </w:rPr>
      </w:pPr>
      <w:r w:rsidRPr="00431158">
        <w:rPr>
          <w:i/>
          <w:iCs/>
          <w:sz w:val="24"/>
          <w:szCs w:val="24"/>
          <w:u w:val="single"/>
          <w:lang w:val="en-US"/>
        </w:rPr>
        <w:t>Aliskiren</w:t>
      </w:r>
    </w:p>
    <w:p w14:paraId="5B71B00A" w14:textId="0EE3A097" w:rsidR="00431158" w:rsidRPr="00431158" w:rsidRDefault="00431158" w:rsidP="00431158">
      <w:pPr>
        <w:tabs>
          <w:tab w:val="left" w:pos="851"/>
        </w:tabs>
        <w:ind w:left="851"/>
        <w:rPr>
          <w:sz w:val="24"/>
          <w:szCs w:val="24"/>
          <w:lang w:val="en-US"/>
        </w:rPr>
      </w:pPr>
      <w:r w:rsidRPr="00431158">
        <w:rPr>
          <w:sz w:val="24"/>
          <w:szCs w:val="24"/>
          <w:lang w:val="en-US"/>
        </w:rPr>
        <w:t>The concomitant use of sacubitril/valsartan with aliskiren-containing medicinal products is contraindicated in patients with diabetes mellitus or in patients with renal impairment (eGFR</w:t>
      </w:r>
      <w:r>
        <w:rPr>
          <w:sz w:val="24"/>
          <w:szCs w:val="24"/>
          <w:lang w:val="en-US"/>
        </w:rPr>
        <w:t xml:space="preserve"> </w:t>
      </w:r>
      <w:r w:rsidRPr="00431158">
        <w:rPr>
          <w:sz w:val="24"/>
          <w:szCs w:val="24"/>
          <w:lang w:val="en-US"/>
        </w:rPr>
        <w:t>&lt;60 ml/min/1.73 m</w:t>
      </w:r>
      <w:r w:rsidRPr="00431158">
        <w:rPr>
          <w:sz w:val="24"/>
          <w:szCs w:val="24"/>
          <w:vertAlign w:val="superscript"/>
          <w:lang w:val="en-US"/>
        </w:rPr>
        <w:t>2</w:t>
      </w:r>
      <w:r w:rsidRPr="00431158">
        <w:rPr>
          <w:sz w:val="24"/>
          <w:szCs w:val="24"/>
          <w:lang w:val="en-US"/>
        </w:rPr>
        <w:t>) (see section 4.3). The combination of sacubitril/valsartan with direct renin inhibitors such as aliskiren is not recommended (see section 4.4). Combination of sacubitril/valsartan with aliskiren is potentially associated with a higher frequency of adverse reactions such as hypotension, hyperkalaemia and decreased renal function (including acute renal failure) (see sections 4.3 and 4.4).</w:t>
      </w:r>
    </w:p>
    <w:p w14:paraId="337B595C" w14:textId="77777777" w:rsidR="00431158" w:rsidRPr="00431158" w:rsidRDefault="00431158" w:rsidP="00431158">
      <w:pPr>
        <w:tabs>
          <w:tab w:val="left" w:pos="851"/>
        </w:tabs>
        <w:ind w:left="851"/>
        <w:rPr>
          <w:sz w:val="24"/>
          <w:szCs w:val="24"/>
          <w:lang w:val="en-US"/>
        </w:rPr>
      </w:pPr>
    </w:p>
    <w:p w14:paraId="1E1FDD37" w14:textId="77777777" w:rsidR="00431158" w:rsidRPr="00431158" w:rsidRDefault="00431158" w:rsidP="00431158">
      <w:pPr>
        <w:tabs>
          <w:tab w:val="left" w:pos="851"/>
        </w:tabs>
        <w:ind w:left="851"/>
        <w:rPr>
          <w:sz w:val="24"/>
          <w:szCs w:val="24"/>
          <w:u w:val="single"/>
          <w:lang w:val="en-US"/>
        </w:rPr>
      </w:pPr>
      <w:r w:rsidRPr="00431158">
        <w:rPr>
          <w:sz w:val="24"/>
          <w:szCs w:val="24"/>
          <w:u w:val="single"/>
          <w:lang w:val="en-US"/>
        </w:rPr>
        <w:t>Interactions resulting in concomitant use not being recommended</w:t>
      </w:r>
    </w:p>
    <w:p w14:paraId="1EE99DF4" w14:textId="77777777" w:rsidR="00431158" w:rsidRPr="00431158" w:rsidRDefault="00431158" w:rsidP="00431158">
      <w:pPr>
        <w:tabs>
          <w:tab w:val="left" w:pos="851"/>
        </w:tabs>
        <w:ind w:left="851"/>
        <w:rPr>
          <w:sz w:val="24"/>
          <w:szCs w:val="24"/>
          <w:lang w:val="en-US"/>
        </w:rPr>
      </w:pPr>
      <w:r w:rsidRPr="00431158">
        <w:rPr>
          <w:sz w:val="24"/>
          <w:szCs w:val="24"/>
          <w:lang w:val="en-US"/>
        </w:rPr>
        <w:t>Sacubitril/valsartan contains valsartan, and therefore should not be co-administered with another ARB containing medicinal product (see section 4.4).</w:t>
      </w:r>
    </w:p>
    <w:p w14:paraId="035D53B7" w14:textId="77777777" w:rsidR="00431158" w:rsidRPr="00431158" w:rsidRDefault="00431158" w:rsidP="00431158">
      <w:pPr>
        <w:tabs>
          <w:tab w:val="left" w:pos="851"/>
        </w:tabs>
        <w:ind w:left="851"/>
        <w:rPr>
          <w:sz w:val="24"/>
          <w:szCs w:val="24"/>
          <w:lang w:val="en-US"/>
        </w:rPr>
      </w:pPr>
    </w:p>
    <w:p w14:paraId="2E613E31" w14:textId="77777777" w:rsidR="00431158" w:rsidRPr="00431158" w:rsidRDefault="00431158" w:rsidP="00431158">
      <w:pPr>
        <w:tabs>
          <w:tab w:val="left" w:pos="851"/>
        </w:tabs>
        <w:ind w:left="851"/>
        <w:rPr>
          <w:sz w:val="24"/>
          <w:szCs w:val="24"/>
          <w:u w:val="single"/>
          <w:lang w:val="en-US"/>
        </w:rPr>
      </w:pPr>
      <w:r w:rsidRPr="00431158">
        <w:rPr>
          <w:sz w:val="24"/>
          <w:szCs w:val="24"/>
          <w:u w:val="single"/>
          <w:lang w:val="en-US"/>
        </w:rPr>
        <w:t>Interactions requiring precautions</w:t>
      </w:r>
    </w:p>
    <w:p w14:paraId="639BA5CE" w14:textId="77777777" w:rsidR="00431158" w:rsidRPr="00431158" w:rsidRDefault="00431158" w:rsidP="00431158">
      <w:pPr>
        <w:tabs>
          <w:tab w:val="left" w:pos="851"/>
        </w:tabs>
        <w:ind w:left="851"/>
        <w:rPr>
          <w:sz w:val="24"/>
          <w:szCs w:val="24"/>
          <w:u w:val="single"/>
          <w:lang w:val="en-US"/>
        </w:rPr>
      </w:pPr>
    </w:p>
    <w:p w14:paraId="6534BF07" w14:textId="77777777" w:rsidR="00431158" w:rsidRPr="00431158" w:rsidRDefault="00431158" w:rsidP="00431158">
      <w:pPr>
        <w:tabs>
          <w:tab w:val="left" w:pos="851"/>
        </w:tabs>
        <w:ind w:left="851"/>
        <w:rPr>
          <w:i/>
          <w:iCs/>
          <w:sz w:val="24"/>
          <w:szCs w:val="24"/>
          <w:u w:val="single"/>
          <w:lang w:val="en-US"/>
        </w:rPr>
      </w:pPr>
      <w:r w:rsidRPr="00431158">
        <w:rPr>
          <w:i/>
          <w:iCs/>
          <w:sz w:val="24"/>
          <w:szCs w:val="24"/>
          <w:u w:val="single"/>
          <w:lang w:val="en-US"/>
        </w:rPr>
        <w:t>OATP1B1 and OATP1B3 substrates, e.g. statins</w:t>
      </w:r>
    </w:p>
    <w:p w14:paraId="33915EAA" w14:textId="77777777" w:rsidR="00431158" w:rsidRPr="00431158" w:rsidRDefault="00431158" w:rsidP="00431158">
      <w:pPr>
        <w:tabs>
          <w:tab w:val="left" w:pos="851"/>
        </w:tabs>
        <w:ind w:left="851"/>
        <w:rPr>
          <w:sz w:val="24"/>
          <w:szCs w:val="24"/>
          <w:lang w:val="en-US"/>
        </w:rPr>
      </w:pPr>
      <w:r w:rsidRPr="00431158">
        <w:rPr>
          <w:i/>
          <w:iCs/>
          <w:sz w:val="24"/>
          <w:szCs w:val="24"/>
          <w:lang w:val="en-US"/>
        </w:rPr>
        <w:t>In vitro</w:t>
      </w:r>
      <w:r w:rsidRPr="00431158">
        <w:rPr>
          <w:sz w:val="24"/>
          <w:szCs w:val="24"/>
          <w:lang w:val="en-US"/>
        </w:rPr>
        <w:t xml:space="preserve"> data indicate that sacubitril inhibits OATP1B1 and OATP1B3 transporters. Bitrisal may therefore increase the systemic exposure of OATP1B1 and OATP1B3 substrates such as statins.</w:t>
      </w:r>
    </w:p>
    <w:p w14:paraId="6AE9618B" w14:textId="77777777" w:rsidR="00431158" w:rsidRPr="00431158" w:rsidRDefault="00431158" w:rsidP="00431158">
      <w:pPr>
        <w:tabs>
          <w:tab w:val="left" w:pos="851"/>
        </w:tabs>
        <w:ind w:left="851"/>
        <w:rPr>
          <w:sz w:val="24"/>
          <w:szCs w:val="24"/>
          <w:lang w:val="en-US"/>
        </w:rPr>
      </w:pPr>
      <w:r w:rsidRPr="00431158">
        <w:rPr>
          <w:sz w:val="24"/>
          <w:szCs w:val="24"/>
          <w:lang w:val="en-US"/>
        </w:rPr>
        <w:t>Co-administration of sacubitril/valsartan increased the C</w:t>
      </w:r>
      <w:r w:rsidRPr="00431158">
        <w:rPr>
          <w:sz w:val="24"/>
          <w:szCs w:val="24"/>
          <w:vertAlign w:val="subscript"/>
          <w:lang w:val="en-US"/>
        </w:rPr>
        <w:t>max</w:t>
      </w:r>
      <w:r w:rsidRPr="00431158">
        <w:rPr>
          <w:sz w:val="24"/>
          <w:szCs w:val="24"/>
          <w:lang w:val="en-US"/>
        </w:rPr>
        <w:t xml:space="preserve"> of atorvastatin and its metabolites by up to 2-fold and AUC by up to 1.3-fold. Caution should be exercised when co-administering sacubitril/valsartan with statins. No clinically relevant interaction was observed when simvastatin and sacubitril/valsartan were co-administered.</w:t>
      </w:r>
    </w:p>
    <w:p w14:paraId="164FFDC5" w14:textId="77777777" w:rsidR="00431158" w:rsidRPr="00431158" w:rsidRDefault="00431158" w:rsidP="00431158">
      <w:pPr>
        <w:tabs>
          <w:tab w:val="left" w:pos="851"/>
        </w:tabs>
        <w:ind w:left="851"/>
        <w:rPr>
          <w:sz w:val="24"/>
          <w:szCs w:val="24"/>
          <w:lang w:val="en-US"/>
        </w:rPr>
      </w:pPr>
    </w:p>
    <w:p w14:paraId="15C7342D" w14:textId="77777777" w:rsidR="00431158" w:rsidRPr="00431158" w:rsidRDefault="00431158" w:rsidP="00431158">
      <w:pPr>
        <w:tabs>
          <w:tab w:val="left" w:pos="851"/>
        </w:tabs>
        <w:ind w:left="851"/>
        <w:rPr>
          <w:i/>
          <w:iCs/>
          <w:sz w:val="24"/>
          <w:szCs w:val="24"/>
          <w:u w:val="single"/>
          <w:lang w:val="en-US"/>
        </w:rPr>
      </w:pPr>
      <w:r w:rsidRPr="00431158">
        <w:rPr>
          <w:i/>
          <w:iCs/>
          <w:sz w:val="24"/>
          <w:szCs w:val="24"/>
          <w:u w:val="single"/>
          <w:lang w:val="en-US"/>
        </w:rPr>
        <w:t>PDE5 inhibitors including sildenafil</w:t>
      </w:r>
    </w:p>
    <w:p w14:paraId="16297260" w14:textId="77777777" w:rsidR="00431158" w:rsidRPr="00431158" w:rsidRDefault="00431158" w:rsidP="00431158">
      <w:pPr>
        <w:tabs>
          <w:tab w:val="left" w:pos="851"/>
        </w:tabs>
        <w:ind w:left="851"/>
        <w:rPr>
          <w:sz w:val="24"/>
          <w:szCs w:val="24"/>
          <w:lang w:val="en-US"/>
        </w:rPr>
      </w:pPr>
      <w:r w:rsidRPr="00431158">
        <w:rPr>
          <w:sz w:val="24"/>
          <w:szCs w:val="24"/>
          <w:lang w:val="en-US"/>
        </w:rPr>
        <w:t>Addition of a single dose of sildenafil to sacubitril/valsartan at steady state in patients with hypertension was associated with a significantly greater blood pressure reduction compared to administration of sacubitril/valsartan alone. Therefore, caution should be exercised when sildenafil or another PDE5 inhibitor is initiated in patients treated with sacubitril/valsartan.</w:t>
      </w:r>
    </w:p>
    <w:p w14:paraId="4F15800D" w14:textId="77777777" w:rsidR="00431158" w:rsidRPr="00431158" w:rsidRDefault="00431158" w:rsidP="00431158">
      <w:pPr>
        <w:tabs>
          <w:tab w:val="left" w:pos="851"/>
        </w:tabs>
        <w:ind w:left="851"/>
        <w:rPr>
          <w:sz w:val="24"/>
          <w:szCs w:val="24"/>
          <w:lang w:val="en-US"/>
        </w:rPr>
      </w:pPr>
    </w:p>
    <w:p w14:paraId="06DE4EE3" w14:textId="77777777" w:rsidR="00431158" w:rsidRPr="00431158" w:rsidRDefault="00431158" w:rsidP="00431158">
      <w:pPr>
        <w:tabs>
          <w:tab w:val="left" w:pos="851"/>
        </w:tabs>
        <w:ind w:left="851"/>
        <w:rPr>
          <w:i/>
          <w:iCs/>
          <w:sz w:val="24"/>
          <w:szCs w:val="24"/>
          <w:u w:val="single"/>
          <w:lang w:val="en-US"/>
        </w:rPr>
      </w:pPr>
      <w:r w:rsidRPr="00431158">
        <w:rPr>
          <w:i/>
          <w:iCs/>
          <w:sz w:val="24"/>
          <w:szCs w:val="24"/>
          <w:u w:val="single"/>
          <w:lang w:val="en-US"/>
        </w:rPr>
        <w:t>Potassium</w:t>
      </w:r>
    </w:p>
    <w:p w14:paraId="19851DFA" w14:textId="77777777" w:rsidR="00431158" w:rsidRPr="00431158" w:rsidRDefault="00431158" w:rsidP="00431158">
      <w:pPr>
        <w:tabs>
          <w:tab w:val="left" w:pos="851"/>
        </w:tabs>
        <w:ind w:left="851"/>
        <w:rPr>
          <w:sz w:val="24"/>
          <w:szCs w:val="24"/>
          <w:lang w:val="en-US"/>
        </w:rPr>
      </w:pPr>
      <w:r w:rsidRPr="00431158">
        <w:rPr>
          <w:sz w:val="24"/>
          <w:szCs w:val="24"/>
          <w:lang w:val="en-US"/>
        </w:rPr>
        <w:t>Concomitant use of potassium-sparing diuretics (triamterene, amiloride), mineralocorticoid antagonists (e.g. spironolactone, eplerenone), potassium supplements, salt substitutes containing potassium or other agents (such as heparin) may lead to increases in serum potassium, and to increases in serum creatinine. Monitoring of serum potassium is recommended if sacubitril/valsartan is co-administered with these agents (see section 4.4).</w:t>
      </w:r>
    </w:p>
    <w:p w14:paraId="22DBCC8D" w14:textId="77777777" w:rsidR="00431158" w:rsidRPr="00431158" w:rsidRDefault="00431158" w:rsidP="00431158">
      <w:pPr>
        <w:tabs>
          <w:tab w:val="left" w:pos="851"/>
        </w:tabs>
        <w:ind w:left="851"/>
        <w:rPr>
          <w:sz w:val="24"/>
          <w:szCs w:val="24"/>
          <w:lang w:val="en-US"/>
        </w:rPr>
      </w:pPr>
    </w:p>
    <w:p w14:paraId="6542F0B2" w14:textId="77777777" w:rsidR="00431158" w:rsidRPr="00431158" w:rsidRDefault="00431158" w:rsidP="00431158">
      <w:pPr>
        <w:tabs>
          <w:tab w:val="left" w:pos="851"/>
        </w:tabs>
        <w:ind w:left="851"/>
        <w:rPr>
          <w:i/>
          <w:iCs/>
          <w:sz w:val="24"/>
          <w:szCs w:val="24"/>
          <w:u w:val="single"/>
          <w:lang w:val="en-US"/>
        </w:rPr>
      </w:pPr>
      <w:r w:rsidRPr="00431158">
        <w:rPr>
          <w:i/>
          <w:iCs/>
          <w:sz w:val="24"/>
          <w:szCs w:val="24"/>
          <w:u w:val="single"/>
          <w:lang w:val="en-US"/>
        </w:rPr>
        <w:t>Non-steroidal anti-inflammatory agents (NSAIDs), including selective cyclooxygenase-2 (COX-2) inhibitors</w:t>
      </w:r>
    </w:p>
    <w:p w14:paraId="5418D4B3" w14:textId="77777777" w:rsidR="00431158" w:rsidRPr="00431158" w:rsidRDefault="00431158" w:rsidP="00431158">
      <w:pPr>
        <w:tabs>
          <w:tab w:val="left" w:pos="851"/>
        </w:tabs>
        <w:ind w:left="851"/>
        <w:rPr>
          <w:sz w:val="24"/>
          <w:szCs w:val="24"/>
          <w:lang w:val="en-US"/>
        </w:rPr>
      </w:pPr>
      <w:r w:rsidRPr="00431158">
        <w:rPr>
          <w:sz w:val="24"/>
          <w:szCs w:val="24"/>
          <w:lang w:val="en-US"/>
        </w:rPr>
        <w:t>In elderly patients, volume-depleted patients (including those on diuretic therapy), or patients with compromised renal function, concomitant use of sacubitril/valsartan and NSAIDs may lead to an increased risk of worsening of renal function. Therefore, monitoring of renal function is recommended when initiating or modifying treatment in patients on sacubitril/valsartan who are taking NSAIDs concomitantly (see section 4.4).</w:t>
      </w:r>
    </w:p>
    <w:p w14:paraId="57A4B06A" w14:textId="77777777" w:rsidR="00431158" w:rsidRPr="00431158" w:rsidRDefault="00431158" w:rsidP="00431158">
      <w:pPr>
        <w:tabs>
          <w:tab w:val="left" w:pos="851"/>
        </w:tabs>
        <w:ind w:left="851"/>
        <w:rPr>
          <w:sz w:val="24"/>
          <w:szCs w:val="24"/>
          <w:lang w:val="en-US"/>
        </w:rPr>
      </w:pPr>
    </w:p>
    <w:p w14:paraId="6410C718" w14:textId="77777777" w:rsidR="00431158" w:rsidRPr="00431158" w:rsidRDefault="00431158" w:rsidP="00431158">
      <w:pPr>
        <w:tabs>
          <w:tab w:val="left" w:pos="851"/>
        </w:tabs>
        <w:ind w:left="851"/>
        <w:rPr>
          <w:i/>
          <w:iCs/>
          <w:sz w:val="24"/>
          <w:szCs w:val="24"/>
          <w:u w:val="single"/>
          <w:lang w:val="en-US"/>
        </w:rPr>
      </w:pPr>
      <w:r w:rsidRPr="00431158">
        <w:rPr>
          <w:i/>
          <w:iCs/>
          <w:sz w:val="24"/>
          <w:szCs w:val="24"/>
          <w:u w:val="single"/>
          <w:lang w:val="en-US"/>
        </w:rPr>
        <w:t>Lithium</w:t>
      </w:r>
    </w:p>
    <w:p w14:paraId="72B2D5D5" w14:textId="77777777" w:rsidR="00431158" w:rsidRPr="00431158" w:rsidRDefault="00431158" w:rsidP="00431158">
      <w:pPr>
        <w:tabs>
          <w:tab w:val="left" w:pos="851"/>
        </w:tabs>
        <w:ind w:left="851"/>
        <w:rPr>
          <w:sz w:val="24"/>
          <w:szCs w:val="24"/>
          <w:lang w:val="en-US"/>
        </w:rPr>
      </w:pPr>
      <w:r w:rsidRPr="00431158">
        <w:rPr>
          <w:sz w:val="24"/>
          <w:szCs w:val="24"/>
          <w:lang w:val="en-US"/>
        </w:rPr>
        <w:t>Reversible increases in serum lithium concentrations and toxicity have been reported during concomitant administration of lithium with ACE inhibitors or angiotensin II receptor antagonists including sacubitril/valsartan. Therefore, this combination is not recommended. If the combination proves necessary, careful monitoring of serum lithium levels is recommended. If a diuretic is also used, the risk of lithium toxicity may be increased further.</w:t>
      </w:r>
    </w:p>
    <w:p w14:paraId="51C23EB8" w14:textId="77777777" w:rsidR="00431158" w:rsidRPr="00431158" w:rsidRDefault="00431158" w:rsidP="00431158">
      <w:pPr>
        <w:tabs>
          <w:tab w:val="left" w:pos="851"/>
        </w:tabs>
        <w:ind w:left="851"/>
        <w:rPr>
          <w:sz w:val="24"/>
          <w:szCs w:val="24"/>
          <w:lang w:val="en-US"/>
        </w:rPr>
      </w:pPr>
    </w:p>
    <w:p w14:paraId="23ECF9E1" w14:textId="77777777" w:rsidR="00431158" w:rsidRPr="00431158" w:rsidRDefault="00431158" w:rsidP="00431158">
      <w:pPr>
        <w:tabs>
          <w:tab w:val="left" w:pos="851"/>
        </w:tabs>
        <w:ind w:left="851"/>
        <w:rPr>
          <w:i/>
          <w:iCs/>
          <w:sz w:val="24"/>
          <w:szCs w:val="24"/>
          <w:u w:val="single"/>
          <w:lang w:val="en-US"/>
        </w:rPr>
      </w:pPr>
      <w:r w:rsidRPr="00431158">
        <w:rPr>
          <w:i/>
          <w:iCs/>
          <w:sz w:val="24"/>
          <w:szCs w:val="24"/>
          <w:u w:val="single"/>
          <w:lang w:val="en-US"/>
        </w:rPr>
        <w:t>Furosemide</w:t>
      </w:r>
    </w:p>
    <w:p w14:paraId="553AE8D4" w14:textId="77777777" w:rsidR="00431158" w:rsidRPr="00431158" w:rsidRDefault="00431158" w:rsidP="00431158">
      <w:pPr>
        <w:tabs>
          <w:tab w:val="left" w:pos="851"/>
        </w:tabs>
        <w:ind w:left="851"/>
        <w:rPr>
          <w:sz w:val="24"/>
          <w:szCs w:val="24"/>
          <w:lang w:val="en-US"/>
        </w:rPr>
      </w:pPr>
      <w:r w:rsidRPr="00431158">
        <w:rPr>
          <w:sz w:val="24"/>
          <w:szCs w:val="24"/>
          <w:lang w:val="en-US"/>
        </w:rPr>
        <w:t>Co-administration of sacubitril/valsartan and furosemide had no effect on the pharmacokinetics of sacubitril/valsartan but reduced C</w:t>
      </w:r>
      <w:r w:rsidRPr="00431158">
        <w:rPr>
          <w:sz w:val="24"/>
          <w:szCs w:val="24"/>
          <w:vertAlign w:val="subscript"/>
          <w:lang w:val="en-US"/>
        </w:rPr>
        <w:t>max</w:t>
      </w:r>
      <w:r w:rsidRPr="00431158">
        <w:rPr>
          <w:sz w:val="24"/>
          <w:szCs w:val="24"/>
          <w:lang w:val="en-US"/>
        </w:rPr>
        <w:t xml:space="preserve"> and AUC of furosemide by 50% and 28%, respectively. While there was no relevant change in urine volume, the urinary excretion of sodium was reduced within 4 hours and 24 hours after co-administration. The </w:t>
      </w:r>
      <w:r w:rsidRPr="00431158">
        <w:rPr>
          <w:sz w:val="24"/>
          <w:szCs w:val="24"/>
          <w:lang w:val="en-US"/>
        </w:rPr>
        <w:lastRenderedPageBreak/>
        <w:t>average daily dose of furosemide was unchanged from baseline until the end of the PARADIGM-HF study in patients treated with sacubitril/valsartan.</w:t>
      </w:r>
    </w:p>
    <w:p w14:paraId="500300C7" w14:textId="77777777" w:rsidR="00431158" w:rsidRPr="00431158" w:rsidRDefault="00431158" w:rsidP="00431158">
      <w:pPr>
        <w:tabs>
          <w:tab w:val="left" w:pos="851"/>
        </w:tabs>
        <w:ind w:left="851"/>
        <w:rPr>
          <w:sz w:val="24"/>
          <w:szCs w:val="24"/>
          <w:lang w:val="en-US"/>
        </w:rPr>
      </w:pPr>
    </w:p>
    <w:p w14:paraId="1E41C47C" w14:textId="77777777" w:rsidR="00431158" w:rsidRPr="00431158" w:rsidRDefault="00431158" w:rsidP="00431158">
      <w:pPr>
        <w:tabs>
          <w:tab w:val="left" w:pos="851"/>
        </w:tabs>
        <w:ind w:left="851"/>
        <w:rPr>
          <w:i/>
          <w:iCs/>
          <w:sz w:val="24"/>
          <w:szCs w:val="24"/>
          <w:u w:val="single"/>
          <w:lang w:val="en-US"/>
        </w:rPr>
      </w:pPr>
      <w:r w:rsidRPr="00431158">
        <w:rPr>
          <w:i/>
          <w:iCs/>
          <w:sz w:val="24"/>
          <w:szCs w:val="24"/>
          <w:u w:val="single"/>
          <w:lang w:val="en-US"/>
        </w:rPr>
        <w:t>Nitrates, e.g. nitroglycerine</w:t>
      </w:r>
    </w:p>
    <w:p w14:paraId="5C1B9BFE" w14:textId="77777777" w:rsidR="00431158" w:rsidRPr="00431158" w:rsidRDefault="00431158" w:rsidP="00431158">
      <w:pPr>
        <w:tabs>
          <w:tab w:val="left" w:pos="851"/>
        </w:tabs>
        <w:ind w:left="851"/>
        <w:rPr>
          <w:sz w:val="24"/>
          <w:szCs w:val="24"/>
          <w:lang w:val="en-US"/>
        </w:rPr>
      </w:pPr>
      <w:r w:rsidRPr="00431158">
        <w:rPr>
          <w:sz w:val="24"/>
          <w:szCs w:val="24"/>
          <w:lang w:val="en-US"/>
        </w:rPr>
        <w:t>There was no interaction between sacubitril/valsartan and intravenously administered nitroglycerin with regard to blood pressure reduction. Co-administration of nitroglycerin and sacubitril/valsartan was associated with a treatment difference of 5 bpm in heart rate compared to the administration of nitroglycerine alone. A similar effect on the heart rate may occur when sacubitril/valsartan is co- administered with sublingual, oral or transdermal nitrates. In general no dose adjustment is required.</w:t>
      </w:r>
    </w:p>
    <w:p w14:paraId="2A3C3C09" w14:textId="77777777" w:rsidR="00431158" w:rsidRPr="00431158" w:rsidRDefault="00431158" w:rsidP="00431158">
      <w:pPr>
        <w:tabs>
          <w:tab w:val="left" w:pos="851"/>
        </w:tabs>
        <w:ind w:left="851"/>
        <w:rPr>
          <w:sz w:val="24"/>
          <w:szCs w:val="24"/>
          <w:lang w:val="en-US"/>
        </w:rPr>
      </w:pPr>
    </w:p>
    <w:p w14:paraId="63D7FA29" w14:textId="77777777" w:rsidR="00431158" w:rsidRPr="00431158" w:rsidRDefault="00431158" w:rsidP="00431158">
      <w:pPr>
        <w:tabs>
          <w:tab w:val="left" w:pos="851"/>
        </w:tabs>
        <w:ind w:left="851"/>
        <w:rPr>
          <w:i/>
          <w:iCs/>
          <w:sz w:val="24"/>
          <w:szCs w:val="24"/>
          <w:u w:val="single"/>
          <w:lang w:val="en-US"/>
        </w:rPr>
      </w:pPr>
      <w:r w:rsidRPr="00431158">
        <w:rPr>
          <w:i/>
          <w:iCs/>
          <w:sz w:val="24"/>
          <w:szCs w:val="24"/>
          <w:u w:val="single"/>
          <w:lang w:val="en-US"/>
        </w:rPr>
        <w:t>OATP and MRP2 transporters</w:t>
      </w:r>
    </w:p>
    <w:p w14:paraId="6FA4EF60" w14:textId="77777777" w:rsidR="00431158" w:rsidRPr="00431158" w:rsidRDefault="00431158" w:rsidP="00431158">
      <w:pPr>
        <w:tabs>
          <w:tab w:val="left" w:pos="851"/>
        </w:tabs>
        <w:ind w:left="851"/>
        <w:rPr>
          <w:sz w:val="24"/>
          <w:szCs w:val="24"/>
          <w:lang w:val="en-US"/>
        </w:rPr>
      </w:pPr>
      <w:r w:rsidRPr="00431158">
        <w:rPr>
          <w:sz w:val="24"/>
          <w:szCs w:val="24"/>
          <w:lang w:val="en-US"/>
        </w:rPr>
        <w:t>The active metabolite of sacubitril (LBQ657) and valsartan are OATP1B1, OATP1B3, OAT1 and OAT3 substrates; valsartan is also a MRP2 substrate. Therefore, co-administration of sacubitril/valsartan with inhibitors of OATP1B1, OATP1B3, OAT3 (e.g. rifampicin, ciclosporin), OAT1 (e.g. tenofovir, cidofovir) or MRP2 (e.g. ritonavir) may increase the systemic exposure of LBQ657 or valsartan. Appropriate care should be exercised when initiating or ending concomitant treatment with such medicinal products.</w:t>
      </w:r>
    </w:p>
    <w:p w14:paraId="25803914" w14:textId="77777777" w:rsidR="00431158" w:rsidRPr="00431158" w:rsidRDefault="00431158" w:rsidP="00431158">
      <w:pPr>
        <w:tabs>
          <w:tab w:val="left" w:pos="851"/>
        </w:tabs>
        <w:ind w:left="851"/>
        <w:rPr>
          <w:sz w:val="24"/>
          <w:szCs w:val="24"/>
          <w:lang w:val="en-US"/>
        </w:rPr>
      </w:pPr>
    </w:p>
    <w:p w14:paraId="431A69D7" w14:textId="77777777" w:rsidR="00431158" w:rsidRPr="00431158" w:rsidRDefault="00431158" w:rsidP="00431158">
      <w:pPr>
        <w:tabs>
          <w:tab w:val="left" w:pos="851"/>
        </w:tabs>
        <w:ind w:left="851"/>
        <w:rPr>
          <w:i/>
          <w:iCs/>
          <w:sz w:val="24"/>
          <w:szCs w:val="24"/>
          <w:u w:val="single"/>
          <w:lang w:val="en-US"/>
        </w:rPr>
      </w:pPr>
      <w:r w:rsidRPr="00431158">
        <w:rPr>
          <w:i/>
          <w:iCs/>
          <w:sz w:val="24"/>
          <w:szCs w:val="24"/>
          <w:u w:val="single"/>
          <w:lang w:val="en-US"/>
        </w:rPr>
        <w:t>Metformin</w:t>
      </w:r>
    </w:p>
    <w:p w14:paraId="675B3212" w14:textId="77777777" w:rsidR="00431158" w:rsidRPr="00431158" w:rsidRDefault="00431158" w:rsidP="00431158">
      <w:pPr>
        <w:tabs>
          <w:tab w:val="left" w:pos="851"/>
        </w:tabs>
        <w:ind w:left="851"/>
        <w:rPr>
          <w:sz w:val="24"/>
          <w:szCs w:val="24"/>
          <w:lang w:val="en-US"/>
        </w:rPr>
      </w:pPr>
      <w:r w:rsidRPr="00431158">
        <w:rPr>
          <w:sz w:val="24"/>
          <w:szCs w:val="24"/>
          <w:lang w:val="en-US"/>
        </w:rPr>
        <w:t>Co-administration of sacubitril/valsartan with metformin reduced both C</w:t>
      </w:r>
      <w:r w:rsidRPr="00431158">
        <w:rPr>
          <w:sz w:val="24"/>
          <w:szCs w:val="24"/>
          <w:vertAlign w:val="subscript"/>
          <w:lang w:val="en-US"/>
        </w:rPr>
        <w:t>max</w:t>
      </w:r>
      <w:r w:rsidRPr="00431158">
        <w:rPr>
          <w:sz w:val="24"/>
          <w:szCs w:val="24"/>
          <w:lang w:val="en-US"/>
        </w:rPr>
        <w:t xml:space="preserve"> and AUC of metformin by 23%. The clinical relevance of these findings is unknown. Therefore, when initiating therapy with sacubitril/valsartan in patients receiving metformin, the clinical status of the patient should be evaluated.</w:t>
      </w:r>
    </w:p>
    <w:p w14:paraId="309CDBFE" w14:textId="77777777" w:rsidR="00431158" w:rsidRPr="00431158" w:rsidRDefault="00431158" w:rsidP="00431158">
      <w:pPr>
        <w:tabs>
          <w:tab w:val="left" w:pos="851"/>
        </w:tabs>
        <w:ind w:left="851"/>
        <w:rPr>
          <w:sz w:val="24"/>
          <w:szCs w:val="24"/>
          <w:lang w:val="en-US"/>
        </w:rPr>
      </w:pPr>
    </w:p>
    <w:p w14:paraId="0CB077FE" w14:textId="77777777" w:rsidR="00431158" w:rsidRPr="00431158" w:rsidRDefault="00431158" w:rsidP="00431158">
      <w:pPr>
        <w:tabs>
          <w:tab w:val="left" w:pos="851"/>
        </w:tabs>
        <w:ind w:left="851"/>
        <w:rPr>
          <w:sz w:val="24"/>
          <w:szCs w:val="24"/>
          <w:u w:val="single"/>
          <w:lang w:val="en-US"/>
        </w:rPr>
      </w:pPr>
      <w:r w:rsidRPr="00431158">
        <w:rPr>
          <w:sz w:val="24"/>
          <w:szCs w:val="24"/>
          <w:u w:val="single"/>
          <w:lang w:val="en-US"/>
        </w:rPr>
        <w:t>No significant interaction</w:t>
      </w:r>
    </w:p>
    <w:p w14:paraId="0D50D949" w14:textId="77777777" w:rsidR="00431158" w:rsidRPr="00431158" w:rsidRDefault="00431158" w:rsidP="00431158">
      <w:pPr>
        <w:tabs>
          <w:tab w:val="left" w:pos="851"/>
        </w:tabs>
        <w:ind w:left="851"/>
        <w:rPr>
          <w:sz w:val="24"/>
          <w:szCs w:val="24"/>
          <w:lang w:val="en-US"/>
        </w:rPr>
      </w:pPr>
      <w:r w:rsidRPr="00431158">
        <w:rPr>
          <w:sz w:val="24"/>
          <w:szCs w:val="24"/>
          <w:lang w:val="en-US"/>
        </w:rPr>
        <w:t>No clinically meaningful interaction was observed when sacubitril/valsartan was co-administered with digoxin, warfarin, hydrochlorothiazide, amlodipine, omeprazole, carvedilol or a combination of levonorgestrel/ethinyl estradiol.</w:t>
      </w:r>
    </w:p>
    <w:p w14:paraId="73584C6C" w14:textId="77777777" w:rsidR="007C5D2A" w:rsidRPr="00431158" w:rsidRDefault="007C5D2A" w:rsidP="003E0341">
      <w:pPr>
        <w:tabs>
          <w:tab w:val="left" w:pos="851"/>
        </w:tabs>
        <w:ind w:left="851"/>
        <w:rPr>
          <w:sz w:val="24"/>
          <w:szCs w:val="24"/>
          <w:lang w:val="en-US"/>
        </w:rPr>
      </w:pPr>
    </w:p>
    <w:p w14:paraId="1D78D1F5"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4.6</w:t>
      </w:r>
      <w:r w:rsidRPr="00303008">
        <w:rPr>
          <w:b/>
          <w:sz w:val="24"/>
          <w:szCs w:val="24"/>
          <w:lang w:val="en-GB"/>
        </w:rPr>
        <w:tab/>
      </w:r>
      <w:r w:rsidR="004860D3">
        <w:rPr>
          <w:b/>
          <w:sz w:val="24"/>
          <w:szCs w:val="24"/>
          <w:lang w:val="en-GB"/>
        </w:rPr>
        <w:t>Fertility, p</w:t>
      </w:r>
      <w:r w:rsidRPr="00303008">
        <w:rPr>
          <w:b/>
          <w:sz w:val="24"/>
          <w:szCs w:val="24"/>
          <w:lang w:val="en-GB"/>
        </w:rPr>
        <w:t>regnancy and lactation</w:t>
      </w:r>
    </w:p>
    <w:p w14:paraId="4FCE69F5" w14:textId="77777777" w:rsidR="00F27EB7" w:rsidRDefault="00F27EB7" w:rsidP="00F27EB7">
      <w:pPr>
        <w:tabs>
          <w:tab w:val="left" w:pos="851"/>
        </w:tabs>
        <w:ind w:left="851"/>
        <w:rPr>
          <w:sz w:val="24"/>
          <w:szCs w:val="24"/>
          <w:u w:val="single"/>
          <w:lang w:val="en-US"/>
        </w:rPr>
      </w:pPr>
    </w:p>
    <w:p w14:paraId="37AA4729" w14:textId="54E0D168" w:rsidR="00F27EB7" w:rsidRPr="00F27EB7" w:rsidRDefault="00F27EB7" w:rsidP="00F27EB7">
      <w:pPr>
        <w:tabs>
          <w:tab w:val="left" w:pos="851"/>
        </w:tabs>
        <w:ind w:left="851"/>
        <w:rPr>
          <w:sz w:val="24"/>
          <w:szCs w:val="24"/>
          <w:u w:val="single"/>
          <w:lang w:val="en-US"/>
        </w:rPr>
      </w:pPr>
      <w:r w:rsidRPr="00F27EB7">
        <w:rPr>
          <w:sz w:val="24"/>
          <w:szCs w:val="24"/>
          <w:u w:val="single"/>
          <w:lang w:val="en-US"/>
        </w:rPr>
        <w:t>Pregnancy</w:t>
      </w:r>
    </w:p>
    <w:p w14:paraId="252836C2" w14:textId="77777777" w:rsidR="00F27EB7" w:rsidRPr="00F27EB7" w:rsidRDefault="00F27EB7" w:rsidP="00F27EB7">
      <w:pPr>
        <w:tabs>
          <w:tab w:val="left" w:pos="851"/>
        </w:tabs>
        <w:ind w:left="851"/>
        <w:rPr>
          <w:sz w:val="24"/>
          <w:szCs w:val="24"/>
          <w:lang w:val="en-US"/>
        </w:rPr>
      </w:pPr>
      <w:r w:rsidRPr="00F27EB7">
        <w:rPr>
          <w:sz w:val="24"/>
          <w:szCs w:val="24"/>
          <w:lang w:val="en-US"/>
        </w:rPr>
        <w:t>The use of sacubitril/valsartan is not recommended during the first trimester of pregnancy and is contraindicated during the second and third trimesters of pregnancy (see section 4.3).</w:t>
      </w:r>
    </w:p>
    <w:p w14:paraId="12C97437" w14:textId="77777777" w:rsidR="00F27EB7" w:rsidRPr="00F27EB7" w:rsidRDefault="00F27EB7" w:rsidP="00F27EB7">
      <w:pPr>
        <w:tabs>
          <w:tab w:val="left" w:pos="851"/>
        </w:tabs>
        <w:ind w:left="851"/>
        <w:rPr>
          <w:sz w:val="24"/>
          <w:szCs w:val="24"/>
          <w:u w:val="single"/>
          <w:lang w:val="en-US"/>
        </w:rPr>
      </w:pPr>
    </w:p>
    <w:p w14:paraId="557C1D3F" w14:textId="77777777" w:rsidR="00F27EB7" w:rsidRPr="00F27EB7" w:rsidRDefault="00F27EB7" w:rsidP="00F27EB7">
      <w:pPr>
        <w:tabs>
          <w:tab w:val="left" w:pos="851"/>
        </w:tabs>
        <w:ind w:left="851"/>
        <w:rPr>
          <w:i/>
          <w:iCs/>
          <w:sz w:val="24"/>
          <w:szCs w:val="24"/>
          <w:u w:val="single"/>
          <w:lang w:val="en-US"/>
        </w:rPr>
      </w:pPr>
      <w:r w:rsidRPr="00F27EB7">
        <w:rPr>
          <w:i/>
          <w:iCs/>
          <w:sz w:val="24"/>
          <w:szCs w:val="24"/>
          <w:u w:val="single"/>
          <w:lang w:val="en-US"/>
        </w:rPr>
        <w:t>Valsartan</w:t>
      </w:r>
    </w:p>
    <w:p w14:paraId="157AEDBB" w14:textId="77777777" w:rsidR="00F27EB7" w:rsidRPr="00F27EB7" w:rsidRDefault="00F27EB7" w:rsidP="00F27EB7">
      <w:pPr>
        <w:tabs>
          <w:tab w:val="left" w:pos="851"/>
        </w:tabs>
        <w:ind w:left="851"/>
        <w:rPr>
          <w:sz w:val="24"/>
          <w:szCs w:val="24"/>
          <w:lang w:val="en-US"/>
        </w:rPr>
      </w:pPr>
      <w:r w:rsidRPr="00F27EB7">
        <w:rPr>
          <w:sz w:val="24"/>
          <w:szCs w:val="24"/>
          <w:lang w:val="en-US"/>
        </w:rPr>
        <w:t>Epidemiological evidence regarding the risk of teratogenicity following exposure to ACE inhibitors during the first trimester of pregnancy has not been conclusive; however, a small increase in risk cannot be excluded. Whilst there is no controlled epidemiological data on the risk with ARBs, similar risks may exist for this class of medicinal product. Unless continued ARB therapy is considered essential, patients planning pregnancy should be changed to alternative antihypertensive treatments which have an established safety profile for use in pregnancy. When pregnancy is diagnosed, treatment with ARBs should be stopped immediately and, if appropriate, alternative therapy should be started. Exposure to ARBs therapy during the second and third trimesters is known to induce human foetotoxicity (decreased renal function, oligohydramnios, skull ossification retardation) and neonatal toxicity (renal failure, hypotension, hyperkalaemia).</w:t>
      </w:r>
    </w:p>
    <w:p w14:paraId="27FECB5E" w14:textId="77777777" w:rsidR="00F27EB7" w:rsidRPr="00F27EB7" w:rsidRDefault="00F27EB7" w:rsidP="00F27EB7">
      <w:pPr>
        <w:tabs>
          <w:tab w:val="left" w:pos="851"/>
        </w:tabs>
        <w:ind w:left="851"/>
        <w:rPr>
          <w:sz w:val="24"/>
          <w:szCs w:val="24"/>
          <w:lang w:val="en-US"/>
        </w:rPr>
      </w:pPr>
    </w:p>
    <w:p w14:paraId="74CCA3F8" w14:textId="77777777" w:rsidR="00F27EB7" w:rsidRPr="00F27EB7" w:rsidRDefault="00F27EB7" w:rsidP="00F27EB7">
      <w:pPr>
        <w:tabs>
          <w:tab w:val="left" w:pos="851"/>
        </w:tabs>
        <w:ind w:left="851"/>
        <w:rPr>
          <w:sz w:val="24"/>
          <w:szCs w:val="24"/>
          <w:lang w:val="en-US"/>
        </w:rPr>
      </w:pPr>
      <w:r w:rsidRPr="00F27EB7">
        <w:rPr>
          <w:sz w:val="24"/>
          <w:szCs w:val="24"/>
          <w:lang w:val="en-US"/>
        </w:rPr>
        <w:lastRenderedPageBreak/>
        <w:t>Should exposure to ARBs have occurred from the second trimester of pregnancy, ultrasound check of renal function and skull is recommended. Infants whose mothers have taken ARBs should be closely observed for hypotension (see section 4.3).</w:t>
      </w:r>
    </w:p>
    <w:p w14:paraId="69BB6497" w14:textId="77777777" w:rsidR="00F27EB7" w:rsidRPr="00F27EB7" w:rsidRDefault="00F27EB7" w:rsidP="00F27EB7">
      <w:pPr>
        <w:tabs>
          <w:tab w:val="left" w:pos="851"/>
        </w:tabs>
        <w:ind w:left="851"/>
        <w:rPr>
          <w:sz w:val="24"/>
          <w:szCs w:val="24"/>
          <w:u w:val="single"/>
          <w:lang w:val="en-US"/>
        </w:rPr>
      </w:pPr>
    </w:p>
    <w:p w14:paraId="550EECAA" w14:textId="77777777" w:rsidR="00F27EB7" w:rsidRPr="00F27EB7" w:rsidRDefault="00F27EB7" w:rsidP="00F27EB7">
      <w:pPr>
        <w:tabs>
          <w:tab w:val="left" w:pos="851"/>
        </w:tabs>
        <w:ind w:left="851"/>
        <w:rPr>
          <w:i/>
          <w:iCs/>
          <w:sz w:val="24"/>
          <w:szCs w:val="24"/>
          <w:u w:val="single"/>
          <w:lang w:val="en-US"/>
        </w:rPr>
      </w:pPr>
      <w:r w:rsidRPr="00F27EB7">
        <w:rPr>
          <w:i/>
          <w:iCs/>
          <w:sz w:val="24"/>
          <w:szCs w:val="24"/>
          <w:u w:val="single"/>
          <w:lang w:val="en-US"/>
        </w:rPr>
        <w:t>Sacubitril</w:t>
      </w:r>
    </w:p>
    <w:p w14:paraId="389A209B" w14:textId="77777777" w:rsidR="00F27EB7" w:rsidRPr="00F27EB7" w:rsidRDefault="00F27EB7" w:rsidP="00F27EB7">
      <w:pPr>
        <w:tabs>
          <w:tab w:val="left" w:pos="851"/>
        </w:tabs>
        <w:ind w:left="851"/>
        <w:rPr>
          <w:sz w:val="24"/>
          <w:szCs w:val="24"/>
          <w:lang w:val="en-US"/>
        </w:rPr>
      </w:pPr>
      <w:r w:rsidRPr="00F27EB7">
        <w:rPr>
          <w:sz w:val="24"/>
          <w:szCs w:val="24"/>
          <w:lang w:val="en-US"/>
        </w:rPr>
        <w:t>There are no data from the use of sacubitril in pregnant women. Studies in animals have shown reproductive toxicity (see section 5.3).</w:t>
      </w:r>
    </w:p>
    <w:p w14:paraId="0BE1B4E7" w14:textId="77777777" w:rsidR="00F27EB7" w:rsidRPr="00F27EB7" w:rsidRDefault="00F27EB7" w:rsidP="00F27EB7">
      <w:pPr>
        <w:tabs>
          <w:tab w:val="left" w:pos="851"/>
        </w:tabs>
        <w:ind w:left="851"/>
        <w:rPr>
          <w:sz w:val="24"/>
          <w:szCs w:val="24"/>
          <w:lang w:val="en-US"/>
        </w:rPr>
      </w:pPr>
    </w:p>
    <w:p w14:paraId="6CE5A62E" w14:textId="77777777" w:rsidR="00F27EB7" w:rsidRPr="00F27EB7" w:rsidRDefault="00F27EB7" w:rsidP="00F27EB7">
      <w:pPr>
        <w:tabs>
          <w:tab w:val="left" w:pos="851"/>
        </w:tabs>
        <w:ind w:left="851"/>
        <w:rPr>
          <w:i/>
          <w:iCs/>
          <w:sz w:val="24"/>
          <w:szCs w:val="24"/>
          <w:u w:val="single"/>
          <w:lang w:val="en-US"/>
        </w:rPr>
      </w:pPr>
      <w:r w:rsidRPr="00F27EB7">
        <w:rPr>
          <w:i/>
          <w:iCs/>
          <w:sz w:val="24"/>
          <w:szCs w:val="24"/>
          <w:u w:val="single"/>
          <w:lang w:val="en-US"/>
        </w:rPr>
        <w:t>Sacubitril/valsartan</w:t>
      </w:r>
    </w:p>
    <w:p w14:paraId="41252F9E" w14:textId="77777777" w:rsidR="00F27EB7" w:rsidRPr="00F27EB7" w:rsidRDefault="00F27EB7" w:rsidP="00F27EB7">
      <w:pPr>
        <w:tabs>
          <w:tab w:val="left" w:pos="851"/>
        </w:tabs>
        <w:ind w:left="851"/>
        <w:rPr>
          <w:sz w:val="24"/>
          <w:szCs w:val="24"/>
          <w:lang w:val="en-US"/>
        </w:rPr>
      </w:pPr>
      <w:r w:rsidRPr="00F27EB7">
        <w:rPr>
          <w:sz w:val="24"/>
          <w:szCs w:val="24"/>
          <w:lang w:val="en-US"/>
        </w:rPr>
        <w:t>There are no data from the use of sacubitril/valsartan in pregnant women. Animal studies with sacubitril/valsartan have shown reproductive toxicity (see section 5.3).</w:t>
      </w:r>
    </w:p>
    <w:p w14:paraId="4AA09272" w14:textId="77777777" w:rsidR="00F27EB7" w:rsidRPr="00F27EB7" w:rsidRDefault="00F27EB7" w:rsidP="00F27EB7">
      <w:pPr>
        <w:tabs>
          <w:tab w:val="left" w:pos="851"/>
        </w:tabs>
        <w:ind w:left="851"/>
        <w:rPr>
          <w:sz w:val="24"/>
          <w:szCs w:val="24"/>
          <w:u w:val="single"/>
          <w:lang w:val="en-US"/>
        </w:rPr>
      </w:pPr>
    </w:p>
    <w:p w14:paraId="0D1EF549" w14:textId="77777777" w:rsidR="00F27EB7" w:rsidRPr="00F27EB7" w:rsidRDefault="00F27EB7" w:rsidP="00F27EB7">
      <w:pPr>
        <w:tabs>
          <w:tab w:val="left" w:pos="851"/>
        </w:tabs>
        <w:ind w:left="851"/>
        <w:rPr>
          <w:sz w:val="24"/>
          <w:szCs w:val="24"/>
          <w:u w:val="single"/>
          <w:lang w:val="en-US"/>
        </w:rPr>
      </w:pPr>
      <w:r w:rsidRPr="00F27EB7">
        <w:rPr>
          <w:sz w:val="24"/>
          <w:szCs w:val="24"/>
          <w:u w:val="single"/>
          <w:lang w:val="en-US"/>
        </w:rPr>
        <w:t>Breast-feeding</w:t>
      </w:r>
    </w:p>
    <w:p w14:paraId="691651B4" w14:textId="77777777" w:rsidR="00F27EB7" w:rsidRPr="00F27EB7" w:rsidRDefault="00F27EB7" w:rsidP="00F27EB7">
      <w:pPr>
        <w:tabs>
          <w:tab w:val="left" w:pos="851"/>
        </w:tabs>
        <w:ind w:left="851"/>
        <w:rPr>
          <w:sz w:val="24"/>
          <w:szCs w:val="24"/>
          <w:lang w:val="en-US"/>
        </w:rPr>
      </w:pPr>
      <w:r w:rsidRPr="00F27EB7">
        <w:rPr>
          <w:sz w:val="24"/>
          <w:szCs w:val="24"/>
          <w:lang w:val="en-US"/>
        </w:rPr>
        <w:t>Limited data show that sacubitril and its active metabolite LBQ657 are excreted in human milk in very low amounts with an estimated relative infant dose of 0.01% for sacubitril and 0.46% for the active metabolite LBQ657 when administered to breast-feeding women at a dose of 24 mg/26 mg sacubitril/valsartan, twice daily. In the same data, valsartan was under the limit of detection. There is insufficient information on the effects of sacubitril/valsartan in newborns/infants. Because of the potential risk for adverse reactions in breast-fed newborns/infants, Bitrisal is not recommended in women who are breast-feeding.</w:t>
      </w:r>
    </w:p>
    <w:p w14:paraId="18494720" w14:textId="77777777" w:rsidR="00F27EB7" w:rsidRPr="00F27EB7" w:rsidRDefault="00F27EB7" w:rsidP="00F27EB7">
      <w:pPr>
        <w:tabs>
          <w:tab w:val="left" w:pos="851"/>
        </w:tabs>
        <w:ind w:left="851"/>
        <w:rPr>
          <w:sz w:val="24"/>
          <w:szCs w:val="24"/>
          <w:lang w:val="en-US"/>
        </w:rPr>
      </w:pPr>
    </w:p>
    <w:p w14:paraId="4E3A5D35" w14:textId="77777777" w:rsidR="00F27EB7" w:rsidRPr="00F27EB7" w:rsidRDefault="00F27EB7" w:rsidP="00F27EB7">
      <w:pPr>
        <w:tabs>
          <w:tab w:val="left" w:pos="851"/>
        </w:tabs>
        <w:ind w:left="851"/>
        <w:rPr>
          <w:sz w:val="24"/>
          <w:szCs w:val="24"/>
          <w:u w:val="single"/>
          <w:lang w:val="en-US"/>
        </w:rPr>
      </w:pPr>
      <w:r w:rsidRPr="00F27EB7">
        <w:rPr>
          <w:sz w:val="24"/>
          <w:szCs w:val="24"/>
          <w:u w:val="single"/>
          <w:lang w:val="en-US"/>
        </w:rPr>
        <w:t>Fertility</w:t>
      </w:r>
    </w:p>
    <w:p w14:paraId="6DD76768" w14:textId="77777777" w:rsidR="00F27EB7" w:rsidRPr="00F27EB7" w:rsidRDefault="00F27EB7" w:rsidP="00F27EB7">
      <w:pPr>
        <w:tabs>
          <w:tab w:val="left" w:pos="851"/>
        </w:tabs>
        <w:ind w:left="851"/>
        <w:rPr>
          <w:sz w:val="24"/>
          <w:szCs w:val="24"/>
          <w:lang w:val="en-US"/>
        </w:rPr>
      </w:pPr>
      <w:r w:rsidRPr="00F27EB7">
        <w:rPr>
          <w:sz w:val="24"/>
          <w:szCs w:val="24"/>
          <w:lang w:val="en-US"/>
        </w:rPr>
        <w:t>There are no available data on the effect of sacubitril/valsartan on human fertility. No impairment of fertility was demonstrated in studies with it in male and female rats (see section 5.3).</w:t>
      </w:r>
    </w:p>
    <w:p w14:paraId="1A61B40B" w14:textId="77777777" w:rsidR="007C5D2A" w:rsidRPr="00F27EB7" w:rsidRDefault="007C5D2A" w:rsidP="003E0341">
      <w:pPr>
        <w:tabs>
          <w:tab w:val="left" w:pos="851"/>
        </w:tabs>
        <w:ind w:left="851"/>
        <w:rPr>
          <w:sz w:val="24"/>
          <w:szCs w:val="24"/>
          <w:lang w:val="en-US"/>
        </w:rPr>
      </w:pPr>
    </w:p>
    <w:p w14:paraId="3144CA36"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4.7</w:t>
      </w:r>
      <w:r w:rsidRPr="00303008">
        <w:rPr>
          <w:b/>
          <w:sz w:val="24"/>
          <w:szCs w:val="24"/>
          <w:lang w:val="en-GB"/>
        </w:rPr>
        <w:tab/>
        <w:t>Effects on ability to drive and use machines</w:t>
      </w:r>
    </w:p>
    <w:p w14:paraId="766B1DD4" w14:textId="77777777" w:rsidR="00AD3647" w:rsidRDefault="00AD3647" w:rsidP="00AD3647">
      <w:pPr>
        <w:tabs>
          <w:tab w:val="left" w:pos="851"/>
        </w:tabs>
        <w:ind w:left="851"/>
        <w:rPr>
          <w:sz w:val="24"/>
          <w:szCs w:val="24"/>
          <w:lang w:val="en-US"/>
        </w:rPr>
      </w:pPr>
      <w:r>
        <w:rPr>
          <w:sz w:val="24"/>
          <w:szCs w:val="24"/>
          <w:lang w:val="en-US"/>
        </w:rPr>
        <w:t>No traffic warning.</w:t>
      </w:r>
    </w:p>
    <w:p w14:paraId="4C495A89" w14:textId="2AA0D07D" w:rsidR="00AD3647" w:rsidRPr="00AD3647" w:rsidRDefault="00AD3647" w:rsidP="00AD3647">
      <w:pPr>
        <w:tabs>
          <w:tab w:val="left" w:pos="851"/>
        </w:tabs>
        <w:ind w:left="851"/>
        <w:rPr>
          <w:sz w:val="24"/>
          <w:szCs w:val="24"/>
          <w:lang w:val="en-US"/>
        </w:rPr>
      </w:pPr>
      <w:r w:rsidRPr="00AD3647">
        <w:rPr>
          <w:sz w:val="24"/>
          <w:szCs w:val="24"/>
          <w:lang w:val="en-US"/>
        </w:rPr>
        <w:t>Sacubitril/valsartan has a minor influence on the ability to drive and use machines. When driving vehicles or operating machines it should be taken into account that occasionally dizziness or fatigue may occur.</w:t>
      </w:r>
    </w:p>
    <w:p w14:paraId="39B8F74B" w14:textId="77777777" w:rsidR="007C5D2A" w:rsidRPr="00AD3647" w:rsidRDefault="007C5D2A" w:rsidP="003E0341">
      <w:pPr>
        <w:tabs>
          <w:tab w:val="left" w:pos="851"/>
        </w:tabs>
        <w:ind w:left="851"/>
        <w:rPr>
          <w:sz w:val="24"/>
          <w:szCs w:val="24"/>
          <w:lang w:val="en-US"/>
        </w:rPr>
      </w:pPr>
    </w:p>
    <w:p w14:paraId="07F3B970"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4.8</w:t>
      </w:r>
      <w:r w:rsidRPr="00303008">
        <w:rPr>
          <w:b/>
          <w:sz w:val="24"/>
          <w:szCs w:val="24"/>
          <w:lang w:val="en-GB"/>
        </w:rPr>
        <w:tab/>
        <w:t>Undesirable effects</w:t>
      </w:r>
    </w:p>
    <w:p w14:paraId="7542DBBD" w14:textId="77777777" w:rsidR="00B368DC" w:rsidRDefault="00B368DC" w:rsidP="00B368DC">
      <w:pPr>
        <w:suppressAutoHyphens/>
        <w:autoSpaceDN w:val="0"/>
        <w:ind w:left="851"/>
        <w:rPr>
          <w:rFonts w:eastAsia="Calibri"/>
          <w:sz w:val="24"/>
          <w:szCs w:val="24"/>
          <w:u w:val="single"/>
          <w:lang w:val="en-US"/>
        </w:rPr>
      </w:pPr>
    </w:p>
    <w:p w14:paraId="28555B3B" w14:textId="4DF2C380" w:rsidR="00B368DC" w:rsidRPr="00B368DC" w:rsidRDefault="00B368DC" w:rsidP="00B368DC">
      <w:pPr>
        <w:suppressAutoHyphens/>
        <w:autoSpaceDN w:val="0"/>
        <w:ind w:left="851"/>
        <w:rPr>
          <w:rFonts w:eastAsia="Calibri"/>
          <w:sz w:val="24"/>
          <w:szCs w:val="24"/>
          <w:u w:val="single"/>
          <w:lang w:val="en-US"/>
        </w:rPr>
      </w:pPr>
      <w:r w:rsidRPr="00B368DC">
        <w:rPr>
          <w:rFonts w:eastAsia="Calibri"/>
          <w:sz w:val="24"/>
          <w:szCs w:val="24"/>
          <w:u w:val="single"/>
          <w:lang w:val="en-US"/>
        </w:rPr>
        <w:t>Summary of the safety profile</w:t>
      </w:r>
    </w:p>
    <w:p w14:paraId="3D2D3DB7" w14:textId="77777777" w:rsidR="00B368DC" w:rsidRPr="00B368DC" w:rsidRDefault="00B368DC" w:rsidP="00B368DC">
      <w:pPr>
        <w:suppressAutoHyphens/>
        <w:autoSpaceDN w:val="0"/>
        <w:ind w:left="851"/>
        <w:rPr>
          <w:rFonts w:eastAsia="Calibri"/>
          <w:sz w:val="24"/>
          <w:szCs w:val="24"/>
          <w:lang w:val="en-US"/>
        </w:rPr>
      </w:pPr>
      <w:r w:rsidRPr="00B368DC">
        <w:rPr>
          <w:rFonts w:eastAsia="Calibri"/>
          <w:sz w:val="24"/>
          <w:szCs w:val="24"/>
          <w:lang w:val="en-US"/>
        </w:rPr>
        <w:t>The most commonly reported adverse reactions in adults during treatment with sacubitril/valsartan were hypotension (17.6%), hyperkalaemia (11.6%) and renal impairment (10.1%) (see section 4.4). Angioedema was reported in patients treated with sacubitril/valsartan (0.5%) (see description of selected adverse reactions).</w:t>
      </w:r>
    </w:p>
    <w:p w14:paraId="0BA57445" w14:textId="77777777" w:rsidR="00B368DC" w:rsidRPr="00B368DC" w:rsidRDefault="00B368DC" w:rsidP="00B368DC">
      <w:pPr>
        <w:suppressAutoHyphens/>
        <w:autoSpaceDN w:val="0"/>
        <w:ind w:left="851"/>
        <w:rPr>
          <w:rFonts w:eastAsia="Calibri"/>
          <w:sz w:val="24"/>
          <w:szCs w:val="24"/>
          <w:lang w:val="en-US"/>
        </w:rPr>
      </w:pPr>
    </w:p>
    <w:p w14:paraId="656A25EC" w14:textId="77777777" w:rsidR="00B368DC" w:rsidRPr="00B368DC" w:rsidRDefault="00B368DC" w:rsidP="00B368DC">
      <w:pPr>
        <w:suppressAutoHyphens/>
        <w:autoSpaceDN w:val="0"/>
        <w:ind w:left="851"/>
        <w:rPr>
          <w:rFonts w:eastAsia="Calibri"/>
          <w:sz w:val="24"/>
          <w:szCs w:val="24"/>
          <w:u w:val="single"/>
          <w:lang w:val="en-US"/>
        </w:rPr>
      </w:pPr>
      <w:r w:rsidRPr="00B368DC">
        <w:rPr>
          <w:rFonts w:eastAsia="Calibri"/>
          <w:sz w:val="24"/>
          <w:szCs w:val="24"/>
          <w:u w:val="single"/>
          <w:lang w:val="en-US"/>
        </w:rPr>
        <w:t>Tabulated list of adverse reactions</w:t>
      </w:r>
    </w:p>
    <w:p w14:paraId="41A32596" w14:textId="6DEE4894" w:rsidR="00B368DC" w:rsidRPr="00B368DC" w:rsidRDefault="00B368DC" w:rsidP="00B368DC">
      <w:pPr>
        <w:suppressAutoHyphens/>
        <w:autoSpaceDN w:val="0"/>
        <w:ind w:left="851"/>
        <w:rPr>
          <w:rFonts w:eastAsia="Calibri"/>
          <w:sz w:val="24"/>
          <w:szCs w:val="24"/>
          <w:lang w:val="en-US"/>
        </w:rPr>
      </w:pPr>
      <w:r w:rsidRPr="00B368DC">
        <w:rPr>
          <w:rFonts w:eastAsia="Calibri"/>
          <w:sz w:val="24"/>
          <w:szCs w:val="24"/>
          <w:lang w:val="en-US"/>
        </w:rPr>
        <w:t xml:space="preserve">Adverse reactions are ranked by System organ class and then by frequency with the most frequent first, using the following convention: </w:t>
      </w:r>
      <w:r>
        <w:rPr>
          <w:rFonts w:eastAsia="Calibri"/>
          <w:sz w:val="24"/>
          <w:szCs w:val="24"/>
          <w:lang w:val="en-US"/>
        </w:rPr>
        <w:t>V</w:t>
      </w:r>
      <w:r w:rsidRPr="00B368DC">
        <w:rPr>
          <w:rFonts w:eastAsia="Calibri"/>
          <w:sz w:val="24"/>
          <w:szCs w:val="24"/>
          <w:lang w:val="en-US"/>
        </w:rPr>
        <w:t>ery common (≥1/10); common (≥1/100 to &lt;1/10); uncommon (≥1/1 000 to &lt;1/100); rare (≥1/10 000 to &lt;1/1 000); very rare (&lt;1/10 000); not known (frequency cannot be estimated from the available data). Within each frequency grouping, adverse reactions are ranked in order of decreasing seriousness.</w:t>
      </w:r>
    </w:p>
    <w:p w14:paraId="2AE5B500" w14:textId="6963464E" w:rsidR="00B368DC" w:rsidRDefault="00B368DC">
      <w:pPr>
        <w:rPr>
          <w:rFonts w:eastAsia="Calibri"/>
          <w:sz w:val="24"/>
          <w:szCs w:val="24"/>
          <w:lang w:val="en-US"/>
        </w:rPr>
      </w:pPr>
      <w:r>
        <w:rPr>
          <w:rFonts w:eastAsia="Calibri"/>
          <w:sz w:val="24"/>
          <w:szCs w:val="24"/>
          <w:lang w:val="en-US"/>
        </w:rPr>
        <w:br w:type="page"/>
      </w:r>
    </w:p>
    <w:p w14:paraId="208D17F2" w14:textId="77777777" w:rsidR="00B368DC" w:rsidRPr="00B368DC" w:rsidRDefault="00B368DC" w:rsidP="00B368DC">
      <w:pPr>
        <w:suppressAutoHyphens/>
        <w:autoSpaceDN w:val="0"/>
        <w:ind w:left="851"/>
        <w:rPr>
          <w:rFonts w:eastAsia="Calibri"/>
          <w:sz w:val="24"/>
          <w:szCs w:val="24"/>
          <w:lang w:val="en-US"/>
        </w:rPr>
      </w:pPr>
    </w:p>
    <w:p w14:paraId="495D7BBE" w14:textId="77777777" w:rsidR="00B368DC" w:rsidRDefault="00B368DC" w:rsidP="00B368DC">
      <w:pPr>
        <w:rPr>
          <w:rFonts w:eastAsiaTheme="minorHAnsi" w:cstheme="minorBidi"/>
          <w:b/>
          <w:bCs/>
          <w:lang w:val="en-US"/>
        </w:rPr>
      </w:pPr>
      <w:r>
        <w:rPr>
          <w:b/>
          <w:bCs/>
          <w:lang w:val="en-US"/>
        </w:rPr>
        <w:t>Table 2</w:t>
      </w:r>
      <w:r>
        <w:rPr>
          <w:b/>
          <w:bCs/>
          <w:lang w:val="en-US"/>
        </w:rPr>
        <w:tab/>
      </w:r>
      <w:r>
        <w:rPr>
          <w:b/>
          <w:bCs/>
          <w:lang w:val="en-US"/>
        </w:rPr>
        <w:tab/>
        <w:t>List of adverse reactions</w:t>
      </w:r>
    </w:p>
    <w:p w14:paraId="22611173" w14:textId="77777777" w:rsidR="00B368DC" w:rsidRDefault="00B368DC" w:rsidP="00B368DC">
      <w:pPr>
        <w:suppressAutoHyphens/>
        <w:autoSpaceDN w:val="0"/>
        <w:rPr>
          <w:rFonts w:eastAsia="Calibri"/>
          <w:lang w:val="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7"/>
        <w:gridCol w:w="3140"/>
        <w:gridCol w:w="2511"/>
      </w:tblGrid>
      <w:tr w:rsidR="00B368DC" w14:paraId="7E15C756" w14:textId="77777777" w:rsidTr="00B368DC">
        <w:trPr>
          <w:trHeight w:val="314"/>
          <w:tblHeader/>
          <w:jc w:val="center"/>
        </w:trPr>
        <w:tc>
          <w:tcPr>
            <w:tcW w:w="3426" w:type="dxa"/>
            <w:tcBorders>
              <w:top w:val="single" w:sz="4" w:space="0" w:color="000000"/>
              <w:left w:val="single" w:sz="4" w:space="0" w:color="000000"/>
              <w:bottom w:val="single" w:sz="4" w:space="0" w:color="000000"/>
              <w:right w:val="single" w:sz="4" w:space="0" w:color="000000"/>
            </w:tcBorders>
            <w:hideMark/>
          </w:tcPr>
          <w:p w14:paraId="00E73210" w14:textId="77777777" w:rsidR="00B368DC" w:rsidRDefault="00B368DC">
            <w:pPr>
              <w:widowControl w:val="0"/>
              <w:autoSpaceDE w:val="0"/>
              <w:autoSpaceDN w:val="0"/>
              <w:spacing w:before="29"/>
              <w:ind w:left="107"/>
              <w:rPr>
                <w:b/>
                <w:lang w:val="de-DE" w:eastAsia="de-DE" w:bidi="de-DE"/>
              </w:rPr>
            </w:pPr>
            <w:r>
              <w:rPr>
                <w:b/>
                <w:lang w:val="de-DE" w:eastAsia="de-DE" w:bidi="de-DE"/>
              </w:rPr>
              <w:t>System organ class</w:t>
            </w:r>
          </w:p>
        </w:tc>
        <w:tc>
          <w:tcPr>
            <w:tcW w:w="2706" w:type="dxa"/>
            <w:tcBorders>
              <w:top w:val="single" w:sz="4" w:space="0" w:color="000000"/>
              <w:left w:val="single" w:sz="4" w:space="0" w:color="000000"/>
              <w:bottom w:val="single" w:sz="4" w:space="0" w:color="000000"/>
              <w:right w:val="single" w:sz="4" w:space="0" w:color="000000"/>
            </w:tcBorders>
            <w:hideMark/>
          </w:tcPr>
          <w:p w14:paraId="407835A7" w14:textId="77777777" w:rsidR="00B368DC" w:rsidRDefault="00B368DC">
            <w:pPr>
              <w:widowControl w:val="0"/>
              <w:autoSpaceDE w:val="0"/>
              <w:autoSpaceDN w:val="0"/>
              <w:spacing w:before="29"/>
              <w:ind w:left="107"/>
              <w:rPr>
                <w:b/>
                <w:lang w:val="de-DE" w:eastAsia="de-DE" w:bidi="de-DE"/>
              </w:rPr>
            </w:pPr>
            <w:r>
              <w:rPr>
                <w:b/>
                <w:lang w:val="de-DE" w:eastAsia="de-DE" w:bidi="de-DE"/>
              </w:rPr>
              <w:t>Preferred term</w:t>
            </w:r>
          </w:p>
        </w:tc>
        <w:tc>
          <w:tcPr>
            <w:tcW w:w="2164" w:type="dxa"/>
            <w:tcBorders>
              <w:top w:val="single" w:sz="4" w:space="0" w:color="000000"/>
              <w:left w:val="single" w:sz="4" w:space="0" w:color="000000"/>
              <w:bottom w:val="single" w:sz="4" w:space="0" w:color="000000"/>
              <w:right w:val="single" w:sz="4" w:space="0" w:color="000000"/>
            </w:tcBorders>
            <w:hideMark/>
          </w:tcPr>
          <w:p w14:paraId="5EAF1717" w14:textId="77777777" w:rsidR="00B368DC" w:rsidRDefault="00B368DC">
            <w:pPr>
              <w:widowControl w:val="0"/>
              <w:autoSpaceDE w:val="0"/>
              <w:autoSpaceDN w:val="0"/>
              <w:spacing w:before="29"/>
              <w:ind w:left="107"/>
              <w:rPr>
                <w:b/>
                <w:lang w:val="de-DE" w:eastAsia="de-DE" w:bidi="de-DE"/>
              </w:rPr>
            </w:pPr>
            <w:r>
              <w:rPr>
                <w:b/>
                <w:lang w:val="de-DE" w:eastAsia="de-DE" w:bidi="de-DE"/>
              </w:rPr>
              <w:t>Frequency category</w:t>
            </w:r>
          </w:p>
        </w:tc>
      </w:tr>
      <w:tr w:rsidR="00B368DC" w14:paraId="7F563FB4" w14:textId="77777777" w:rsidTr="00B368DC">
        <w:trPr>
          <w:trHeight w:val="505"/>
          <w:jc w:val="center"/>
        </w:trPr>
        <w:tc>
          <w:tcPr>
            <w:tcW w:w="3426" w:type="dxa"/>
            <w:tcBorders>
              <w:top w:val="single" w:sz="4" w:space="0" w:color="000000"/>
              <w:left w:val="single" w:sz="4" w:space="0" w:color="000000"/>
              <w:bottom w:val="single" w:sz="4" w:space="0" w:color="000000"/>
              <w:right w:val="single" w:sz="4" w:space="0" w:color="000000"/>
            </w:tcBorders>
            <w:hideMark/>
          </w:tcPr>
          <w:p w14:paraId="248D235B" w14:textId="77777777" w:rsidR="00B368DC" w:rsidRDefault="00B368DC">
            <w:pPr>
              <w:widowControl w:val="0"/>
              <w:autoSpaceDE w:val="0"/>
              <w:autoSpaceDN w:val="0"/>
              <w:spacing w:line="254" w:lineRule="exact"/>
              <w:ind w:left="107" w:right="637"/>
              <w:rPr>
                <w:b/>
                <w:lang w:val="de-DE" w:eastAsia="de-DE" w:bidi="de-DE"/>
              </w:rPr>
            </w:pPr>
            <w:r>
              <w:rPr>
                <w:b/>
                <w:lang w:val="de-DE" w:eastAsia="de-DE" w:bidi="de-DE"/>
              </w:rPr>
              <w:t>Blood and lymphatic system disorders</w:t>
            </w:r>
          </w:p>
        </w:tc>
        <w:tc>
          <w:tcPr>
            <w:tcW w:w="2706" w:type="dxa"/>
            <w:tcBorders>
              <w:top w:val="single" w:sz="4" w:space="0" w:color="000000"/>
              <w:left w:val="single" w:sz="4" w:space="0" w:color="000000"/>
              <w:bottom w:val="single" w:sz="4" w:space="0" w:color="000000"/>
              <w:right w:val="single" w:sz="4" w:space="0" w:color="000000"/>
            </w:tcBorders>
            <w:hideMark/>
          </w:tcPr>
          <w:p w14:paraId="5592304D" w14:textId="77777777" w:rsidR="00B368DC" w:rsidRDefault="00B368DC">
            <w:pPr>
              <w:widowControl w:val="0"/>
              <w:autoSpaceDE w:val="0"/>
              <w:autoSpaceDN w:val="0"/>
              <w:spacing w:before="125"/>
              <w:ind w:left="107"/>
              <w:rPr>
                <w:lang w:val="de-DE" w:eastAsia="de-DE" w:bidi="de-DE"/>
              </w:rPr>
            </w:pPr>
            <w:r>
              <w:rPr>
                <w:lang w:val="de-DE" w:eastAsia="de-DE" w:bidi="de-DE"/>
              </w:rPr>
              <w:t>Anaemia</w:t>
            </w:r>
          </w:p>
        </w:tc>
        <w:tc>
          <w:tcPr>
            <w:tcW w:w="2164" w:type="dxa"/>
            <w:tcBorders>
              <w:top w:val="single" w:sz="4" w:space="0" w:color="000000"/>
              <w:left w:val="single" w:sz="4" w:space="0" w:color="000000"/>
              <w:bottom w:val="single" w:sz="4" w:space="0" w:color="000000"/>
              <w:right w:val="single" w:sz="4" w:space="0" w:color="000000"/>
            </w:tcBorders>
            <w:hideMark/>
          </w:tcPr>
          <w:p w14:paraId="6453D66F" w14:textId="77777777" w:rsidR="00B368DC" w:rsidRDefault="00B368DC">
            <w:pPr>
              <w:widowControl w:val="0"/>
              <w:autoSpaceDE w:val="0"/>
              <w:autoSpaceDN w:val="0"/>
              <w:spacing w:before="125"/>
              <w:ind w:left="107"/>
              <w:rPr>
                <w:lang w:val="de-DE" w:eastAsia="de-DE" w:bidi="de-DE"/>
              </w:rPr>
            </w:pPr>
            <w:r>
              <w:rPr>
                <w:lang w:val="de-DE" w:eastAsia="de-DE" w:bidi="de-DE"/>
              </w:rPr>
              <w:t>Common</w:t>
            </w:r>
          </w:p>
        </w:tc>
      </w:tr>
      <w:tr w:rsidR="00B368DC" w14:paraId="7BDEF24A" w14:textId="77777777" w:rsidTr="00B368DC">
        <w:trPr>
          <w:trHeight w:val="252"/>
          <w:jc w:val="center"/>
        </w:trPr>
        <w:tc>
          <w:tcPr>
            <w:tcW w:w="3426" w:type="dxa"/>
            <w:tcBorders>
              <w:top w:val="single" w:sz="4" w:space="0" w:color="000000"/>
              <w:left w:val="single" w:sz="4" w:space="0" w:color="000000"/>
              <w:bottom w:val="single" w:sz="4" w:space="0" w:color="000000"/>
              <w:right w:val="single" w:sz="4" w:space="0" w:color="000000"/>
            </w:tcBorders>
            <w:hideMark/>
          </w:tcPr>
          <w:p w14:paraId="2AD6E55C" w14:textId="77777777" w:rsidR="00B368DC" w:rsidRDefault="00B368DC">
            <w:pPr>
              <w:widowControl w:val="0"/>
              <w:autoSpaceDE w:val="0"/>
              <w:autoSpaceDN w:val="0"/>
              <w:spacing w:line="232" w:lineRule="exact"/>
              <w:ind w:left="107"/>
              <w:rPr>
                <w:b/>
                <w:lang w:val="de-DE" w:eastAsia="de-DE" w:bidi="de-DE"/>
              </w:rPr>
            </w:pPr>
            <w:r>
              <w:rPr>
                <w:b/>
                <w:lang w:val="de-DE" w:eastAsia="de-DE" w:bidi="de-DE"/>
              </w:rPr>
              <w:t>Immune system disorders</w:t>
            </w:r>
          </w:p>
        </w:tc>
        <w:tc>
          <w:tcPr>
            <w:tcW w:w="2706" w:type="dxa"/>
            <w:tcBorders>
              <w:top w:val="single" w:sz="4" w:space="0" w:color="000000"/>
              <w:left w:val="single" w:sz="4" w:space="0" w:color="000000"/>
              <w:bottom w:val="single" w:sz="4" w:space="0" w:color="000000"/>
              <w:right w:val="single" w:sz="4" w:space="0" w:color="000000"/>
            </w:tcBorders>
            <w:hideMark/>
          </w:tcPr>
          <w:p w14:paraId="1129D5C3" w14:textId="77777777" w:rsidR="00B368DC" w:rsidRDefault="00B368DC">
            <w:pPr>
              <w:widowControl w:val="0"/>
              <w:autoSpaceDE w:val="0"/>
              <w:autoSpaceDN w:val="0"/>
              <w:spacing w:line="232" w:lineRule="exact"/>
              <w:ind w:left="107"/>
              <w:rPr>
                <w:lang w:val="de-DE" w:eastAsia="de-DE" w:bidi="de-DE"/>
              </w:rPr>
            </w:pPr>
            <w:r>
              <w:rPr>
                <w:lang w:val="de-DE" w:eastAsia="de-DE" w:bidi="de-DE"/>
              </w:rPr>
              <w:t>Hypersensitivity</w:t>
            </w:r>
          </w:p>
        </w:tc>
        <w:tc>
          <w:tcPr>
            <w:tcW w:w="2164" w:type="dxa"/>
            <w:tcBorders>
              <w:top w:val="single" w:sz="4" w:space="0" w:color="000000"/>
              <w:left w:val="single" w:sz="4" w:space="0" w:color="000000"/>
              <w:bottom w:val="single" w:sz="4" w:space="0" w:color="000000"/>
              <w:right w:val="single" w:sz="4" w:space="0" w:color="000000"/>
            </w:tcBorders>
            <w:hideMark/>
          </w:tcPr>
          <w:p w14:paraId="0CFA5D6E" w14:textId="77777777" w:rsidR="00B368DC" w:rsidRDefault="00B368DC">
            <w:pPr>
              <w:widowControl w:val="0"/>
              <w:autoSpaceDE w:val="0"/>
              <w:autoSpaceDN w:val="0"/>
              <w:spacing w:line="232" w:lineRule="exact"/>
              <w:ind w:left="107"/>
              <w:rPr>
                <w:lang w:val="de-DE" w:eastAsia="de-DE" w:bidi="de-DE"/>
              </w:rPr>
            </w:pPr>
            <w:r>
              <w:rPr>
                <w:lang w:val="de-DE" w:eastAsia="de-DE" w:bidi="de-DE"/>
              </w:rPr>
              <w:t>Uncommon</w:t>
            </w:r>
          </w:p>
        </w:tc>
      </w:tr>
      <w:tr w:rsidR="00B368DC" w14:paraId="1DCD3608" w14:textId="77777777" w:rsidTr="00B368DC">
        <w:trPr>
          <w:trHeight w:val="251"/>
          <w:jc w:val="center"/>
        </w:trPr>
        <w:tc>
          <w:tcPr>
            <w:tcW w:w="3426" w:type="dxa"/>
            <w:vMerge w:val="restart"/>
            <w:tcBorders>
              <w:top w:val="single" w:sz="4" w:space="0" w:color="000000"/>
              <w:left w:val="single" w:sz="4" w:space="0" w:color="000000"/>
              <w:bottom w:val="single" w:sz="4" w:space="0" w:color="000000"/>
              <w:right w:val="single" w:sz="4" w:space="0" w:color="000000"/>
            </w:tcBorders>
            <w:hideMark/>
          </w:tcPr>
          <w:p w14:paraId="3301FCF7" w14:textId="77777777" w:rsidR="00B368DC" w:rsidRDefault="00B368DC">
            <w:pPr>
              <w:widowControl w:val="0"/>
              <w:autoSpaceDE w:val="0"/>
              <w:autoSpaceDN w:val="0"/>
              <w:ind w:left="107" w:right="863"/>
              <w:rPr>
                <w:b/>
                <w:lang w:val="de-DE" w:eastAsia="de-DE" w:bidi="de-DE"/>
              </w:rPr>
            </w:pPr>
            <w:r>
              <w:rPr>
                <w:b/>
                <w:lang w:val="de-DE" w:eastAsia="de-DE" w:bidi="de-DE"/>
              </w:rPr>
              <w:t>Metabolism and nutrition disorders</w:t>
            </w:r>
          </w:p>
        </w:tc>
        <w:tc>
          <w:tcPr>
            <w:tcW w:w="2706" w:type="dxa"/>
            <w:tcBorders>
              <w:top w:val="single" w:sz="4" w:space="0" w:color="000000"/>
              <w:left w:val="single" w:sz="4" w:space="0" w:color="000000"/>
              <w:bottom w:val="single" w:sz="4" w:space="0" w:color="000000"/>
              <w:right w:val="single" w:sz="4" w:space="0" w:color="000000"/>
            </w:tcBorders>
            <w:hideMark/>
          </w:tcPr>
          <w:p w14:paraId="6E5261C6" w14:textId="77777777" w:rsidR="00B368DC" w:rsidRDefault="00B368DC">
            <w:pPr>
              <w:widowControl w:val="0"/>
              <w:autoSpaceDE w:val="0"/>
              <w:autoSpaceDN w:val="0"/>
              <w:spacing w:line="232" w:lineRule="exact"/>
              <w:ind w:left="107"/>
              <w:rPr>
                <w:lang w:val="de-DE" w:eastAsia="de-DE" w:bidi="de-DE"/>
              </w:rPr>
            </w:pPr>
            <w:r>
              <w:rPr>
                <w:lang w:val="de-DE" w:eastAsia="de-DE" w:bidi="de-DE"/>
              </w:rPr>
              <w:t>Hyperkalaemia*</w:t>
            </w:r>
          </w:p>
        </w:tc>
        <w:tc>
          <w:tcPr>
            <w:tcW w:w="2164" w:type="dxa"/>
            <w:tcBorders>
              <w:top w:val="single" w:sz="4" w:space="0" w:color="000000"/>
              <w:left w:val="single" w:sz="4" w:space="0" w:color="000000"/>
              <w:bottom w:val="single" w:sz="4" w:space="0" w:color="000000"/>
              <w:right w:val="single" w:sz="4" w:space="0" w:color="000000"/>
            </w:tcBorders>
            <w:hideMark/>
          </w:tcPr>
          <w:p w14:paraId="697DE529" w14:textId="77777777" w:rsidR="00B368DC" w:rsidRDefault="00B368DC">
            <w:pPr>
              <w:widowControl w:val="0"/>
              <w:autoSpaceDE w:val="0"/>
              <w:autoSpaceDN w:val="0"/>
              <w:spacing w:line="232" w:lineRule="exact"/>
              <w:ind w:left="107"/>
              <w:rPr>
                <w:lang w:val="de-DE" w:eastAsia="de-DE" w:bidi="de-DE"/>
              </w:rPr>
            </w:pPr>
            <w:r>
              <w:rPr>
                <w:lang w:val="de-DE" w:eastAsia="de-DE" w:bidi="de-DE"/>
              </w:rPr>
              <w:t>Very common</w:t>
            </w:r>
          </w:p>
        </w:tc>
      </w:tr>
      <w:tr w:rsidR="00B368DC" w14:paraId="2553962E" w14:textId="77777777" w:rsidTr="00B368DC">
        <w:trPr>
          <w:trHeight w:val="253"/>
          <w:jc w:val="center"/>
        </w:trPr>
        <w:tc>
          <w:tcPr>
            <w:tcW w:w="3426" w:type="dxa"/>
            <w:vMerge/>
            <w:tcBorders>
              <w:top w:val="single" w:sz="4" w:space="0" w:color="000000"/>
              <w:left w:val="single" w:sz="4" w:space="0" w:color="000000"/>
              <w:bottom w:val="single" w:sz="4" w:space="0" w:color="000000"/>
              <w:right w:val="single" w:sz="4" w:space="0" w:color="000000"/>
            </w:tcBorders>
            <w:vAlign w:val="center"/>
            <w:hideMark/>
          </w:tcPr>
          <w:p w14:paraId="649E861A" w14:textId="77777777" w:rsidR="00B368DC" w:rsidRDefault="00B368DC">
            <w:pPr>
              <w:rPr>
                <w:b/>
                <w:sz w:val="22"/>
                <w:szCs w:val="22"/>
                <w:lang w:val="de-DE" w:eastAsia="de-DE" w:bidi="de-DE"/>
              </w:rPr>
            </w:pPr>
          </w:p>
        </w:tc>
        <w:tc>
          <w:tcPr>
            <w:tcW w:w="2706" w:type="dxa"/>
            <w:tcBorders>
              <w:top w:val="single" w:sz="4" w:space="0" w:color="000000"/>
              <w:left w:val="single" w:sz="4" w:space="0" w:color="000000"/>
              <w:bottom w:val="single" w:sz="4" w:space="0" w:color="000000"/>
              <w:right w:val="single" w:sz="4" w:space="0" w:color="000000"/>
            </w:tcBorders>
            <w:hideMark/>
          </w:tcPr>
          <w:p w14:paraId="308B924D" w14:textId="77777777" w:rsidR="00B368DC" w:rsidRDefault="00B368DC">
            <w:pPr>
              <w:widowControl w:val="0"/>
              <w:autoSpaceDE w:val="0"/>
              <w:autoSpaceDN w:val="0"/>
              <w:spacing w:line="234" w:lineRule="exact"/>
              <w:ind w:left="107"/>
              <w:rPr>
                <w:lang w:val="de-DE" w:eastAsia="de-DE" w:bidi="de-DE"/>
              </w:rPr>
            </w:pPr>
            <w:r>
              <w:rPr>
                <w:lang w:val="de-DE" w:eastAsia="de-DE" w:bidi="de-DE"/>
              </w:rPr>
              <w:t>Hypokalaemia</w:t>
            </w:r>
          </w:p>
        </w:tc>
        <w:tc>
          <w:tcPr>
            <w:tcW w:w="2164" w:type="dxa"/>
            <w:tcBorders>
              <w:top w:val="single" w:sz="4" w:space="0" w:color="000000"/>
              <w:left w:val="single" w:sz="4" w:space="0" w:color="000000"/>
              <w:bottom w:val="single" w:sz="4" w:space="0" w:color="000000"/>
              <w:right w:val="single" w:sz="4" w:space="0" w:color="000000"/>
            </w:tcBorders>
            <w:hideMark/>
          </w:tcPr>
          <w:p w14:paraId="75785B4D" w14:textId="77777777" w:rsidR="00B368DC" w:rsidRDefault="00B368DC">
            <w:pPr>
              <w:widowControl w:val="0"/>
              <w:autoSpaceDE w:val="0"/>
              <w:autoSpaceDN w:val="0"/>
              <w:spacing w:line="234" w:lineRule="exact"/>
              <w:ind w:left="107"/>
              <w:rPr>
                <w:lang w:val="de-DE" w:eastAsia="de-DE" w:bidi="de-DE"/>
              </w:rPr>
            </w:pPr>
            <w:r>
              <w:rPr>
                <w:lang w:val="de-DE" w:eastAsia="de-DE" w:bidi="de-DE"/>
              </w:rPr>
              <w:t>Common</w:t>
            </w:r>
          </w:p>
        </w:tc>
      </w:tr>
      <w:tr w:rsidR="00B368DC" w14:paraId="2A8020E1" w14:textId="77777777" w:rsidTr="00B368DC">
        <w:trPr>
          <w:trHeight w:val="252"/>
          <w:jc w:val="center"/>
        </w:trPr>
        <w:tc>
          <w:tcPr>
            <w:tcW w:w="3426" w:type="dxa"/>
            <w:vMerge/>
            <w:tcBorders>
              <w:top w:val="single" w:sz="4" w:space="0" w:color="000000"/>
              <w:left w:val="single" w:sz="4" w:space="0" w:color="000000"/>
              <w:bottom w:val="single" w:sz="4" w:space="0" w:color="000000"/>
              <w:right w:val="single" w:sz="4" w:space="0" w:color="000000"/>
            </w:tcBorders>
            <w:vAlign w:val="center"/>
            <w:hideMark/>
          </w:tcPr>
          <w:p w14:paraId="12B52A45" w14:textId="77777777" w:rsidR="00B368DC" w:rsidRDefault="00B368DC">
            <w:pPr>
              <w:rPr>
                <w:b/>
                <w:sz w:val="22"/>
                <w:szCs w:val="22"/>
                <w:lang w:val="de-DE" w:eastAsia="de-DE" w:bidi="de-DE"/>
              </w:rPr>
            </w:pPr>
          </w:p>
        </w:tc>
        <w:tc>
          <w:tcPr>
            <w:tcW w:w="2706" w:type="dxa"/>
            <w:tcBorders>
              <w:top w:val="single" w:sz="4" w:space="0" w:color="000000"/>
              <w:left w:val="single" w:sz="4" w:space="0" w:color="000000"/>
              <w:bottom w:val="single" w:sz="4" w:space="0" w:color="000000"/>
              <w:right w:val="single" w:sz="4" w:space="0" w:color="000000"/>
            </w:tcBorders>
            <w:hideMark/>
          </w:tcPr>
          <w:p w14:paraId="4B235E73" w14:textId="77777777" w:rsidR="00B368DC" w:rsidRDefault="00B368DC">
            <w:pPr>
              <w:widowControl w:val="0"/>
              <w:autoSpaceDE w:val="0"/>
              <w:autoSpaceDN w:val="0"/>
              <w:spacing w:line="232" w:lineRule="exact"/>
              <w:ind w:left="107"/>
              <w:rPr>
                <w:lang w:val="de-DE" w:eastAsia="de-DE" w:bidi="de-DE"/>
              </w:rPr>
            </w:pPr>
            <w:r>
              <w:rPr>
                <w:lang w:val="de-DE" w:eastAsia="de-DE" w:bidi="de-DE"/>
              </w:rPr>
              <w:t>Hypoglycaemia</w:t>
            </w:r>
          </w:p>
        </w:tc>
        <w:tc>
          <w:tcPr>
            <w:tcW w:w="2164" w:type="dxa"/>
            <w:tcBorders>
              <w:top w:val="single" w:sz="4" w:space="0" w:color="000000"/>
              <w:left w:val="single" w:sz="4" w:space="0" w:color="000000"/>
              <w:bottom w:val="single" w:sz="4" w:space="0" w:color="000000"/>
              <w:right w:val="single" w:sz="4" w:space="0" w:color="000000"/>
            </w:tcBorders>
            <w:hideMark/>
          </w:tcPr>
          <w:p w14:paraId="26EB4343" w14:textId="77777777" w:rsidR="00B368DC" w:rsidRDefault="00B368DC">
            <w:pPr>
              <w:widowControl w:val="0"/>
              <w:autoSpaceDE w:val="0"/>
              <w:autoSpaceDN w:val="0"/>
              <w:spacing w:line="232" w:lineRule="exact"/>
              <w:ind w:left="107"/>
              <w:rPr>
                <w:lang w:val="de-DE" w:eastAsia="de-DE" w:bidi="de-DE"/>
              </w:rPr>
            </w:pPr>
            <w:r>
              <w:rPr>
                <w:lang w:val="de-DE" w:eastAsia="de-DE" w:bidi="de-DE"/>
              </w:rPr>
              <w:t>Common</w:t>
            </w:r>
          </w:p>
        </w:tc>
      </w:tr>
      <w:tr w:rsidR="00B368DC" w14:paraId="210CD6BD" w14:textId="77777777" w:rsidTr="00B368DC">
        <w:trPr>
          <w:trHeight w:val="254"/>
          <w:jc w:val="center"/>
        </w:trPr>
        <w:tc>
          <w:tcPr>
            <w:tcW w:w="3426" w:type="dxa"/>
            <w:vMerge/>
            <w:tcBorders>
              <w:top w:val="single" w:sz="4" w:space="0" w:color="000000"/>
              <w:left w:val="single" w:sz="4" w:space="0" w:color="000000"/>
              <w:bottom w:val="single" w:sz="4" w:space="0" w:color="000000"/>
              <w:right w:val="single" w:sz="4" w:space="0" w:color="000000"/>
            </w:tcBorders>
            <w:vAlign w:val="center"/>
            <w:hideMark/>
          </w:tcPr>
          <w:p w14:paraId="107A32C8" w14:textId="77777777" w:rsidR="00B368DC" w:rsidRDefault="00B368DC">
            <w:pPr>
              <w:rPr>
                <w:b/>
                <w:sz w:val="22"/>
                <w:szCs w:val="22"/>
                <w:lang w:val="de-DE" w:eastAsia="de-DE" w:bidi="de-DE"/>
              </w:rPr>
            </w:pPr>
          </w:p>
        </w:tc>
        <w:tc>
          <w:tcPr>
            <w:tcW w:w="2706" w:type="dxa"/>
            <w:tcBorders>
              <w:top w:val="single" w:sz="4" w:space="0" w:color="000000"/>
              <w:left w:val="single" w:sz="4" w:space="0" w:color="000000"/>
              <w:bottom w:val="single" w:sz="4" w:space="0" w:color="000000"/>
              <w:right w:val="single" w:sz="4" w:space="0" w:color="000000"/>
            </w:tcBorders>
            <w:hideMark/>
          </w:tcPr>
          <w:p w14:paraId="3AFACA5E" w14:textId="77777777" w:rsidR="00B368DC" w:rsidRDefault="00B368DC">
            <w:pPr>
              <w:widowControl w:val="0"/>
              <w:autoSpaceDE w:val="0"/>
              <w:autoSpaceDN w:val="0"/>
              <w:spacing w:before="1" w:line="233" w:lineRule="exact"/>
              <w:ind w:left="107"/>
              <w:rPr>
                <w:lang w:val="de-DE" w:eastAsia="de-DE" w:bidi="de-DE"/>
              </w:rPr>
            </w:pPr>
            <w:r>
              <w:rPr>
                <w:lang w:val="de-DE" w:eastAsia="de-DE" w:bidi="de-DE"/>
              </w:rPr>
              <w:t>Hyponatraemia</w:t>
            </w:r>
          </w:p>
        </w:tc>
        <w:tc>
          <w:tcPr>
            <w:tcW w:w="2164" w:type="dxa"/>
            <w:tcBorders>
              <w:top w:val="single" w:sz="4" w:space="0" w:color="000000"/>
              <w:left w:val="single" w:sz="4" w:space="0" w:color="000000"/>
              <w:bottom w:val="single" w:sz="4" w:space="0" w:color="000000"/>
              <w:right w:val="single" w:sz="4" w:space="0" w:color="000000"/>
            </w:tcBorders>
            <w:hideMark/>
          </w:tcPr>
          <w:p w14:paraId="42325C54" w14:textId="77777777" w:rsidR="00B368DC" w:rsidRDefault="00B368DC">
            <w:pPr>
              <w:widowControl w:val="0"/>
              <w:autoSpaceDE w:val="0"/>
              <w:autoSpaceDN w:val="0"/>
              <w:spacing w:before="1" w:line="233" w:lineRule="exact"/>
              <w:ind w:left="107"/>
              <w:rPr>
                <w:lang w:val="de-DE" w:eastAsia="de-DE" w:bidi="de-DE"/>
              </w:rPr>
            </w:pPr>
            <w:r>
              <w:rPr>
                <w:lang w:val="de-DE" w:eastAsia="de-DE" w:bidi="de-DE"/>
              </w:rPr>
              <w:t>Uncommon</w:t>
            </w:r>
          </w:p>
        </w:tc>
      </w:tr>
      <w:tr w:rsidR="00B368DC" w14:paraId="183DB952" w14:textId="77777777" w:rsidTr="00B368DC">
        <w:trPr>
          <w:trHeight w:val="253"/>
          <w:jc w:val="center"/>
        </w:trPr>
        <w:tc>
          <w:tcPr>
            <w:tcW w:w="3426" w:type="dxa"/>
            <w:vMerge w:val="restart"/>
            <w:tcBorders>
              <w:top w:val="single" w:sz="4" w:space="0" w:color="000000"/>
              <w:left w:val="single" w:sz="4" w:space="0" w:color="000000"/>
              <w:bottom w:val="single" w:sz="4" w:space="0" w:color="000000"/>
              <w:right w:val="single" w:sz="4" w:space="0" w:color="000000"/>
            </w:tcBorders>
            <w:hideMark/>
          </w:tcPr>
          <w:p w14:paraId="0496CA6F" w14:textId="77777777" w:rsidR="00B368DC" w:rsidRDefault="00B368DC">
            <w:pPr>
              <w:widowControl w:val="0"/>
              <w:autoSpaceDE w:val="0"/>
              <w:autoSpaceDN w:val="0"/>
              <w:spacing w:line="251" w:lineRule="exact"/>
              <w:ind w:left="107"/>
              <w:rPr>
                <w:b/>
                <w:lang w:val="de-DE" w:eastAsia="de-DE" w:bidi="de-DE"/>
              </w:rPr>
            </w:pPr>
            <w:r>
              <w:rPr>
                <w:b/>
                <w:lang w:val="de-DE" w:eastAsia="de-DE" w:bidi="de-DE"/>
              </w:rPr>
              <w:t>Psychiatric disorders</w:t>
            </w:r>
          </w:p>
        </w:tc>
        <w:tc>
          <w:tcPr>
            <w:tcW w:w="2706" w:type="dxa"/>
            <w:tcBorders>
              <w:top w:val="single" w:sz="4" w:space="0" w:color="000000"/>
              <w:left w:val="single" w:sz="4" w:space="0" w:color="000000"/>
              <w:bottom w:val="single" w:sz="4" w:space="0" w:color="000000"/>
              <w:right w:val="single" w:sz="4" w:space="0" w:color="000000"/>
            </w:tcBorders>
            <w:hideMark/>
          </w:tcPr>
          <w:p w14:paraId="27E0B986" w14:textId="77777777" w:rsidR="00B368DC" w:rsidRDefault="00B368DC">
            <w:pPr>
              <w:widowControl w:val="0"/>
              <w:autoSpaceDE w:val="0"/>
              <w:autoSpaceDN w:val="0"/>
              <w:spacing w:line="234" w:lineRule="exact"/>
              <w:ind w:left="107"/>
              <w:rPr>
                <w:lang w:val="de-DE" w:eastAsia="de-DE" w:bidi="de-DE"/>
              </w:rPr>
            </w:pPr>
            <w:r>
              <w:rPr>
                <w:lang w:val="de-DE" w:eastAsia="de-DE" w:bidi="de-DE"/>
              </w:rPr>
              <w:t>Hallucinations**</w:t>
            </w:r>
          </w:p>
        </w:tc>
        <w:tc>
          <w:tcPr>
            <w:tcW w:w="2164" w:type="dxa"/>
            <w:tcBorders>
              <w:top w:val="single" w:sz="4" w:space="0" w:color="000000"/>
              <w:left w:val="single" w:sz="4" w:space="0" w:color="000000"/>
              <w:bottom w:val="single" w:sz="4" w:space="0" w:color="000000"/>
              <w:right w:val="single" w:sz="4" w:space="0" w:color="000000"/>
            </w:tcBorders>
            <w:hideMark/>
          </w:tcPr>
          <w:p w14:paraId="733A222B" w14:textId="77777777" w:rsidR="00B368DC" w:rsidRDefault="00B368DC">
            <w:pPr>
              <w:widowControl w:val="0"/>
              <w:autoSpaceDE w:val="0"/>
              <w:autoSpaceDN w:val="0"/>
              <w:spacing w:line="234" w:lineRule="exact"/>
              <w:ind w:left="107"/>
              <w:rPr>
                <w:lang w:val="de-DE" w:eastAsia="de-DE" w:bidi="de-DE"/>
              </w:rPr>
            </w:pPr>
            <w:r>
              <w:rPr>
                <w:lang w:val="de-DE" w:eastAsia="de-DE" w:bidi="de-DE"/>
              </w:rPr>
              <w:t>Rare</w:t>
            </w:r>
          </w:p>
        </w:tc>
      </w:tr>
      <w:tr w:rsidR="00B368DC" w14:paraId="0E79CED2" w14:textId="77777777" w:rsidTr="00B368DC">
        <w:trPr>
          <w:trHeight w:val="251"/>
          <w:jc w:val="center"/>
        </w:trPr>
        <w:tc>
          <w:tcPr>
            <w:tcW w:w="3426" w:type="dxa"/>
            <w:vMerge/>
            <w:tcBorders>
              <w:top w:val="single" w:sz="4" w:space="0" w:color="000000"/>
              <w:left w:val="single" w:sz="4" w:space="0" w:color="000000"/>
              <w:bottom w:val="single" w:sz="4" w:space="0" w:color="000000"/>
              <w:right w:val="single" w:sz="4" w:space="0" w:color="000000"/>
            </w:tcBorders>
            <w:vAlign w:val="center"/>
            <w:hideMark/>
          </w:tcPr>
          <w:p w14:paraId="12FB2F45" w14:textId="77777777" w:rsidR="00B368DC" w:rsidRDefault="00B368DC">
            <w:pPr>
              <w:rPr>
                <w:b/>
                <w:sz w:val="22"/>
                <w:szCs w:val="22"/>
                <w:lang w:val="de-DE" w:eastAsia="de-DE" w:bidi="de-DE"/>
              </w:rPr>
            </w:pPr>
          </w:p>
        </w:tc>
        <w:tc>
          <w:tcPr>
            <w:tcW w:w="2706" w:type="dxa"/>
            <w:tcBorders>
              <w:top w:val="single" w:sz="4" w:space="0" w:color="000000"/>
              <w:left w:val="single" w:sz="4" w:space="0" w:color="000000"/>
              <w:bottom w:val="single" w:sz="4" w:space="0" w:color="000000"/>
              <w:right w:val="single" w:sz="4" w:space="0" w:color="000000"/>
            </w:tcBorders>
            <w:hideMark/>
          </w:tcPr>
          <w:p w14:paraId="4951318C" w14:textId="77777777" w:rsidR="00B368DC" w:rsidRDefault="00B368DC">
            <w:pPr>
              <w:widowControl w:val="0"/>
              <w:autoSpaceDE w:val="0"/>
              <w:autoSpaceDN w:val="0"/>
              <w:spacing w:line="232" w:lineRule="exact"/>
              <w:ind w:left="107"/>
              <w:rPr>
                <w:lang w:val="de-DE" w:eastAsia="de-DE" w:bidi="de-DE"/>
              </w:rPr>
            </w:pPr>
            <w:r>
              <w:rPr>
                <w:lang w:val="de-DE" w:eastAsia="de-DE" w:bidi="de-DE"/>
              </w:rPr>
              <w:t>Sleep disorders</w:t>
            </w:r>
          </w:p>
        </w:tc>
        <w:tc>
          <w:tcPr>
            <w:tcW w:w="2164" w:type="dxa"/>
            <w:tcBorders>
              <w:top w:val="single" w:sz="4" w:space="0" w:color="000000"/>
              <w:left w:val="single" w:sz="4" w:space="0" w:color="000000"/>
              <w:bottom w:val="single" w:sz="4" w:space="0" w:color="000000"/>
              <w:right w:val="single" w:sz="4" w:space="0" w:color="000000"/>
            </w:tcBorders>
            <w:hideMark/>
          </w:tcPr>
          <w:p w14:paraId="4AE6ACA3" w14:textId="77777777" w:rsidR="00B368DC" w:rsidRDefault="00B368DC">
            <w:pPr>
              <w:widowControl w:val="0"/>
              <w:autoSpaceDE w:val="0"/>
              <w:autoSpaceDN w:val="0"/>
              <w:spacing w:line="232" w:lineRule="exact"/>
              <w:ind w:left="107"/>
              <w:rPr>
                <w:lang w:val="de-DE" w:eastAsia="de-DE" w:bidi="de-DE"/>
              </w:rPr>
            </w:pPr>
            <w:r>
              <w:rPr>
                <w:lang w:val="de-DE" w:eastAsia="de-DE" w:bidi="de-DE"/>
              </w:rPr>
              <w:t>Rare</w:t>
            </w:r>
          </w:p>
        </w:tc>
      </w:tr>
      <w:tr w:rsidR="00B368DC" w14:paraId="38A103CD" w14:textId="77777777" w:rsidTr="00B368DC">
        <w:trPr>
          <w:trHeight w:val="253"/>
          <w:jc w:val="center"/>
        </w:trPr>
        <w:tc>
          <w:tcPr>
            <w:tcW w:w="3426" w:type="dxa"/>
            <w:vMerge/>
            <w:tcBorders>
              <w:top w:val="single" w:sz="4" w:space="0" w:color="000000"/>
              <w:left w:val="single" w:sz="4" w:space="0" w:color="000000"/>
              <w:bottom w:val="single" w:sz="4" w:space="0" w:color="000000"/>
              <w:right w:val="single" w:sz="4" w:space="0" w:color="000000"/>
            </w:tcBorders>
            <w:vAlign w:val="center"/>
            <w:hideMark/>
          </w:tcPr>
          <w:p w14:paraId="72000D73" w14:textId="77777777" w:rsidR="00B368DC" w:rsidRDefault="00B368DC">
            <w:pPr>
              <w:rPr>
                <w:b/>
                <w:sz w:val="22"/>
                <w:szCs w:val="22"/>
                <w:lang w:val="de-DE" w:eastAsia="de-DE" w:bidi="de-DE"/>
              </w:rPr>
            </w:pPr>
          </w:p>
        </w:tc>
        <w:tc>
          <w:tcPr>
            <w:tcW w:w="2706" w:type="dxa"/>
            <w:tcBorders>
              <w:top w:val="single" w:sz="4" w:space="0" w:color="000000"/>
              <w:left w:val="single" w:sz="4" w:space="0" w:color="000000"/>
              <w:bottom w:val="single" w:sz="4" w:space="0" w:color="000000"/>
              <w:right w:val="single" w:sz="4" w:space="0" w:color="000000"/>
            </w:tcBorders>
            <w:hideMark/>
          </w:tcPr>
          <w:p w14:paraId="0710F9B4" w14:textId="77777777" w:rsidR="00B368DC" w:rsidRDefault="00B368DC">
            <w:pPr>
              <w:widowControl w:val="0"/>
              <w:autoSpaceDE w:val="0"/>
              <w:autoSpaceDN w:val="0"/>
              <w:spacing w:line="234" w:lineRule="exact"/>
              <w:ind w:left="107"/>
              <w:rPr>
                <w:lang w:val="de-DE" w:eastAsia="de-DE" w:bidi="de-DE"/>
              </w:rPr>
            </w:pPr>
            <w:r>
              <w:rPr>
                <w:lang w:val="de-DE" w:eastAsia="de-DE" w:bidi="de-DE"/>
              </w:rPr>
              <w:t>Paranoia</w:t>
            </w:r>
          </w:p>
        </w:tc>
        <w:tc>
          <w:tcPr>
            <w:tcW w:w="2164" w:type="dxa"/>
            <w:tcBorders>
              <w:top w:val="single" w:sz="4" w:space="0" w:color="000000"/>
              <w:left w:val="single" w:sz="4" w:space="0" w:color="000000"/>
              <w:bottom w:val="single" w:sz="4" w:space="0" w:color="000000"/>
              <w:right w:val="single" w:sz="4" w:space="0" w:color="000000"/>
            </w:tcBorders>
            <w:hideMark/>
          </w:tcPr>
          <w:p w14:paraId="31482ADC" w14:textId="77777777" w:rsidR="00B368DC" w:rsidRDefault="00B368DC">
            <w:pPr>
              <w:widowControl w:val="0"/>
              <w:autoSpaceDE w:val="0"/>
              <w:autoSpaceDN w:val="0"/>
              <w:spacing w:line="234" w:lineRule="exact"/>
              <w:ind w:left="107"/>
              <w:rPr>
                <w:lang w:val="de-DE" w:eastAsia="de-DE" w:bidi="de-DE"/>
              </w:rPr>
            </w:pPr>
            <w:r>
              <w:rPr>
                <w:lang w:val="de-DE" w:eastAsia="de-DE" w:bidi="de-DE"/>
              </w:rPr>
              <w:t>Very rare</w:t>
            </w:r>
          </w:p>
        </w:tc>
      </w:tr>
      <w:tr w:rsidR="00B368DC" w14:paraId="48D5B44D" w14:textId="77777777" w:rsidTr="00B368DC">
        <w:trPr>
          <w:trHeight w:val="251"/>
          <w:jc w:val="center"/>
        </w:trPr>
        <w:tc>
          <w:tcPr>
            <w:tcW w:w="3426" w:type="dxa"/>
            <w:vMerge w:val="restart"/>
            <w:tcBorders>
              <w:top w:val="single" w:sz="4" w:space="0" w:color="000000"/>
              <w:left w:val="single" w:sz="4" w:space="0" w:color="000000"/>
              <w:bottom w:val="single" w:sz="4" w:space="0" w:color="000000"/>
              <w:right w:val="single" w:sz="4" w:space="0" w:color="000000"/>
            </w:tcBorders>
            <w:hideMark/>
          </w:tcPr>
          <w:p w14:paraId="141BAD10" w14:textId="77777777" w:rsidR="00B368DC" w:rsidRDefault="00B368DC">
            <w:pPr>
              <w:widowControl w:val="0"/>
              <w:autoSpaceDE w:val="0"/>
              <w:autoSpaceDN w:val="0"/>
              <w:spacing w:line="251" w:lineRule="exact"/>
              <w:ind w:left="107"/>
              <w:rPr>
                <w:b/>
                <w:lang w:val="de-DE" w:eastAsia="de-DE" w:bidi="de-DE"/>
              </w:rPr>
            </w:pPr>
            <w:r>
              <w:rPr>
                <w:b/>
                <w:lang w:val="de-DE" w:eastAsia="de-DE" w:bidi="de-DE"/>
              </w:rPr>
              <w:t>Nervous system disorders</w:t>
            </w:r>
          </w:p>
        </w:tc>
        <w:tc>
          <w:tcPr>
            <w:tcW w:w="2706" w:type="dxa"/>
            <w:tcBorders>
              <w:top w:val="single" w:sz="4" w:space="0" w:color="000000"/>
              <w:left w:val="single" w:sz="4" w:space="0" w:color="000000"/>
              <w:bottom w:val="single" w:sz="4" w:space="0" w:color="000000"/>
              <w:right w:val="single" w:sz="4" w:space="0" w:color="000000"/>
            </w:tcBorders>
            <w:hideMark/>
          </w:tcPr>
          <w:p w14:paraId="04CAED46" w14:textId="77777777" w:rsidR="00B368DC" w:rsidRDefault="00B368DC">
            <w:pPr>
              <w:widowControl w:val="0"/>
              <w:autoSpaceDE w:val="0"/>
              <w:autoSpaceDN w:val="0"/>
              <w:spacing w:line="232" w:lineRule="exact"/>
              <w:ind w:left="107"/>
              <w:rPr>
                <w:lang w:val="de-DE" w:eastAsia="de-DE" w:bidi="de-DE"/>
              </w:rPr>
            </w:pPr>
            <w:r>
              <w:rPr>
                <w:lang w:val="de-DE" w:eastAsia="de-DE" w:bidi="de-DE"/>
              </w:rPr>
              <w:t>Dizziness</w:t>
            </w:r>
          </w:p>
        </w:tc>
        <w:tc>
          <w:tcPr>
            <w:tcW w:w="2164" w:type="dxa"/>
            <w:tcBorders>
              <w:top w:val="single" w:sz="4" w:space="0" w:color="000000"/>
              <w:left w:val="single" w:sz="4" w:space="0" w:color="000000"/>
              <w:bottom w:val="single" w:sz="4" w:space="0" w:color="000000"/>
              <w:right w:val="single" w:sz="4" w:space="0" w:color="000000"/>
            </w:tcBorders>
            <w:hideMark/>
          </w:tcPr>
          <w:p w14:paraId="77FD3B37" w14:textId="77777777" w:rsidR="00B368DC" w:rsidRDefault="00B368DC">
            <w:pPr>
              <w:widowControl w:val="0"/>
              <w:autoSpaceDE w:val="0"/>
              <w:autoSpaceDN w:val="0"/>
              <w:spacing w:line="232" w:lineRule="exact"/>
              <w:ind w:left="107"/>
              <w:rPr>
                <w:lang w:val="de-DE" w:eastAsia="de-DE" w:bidi="de-DE"/>
              </w:rPr>
            </w:pPr>
            <w:r>
              <w:rPr>
                <w:lang w:val="de-DE" w:eastAsia="de-DE" w:bidi="de-DE"/>
              </w:rPr>
              <w:t>Common</w:t>
            </w:r>
          </w:p>
        </w:tc>
      </w:tr>
      <w:tr w:rsidR="00B368DC" w14:paraId="311D2788" w14:textId="77777777" w:rsidTr="00B368DC">
        <w:trPr>
          <w:trHeight w:val="253"/>
          <w:jc w:val="center"/>
        </w:trPr>
        <w:tc>
          <w:tcPr>
            <w:tcW w:w="3426" w:type="dxa"/>
            <w:vMerge/>
            <w:tcBorders>
              <w:top w:val="single" w:sz="4" w:space="0" w:color="000000"/>
              <w:left w:val="single" w:sz="4" w:space="0" w:color="000000"/>
              <w:bottom w:val="single" w:sz="4" w:space="0" w:color="000000"/>
              <w:right w:val="single" w:sz="4" w:space="0" w:color="000000"/>
            </w:tcBorders>
            <w:vAlign w:val="center"/>
            <w:hideMark/>
          </w:tcPr>
          <w:p w14:paraId="4972C99C" w14:textId="77777777" w:rsidR="00B368DC" w:rsidRDefault="00B368DC">
            <w:pPr>
              <w:rPr>
                <w:b/>
                <w:sz w:val="22"/>
                <w:szCs w:val="22"/>
                <w:lang w:val="de-DE" w:eastAsia="de-DE" w:bidi="de-DE"/>
              </w:rPr>
            </w:pPr>
          </w:p>
        </w:tc>
        <w:tc>
          <w:tcPr>
            <w:tcW w:w="2706" w:type="dxa"/>
            <w:tcBorders>
              <w:top w:val="single" w:sz="4" w:space="0" w:color="000000"/>
              <w:left w:val="single" w:sz="4" w:space="0" w:color="000000"/>
              <w:bottom w:val="single" w:sz="4" w:space="0" w:color="000000"/>
              <w:right w:val="single" w:sz="4" w:space="0" w:color="000000"/>
            </w:tcBorders>
            <w:hideMark/>
          </w:tcPr>
          <w:p w14:paraId="53AD4521" w14:textId="77777777" w:rsidR="00B368DC" w:rsidRDefault="00B368DC">
            <w:pPr>
              <w:widowControl w:val="0"/>
              <w:autoSpaceDE w:val="0"/>
              <w:autoSpaceDN w:val="0"/>
              <w:spacing w:line="234" w:lineRule="exact"/>
              <w:ind w:left="107"/>
              <w:rPr>
                <w:lang w:val="de-DE" w:eastAsia="de-DE" w:bidi="de-DE"/>
              </w:rPr>
            </w:pPr>
            <w:r>
              <w:rPr>
                <w:lang w:val="de-DE" w:eastAsia="de-DE" w:bidi="de-DE"/>
              </w:rPr>
              <w:t>Headache</w:t>
            </w:r>
          </w:p>
        </w:tc>
        <w:tc>
          <w:tcPr>
            <w:tcW w:w="2164" w:type="dxa"/>
            <w:tcBorders>
              <w:top w:val="single" w:sz="4" w:space="0" w:color="000000"/>
              <w:left w:val="single" w:sz="4" w:space="0" w:color="000000"/>
              <w:bottom w:val="single" w:sz="4" w:space="0" w:color="000000"/>
              <w:right w:val="single" w:sz="4" w:space="0" w:color="000000"/>
            </w:tcBorders>
            <w:hideMark/>
          </w:tcPr>
          <w:p w14:paraId="3941EC90" w14:textId="77777777" w:rsidR="00B368DC" w:rsidRDefault="00B368DC">
            <w:pPr>
              <w:widowControl w:val="0"/>
              <w:autoSpaceDE w:val="0"/>
              <w:autoSpaceDN w:val="0"/>
              <w:spacing w:line="234" w:lineRule="exact"/>
              <w:ind w:left="107"/>
              <w:rPr>
                <w:lang w:val="de-DE" w:eastAsia="de-DE" w:bidi="de-DE"/>
              </w:rPr>
            </w:pPr>
            <w:r>
              <w:rPr>
                <w:lang w:val="de-DE" w:eastAsia="de-DE" w:bidi="de-DE"/>
              </w:rPr>
              <w:t>Common</w:t>
            </w:r>
          </w:p>
        </w:tc>
      </w:tr>
      <w:tr w:rsidR="00B368DC" w14:paraId="0D7BF7A0" w14:textId="77777777" w:rsidTr="00B368DC">
        <w:trPr>
          <w:trHeight w:val="251"/>
          <w:jc w:val="center"/>
        </w:trPr>
        <w:tc>
          <w:tcPr>
            <w:tcW w:w="3426" w:type="dxa"/>
            <w:vMerge/>
            <w:tcBorders>
              <w:top w:val="single" w:sz="4" w:space="0" w:color="000000"/>
              <w:left w:val="single" w:sz="4" w:space="0" w:color="000000"/>
              <w:bottom w:val="single" w:sz="4" w:space="0" w:color="000000"/>
              <w:right w:val="single" w:sz="4" w:space="0" w:color="000000"/>
            </w:tcBorders>
            <w:vAlign w:val="center"/>
            <w:hideMark/>
          </w:tcPr>
          <w:p w14:paraId="4682505E" w14:textId="77777777" w:rsidR="00B368DC" w:rsidRDefault="00B368DC">
            <w:pPr>
              <w:rPr>
                <w:b/>
                <w:sz w:val="22"/>
                <w:szCs w:val="22"/>
                <w:lang w:val="de-DE" w:eastAsia="de-DE" w:bidi="de-DE"/>
              </w:rPr>
            </w:pPr>
          </w:p>
        </w:tc>
        <w:tc>
          <w:tcPr>
            <w:tcW w:w="2706" w:type="dxa"/>
            <w:tcBorders>
              <w:top w:val="single" w:sz="4" w:space="0" w:color="000000"/>
              <w:left w:val="single" w:sz="4" w:space="0" w:color="000000"/>
              <w:bottom w:val="single" w:sz="4" w:space="0" w:color="000000"/>
              <w:right w:val="single" w:sz="4" w:space="0" w:color="000000"/>
            </w:tcBorders>
            <w:hideMark/>
          </w:tcPr>
          <w:p w14:paraId="1051F653" w14:textId="77777777" w:rsidR="00B368DC" w:rsidRDefault="00B368DC">
            <w:pPr>
              <w:widowControl w:val="0"/>
              <w:autoSpaceDE w:val="0"/>
              <w:autoSpaceDN w:val="0"/>
              <w:spacing w:line="232" w:lineRule="exact"/>
              <w:ind w:left="107"/>
              <w:rPr>
                <w:lang w:val="de-DE" w:eastAsia="de-DE" w:bidi="de-DE"/>
              </w:rPr>
            </w:pPr>
            <w:r>
              <w:rPr>
                <w:lang w:val="de-DE" w:eastAsia="de-DE" w:bidi="de-DE"/>
              </w:rPr>
              <w:t>Syncope</w:t>
            </w:r>
          </w:p>
        </w:tc>
        <w:tc>
          <w:tcPr>
            <w:tcW w:w="2164" w:type="dxa"/>
            <w:tcBorders>
              <w:top w:val="single" w:sz="4" w:space="0" w:color="000000"/>
              <w:left w:val="single" w:sz="4" w:space="0" w:color="000000"/>
              <w:bottom w:val="single" w:sz="4" w:space="0" w:color="000000"/>
              <w:right w:val="single" w:sz="4" w:space="0" w:color="000000"/>
            </w:tcBorders>
            <w:hideMark/>
          </w:tcPr>
          <w:p w14:paraId="33638F44" w14:textId="77777777" w:rsidR="00B368DC" w:rsidRDefault="00B368DC">
            <w:pPr>
              <w:widowControl w:val="0"/>
              <w:autoSpaceDE w:val="0"/>
              <w:autoSpaceDN w:val="0"/>
              <w:spacing w:line="232" w:lineRule="exact"/>
              <w:ind w:left="107"/>
              <w:rPr>
                <w:lang w:val="de-DE" w:eastAsia="de-DE" w:bidi="de-DE"/>
              </w:rPr>
            </w:pPr>
            <w:r>
              <w:rPr>
                <w:lang w:val="de-DE" w:eastAsia="de-DE" w:bidi="de-DE"/>
              </w:rPr>
              <w:t>Common</w:t>
            </w:r>
          </w:p>
        </w:tc>
      </w:tr>
      <w:tr w:rsidR="00B368DC" w14:paraId="78CEC406" w14:textId="77777777" w:rsidTr="00B368DC">
        <w:trPr>
          <w:trHeight w:val="253"/>
          <w:jc w:val="center"/>
        </w:trPr>
        <w:tc>
          <w:tcPr>
            <w:tcW w:w="3426" w:type="dxa"/>
            <w:vMerge/>
            <w:tcBorders>
              <w:top w:val="single" w:sz="4" w:space="0" w:color="000000"/>
              <w:left w:val="single" w:sz="4" w:space="0" w:color="000000"/>
              <w:bottom w:val="single" w:sz="4" w:space="0" w:color="000000"/>
              <w:right w:val="single" w:sz="4" w:space="0" w:color="000000"/>
            </w:tcBorders>
            <w:vAlign w:val="center"/>
            <w:hideMark/>
          </w:tcPr>
          <w:p w14:paraId="67D77962" w14:textId="77777777" w:rsidR="00B368DC" w:rsidRDefault="00B368DC">
            <w:pPr>
              <w:rPr>
                <w:b/>
                <w:sz w:val="22"/>
                <w:szCs w:val="22"/>
                <w:lang w:val="de-DE" w:eastAsia="de-DE" w:bidi="de-DE"/>
              </w:rPr>
            </w:pPr>
          </w:p>
        </w:tc>
        <w:tc>
          <w:tcPr>
            <w:tcW w:w="2706" w:type="dxa"/>
            <w:tcBorders>
              <w:top w:val="single" w:sz="4" w:space="0" w:color="000000"/>
              <w:left w:val="single" w:sz="4" w:space="0" w:color="000000"/>
              <w:bottom w:val="single" w:sz="4" w:space="0" w:color="000000"/>
              <w:right w:val="single" w:sz="4" w:space="0" w:color="000000"/>
            </w:tcBorders>
            <w:hideMark/>
          </w:tcPr>
          <w:p w14:paraId="505890A6" w14:textId="77777777" w:rsidR="00B368DC" w:rsidRDefault="00B368DC">
            <w:pPr>
              <w:widowControl w:val="0"/>
              <w:autoSpaceDE w:val="0"/>
              <w:autoSpaceDN w:val="0"/>
              <w:spacing w:before="1" w:line="233" w:lineRule="exact"/>
              <w:ind w:left="107"/>
              <w:rPr>
                <w:lang w:val="de-DE" w:eastAsia="de-DE" w:bidi="de-DE"/>
              </w:rPr>
            </w:pPr>
            <w:r>
              <w:rPr>
                <w:lang w:val="de-DE" w:eastAsia="de-DE" w:bidi="de-DE"/>
              </w:rPr>
              <w:t>Dizziness postural</w:t>
            </w:r>
          </w:p>
        </w:tc>
        <w:tc>
          <w:tcPr>
            <w:tcW w:w="2164" w:type="dxa"/>
            <w:tcBorders>
              <w:top w:val="single" w:sz="4" w:space="0" w:color="000000"/>
              <w:left w:val="single" w:sz="4" w:space="0" w:color="000000"/>
              <w:bottom w:val="single" w:sz="4" w:space="0" w:color="000000"/>
              <w:right w:val="single" w:sz="4" w:space="0" w:color="000000"/>
            </w:tcBorders>
            <w:hideMark/>
          </w:tcPr>
          <w:p w14:paraId="70B2074B" w14:textId="77777777" w:rsidR="00B368DC" w:rsidRDefault="00B368DC">
            <w:pPr>
              <w:widowControl w:val="0"/>
              <w:autoSpaceDE w:val="0"/>
              <w:autoSpaceDN w:val="0"/>
              <w:spacing w:before="1" w:line="233" w:lineRule="exact"/>
              <w:ind w:left="107"/>
              <w:rPr>
                <w:lang w:val="de-DE" w:eastAsia="de-DE" w:bidi="de-DE"/>
              </w:rPr>
            </w:pPr>
            <w:r>
              <w:rPr>
                <w:lang w:val="de-DE" w:eastAsia="de-DE" w:bidi="de-DE"/>
              </w:rPr>
              <w:t>Uncommon</w:t>
            </w:r>
          </w:p>
        </w:tc>
      </w:tr>
      <w:tr w:rsidR="00B368DC" w14:paraId="6AE100B4" w14:textId="77777777" w:rsidTr="00B368DC">
        <w:trPr>
          <w:trHeight w:val="253"/>
          <w:jc w:val="center"/>
        </w:trPr>
        <w:tc>
          <w:tcPr>
            <w:tcW w:w="3426" w:type="dxa"/>
            <w:vMerge/>
            <w:tcBorders>
              <w:top w:val="single" w:sz="4" w:space="0" w:color="000000"/>
              <w:left w:val="single" w:sz="4" w:space="0" w:color="000000"/>
              <w:bottom w:val="single" w:sz="4" w:space="0" w:color="000000"/>
              <w:right w:val="single" w:sz="4" w:space="0" w:color="000000"/>
            </w:tcBorders>
            <w:vAlign w:val="center"/>
            <w:hideMark/>
          </w:tcPr>
          <w:p w14:paraId="2F431D15" w14:textId="77777777" w:rsidR="00B368DC" w:rsidRDefault="00B368DC">
            <w:pPr>
              <w:rPr>
                <w:b/>
                <w:sz w:val="22"/>
                <w:szCs w:val="22"/>
                <w:lang w:val="de-DE" w:eastAsia="de-DE" w:bidi="de-DE"/>
              </w:rPr>
            </w:pPr>
          </w:p>
        </w:tc>
        <w:tc>
          <w:tcPr>
            <w:tcW w:w="2706" w:type="dxa"/>
            <w:tcBorders>
              <w:top w:val="single" w:sz="4" w:space="0" w:color="000000"/>
              <w:left w:val="single" w:sz="4" w:space="0" w:color="000000"/>
              <w:bottom w:val="single" w:sz="4" w:space="0" w:color="000000"/>
              <w:right w:val="single" w:sz="4" w:space="0" w:color="000000"/>
            </w:tcBorders>
            <w:hideMark/>
          </w:tcPr>
          <w:p w14:paraId="3CBF6EB1" w14:textId="77777777" w:rsidR="00B368DC" w:rsidRDefault="00B368DC">
            <w:pPr>
              <w:widowControl w:val="0"/>
              <w:autoSpaceDE w:val="0"/>
              <w:autoSpaceDN w:val="0"/>
              <w:spacing w:before="1" w:line="233" w:lineRule="exact"/>
              <w:ind w:left="107"/>
              <w:rPr>
                <w:lang w:val="de-DE" w:eastAsia="de-DE" w:bidi="de-DE"/>
              </w:rPr>
            </w:pPr>
            <w:r>
              <w:rPr>
                <w:lang w:val="de-DE" w:eastAsia="de-DE" w:bidi="de-DE"/>
              </w:rPr>
              <w:t>Myoclonus</w:t>
            </w:r>
          </w:p>
        </w:tc>
        <w:tc>
          <w:tcPr>
            <w:tcW w:w="2164" w:type="dxa"/>
            <w:tcBorders>
              <w:top w:val="single" w:sz="4" w:space="0" w:color="000000"/>
              <w:left w:val="single" w:sz="4" w:space="0" w:color="000000"/>
              <w:bottom w:val="single" w:sz="4" w:space="0" w:color="000000"/>
              <w:right w:val="single" w:sz="4" w:space="0" w:color="000000"/>
            </w:tcBorders>
            <w:hideMark/>
          </w:tcPr>
          <w:p w14:paraId="170661C2" w14:textId="77777777" w:rsidR="00B368DC" w:rsidRDefault="00B368DC">
            <w:pPr>
              <w:widowControl w:val="0"/>
              <w:autoSpaceDE w:val="0"/>
              <w:autoSpaceDN w:val="0"/>
              <w:spacing w:before="1" w:line="233" w:lineRule="exact"/>
              <w:ind w:left="107"/>
              <w:rPr>
                <w:lang w:val="de-DE" w:eastAsia="de-DE" w:bidi="de-DE"/>
              </w:rPr>
            </w:pPr>
            <w:r>
              <w:rPr>
                <w:lang w:val="de-DE" w:eastAsia="de-DE" w:bidi="de-DE"/>
              </w:rPr>
              <w:t>Not known</w:t>
            </w:r>
          </w:p>
        </w:tc>
      </w:tr>
      <w:tr w:rsidR="00B368DC" w14:paraId="5BDEA6FB" w14:textId="77777777" w:rsidTr="00B368DC">
        <w:trPr>
          <w:trHeight w:val="253"/>
          <w:jc w:val="center"/>
        </w:trPr>
        <w:tc>
          <w:tcPr>
            <w:tcW w:w="3426" w:type="dxa"/>
            <w:tcBorders>
              <w:top w:val="single" w:sz="4" w:space="0" w:color="000000"/>
              <w:left w:val="single" w:sz="4" w:space="0" w:color="000000"/>
              <w:bottom w:val="single" w:sz="4" w:space="0" w:color="000000"/>
              <w:right w:val="single" w:sz="4" w:space="0" w:color="000000"/>
            </w:tcBorders>
            <w:hideMark/>
          </w:tcPr>
          <w:p w14:paraId="54E4E031" w14:textId="77777777" w:rsidR="00B368DC" w:rsidRDefault="00B368DC">
            <w:pPr>
              <w:widowControl w:val="0"/>
              <w:autoSpaceDE w:val="0"/>
              <w:autoSpaceDN w:val="0"/>
              <w:spacing w:line="234" w:lineRule="exact"/>
              <w:ind w:left="107"/>
              <w:rPr>
                <w:b/>
                <w:lang w:val="de-DE" w:eastAsia="de-DE" w:bidi="de-DE"/>
              </w:rPr>
            </w:pPr>
            <w:r>
              <w:rPr>
                <w:b/>
                <w:lang w:val="de-DE" w:eastAsia="de-DE" w:bidi="de-DE"/>
              </w:rPr>
              <w:t>Ear and labyrinth disorders</w:t>
            </w:r>
          </w:p>
        </w:tc>
        <w:tc>
          <w:tcPr>
            <w:tcW w:w="2706" w:type="dxa"/>
            <w:tcBorders>
              <w:top w:val="single" w:sz="4" w:space="0" w:color="000000"/>
              <w:left w:val="single" w:sz="4" w:space="0" w:color="000000"/>
              <w:bottom w:val="single" w:sz="4" w:space="0" w:color="000000"/>
              <w:right w:val="single" w:sz="4" w:space="0" w:color="000000"/>
            </w:tcBorders>
            <w:hideMark/>
          </w:tcPr>
          <w:p w14:paraId="6B7999BB" w14:textId="77777777" w:rsidR="00B368DC" w:rsidRDefault="00B368DC">
            <w:pPr>
              <w:widowControl w:val="0"/>
              <w:autoSpaceDE w:val="0"/>
              <w:autoSpaceDN w:val="0"/>
              <w:spacing w:line="234" w:lineRule="exact"/>
              <w:ind w:left="107"/>
              <w:rPr>
                <w:lang w:val="de-DE" w:eastAsia="de-DE" w:bidi="de-DE"/>
              </w:rPr>
            </w:pPr>
            <w:r>
              <w:rPr>
                <w:lang w:val="de-DE" w:eastAsia="de-DE" w:bidi="de-DE"/>
              </w:rPr>
              <w:t>Vertigo</w:t>
            </w:r>
          </w:p>
        </w:tc>
        <w:tc>
          <w:tcPr>
            <w:tcW w:w="2164" w:type="dxa"/>
            <w:tcBorders>
              <w:top w:val="single" w:sz="4" w:space="0" w:color="000000"/>
              <w:left w:val="single" w:sz="4" w:space="0" w:color="000000"/>
              <w:bottom w:val="single" w:sz="4" w:space="0" w:color="000000"/>
              <w:right w:val="single" w:sz="4" w:space="0" w:color="000000"/>
            </w:tcBorders>
            <w:hideMark/>
          </w:tcPr>
          <w:p w14:paraId="330B8449" w14:textId="77777777" w:rsidR="00B368DC" w:rsidRDefault="00B368DC">
            <w:pPr>
              <w:widowControl w:val="0"/>
              <w:autoSpaceDE w:val="0"/>
              <w:autoSpaceDN w:val="0"/>
              <w:spacing w:line="234" w:lineRule="exact"/>
              <w:ind w:left="107"/>
              <w:rPr>
                <w:lang w:val="de-DE" w:eastAsia="de-DE" w:bidi="de-DE"/>
              </w:rPr>
            </w:pPr>
            <w:r>
              <w:rPr>
                <w:lang w:val="de-DE" w:eastAsia="de-DE" w:bidi="de-DE"/>
              </w:rPr>
              <w:t>Common</w:t>
            </w:r>
          </w:p>
        </w:tc>
      </w:tr>
      <w:tr w:rsidR="00B368DC" w14:paraId="453E40AE" w14:textId="77777777" w:rsidTr="00B368DC">
        <w:trPr>
          <w:trHeight w:val="251"/>
          <w:jc w:val="center"/>
        </w:trPr>
        <w:tc>
          <w:tcPr>
            <w:tcW w:w="3426" w:type="dxa"/>
            <w:vMerge w:val="restart"/>
            <w:tcBorders>
              <w:top w:val="single" w:sz="4" w:space="0" w:color="000000"/>
              <w:left w:val="single" w:sz="4" w:space="0" w:color="000000"/>
              <w:bottom w:val="single" w:sz="4" w:space="0" w:color="000000"/>
              <w:right w:val="single" w:sz="4" w:space="0" w:color="000000"/>
            </w:tcBorders>
            <w:hideMark/>
          </w:tcPr>
          <w:p w14:paraId="07B8C972" w14:textId="77777777" w:rsidR="00B368DC" w:rsidRDefault="00B368DC">
            <w:pPr>
              <w:widowControl w:val="0"/>
              <w:autoSpaceDE w:val="0"/>
              <w:autoSpaceDN w:val="0"/>
              <w:spacing w:line="251" w:lineRule="exact"/>
              <w:ind w:left="107"/>
              <w:rPr>
                <w:b/>
                <w:lang w:val="de-DE" w:eastAsia="de-DE" w:bidi="de-DE"/>
              </w:rPr>
            </w:pPr>
            <w:r>
              <w:rPr>
                <w:b/>
                <w:lang w:val="de-DE" w:eastAsia="de-DE" w:bidi="de-DE"/>
              </w:rPr>
              <w:t>Vascular disorders</w:t>
            </w:r>
          </w:p>
        </w:tc>
        <w:tc>
          <w:tcPr>
            <w:tcW w:w="2706" w:type="dxa"/>
            <w:tcBorders>
              <w:top w:val="single" w:sz="4" w:space="0" w:color="000000"/>
              <w:left w:val="single" w:sz="4" w:space="0" w:color="000000"/>
              <w:bottom w:val="single" w:sz="4" w:space="0" w:color="000000"/>
              <w:right w:val="single" w:sz="4" w:space="0" w:color="000000"/>
            </w:tcBorders>
            <w:hideMark/>
          </w:tcPr>
          <w:p w14:paraId="5714E138" w14:textId="77777777" w:rsidR="00B368DC" w:rsidRDefault="00B368DC">
            <w:pPr>
              <w:widowControl w:val="0"/>
              <w:autoSpaceDE w:val="0"/>
              <w:autoSpaceDN w:val="0"/>
              <w:spacing w:line="232" w:lineRule="exact"/>
              <w:ind w:left="107"/>
              <w:rPr>
                <w:lang w:val="de-DE" w:eastAsia="de-DE" w:bidi="de-DE"/>
              </w:rPr>
            </w:pPr>
            <w:r>
              <w:rPr>
                <w:lang w:val="de-DE" w:eastAsia="de-DE" w:bidi="de-DE"/>
              </w:rPr>
              <w:t>Hypotension*</w:t>
            </w:r>
          </w:p>
        </w:tc>
        <w:tc>
          <w:tcPr>
            <w:tcW w:w="2164" w:type="dxa"/>
            <w:tcBorders>
              <w:top w:val="single" w:sz="4" w:space="0" w:color="000000"/>
              <w:left w:val="single" w:sz="4" w:space="0" w:color="000000"/>
              <w:bottom w:val="single" w:sz="4" w:space="0" w:color="000000"/>
              <w:right w:val="single" w:sz="4" w:space="0" w:color="000000"/>
            </w:tcBorders>
            <w:hideMark/>
          </w:tcPr>
          <w:p w14:paraId="57111422" w14:textId="77777777" w:rsidR="00B368DC" w:rsidRDefault="00B368DC">
            <w:pPr>
              <w:widowControl w:val="0"/>
              <w:autoSpaceDE w:val="0"/>
              <w:autoSpaceDN w:val="0"/>
              <w:spacing w:line="232" w:lineRule="exact"/>
              <w:ind w:left="107"/>
              <w:rPr>
                <w:lang w:val="de-DE" w:eastAsia="de-DE" w:bidi="de-DE"/>
              </w:rPr>
            </w:pPr>
            <w:r>
              <w:rPr>
                <w:lang w:val="de-DE" w:eastAsia="de-DE" w:bidi="de-DE"/>
              </w:rPr>
              <w:t>Very common</w:t>
            </w:r>
          </w:p>
        </w:tc>
      </w:tr>
      <w:tr w:rsidR="00B368DC" w14:paraId="468219BF" w14:textId="77777777" w:rsidTr="00B368DC">
        <w:trPr>
          <w:trHeight w:val="253"/>
          <w:jc w:val="center"/>
        </w:trPr>
        <w:tc>
          <w:tcPr>
            <w:tcW w:w="3426" w:type="dxa"/>
            <w:vMerge/>
            <w:tcBorders>
              <w:top w:val="single" w:sz="4" w:space="0" w:color="000000"/>
              <w:left w:val="single" w:sz="4" w:space="0" w:color="000000"/>
              <w:bottom w:val="single" w:sz="4" w:space="0" w:color="000000"/>
              <w:right w:val="single" w:sz="4" w:space="0" w:color="000000"/>
            </w:tcBorders>
            <w:vAlign w:val="center"/>
            <w:hideMark/>
          </w:tcPr>
          <w:p w14:paraId="0044355F" w14:textId="77777777" w:rsidR="00B368DC" w:rsidRDefault="00B368DC">
            <w:pPr>
              <w:rPr>
                <w:b/>
                <w:sz w:val="22"/>
                <w:szCs w:val="22"/>
                <w:lang w:val="de-DE" w:eastAsia="de-DE" w:bidi="de-DE"/>
              </w:rPr>
            </w:pPr>
          </w:p>
        </w:tc>
        <w:tc>
          <w:tcPr>
            <w:tcW w:w="2706" w:type="dxa"/>
            <w:tcBorders>
              <w:top w:val="single" w:sz="4" w:space="0" w:color="000000"/>
              <w:left w:val="single" w:sz="4" w:space="0" w:color="000000"/>
              <w:bottom w:val="single" w:sz="4" w:space="0" w:color="000000"/>
              <w:right w:val="single" w:sz="4" w:space="0" w:color="000000"/>
            </w:tcBorders>
            <w:hideMark/>
          </w:tcPr>
          <w:p w14:paraId="53C02F0A" w14:textId="77777777" w:rsidR="00B368DC" w:rsidRDefault="00B368DC">
            <w:pPr>
              <w:widowControl w:val="0"/>
              <w:autoSpaceDE w:val="0"/>
              <w:autoSpaceDN w:val="0"/>
              <w:spacing w:line="234" w:lineRule="exact"/>
              <w:ind w:left="107"/>
              <w:rPr>
                <w:lang w:val="de-DE" w:eastAsia="de-DE" w:bidi="de-DE"/>
              </w:rPr>
            </w:pPr>
            <w:r>
              <w:rPr>
                <w:lang w:val="de-DE" w:eastAsia="de-DE" w:bidi="de-DE"/>
              </w:rPr>
              <w:t>Orthostatic hypotension</w:t>
            </w:r>
          </w:p>
        </w:tc>
        <w:tc>
          <w:tcPr>
            <w:tcW w:w="2164" w:type="dxa"/>
            <w:tcBorders>
              <w:top w:val="single" w:sz="4" w:space="0" w:color="000000"/>
              <w:left w:val="single" w:sz="4" w:space="0" w:color="000000"/>
              <w:bottom w:val="single" w:sz="4" w:space="0" w:color="000000"/>
              <w:right w:val="single" w:sz="4" w:space="0" w:color="000000"/>
            </w:tcBorders>
            <w:hideMark/>
          </w:tcPr>
          <w:p w14:paraId="0ED96EF3" w14:textId="77777777" w:rsidR="00B368DC" w:rsidRDefault="00B368DC">
            <w:pPr>
              <w:widowControl w:val="0"/>
              <w:autoSpaceDE w:val="0"/>
              <w:autoSpaceDN w:val="0"/>
              <w:spacing w:line="234" w:lineRule="exact"/>
              <w:ind w:left="107"/>
              <w:rPr>
                <w:lang w:val="de-DE" w:eastAsia="de-DE" w:bidi="de-DE"/>
              </w:rPr>
            </w:pPr>
            <w:r>
              <w:rPr>
                <w:lang w:val="de-DE" w:eastAsia="de-DE" w:bidi="de-DE"/>
              </w:rPr>
              <w:t>Common</w:t>
            </w:r>
          </w:p>
        </w:tc>
      </w:tr>
      <w:tr w:rsidR="00B368DC" w14:paraId="095C63CA" w14:textId="77777777" w:rsidTr="00B368DC">
        <w:trPr>
          <w:trHeight w:val="506"/>
          <w:jc w:val="center"/>
        </w:trPr>
        <w:tc>
          <w:tcPr>
            <w:tcW w:w="3426" w:type="dxa"/>
            <w:tcBorders>
              <w:top w:val="single" w:sz="4" w:space="0" w:color="000000"/>
              <w:left w:val="single" w:sz="4" w:space="0" w:color="000000"/>
              <w:bottom w:val="single" w:sz="4" w:space="0" w:color="000000"/>
              <w:right w:val="single" w:sz="4" w:space="0" w:color="000000"/>
            </w:tcBorders>
            <w:hideMark/>
          </w:tcPr>
          <w:p w14:paraId="08229A71" w14:textId="77777777" w:rsidR="00B368DC" w:rsidRDefault="00B368DC">
            <w:pPr>
              <w:widowControl w:val="0"/>
              <w:autoSpaceDE w:val="0"/>
              <w:autoSpaceDN w:val="0"/>
              <w:spacing w:before="2" w:line="252" w:lineRule="exact"/>
              <w:ind w:left="107" w:right="870"/>
              <w:rPr>
                <w:b/>
                <w:lang w:val="de-DE" w:eastAsia="de-DE" w:bidi="de-DE"/>
              </w:rPr>
            </w:pPr>
            <w:r>
              <w:rPr>
                <w:b/>
                <w:lang w:val="de-DE" w:eastAsia="de-DE" w:bidi="de-DE"/>
              </w:rPr>
              <w:t>Respiratory, thoracic and mediastinal disorders</w:t>
            </w:r>
          </w:p>
        </w:tc>
        <w:tc>
          <w:tcPr>
            <w:tcW w:w="2706" w:type="dxa"/>
            <w:tcBorders>
              <w:top w:val="single" w:sz="4" w:space="0" w:color="000000"/>
              <w:left w:val="single" w:sz="4" w:space="0" w:color="000000"/>
              <w:bottom w:val="single" w:sz="4" w:space="0" w:color="000000"/>
              <w:right w:val="single" w:sz="4" w:space="0" w:color="000000"/>
            </w:tcBorders>
            <w:hideMark/>
          </w:tcPr>
          <w:p w14:paraId="328BA3AA" w14:textId="77777777" w:rsidR="00B368DC" w:rsidRDefault="00B368DC">
            <w:pPr>
              <w:widowControl w:val="0"/>
              <w:autoSpaceDE w:val="0"/>
              <w:autoSpaceDN w:val="0"/>
              <w:spacing w:before="125"/>
              <w:ind w:left="107"/>
              <w:rPr>
                <w:lang w:val="de-DE" w:eastAsia="de-DE" w:bidi="de-DE"/>
              </w:rPr>
            </w:pPr>
            <w:r>
              <w:rPr>
                <w:lang w:val="de-DE" w:eastAsia="de-DE" w:bidi="de-DE"/>
              </w:rPr>
              <w:t>Cough</w:t>
            </w:r>
          </w:p>
        </w:tc>
        <w:tc>
          <w:tcPr>
            <w:tcW w:w="2164" w:type="dxa"/>
            <w:tcBorders>
              <w:top w:val="single" w:sz="4" w:space="0" w:color="000000"/>
              <w:left w:val="single" w:sz="4" w:space="0" w:color="000000"/>
              <w:bottom w:val="single" w:sz="4" w:space="0" w:color="000000"/>
              <w:right w:val="single" w:sz="4" w:space="0" w:color="000000"/>
            </w:tcBorders>
            <w:hideMark/>
          </w:tcPr>
          <w:p w14:paraId="32127698" w14:textId="77777777" w:rsidR="00B368DC" w:rsidRDefault="00B368DC">
            <w:pPr>
              <w:widowControl w:val="0"/>
              <w:autoSpaceDE w:val="0"/>
              <w:autoSpaceDN w:val="0"/>
              <w:spacing w:before="125"/>
              <w:ind w:left="107"/>
              <w:rPr>
                <w:lang w:val="de-DE" w:eastAsia="de-DE" w:bidi="de-DE"/>
              </w:rPr>
            </w:pPr>
            <w:r>
              <w:rPr>
                <w:lang w:val="de-DE" w:eastAsia="de-DE" w:bidi="de-DE"/>
              </w:rPr>
              <w:t>Common</w:t>
            </w:r>
          </w:p>
        </w:tc>
      </w:tr>
      <w:tr w:rsidR="00B368DC" w14:paraId="60A4D8A1" w14:textId="77777777" w:rsidTr="00B368DC">
        <w:trPr>
          <w:trHeight w:val="251"/>
          <w:jc w:val="center"/>
        </w:trPr>
        <w:tc>
          <w:tcPr>
            <w:tcW w:w="3426" w:type="dxa"/>
            <w:vMerge w:val="restart"/>
            <w:tcBorders>
              <w:top w:val="single" w:sz="4" w:space="0" w:color="000000"/>
              <w:left w:val="single" w:sz="4" w:space="0" w:color="000000"/>
              <w:bottom w:val="single" w:sz="4" w:space="0" w:color="000000"/>
              <w:right w:val="single" w:sz="4" w:space="0" w:color="000000"/>
            </w:tcBorders>
            <w:hideMark/>
          </w:tcPr>
          <w:p w14:paraId="386CE332" w14:textId="77777777" w:rsidR="00B368DC" w:rsidRDefault="00B368DC">
            <w:pPr>
              <w:widowControl w:val="0"/>
              <w:autoSpaceDE w:val="0"/>
              <w:autoSpaceDN w:val="0"/>
              <w:spacing w:line="251" w:lineRule="exact"/>
              <w:ind w:left="107"/>
              <w:rPr>
                <w:b/>
                <w:lang w:val="de-DE" w:eastAsia="de-DE" w:bidi="de-DE"/>
              </w:rPr>
            </w:pPr>
            <w:r>
              <w:rPr>
                <w:b/>
                <w:lang w:val="de-DE" w:eastAsia="de-DE" w:bidi="de-DE"/>
              </w:rPr>
              <w:t>Gastrointestinal disorders</w:t>
            </w:r>
          </w:p>
        </w:tc>
        <w:tc>
          <w:tcPr>
            <w:tcW w:w="2706" w:type="dxa"/>
            <w:tcBorders>
              <w:top w:val="single" w:sz="4" w:space="0" w:color="000000"/>
              <w:left w:val="single" w:sz="4" w:space="0" w:color="000000"/>
              <w:bottom w:val="single" w:sz="4" w:space="0" w:color="000000"/>
              <w:right w:val="single" w:sz="4" w:space="0" w:color="000000"/>
            </w:tcBorders>
            <w:hideMark/>
          </w:tcPr>
          <w:p w14:paraId="4454D273" w14:textId="77777777" w:rsidR="00B368DC" w:rsidRDefault="00B368DC">
            <w:pPr>
              <w:widowControl w:val="0"/>
              <w:autoSpaceDE w:val="0"/>
              <w:autoSpaceDN w:val="0"/>
              <w:spacing w:line="232" w:lineRule="exact"/>
              <w:ind w:left="107"/>
              <w:rPr>
                <w:lang w:val="de-DE" w:eastAsia="de-DE" w:bidi="de-DE"/>
              </w:rPr>
            </w:pPr>
            <w:r>
              <w:rPr>
                <w:lang w:val="de-DE" w:eastAsia="de-DE" w:bidi="de-DE"/>
              </w:rPr>
              <w:t>Diarrhoea</w:t>
            </w:r>
          </w:p>
        </w:tc>
        <w:tc>
          <w:tcPr>
            <w:tcW w:w="2164" w:type="dxa"/>
            <w:tcBorders>
              <w:top w:val="single" w:sz="4" w:space="0" w:color="000000"/>
              <w:left w:val="single" w:sz="4" w:space="0" w:color="000000"/>
              <w:bottom w:val="single" w:sz="4" w:space="0" w:color="000000"/>
              <w:right w:val="single" w:sz="4" w:space="0" w:color="000000"/>
            </w:tcBorders>
            <w:hideMark/>
          </w:tcPr>
          <w:p w14:paraId="051A6517" w14:textId="77777777" w:rsidR="00B368DC" w:rsidRDefault="00B368DC">
            <w:pPr>
              <w:widowControl w:val="0"/>
              <w:autoSpaceDE w:val="0"/>
              <w:autoSpaceDN w:val="0"/>
              <w:spacing w:line="232" w:lineRule="exact"/>
              <w:ind w:left="107"/>
              <w:rPr>
                <w:lang w:val="de-DE" w:eastAsia="de-DE" w:bidi="de-DE"/>
              </w:rPr>
            </w:pPr>
            <w:r>
              <w:rPr>
                <w:lang w:val="de-DE" w:eastAsia="de-DE" w:bidi="de-DE"/>
              </w:rPr>
              <w:t>Common</w:t>
            </w:r>
          </w:p>
        </w:tc>
      </w:tr>
      <w:tr w:rsidR="00B368DC" w14:paraId="358B9673" w14:textId="77777777" w:rsidTr="00B368DC">
        <w:trPr>
          <w:trHeight w:val="253"/>
          <w:jc w:val="center"/>
        </w:trPr>
        <w:tc>
          <w:tcPr>
            <w:tcW w:w="3426" w:type="dxa"/>
            <w:vMerge/>
            <w:tcBorders>
              <w:top w:val="single" w:sz="4" w:space="0" w:color="000000"/>
              <w:left w:val="single" w:sz="4" w:space="0" w:color="000000"/>
              <w:bottom w:val="single" w:sz="4" w:space="0" w:color="000000"/>
              <w:right w:val="single" w:sz="4" w:space="0" w:color="000000"/>
            </w:tcBorders>
            <w:vAlign w:val="center"/>
            <w:hideMark/>
          </w:tcPr>
          <w:p w14:paraId="2F1777F3" w14:textId="77777777" w:rsidR="00B368DC" w:rsidRDefault="00B368DC">
            <w:pPr>
              <w:rPr>
                <w:b/>
                <w:sz w:val="22"/>
                <w:szCs w:val="22"/>
                <w:lang w:val="de-DE" w:eastAsia="de-DE" w:bidi="de-DE"/>
              </w:rPr>
            </w:pPr>
          </w:p>
        </w:tc>
        <w:tc>
          <w:tcPr>
            <w:tcW w:w="2706" w:type="dxa"/>
            <w:tcBorders>
              <w:top w:val="single" w:sz="4" w:space="0" w:color="000000"/>
              <w:left w:val="single" w:sz="4" w:space="0" w:color="000000"/>
              <w:bottom w:val="single" w:sz="4" w:space="0" w:color="000000"/>
              <w:right w:val="single" w:sz="4" w:space="0" w:color="000000"/>
            </w:tcBorders>
            <w:hideMark/>
          </w:tcPr>
          <w:p w14:paraId="3261687D" w14:textId="77777777" w:rsidR="00B368DC" w:rsidRDefault="00B368DC">
            <w:pPr>
              <w:widowControl w:val="0"/>
              <w:autoSpaceDE w:val="0"/>
              <w:autoSpaceDN w:val="0"/>
              <w:spacing w:line="234" w:lineRule="exact"/>
              <w:ind w:left="107"/>
              <w:rPr>
                <w:lang w:val="de-DE" w:eastAsia="de-DE" w:bidi="de-DE"/>
              </w:rPr>
            </w:pPr>
            <w:r>
              <w:rPr>
                <w:lang w:val="de-DE" w:eastAsia="de-DE" w:bidi="de-DE"/>
              </w:rPr>
              <w:t>Nausea</w:t>
            </w:r>
          </w:p>
        </w:tc>
        <w:tc>
          <w:tcPr>
            <w:tcW w:w="2164" w:type="dxa"/>
            <w:tcBorders>
              <w:top w:val="single" w:sz="4" w:space="0" w:color="000000"/>
              <w:left w:val="single" w:sz="4" w:space="0" w:color="000000"/>
              <w:bottom w:val="single" w:sz="4" w:space="0" w:color="000000"/>
              <w:right w:val="single" w:sz="4" w:space="0" w:color="000000"/>
            </w:tcBorders>
            <w:hideMark/>
          </w:tcPr>
          <w:p w14:paraId="5DF25AA0" w14:textId="77777777" w:rsidR="00B368DC" w:rsidRDefault="00B368DC">
            <w:pPr>
              <w:widowControl w:val="0"/>
              <w:autoSpaceDE w:val="0"/>
              <w:autoSpaceDN w:val="0"/>
              <w:spacing w:line="234" w:lineRule="exact"/>
              <w:ind w:left="107"/>
              <w:rPr>
                <w:lang w:val="de-DE" w:eastAsia="de-DE" w:bidi="de-DE"/>
              </w:rPr>
            </w:pPr>
            <w:r>
              <w:rPr>
                <w:lang w:val="de-DE" w:eastAsia="de-DE" w:bidi="de-DE"/>
              </w:rPr>
              <w:t>Common</w:t>
            </w:r>
          </w:p>
        </w:tc>
      </w:tr>
      <w:tr w:rsidR="00B368DC" w14:paraId="0EBC2388" w14:textId="77777777" w:rsidTr="00B368DC">
        <w:trPr>
          <w:trHeight w:val="251"/>
          <w:jc w:val="center"/>
        </w:trPr>
        <w:tc>
          <w:tcPr>
            <w:tcW w:w="3426" w:type="dxa"/>
            <w:vMerge/>
            <w:tcBorders>
              <w:top w:val="single" w:sz="4" w:space="0" w:color="000000"/>
              <w:left w:val="single" w:sz="4" w:space="0" w:color="000000"/>
              <w:bottom w:val="single" w:sz="4" w:space="0" w:color="000000"/>
              <w:right w:val="single" w:sz="4" w:space="0" w:color="000000"/>
            </w:tcBorders>
            <w:vAlign w:val="center"/>
            <w:hideMark/>
          </w:tcPr>
          <w:p w14:paraId="471789F3" w14:textId="77777777" w:rsidR="00B368DC" w:rsidRDefault="00B368DC">
            <w:pPr>
              <w:rPr>
                <w:b/>
                <w:sz w:val="22"/>
                <w:szCs w:val="22"/>
                <w:lang w:val="de-DE" w:eastAsia="de-DE" w:bidi="de-DE"/>
              </w:rPr>
            </w:pPr>
          </w:p>
        </w:tc>
        <w:tc>
          <w:tcPr>
            <w:tcW w:w="2706" w:type="dxa"/>
            <w:tcBorders>
              <w:top w:val="single" w:sz="4" w:space="0" w:color="000000"/>
              <w:left w:val="single" w:sz="4" w:space="0" w:color="000000"/>
              <w:bottom w:val="single" w:sz="4" w:space="0" w:color="000000"/>
              <w:right w:val="single" w:sz="4" w:space="0" w:color="000000"/>
            </w:tcBorders>
            <w:hideMark/>
          </w:tcPr>
          <w:p w14:paraId="6D1416C0" w14:textId="77777777" w:rsidR="00B368DC" w:rsidRDefault="00B368DC">
            <w:pPr>
              <w:widowControl w:val="0"/>
              <w:autoSpaceDE w:val="0"/>
              <w:autoSpaceDN w:val="0"/>
              <w:spacing w:line="232" w:lineRule="exact"/>
              <w:ind w:left="107"/>
              <w:rPr>
                <w:lang w:val="de-DE" w:eastAsia="de-DE" w:bidi="de-DE"/>
              </w:rPr>
            </w:pPr>
            <w:r>
              <w:rPr>
                <w:lang w:val="de-DE" w:eastAsia="de-DE" w:bidi="de-DE"/>
              </w:rPr>
              <w:t>Gastritis</w:t>
            </w:r>
          </w:p>
        </w:tc>
        <w:tc>
          <w:tcPr>
            <w:tcW w:w="2164" w:type="dxa"/>
            <w:tcBorders>
              <w:top w:val="single" w:sz="4" w:space="0" w:color="000000"/>
              <w:left w:val="single" w:sz="4" w:space="0" w:color="000000"/>
              <w:bottom w:val="single" w:sz="4" w:space="0" w:color="000000"/>
              <w:right w:val="single" w:sz="4" w:space="0" w:color="000000"/>
            </w:tcBorders>
            <w:hideMark/>
          </w:tcPr>
          <w:p w14:paraId="36B9BE09" w14:textId="77777777" w:rsidR="00B368DC" w:rsidRDefault="00B368DC">
            <w:pPr>
              <w:widowControl w:val="0"/>
              <w:autoSpaceDE w:val="0"/>
              <w:autoSpaceDN w:val="0"/>
              <w:spacing w:line="232" w:lineRule="exact"/>
              <w:ind w:left="107"/>
              <w:rPr>
                <w:lang w:val="de-DE" w:eastAsia="de-DE" w:bidi="de-DE"/>
              </w:rPr>
            </w:pPr>
            <w:r>
              <w:rPr>
                <w:lang w:val="de-DE" w:eastAsia="de-DE" w:bidi="de-DE"/>
              </w:rPr>
              <w:t>Common</w:t>
            </w:r>
          </w:p>
        </w:tc>
      </w:tr>
      <w:tr w:rsidR="00B368DC" w14:paraId="3F86E849" w14:textId="77777777" w:rsidTr="00B368DC">
        <w:trPr>
          <w:trHeight w:val="251"/>
          <w:jc w:val="center"/>
        </w:trPr>
        <w:tc>
          <w:tcPr>
            <w:tcW w:w="3426" w:type="dxa"/>
            <w:vMerge/>
            <w:tcBorders>
              <w:top w:val="single" w:sz="4" w:space="0" w:color="000000"/>
              <w:left w:val="single" w:sz="4" w:space="0" w:color="000000"/>
              <w:bottom w:val="single" w:sz="4" w:space="0" w:color="000000"/>
              <w:right w:val="single" w:sz="4" w:space="0" w:color="000000"/>
            </w:tcBorders>
            <w:vAlign w:val="center"/>
            <w:hideMark/>
          </w:tcPr>
          <w:p w14:paraId="62ABDE16" w14:textId="77777777" w:rsidR="00B368DC" w:rsidRDefault="00B368DC">
            <w:pPr>
              <w:rPr>
                <w:b/>
                <w:sz w:val="22"/>
                <w:szCs w:val="22"/>
                <w:lang w:val="de-DE" w:eastAsia="de-DE" w:bidi="de-DE"/>
              </w:rPr>
            </w:pPr>
          </w:p>
        </w:tc>
        <w:tc>
          <w:tcPr>
            <w:tcW w:w="2706" w:type="dxa"/>
            <w:tcBorders>
              <w:top w:val="single" w:sz="4" w:space="0" w:color="000000"/>
              <w:left w:val="single" w:sz="4" w:space="0" w:color="000000"/>
              <w:bottom w:val="single" w:sz="4" w:space="0" w:color="000000"/>
              <w:right w:val="single" w:sz="4" w:space="0" w:color="000000"/>
            </w:tcBorders>
            <w:hideMark/>
          </w:tcPr>
          <w:p w14:paraId="7673EF58" w14:textId="77777777" w:rsidR="00B368DC" w:rsidRDefault="00B368DC">
            <w:pPr>
              <w:widowControl w:val="0"/>
              <w:autoSpaceDE w:val="0"/>
              <w:autoSpaceDN w:val="0"/>
              <w:spacing w:line="232" w:lineRule="exact"/>
              <w:ind w:left="107"/>
              <w:rPr>
                <w:lang w:val="de-DE" w:eastAsia="de-DE" w:bidi="de-DE"/>
              </w:rPr>
            </w:pPr>
            <w:r>
              <w:rPr>
                <w:lang w:val="de-DE" w:eastAsia="de-DE" w:bidi="de-DE"/>
              </w:rPr>
              <w:t>Intestinal angioedema</w:t>
            </w:r>
          </w:p>
        </w:tc>
        <w:tc>
          <w:tcPr>
            <w:tcW w:w="2164" w:type="dxa"/>
            <w:tcBorders>
              <w:top w:val="single" w:sz="4" w:space="0" w:color="000000"/>
              <w:left w:val="single" w:sz="4" w:space="0" w:color="000000"/>
              <w:bottom w:val="single" w:sz="4" w:space="0" w:color="000000"/>
              <w:right w:val="single" w:sz="4" w:space="0" w:color="000000"/>
            </w:tcBorders>
            <w:hideMark/>
          </w:tcPr>
          <w:p w14:paraId="58B1FEC0" w14:textId="77777777" w:rsidR="00B368DC" w:rsidRDefault="00B368DC">
            <w:pPr>
              <w:widowControl w:val="0"/>
              <w:autoSpaceDE w:val="0"/>
              <w:autoSpaceDN w:val="0"/>
              <w:spacing w:line="232" w:lineRule="exact"/>
              <w:ind w:left="107"/>
              <w:rPr>
                <w:lang w:val="de-DE" w:eastAsia="de-DE" w:bidi="de-DE"/>
              </w:rPr>
            </w:pPr>
            <w:r>
              <w:rPr>
                <w:lang w:val="de-DE" w:eastAsia="de-DE" w:bidi="de-DE"/>
              </w:rPr>
              <w:t>Very rare</w:t>
            </w:r>
          </w:p>
        </w:tc>
      </w:tr>
      <w:tr w:rsidR="00B368DC" w14:paraId="58D3C942" w14:textId="77777777" w:rsidTr="00B368DC">
        <w:trPr>
          <w:trHeight w:val="253"/>
          <w:jc w:val="center"/>
        </w:trPr>
        <w:tc>
          <w:tcPr>
            <w:tcW w:w="3426" w:type="dxa"/>
            <w:vMerge w:val="restart"/>
            <w:tcBorders>
              <w:top w:val="single" w:sz="4" w:space="0" w:color="000000"/>
              <w:left w:val="single" w:sz="4" w:space="0" w:color="000000"/>
              <w:bottom w:val="single" w:sz="4" w:space="0" w:color="000000"/>
              <w:right w:val="single" w:sz="4" w:space="0" w:color="000000"/>
            </w:tcBorders>
            <w:hideMark/>
          </w:tcPr>
          <w:p w14:paraId="358A1EDF" w14:textId="77777777" w:rsidR="00B368DC" w:rsidRDefault="00B368DC">
            <w:pPr>
              <w:widowControl w:val="0"/>
              <w:autoSpaceDE w:val="0"/>
              <w:autoSpaceDN w:val="0"/>
              <w:spacing w:before="1"/>
              <w:ind w:left="107" w:right="538"/>
              <w:rPr>
                <w:b/>
                <w:lang w:val="de-DE" w:eastAsia="de-DE" w:bidi="de-DE"/>
              </w:rPr>
            </w:pPr>
            <w:r>
              <w:rPr>
                <w:b/>
                <w:lang w:val="de-DE" w:eastAsia="de-DE" w:bidi="de-DE"/>
              </w:rPr>
              <w:t>Skin and subcutaneous tissue disorders</w:t>
            </w:r>
          </w:p>
        </w:tc>
        <w:tc>
          <w:tcPr>
            <w:tcW w:w="2706" w:type="dxa"/>
            <w:tcBorders>
              <w:top w:val="single" w:sz="4" w:space="0" w:color="000000"/>
              <w:left w:val="single" w:sz="4" w:space="0" w:color="000000"/>
              <w:bottom w:val="single" w:sz="4" w:space="0" w:color="000000"/>
              <w:right w:val="single" w:sz="4" w:space="0" w:color="000000"/>
            </w:tcBorders>
            <w:hideMark/>
          </w:tcPr>
          <w:p w14:paraId="0ECF2F80" w14:textId="77777777" w:rsidR="00B368DC" w:rsidRDefault="00B368DC">
            <w:pPr>
              <w:widowControl w:val="0"/>
              <w:autoSpaceDE w:val="0"/>
              <w:autoSpaceDN w:val="0"/>
              <w:spacing w:before="1" w:line="233" w:lineRule="exact"/>
              <w:ind w:left="107"/>
              <w:rPr>
                <w:lang w:val="de-DE" w:eastAsia="de-DE" w:bidi="de-DE"/>
              </w:rPr>
            </w:pPr>
            <w:r>
              <w:rPr>
                <w:lang w:val="de-DE" w:eastAsia="de-DE" w:bidi="de-DE"/>
              </w:rPr>
              <w:t>Pruritus</w:t>
            </w:r>
          </w:p>
        </w:tc>
        <w:tc>
          <w:tcPr>
            <w:tcW w:w="2164" w:type="dxa"/>
            <w:tcBorders>
              <w:top w:val="single" w:sz="4" w:space="0" w:color="000000"/>
              <w:left w:val="single" w:sz="4" w:space="0" w:color="000000"/>
              <w:bottom w:val="single" w:sz="4" w:space="0" w:color="000000"/>
              <w:right w:val="single" w:sz="4" w:space="0" w:color="000000"/>
            </w:tcBorders>
            <w:hideMark/>
          </w:tcPr>
          <w:p w14:paraId="3D5DF6D9" w14:textId="77777777" w:rsidR="00B368DC" w:rsidRDefault="00B368DC">
            <w:pPr>
              <w:widowControl w:val="0"/>
              <w:autoSpaceDE w:val="0"/>
              <w:autoSpaceDN w:val="0"/>
              <w:spacing w:before="1" w:line="233" w:lineRule="exact"/>
              <w:ind w:left="107"/>
              <w:rPr>
                <w:lang w:val="de-DE" w:eastAsia="de-DE" w:bidi="de-DE"/>
              </w:rPr>
            </w:pPr>
            <w:r>
              <w:rPr>
                <w:lang w:val="de-DE" w:eastAsia="de-DE" w:bidi="de-DE"/>
              </w:rPr>
              <w:t>Uncommon</w:t>
            </w:r>
          </w:p>
        </w:tc>
      </w:tr>
      <w:tr w:rsidR="00B368DC" w14:paraId="3B27E11D" w14:textId="77777777" w:rsidTr="00B368DC">
        <w:trPr>
          <w:trHeight w:val="254"/>
          <w:jc w:val="center"/>
        </w:trPr>
        <w:tc>
          <w:tcPr>
            <w:tcW w:w="3426" w:type="dxa"/>
            <w:vMerge/>
            <w:tcBorders>
              <w:top w:val="single" w:sz="4" w:space="0" w:color="000000"/>
              <w:left w:val="single" w:sz="4" w:space="0" w:color="000000"/>
              <w:bottom w:val="single" w:sz="4" w:space="0" w:color="000000"/>
              <w:right w:val="single" w:sz="4" w:space="0" w:color="000000"/>
            </w:tcBorders>
            <w:vAlign w:val="center"/>
            <w:hideMark/>
          </w:tcPr>
          <w:p w14:paraId="4FDCCE6E" w14:textId="77777777" w:rsidR="00B368DC" w:rsidRDefault="00B368DC">
            <w:pPr>
              <w:rPr>
                <w:b/>
                <w:sz w:val="22"/>
                <w:szCs w:val="22"/>
                <w:lang w:val="de-DE" w:eastAsia="de-DE" w:bidi="de-DE"/>
              </w:rPr>
            </w:pPr>
          </w:p>
        </w:tc>
        <w:tc>
          <w:tcPr>
            <w:tcW w:w="2706" w:type="dxa"/>
            <w:tcBorders>
              <w:top w:val="single" w:sz="4" w:space="0" w:color="000000"/>
              <w:left w:val="single" w:sz="4" w:space="0" w:color="000000"/>
              <w:bottom w:val="single" w:sz="4" w:space="0" w:color="000000"/>
              <w:right w:val="single" w:sz="4" w:space="0" w:color="000000"/>
            </w:tcBorders>
            <w:hideMark/>
          </w:tcPr>
          <w:p w14:paraId="64E8298D" w14:textId="77777777" w:rsidR="00B368DC" w:rsidRDefault="00B368DC">
            <w:pPr>
              <w:widowControl w:val="0"/>
              <w:autoSpaceDE w:val="0"/>
              <w:autoSpaceDN w:val="0"/>
              <w:spacing w:line="234" w:lineRule="exact"/>
              <w:ind w:left="107"/>
              <w:rPr>
                <w:lang w:val="de-DE" w:eastAsia="de-DE" w:bidi="de-DE"/>
              </w:rPr>
            </w:pPr>
            <w:r>
              <w:rPr>
                <w:lang w:val="de-DE" w:eastAsia="de-DE" w:bidi="de-DE"/>
              </w:rPr>
              <w:t>Rash</w:t>
            </w:r>
          </w:p>
        </w:tc>
        <w:tc>
          <w:tcPr>
            <w:tcW w:w="2164" w:type="dxa"/>
            <w:tcBorders>
              <w:top w:val="single" w:sz="4" w:space="0" w:color="000000"/>
              <w:left w:val="single" w:sz="4" w:space="0" w:color="000000"/>
              <w:bottom w:val="single" w:sz="4" w:space="0" w:color="000000"/>
              <w:right w:val="single" w:sz="4" w:space="0" w:color="000000"/>
            </w:tcBorders>
            <w:hideMark/>
          </w:tcPr>
          <w:p w14:paraId="398EED06" w14:textId="77777777" w:rsidR="00B368DC" w:rsidRDefault="00B368DC">
            <w:pPr>
              <w:widowControl w:val="0"/>
              <w:autoSpaceDE w:val="0"/>
              <w:autoSpaceDN w:val="0"/>
              <w:spacing w:line="234" w:lineRule="exact"/>
              <w:ind w:left="107"/>
              <w:rPr>
                <w:lang w:val="de-DE" w:eastAsia="de-DE" w:bidi="de-DE"/>
              </w:rPr>
            </w:pPr>
            <w:r>
              <w:rPr>
                <w:lang w:val="de-DE" w:eastAsia="de-DE" w:bidi="de-DE"/>
              </w:rPr>
              <w:t>Uncommon</w:t>
            </w:r>
          </w:p>
        </w:tc>
      </w:tr>
      <w:tr w:rsidR="00B368DC" w14:paraId="5B285AA1" w14:textId="77777777" w:rsidTr="00B368DC">
        <w:trPr>
          <w:trHeight w:val="251"/>
          <w:jc w:val="center"/>
        </w:trPr>
        <w:tc>
          <w:tcPr>
            <w:tcW w:w="3426" w:type="dxa"/>
            <w:vMerge/>
            <w:tcBorders>
              <w:top w:val="single" w:sz="4" w:space="0" w:color="000000"/>
              <w:left w:val="single" w:sz="4" w:space="0" w:color="000000"/>
              <w:bottom w:val="single" w:sz="4" w:space="0" w:color="000000"/>
              <w:right w:val="single" w:sz="4" w:space="0" w:color="000000"/>
            </w:tcBorders>
            <w:vAlign w:val="center"/>
            <w:hideMark/>
          </w:tcPr>
          <w:p w14:paraId="03F3D886" w14:textId="77777777" w:rsidR="00B368DC" w:rsidRDefault="00B368DC">
            <w:pPr>
              <w:rPr>
                <w:b/>
                <w:sz w:val="22"/>
                <w:szCs w:val="22"/>
                <w:lang w:val="de-DE" w:eastAsia="de-DE" w:bidi="de-DE"/>
              </w:rPr>
            </w:pPr>
          </w:p>
        </w:tc>
        <w:tc>
          <w:tcPr>
            <w:tcW w:w="2706" w:type="dxa"/>
            <w:tcBorders>
              <w:top w:val="single" w:sz="4" w:space="0" w:color="000000"/>
              <w:left w:val="single" w:sz="4" w:space="0" w:color="000000"/>
              <w:bottom w:val="single" w:sz="4" w:space="0" w:color="000000"/>
              <w:right w:val="single" w:sz="4" w:space="0" w:color="000000"/>
            </w:tcBorders>
            <w:hideMark/>
          </w:tcPr>
          <w:p w14:paraId="3CC64EFE" w14:textId="77777777" w:rsidR="00B368DC" w:rsidRDefault="00B368DC">
            <w:pPr>
              <w:widowControl w:val="0"/>
              <w:autoSpaceDE w:val="0"/>
              <w:autoSpaceDN w:val="0"/>
              <w:spacing w:line="232" w:lineRule="exact"/>
              <w:ind w:left="107"/>
              <w:rPr>
                <w:lang w:val="de-DE" w:eastAsia="de-DE" w:bidi="de-DE"/>
              </w:rPr>
            </w:pPr>
            <w:r>
              <w:rPr>
                <w:lang w:val="de-DE" w:eastAsia="de-DE" w:bidi="de-DE"/>
              </w:rPr>
              <w:t>Angioedema*</w:t>
            </w:r>
          </w:p>
        </w:tc>
        <w:tc>
          <w:tcPr>
            <w:tcW w:w="2164" w:type="dxa"/>
            <w:tcBorders>
              <w:top w:val="single" w:sz="4" w:space="0" w:color="000000"/>
              <w:left w:val="single" w:sz="4" w:space="0" w:color="000000"/>
              <w:bottom w:val="single" w:sz="4" w:space="0" w:color="000000"/>
              <w:right w:val="single" w:sz="4" w:space="0" w:color="000000"/>
            </w:tcBorders>
            <w:hideMark/>
          </w:tcPr>
          <w:p w14:paraId="1ED13699" w14:textId="77777777" w:rsidR="00B368DC" w:rsidRDefault="00B368DC">
            <w:pPr>
              <w:widowControl w:val="0"/>
              <w:autoSpaceDE w:val="0"/>
              <w:autoSpaceDN w:val="0"/>
              <w:spacing w:line="232" w:lineRule="exact"/>
              <w:ind w:left="107"/>
              <w:rPr>
                <w:lang w:val="de-DE" w:eastAsia="de-DE" w:bidi="de-DE"/>
              </w:rPr>
            </w:pPr>
            <w:r>
              <w:rPr>
                <w:lang w:val="de-DE" w:eastAsia="de-DE" w:bidi="de-DE"/>
              </w:rPr>
              <w:t>Uncommon</w:t>
            </w:r>
          </w:p>
        </w:tc>
      </w:tr>
      <w:tr w:rsidR="00B368DC" w14:paraId="16246ABD" w14:textId="77777777" w:rsidTr="00B368DC">
        <w:trPr>
          <w:trHeight w:val="254"/>
          <w:jc w:val="center"/>
        </w:trPr>
        <w:tc>
          <w:tcPr>
            <w:tcW w:w="3426" w:type="dxa"/>
            <w:vMerge w:val="restart"/>
            <w:tcBorders>
              <w:top w:val="single" w:sz="4" w:space="0" w:color="000000"/>
              <w:left w:val="single" w:sz="4" w:space="0" w:color="000000"/>
              <w:bottom w:val="single" w:sz="4" w:space="0" w:color="000000"/>
              <w:right w:val="single" w:sz="4" w:space="0" w:color="000000"/>
            </w:tcBorders>
            <w:hideMark/>
          </w:tcPr>
          <w:p w14:paraId="3629C488" w14:textId="77777777" w:rsidR="00B368DC" w:rsidRDefault="00B368DC">
            <w:pPr>
              <w:widowControl w:val="0"/>
              <w:autoSpaceDE w:val="0"/>
              <w:autoSpaceDN w:val="0"/>
              <w:spacing w:line="251" w:lineRule="exact"/>
              <w:ind w:left="107"/>
              <w:rPr>
                <w:b/>
                <w:lang w:val="de-DE" w:eastAsia="de-DE" w:bidi="de-DE"/>
              </w:rPr>
            </w:pPr>
            <w:r>
              <w:rPr>
                <w:b/>
                <w:lang w:val="de-DE" w:eastAsia="de-DE" w:bidi="de-DE"/>
              </w:rPr>
              <w:t>Renal and urinary disorders</w:t>
            </w:r>
          </w:p>
        </w:tc>
        <w:tc>
          <w:tcPr>
            <w:tcW w:w="2706" w:type="dxa"/>
            <w:tcBorders>
              <w:top w:val="single" w:sz="4" w:space="0" w:color="000000"/>
              <w:left w:val="single" w:sz="4" w:space="0" w:color="000000"/>
              <w:bottom w:val="single" w:sz="4" w:space="0" w:color="000000"/>
              <w:right w:val="single" w:sz="4" w:space="0" w:color="000000"/>
            </w:tcBorders>
            <w:hideMark/>
          </w:tcPr>
          <w:p w14:paraId="7B655A69" w14:textId="77777777" w:rsidR="00B368DC" w:rsidRDefault="00B368DC">
            <w:pPr>
              <w:widowControl w:val="0"/>
              <w:autoSpaceDE w:val="0"/>
              <w:autoSpaceDN w:val="0"/>
              <w:spacing w:line="234" w:lineRule="exact"/>
              <w:ind w:left="107"/>
              <w:rPr>
                <w:lang w:val="de-DE" w:eastAsia="de-DE" w:bidi="de-DE"/>
              </w:rPr>
            </w:pPr>
            <w:r>
              <w:rPr>
                <w:lang w:val="de-DE" w:eastAsia="de-DE" w:bidi="de-DE"/>
              </w:rPr>
              <w:t>Renal impairment*</w:t>
            </w:r>
          </w:p>
        </w:tc>
        <w:tc>
          <w:tcPr>
            <w:tcW w:w="2164" w:type="dxa"/>
            <w:tcBorders>
              <w:top w:val="single" w:sz="4" w:space="0" w:color="000000"/>
              <w:left w:val="single" w:sz="4" w:space="0" w:color="000000"/>
              <w:bottom w:val="single" w:sz="4" w:space="0" w:color="000000"/>
              <w:right w:val="single" w:sz="4" w:space="0" w:color="000000"/>
            </w:tcBorders>
            <w:hideMark/>
          </w:tcPr>
          <w:p w14:paraId="7A4A7982" w14:textId="77777777" w:rsidR="00B368DC" w:rsidRDefault="00B368DC">
            <w:pPr>
              <w:widowControl w:val="0"/>
              <w:autoSpaceDE w:val="0"/>
              <w:autoSpaceDN w:val="0"/>
              <w:spacing w:line="234" w:lineRule="exact"/>
              <w:ind w:left="107"/>
              <w:rPr>
                <w:lang w:val="de-DE" w:eastAsia="de-DE" w:bidi="de-DE"/>
              </w:rPr>
            </w:pPr>
            <w:r>
              <w:rPr>
                <w:lang w:val="de-DE" w:eastAsia="de-DE" w:bidi="de-DE"/>
              </w:rPr>
              <w:t>Very common</w:t>
            </w:r>
          </w:p>
        </w:tc>
      </w:tr>
      <w:tr w:rsidR="00B368DC" w14:paraId="7D9CBAA8" w14:textId="77777777" w:rsidTr="00B368DC">
        <w:trPr>
          <w:trHeight w:val="505"/>
          <w:jc w:val="center"/>
        </w:trPr>
        <w:tc>
          <w:tcPr>
            <w:tcW w:w="3426" w:type="dxa"/>
            <w:vMerge/>
            <w:tcBorders>
              <w:top w:val="single" w:sz="4" w:space="0" w:color="000000"/>
              <w:left w:val="single" w:sz="4" w:space="0" w:color="000000"/>
              <w:bottom w:val="single" w:sz="4" w:space="0" w:color="000000"/>
              <w:right w:val="single" w:sz="4" w:space="0" w:color="000000"/>
            </w:tcBorders>
            <w:vAlign w:val="center"/>
            <w:hideMark/>
          </w:tcPr>
          <w:p w14:paraId="0E1F878A" w14:textId="77777777" w:rsidR="00B368DC" w:rsidRDefault="00B368DC">
            <w:pPr>
              <w:rPr>
                <w:b/>
                <w:sz w:val="22"/>
                <w:szCs w:val="22"/>
                <w:lang w:val="de-DE" w:eastAsia="de-DE" w:bidi="de-DE"/>
              </w:rPr>
            </w:pPr>
          </w:p>
        </w:tc>
        <w:tc>
          <w:tcPr>
            <w:tcW w:w="2706" w:type="dxa"/>
            <w:tcBorders>
              <w:top w:val="single" w:sz="4" w:space="0" w:color="000000"/>
              <w:left w:val="single" w:sz="4" w:space="0" w:color="000000"/>
              <w:bottom w:val="single" w:sz="4" w:space="0" w:color="000000"/>
              <w:right w:val="single" w:sz="4" w:space="0" w:color="000000"/>
            </w:tcBorders>
            <w:hideMark/>
          </w:tcPr>
          <w:p w14:paraId="6A9F796B" w14:textId="77777777" w:rsidR="00B368DC" w:rsidRDefault="00B368DC">
            <w:pPr>
              <w:widowControl w:val="0"/>
              <w:autoSpaceDE w:val="0"/>
              <w:autoSpaceDN w:val="0"/>
              <w:spacing w:before="2" w:line="252" w:lineRule="exact"/>
              <w:ind w:left="107" w:right="169"/>
              <w:rPr>
                <w:lang w:val="de-DE" w:eastAsia="de-DE" w:bidi="de-DE"/>
              </w:rPr>
            </w:pPr>
            <w:r>
              <w:rPr>
                <w:lang w:val="de-DE" w:eastAsia="de-DE" w:bidi="de-DE"/>
              </w:rPr>
              <w:t>Renal failure (renal failure, acute renal failure)</w:t>
            </w:r>
          </w:p>
        </w:tc>
        <w:tc>
          <w:tcPr>
            <w:tcW w:w="2164" w:type="dxa"/>
            <w:tcBorders>
              <w:top w:val="single" w:sz="4" w:space="0" w:color="000000"/>
              <w:left w:val="single" w:sz="4" w:space="0" w:color="000000"/>
              <w:bottom w:val="single" w:sz="4" w:space="0" w:color="000000"/>
              <w:right w:val="single" w:sz="4" w:space="0" w:color="000000"/>
            </w:tcBorders>
            <w:hideMark/>
          </w:tcPr>
          <w:p w14:paraId="0301F83C" w14:textId="77777777" w:rsidR="00B368DC" w:rsidRDefault="00B368DC">
            <w:pPr>
              <w:widowControl w:val="0"/>
              <w:autoSpaceDE w:val="0"/>
              <w:autoSpaceDN w:val="0"/>
              <w:spacing w:before="125"/>
              <w:ind w:left="107"/>
              <w:rPr>
                <w:lang w:val="de-DE" w:eastAsia="de-DE" w:bidi="de-DE"/>
              </w:rPr>
            </w:pPr>
            <w:r>
              <w:rPr>
                <w:lang w:val="de-DE" w:eastAsia="de-DE" w:bidi="de-DE"/>
              </w:rPr>
              <w:t>Common</w:t>
            </w:r>
          </w:p>
        </w:tc>
      </w:tr>
      <w:tr w:rsidR="00B368DC" w14:paraId="4FFCC5CA" w14:textId="77777777" w:rsidTr="00B368DC">
        <w:trPr>
          <w:trHeight w:val="251"/>
          <w:jc w:val="center"/>
        </w:trPr>
        <w:tc>
          <w:tcPr>
            <w:tcW w:w="3426" w:type="dxa"/>
            <w:vMerge w:val="restart"/>
            <w:tcBorders>
              <w:top w:val="single" w:sz="4" w:space="0" w:color="000000"/>
              <w:left w:val="single" w:sz="4" w:space="0" w:color="000000"/>
              <w:bottom w:val="single" w:sz="4" w:space="0" w:color="000000"/>
              <w:right w:val="single" w:sz="4" w:space="0" w:color="000000"/>
            </w:tcBorders>
            <w:hideMark/>
          </w:tcPr>
          <w:p w14:paraId="00B1CD54" w14:textId="77777777" w:rsidR="00B368DC" w:rsidRDefault="00B368DC">
            <w:pPr>
              <w:widowControl w:val="0"/>
              <w:autoSpaceDE w:val="0"/>
              <w:autoSpaceDN w:val="0"/>
              <w:spacing w:before="2" w:line="252" w:lineRule="exact"/>
              <w:ind w:left="107" w:right="497"/>
              <w:rPr>
                <w:b/>
                <w:lang w:val="de-DE" w:eastAsia="de-DE" w:bidi="de-DE"/>
              </w:rPr>
            </w:pPr>
            <w:r>
              <w:rPr>
                <w:b/>
                <w:lang w:val="de-DE" w:eastAsia="de-DE" w:bidi="de-DE"/>
              </w:rPr>
              <w:t>General disorders and administration site conditions</w:t>
            </w:r>
          </w:p>
        </w:tc>
        <w:tc>
          <w:tcPr>
            <w:tcW w:w="2706" w:type="dxa"/>
            <w:tcBorders>
              <w:top w:val="single" w:sz="4" w:space="0" w:color="000000"/>
              <w:left w:val="single" w:sz="4" w:space="0" w:color="000000"/>
              <w:bottom w:val="single" w:sz="4" w:space="0" w:color="000000"/>
              <w:right w:val="single" w:sz="4" w:space="0" w:color="000000"/>
            </w:tcBorders>
            <w:hideMark/>
          </w:tcPr>
          <w:p w14:paraId="401EB129" w14:textId="77777777" w:rsidR="00B368DC" w:rsidRDefault="00B368DC">
            <w:pPr>
              <w:widowControl w:val="0"/>
              <w:autoSpaceDE w:val="0"/>
              <w:autoSpaceDN w:val="0"/>
              <w:spacing w:line="232" w:lineRule="exact"/>
              <w:ind w:left="107"/>
              <w:rPr>
                <w:lang w:val="de-DE" w:eastAsia="de-DE" w:bidi="de-DE"/>
              </w:rPr>
            </w:pPr>
            <w:r>
              <w:rPr>
                <w:lang w:val="de-DE" w:eastAsia="de-DE" w:bidi="de-DE"/>
              </w:rPr>
              <w:t>Fatigue</w:t>
            </w:r>
          </w:p>
        </w:tc>
        <w:tc>
          <w:tcPr>
            <w:tcW w:w="2164" w:type="dxa"/>
            <w:tcBorders>
              <w:top w:val="single" w:sz="4" w:space="0" w:color="000000"/>
              <w:left w:val="single" w:sz="4" w:space="0" w:color="000000"/>
              <w:bottom w:val="single" w:sz="4" w:space="0" w:color="000000"/>
              <w:right w:val="single" w:sz="4" w:space="0" w:color="000000"/>
            </w:tcBorders>
            <w:hideMark/>
          </w:tcPr>
          <w:p w14:paraId="747F3AB9" w14:textId="77777777" w:rsidR="00B368DC" w:rsidRDefault="00B368DC">
            <w:pPr>
              <w:widowControl w:val="0"/>
              <w:autoSpaceDE w:val="0"/>
              <w:autoSpaceDN w:val="0"/>
              <w:spacing w:line="232" w:lineRule="exact"/>
              <w:ind w:left="107"/>
              <w:rPr>
                <w:lang w:val="de-DE" w:eastAsia="de-DE" w:bidi="de-DE"/>
              </w:rPr>
            </w:pPr>
            <w:r>
              <w:rPr>
                <w:lang w:val="de-DE" w:eastAsia="de-DE" w:bidi="de-DE"/>
              </w:rPr>
              <w:t>Common</w:t>
            </w:r>
          </w:p>
        </w:tc>
      </w:tr>
      <w:tr w:rsidR="00B368DC" w14:paraId="2C0E85BF" w14:textId="77777777" w:rsidTr="00B368DC">
        <w:trPr>
          <w:trHeight w:val="254"/>
          <w:jc w:val="center"/>
        </w:trPr>
        <w:tc>
          <w:tcPr>
            <w:tcW w:w="3426" w:type="dxa"/>
            <w:vMerge/>
            <w:tcBorders>
              <w:top w:val="single" w:sz="4" w:space="0" w:color="000000"/>
              <w:left w:val="single" w:sz="4" w:space="0" w:color="000000"/>
              <w:bottom w:val="single" w:sz="4" w:space="0" w:color="000000"/>
              <w:right w:val="single" w:sz="4" w:space="0" w:color="000000"/>
            </w:tcBorders>
            <w:vAlign w:val="center"/>
            <w:hideMark/>
          </w:tcPr>
          <w:p w14:paraId="2F3CB684" w14:textId="77777777" w:rsidR="00B368DC" w:rsidRDefault="00B368DC">
            <w:pPr>
              <w:rPr>
                <w:b/>
                <w:sz w:val="22"/>
                <w:szCs w:val="22"/>
                <w:lang w:val="de-DE" w:eastAsia="de-DE" w:bidi="de-DE"/>
              </w:rPr>
            </w:pPr>
          </w:p>
        </w:tc>
        <w:tc>
          <w:tcPr>
            <w:tcW w:w="2706" w:type="dxa"/>
            <w:tcBorders>
              <w:top w:val="single" w:sz="4" w:space="0" w:color="000000"/>
              <w:left w:val="single" w:sz="4" w:space="0" w:color="000000"/>
              <w:bottom w:val="single" w:sz="4" w:space="0" w:color="000000"/>
              <w:right w:val="single" w:sz="4" w:space="0" w:color="000000"/>
            </w:tcBorders>
            <w:hideMark/>
          </w:tcPr>
          <w:p w14:paraId="4732C184" w14:textId="77777777" w:rsidR="00B368DC" w:rsidRDefault="00B368DC">
            <w:pPr>
              <w:widowControl w:val="0"/>
              <w:autoSpaceDE w:val="0"/>
              <w:autoSpaceDN w:val="0"/>
              <w:spacing w:line="234" w:lineRule="exact"/>
              <w:ind w:left="107"/>
              <w:rPr>
                <w:lang w:val="de-DE" w:eastAsia="de-DE" w:bidi="de-DE"/>
              </w:rPr>
            </w:pPr>
            <w:r>
              <w:rPr>
                <w:lang w:val="de-DE" w:eastAsia="de-DE" w:bidi="de-DE"/>
              </w:rPr>
              <w:t>Asthenia</w:t>
            </w:r>
          </w:p>
        </w:tc>
        <w:tc>
          <w:tcPr>
            <w:tcW w:w="2164" w:type="dxa"/>
            <w:tcBorders>
              <w:top w:val="single" w:sz="4" w:space="0" w:color="000000"/>
              <w:left w:val="single" w:sz="4" w:space="0" w:color="000000"/>
              <w:bottom w:val="single" w:sz="4" w:space="0" w:color="000000"/>
              <w:right w:val="single" w:sz="4" w:space="0" w:color="000000"/>
            </w:tcBorders>
            <w:hideMark/>
          </w:tcPr>
          <w:p w14:paraId="0136BD73" w14:textId="77777777" w:rsidR="00B368DC" w:rsidRDefault="00B368DC">
            <w:pPr>
              <w:widowControl w:val="0"/>
              <w:autoSpaceDE w:val="0"/>
              <w:autoSpaceDN w:val="0"/>
              <w:spacing w:line="234" w:lineRule="exact"/>
              <w:ind w:left="107"/>
              <w:rPr>
                <w:lang w:val="de-DE" w:eastAsia="de-DE" w:bidi="de-DE"/>
              </w:rPr>
            </w:pPr>
            <w:r>
              <w:rPr>
                <w:lang w:val="de-DE" w:eastAsia="de-DE" w:bidi="de-DE"/>
              </w:rPr>
              <w:t>Common</w:t>
            </w:r>
          </w:p>
        </w:tc>
      </w:tr>
    </w:tbl>
    <w:p w14:paraId="442DC73B" w14:textId="77777777" w:rsidR="00B368DC" w:rsidRPr="00B368DC" w:rsidRDefault="00B368DC" w:rsidP="00B368DC">
      <w:pPr>
        <w:suppressAutoHyphens/>
        <w:autoSpaceDN w:val="0"/>
        <w:jc w:val="both"/>
        <w:rPr>
          <w:rFonts w:eastAsia="Calibri"/>
          <w:sz w:val="20"/>
          <w:lang w:val="en-US" w:eastAsia="en-US"/>
        </w:rPr>
      </w:pPr>
      <w:r w:rsidRPr="00B368DC">
        <w:rPr>
          <w:rFonts w:eastAsia="Calibri"/>
          <w:sz w:val="20"/>
          <w:lang w:val="en-US"/>
        </w:rPr>
        <w:t>*See description of selected adverse reactions.</w:t>
      </w:r>
    </w:p>
    <w:p w14:paraId="2B40F56B" w14:textId="77777777" w:rsidR="00B368DC" w:rsidRPr="00B368DC" w:rsidRDefault="00B368DC" w:rsidP="00B368DC">
      <w:pPr>
        <w:suppressAutoHyphens/>
        <w:autoSpaceDN w:val="0"/>
        <w:jc w:val="both"/>
        <w:rPr>
          <w:rFonts w:eastAsia="Calibri"/>
          <w:sz w:val="20"/>
          <w:lang w:val="en-US"/>
        </w:rPr>
      </w:pPr>
      <w:r w:rsidRPr="00B368DC">
        <w:rPr>
          <w:rFonts w:eastAsia="Calibri"/>
          <w:sz w:val="20"/>
          <w:lang w:val="en-US"/>
        </w:rPr>
        <w:t>**Including auditory and visual hallucinations</w:t>
      </w:r>
    </w:p>
    <w:p w14:paraId="7613D6E5" w14:textId="77777777" w:rsidR="00B368DC" w:rsidRPr="00B368DC" w:rsidRDefault="00B368DC" w:rsidP="00B368DC">
      <w:pPr>
        <w:suppressAutoHyphens/>
        <w:autoSpaceDN w:val="0"/>
        <w:ind w:left="851"/>
        <w:rPr>
          <w:rFonts w:eastAsia="Calibri"/>
          <w:sz w:val="24"/>
          <w:szCs w:val="24"/>
          <w:lang w:val="en-US"/>
        </w:rPr>
      </w:pPr>
    </w:p>
    <w:p w14:paraId="722804E7" w14:textId="77777777" w:rsidR="00B368DC" w:rsidRPr="00B368DC" w:rsidRDefault="00B368DC" w:rsidP="00B368DC">
      <w:pPr>
        <w:suppressAutoHyphens/>
        <w:autoSpaceDN w:val="0"/>
        <w:ind w:left="851"/>
        <w:rPr>
          <w:rFonts w:eastAsia="Calibri"/>
          <w:sz w:val="24"/>
          <w:szCs w:val="24"/>
          <w:u w:val="single"/>
          <w:lang w:val="en-US"/>
        </w:rPr>
      </w:pPr>
      <w:r w:rsidRPr="00B368DC">
        <w:rPr>
          <w:rFonts w:eastAsia="Calibri"/>
          <w:sz w:val="24"/>
          <w:szCs w:val="24"/>
          <w:u w:val="single"/>
          <w:lang w:val="en-US"/>
        </w:rPr>
        <w:t>Description of selected adverse reactions</w:t>
      </w:r>
    </w:p>
    <w:p w14:paraId="0450F98C" w14:textId="77777777" w:rsidR="00B368DC" w:rsidRPr="00B368DC" w:rsidRDefault="00B368DC" w:rsidP="00B368DC">
      <w:pPr>
        <w:suppressAutoHyphens/>
        <w:autoSpaceDN w:val="0"/>
        <w:ind w:left="851"/>
        <w:rPr>
          <w:rFonts w:eastAsia="Calibri"/>
          <w:sz w:val="24"/>
          <w:szCs w:val="24"/>
          <w:u w:val="single"/>
          <w:lang w:val="en-US"/>
        </w:rPr>
      </w:pPr>
    </w:p>
    <w:p w14:paraId="31822B6E" w14:textId="77777777" w:rsidR="00B368DC" w:rsidRPr="00B368DC" w:rsidRDefault="00B368DC" w:rsidP="00B368DC">
      <w:pPr>
        <w:suppressAutoHyphens/>
        <w:autoSpaceDN w:val="0"/>
        <w:ind w:left="851"/>
        <w:rPr>
          <w:rFonts w:eastAsia="Calibri"/>
          <w:i/>
          <w:iCs/>
          <w:sz w:val="24"/>
          <w:szCs w:val="24"/>
          <w:u w:val="single"/>
          <w:lang w:val="en-US"/>
        </w:rPr>
      </w:pPr>
      <w:r w:rsidRPr="00B368DC">
        <w:rPr>
          <w:rFonts w:eastAsia="Calibri"/>
          <w:i/>
          <w:iCs/>
          <w:sz w:val="24"/>
          <w:szCs w:val="24"/>
          <w:u w:val="single"/>
          <w:lang w:val="en-US"/>
        </w:rPr>
        <w:t>Angioedema</w:t>
      </w:r>
    </w:p>
    <w:p w14:paraId="69C8DDF2" w14:textId="77777777" w:rsidR="00B368DC" w:rsidRPr="00B368DC" w:rsidRDefault="00B368DC" w:rsidP="00B368DC">
      <w:pPr>
        <w:suppressAutoHyphens/>
        <w:autoSpaceDN w:val="0"/>
        <w:ind w:left="851"/>
        <w:rPr>
          <w:rFonts w:eastAsia="Calibri"/>
          <w:sz w:val="24"/>
          <w:szCs w:val="24"/>
          <w:lang w:val="en-US"/>
        </w:rPr>
      </w:pPr>
      <w:r w:rsidRPr="00B368DC">
        <w:rPr>
          <w:rFonts w:eastAsia="Calibri"/>
          <w:sz w:val="24"/>
          <w:szCs w:val="24"/>
          <w:lang w:val="en-US"/>
        </w:rPr>
        <w:t>Angioedema has been reported in patients treated with sacubitril/valsartan. In PARADIGM-HF, angioedema was reported in 0.5% of patients treated with sacubitril/valsartan, compared with 0.2% of patients treated with enalapril. A higher incidence of angioedema was observed in Black patients treated with sacubitril/valsartan (2.4%) and enalapril (0.5%) (see section 4.4).</w:t>
      </w:r>
    </w:p>
    <w:p w14:paraId="59F77596" w14:textId="77777777" w:rsidR="00B368DC" w:rsidRPr="00B368DC" w:rsidRDefault="00B368DC" w:rsidP="00B368DC">
      <w:pPr>
        <w:suppressAutoHyphens/>
        <w:autoSpaceDN w:val="0"/>
        <w:ind w:left="851"/>
        <w:rPr>
          <w:rFonts w:eastAsia="Calibri"/>
          <w:sz w:val="24"/>
          <w:szCs w:val="24"/>
          <w:lang w:val="en-US"/>
        </w:rPr>
      </w:pPr>
    </w:p>
    <w:p w14:paraId="0566F22F" w14:textId="77777777" w:rsidR="00B368DC" w:rsidRPr="00B368DC" w:rsidRDefault="00B368DC" w:rsidP="00B368DC">
      <w:pPr>
        <w:suppressAutoHyphens/>
        <w:autoSpaceDN w:val="0"/>
        <w:ind w:left="851"/>
        <w:rPr>
          <w:rFonts w:eastAsia="Calibri"/>
          <w:i/>
          <w:iCs/>
          <w:sz w:val="24"/>
          <w:szCs w:val="24"/>
          <w:u w:val="single"/>
          <w:lang w:val="en-US"/>
        </w:rPr>
      </w:pPr>
      <w:r w:rsidRPr="00B368DC">
        <w:rPr>
          <w:rFonts w:eastAsia="Calibri"/>
          <w:i/>
          <w:iCs/>
          <w:sz w:val="24"/>
          <w:szCs w:val="24"/>
          <w:u w:val="single"/>
          <w:lang w:val="en-US"/>
        </w:rPr>
        <w:t>Hyperkalaemia and serum potassium</w:t>
      </w:r>
    </w:p>
    <w:p w14:paraId="59659DC2" w14:textId="77777777" w:rsidR="00B368DC" w:rsidRPr="00B368DC" w:rsidRDefault="00B368DC" w:rsidP="00B368DC">
      <w:pPr>
        <w:suppressAutoHyphens/>
        <w:autoSpaceDN w:val="0"/>
        <w:ind w:left="851"/>
        <w:rPr>
          <w:rFonts w:eastAsia="Calibri"/>
          <w:sz w:val="24"/>
          <w:szCs w:val="24"/>
          <w:lang w:val="en-US"/>
        </w:rPr>
      </w:pPr>
      <w:r w:rsidRPr="00B368DC">
        <w:rPr>
          <w:rFonts w:eastAsia="Calibri"/>
          <w:sz w:val="24"/>
          <w:szCs w:val="24"/>
          <w:lang w:val="en-US"/>
        </w:rPr>
        <w:t>In PARADIGM-HF, hyperkalaemia and serum potassium concentrations &gt;5.4 mmol/l were reported in 11.6% and 19.7% of sacubitril/valsartan-treated patients and 14.0% and 21.1% of enalapril-treated patients, respectively.</w:t>
      </w:r>
    </w:p>
    <w:p w14:paraId="2A620D85" w14:textId="77777777" w:rsidR="00B368DC" w:rsidRPr="00B368DC" w:rsidRDefault="00B368DC" w:rsidP="00B368DC">
      <w:pPr>
        <w:suppressAutoHyphens/>
        <w:autoSpaceDN w:val="0"/>
        <w:ind w:left="851"/>
        <w:rPr>
          <w:rFonts w:eastAsia="Calibri"/>
          <w:sz w:val="24"/>
          <w:szCs w:val="24"/>
          <w:lang w:val="en-US"/>
        </w:rPr>
      </w:pPr>
    </w:p>
    <w:p w14:paraId="0EAD6C54" w14:textId="77777777" w:rsidR="00B368DC" w:rsidRPr="00B368DC" w:rsidRDefault="00B368DC" w:rsidP="00B368DC">
      <w:pPr>
        <w:suppressAutoHyphens/>
        <w:autoSpaceDN w:val="0"/>
        <w:ind w:left="851"/>
        <w:rPr>
          <w:rFonts w:eastAsia="Calibri"/>
          <w:i/>
          <w:iCs/>
          <w:sz w:val="24"/>
          <w:szCs w:val="24"/>
          <w:u w:val="single"/>
          <w:lang w:val="en-US"/>
        </w:rPr>
      </w:pPr>
      <w:r w:rsidRPr="00B368DC">
        <w:rPr>
          <w:rFonts w:eastAsia="Calibri"/>
          <w:i/>
          <w:iCs/>
          <w:sz w:val="24"/>
          <w:szCs w:val="24"/>
          <w:u w:val="single"/>
          <w:lang w:val="en-US"/>
        </w:rPr>
        <w:lastRenderedPageBreak/>
        <w:t>Blood pressure</w:t>
      </w:r>
    </w:p>
    <w:p w14:paraId="2E219128" w14:textId="77777777" w:rsidR="00B368DC" w:rsidRPr="00B368DC" w:rsidRDefault="00B368DC" w:rsidP="00B368DC">
      <w:pPr>
        <w:suppressAutoHyphens/>
        <w:autoSpaceDN w:val="0"/>
        <w:ind w:left="851"/>
        <w:rPr>
          <w:rFonts w:eastAsia="Calibri"/>
          <w:sz w:val="24"/>
          <w:szCs w:val="24"/>
          <w:lang w:val="en-US"/>
        </w:rPr>
      </w:pPr>
      <w:r w:rsidRPr="00B368DC">
        <w:rPr>
          <w:rFonts w:eastAsia="Calibri"/>
          <w:sz w:val="24"/>
          <w:szCs w:val="24"/>
          <w:lang w:val="en-US"/>
        </w:rPr>
        <w:t>In PARADIGM-HF, hypotension and clinically relevant low systolic blood pressure (&lt;90 mmHg and decrease from baseline of &gt;20 mmHg) were reported in 17.6% and 4.76% of sacubitril/valsartan- treated patients compared with 11.9% and 2.67% of enalapril-treated patients, respectively.</w:t>
      </w:r>
    </w:p>
    <w:p w14:paraId="58CA7FAD" w14:textId="77777777" w:rsidR="00B368DC" w:rsidRPr="00B368DC" w:rsidRDefault="00B368DC" w:rsidP="00B368DC">
      <w:pPr>
        <w:suppressAutoHyphens/>
        <w:autoSpaceDN w:val="0"/>
        <w:ind w:left="851"/>
        <w:rPr>
          <w:rFonts w:eastAsia="Calibri"/>
          <w:sz w:val="24"/>
          <w:szCs w:val="24"/>
          <w:lang w:val="en-US"/>
        </w:rPr>
      </w:pPr>
    </w:p>
    <w:p w14:paraId="6B90E903" w14:textId="77777777" w:rsidR="00B368DC" w:rsidRPr="00B368DC" w:rsidRDefault="00B368DC" w:rsidP="00B368DC">
      <w:pPr>
        <w:suppressAutoHyphens/>
        <w:autoSpaceDN w:val="0"/>
        <w:ind w:left="851"/>
        <w:rPr>
          <w:rFonts w:eastAsia="Calibri"/>
          <w:i/>
          <w:iCs/>
          <w:sz w:val="24"/>
          <w:szCs w:val="24"/>
          <w:u w:val="single"/>
          <w:lang w:val="en-US"/>
        </w:rPr>
      </w:pPr>
      <w:r w:rsidRPr="00B368DC">
        <w:rPr>
          <w:rFonts w:eastAsia="Calibri"/>
          <w:i/>
          <w:iCs/>
          <w:sz w:val="24"/>
          <w:szCs w:val="24"/>
          <w:u w:val="single"/>
          <w:lang w:val="en-US"/>
        </w:rPr>
        <w:t>Renal impairment</w:t>
      </w:r>
    </w:p>
    <w:p w14:paraId="3147F7C6" w14:textId="77777777" w:rsidR="00B368DC" w:rsidRPr="00B368DC" w:rsidRDefault="00B368DC" w:rsidP="00B368DC">
      <w:pPr>
        <w:suppressAutoHyphens/>
        <w:autoSpaceDN w:val="0"/>
        <w:ind w:left="851"/>
        <w:rPr>
          <w:rFonts w:eastAsia="Calibri"/>
          <w:sz w:val="24"/>
          <w:szCs w:val="24"/>
          <w:lang w:val="en-US"/>
        </w:rPr>
      </w:pPr>
      <w:r w:rsidRPr="00B368DC">
        <w:rPr>
          <w:rFonts w:eastAsia="Calibri"/>
          <w:sz w:val="24"/>
          <w:szCs w:val="24"/>
          <w:lang w:val="en-US"/>
        </w:rPr>
        <w:t>In PARADIGM-HF, renal impairment was reported in 10.1% of sacubitril/valsartan-treated patients and 11.5% of enalapril-treated patients.</w:t>
      </w:r>
    </w:p>
    <w:p w14:paraId="30F93F1F" w14:textId="77777777" w:rsidR="00B368DC" w:rsidRPr="00B368DC" w:rsidRDefault="00B368DC" w:rsidP="00B368DC">
      <w:pPr>
        <w:suppressAutoHyphens/>
        <w:autoSpaceDN w:val="0"/>
        <w:ind w:left="851"/>
        <w:rPr>
          <w:rFonts w:eastAsia="Calibri"/>
          <w:sz w:val="24"/>
          <w:szCs w:val="24"/>
          <w:lang w:val="en-US"/>
        </w:rPr>
      </w:pPr>
    </w:p>
    <w:p w14:paraId="64F75A15" w14:textId="77777777" w:rsidR="00B368DC" w:rsidRPr="00B368DC" w:rsidRDefault="00B368DC" w:rsidP="00B368DC">
      <w:pPr>
        <w:suppressAutoHyphens/>
        <w:autoSpaceDN w:val="0"/>
        <w:ind w:left="851"/>
        <w:rPr>
          <w:rFonts w:eastAsia="Calibri"/>
          <w:sz w:val="24"/>
          <w:szCs w:val="24"/>
          <w:u w:val="single"/>
          <w:lang w:val="en-US"/>
        </w:rPr>
      </w:pPr>
      <w:r w:rsidRPr="00B368DC">
        <w:rPr>
          <w:rFonts w:eastAsia="Calibri"/>
          <w:sz w:val="24"/>
          <w:szCs w:val="24"/>
          <w:u w:val="single"/>
          <w:lang w:val="en-US"/>
        </w:rPr>
        <w:t>Paediatric population</w:t>
      </w:r>
    </w:p>
    <w:p w14:paraId="5B7582FC" w14:textId="77777777" w:rsidR="00B368DC" w:rsidRPr="00B368DC" w:rsidRDefault="00B368DC" w:rsidP="00B368DC">
      <w:pPr>
        <w:suppressAutoHyphens/>
        <w:autoSpaceDN w:val="0"/>
        <w:ind w:left="851"/>
        <w:rPr>
          <w:rFonts w:eastAsia="Calibri"/>
          <w:sz w:val="24"/>
          <w:szCs w:val="24"/>
          <w:lang w:val="en-US"/>
        </w:rPr>
      </w:pPr>
      <w:r w:rsidRPr="00B368DC">
        <w:rPr>
          <w:rFonts w:eastAsia="Calibri"/>
          <w:sz w:val="24"/>
          <w:szCs w:val="24"/>
          <w:lang w:val="en-US"/>
        </w:rPr>
        <w:t>In the PANORAMA-HF study, the safety of sacubitril/valsartan was assessed in a randomised, active-controlled, 52-week study of 375 paediatric heart failure (HF) patients aged 1 month to &lt;18 years compared to enalapril. The 215 patients who rolled over into the long-term open-label extension study (PANORAMA-HF OLE) were treated for a median of 2.5 years, for up to 4.5 years. The safety profile observed in both studies was similar to that observed in adult patients. Safety data in patients aged 1 month to &lt;1 year was limited.</w:t>
      </w:r>
    </w:p>
    <w:p w14:paraId="462EF06A" w14:textId="77777777" w:rsidR="00B368DC" w:rsidRPr="00B368DC" w:rsidRDefault="00B368DC" w:rsidP="00B368DC">
      <w:pPr>
        <w:suppressAutoHyphens/>
        <w:autoSpaceDN w:val="0"/>
        <w:ind w:left="851"/>
        <w:rPr>
          <w:rFonts w:eastAsia="Calibri"/>
          <w:sz w:val="24"/>
          <w:szCs w:val="24"/>
          <w:lang w:val="en-US"/>
        </w:rPr>
      </w:pPr>
    </w:p>
    <w:p w14:paraId="11C9E5D5" w14:textId="77777777" w:rsidR="00B368DC" w:rsidRPr="00B368DC" w:rsidRDefault="00B368DC" w:rsidP="00B368DC">
      <w:pPr>
        <w:suppressAutoHyphens/>
        <w:autoSpaceDN w:val="0"/>
        <w:ind w:left="851"/>
        <w:rPr>
          <w:rFonts w:eastAsia="Calibri"/>
          <w:sz w:val="24"/>
          <w:szCs w:val="24"/>
          <w:lang w:val="en-US"/>
        </w:rPr>
      </w:pPr>
      <w:r w:rsidRPr="00B368DC">
        <w:rPr>
          <w:rFonts w:eastAsia="Calibri"/>
          <w:sz w:val="24"/>
          <w:szCs w:val="24"/>
          <w:lang w:val="en-US"/>
        </w:rPr>
        <w:t>Limited safety data are available in paediatric patients with moderate hepatic impairment or moderate to severe renal impairment.</w:t>
      </w:r>
    </w:p>
    <w:p w14:paraId="0982CF42" w14:textId="77777777" w:rsidR="00B368DC" w:rsidRPr="00B368DC" w:rsidRDefault="00B368DC" w:rsidP="00B368DC">
      <w:pPr>
        <w:suppressAutoHyphens/>
        <w:autoSpaceDN w:val="0"/>
        <w:ind w:left="851"/>
        <w:rPr>
          <w:rFonts w:eastAsia="Calibri"/>
          <w:sz w:val="24"/>
          <w:szCs w:val="24"/>
          <w:lang w:val="en-US"/>
        </w:rPr>
      </w:pPr>
    </w:p>
    <w:p w14:paraId="7A55D743" w14:textId="77777777" w:rsidR="00B368DC" w:rsidRPr="00B368DC" w:rsidRDefault="00B368DC" w:rsidP="00B368DC">
      <w:pPr>
        <w:suppressAutoHyphens/>
        <w:autoSpaceDN w:val="0"/>
        <w:ind w:left="851"/>
        <w:rPr>
          <w:rFonts w:eastAsia="Calibri"/>
          <w:sz w:val="24"/>
          <w:szCs w:val="24"/>
          <w:u w:val="single"/>
          <w:lang w:val="en-US"/>
        </w:rPr>
      </w:pPr>
      <w:r w:rsidRPr="00B368DC">
        <w:rPr>
          <w:rFonts w:eastAsia="Calibri"/>
          <w:sz w:val="24"/>
          <w:szCs w:val="24"/>
          <w:u w:val="single"/>
          <w:lang w:val="en-US"/>
        </w:rPr>
        <w:t>Reporting of suspected adverse reactions</w:t>
      </w:r>
    </w:p>
    <w:p w14:paraId="0B139300" w14:textId="77777777" w:rsidR="00B368DC" w:rsidRDefault="00B368DC" w:rsidP="00B368DC">
      <w:pPr>
        <w:suppressAutoHyphens/>
        <w:autoSpaceDN w:val="0"/>
        <w:ind w:left="851"/>
        <w:rPr>
          <w:rFonts w:eastAsia="Calibri"/>
          <w:sz w:val="24"/>
          <w:szCs w:val="24"/>
          <w:lang w:val="en-US"/>
        </w:rPr>
      </w:pPr>
      <w:r w:rsidRPr="00B368DC">
        <w:rPr>
          <w:rFonts w:eastAsia="Calibri"/>
          <w:sz w:val="24"/>
          <w:szCs w:val="24"/>
          <w:lang w:val="en-US"/>
        </w:rPr>
        <w:t>Reporting suspected adverse reactions after authorisation of the medicinal product is important. It allows continued monitoring of the benefit/risk balance of the medicinal product. Healthcare professionals are asked to report any suspected adverse reactions via</w:t>
      </w:r>
      <w:r>
        <w:rPr>
          <w:rFonts w:eastAsia="Calibri"/>
          <w:sz w:val="24"/>
          <w:szCs w:val="24"/>
          <w:lang w:val="en-US"/>
        </w:rPr>
        <w:t>:</w:t>
      </w:r>
    </w:p>
    <w:p w14:paraId="238CD37F" w14:textId="77777777" w:rsidR="00B368DC" w:rsidRDefault="00B368DC" w:rsidP="00B368DC">
      <w:pPr>
        <w:suppressAutoHyphens/>
        <w:autoSpaceDN w:val="0"/>
        <w:ind w:left="851"/>
        <w:rPr>
          <w:rFonts w:eastAsia="Calibri"/>
          <w:sz w:val="24"/>
          <w:szCs w:val="24"/>
          <w:lang w:val="en-US"/>
        </w:rPr>
      </w:pPr>
    </w:p>
    <w:p w14:paraId="1150857E" w14:textId="77777777" w:rsidR="00B368DC" w:rsidRDefault="00B368DC" w:rsidP="00B368DC">
      <w:pPr>
        <w:ind w:left="851"/>
        <w:rPr>
          <w:sz w:val="24"/>
          <w:szCs w:val="24"/>
        </w:rPr>
      </w:pPr>
      <w:bookmarkStart w:id="3" w:name="_Hlk117501544"/>
      <w:bookmarkStart w:id="4" w:name="_Hlk112664459"/>
      <w:r>
        <w:rPr>
          <w:sz w:val="24"/>
          <w:szCs w:val="24"/>
        </w:rPr>
        <w:t>Lægemiddelstyrelsen</w:t>
      </w:r>
    </w:p>
    <w:p w14:paraId="591DED97" w14:textId="77777777" w:rsidR="00B368DC" w:rsidRDefault="00B368DC" w:rsidP="00B368DC">
      <w:pPr>
        <w:ind w:left="851"/>
        <w:rPr>
          <w:sz w:val="24"/>
          <w:szCs w:val="24"/>
        </w:rPr>
      </w:pPr>
      <w:bookmarkStart w:id="5" w:name="_Hlk117501524"/>
      <w:bookmarkEnd w:id="3"/>
      <w:r>
        <w:rPr>
          <w:sz w:val="24"/>
          <w:szCs w:val="24"/>
        </w:rPr>
        <w:t>Axel Heides Gade 1</w:t>
      </w:r>
    </w:p>
    <w:p w14:paraId="6C30AA3F" w14:textId="77777777" w:rsidR="00B368DC" w:rsidRDefault="00B368DC" w:rsidP="00B368DC">
      <w:pPr>
        <w:ind w:left="851"/>
        <w:rPr>
          <w:sz w:val="24"/>
          <w:szCs w:val="24"/>
        </w:rPr>
      </w:pPr>
      <w:r>
        <w:rPr>
          <w:sz w:val="24"/>
          <w:szCs w:val="24"/>
        </w:rPr>
        <w:t>DK-2300 København S</w:t>
      </w:r>
    </w:p>
    <w:p w14:paraId="22001E69" w14:textId="3F33A490" w:rsidR="00B368DC" w:rsidRPr="00B368DC" w:rsidRDefault="00B368DC" w:rsidP="00B368DC">
      <w:pPr>
        <w:ind w:left="851"/>
        <w:rPr>
          <w:sz w:val="24"/>
          <w:szCs w:val="24"/>
          <w:lang w:val="en-US"/>
        </w:rPr>
      </w:pPr>
      <w:r w:rsidRPr="00B368DC">
        <w:rPr>
          <w:sz w:val="24"/>
          <w:szCs w:val="24"/>
          <w:lang w:val="en-US"/>
        </w:rPr>
        <w:t>Webs</w:t>
      </w:r>
      <w:r>
        <w:rPr>
          <w:sz w:val="24"/>
          <w:szCs w:val="24"/>
          <w:lang w:val="en-US"/>
        </w:rPr>
        <w:t>ite</w:t>
      </w:r>
      <w:r w:rsidRPr="00B368DC">
        <w:rPr>
          <w:sz w:val="24"/>
          <w:szCs w:val="24"/>
          <w:lang w:val="en-US"/>
        </w:rPr>
        <w:t>: www.meldenbivirkning.dk</w:t>
      </w:r>
      <w:bookmarkEnd w:id="4"/>
      <w:bookmarkEnd w:id="5"/>
    </w:p>
    <w:p w14:paraId="0A4AA81F" w14:textId="77777777" w:rsidR="007C5D2A" w:rsidRPr="00B368DC" w:rsidRDefault="007C5D2A" w:rsidP="00B368DC">
      <w:pPr>
        <w:tabs>
          <w:tab w:val="left" w:pos="851"/>
        </w:tabs>
        <w:ind w:left="851"/>
        <w:rPr>
          <w:sz w:val="24"/>
          <w:szCs w:val="24"/>
          <w:lang w:val="en-US"/>
        </w:rPr>
      </w:pPr>
    </w:p>
    <w:p w14:paraId="6D207351"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4.9</w:t>
      </w:r>
      <w:r w:rsidRPr="00303008">
        <w:rPr>
          <w:b/>
          <w:sz w:val="24"/>
          <w:szCs w:val="24"/>
          <w:lang w:val="en-GB"/>
        </w:rPr>
        <w:tab/>
        <w:t>Overdose</w:t>
      </w:r>
    </w:p>
    <w:p w14:paraId="10817108" w14:textId="77777777" w:rsidR="00D92AEF" w:rsidRPr="00D92AEF" w:rsidRDefault="00D92AEF" w:rsidP="00D92AEF">
      <w:pPr>
        <w:tabs>
          <w:tab w:val="left" w:pos="851"/>
        </w:tabs>
        <w:ind w:left="851"/>
        <w:rPr>
          <w:sz w:val="24"/>
          <w:szCs w:val="24"/>
          <w:lang w:val="en-US"/>
        </w:rPr>
      </w:pPr>
      <w:r w:rsidRPr="00D92AEF">
        <w:rPr>
          <w:sz w:val="24"/>
          <w:szCs w:val="24"/>
          <w:lang w:val="en-US"/>
        </w:rPr>
        <w:t>Limited data are available with regard to overdose in humans. A single dose of 583 mg sacubitril/617 mg valsartan and multiple doses of 437 mg sacubitril/463 mg valsartan (14 days) were studied in healthy adult volunteers and were well tolerated.</w:t>
      </w:r>
    </w:p>
    <w:p w14:paraId="50DA0690" w14:textId="77777777" w:rsidR="00D92AEF" w:rsidRPr="00D92AEF" w:rsidRDefault="00D92AEF" w:rsidP="00D92AEF">
      <w:pPr>
        <w:tabs>
          <w:tab w:val="left" w:pos="851"/>
        </w:tabs>
        <w:ind w:left="851"/>
        <w:rPr>
          <w:sz w:val="24"/>
          <w:szCs w:val="24"/>
          <w:lang w:val="en-US"/>
        </w:rPr>
      </w:pPr>
    </w:p>
    <w:p w14:paraId="573AA72A" w14:textId="77777777" w:rsidR="00D92AEF" w:rsidRPr="00D92AEF" w:rsidRDefault="00D92AEF" w:rsidP="00D92AEF">
      <w:pPr>
        <w:tabs>
          <w:tab w:val="left" w:pos="851"/>
        </w:tabs>
        <w:ind w:left="851"/>
        <w:rPr>
          <w:sz w:val="24"/>
          <w:szCs w:val="24"/>
          <w:lang w:val="en-US"/>
        </w:rPr>
      </w:pPr>
      <w:r w:rsidRPr="00D92AEF">
        <w:rPr>
          <w:sz w:val="24"/>
          <w:szCs w:val="24"/>
          <w:lang w:val="en-US"/>
        </w:rPr>
        <w:t>Hypotension is the most likely symptom of overdose due to the blood pressure lowering effects of sacubitril/valsartan. Symptomatic treatment should be provided.</w:t>
      </w:r>
    </w:p>
    <w:p w14:paraId="002BE2D5" w14:textId="77777777" w:rsidR="00D92AEF" w:rsidRPr="00D92AEF" w:rsidRDefault="00D92AEF" w:rsidP="00D92AEF">
      <w:pPr>
        <w:tabs>
          <w:tab w:val="left" w:pos="851"/>
        </w:tabs>
        <w:ind w:left="851"/>
        <w:rPr>
          <w:sz w:val="24"/>
          <w:szCs w:val="24"/>
          <w:lang w:val="en-US"/>
        </w:rPr>
      </w:pPr>
    </w:p>
    <w:p w14:paraId="2EA9C06C" w14:textId="77777777" w:rsidR="00D92AEF" w:rsidRPr="00D92AEF" w:rsidRDefault="00D92AEF" w:rsidP="00D92AEF">
      <w:pPr>
        <w:tabs>
          <w:tab w:val="left" w:pos="851"/>
        </w:tabs>
        <w:ind w:left="851"/>
        <w:rPr>
          <w:sz w:val="24"/>
          <w:szCs w:val="24"/>
          <w:lang w:val="en-US"/>
        </w:rPr>
      </w:pPr>
      <w:r w:rsidRPr="00D92AEF">
        <w:rPr>
          <w:sz w:val="24"/>
          <w:szCs w:val="24"/>
          <w:lang w:val="en-US"/>
        </w:rPr>
        <w:t>The medicinal product is unlikely to be removed by haemodialysis due to high protein binding (see section 5.2).</w:t>
      </w:r>
    </w:p>
    <w:p w14:paraId="1DE59F4E" w14:textId="77777777" w:rsidR="007C5D2A" w:rsidRPr="00D92AEF" w:rsidRDefault="007C5D2A" w:rsidP="003E0341">
      <w:pPr>
        <w:tabs>
          <w:tab w:val="left" w:pos="851"/>
        </w:tabs>
        <w:ind w:left="851"/>
        <w:rPr>
          <w:sz w:val="24"/>
          <w:szCs w:val="24"/>
          <w:lang w:val="en-US"/>
        </w:rPr>
      </w:pPr>
    </w:p>
    <w:p w14:paraId="0D1D3953" w14:textId="77777777" w:rsidR="008F2F8C" w:rsidRPr="00303008" w:rsidRDefault="0042292D" w:rsidP="0042292D">
      <w:pPr>
        <w:tabs>
          <w:tab w:val="left" w:pos="851"/>
        </w:tabs>
        <w:rPr>
          <w:b/>
          <w:sz w:val="24"/>
          <w:szCs w:val="24"/>
          <w:lang w:val="en-GB"/>
        </w:rPr>
      </w:pPr>
      <w:r w:rsidRPr="00303008">
        <w:rPr>
          <w:b/>
          <w:sz w:val="24"/>
          <w:szCs w:val="24"/>
          <w:lang w:val="en-GB"/>
        </w:rPr>
        <w:t>4.10</w:t>
      </w:r>
      <w:r w:rsidRPr="00303008">
        <w:rPr>
          <w:b/>
          <w:sz w:val="24"/>
          <w:szCs w:val="24"/>
          <w:lang w:val="en-GB"/>
        </w:rPr>
        <w:tab/>
        <w:t>Legal status</w:t>
      </w:r>
    </w:p>
    <w:p w14:paraId="352CCB4B" w14:textId="7B95A3EA" w:rsidR="00AD2E36" w:rsidRPr="00303008" w:rsidRDefault="00D92AEF" w:rsidP="00AD2E36">
      <w:pPr>
        <w:tabs>
          <w:tab w:val="left" w:pos="851"/>
        </w:tabs>
        <w:ind w:left="851"/>
        <w:rPr>
          <w:sz w:val="24"/>
          <w:szCs w:val="24"/>
          <w:lang w:val="en-GB"/>
        </w:rPr>
      </w:pPr>
      <w:r>
        <w:rPr>
          <w:sz w:val="24"/>
          <w:szCs w:val="24"/>
          <w:lang w:val="en-GB"/>
        </w:rPr>
        <w:t>B</w:t>
      </w:r>
    </w:p>
    <w:p w14:paraId="127FC12F" w14:textId="77777777" w:rsidR="007C5D2A" w:rsidRPr="00303008" w:rsidRDefault="007C5D2A" w:rsidP="003E0341">
      <w:pPr>
        <w:tabs>
          <w:tab w:val="left" w:pos="851"/>
        </w:tabs>
        <w:ind w:left="851"/>
        <w:rPr>
          <w:sz w:val="24"/>
          <w:szCs w:val="24"/>
          <w:lang w:val="en-GB"/>
        </w:rPr>
      </w:pPr>
    </w:p>
    <w:p w14:paraId="4A22DFBF" w14:textId="5D63358A" w:rsidR="00143BF3" w:rsidRDefault="00143BF3">
      <w:pPr>
        <w:rPr>
          <w:sz w:val="24"/>
          <w:szCs w:val="24"/>
          <w:lang w:val="en-GB"/>
        </w:rPr>
      </w:pPr>
      <w:r>
        <w:rPr>
          <w:sz w:val="24"/>
          <w:szCs w:val="24"/>
          <w:lang w:val="en-GB"/>
        </w:rPr>
        <w:br w:type="page"/>
      </w:r>
    </w:p>
    <w:p w14:paraId="4209CA19" w14:textId="77777777" w:rsidR="00AD2E36" w:rsidRPr="00303008" w:rsidRDefault="00AD2E36" w:rsidP="003E0341">
      <w:pPr>
        <w:tabs>
          <w:tab w:val="left" w:pos="851"/>
        </w:tabs>
        <w:ind w:left="851"/>
        <w:rPr>
          <w:sz w:val="24"/>
          <w:szCs w:val="24"/>
          <w:lang w:val="en-GB"/>
        </w:rPr>
      </w:pPr>
    </w:p>
    <w:p w14:paraId="36EE7AA7" w14:textId="77777777" w:rsidR="007C5D2A" w:rsidRPr="00303008" w:rsidRDefault="007C5D2A" w:rsidP="007C5D2A">
      <w:pPr>
        <w:tabs>
          <w:tab w:val="left" w:pos="851"/>
        </w:tabs>
        <w:rPr>
          <w:b/>
          <w:sz w:val="24"/>
          <w:szCs w:val="24"/>
          <w:lang w:val="en-GB"/>
        </w:rPr>
      </w:pPr>
      <w:r w:rsidRPr="00303008">
        <w:rPr>
          <w:b/>
          <w:sz w:val="24"/>
          <w:szCs w:val="24"/>
          <w:lang w:val="en-GB"/>
        </w:rPr>
        <w:t>5.</w:t>
      </w:r>
      <w:r w:rsidRPr="00303008">
        <w:rPr>
          <w:b/>
          <w:sz w:val="24"/>
          <w:szCs w:val="24"/>
          <w:lang w:val="en-GB"/>
        </w:rPr>
        <w:tab/>
        <w:t>PHARMACOLOGICAL PROPERTIES</w:t>
      </w:r>
    </w:p>
    <w:p w14:paraId="75E43174" w14:textId="77777777" w:rsidR="007C5D2A" w:rsidRPr="00143BF3" w:rsidRDefault="007C5D2A" w:rsidP="00143BF3">
      <w:pPr>
        <w:tabs>
          <w:tab w:val="left" w:pos="851"/>
        </w:tabs>
        <w:ind w:left="851"/>
        <w:rPr>
          <w:sz w:val="24"/>
          <w:szCs w:val="24"/>
          <w:lang w:val="en-GB"/>
        </w:rPr>
      </w:pPr>
    </w:p>
    <w:p w14:paraId="4E4A38B5" w14:textId="77777777" w:rsidR="007C5D2A" w:rsidRPr="00143BF3" w:rsidRDefault="007C5D2A" w:rsidP="00143BF3">
      <w:pPr>
        <w:tabs>
          <w:tab w:val="left" w:pos="851"/>
        </w:tabs>
        <w:ind w:left="851" w:hanging="851"/>
        <w:rPr>
          <w:b/>
          <w:sz w:val="24"/>
          <w:szCs w:val="24"/>
          <w:lang w:val="en-GB"/>
        </w:rPr>
      </w:pPr>
      <w:r w:rsidRPr="00143BF3">
        <w:rPr>
          <w:b/>
          <w:sz w:val="24"/>
          <w:szCs w:val="24"/>
          <w:lang w:val="en-GB"/>
        </w:rPr>
        <w:t>5.1</w:t>
      </w:r>
      <w:r w:rsidRPr="00143BF3">
        <w:rPr>
          <w:b/>
          <w:sz w:val="24"/>
          <w:szCs w:val="24"/>
          <w:lang w:val="en-GB"/>
        </w:rPr>
        <w:tab/>
        <w:t>Pharmacodynamic properties</w:t>
      </w:r>
      <w:r w:rsidRPr="00143BF3">
        <w:rPr>
          <w:b/>
          <w:sz w:val="24"/>
          <w:szCs w:val="24"/>
          <w:lang w:val="en-GB"/>
        </w:rPr>
        <w:tab/>
      </w:r>
    </w:p>
    <w:p w14:paraId="5D0E3483" w14:textId="51927B7F" w:rsidR="00143BF3" w:rsidRPr="00143BF3" w:rsidRDefault="00143BF3" w:rsidP="00143BF3">
      <w:pPr>
        <w:tabs>
          <w:tab w:val="left" w:pos="851"/>
        </w:tabs>
        <w:suppressAutoHyphens/>
        <w:autoSpaceDN w:val="0"/>
        <w:ind w:left="851"/>
        <w:rPr>
          <w:rFonts w:eastAsia="Calibri"/>
          <w:sz w:val="24"/>
          <w:szCs w:val="24"/>
          <w:lang w:val="en-US"/>
        </w:rPr>
      </w:pPr>
      <w:r w:rsidRPr="00143BF3">
        <w:rPr>
          <w:rFonts w:eastAsia="Calibri"/>
          <w:sz w:val="24"/>
          <w:szCs w:val="24"/>
          <w:lang w:val="en-US"/>
        </w:rPr>
        <w:t>Pharmacotherapeutic group: Agents acting on the renin-angiotensin system; angiotensin II receptor blockers (ARBs), other combinations, ATC code: C09DX04</w:t>
      </w:r>
      <w:r>
        <w:rPr>
          <w:rFonts w:eastAsia="Calibri"/>
          <w:sz w:val="24"/>
          <w:szCs w:val="24"/>
          <w:lang w:val="en-US"/>
        </w:rPr>
        <w:t>.</w:t>
      </w:r>
    </w:p>
    <w:p w14:paraId="050170D1" w14:textId="77777777" w:rsidR="00143BF3" w:rsidRPr="00143BF3" w:rsidRDefault="00143BF3" w:rsidP="00143BF3">
      <w:pPr>
        <w:tabs>
          <w:tab w:val="left" w:pos="851"/>
        </w:tabs>
        <w:suppressAutoHyphens/>
        <w:autoSpaceDN w:val="0"/>
        <w:ind w:left="851"/>
        <w:rPr>
          <w:rFonts w:eastAsia="Calibri"/>
          <w:sz w:val="24"/>
          <w:szCs w:val="24"/>
          <w:lang w:val="en-US"/>
        </w:rPr>
      </w:pPr>
    </w:p>
    <w:p w14:paraId="2351B2A2" w14:textId="77777777" w:rsidR="00143BF3" w:rsidRPr="00143BF3" w:rsidRDefault="00143BF3" w:rsidP="00143BF3">
      <w:pPr>
        <w:tabs>
          <w:tab w:val="left" w:pos="851"/>
        </w:tabs>
        <w:suppressAutoHyphens/>
        <w:autoSpaceDN w:val="0"/>
        <w:ind w:left="851"/>
        <w:rPr>
          <w:rFonts w:eastAsia="Calibri"/>
          <w:sz w:val="24"/>
          <w:szCs w:val="24"/>
          <w:u w:val="single"/>
          <w:lang w:val="en-US"/>
        </w:rPr>
      </w:pPr>
      <w:r w:rsidRPr="00143BF3">
        <w:rPr>
          <w:rFonts w:eastAsia="Calibri"/>
          <w:sz w:val="24"/>
          <w:szCs w:val="24"/>
          <w:u w:val="single"/>
          <w:lang w:val="en-US"/>
        </w:rPr>
        <w:t>Mechanism of action</w:t>
      </w:r>
    </w:p>
    <w:p w14:paraId="4E94B7CA" w14:textId="77777777" w:rsidR="00143BF3" w:rsidRPr="00143BF3" w:rsidRDefault="00143BF3" w:rsidP="00143BF3">
      <w:pPr>
        <w:tabs>
          <w:tab w:val="left" w:pos="851"/>
        </w:tabs>
        <w:suppressAutoHyphens/>
        <w:autoSpaceDN w:val="0"/>
        <w:ind w:left="851"/>
        <w:rPr>
          <w:rFonts w:eastAsia="Calibri"/>
          <w:sz w:val="24"/>
          <w:szCs w:val="24"/>
          <w:lang w:val="en-US"/>
        </w:rPr>
      </w:pPr>
      <w:r w:rsidRPr="00143BF3">
        <w:rPr>
          <w:rFonts w:eastAsia="Calibri"/>
          <w:sz w:val="24"/>
          <w:szCs w:val="24"/>
          <w:lang w:val="en-US"/>
        </w:rPr>
        <w:t>Sacubitril/valsartan exhibits the mechanism of action of an angiotensin receptor neprilysin inhibitor by simultaneously inhibiting neprilysin (neutral endopeptidase; NEP) via LBQ657, the active metabolite of the prodrug sacubitril, and by blocking the angiotensin II type-1 (AT1) receptor via valsartan. The complementary cardiovascular benefits of sacubitril/valsartan in heart failure patients are attributed to the enhancement of peptides that are degraded by neprilysin, such as natriuretic peptides (NP), by LBQ657 and the simultaneous inhibition of the effects of angiotensin II by valsartan. NPs exert their effects by activating membrane-bound guanylyl cyclase-coupled receptors, resulting in increased concentrations of the second messenger cyclic guanosine monophosphate (cGMP), which could result in vasodilation, natriuresis and diuresis, increased glomerular filtration rate and renal blood flow, inhibition of renin and aldosterone release, reduction of sympathetic activity, and anti-hypertrophic and anti-fibrotic effects.</w:t>
      </w:r>
    </w:p>
    <w:p w14:paraId="3A5BA71C" w14:textId="77777777" w:rsidR="00143BF3" w:rsidRPr="00143BF3" w:rsidRDefault="00143BF3" w:rsidP="00143BF3">
      <w:pPr>
        <w:tabs>
          <w:tab w:val="left" w:pos="851"/>
        </w:tabs>
        <w:suppressAutoHyphens/>
        <w:autoSpaceDN w:val="0"/>
        <w:ind w:left="851"/>
        <w:rPr>
          <w:rFonts w:eastAsia="Calibri"/>
          <w:sz w:val="24"/>
          <w:szCs w:val="24"/>
          <w:lang w:val="en-US"/>
        </w:rPr>
      </w:pPr>
    </w:p>
    <w:p w14:paraId="6926B822" w14:textId="77777777" w:rsidR="00143BF3" w:rsidRPr="00143BF3" w:rsidRDefault="00143BF3" w:rsidP="00143BF3">
      <w:pPr>
        <w:tabs>
          <w:tab w:val="left" w:pos="851"/>
        </w:tabs>
        <w:suppressAutoHyphens/>
        <w:autoSpaceDN w:val="0"/>
        <w:ind w:left="851"/>
        <w:rPr>
          <w:rFonts w:eastAsia="Calibri"/>
          <w:sz w:val="24"/>
          <w:szCs w:val="24"/>
          <w:lang w:val="en-US"/>
        </w:rPr>
      </w:pPr>
      <w:r w:rsidRPr="00143BF3">
        <w:rPr>
          <w:rFonts w:eastAsia="Calibri"/>
          <w:sz w:val="24"/>
          <w:szCs w:val="24"/>
          <w:lang w:val="en-US"/>
        </w:rPr>
        <w:t>Valsartan inhibits detrimental cardiovascular and renal effects of angiotensin II by selectively blocking the AT1 receptor, and also inhibits angiotensin II-dependent aldosterone release. This prevents sustained activation of the renin-angiotensin-aldosterone system that would result in vasoconstriction, renal sodium and fluid retention, activation of cellular growth and proliferation, and subsequent maladaptive cardiovascular remodelling.</w:t>
      </w:r>
    </w:p>
    <w:p w14:paraId="0D72DDD3" w14:textId="77777777" w:rsidR="00143BF3" w:rsidRPr="00143BF3" w:rsidRDefault="00143BF3" w:rsidP="00143BF3">
      <w:pPr>
        <w:tabs>
          <w:tab w:val="left" w:pos="851"/>
        </w:tabs>
        <w:suppressAutoHyphens/>
        <w:autoSpaceDN w:val="0"/>
        <w:ind w:left="851"/>
        <w:rPr>
          <w:rFonts w:eastAsia="Calibri"/>
          <w:sz w:val="24"/>
          <w:szCs w:val="24"/>
          <w:lang w:val="en-US"/>
        </w:rPr>
      </w:pPr>
    </w:p>
    <w:p w14:paraId="0AB4A998" w14:textId="77777777" w:rsidR="00143BF3" w:rsidRPr="00143BF3" w:rsidRDefault="00143BF3" w:rsidP="00143BF3">
      <w:pPr>
        <w:tabs>
          <w:tab w:val="left" w:pos="851"/>
        </w:tabs>
        <w:suppressAutoHyphens/>
        <w:autoSpaceDN w:val="0"/>
        <w:ind w:left="851"/>
        <w:rPr>
          <w:rFonts w:eastAsia="Calibri"/>
          <w:sz w:val="24"/>
          <w:szCs w:val="24"/>
          <w:u w:val="single"/>
          <w:lang w:val="en-US"/>
        </w:rPr>
      </w:pPr>
      <w:r w:rsidRPr="00143BF3">
        <w:rPr>
          <w:rFonts w:eastAsia="Calibri"/>
          <w:sz w:val="24"/>
          <w:szCs w:val="24"/>
          <w:u w:val="single"/>
          <w:lang w:val="en-US"/>
        </w:rPr>
        <w:t>Pharmacodynamic effects</w:t>
      </w:r>
    </w:p>
    <w:p w14:paraId="19DE8BAF" w14:textId="77777777" w:rsidR="00143BF3" w:rsidRPr="00143BF3" w:rsidRDefault="00143BF3" w:rsidP="00143BF3">
      <w:pPr>
        <w:tabs>
          <w:tab w:val="left" w:pos="851"/>
        </w:tabs>
        <w:suppressAutoHyphens/>
        <w:autoSpaceDN w:val="0"/>
        <w:ind w:left="851"/>
        <w:rPr>
          <w:rFonts w:eastAsia="Calibri"/>
          <w:sz w:val="24"/>
          <w:szCs w:val="24"/>
          <w:lang w:val="en-US"/>
        </w:rPr>
      </w:pPr>
      <w:r w:rsidRPr="00143BF3">
        <w:rPr>
          <w:rFonts w:eastAsia="Calibri"/>
          <w:sz w:val="24"/>
          <w:szCs w:val="24"/>
          <w:lang w:val="en-US"/>
        </w:rPr>
        <w:t>The pharmacodynamic effects of sacubitril/valsartan were evaluated after single and multiple dose administrations in healthy subjects and in patients with heart failure, and are consistent with simultaneous neprilysin inhibition and RAAS blockade. In a 7-day valsartan-controlled study in patients with reduced ejection fraction (HFrEF), administration of sacubitril/valsartan resulted in an initial increase in natriuresis, increased urine cGMP, and decreased plasma levels of mid-regional pro-atrial natriuretic peptide (MR-proANP) and N-terminal prohormone brain natriuretic peptide (NT-proBNP) compared to valsartan. In a 21-day study in HFrEF patients, sacubitril/valsartan significantly increased urine ANP and cGMP and plasma cGMP, and decreased plasma NT-proBNP, aldosterone and endothelin-1 compared to baseline. The AT1-receptor was also blocked as evidenced by increased plasma renin activity and plasma renin concentrations. In the PARADIGM-HF study, sacubitril/valsartan decreased plasma NT-proBNP and increased plasma BNP and urine cGMP compared with enalapril. In the PANORAMA-HF study, a reduction in NT-proBNP was observed at weeks 4 and 12 for sacubitril/valsartan (40.2% and 49.8%) and enalapril (18.0% and 44.9%) compared to baseline. The NT-proBNP levels continued to decrease over the duration of the study with a reduction of 65.1% for sacubitril/valsartan and 61.6% for enalapril at week 52 compared to baseline. BNP is not a suitable biomarker of heart failure in patients treated with sacubitril/valsartan because BNP is a neprilysin substrate (see section 4.4). NT-proBNP is not a neprilysin substrate and is therefore a more suitable biomarker.</w:t>
      </w:r>
    </w:p>
    <w:p w14:paraId="09A18262" w14:textId="77777777" w:rsidR="00143BF3" w:rsidRPr="00143BF3" w:rsidRDefault="00143BF3" w:rsidP="00143BF3">
      <w:pPr>
        <w:tabs>
          <w:tab w:val="left" w:pos="851"/>
        </w:tabs>
        <w:suppressAutoHyphens/>
        <w:autoSpaceDN w:val="0"/>
        <w:ind w:left="851"/>
        <w:rPr>
          <w:rFonts w:eastAsia="Calibri"/>
          <w:sz w:val="24"/>
          <w:szCs w:val="24"/>
          <w:lang w:val="en-US"/>
        </w:rPr>
      </w:pPr>
    </w:p>
    <w:p w14:paraId="141399DC" w14:textId="77777777" w:rsidR="00143BF3" w:rsidRPr="00143BF3" w:rsidRDefault="00143BF3" w:rsidP="00143BF3">
      <w:pPr>
        <w:tabs>
          <w:tab w:val="left" w:pos="851"/>
        </w:tabs>
        <w:suppressAutoHyphens/>
        <w:autoSpaceDN w:val="0"/>
        <w:ind w:left="851"/>
        <w:rPr>
          <w:rFonts w:eastAsia="Calibri"/>
          <w:sz w:val="24"/>
          <w:szCs w:val="24"/>
          <w:lang w:val="en-US"/>
        </w:rPr>
      </w:pPr>
      <w:r w:rsidRPr="00143BF3">
        <w:rPr>
          <w:rFonts w:eastAsia="Calibri"/>
          <w:sz w:val="24"/>
          <w:szCs w:val="24"/>
          <w:lang w:val="en-US"/>
        </w:rPr>
        <w:lastRenderedPageBreak/>
        <w:t>In a thorough QTc clinical study in healthy male subjects, single doses of sacubitril/valsartan 194 mg sacubitril/206 mg valsartan and 583 mg sacubitril/617 mg valsartan had no effect on cardiac repolarisation.</w:t>
      </w:r>
    </w:p>
    <w:p w14:paraId="4F023F7F" w14:textId="77777777" w:rsidR="00143BF3" w:rsidRPr="00143BF3" w:rsidRDefault="00143BF3" w:rsidP="00143BF3">
      <w:pPr>
        <w:tabs>
          <w:tab w:val="left" w:pos="851"/>
        </w:tabs>
        <w:suppressAutoHyphens/>
        <w:autoSpaceDN w:val="0"/>
        <w:ind w:left="851"/>
        <w:rPr>
          <w:rFonts w:eastAsia="Calibri"/>
          <w:sz w:val="24"/>
          <w:szCs w:val="24"/>
          <w:lang w:val="en-US"/>
        </w:rPr>
      </w:pPr>
    </w:p>
    <w:p w14:paraId="244ADC48" w14:textId="77777777" w:rsidR="00143BF3" w:rsidRPr="00143BF3" w:rsidRDefault="00143BF3" w:rsidP="00143BF3">
      <w:pPr>
        <w:tabs>
          <w:tab w:val="left" w:pos="851"/>
        </w:tabs>
        <w:suppressAutoHyphens/>
        <w:autoSpaceDN w:val="0"/>
        <w:ind w:left="851"/>
        <w:rPr>
          <w:rFonts w:eastAsia="Calibri"/>
          <w:sz w:val="24"/>
          <w:szCs w:val="24"/>
          <w:lang w:val="en-US"/>
        </w:rPr>
      </w:pPr>
      <w:r w:rsidRPr="00143BF3">
        <w:rPr>
          <w:rFonts w:eastAsia="Calibri"/>
          <w:sz w:val="24"/>
          <w:szCs w:val="24"/>
          <w:lang w:val="en-US"/>
        </w:rPr>
        <w:t>Neprilysin is one of multiple enzymes involved in the clearance of amyloid-β (Aβ) from the brain and cerebrospinal fluid (CSF). Administration of sacubitril/valsartan 194 mg sacubitril/206 mg valsartan once daily for two weeks to healthy subjects was associated with an increase in CSF Aβ1-38 compared to placebo; there were no changes in concentrations of CSF Aβ1-40 and 1-42. The clinical relevance of this finding is not known (see section 5.3).</w:t>
      </w:r>
    </w:p>
    <w:p w14:paraId="66F17445" w14:textId="77777777" w:rsidR="00143BF3" w:rsidRPr="00143BF3" w:rsidRDefault="00143BF3" w:rsidP="00143BF3">
      <w:pPr>
        <w:tabs>
          <w:tab w:val="left" w:pos="851"/>
        </w:tabs>
        <w:suppressAutoHyphens/>
        <w:autoSpaceDN w:val="0"/>
        <w:ind w:left="851"/>
        <w:rPr>
          <w:rFonts w:eastAsia="Calibri"/>
          <w:sz w:val="24"/>
          <w:szCs w:val="24"/>
          <w:lang w:val="en-US"/>
        </w:rPr>
      </w:pPr>
    </w:p>
    <w:p w14:paraId="58066B28" w14:textId="77777777" w:rsidR="00143BF3" w:rsidRPr="00143BF3" w:rsidRDefault="00143BF3" w:rsidP="00143BF3">
      <w:pPr>
        <w:tabs>
          <w:tab w:val="left" w:pos="851"/>
        </w:tabs>
        <w:suppressAutoHyphens/>
        <w:autoSpaceDN w:val="0"/>
        <w:ind w:left="851"/>
        <w:rPr>
          <w:rFonts w:eastAsia="Calibri"/>
          <w:sz w:val="24"/>
          <w:szCs w:val="24"/>
          <w:u w:val="single"/>
          <w:lang w:val="en-US"/>
        </w:rPr>
      </w:pPr>
      <w:r w:rsidRPr="00143BF3">
        <w:rPr>
          <w:rFonts w:eastAsia="Calibri"/>
          <w:sz w:val="24"/>
          <w:szCs w:val="24"/>
          <w:u w:val="single"/>
          <w:lang w:val="en-US"/>
        </w:rPr>
        <w:t>Clinical efficacy and safety</w:t>
      </w:r>
    </w:p>
    <w:p w14:paraId="7045588E" w14:textId="77777777" w:rsidR="00143BF3" w:rsidRPr="00143BF3" w:rsidRDefault="00143BF3" w:rsidP="00143BF3">
      <w:pPr>
        <w:tabs>
          <w:tab w:val="left" w:pos="851"/>
        </w:tabs>
        <w:suppressAutoHyphens/>
        <w:autoSpaceDN w:val="0"/>
        <w:ind w:left="851"/>
        <w:rPr>
          <w:rFonts w:eastAsia="Calibri"/>
          <w:sz w:val="24"/>
          <w:szCs w:val="24"/>
          <w:lang w:val="en-US"/>
        </w:rPr>
      </w:pPr>
      <w:r w:rsidRPr="00143BF3">
        <w:rPr>
          <w:rFonts w:eastAsia="Calibri"/>
          <w:sz w:val="24"/>
          <w:szCs w:val="24"/>
          <w:lang w:val="en-US"/>
        </w:rPr>
        <w:t>The 24 mg/26 mg, 49 mg/51 mg and 97 mg/103 mg strengths are in some publications referred to as 50, 100 or 200 mg.</w:t>
      </w:r>
    </w:p>
    <w:p w14:paraId="2F63305B" w14:textId="77777777" w:rsidR="00143BF3" w:rsidRPr="00143BF3" w:rsidRDefault="00143BF3" w:rsidP="00143BF3">
      <w:pPr>
        <w:tabs>
          <w:tab w:val="left" w:pos="851"/>
        </w:tabs>
        <w:suppressAutoHyphens/>
        <w:autoSpaceDN w:val="0"/>
        <w:ind w:left="851"/>
        <w:rPr>
          <w:rFonts w:eastAsia="Calibri"/>
          <w:sz w:val="24"/>
          <w:szCs w:val="24"/>
          <w:lang w:val="en-US"/>
        </w:rPr>
      </w:pPr>
    </w:p>
    <w:p w14:paraId="0B42D4C6" w14:textId="77777777" w:rsidR="00143BF3" w:rsidRPr="00143BF3" w:rsidRDefault="00143BF3" w:rsidP="00143BF3">
      <w:pPr>
        <w:tabs>
          <w:tab w:val="left" w:pos="851"/>
        </w:tabs>
        <w:suppressAutoHyphens/>
        <w:autoSpaceDN w:val="0"/>
        <w:ind w:left="851"/>
        <w:rPr>
          <w:rFonts w:eastAsia="Calibri"/>
          <w:i/>
          <w:iCs/>
          <w:sz w:val="24"/>
          <w:szCs w:val="24"/>
          <w:u w:val="single"/>
          <w:lang w:val="en-US"/>
        </w:rPr>
      </w:pPr>
      <w:r w:rsidRPr="00143BF3">
        <w:rPr>
          <w:rFonts w:eastAsia="Calibri"/>
          <w:i/>
          <w:iCs/>
          <w:sz w:val="24"/>
          <w:szCs w:val="24"/>
          <w:u w:val="single"/>
          <w:lang w:val="en-US"/>
        </w:rPr>
        <w:t>PARADIGM-HF</w:t>
      </w:r>
    </w:p>
    <w:p w14:paraId="1DE96EDF" w14:textId="77777777" w:rsidR="00143BF3" w:rsidRPr="00143BF3" w:rsidRDefault="00143BF3" w:rsidP="00143BF3">
      <w:pPr>
        <w:tabs>
          <w:tab w:val="left" w:pos="851"/>
        </w:tabs>
        <w:suppressAutoHyphens/>
        <w:autoSpaceDN w:val="0"/>
        <w:ind w:left="851"/>
        <w:rPr>
          <w:rFonts w:eastAsia="Calibri"/>
          <w:sz w:val="24"/>
          <w:szCs w:val="24"/>
          <w:lang w:val="en-US"/>
        </w:rPr>
      </w:pPr>
      <w:r w:rsidRPr="00143BF3">
        <w:rPr>
          <w:rFonts w:eastAsia="Calibri"/>
          <w:sz w:val="24"/>
          <w:szCs w:val="24"/>
          <w:lang w:val="en-US"/>
        </w:rPr>
        <w:t>PARADIGM-HF, the pivotal phase 3 study, was a multinational, randomised, double-blind study of 8 442 patients comparing sacubitril/valsartan to enalapril, both given to adult patients with chronic heart failure, NYHA class II-IV and reduced ejection fraction (left ventricular ejection fraction [LVEF] ≤40%, amended later to ≤35%) in addition to other heart failure therapy. The primary endpoint was the composite of cardiovascular (CV) death or hospitalisation for heart failure (HF). Patients with SBP &lt;100 mmHg, severe renal impairment (eGFR &lt;30 ml/min/1.73 m</w:t>
      </w:r>
      <w:r w:rsidRPr="00143BF3">
        <w:rPr>
          <w:rFonts w:eastAsia="Calibri"/>
          <w:sz w:val="24"/>
          <w:szCs w:val="24"/>
          <w:vertAlign w:val="superscript"/>
          <w:lang w:val="en-US"/>
        </w:rPr>
        <w:t>2</w:t>
      </w:r>
      <w:r w:rsidRPr="00143BF3">
        <w:rPr>
          <w:rFonts w:eastAsia="Calibri"/>
          <w:sz w:val="24"/>
          <w:szCs w:val="24"/>
          <w:lang w:val="en-US"/>
        </w:rPr>
        <w:t>) and severe hepatic impairment were excluded at screening and therefore not prospectively studied.</w:t>
      </w:r>
    </w:p>
    <w:p w14:paraId="1F4F2AAB" w14:textId="77777777" w:rsidR="00143BF3" w:rsidRPr="00143BF3" w:rsidRDefault="00143BF3" w:rsidP="00143BF3">
      <w:pPr>
        <w:tabs>
          <w:tab w:val="left" w:pos="851"/>
        </w:tabs>
        <w:suppressAutoHyphens/>
        <w:autoSpaceDN w:val="0"/>
        <w:ind w:left="851"/>
        <w:rPr>
          <w:rFonts w:eastAsia="Calibri"/>
          <w:sz w:val="24"/>
          <w:szCs w:val="24"/>
          <w:lang w:val="en-US"/>
        </w:rPr>
      </w:pPr>
    </w:p>
    <w:p w14:paraId="3B24AACD" w14:textId="77777777" w:rsidR="00143BF3" w:rsidRPr="00143BF3" w:rsidRDefault="00143BF3" w:rsidP="00143BF3">
      <w:pPr>
        <w:tabs>
          <w:tab w:val="left" w:pos="851"/>
        </w:tabs>
        <w:suppressAutoHyphens/>
        <w:autoSpaceDN w:val="0"/>
        <w:ind w:left="851"/>
        <w:rPr>
          <w:rFonts w:eastAsia="Calibri"/>
          <w:sz w:val="24"/>
          <w:szCs w:val="24"/>
          <w:lang w:val="en-US"/>
        </w:rPr>
      </w:pPr>
      <w:r w:rsidRPr="00143BF3">
        <w:rPr>
          <w:rFonts w:eastAsia="Calibri"/>
          <w:sz w:val="24"/>
          <w:szCs w:val="24"/>
          <w:lang w:val="en-US"/>
        </w:rPr>
        <w:t>Prior to study participation, patients were well treated with standard of care therapy which included ACE inhibitors/ARBs (&gt;99%), beta blockers (94%), mineralocorticoid antagonists (58%) and diuretics (82%). The median follow-up duration was 27 months and patients were treated for up to 4.3 years.</w:t>
      </w:r>
    </w:p>
    <w:p w14:paraId="08B95BA9" w14:textId="77777777" w:rsidR="00143BF3" w:rsidRPr="00143BF3" w:rsidRDefault="00143BF3" w:rsidP="00143BF3">
      <w:pPr>
        <w:tabs>
          <w:tab w:val="left" w:pos="851"/>
        </w:tabs>
        <w:suppressAutoHyphens/>
        <w:autoSpaceDN w:val="0"/>
        <w:ind w:left="851"/>
        <w:rPr>
          <w:rFonts w:eastAsia="Calibri"/>
          <w:sz w:val="24"/>
          <w:szCs w:val="24"/>
          <w:lang w:val="en-US"/>
        </w:rPr>
      </w:pPr>
    </w:p>
    <w:p w14:paraId="49FE060F" w14:textId="77777777" w:rsidR="00143BF3" w:rsidRPr="00143BF3" w:rsidRDefault="00143BF3" w:rsidP="00143BF3">
      <w:pPr>
        <w:tabs>
          <w:tab w:val="left" w:pos="851"/>
        </w:tabs>
        <w:suppressAutoHyphens/>
        <w:autoSpaceDN w:val="0"/>
        <w:ind w:left="851"/>
        <w:rPr>
          <w:rFonts w:eastAsia="Calibri"/>
          <w:sz w:val="24"/>
          <w:szCs w:val="24"/>
          <w:lang w:val="en-US"/>
        </w:rPr>
      </w:pPr>
      <w:r w:rsidRPr="00143BF3">
        <w:rPr>
          <w:rFonts w:eastAsia="Calibri"/>
          <w:sz w:val="24"/>
          <w:szCs w:val="24"/>
          <w:lang w:val="en-US"/>
        </w:rPr>
        <w:t>Patients were required to discontinue their existing ACE inhibitor or ARB therapy and enter a sequential single-blind run-in period during which they received treatment with enalapril 10 mg twice daily, followed by single-blind treatment with sacubitril/valsartan 100 mg twice daily, increasing to 200 mg twice daily (see section 4.8 for discontinuations during this period). They were then randomised to the double-blind period of the study, during which they received either sacubitril/valsartan 200 mg or enalapril 10 mg twice daily [sacubitril/valsartan (n=4 209); enalapril (n=4 233)].</w:t>
      </w:r>
    </w:p>
    <w:p w14:paraId="313B58F9" w14:textId="77777777" w:rsidR="00143BF3" w:rsidRPr="00143BF3" w:rsidRDefault="00143BF3" w:rsidP="00143BF3">
      <w:pPr>
        <w:tabs>
          <w:tab w:val="left" w:pos="851"/>
        </w:tabs>
        <w:suppressAutoHyphens/>
        <w:autoSpaceDN w:val="0"/>
        <w:ind w:left="851"/>
        <w:rPr>
          <w:rFonts w:eastAsia="Calibri"/>
          <w:sz w:val="24"/>
          <w:szCs w:val="24"/>
          <w:lang w:val="en-US"/>
        </w:rPr>
      </w:pPr>
    </w:p>
    <w:p w14:paraId="4CD11509" w14:textId="77777777" w:rsidR="00143BF3" w:rsidRPr="00143BF3" w:rsidRDefault="00143BF3" w:rsidP="00143BF3">
      <w:pPr>
        <w:tabs>
          <w:tab w:val="left" w:pos="851"/>
        </w:tabs>
        <w:suppressAutoHyphens/>
        <w:autoSpaceDN w:val="0"/>
        <w:ind w:left="851"/>
        <w:rPr>
          <w:rFonts w:eastAsia="Calibri"/>
          <w:sz w:val="24"/>
          <w:szCs w:val="24"/>
          <w:lang w:val="en-US"/>
        </w:rPr>
      </w:pPr>
      <w:r w:rsidRPr="00143BF3">
        <w:rPr>
          <w:rFonts w:eastAsia="Calibri"/>
          <w:sz w:val="24"/>
          <w:szCs w:val="24"/>
          <w:lang w:val="en-US"/>
        </w:rPr>
        <w:t>The mean age of the population studied was 64 years of age and 19% were 75 years of age or older. At randomisation, 70% of patients were NYHA class II, 24% were class III and 0.7% were class IV. The mean LVEF was 29% and there were 963 (11.4%) patients with a baseline LVEF &gt;35% and ≤40%.</w:t>
      </w:r>
    </w:p>
    <w:p w14:paraId="0C20C62D" w14:textId="77777777" w:rsidR="00143BF3" w:rsidRPr="00143BF3" w:rsidRDefault="00143BF3" w:rsidP="00143BF3">
      <w:pPr>
        <w:tabs>
          <w:tab w:val="left" w:pos="851"/>
        </w:tabs>
        <w:suppressAutoHyphens/>
        <w:autoSpaceDN w:val="0"/>
        <w:ind w:left="851"/>
        <w:rPr>
          <w:rFonts w:eastAsia="Calibri"/>
          <w:sz w:val="24"/>
          <w:szCs w:val="24"/>
          <w:lang w:val="en-US"/>
        </w:rPr>
      </w:pPr>
    </w:p>
    <w:p w14:paraId="605F5FE6" w14:textId="77777777" w:rsidR="00143BF3" w:rsidRPr="00143BF3" w:rsidRDefault="00143BF3" w:rsidP="00143BF3">
      <w:pPr>
        <w:tabs>
          <w:tab w:val="left" w:pos="851"/>
        </w:tabs>
        <w:suppressAutoHyphens/>
        <w:autoSpaceDN w:val="0"/>
        <w:ind w:left="851"/>
        <w:rPr>
          <w:rFonts w:eastAsia="Calibri"/>
          <w:sz w:val="24"/>
          <w:szCs w:val="24"/>
          <w:lang w:val="en-US"/>
        </w:rPr>
      </w:pPr>
      <w:r w:rsidRPr="00143BF3">
        <w:rPr>
          <w:rFonts w:eastAsia="Calibri"/>
          <w:sz w:val="24"/>
          <w:szCs w:val="24"/>
          <w:lang w:val="en-US"/>
        </w:rPr>
        <w:t>In the sacubitril/valsartan group, 76% of patients remained on the target dose of 200 mg twice daily at the end of the study (mean daily dose of 375 mg). In the enalapril group, 75% of patients remained on the target dose of 10 mg twice daily at the end of the study (mean daily dose of 18.9 mg).</w:t>
      </w:r>
    </w:p>
    <w:p w14:paraId="45EED332" w14:textId="77777777" w:rsidR="00143BF3" w:rsidRPr="00143BF3" w:rsidRDefault="00143BF3" w:rsidP="00143BF3">
      <w:pPr>
        <w:tabs>
          <w:tab w:val="left" w:pos="851"/>
        </w:tabs>
        <w:suppressAutoHyphens/>
        <w:autoSpaceDN w:val="0"/>
        <w:ind w:left="851"/>
        <w:rPr>
          <w:rFonts w:eastAsia="Calibri"/>
          <w:sz w:val="24"/>
          <w:szCs w:val="24"/>
          <w:lang w:val="en-US"/>
        </w:rPr>
      </w:pPr>
    </w:p>
    <w:p w14:paraId="7628FA6E" w14:textId="77777777" w:rsidR="00143BF3" w:rsidRPr="00143BF3" w:rsidRDefault="00143BF3" w:rsidP="00143BF3">
      <w:pPr>
        <w:tabs>
          <w:tab w:val="left" w:pos="851"/>
        </w:tabs>
        <w:suppressAutoHyphens/>
        <w:autoSpaceDN w:val="0"/>
        <w:ind w:left="851"/>
        <w:rPr>
          <w:rFonts w:eastAsia="Calibri"/>
          <w:sz w:val="24"/>
          <w:szCs w:val="24"/>
          <w:lang w:val="en-US"/>
        </w:rPr>
      </w:pPr>
      <w:r w:rsidRPr="00143BF3">
        <w:rPr>
          <w:rFonts w:eastAsia="Calibri"/>
          <w:sz w:val="24"/>
          <w:szCs w:val="24"/>
          <w:lang w:val="en-US"/>
        </w:rPr>
        <w:t xml:space="preserve">Sacubitril/valsartan was superior to enalapril, reducing the risk of cardiovascular death or heart failure hospitalisations to 21.8% compared to 26.5% for enalapril treated patients. The absolute risk reductions were 4.7% for the composite of the CV death or HF </w:t>
      </w:r>
      <w:r w:rsidRPr="00143BF3">
        <w:rPr>
          <w:rFonts w:eastAsia="Calibri"/>
          <w:sz w:val="24"/>
          <w:szCs w:val="24"/>
          <w:lang w:val="en-US"/>
        </w:rPr>
        <w:lastRenderedPageBreak/>
        <w:t>hospitalisation, 3.1% for CV death alone, and 2.8% for first HF hospitalisation alone. The relative risk reduction was 20% versus enalapril (see Table 3). This effect was observed early and was sustained throughout the duration of the study (see Figure 1). Both components contributed to the risk reduction. Sudden death accounted for 45% of cardiovascular deaths and was reduced by 20% in sacubitril/valsartan-treated patients compared to enalapril-treated patients (hazard ratio [HR] 0.80, p=0.0082). Pump failure accounted for 26% of cardiovascular deaths and was reduced by 21% in sacubitril/valsartan-treated patients compared to enalapril-treated patients (HR 0.79, p=0.0338).</w:t>
      </w:r>
    </w:p>
    <w:p w14:paraId="1D1C42ED" w14:textId="77777777" w:rsidR="00143BF3" w:rsidRPr="00143BF3" w:rsidRDefault="00143BF3" w:rsidP="00143BF3">
      <w:pPr>
        <w:tabs>
          <w:tab w:val="left" w:pos="851"/>
        </w:tabs>
        <w:suppressAutoHyphens/>
        <w:autoSpaceDN w:val="0"/>
        <w:ind w:left="851"/>
        <w:rPr>
          <w:rFonts w:eastAsia="Calibri"/>
          <w:sz w:val="24"/>
          <w:szCs w:val="24"/>
          <w:lang w:val="en-US"/>
        </w:rPr>
      </w:pPr>
    </w:p>
    <w:p w14:paraId="60404667" w14:textId="77777777" w:rsidR="00143BF3" w:rsidRPr="00143BF3" w:rsidRDefault="00143BF3" w:rsidP="00143BF3">
      <w:pPr>
        <w:tabs>
          <w:tab w:val="left" w:pos="851"/>
        </w:tabs>
        <w:suppressAutoHyphens/>
        <w:autoSpaceDN w:val="0"/>
        <w:ind w:left="851"/>
        <w:rPr>
          <w:rFonts w:eastAsia="Calibri"/>
          <w:sz w:val="24"/>
          <w:szCs w:val="24"/>
          <w:lang w:val="en-US"/>
        </w:rPr>
      </w:pPr>
      <w:r w:rsidRPr="00143BF3">
        <w:rPr>
          <w:rFonts w:eastAsia="Calibri"/>
          <w:sz w:val="24"/>
          <w:szCs w:val="24"/>
          <w:lang w:val="en-US"/>
        </w:rPr>
        <w:t>This risk reduction was consistently observed across subgroups including: gender, age, race, geography, NYHA class (II/III), ejection fraction, renal function, history of diabetes or hypertension, prior heart failure therapy, and atrial fibrillation.</w:t>
      </w:r>
    </w:p>
    <w:p w14:paraId="1CD9C220" w14:textId="77777777" w:rsidR="00143BF3" w:rsidRPr="00143BF3" w:rsidRDefault="00143BF3" w:rsidP="00143BF3">
      <w:pPr>
        <w:tabs>
          <w:tab w:val="left" w:pos="851"/>
        </w:tabs>
        <w:suppressAutoHyphens/>
        <w:autoSpaceDN w:val="0"/>
        <w:ind w:left="851"/>
        <w:rPr>
          <w:rFonts w:eastAsia="Calibri"/>
          <w:sz w:val="24"/>
          <w:szCs w:val="24"/>
          <w:lang w:val="en-US"/>
        </w:rPr>
      </w:pPr>
    </w:p>
    <w:p w14:paraId="68F8FDE5" w14:textId="77777777" w:rsidR="00143BF3" w:rsidRPr="00143BF3" w:rsidRDefault="00143BF3" w:rsidP="00143BF3">
      <w:pPr>
        <w:tabs>
          <w:tab w:val="left" w:pos="851"/>
        </w:tabs>
        <w:suppressAutoHyphens/>
        <w:autoSpaceDN w:val="0"/>
        <w:ind w:left="851"/>
        <w:rPr>
          <w:rFonts w:eastAsia="Calibri"/>
          <w:sz w:val="24"/>
          <w:szCs w:val="24"/>
          <w:lang w:val="en-US"/>
        </w:rPr>
      </w:pPr>
      <w:r w:rsidRPr="00143BF3">
        <w:rPr>
          <w:rFonts w:eastAsia="Calibri"/>
          <w:sz w:val="24"/>
          <w:szCs w:val="24"/>
          <w:lang w:val="en-US"/>
        </w:rPr>
        <w:t>Sacubitril/valsartan improved survival with a significant reduction in all-cause mortality of 2.8% (sacubitril/valsartan, 17%, enalapril, 19.8%). The relative risk reduction was 16% compared with enalapril (see Table 3).</w:t>
      </w:r>
    </w:p>
    <w:p w14:paraId="333123D7" w14:textId="77777777" w:rsidR="00143BF3" w:rsidRPr="00143BF3" w:rsidRDefault="00143BF3" w:rsidP="00143BF3">
      <w:pPr>
        <w:tabs>
          <w:tab w:val="left" w:pos="851"/>
        </w:tabs>
        <w:suppressAutoHyphens/>
        <w:autoSpaceDN w:val="0"/>
        <w:ind w:left="851"/>
        <w:rPr>
          <w:rFonts w:eastAsia="Calibri"/>
          <w:sz w:val="24"/>
          <w:szCs w:val="24"/>
          <w:lang w:val="en-US"/>
        </w:rPr>
      </w:pPr>
    </w:p>
    <w:p w14:paraId="7F38CD49" w14:textId="41E259ED" w:rsidR="00143BF3" w:rsidRDefault="00143BF3" w:rsidP="00143BF3">
      <w:pPr>
        <w:tabs>
          <w:tab w:val="left" w:pos="1134"/>
        </w:tabs>
        <w:ind w:left="1134" w:hanging="1134"/>
        <w:jc w:val="both"/>
        <w:rPr>
          <w:rFonts w:eastAsiaTheme="minorHAnsi" w:cstheme="minorBidi"/>
          <w:b/>
          <w:bCs/>
          <w:lang w:val="en-US"/>
        </w:rPr>
      </w:pPr>
      <w:r>
        <w:rPr>
          <w:b/>
          <w:bCs/>
          <w:lang w:val="en-US"/>
        </w:rPr>
        <w:t>Table 3</w:t>
      </w:r>
      <w:r>
        <w:rPr>
          <w:b/>
          <w:bCs/>
          <w:lang w:val="en-US"/>
        </w:rPr>
        <w:tab/>
        <w:t>Treatment effect for the primary composite endpoint, its components and all-cause mortality over a median follow-up of 27 months</w:t>
      </w:r>
    </w:p>
    <w:p w14:paraId="41287616" w14:textId="77777777" w:rsidR="00143BF3" w:rsidRDefault="00143BF3" w:rsidP="00143BF3">
      <w:pPr>
        <w:suppressAutoHyphens/>
        <w:autoSpaceDN w:val="0"/>
        <w:jc w:val="both"/>
        <w:rPr>
          <w:rFonts w:eastAsia="Calibri"/>
          <w:lang w:val="en-US"/>
        </w:rPr>
      </w:pPr>
    </w:p>
    <w:tbl>
      <w:tblPr>
        <w:tblStyle w:val="Tabel-Gitter"/>
        <w:tblW w:w="5000" w:type="pct"/>
        <w:jc w:val="center"/>
        <w:tblInd w:w="0" w:type="dxa"/>
        <w:tblLook w:val="04A0" w:firstRow="1" w:lastRow="0" w:firstColumn="1" w:lastColumn="0" w:noHBand="0" w:noVBand="1"/>
      </w:tblPr>
      <w:tblGrid>
        <w:gridCol w:w="2029"/>
        <w:gridCol w:w="1537"/>
        <w:gridCol w:w="1516"/>
        <w:gridCol w:w="1480"/>
        <w:gridCol w:w="1522"/>
        <w:gridCol w:w="1544"/>
      </w:tblGrid>
      <w:tr w:rsidR="00143BF3" w14:paraId="3B81A0BB" w14:textId="77777777" w:rsidTr="00143BF3">
        <w:trPr>
          <w:jc w:val="center"/>
        </w:trPr>
        <w:tc>
          <w:tcPr>
            <w:tcW w:w="1695" w:type="dxa"/>
            <w:tcBorders>
              <w:top w:val="single" w:sz="4" w:space="0" w:color="auto"/>
              <w:left w:val="single" w:sz="4" w:space="0" w:color="auto"/>
              <w:bottom w:val="single" w:sz="4" w:space="0" w:color="auto"/>
              <w:right w:val="single" w:sz="4" w:space="0" w:color="auto"/>
            </w:tcBorders>
          </w:tcPr>
          <w:p w14:paraId="4846FA8A" w14:textId="77777777" w:rsidR="00143BF3" w:rsidRDefault="00143BF3">
            <w:pPr>
              <w:suppressAutoHyphens/>
              <w:autoSpaceDN w:val="0"/>
              <w:jc w:val="both"/>
              <w:rPr>
                <w:rFonts w:ascii="Times New Roman" w:eastAsia="Calibri" w:hAnsi="Times New Roman" w:cs="Times New Roman"/>
                <w:lang w:val="en-US"/>
              </w:rPr>
            </w:pPr>
          </w:p>
        </w:tc>
        <w:tc>
          <w:tcPr>
            <w:tcW w:w="1335" w:type="dxa"/>
            <w:tcBorders>
              <w:top w:val="single" w:sz="4" w:space="0" w:color="auto"/>
              <w:left w:val="single" w:sz="4" w:space="0" w:color="auto"/>
              <w:bottom w:val="single" w:sz="4" w:space="0" w:color="auto"/>
              <w:right w:val="single" w:sz="4" w:space="0" w:color="auto"/>
            </w:tcBorders>
            <w:hideMark/>
          </w:tcPr>
          <w:p w14:paraId="66066416" w14:textId="77777777" w:rsidR="00143BF3" w:rsidRDefault="00143BF3">
            <w:pPr>
              <w:suppressAutoHyphens/>
              <w:autoSpaceDN w:val="0"/>
              <w:jc w:val="both"/>
              <w:rPr>
                <w:rFonts w:ascii="Times New Roman" w:eastAsia="Times New Roman" w:hAnsi="Times New Roman" w:cs="Times New Roman"/>
                <w:b/>
                <w:bCs/>
                <w:position w:val="8"/>
                <w:sz w:val="14"/>
                <w:lang w:val="de-DE" w:eastAsia="de-DE" w:bidi="de-DE"/>
              </w:rPr>
            </w:pPr>
            <w:r>
              <w:rPr>
                <w:rFonts w:ascii="Times New Roman" w:eastAsia="Times New Roman" w:hAnsi="Times New Roman" w:cs="Times New Roman"/>
                <w:b/>
                <w:bCs/>
                <w:spacing w:val="-1"/>
                <w:lang w:val="de-DE" w:eastAsia="de-DE" w:bidi="de-DE"/>
              </w:rPr>
              <w:t xml:space="preserve">Sacubitril/ </w:t>
            </w:r>
            <w:r>
              <w:rPr>
                <w:rFonts w:ascii="Times New Roman" w:eastAsia="Times New Roman" w:hAnsi="Times New Roman" w:cs="Times New Roman"/>
                <w:b/>
                <w:bCs/>
                <w:lang w:val="de-DE" w:eastAsia="de-DE" w:bidi="de-DE"/>
              </w:rPr>
              <w:t>valsartan N=4187</w:t>
            </w:r>
            <w:r>
              <w:rPr>
                <w:rFonts w:ascii="Times New Roman" w:eastAsia="Times New Roman" w:hAnsi="Times New Roman" w:cs="Times New Roman"/>
                <w:b/>
                <w:bCs/>
                <w:position w:val="8"/>
                <w:sz w:val="14"/>
                <w:lang w:val="de-DE" w:eastAsia="de-DE" w:bidi="de-DE"/>
              </w:rPr>
              <w:t>♯</w:t>
            </w:r>
          </w:p>
          <w:p w14:paraId="1E3A85AC" w14:textId="77777777" w:rsidR="00143BF3" w:rsidRDefault="00143BF3">
            <w:pPr>
              <w:suppressAutoHyphens/>
              <w:autoSpaceDN w:val="0"/>
              <w:jc w:val="both"/>
              <w:rPr>
                <w:rFonts w:ascii="Times New Roman" w:eastAsia="Calibri" w:hAnsi="Times New Roman" w:cs="Times New Roman"/>
                <w:b/>
                <w:bCs/>
                <w:sz w:val="22"/>
                <w:lang w:val="en-US"/>
              </w:rPr>
            </w:pPr>
            <w:r>
              <w:rPr>
                <w:rFonts w:ascii="Times New Roman" w:eastAsia="Times New Roman" w:hAnsi="Times New Roman" w:cs="Times New Roman"/>
                <w:b/>
                <w:bCs/>
                <w:lang w:val="de-DE" w:eastAsia="de-DE" w:bidi="de-DE"/>
              </w:rPr>
              <w:t>n (%)</w:t>
            </w:r>
          </w:p>
        </w:tc>
        <w:tc>
          <w:tcPr>
            <w:tcW w:w="1317" w:type="dxa"/>
            <w:tcBorders>
              <w:top w:val="single" w:sz="4" w:space="0" w:color="auto"/>
              <w:left w:val="single" w:sz="4" w:space="0" w:color="auto"/>
              <w:bottom w:val="single" w:sz="4" w:space="0" w:color="auto"/>
              <w:right w:val="single" w:sz="4" w:space="0" w:color="auto"/>
            </w:tcBorders>
            <w:hideMark/>
          </w:tcPr>
          <w:p w14:paraId="4626DD9E" w14:textId="77777777" w:rsidR="00143BF3" w:rsidRDefault="00143BF3">
            <w:pPr>
              <w:suppressAutoHyphens/>
              <w:autoSpaceDN w:val="0"/>
              <w:jc w:val="both"/>
              <w:rPr>
                <w:rFonts w:ascii="Times New Roman" w:eastAsia="Times New Roman" w:hAnsi="Times New Roman" w:cs="Times New Roman"/>
                <w:b/>
                <w:bCs/>
                <w:position w:val="8"/>
                <w:sz w:val="14"/>
                <w:lang w:val="de-DE" w:eastAsia="de-DE" w:bidi="de-DE"/>
              </w:rPr>
            </w:pPr>
            <w:r>
              <w:rPr>
                <w:rFonts w:ascii="Times New Roman" w:eastAsia="Times New Roman" w:hAnsi="Times New Roman" w:cs="Times New Roman"/>
                <w:b/>
                <w:bCs/>
                <w:lang w:val="de-DE" w:eastAsia="de-DE" w:bidi="de-DE"/>
              </w:rPr>
              <w:t>Enalapril N=4212</w:t>
            </w:r>
            <w:r>
              <w:rPr>
                <w:rFonts w:ascii="Times New Roman" w:eastAsia="Times New Roman" w:hAnsi="Times New Roman" w:cs="Times New Roman"/>
                <w:b/>
                <w:bCs/>
                <w:position w:val="8"/>
                <w:sz w:val="14"/>
                <w:lang w:val="de-DE" w:eastAsia="de-DE" w:bidi="de-DE"/>
              </w:rPr>
              <w:t>♯</w:t>
            </w:r>
          </w:p>
          <w:p w14:paraId="5C10D0D6" w14:textId="77777777" w:rsidR="00143BF3" w:rsidRDefault="00143BF3">
            <w:pPr>
              <w:suppressAutoHyphens/>
              <w:autoSpaceDN w:val="0"/>
              <w:jc w:val="both"/>
              <w:rPr>
                <w:rFonts w:ascii="Times New Roman" w:eastAsia="Calibri" w:hAnsi="Times New Roman" w:cs="Times New Roman"/>
                <w:b/>
                <w:bCs/>
                <w:sz w:val="22"/>
                <w:lang w:val="en-US"/>
              </w:rPr>
            </w:pPr>
            <w:r>
              <w:rPr>
                <w:rFonts w:ascii="Times New Roman" w:eastAsia="Times New Roman" w:hAnsi="Times New Roman" w:cs="Times New Roman"/>
                <w:b/>
                <w:bCs/>
                <w:lang w:val="de-DE" w:eastAsia="de-DE" w:bidi="de-DE"/>
              </w:rPr>
              <w:t>n (%)</w:t>
            </w:r>
          </w:p>
        </w:tc>
        <w:tc>
          <w:tcPr>
            <w:tcW w:w="1286" w:type="dxa"/>
            <w:tcBorders>
              <w:top w:val="single" w:sz="4" w:space="0" w:color="auto"/>
              <w:left w:val="single" w:sz="4" w:space="0" w:color="auto"/>
              <w:bottom w:val="single" w:sz="4" w:space="0" w:color="auto"/>
              <w:right w:val="single" w:sz="4" w:space="0" w:color="auto"/>
            </w:tcBorders>
            <w:hideMark/>
          </w:tcPr>
          <w:p w14:paraId="0C2884CD" w14:textId="77777777" w:rsidR="00143BF3" w:rsidRDefault="00143BF3">
            <w:pPr>
              <w:suppressAutoHyphens/>
              <w:autoSpaceDN w:val="0"/>
              <w:jc w:val="both"/>
              <w:rPr>
                <w:rFonts w:ascii="Times New Roman" w:eastAsia="Times New Roman" w:hAnsi="Times New Roman" w:cs="Times New Roman"/>
                <w:b/>
                <w:bCs/>
                <w:lang w:val="de-DE" w:eastAsia="de-DE" w:bidi="de-DE"/>
              </w:rPr>
            </w:pPr>
            <w:r>
              <w:rPr>
                <w:rFonts w:ascii="Times New Roman" w:eastAsia="Times New Roman" w:hAnsi="Times New Roman" w:cs="Times New Roman"/>
                <w:b/>
                <w:bCs/>
                <w:lang w:val="de-DE" w:eastAsia="de-DE" w:bidi="de-DE"/>
              </w:rPr>
              <w:t>Hazard ratio</w:t>
            </w:r>
          </w:p>
          <w:p w14:paraId="097B64E6" w14:textId="77777777" w:rsidR="00143BF3" w:rsidRDefault="00143BF3">
            <w:pPr>
              <w:suppressAutoHyphens/>
              <w:autoSpaceDN w:val="0"/>
              <w:jc w:val="both"/>
              <w:rPr>
                <w:rFonts w:ascii="Times New Roman" w:eastAsia="Calibri" w:hAnsi="Times New Roman" w:cs="Times New Roman"/>
                <w:b/>
                <w:bCs/>
                <w:lang w:val="en-US"/>
              </w:rPr>
            </w:pPr>
            <w:r>
              <w:rPr>
                <w:rFonts w:ascii="Times New Roman" w:eastAsia="Times New Roman" w:hAnsi="Times New Roman" w:cs="Times New Roman"/>
                <w:b/>
                <w:bCs/>
                <w:lang w:val="de-DE" w:eastAsia="de-DE" w:bidi="de-DE"/>
              </w:rPr>
              <w:t>(95% CI)</w:t>
            </w:r>
          </w:p>
        </w:tc>
        <w:tc>
          <w:tcPr>
            <w:tcW w:w="1322" w:type="dxa"/>
            <w:tcBorders>
              <w:top w:val="single" w:sz="4" w:space="0" w:color="auto"/>
              <w:left w:val="single" w:sz="4" w:space="0" w:color="auto"/>
              <w:bottom w:val="single" w:sz="4" w:space="0" w:color="auto"/>
              <w:right w:val="single" w:sz="4" w:space="0" w:color="auto"/>
            </w:tcBorders>
            <w:hideMark/>
          </w:tcPr>
          <w:p w14:paraId="5DDA766A" w14:textId="77777777" w:rsidR="00143BF3" w:rsidRDefault="00143BF3">
            <w:pPr>
              <w:suppressAutoHyphens/>
              <w:autoSpaceDN w:val="0"/>
              <w:jc w:val="both"/>
              <w:rPr>
                <w:rFonts w:ascii="Times New Roman" w:eastAsia="Calibri" w:hAnsi="Times New Roman" w:cs="Times New Roman"/>
                <w:b/>
                <w:bCs/>
                <w:lang w:val="en-US"/>
              </w:rPr>
            </w:pPr>
            <w:r>
              <w:rPr>
                <w:rFonts w:ascii="Times New Roman" w:eastAsia="Calibri" w:hAnsi="Times New Roman" w:cs="Times New Roman"/>
                <w:b/>
                <w:bCs/>
                <w:lang w:val="en-US"/>
              </w:rPr>
              <w:t>Relative risk reduction</w:t>
            </w:r>
          </w:p>
        </w:tc>
        <w:tc>
          <w:tcPr>
            <w:tcW w:w="1341" w:type="dxa"/>
            <w:tcBorders>
              <w:top w:val="single" w:sz="4" w:space="0" w:color="auto"/>
              <w:left w:val="single" w:sz="4" w:space="0" w:color="auto"/>
              <w:bottom w:val="single" w:sz="4" w:space="0" w:color="auto"/>
              <w:right w:val="single" w:sz="4" w:space="0" w:color="auto"/>
            </w:tcBorders>
            <w:hideMark/>
          </w:tcPr>
          <w:p w14:paraId="20FD9674" w14:textId="77777777" w:rsidR="00143BF3" w:rsidRDefault="00143BF3">
            <w:pPr>
              <w:suppressAutoHyphens/>
              <w:autoSpaceDN w:val="0"/>
              <w:jc w:val="both"/>
              <w:rPr>
                <w:rFonts w:ascii="Times New Roman" w:eastAsia="Calibri" w:hAnsi="Times New Roman" w:cs="Times New Roman"/>
                <w:b/>
                <w:bCs/>
                <w:lang w:val="en-US"/>
              </w:rPr>
            </w:pPr>
            <w:r>
              <w:rPr>
                <w:rFonts w:ascii="Times New Roman" w:eastAsia="Calibri" w:hAnsi="Times New Roman" w:cs="Times New Roman"/>
                <w:b/>
                <w:bCs/>
                <w:lang w:val="en-US"/>
              </w:rPr>
              <w:t>p-value ***</w:t>
            </w:r>
          </w:p>
        </w:tc>
      </w:tr>
      <w:tr w:rsidR="00143BF3" w14:paraId="24D920C8" w14:textId="77777777" w:rsidTr="00143BF3">
        <w:trPr>
          <w:jc w:val="center"/>
        </w:trPr>
        <w:tc>
          <w:tcPr>
            <w:tcW w:w="1695" w:type="dxa"/>
            <w:tcBorders>
              <w:top w:val="single" w:sz="4" w:space="0" w:color="auto"/>
              <w:left w:val="single" w:sz="4" w:space="0" w:color="auto"/>
              <w:bottom w:val="single" w:sz="4" w:space="0" w:color="auto"/>
              <w:right w:val="single" w:sz="4" w:space="0" w:color="auto"/>
            </w:tcBorders>
            <w:vAlign w:val="center"/>
            <w:hideMark/>
          </w:tcPr>
          <w:p w14:paraId="76FFEF6F" w14:textId="77777777" w:rsidR="00143BF3" w:rsidRDefault="00143BF3">
            <w:pPr>
              <w:suppressAutoHyphens/>
              <w:autoSpaceDN w:val="0"/>
              <w:rPr>
                <w:rFonts w:ascii="Times New Roman" w:eastAsia="Calibri" w:hAnsi="Times New Roman" w:cs="Times New Roman"/>
                <w:lang w:val="en-US"/>
              </w:rPr>
            </w:pPr>
            <w:r>
              <w:rPr>
                <w:rFonts w:ascii="Times New Roman" w:eastAsia="Calibri" w:hAnsi="Times New Roman" w:cs="Times New Roman"/>
                <w:lang w:val="en-US"/>
              </w:rPr>
              <w:t>Primary composite endpoint of CV death and heart failure hospitalisations*</w:t>
            </w:r>
          </w:p>
        </w:tc>
        <w:tc>
          <w:tcPr>
            <w:tcW w:w="1335" w:type="dxa"/>
            <w:tcBorders>
              <w:top w:val="single" w:sz="4" w:space="0" w:color="auto"/>
              <w:left w:val="single" w:sz="4" w:space="0" w:color="auto"/>
              <w:bottom w:val="single" w:sz="4" w:space="0" w:color="auto"/>
              <w:right w:val="single" w:sz="4" w:space="0" w:color="auto"/>
            </w:tcBorders>
            <w:hideMark/>
          </w:tcPr>
          <w:p w14:paraId="53917CCB"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914 (21.83)</w:t>
            </w:r>
          </w:p>
        </w:tc>
        <w:tc>
          <w:tcPr>
            <w:tcW w:w="1317" w:type="dxa"/>
            <w:tcBorders>
              <w:top w:val="single" w:sz="4" w:space="0" w:color="auto"/>
              <w:left w:val="single" w:sz="4" w:space="0" w:color="auto"/>
              <w:bottom w:val="single" w:sz="4" w:space="0" w:color="auto"/>
              <w:right w:val="single" w:sz="4" w:space="0" w:color="auto"/>
            </w:tcBorders>
            <w:hideMark/>
          </w:tcPr>
          <w:p w14:paraId="0F6D612C"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1117 (26.52)</w:t>
            </w:r>
          </w:p>
        </w:tc>
        <w:tc>
          <w:tcPr>
            <w:tcW w:w="1286" w:type="dxa"/>
            <w:tcBorders>
              <w:top w:val="single" w:sz="4" w:space="0" w:color="auto"/>
              <w:left w:val="single" w:sz="4" w:space="0" w:color="auto"/>
              <w:bottom w:val="single" w:sz="4" w:space="0" w:color="auto"/>
              <w:right w:val="single" w:sz="4" w:space="0" w:color="auto"/>
            </w:tcBorders>
            <w:hideMark/>
          </w:tcPr>
          <w:p w14:paraId="72359E43"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0.80 (0.73, 0.87)</w:t>
            </w:r>
          </w:p>
        </w:tc>
        <w:tc>
          <w:tcPr>
            <w:tcW w:w="1322" w:type="dxa"/>
            <w:tcBorders>
              <w:top w:val="single" w:sz="4" w:space="0" w:color="auto"/>
              <w:left w:val="single" w:sz="4" w:space="0" w:color="auto"/>
              <w:bottom w:val="single" w:sz="4" w:space="0" w:color="auto"/>
              <w:right w:val="single" w:sz="4" w:space="0" w:color="auto"/>
            </w:tcBorders>
            <w:hideMark/>
          </w:tcPr>
          <w:p w14:paraId="0E0562E9"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20%</w:t>
            </w:r>
          </w:p>
        </w:tc>
        <w:tc>
          <w:tcPr>
            <w:tcW w:w="1341" w:type="dxa"/>
            <w:tcBorders>
              <w:top w:val="single" w:sz="4" w:space="0" w:color="auto"/>
              <w:left w:val="single" w:sz="4" w:space="0" w:color="auto"/>
              <w:bottom w:val="single" w:sz="4" w:space="0" w:color="auto"/>
              <w:right w:val="single" w:sz="4" w:space="0" w:color="auto"/>
            </w:tcBorders>
            <w:hideMark/>
          </w:tcPr>
          <w:p w14:paraId="7FB02DC7"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0.0000002</w:t>
            </w:r>
          </w:p>
        </w:tc>
      </w:tr>
      <w:tr w:rsidR="00143BF3" w:rsidRPr="00123FA5" w14:paraId="6EE05039" w14:textId="77777777" w:rsidTr="00143BF3">
        <w:trPr>
          <w:jc w:val="center"/>
        </w:trPr>
        <w:tc>
          <w:tcPr>
            <w:tcW w:w="8296" w:type="dxa"/>
            <w:gridSpan w:val="6"/>
            <w:tcBorders>
              <w:top w:val="single" w:sz="4" w:space="0" w:color="auto"/>
              <w:left w:val="single" w:sz="4" w:space="0" w:color="auto"/>
              <w:bottom w:val="single" w:sz="4" w:space="0" w:color="auto"/>
              <w:right w:val="single" w:sz="4" w:space="0" w:color="auto"/>
            </w:tcBorders>
            <w:vAlign w:val="center"/>
            <w:hideMark/>
          </w:tcPr>
          <w:p w14:paraId="38CB6B4E" w14:textId="77777777" w:rsidR="00143BF3" w:rsidRDefault="00143BF3">
            <w:pPr>
              <w:suppressAutoHyphens/>
              <w:autoSpaceDN w:val="0"/>
              <w:rPr>
                <w:rFonts w:ascii="Times New Roman" w:eastAsia="Calibri" w:hAnsi="Times New Roman" w:cs="Times New Roman"/>
                <w:b/>
                <w:bCs/>
                <w:lang w:val="en-US"/>
              </w:rPr>
            </w:pPr>
            <w:r>
              <w:rPr>
                <w:rFonts w:ascii="Times New Roman" w:eastAsia="Calibri" w:hAnsi="Times New Roman" w:cs="Times New Roman"/>
                <w:b/>
                <w:bCs/>
                <w:lang w:val="en-US"/>
              </w:rPr>
              <w:t>Individual components of the primary composite endpoint</w:t>
            </w:r>
          </w:p>
        </w:tc>
      </w:tr>
      <w:tr w:rsidR="00143BF3" w14:paraId="2350049D" w14:textId="77777777" w:rsidTr="00143BF3">
        <w:trPr>
          <w:jc w:val="center"/>
        </w:trPr>
        <w:tc>
          <w:tcPr>
            <w:tcW w:w="1695" w:type="dxa"/>
            <w:tcBorders>
              <w:top w:val="single" w:sz="4" w:space="0" w:color="auto"/>
              <w:left w:val="single" w:sz="4" w:space="0" w:color="auto"/>
              <w:bottom w:val="single" w:sz="4" w:space="0" w:color="auto"/>
              <w:right w:val="single" w:sz="4" w:space="0" w:color="auto"/>
            </w:tcBorders>
            <w:hideMark/>
          </w:tcPr>
          <w:p w14:paraId="2E728016"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CV death**</w:t>
            </w:r>
          </w:p>
        </w:tc>
        <w:tc>
          <w:tcPr>
            <w:tcW w:w="1335" w:type="dxa"/>
            <w:tcBorders>
              <w:top w:val="single" w:sz="4" w:space="0" w:color="auto"/>
              <w:left w:val="single" w:sz="4" w:space="0" w:color="auto"/>
              <w:bottom w:val="single" w:sz="4" w:space="0" w:color="auto"/>
              <w:right w:val="single" w:sz="4" w:space="0" w:color="auto"/>
            </w:tcBorders>
            <w:hideMark/>
          </w:tcPr>
          <w:p w14:paraId="79A89CB0"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558 (13.33)</w:t>
            </w:r>
          </w:p>
        </w:tc>
        <w:tc>
          <w:tcPr>
            <w:tcW w:w="1317" w:type="dxa"/>
            <w:tcBorders>
              <w:top w:val="single" w:sz="4" w:space="0" w:color="auto"/>
              <w:left w:val="single" w:sz="4" w:space="0" w:color="auto"/>
              <w:bottom w:val="single" w:sz="4" w:space="0" w:color="auto"/>
              <w:right w:val="single" w:sz="4" w:space="0" w:color="auto"/>
            </w:tcBorders>
            <w:hideMark/>
          </w:tcPr>
          <w:p w14:paraId="548FFDD4"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693 (16.45)</w:t>
            </w:r>
          </w:p>
        </w:tc>
        <w:tc>
          <w:tcPr>
            <w:tcW w:w="1286" w:type="dxa"/>
            <w:tcBorders>
              <w:top w:val="single" w:sz="4" w:space="0" w:color="auto"/>
              <w:left w:val="single" w:sz="4" w:space="0" w:color="auto"/>
              <w:bottom w:val="single" w:sz="4" w:space="0" w:color="auto"/>
              <w:right w:val="single" w:sz="4" w:space="0" w:color="auto"/>
            </w:tcBorders>
            <w:hideMark/>
          </w:tcPr>
          <w:p w14:paraId="33098B74"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0.80 (0.71, 0.89)</w:t>
            </w:r>
          </w:p>
        </w:tc>
        <w:tc>
          <w:tcPr>
            <w:tcW w:w="1322" w:type="dxa"/>
            <w:tcBorders>
              <w:top w:val="single" w:sz="4" w:space="0" w:color="auto"/>
              <w:left w:val="single" w:sz="4" w:space="0" w:color="auto"/>
              <w:bottom w:val="single" w:sz="4" w:space="0" w:color="auto"/>
              <w:right w:val="single" w:sz="4" w:space="0" w:color="auto"/>
            </w:tcBorders>
            <w:hideMark/>
          </w:tcPr>
          <w:p w14:paraId="1037A807"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20%</w:t>
            </w:r>
          </w:p>
        </w:tc>
        <w:tc>
          <w:tcPr>
            <w:tcW w:w="1341" w:type="dxa"/>
            <w:tcBorders>
              <w:top w:val="single" w:sz="4" w:space="0" w:color="auto"/>
              <w:left w:val="single" w:sz="4" w:space="0" w:color="auto"/>
              <w:bottom w:val="single" w:sz="4" w:space="0" w:color="auto"/>
              <w:right w:val="single" w:sz="4" w:space="0" w:color="auto"/>
            </w:tcBorders>
            <w:hideMark/>
          </w:tcPr>
          <w:p w14:paraId="4235C193"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0.00004</w:t>
            </w:r>
          </w:p>
        </w:tc>
      </w:tr>
      <w:tr w:rsidR="00143BF3" w14:paraId="682994F4" w14:textId="77777777" w:rsidTr="00143BF3">
        <w:trPr>
          <w:jc w:val="center"/>
        </w:trPr>
        <w:tc>
          <w:tcPr>
            <w:tcW w:w="1695" w:type="dxa"/>
            <w:tcBorders>
              <w:top w:val="single" w:sz="4" w:space="0" w:color="auto"/>
              <w:left w:val="single" w:sz="4" w:space="0" w:color="auto"/>
              <w:bottom w:val="single" w:sz="4" w:space="0" w:color="auto"/>
              <w:right w:val="single" w:sz="4" w:space="0" w:color="auto"/>
            </w:tcBorders>
            <w:vAlign w:val="center"/>
            <w:hideMark/>
          </w:tcPr>
          <w:p w14:paraId="4FCDB734" w14:textId="77777777" w:rsidR="00143BF3" w:rsidRDefault="00143BF3">
            <w:pPr>
              <w:suppressAutoHyphens/>
              <w:autoSpaceDN w:val="0"/>
              <w:rPr>
                <w:rFonts w:ascii="Times New Roman" w:eastAsia="Calibri" w:hAnsi="Times New Roman" w:cs="Times New Roman"/>
                <w:lang w:val="en-US"/>
              </w:rPr>
            </w:pPr>
            <w:r>
              <w:rPr>
                <w:rFonts w:ascii="Times New Roman" w:eastAsia="Times New Roman" w:hAnsi="Times New Roman" w:cs="Times New Roman"/>
                <w:lang w:val="de-DE" w:eastAsia="de-DE" w:bidi="de-DE"/>
              </w:rPr>
              <w:t>First heart failure hospitalisation</w:t>
            </w:r>
          </w:p>
        </w:tc>
        <w:tc>
          <w:tcPr>
            <w:tcW w:w="1335" w:type="dxa"/>
            <w:tcBorders>
              <w:top w:val="single" w:sz="4" w:space="0" w:color="auto"/>
              <w:left w:val="single" w:sz="4" w:space="0" w:color="auto"/>
              <w:bottom w:val="single" w:sz="4" w:space="0" w:color="auto"/>
              <w:right w:val="single" w:sz="4" w:space="0" w:color="auto"/>
            </w:tcBorders>
            <w:hideMark/>
          </w:tcPr>
          <w:p w14:paraId="21FA1A43"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537 (12.83)</w:t>
            </w:r>
          </w:p>
        </w:tc>
        <w:tc>
          <w:tcPr>
            <w:tcW w:w="1317" w:type="dxa"/>
            <w:tcBorders>
              <w:top w:val="single" w:sz="4" w:space="0" w:color="auto"/>
              <w:left w:val="single" w:sz="4" w:space="0" w:color="auto"/>
              <w:bottom w:val="single" w:sz="4" w:space="0" w:color="auto"/>
              <w:right w:val="single" w:sz="4" w:space="0" w:color="auto"/>
            </w:tcBorders>
            <w:hideMark/>
          </w:tcPr>
          <w:p w14:paraId="12CE440D"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658 (15.62)</w:t>
            </w:r>
          </w:p>
        </w:tc>
        <w:tc>
          <w:tcPr>
            <w:tcW w:w="1286" w:type="dxa"/>
            <w:tcBorders>
              <w:top w:val="single" w:sz="4" w:space="0" w:color="auto"/>
              <w:left w:val="single" w:sz="4" w:space="0" w:color="auto"/>
              <w:bottom w:val="single" w:sz="4" w:space="0" w:color="auto"/>
              <w:right w:val="single" w:sz="4" w:space="0" w:color="auto"/>
            </w:tcBorders>
            <w:hideMark/>
          </w:tcPr>
          <w:p w14:paraId="0E1553AF"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0.79 (0.71, 0.89)</w:t>
            </w:r>
          </w:p>
        </w:tc>
        <w:tc>
          <w:tcPr>
            <w:tcW w:w="1322" w:type="dxa"/>
            <w:tcBorders>
              <w:top w:val="single" w:sz="4" w:space="0" w:color="auto"/>
              <w:left w:val="single" w:sz="4" w:space="0" w:color="auto"/>
              <w:bottom w:val="single" w:sz="4" w:space="0" w:color="auto"/>
              <w:right w:val="single" w:sz="4" w:space="0" w:color="auto"/>
            </w:tcBorders>
            <w:hideMark/>
          </w:tcPr>
          <w:p w14:paraId="63381373"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21%</w:t>
            </w:r>
          </w:p>
        </w:tc>
        <w:tc>
          <w:tcPr>
            <w:tcW w:w="1341" w:type="dxa"/>
            <w:tcBorders>
              <w:top w:val="single" w:sz="4" w:space="0" w:color="auto"/>
              <w:left w:val="single" w:sz="4" w:space="0" w:color="auto"/>
              <w:bottom w:val="single" w:sz="4" w:space="0" w:color="auto"/>
              <w:right w:val="single" w:sz="4" w:space="0" w:color="auto"/>
            </w:tcBorders>
            <w:hideMark/>
          </w:tcPr>
          <w:p w14:paraId="794F096D"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0.00004</w:t>
            </w:r>
          </w:p>
        </w:tc>
      </w:tr>
      <w:tr w:rsidR="00143BF3" w14:paraId="3C4A0D3B" w14:textId="77777777" w:rsidTr="00143BF3">
        <w:trPr>
          <w:jc w:val="center"/>
        </w:trPr>
        <w:tc>
          <w:tcPr>
            <w:tcW w:w="8296" w:type="dxa"/>
            <w:gridSpan w:val="6"/>
            <w:tcBorders>
              <w:top w:val="single" w:sz="4" w:space="0" w:color="auto"/>
              <w:left w:val="single" w:sz="4" w:space="0" w:color="auto"/>
              <w:bottom w:val="single" w:sz="4" w:space="0" w:color="auto"/>
              <w:right w:val="single" w:sz="4" w:space="0" w:color="auto"/>
            </w:tcBorders>
            <w:vAlign w:val="center"/>
            <w:hideMark/>
          </w:tcPr>
          <w:p w14:paraId="1E44464F" w14:textId="77777777" w:rsidR="00143BF3" w:rsidRDefault="00143BF3">
            <w:pPr>
              <w:suppressAutoHyphens/>
              <w:autoSpaceDN w:val="0"/>
              <w:rPr>
                <w:rFonts w:ascii="Times New Roman" w:eastAsia="Calibri" w:hAnsi="Times New Roman" w:cs="Times New Roman"/>
                <w:lang w:val="en-US"/>
              </w:rPr>
            </w:pPr>
            <w:r>
              <w:rPr>
                <w:rFonts w:ascii="Times New Roman" w:eastAsia="Times New Roman" w:hAnsi="Times New Roman" w:cs="Times New Roman"/>
                <w:b/>
                <w:lang w:val="de-DE" w:eastAsia="de-DE" w:bidi="de-DE"/>
              </w:rPr>
              <w:t>Secondary endpoint</w:t>
            </w:r>
          </w:p>
        </w:tc>
      </w:tr>
      <w:tr w:rsidR="00143BF3" w14:paraId="5C8DEA3A" w14:textId="77777777" w:rsidTr="00143BF3">
        <w:trPr>
          <w:jc w:val="center"/>
        </w:trPr>
        <w:tc>
          <w:tcPr>
            <w:tcW w:w="1695" w:type="dxa"/>
            <w:tcBorders>
              <w:top w:val="single" w:sz="4" w:space="0" w:color="auto"/>
              <w:left w:val="single" w:sz="4" w:space="0" w:color="auto"/>
              <w:bottom w:val="single" w:sz="4" w:space="0" w:color="auto"/>
              <w:right w:val="single" w:sz="4" w:space="0" w:color="auto"/>
            </w:tcBorders>
            <w:vAlign w:val="center"/>
            <w:hideMark/>
          </w:tcPr>
          <w:p w14:paraId="7FEA63AD" w14:textId="77777777" w:rsidR="00143BF3" w:rsidRDefault="00143BF3">
            <w:pPr>
              <w:suppressAutoHyphens/>
              <w:autoSpaceDN w:val="0"/>
              <w:rPr>
                <w:rFonts w:ascii="Times New Roman" w:eastAsia="Calibri" w:hAnsi="Times New Roman" w:cs="Times New Roman"/>
                <w:lang w:val="en-US"/>
              </w:rPr>
            </w:pPr>
            <w:r>
              <w:rPr>
                <w:rFonts w:ascii="Times New Roman" w:eastAsia="Times New Roman" w:hAnsi="Times New Roman" w:cs="Times New Roman"/>
                <w:lang w:val="de-DE" w:eastAsia="de-DE" w:bidi="de-DE"/>
              </w:rPr>
              <w:t>All-cause mortality</w:t>
            </w:r>
          </w:p>
        </w:tc>
        <w:tc>
          <w:tcPr>
            <w:tcW w:w="1335" w:type="dxa"/>
            <w:tcBorders>
              <w:top w:val="single" w:sz="4" w:space="0" w:color="auto"/>
              <w:left w:val="single" w:sz="4" w:space="0" w:color="auto"/>
              <w:bottom w:val="single" w:sz="4" w:space="0" w:color="auto"/>
              <w:right w:val="single" w:sz="4" w:space="0" w:color="auto"/>
            </w:tcBorders>
            <w:hideMark/>
          </w:tcPr>
          <w:p w14:paraId="5DFEDC7B"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711 (16.98)</w:t>
            </w:r>
          </w:p>
        </w:tc>
        <w:tc>
          <w:tcPr>
            <w:tcW w:w="1317" w:type="dxa"/>
            <w:tcBorders>
              <w:top w:val="single" w:sz="4" w:space="0" w:color="auto"/>
              <w:left w:val="single" w:sz="4" w:space="0" w:color="auto"/>
              <w:bottom w:val="single" w:sz="4" w:space="0" w:color="auto"/>
              <w:right w:val="single" w:sz="4" w:space="0" w:color="auto"/>
            </w:tcBorders>
            <w:hideMark/>
          </w:tcPr>
          <w:p w14:paraId="155D459C"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835 (19.82)</w:t>
            </w:r>
          </w:p>
        </w:tc>
        <w:tc>
          <w:tcPr>
            <w:tcW w:w="1286" w:type="dxa"/>
            <w:tcBorders>
              <w:top w:val="single" w:sz="4" w:space="0" w:color="auto"/>
              <w:left w:val="single" w:sz="4" w:space="0" w:color="auto"/>
              <w:bottom w:val="single" w:sz="4" w:space="0" w:color="auto"/>
              <w:right w:val="single" w:sz="4" w:space="0" w:color="auto"/>
            </w:tcBorders>
            <w:hideMark/>
          </w:tcPr>
          <w:p w14:paraId="36442CDE"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0.84 (0.76, 0.93)</w:t>
            </w:r>
          </w:p>
        </w:tc>
        <w:tc>
          <w:tcPr>
            <w:tcW w:w="1322" w:type="dxa"/>
            <w:tcBorders>
              <w:top w:val="single" w:sz="4" w:space="0" w:color="auto"/>
              <w:left w:val="single" w:sz="4" w:space="0" w:color="auto"/>
              <w:bottom w:val="single" w:sz="4" w:space="0" w:color="auto"/>
              <w:right w:val="single" w:sz="4" w:space="0" w:color="auto"/>
            </w:tcBorders>
            <w:hideMark/>
          </w:tcPr>
          <w:p w14:paraId="707A0727"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16%</w:t>
            </w:r>
          </w:p>
        </w:tc>
        <w:tc>
          <w:tcPr>
            <w:tcW w:w="1341" w:type="dxa"/>
            <w:tcBorders>
              <w:top w:val="single" w:sz="4" w:space="0" w:color="auto"/>
              <w:left w:val="single" w:sz="4" w:space="0" w:color="auto"/>
              <w:bottom w:val="single" w:sz="4" w:space="0" w:color="auto"/>
              <w:right w:val="single" w:sz="4" w:space="0" w:color="auto"/>
            </w:tcBorders>
            <w:hideMark/>
          </w:tcPr>
          <w:p w14:paraId="14716073" w14:textId="77777777" w:rsidR="00143BF3" w:rsidRDefault="00143BF3">
            <w:pPr>
              <w:suppressAutoHyphens/>
              <w:autoSpaceDN w:val="0"/>
              <w:jc w:val="both"/>
              <w:rPr>
                <w:rFonts w:ascii="Times New Roman" w:eastAsia="Calibri" w:hAnsi="Times New Roman" w:cs="Times New Roman"/>
                <w:lang w:val="en-US"/>
              </w:rPr>
            </w:pPr>
            <w:r>
              <w:rPr>
                <w:rFonts w:ascii="Times New Roman" w:eastAsia="Calibri" w:hAnsi="Times New Roman" w:cs="Times New Roman"/>
                <w:lang w:val="en-US"/>
              </w:rPr>
              <w:t>0.0005</w:t>
            </w:r>
          </w:p>
        </w:tc>
      </w:tr>
    </w:tbl>
    <w:p w14:paraId="4B5F93BA" w14:textId="77777777" w:rsidR="00143BF3" w:rsidRPr="00143BF3" w:rsidRDefault="00143BF3" w:rsidP="00143BF3">
      <w:pPr>
        <w:suppressAutoHyphens/>
        <w:autoSpaceDN w:val="0"/>
        <w:jc w:val="both"/>
        <w:rPr>
          <w:rFonts w:eastAsia="Calibri"/>
          <w:sz w:val="20"/>
          <w:lang w:val="en-US" w:eastAsia="en-US"/>
        </w:rPr>
      </w:pPr>
      <w:r w:rsidRPr="00143BF3">
        <w:rPr>
          <w:rFonts w:eastAsia="Calibri"/>
          <w:sz w:val="20"/>
          <w:lang w:val="en-US"/>
        </w:rPr>
        <w:t>*The primary endpoint was defined as the time to first event of CV death or hospitalisation for HF.</w:t>
      </w:r>
    </w:p>
    <w:p w14:paraId="2CB32C8D" w14:textId="77777777" w:rsidR="00143BF3" w:rsidRPr="00143BF3" w:rsidRDefault="00143BF3" w:rsidP="00143BF3">
      <w:pPr>
        <w:suppressAutoHyphens/>
        <w:autoSpaceDN w:val="0"/>
        <w:jc w:val="both"/>
        <w:rPr>
          <w:rFonts w:eastAsia="Calibri"/>
          <w:sz w:val="20"/>
          <w:lang w:val="en-US"/>
        </w:rPr>
      </w:pPr>
      <w:r w:rsidRPr="00143BF3">
        <w:rPr>
          <w:rFonts w:eastAsia="Calibri"/>
          <w:sz w:val="20"/>
          <w:lang w:val="en-US"/>
        </w:rPr>
        <w:t>**CV death includes all patients who died up to the cut-off date irrespective of previous hospitalisation.</w:t>
      </w:r>
    </w:p>
    <w:p w14:paraId="70C0D8DD" w14:textId="77777777" w:rsidR="00143BF3" w:rsidRPr="00143BF3" w:rsidRDefault="00143BF3" w:rsidP="00143BF3">
      <w:pPr>
        <w:suppressAutoHyphens/>
        <w:autoSpaceDN w:val="0"/>
        <w:jc w:val="both"/>
        <w:rPr>
          <w:rFonts w:eastAsia="Calibri"/>
          <w:sz w:val="20"/>
          <w:lang w:val="en-US"/>
        </w:rPr>
      </w:pPr>
      <w:r w:rsidRPr="00143BF3">
        <w:rPr>
          <w:rFonts w:eastAsia="Calibri"/>
          <w:sz w:val="20"/>
          <w:lang w:val="en-US"/>
        </w:rPr>
        <w:t>***One-sided p-value</w:t>
      </w:r>
    </w:p>
    <w:p w14:paraId="314C869B" w14:textId="77777777" w:rsidR="00143BF3" w:rsidRPr="00143BF3" w:rsidRDefault="00143BF3" w:rsidP="00143BF3">
      <w:pPr>
        <w:suppressAutoHyphens/>
        <w:autoSpaceDN w:val="0"/>
        <w:jc w:val="both"/>
        <w:rPr>
          <w:rFonts w:eastAsia="Calibri"/>
          <w:sz w:val="20"/>
          <w:lang w:val="en-US"/>
        </w:rPr>
      </w:pPr>
      <w:r w:rsidRPr="00143BF3">
        <w:rPr>
          <w:rFonts w:eastAsia="Calibri"/>
          <w:sz w:val="20"/>
          <w:lang w:val="en-US"/>
        </w:rPr>
        <w:t>♯ Full analysis set</w:t>
      </w:r>
    </w:p>
    <w:p w14:paraId="5FD4A693" w14:textId="7B989565" w:rsidR="00143BF3" w:rsidRDefault="00143BF3">
      <w:pPr>
        <w:rPr>
          <w:rFonts w:eastAsia="Calibri"/>
          <w:lang w:val="en-US"/>
        </w:rPr>
      </w:pPr>
      <w:r>
        <w:rPr>
          <w:rFonts w:eastAsia="Calibri"/>
          <w:lang w:val="en-US"/>
        </w:rPr>
        <w:br w:type="page"/>
      </w:r>
    </w:p>
    <w:p w14:paraId="27A830DD" w14:textId="77777777" w:rsidR="00143BF3" w:rsidRDefault="00143BF3" w:rsidP="00143BF3">
      <w:pPr>
        <w:suppressAutoHyphens/>
        <w:autoSpaceDN w:val="0"/>
        <w:jc w:val="both"/>
        <w:rPr>
          <w:rFonts w:eastAsia="Calibri"/>
          <w:lang w:val="en-US"/>
        </w:rPr>
      </w:pPr>
    </w:p>
    <w:p w14:paraId="7C072D11" w14:textId="77777777" w:rsidR="00143BF3" w:rsidRDefault="00143BF3" w:rsidP="00143BF3">
      <w:pPr>
        <w:tabs>
          <w:tab w:val="left" w:pos="1134"/>
        </w:tabs>
        <w:suppressAutoHyphens/>
        <w:autoSpaceDN w:val="0"/>
        <w:ind w:left="1134" w:hanging="1134"/>
        <w:jc w:val="both"/>
        <w:rPr>
          <w:rFonts w:eastAsia="Calibri"/>
          <w:b/>
          <w:bCs/>
          <w:lang w:val="en-US"/>
        </w:rPr>
      </w:pPr>
      <w:r>
        <w:rPr>
          <w:rFonts w:eastAsia="Calibri"/>
          <w:b/>
          <w:bCs/>
          <w:lang w:val="en-US"/>
        </w:rPr>
        <w:t>Figure 1</w:t>
      </w:r>
      <w:r>
        <w:rPr>
          <w:rFonts w:eastAsia="Calibri"/>
          <w:b/>
          <w:bCs/>
          <w:lang w:val="en-US"/>
        </w:rPr>
        <w:tab/>
        <w:t>Kaplan-Meier curves for the primary composite endpoint and the CV death component</w:t>
      </w:r>
    </w:p>
    <w:p w14:paraId="3A58D2F2" w14:textId="77777777" w:rsidR="00143BF3" w:rsidRDefault="00143BF3" w:rsidP="00143BF3">
      <w:pPr>
        <w:suppressAutoHyphens/>
        <w:autoSpaceDN w:val="0"/>
        <w:jc w:val="both"/>
        <w:rPr>
          <w:rFonts w:eastAsia="Calibri"/>
          <w:lang w:val="en-US"/>
        </w:rPr>
      </w:pPr>
    </w:p>
    <w:p w14:paraId="7CA16BCC" w14:textId="051C571E" w:rsidR="00143BF3" w:rsidRDefault="00143BF3" w:rsidP="00143BF3">
      <w:pPr>
        <w:suppressAutoHyphens/>
        <w:autoSpaceDN w:val="0"/>
        <w:jc w:val="both"/>
        <w:rPr>
          <w:rFonts w:eastAsia="Calibri"/>
          <w:lang w:val="en-US"/>
        </w:rPr>
      </w:pPr>
      <w:r>
        <w:rPr>
          <w:rFonts w:eastAsia="Calibri"/>
          <w:noProof/>
          <w:lang w:val="en-US"/>
        </w:rPr>
        <w:drawing>
          <wp:inline distT="0" distB="0" distL="0" distR="0" wp14:anchorId="7F724000" wp14:editId="14726F16">
            <wp:extent cx="5308600" cy="2051050"/>
            <wp:effectExtent l="0" t="0" r="6350" b="635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8600" cy="2051050"/>
                    </a:xfrm>
                    <a:prstGeom prst="rect">
                      <a:avLst/>
                    </a:prstGeom>
                    <a:noFill/>
                    <a:ln>
                      <a:noFill/>
                    </a:ln>
                  </pic:spPr>
                </pic:pic>
              </a:graphicData>
            </a:graphic>
          </wp:inline>
        </w:drawing>
      </w:r>
    </w:p>
    <w:p w14:paraId="57B161CD" w14:textId="77777777" w:rsidR="00143BF3" w:rsidRPr="00143BF3" w:rsidRDefault="00143BF3" w:rsidP="00143BF3">
      <w:pPr>
        <w:suppressAutoHyphens/>
        <w:autoSpaceDN w:val="0"/>
        <w:ind w:left="851"/>
        <w:jc w:val="both"/>
        <w:rPr>
          <w:rFonts w:eastAsia="Calibri"/>
          <w:sz w:val="24"/>
          <w:szCs w:val="24"/>
          <w:lang w:val="en-US"/>
        </w:rPr>
      </w:pPr>
    </w:p>
    <w:p w14:paraId="4B01D681" w14:textId="77777777" w:rsidR="00143BF3" w:rsidRPr="00143BF3" w:rsidRDefault="00143BF3" w:rsidP="00143BF3">
      <w:pPr>
        <w:suppressAutoHyphens/>
        <w:autoSpaceDN w:val="0"/>
        <w:ind w:left="851"/>
        <w:rPr>
          <w:rFonts w:eastAsia="Calibri"/>
          <w:i/>
          <w:iCs/>
          <w:sz w:val="24"/>
          <w:szCs w:val="24"/>
          <w:u w:val="single"/>
          <w:lang w:val="en-US"/>
        </w:rPr>
      </w:pPr>
      <w:r w:rsidRPr="00143BF3">
        <w:rPr>
          <w:rFonts w:eastAsia="Calibri"/>
          <w:i/>
          <w:iCs/>
          <w:sz w:val="24"/>
          <w:szCs w:val="24"/>
          <w:u w:val="single"/>
          <w:lang w:val="en-US"/>
        </w:rPr>
        <w:t>TITRATION</w:t>
      </w:r>
    </w:p>
    <w:p w14:paraId="208EF552" w14:textId="77777777" w:rsidR="00143BF3" w:rsidRPr="00143BF3" w:rsidRDefault="00143BF3" w:rsidP="00143BF3">
      <w:pPr>
        <w:suppressAutoHyphens/>
        <w:autoSpaceDN w:val="0"/>
        <w:ind w:left="851"/>
        <w:rPr>
          <w:rFonts w:eastAsia="Calibri"/>
          <w:sz w:val="24"/>
          <w:szCs w:val="24"/>
          <w:lang w:val="en-US"/>
        </w:rPr>
      </w:pPr>
      <w:r w:rsidRPr="00143BF3">
        <w:rPr>
          <w:rFonts w:eastAsia="Calibri"/>
          <w:sz w:val="24"/>
          <w:szCs w:val="24"/>
          <w:lang w:val="en-US"/>
        </w:rPr>
        <w:t>TITRATION was a 12-week safety and tolerability study in 538 patients with chronic heart failure (NYHA class II–IV) and systolic dysfunction (left ventricular ejection fraction ≤35%) naïve to ACE inhibitor or ARB therapy or on varying doses of ACE inhibitors or ARBs prior to study entry. Patients received a starting dose of sacubitril/valsartan of 50 mg twice daily and were up-titrated to 100 mg twice daily, then to the target dose of 200 mg twice daily, with either a 3-week or a 6-week regimen.</w:t>
      </w:r>
    </w:p>
    <w:p w14:paraId="27661831" w14:textId="77777777" w:rsidR="00143BF3" w:rsidRPr="00143BF3" w:rsidRDefault="00143BF3" w:rsidP="00143BF3">
      <w:pPr>
        <w:suppressAutoHyphens/>
        <w:autoSpaceDN w:val="0"/>
        <w:ind w:left="851"/>
        <w:rPr>
          <w:rFonts w:eastAsia="Calibri"/>
          <w:sz w:val="24"/>
          <w:szCs w:val="24"/>
          <w:lang w:val="en-US"/>
        </w:rPr>
      </w:pPr>
    </w:p>
    <w:p w14:paraId="12BADBA2" w14:textId="77777777" w:rsidR="00143BF3" w:rsidRPr="00143BF3" w:rsidRDefault="00143BF3" w:rsidP="00143BF3">
      <w:pPr>
        <w:suppressAutoHyphens/>
        <w:autoSpaceDN w:val="0"/>
        <w:ind w:left="851"/>
        <w:rPr>
          <w:rFonts w:eastAsia="Calibri"/>
          <w:sz w:val="24"/>
          <w:szCs w:val="24"/>
          <w:lang w:val="en-US"/>
        </w:rPr>
      </w:pPr>
      <w:r w:rsidRPr="00143BF3">
        <w:rPr>
          <w:rFonts w:eastAsia="Calibri"/>
          <w:sz w:val="24"/>
          <w:szCs w:val="24"/>
          <w:lang w:val="en-US"/>
        </w:rPr>
        <w:t>More patients who were naïve to previous ACE inhibitor or ARB therapy or on low-dose therapy (equivalent to &lt;10 mg enalapril/day) were able to achieve and maintain sacubitril/valsartan 200 mg when up-titrated over 6 weeks (84.8%) versus 3 weeks (73.6%). Overall, 76% of patients achieved and maintained the target dose of sacubitril/valsartan 200 mg twice daily without any dose interruption or down-titration over 12 weeks.</w:t>
      </w:r>
    </w:p>
    <w:p w14:paraId="25888270" w14:textId="77777777" w:rsidR="00143BF3" w:rsidRPr="00143BF3" w:rsidRDefault="00143BF3" w:rsidP="00143BF3">
      <w:pPr>
        <w:suppressAutoHyphens/>
        <w:autoSpaceDN w:val="0"/>
        <w:ind w:left="851"/>
        <w:rPr>
          <w:rFonts w:eastAsia="Calibri"/>
          <w:sz w:val="24"/>
          <w:szCs w:val="24"/>
          <w:lang w:val="en-US"/>
        </w:rPr>
      </w:pPr>
    </w:p>
    <w:p w14:paraId="0100B917" w14:textId="77777777" w:rsidR="00143BF3" w:rsidRPr="00143BF3" w:rsidRDefault="00143BF3" w:rsidP="00143BF3">
      <w:pPr>
        <w:suppressAutoHyphens/>
        <w:autoSpaceDN w:val="0"/>
        <w:ind w:left="851"/>
        <w:rPr>
          <w:rFonts w:eastAsia="Calibri"/>
          <w:sz w:val="24"/>
          <w:szCs w:val="24"/>
          <w:u w:val="single"/>
          <w:lang w:val="en-US"/>
        </w:rPr>
      </w:pPr>
      <w:r w:rsidRPr="00143BF3">
        <w:rPr>
          <w:rFonts w:eastAsia="Calibri"/>
          <w:sz w:val="24"/>
          <w:szCs w:val="24"/>
          <w:u w:val="single"/>
          <w:lang w:val="en-US"/>
        </w:rPr>
        <w:t>Paediatric population</w:t>
      </w:r>
    </w:p>
    <w:p w14:paraId="13C955E4" w14:textId="77777777" w:rsidR="00143BF3" w:rsidRPr="00143BF3" w:rsidRDefault="00143BF3" w:rsidP="00143BF3">
      <w:pPr>
        <w:suppressAutoHyphens/>
        <w:autoSpaceDN w:val="0"/>
        <w:ind w:left="851"/>
        <w:rPr>
          <w:rFonts w:eastAsia="Calibri"/>
          <w:sz w:val="24"/>
          <w:szCs w:val="24"/>
          <w:lang w:val="en-US"/>
        </w:rPr>
      </w:pPr>
    </w:p>
    <w:p w14:paraId="2DF0B797" w14:textId="77777777" w:rsidR="00143BF3" w:rsidRPr="00143BF3" w:rsidRDefault="00143BF3" w:rsidP="00143BF3">
      <w:pPr>
        <w:suppressAutoHyphens/>
        <w:autoSpaceDN w:val="0"/>
        <w:ind w:left="851"/>
        <w:rPr>
          <w:rFonts w:eastAsia="Calibri"/>
          <w:i/>
          <w:iCs/>
          <w:sz w:val="24"/>
          <w:szCs w:val="24"/>
          <w:u w:val="single"/>
          <w:lang w:val="en-US"/>
        </w:rPr>
      </w:pPr>
      <w:r w:rsidRPr="00143BF3">
        <w:rPr>
          <w:rFonts w:eastAsia="Calibri"/>
          <w:i/>
          <w:iCs/>
          <w:sz w:val="24"/>
          <w:szCs w:val="24"/>
          <w:u w:val="single"/>
          <w:lang w:val="en-US"/>
        </w:rPr>
        <w:t>PANORAMA-HF</w:t>
      </w:r>
    </w:p>
    <w:p w14:paraId="06BFDDD5" w14:textId="77777777" w:rsidR="00143BF3" w:rsidRPr="00143BF3" w:rsidRDefault="00143BF3" w:rsidP="00143BF3">
      <w:pPr>
        <w:suppressAutoHyphens/>
        <w:autoSpaceDN w:val="0"/>
        <w:ind w:left="851"/>
        <w:rPr>
          <w:rFonts w:eastAsia="Calibri"/>
          <w:sz w:val="24"/>
          <w:szCs w:val="24"/>
          <w:lang w:val="en-US"/>
        </w:rPr>
      </w:pPr>
      <w:r w:rsidRPr="00143BF3">
        <w:rPr>
          <w:rFonts w:eastAsia="Calibri"/>
          <w:sz w:val="24"/>
          <w:szCs w:val="24"/>
          <w:lang w:val="en-US"/>
        </w:rPr>
        <w:t>PANORAMA-HF, a phase 3 study, was a multinational, randomised, double-blind study comparing sacubitril/valsartan and enalapril in 375 paediatric patients aged 1 month to &lt;18 years with heart failure due to systemic left ventricular systolic dysfunction (LVEF ≤45% or fractional shortening ≤22.5%). The primary objective was to determine whether sacubitril/valsartan was superior to enalapril in paediatric HF patients over a 52-week treatment duration based on a global rank endpoint. The global rank primary endpoint was derived by ranking patients (worst-to-best outcome) based on clinical events such as death, initiation of mechanical life support, listing for urgent heart transplant, worsening HF, measures of functional capacity (NYHA/ROSS scores), and patient-reported HF symptoms (Patient Global Impression Scale [PGIS]). Patients with systemic right ventricles or single ventricles and patients with restrictive or hypertrophic cardiomyopathy were excluded from the study. The target maintenance dose of sacubitril/valsartan was 2.3 mg/kg twice daily in paediatric patients aged 1 month to &lt;1 year and 3.1 mg/kg twice daily in patients aged 1 to &lt;18 years with a maximum dose of 200 mg twice daily. The target maintenance dose of enalapril was 0.15 mg/kg twice daily in paediatric patients aged 1 month to &lt;1 year and 0.2 mg/kg twice daily in patients aged 1 to &lt;18 years with a maximum dose of 10 mg twice daily.</w:t>
      </w:r>
    </w:p>
    <w:p w14:paraId="09ADF888" w14:textId="77777777" w:rsidR="00143BF3" w:rsidRPr="00143BF3" w:rsidRDefault="00143BF3" w:rsidP="00143BF3">
      <w:pPr>
        <w:suppressAutoHyphens/>
        <w:autoSpaceDN w:val="0"/>
        <w:ind w:left="851"/>
        <w:rPr>
          <w:rFonts w:eastAsia="Calibri"/>
          <w:sz w:val="24"/>
          <w:szCs w:val="24"/>
          <w:lang w:val="en-US"/>
        </w:rPr>
      </w:pPr>
    </w:p>
    <w:p w14:paraId="72242174" w14:textId="77777777" w:rsidR="00143BF3" w:rsidRPr="00143BF3" w:rsidRDefault="00143BF3" w:rsidP="00143BF3">
      <w:pPr>
        <w:suppressAutoHyphens/>
        <w:autoSpaceDN w:val="0"/>
        <w:ind w:left="851"/>
        <w:rPr>
          <w:rFonts w:eastAsia="Calibri"/>
          <w:sz w:val="24"/>
          <w:szCs w:val="24"/>
          <w:lang w:val="en-US"/>
        </w:rPr>
      </w:pPr>
      <w:r w:rsidRPr="00143BF3">
        <w:rPr>
          <w:rFonts w:eastAsia="Calibri"/>
          <w:sz w:val="24"/>
          <w:szCs w:val="24"/>
          <w:lang w:val="en-US"/>
        </w:rPr>
        <w:t>In the study, 9 patients were aged 1 month to &lt;1 year, 61 patients were aged 1 year to &lt;2 years, 85 patients were aged 2 to &lt;6 years and 220 patients were aged 6 to &lt;18 years. At baseline, 15.7% of patients were NYHA/ROSS class I, 69.3% were class II, 14.4% were class III and 0.5% were class IV. The mean LVEF was 32%. The most common underlying causes of heart failure were cardiomyopathy related (63.5%). Prior to study participation, patients were treated most commonly with ACE inhibitors/ARBs (93%), beta-blockers (70%), aldosterone antagonists (70%), and diuretics (84%).</w:t>
      </w:r>
    </w:p>
    <w:p w14:paraId="6F244F7E" w14:textId="77777777" w:rsidR="00143BF3" w:rsidRPr="00143BF3" w:rsidRDefault="00143BF3" w:rsidP="00143BF3">
      <w:pPr>
        <w:suppressAutoHyphens/>
        <w:autoSpaceDN w:val="0"/>
        <w:ind w:left="851"/>
        <w:rPr>
          <w:rFonts w:eastAsia="Calibri"/>
          <w:sz w:val="24"/>
          <w:szCs w:val="24"/>
          <w:lang w:val="en-US"/>
        </w:rPr>
      </w:pPr>
    </w:p>
    <w:p w14:paraId="5F0A9007" w14:textId="77777777" w:rsidR="00143BF3" w:rsidRPr="00143BF3" w:rsidRDefault="00143BF3" w:rsidP="00143BF3">
      <w:pPr>
        <w:suppressAutoHyphens/>
        <w:autoSpaceDN w:val="0"/>
        <w:ind w:left="851"/>
        <w:rPr>
          <w:rFonts w:eastAsia="Calibri"/>
          <w:sz w:val="24"/>
          <w:szCs w:val="24"/>
          <w:lang w:val="en-US"/>
        </w:rPr>
      </w:pPr>
      <w:r w:rsidRPr="00143BF3">
        <w:rPr>
          <w:rFonts w:eastAsia="Calibri"/>
          <w:sz w:val="24"/>
          <w:szCs w:val="24"/>
          <w:lang w:val="en-US"/>
        </w:rPr>
        <w:t>The Mann-Whitney Odds of the global rank primary endpoint was 0.907 (95% CI 0.72, 1.14), numerically in favour of sacubitril/valsartan (see Table 4). Sacubitril/valsartan and enalapril showed comparable clinically relevant improvements in the secondary endpoints of NYHA/ROSS class and PGIS score change compared to baseline. At week 52, the NYHA/ROSS functional class changes from baseline were: improved in 37.7% and 34.0%; unchanged in 50.6% and 56.6%; worsened in 11.7% and 9.4% of patients for sacubitril/valsartan and enalapril respectively. Similarly, the PGIS score changes from baseline were: improved in 35.5% and 34.8%; unchanged in 48.0% and 47.5%; worsened in 16.5% and 17.7% of patients for sacubitril/valsartan and enalapril respectively.</w:t>
      </w:r>
    </w:p>
    <w:p w14:paraId="3344551B" w14:textId="77777777" w:rsidR="00143BF3" w:rsidRPr="00143BF3" w:rsidRDefault="00143BF3" w:rsidP="00143BF3">
      <w:pPr>
        <w:suppressAutoHyphens/>
        <w:autoSpaceDN w:val="0"/>
        <w:ind w:left="851"/>
        <w:rPr>
          <w:rFonts w:eastAsia="Calibri"/>
          <w:sz w:val="24"/>
          <w:szCs w:val="24"/>
          <w:lang w:val="en-US"/>
        </w:rPr>
      </w:pPr>
      <w:r w:rsidRPr="00143BF3">
        <w:rPr>
          <w:rFonts w:eastAsia="Calibri"/>
          <w:sz w:val="24"/>
          <w:szCs w:val="24"/>
          <w:lang w:val="en-US"/>
        </w:rPr>
        <w:t>NT-proBNP was substantially reduced from baseline in both treatment groups. The magnitude of NT-proBNP reduction with sacubitril/valsartan was similar to that observed in adult heart failure patients in PARADIGM-HF. Because sacubitril/valsartan improved outcomes and reduced NT-proBNP in PARADIGM-HF, the reductions in NT-proBNP coupled with the symptomatic and functional improvements from baseline seen in PANORAMA-HF were considered a reasonable basis to infer clinical benefits in paediatric heart failure patients. There were too few patients aged below 1 year to evaluate the efficacy of sacubitril/valsartan in this age group.</w:t>
      </w:r>
    </w:p>
    <w:p w14:paraId="5F81AA40" w14:textId="77777777" w:rsidR="00143BF3" w:rsidRPr="00143BF3" w:rsidRDefault="00143BF3" w:rsidP="00143BF3">
      <w:pPr>
        <w:suppressAutoHyphens/>
        <w:autoSpaceDN w:val="0"/>
        <w:ind w:left="851"/>
        <w:rPr>
          <w:rFonts w:eastAsia="Calibri"/>
          <w:sz w:val="24"/>
          <w:szCs w:val="24"/>
          <w:lang w:val="en-US"/>
        </w:rPr>
      </w:pPr>
    </w:p>
    <w:p w14:paraId="0C6D30FF" w14:textId="7378A25F" w:rsidR="00143BF3" w:rsidRDefault="00143BF3" w:rsidP="00143BF3">
      <w:pPr>
        <w:tabs>
          <w:tab w:val="left" w:pos="1134"/>
        </w:tabs>
        <w:suppressAutoHyphens/>
        <w:autoSpaceDN w:val="0"/>
        <w:jc w:val="both"/>
        <w:rPr>
          <w:rFonts w:eastAsia="Calibri"/>
          <w:b/>
          <w:bCs/>
          <w:lang w:val="en-US"/>
        </w:rPr>
      </w:pPr>
      <w:r>
        <w:rPr>
          <w:rFonts w:eastAsia="Calibri"/>
          <w:b/>
          <w:bCs/>
          <w:lang w:val="en-US"/>
        </w:rPr>
        <w:t>Table 4</w:t>
      </w:r>
      <w:r>
        <w:rPr>
          <w:rFonts w:eastAsia="Calibri"/>
          <w:b/>
          <w:bCs/>
          <w:lang w:val="en-US"/>
        </w:rPr>
        <w:tab/>
        <w:t>Treatment effect for the primary global rank endpoint in PANORAMA-HF</w:t>
      </w:r>
    </w:p>
    <w:p w14:paraId="53FD4EA6" w14:textId="77777777" w:rsidR="00143BF3" w:rsidRDefault="00143BF3" w:rsidP="00143BF3">
      <w:pPr>
        <w:suppressAutoHyphens/>
        <w:autoSpaceDN w:val="0"/>
        <w:jc w:val="both"/>
        <w:rPr>
          <w:rFonts w:eastAsia="Calibri"/>
          <w:lang w:val="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
        <w:gridCol w:w="2962"/>
        <w:gridCol w:w="2961"/>
        <w:gridCol w:w="2231"/>
      </w:tblGrid>
      <w:tr w:rsidR="00143BF3" w14:paraId="04ADB12C" w14:textId="77777777" w:rsidTr="00143BF3">
        <w:trPr>
          <w:trHeight w:val="505"/>
          <w:jc w:val="center"/>
        </w:trPr>
        <w:tc>
          <w:tcPr>
            <w:tcW w:w="1271" w:type="dxa"/>
            <w:tcBorders>
              <w:top w:val="single" w:sz="4" w:space="0" w:color="000000"/>
              <w:left w:val="single" w:sz="4" w:space="0" w:color="000000"/>
              <w:bottom w:val="single" w:sz="4" w:space="0" w:color="000000"/>
              <w:right w:val="single" w:sz="4" w:space="0" w:color="000000"/>
            </w:tcBorders>
          </w:tcPr>
          <w:p w14:paraId="37BF0FFF" w14:textId="77777777" w:rsidR="00143BF3" w:rsidRDefault="00143BF3">
            <w:pPr>
              <w:widowControl w:val="0"/>
              <w:autoSpaceDE w:val="0"/>
              <w:autoSpaceDN w:val="0"/>
              <w:rPr>
                <w:lang w:val="de-DE" w:eastAsia="de-DE" w:bidi="de-DE"/>
              </w:rPr>
            </w:pPr>
          </w:p>
        </w:tc>
        <w:tc>
          <w:tcPr>
            <w:tcW w:w="2552" w:type="dxa"/>
            <w:tcBorders>
              <w:top w:val="single" w:sz="4" w:space="0" w:color="000000"/>
              <w:left w:val="single" w:sz="4" w:space="0" w:color="000000"/>
              <w:bottom w:val="single" w:sz="4" w:space="0" w:color="000000"/>
              <w:right w:val="single" w:sz="4" w:space="0" w:color="000000"/>
            </w:tcBorders>
            <w:hideMark/>
          </w:tcPr>
          <w:p w14:paraId="37D56D5F" w14:textId="77777777" w:rsidR="00143BF3" w:rsidRDefault="00143BF3">
            <w:pPr>
              <w:widowControl w:val="0"/>
              <w:autoSpaceDE w:val="0"/>
              <w:autoSpaceDN w:val="0"/>
              <w:spacing w:before="4" w:line="252" w:lineRule="exact"/>
              <w:ind w:left="112" w:right="538"/>
              <w:rPr>
                <w:b/>
                <w:lang w:val="de-DE" w:eastAsia="de-DE" w:bidi="de-DE"/>
              </w:rPr>
            </w:pPr>
            <w:r>
              <w:rPr>
                <w:b/>
                <w:lang w:val="de-DE" w:eastAsia="de-DE" w:bidi="de-DE"/>
              </w:rPr>
              <w:t>Sacubitril/valsartan N=187</w:t>
            </w:r>
          </w:p>
        </w:tc>
        <w:tc>
          <w:tcPr>
            <w:tcW w:w="2551" w:type="dxa"/>
            <w:tcBorders>
              <w:top w:val="single" w:sz="4" w:space="0" w:color="000000"/>
              <w:left w:val="single" w:sz="4" w:space="0" w:color="000000"/>
              <w:bottom w:val="single" w:sz="4" w:space="0" w:color="000000"/>
              <w:right w:val="single" w:sz="4" w:space="0" w:color="000000"/>
            </w:tcBorders>
            <w:hideMark/>
          </w:tcPr>
          <w:p w14:paraId="11D1B725" w14:textId="77777777" w:rsidR="00143BF3" w:rsidRDefault="00143BF3">
            <w:pPr>
              <w:widowControl w:val="0"/>
              <w:autoSpaceDE w:val="0"/>
              <w:autoSpaceDN w:val="0"/>
              <w:spacing w:before="4" w:line="252" w:lineRule="exact"/>
              <w:ind w:left="113" w:right="1518"/>
              <w:rPr>
                <w:b/>
                <w:lang w:val="de-DE" w:eastAsia="de-DE" w:bidi="de-DE"/>
              </w:rPr>
            </w:pPr>
            <w:r>
              <w:rPr>
                <w:b/>
                <w:lang w:val="de-DE" w:eastAsia="de-DE" w:bidi="de-DE"/>
              </w:rPr>
              <w:t>Enalapril N=188</w:t>
            </w:r>
          </w:p>
        </w:tc>
        <w:tc>
          <w:tcPr>
            <w:tcW w:w="1922" w:type="dxa"/>
            <w:tcBorders>
              <w:top w:val="single" w:sz="4" w:space="0" w:color="000000"/>
              <w:left w:val="single" w:sz="4" w:space="0" w:color="000000"/>
              <w:bottom w:val="single" w:sz="4" w:space="0" w:color="000000"/>
              <w:right w:val="single" w:sz="4" w:space="0" w:color="000000"/>
            </w:tcBorders>
            <w:hideMark/>
          </w:tcPr>
          <w:p w14:paraId="356BD3EB" w14:textId="77777777" w:rsidR="00143BF3" w:rsidRDefault="00143BF3">
            <w:pPr>
              <w:widowControl w:val="0"/>
              <w:autoSpaceDE w:val="0"/>
              <w:autoSpaceDN w:val="0"/>
              <w:spacing w:line="233" w:lineRule="exact"/>
              <w:rPr>
                <w:b/>
                <w:lang w:val="de-DE" w:eastAsia="de-DE" w:bidi="de-DE"/>
              </w:rPr>
            </w:pPr>
            <w:r>
              <w:rPr>
                <w:b/>
                <w:lang w:val="de-DE" w:eastAsia="de-DE" w:bidi="de-DE"/>
              </w:rPr>
              <w:t>Treatment effect</w:t>
            </w:r>
          </w:p>
        </w:tc>
      </w:tr>
      <w:tr w:rsidR="00143BF3" w14:paraId="1A9E95CB" w14:textId="77777777" w:rsidTr="00143BF3">
        <w:trPr>
          <w:trHeight w:val="503"/>
          <w:jc w:val="center"/>
        </w:trPr>
        <w:tc>
          <w:tcPr>
            <w:tcW w:w="1271" w:type="dxa"/>
            <w:vMerge w:val="restart"/>
            <w:tcBorders>
              <w:top w:val="single" w:sz="4" w:space="0" w:color="000000"/>
              <w:left w:val="single" w:sz="8" w:space="0" w:color="000000"/>
              <w:bottom w:val="single" w:sz="8" w:space="0" w:color="000000"/>
              <w:right w:val="single" w:sz="8" w:space="0" w:color="000000"/>
            </w:tcBorders>
            <w:hideMark/>
          </w:tcPr>
          <w:p w14:paraId="16728D73" w14:textId="77777777" w:rsidR="00143BF3" w:rsidRDefault="00143BF3">
            <w:pPr>
              <w:widowControl w:val="0"/>
              <w:autoSpaceDE w:val="0"/>
              <w:autoSpaceDN w:val="0"/>
              <w:spacing w:before="133"/>
              <w:ind w:left="107" w:right="306"/>
              <w:rPr>
                <w:b/>
                <w:lang w:val="de-DE" w:eastAsia="de-DE" w:bidi="de-DE"/>
              </w:rPr>
            </w:pPr>
            <w:r>
              <w:rPr>
                <w:b/>
                <w:lang w:val="de-DE" w:eastAsia="de-DE" w:bidi="de-DE"/>
              </w:rPr>
              <w:t>Global rank primary endpoint</w:t>
            </w:r>
          </w:p>
        </w:tc>
        <w:tc>
          <w:tcPr>
            <w:tcW w:w="2552" w:type="dxa"/>
            <w:tcBorders>
              <w:top w:val="single" w:sz="4" w:space="0" w:color="000000"/>
              <w:left w:val="single" w:sz="8" w:space="0" w:color="000000"/>
              <w:bottom w:val="single" w:sz="8" w:space="0" w:color="000000"/>
              <w:right w:val="single" w:sz="8" w:space="0" w:color="000000"/>
            </w:tcBorders>
            <w:hideMark/>
          </w:tcPr>
          <w:p w14:paraId="43A92B8D" w14:textId="77777777" w:rsidR="00143BF3" w:rsidRDefault="00143BF3">
            <w:pPr>
              <w:widowControl w:val="0"/>
              <w:autoSpaceDE w:val="0"/>
              <w:autoSpaceDN w:val="0"/>
              <w:spacing w:before="2" w:line="252" w:lineRule="exact"/>
              <w:ind w:left="107" w:right="192"/>
              <w:rPr>
                <w:lang w:val="de-DE" w:eastAsia="de-DE" w:bidi="de-DE"/>
              </w:rPr>
            </w:pPr>
            <w:r>
              <w:rPr>
                <w:lang w:val="de-DE" w:eastAsia="de-DE" w:bidi="de-DE"/>
              </w:rPr>
              <w:t>Probability of favourable outcome (%)*</w:t>
            </w:r>
          </w:p>
        </w:tc>
        <w:tc>
          <w:tcPr>
            <w:tcW w:w="2551" w:type="dxa"/>
            <w:tcBorders>
              <w:top w:val="single" w:sz="4" w:space="0" w:color="000000"/>
              <w:left w:val="single" w:sz="8" w:space="0" w:color="000000"/>
              <w:bottom w:val="single" w:sz="8" w:space="0" w:color="000000"/>
              <w:right w:val="single" w:sz="8" w:space="0" w:color="000000"/>
            </w:tcBorders>
            <w:hideMark/>
          </w:tcPr>
          <w:p w14:paraId="4BF89198" w14:textId="77777777" w:rsidR="00143BF3" w:rsidRDefault="00143BF3">
            <w:pPr>
              <w:widowControl w:val="0"/>
              <w:autoSpaceDE w:val="0"/>
              <w:autoSpaceDN w:val="0"/>
              <w:spacing w:before="2" w:line="252" w:lineRule="exact"/>
              <w:ind w:left="108" w:right="194"/>
              <w:rPr>
                <w:lang w:val="de-DE" w:eastAsia="de-DE" w:bidi="de-DE"/>
              </w:rPr>
            </w:pPr>
            <w:r>
              <w:rPr>
                <w:lang w:val="de-DE" w:eastAsia="de-DE" w:bidi="de-DE"/>
              </w:rPr>
              <w:t>Probability of favourable outcome (%)*</w:t>
            </w:r>
          </w:p>
        </w:tc>
        <w:tc>
          <w:tcPr>
            <w:tcW w:w="1922" w:type="dxa"/>
            <w:tcBorders>
              <w:top w:val="single" w:sz="4" w:space="0" w:color="000000"/>
              <w:left w:val="single" w:sz="8" w:space="0" w:color="000000"/>
              <w:bottom w:val="single" w:sz="8" w:space="0" w:color="000000"/>
              <w:right w:val="single" w:sz="8" w:space="0" w:color="000000"/>
            </w:tcBorders>
            <w:hideMark/>
          </w:tcPr>
          <w:p w14:paraId="19F6581A" w14:textId="77777777" w:rsidR="00143BF3" w:rsidRDefault="00143BF3">
            <w:pPr>
              <w:widowControl w:val="0"/>
              <w:autoSpaceDE w:val="0"/>
              <w:autoSpaceDN w:val="0"/>
              <w:spacing w:before="2" w:line="252" w:lineRule="exact"/>
              <w:ind w:left="106" w:right="865"/>
              <w:rPr>
                <w:lang w:val="de-DE" w:eastAsia="de-DE" w:bidi="de-DE"/>
              </w:rPr>
            </w:pPr>
            <w:r>
              <w:rPr>
                <w:lang w:val="de-DE" w:eastAsia="de-DE" w:bidi="de-DE"/>
              </w:rPr>
              <w:t>Odds** (95% CI)</w:t>
            </w:r>
          </w:p>
        </w:tc>
      </w:tr>
      <w:tr w:rsidR="00143BF3" w14:paraId="42F46C68" w14:textId="77777777" w:rsidTr="00143BF3">
        <w:trPr>
          <w:trHeight w:val="251"/>
          <w:jc w:val="center"/>
        </w:trPr>
        <w:tc>
          <w:tcPr>
            <w:tcW w:w="1271" w:type="dxa"/>
            <w:vMerge/>
            <w:tcBorders>
              <w:top w:val="single" w:sz="4" w:space="0" w:color="000000"/>
              <w:left w:val="single" w:sz="8" w:space="0" w:color="000000"/>
              <w:bottom w:val="single" w:sz="8" w:space="0" w:color="000000"/>
              <w:right w:val="single" w:sz="8" w:space="0" w:color="000000"/>
            </w:tcBorders>
            <w:vAlign w:val="center"/>
            <w:hideMark/>
          </w:tcPr>
          <w:p w14:paraId="50E55700" w14:textId="77777777" w:rsidR="00143BF3" w:rsidRDefault="00143BF3">
            <w:pPr>
              <w:rPr>
                <w:b/>
                <w:sz w:val="22"/>
                <w:szCs w:val="22"/>
                <w:lang w:val="de-DE" w:eastAsia="de-DE" w:bidi="de-DE"/>
              </w:rPr>
            </w:pPr>
          </w:p>
        </w:tc>
        <w:tc>
          <w:tcPr>
            <w:tcW w:w="2552" w:type="dxa"/>
            <w:tcBorders>
              <w:top w:val="single" w:sz="8" w:space="0" w:color="000000"/>
              <w:left w:val="single" w:sz="8" w:space="0" w:color="000000"/>
              <w:bottom w:val="single" w:sz="8" w:space="0" w:color="000000"/>
              <w:right w:val="single" w:sz="8" w:space="0" w:color="000000"/>
            </w:tcBorders>
            <w:hideMark/>
          </w:tcPr>
          <w:p w14:paraId="09477511" w14:textId="77777777" w:rsidR="00143BF3" w:rsidRDefault="00143BF3">
            <w:pPr>
              <w:widowControl w:val="0"/>
              <w:autoSpaceDE w:val="0"/>
              <w:autoSpaceDN w:val="0"/>
              <w:spacing w:line="231" w:lineRule="exact"/>
              <w:ind w:left="107"/>
              <w:rPr>
                <w:lang w:val="de-DE" w:eastAsia="de-DE" w:bidi="de-DE"/>
              </w:rPr>
            </w:pPr>
            <w:r>
              <w:rPr>
                <w:lang w:val="de-DE" w:eastAsia="de-DE" w:bidi="de-DE"/>
              </w:rPr>
              <w:t>52.4</w:t>
            </w:r>
          </w:p>
        </w:tc>
        <w:tc>
          <w:tcPr>
            <w:tcW w:w="2551" w:type="dxa"/>
            <w:tcBorders>
              <w:top w:val="single" w:sz="8" w:space="0" w:color="000000"/>
              <w:left w:val="single" w:sz="8" w:space="0" w:color="000000"/>
              <w:bottom w:val="single" w:sz="8" w:space="0" w:color="000000"/>
              <w:right w:val="single" w:sz="8" w:space="0" w:color="000000"/>
            </w:tcBorders>
            <w:hideMark/>
          </w:tcPr>
          <w:p w14:paraId="1562CD64" w14:textId="77777777" w:rsidR="00143BF3" w:rsidRDefault="00143BF3">
            <w:pPr>
              <w:widowControl w:val="0"/>
              <w:autoSpaceDE w:val="0"/>
              <w:autoSpaceDN w:val="0"/>
              <w:spacing w:line="231" w:lineRule="exact"/>
              <w:ind w:left="108"/>
              <w:rPr>
                <w:lang w:val="de-DE" w:eastAsia="de-DE" w:bidi="de-DE"/>
              </w:rPr>
            </w:pPr>
            <w:r>
              <w:rPr>
                <w:lang w:val="de-DE" w:eastAsia="de-DE" w:bidi="de-DE"/>
              </w:rPr>
              <w:t>47.6</w:t>
            </w:r>
          </w:p>
        </w:tc>
        <w:tc>
          <w:tcPr>
            <w:tcW w:w="1922" w:type="dxa"/>
            <w:tcBorders>
              <w:top w:val="single" w:sz="8" w:space="0" w:color="000000"/>
              <w:left w:val="single" w:sz="8" w:space="0" w:color="000000"/>
              <w:bottom w:val="single" w:sz="8" w:space="0" w:color="000000"/>
              <w:right w:val="single" w:sz="8" w:space="0" w:color="000000"/>
            </w:tcBorders>
            <w:hideMark/>
          </w:tcPr>
          <w:p w14:paraId="0A6E425C" w14:textId="77777777" w:rsidR="00143BF3" w:rsidRDefault="00143BF3">
            <w:pPr>
              <w:widowControl w:val="0"/>
              <w:autoSpaceDE w:val="0"/>
              <w:autoSpaceDN w:val="0"/>
              <w:spacing w:line="231" w:lineRule="exact"/>
              <w:ind w:left="106"/>
              <w:rPr>
                <w:lang w:val="de-DE" w:eastAsia="de-DE" w:bidi="de-DE"/>
              </w:rPr>
            </w:pPr>
            <w:r>
              <w:rPr>
                <w:lang w:val="de-DE" w:eastAsia="de-DE" w:bidi="de-DE"/>
              </w:rPr>
              <w:t>0.907 (0.72, 1.14)</w:t>
            </w:r>
          </w:p>
        </w:tc>
      </w:tr>
    </w:tbl>
    <w:p w14:paraId="35EFB955" w14:textId="77777777" w:rsidR="00143BF3" w:rsidRPr="00143BF3" w:rsidRDefault="00143BF3" w:rsidP="00143BF3">
      <w:pPr>
        <w:suppressAutoHyphens/>
        <w:autoSpaceDN w:val="0"/>
        <w:jc w:val="both"/>
        <w:rPr>
          <w:rFonts w:eastAsia="Calibri"/>
          <w:sz w:val="20"/>
          <w:lang w:val="en-US" w:eastAsia="en-US"/>
        </w:rPr>
      </w:pPr>
      <w:r w:rsidRPr="00143BF3">
        <w:rPr>
          <w:rFonts w:eastAsia="Calibri"/>
          <w:sz w:val="20"/>
          <w:lang w:val="en-US"/>
        </w:rPr>
        <w:t>*The probability of favourable outcome or Mann-Whitney probability (MWP) for the given treatment was estimated based on percentage of wins in pairwise comparisons of global rank score between sacubitril/valsartan-treated patients versus enalapril-treated patients (each higher score counts as one win and each equal score counts as half a win).</w:t>
      </w:r>
    </w:p>
    <w:p w14:paraId="48A5CCC4" w14:textId="77777777" w:rsidR="00143BF3" w:rsidRPr="00143BF3" w:rsidRDefault="00143BF3" w:rsidP="00143BF3">
      <w:pPr>
        <w:suppressAutoHyphens/>
        <w:autoSpaceDN w:val="0"/>
        <w:jc w:val="both"/>
        <w:rPr>
          <w:rFonts w:eastAsia="Calibri"/>
          <w:sz w:val="20"/>
          <w:lang w:val="en-US"/>
        </w:rPr>
      </w:pPr>
      <w:r w:rsidRPr="00143BF3">
        <w:rPr>
          <w:rFonts w:eastAsia="Calibri"/>
          <w:sz w:val="20"/>
          <w:lang w:val="en-US"/>
        </w:rPr>
        <w:t>**Mann-Whitney Odds was calculated as the estimated MWP for enalapril divided by the estimated MWP for sacubitril/valsartan, with odds &lt;1 in favour of sacubitril/valsartan and &gt;1 in favour of enalapril.</w:t>
      </w:r>
    </w:p>
    <w:p w14:paraId="7611654C" w14:textId="77777777" w:rsidR="007C5D2A" w:rsidRPr="00143BF3" w:rsidRDefault="007C5D2A" w:rsidP="003E0341">
      <w:pPr>
        <w:tabs>
          <w:tab w:val="left" w:pos="851"/>
        </w:tabs>
        <w:ind w:left="851"/>
        <w:rPr>
          <w:sz w:val="24"/>
          <w:szCs w:val="24"/>
          <w:lang w:val="en-US"/>
        </w:rPr>
      </w:pPr>
    </w:p>
    <w:p w14:paraId="146811AB"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5.2</w:t>
      </w:r>
      <w:r w:rsidRPr="00303008">
        <w:rPr>
          <w:b/>
          <w:sz w:val="24"/>
          <w:szCs w:val="24"/>
          <w:lang w:val="en-GB"/>
        </w:rPr>
        <w:tab/>
        <w:t>Pharmacokinetic properties</w:t>
      </w:r>
      <w:r w:rsidRPr="00303008">
        <w:rPr>
          <w:b/>
          <w:sz w:val="24"/>
          <w:szCs w:val="24"/>
          <w:lang w:val="en-GB"/>
        </w:rPr>
        <w:tab/>
      </w:r>
    </w:p>
    <w:p w14:paraId="6C7CC7B3" w14:textId="77777777" w:rsidR="00CE0ADB" w:rsidRPr="00CE0ADB" w:rsidRDefault="00CE0ADB" w:rsidP="00CE0ADB">
      <w:pPr>
        <w:tabs>
          <w:tab w:val="left" w:pos="851"/>
        </w:tabs>
        <w:ind w:left="851"/>
        <w:rPr>
          <w:sz w:val="24"/>
          <w:szCs w:val="24"/>
          <w:lang w:val="en-US"/>
        </w:rPr>
      </w:pPr>
      <w:r w:rsidRPr="00CE0ADB">
        <w:rPr>
          <w:sz w:val="24"/>
          <w:szCs w:val="24"/>
          <w:lang w:val="en-US"/>
        </w:rPr>
        <w:t>The valsartan contained within sacubitril/valsartan is more bioavailable than the valsartan in other marketed tablet formulations; 26 mg, 51 mg, and 103 mg of valsartan in sacubitril/valsartan is equivalent to 40 mg, 80 mg and 160 mg of valsartan in other marketed tablet formulations, respectively.</w:t>
      </w:r>
    </w:p>
    <w:p w14:paraId="0A061504" w14:textId="14E8A857" w:rsidR="00CE0ADB" w:rsidRDefault="00CE0ADB">
      <w:pPr>
        <w:rPr>
          <w:sz w:val="24"/>
          <w:szCs w:val="24"/>
          <w:lang w:val="en-US"/>
        </w:rPr>
      </w:pPr>
      <w:r>
        <w:rPr>
          <w:sz w:val="24"/>
          <w:szCs w:val="24"/>
          <w:lang w:val="en-US"/>
        </w:rPr>
        <w:br w:type="page"/>
      </w:r>
    </w:p>
    <w:p w14:paraId="3C8ED9FD" w14:textId="77777777" w:rsidR="00CE0ADB" w:rsidRPr="00CE0ADB" w:rsidRDefault="00CE0ADB" w:rsidP="00CE0ADB">
      <w:pPr>
        <w:tabs>
          <w:tab w:val="left" w:pos="851"/>
        </w:tabs>
        <w:ind w:left="851"/>
        <w:rPr>
          <w:sz w:val="24"/>
          <w:szCs w:val="24"/>
          <w:lang w:val="en-US"/>
        </w:rPr>
      </w:pPr>
    </w:p>
    <w:p w14:paraId="2660FF04" w14:textId="77777777" w:rsidR="00CE0ADB" w:rsidRPr="00CE0ADB" w:rsidRDefault="00CE0ADB" w:rsidP="00CE0ADB">
      <w:pPr>
        <w:tabs>
          <w:tab w:val="left" w:pos="851"/>
        </w:tabs>
        <w:ind w:left="851"/>
        <w:rPr>
          <w:sz w:val="24"/>
          <w:szCs w:val="24"/>
          <w:u w:val="single"/>
          <w:lang w:val="en-US"/>
        </w:rPr>
      </w:pPr>
      <w:r w:rsidRPr="00CE0ADB">
        <w:rPr>
          <w:sz w:val="24"/>
          <w:szCs w:val="24"/>
          <w:u w:val="single"/>
          <w:lang w:val="en-US"/>
        </w:rPr>
        <w:t>Adult population</w:t>
      </w:r>
    </w:p>
    <w:p w14:paraId="7223F7A5" w14:textId="77777777" w:rsidR="00CE0ADB" w:rsidRPr="00CE0ADB" w:rsidRDefault="00CE0ADB" w:rsidP="00CE0ADB">
      <w:pPr>
        <w:tabs>
          <w:tab w:val="left" w:pos="851"/>
        </w:tabs>
        <w:ind w:left="851"/>
        <w:rPr>
          <w:sz w:val="24"/>
          <w:szCs w:val="24"/>
          <w:u w:val="single"/>
          <w:lang w:val="en-US"/>
        </w:rPr>
      </w:pPr>
    </w:p>
    <w:p w14:paraId="68E061CF" w14:textId="77777777" w:rsidR="00CE0ADB" w:rsidRPr="00CE0ADB" w:rsidRDefault="00CE0ADB" w:rsidP="00CE0ADB">
      <w:pPr>
        <w:tabs>
          <w:tab w:val="left" w:pos="851"/>
        </w:tabs>
        <w:ind w:left="851"/>
        <w:rPr>
          <w:i/>
          <w:iCs/>
          <w:sz w:val="24"/>
          <w:szCs w:val="24"/>
          <w:u w:val="single"/>
          <w:lang w:val="en-US"/>
        </w:rPr>
      </w:pPr>
      <w:r w:rsidRPr="00CE0ADB">
        <w:rPr>
          <w:i/>
          <w:iCs/>
          <w:sz w:val="24"/>
          <w:szCs w:val="24"/>
          <w:u w:val="single"/>
          <w:lang w:val="en-US"/>
        </w:rPr>
        <w:t>Absorption</w:t>
      </w:r>
    </w:p>
    <w:p w14:paraId="03153F8F" w14:textId="77777777" w:rsidR="00CE0ADB" w:rsidRPr="00CE0ADB" w:rsidRDefault="00CE0ADB" w:rsidP="00CE0ADB">
      <w:pPr>
        <w:tabs>
          <w:tab w:val="left" w:pos="851"/>
        </w:tabs>
        <w:ind w:left="851"/>
        <w:rPr>
          <w:sz w:val="24"/>
          <w:szCs w:val="24"/>
          <w:lang w:val="en-US"/>
        </w:rPr>
      </w:pPr>
      <w:r w:rsidRPr="00CE0ADB">
        <w:rPr>
          <w:sz w:val="24"/>
          <w:szCs w:val="24"/>
          <w:lang w:val="en-US"/>
        </w:rPr>
        <w:t>Following oral administration, sacubitril/valsartan dissociates into valsartan and the prodrug sacubitril. Sacubitril is further metabolised to the active metabolite LBQ657. These reach peak plasma concentrations in 2 hours, 1 hour, and 2 hours, respectively. The oral absolute bioavailability of sacubitril and valsartan is estimated to be more than 60% and 23%, respectively.</w:t>
      </w:r>
    </w:p>
    <w:p w14:paraId="61340001" w14:textId="77777777" w:rsidR="00CE0ADB" w:rsidRPr="00CE0ADB" w:rsidRDefault="00CE0ADB" w:rsidP="00CE0ADB">
      <w:pPr>
        <w:tabs>
          <w:tab w:val="left" w:pos="851"/>
        </w:tabs>
        <w:ind w:left="851"/>
        <w:rPr>
          <w:sz w:val="24"/>
          <w:szCs w:val="24"/>
          <w:lang w:val="en-US"/>
        </w:rPr>
      </w:pPr>
    </w:p>
    <w:p w14:paraId="22F102E7" w14:textId="77777777" w:rsidR="00CE0ADB" w:rsidRPr="00CE0ADB" w:rsidRDefault="00CE0ADB" w:rsidP="00CE0ADB">
      <w:pPr>
        <w:tabs>
          <w:tab w:val="left" w:pos="851"/>
        </w:tabs>
        <w:ind w:left="851"/>
        <w:rPr>
          <w:sz w:val="24"/>
          <w:szCs w:val="24"/>
          <w:lang w:val="en-US"/>
        </w:rPr>
      </w:pPr>
      <w:r w:rsidRPr="00CE0ADB">
        <w:rPr>
          <w:sz w:val="24"/>
          <w:szCs w:val="24"/>
          <w:lang w:val="en-US"/>
        </w:rPr>
        <w:t>Following twice daily dosing of sacubitril/valsartan, steady-state levels of sacubitril, LBQ657 and valsartan are reached in three days. At steady state, sacubitril and valsartan do not accumulate significantly, while LBQ657 accumulates 1.6-fold. Administration with food has no clinically significant impact on the systemic exposures of sacubitril, LBQ657 and valsartan. Sacubitril/valsartan can be administered with or without food.</w:t>
      </w:r>
    </w:p>
    <w:p w14:paraId="13092EEA" w14:textId="77777777" w:rsidR="00CE0ADB" w:rsidRPr="00CE0ADB" w:rsidRDefault="00CE0ADB" w:rsidP="00CE0ADB">
      <w:pPr>
        <w:tabs>
          <w:tab w:val="left" w:pos="851"/>
        </w:tabs>
        <w:ind w:left="851"/>
        <w:rPr>
          <w:sz w:val="24"/>
          <w:szCs w:val="24"/>
          <w:lang w:val="en-US"/>
        </w:rPr>
      </w:pPr>
    </w:p>
    <w:p w14:paraId="62597610" w14:textId="77777777" w:rsidR="00CE0ADB" w:rsidRPr="00CE0ADB" w:rsidRDefault="00CE0ADB" w:rsidP="00CE0ADB">
      <w:pPr>
        <w:tabs>
          <w:tab w:val="left" w:pos="851"/>
        </w:tabs>
        <w:ind w:left="851"/>
        <w:rPr>
          <w:i/>
          <w:iCs/>
          <w:sz w:val="24"/>
          <w:szCs w:val="24"/>
          <w:u w:val="single"/>
          <w:lang w:val="en-US"/>
        </w:rPr>
      </w:pPr>
      <w:r w:rsidRPr="00CE0ADB">
        <w:rPr>
          <w:i/>
          <w:iCs/>
          <w:sz w:val="24"/>
          <w:szCs w:val="24"/>
          <w:u w:val="single"/>
          <w:lang w:val="en-US"/>
        </w:rPr>
        <w:t>Distribution</w:t>
      </w:r>
    </w:p>
    <w:p w14:paraId="1D13205A" w14:textId="77777777" w:rsidR="00CE0ADB" w:rsidRPr="00CE0ADB" w:rsidRDefault="00CE0ADB" w:rsidP="00CE0ADB">
      <w:pPr>
        <w:tabs>
          <w:tab w:val="left" w:pos="851"/>
        </w:tabs>
        <w:ind w:left="851"/>
        <w:rPr>
          <w:sz w:val="24"/>
          <w:szCs w:val="24"/>
          <w:lang w:val="en-US"/>
        </w:rPr>
      </w:pPr>
      <w:r w:rsidRPr="00CE0ADB">
        <w:rPr>
          <w:sz w:val="24"/>
          <w:szCs w:val="24"/>
          <w:lang w:val="en-US"/>
        </w:rPr>
        <w:t>Sacubitril, LBQ657 and valsartan are highly bound to plasma proteins (94-97%). Based on the comparison of plasma and CSF exposures, LBQ657 crosses the blood brain barrier to a limited extent (0.28%). The average apparent volume of distribution of valsartan and sacubitril were 75 litres to  103 litres, respectively.</w:t>
      </w:r>
    </w:p>
    <w:p w14:paraId="01CCDCB0" w14:textId="77777777" w:rsidR="00CE0ADB" w:rsidRPr="00CE0ADB" w:rsidRDefault="00CE0ADB" w:rsidP="00CE0ADB">
      <w:pPr>
        <w:tabs>
          <w:tab w:val="left" w:pos="851"/>
        </w:tabs>
        <w:ind w:left="851"/>
        <w:rPr>
          <w:sz w:val="24"/>
          <w:szCs w:val="24"/>
          <w:lang w:val="en-US"/>
        </w:rPr>
      </w:pPr>
    </w:p>
    <w:p w14:paraId="2B3B040F" w14:textId="77777777" w:rsidR="00CE0ADB" w:rsidRPr="00CE0ADB" w:rsidRDefault="00CE0ADB" w:rsidP="00CE0ADB">
      <w:pPr>
        <w:tabs>
          <w:tab w:val="left" w:pos="851"/>
        </w:tabs>
        <w:ind w:left="851"/>
        <w:rPr>
          <w:i/>
          <w:iCs/>
          <w:sz w:val="24"/>
          <w:szCs w:val="24"/>
          <w:u w:val="single"/>
          <w:lang w:val="en-US"/>
        </w:rPr>
      </w:pPr>
      <w:r w:rsidRPr="00CE0ADB">
        <w:rPr>
          <w:i/>
          <w:iCs/>
          <w:sz w:val="24"/>
          <w:szCs w:val="24"/>
          <w:u w:val="single"/>
          <w:lang w:val="en-US"/>
        </w:rPr>
        <w:t>Biotransformation</w:t>
      </w:r>
    </w:p>
    <w:p w14:paraId="12178F2B" w14:textId="77777777" w:rsidR="00CE0ADB" w:rsidRPr="00CE0ADB" w:rsidRDefault="00CE0ADB" w:rsidP="00CE0ADB">
      <w:pPr>
        <w:tabs>
          <w:tab w:val="left" w:pos="851"/>
        </w:tabs>
        <w:ind w:left="851"/>
        <w:rPr>
          <w:sz w:val="24"/>
          <w:szCs w:val="24"/>
          <w:lang w:val="en-US"/>
        </w:rPr>
      </w:pPr>
      <w:r w:rsidRPr="00CE0ADB">
        <w:rPr>
          <w:sz w:val="24"/>
          <w:szCs w:val="24"/>
          <w:lang w:val="en-US"/>
        </w:rPr>
        <w:t>Sacubitril is readily converted to LBQ657 by carboxylesterases 1b and 1c; LBQ657 is not further metabolised to a significant extent. Valsartan is minimally metabolised, as only about 20% of the dose is recovered as metabolites. A hydroxyl metabolite of valsartan has been identified in plasma at low concentrations (&lt;10%).</w:t>
      </w:r>
    </w:p>
    <w:p w14:paraId="2CDC1553" w14:textId="77777777" w:rsidR="00CE0ADB" w:rsidRPr="00CE0ADB" w:rsidRDefault="00CE0ADB" w:rsidP="00CE0ADB">
      <w:pPr>
        <w:tabs>
          <w:tab w:val="left" w:pos="851"/>
        </w:tabs>
        <w:ind w:left="851"/>
        <w:rPr>
          <w:sz w:val="24"/>
          <w:szCs w:val="24"/>
          <w:lang w:val="en-US"/>
        </w:rPr>
      </w:pPr>
    </w:p>
    <w:p w14:paraId="122AED8B" w14:textId="77777777" w:rsidR="00CE0ADB" w:rsidRPr="00CE0ADB" w:rsidRDefault="00CE0ADB" w:rsidP="00CE0ADB">
      <w:pPr>
        <w:tabs>
          <w:tab w:val="left" w:pos="851"/>
        </w:tabs>
        <w:ind w:left="851"/>
        <w:rPr>
          <w:sz w:val="24"/>
          <w:szCs w:val="24"/>
          <w:lang w:val="en-US"/>
        </w:rPr>
      </w:pPr>
      <w:r w:rsidRPr="00CE0ADB">
        <w:rPr>
          <w:sz w:val="24"/>
          <w:szCs w:val="24"/>
          <w:lang w:val="en-US"/>
        </w:rPr>
        <w:t>Since CYP450-enzyme-mediated metabolism of sacubitril and valsartan is minimal, co-administration with medicinal products that impact CYP450 enzymes is not expected to impact the pharmacokinetics.</w:t>
      </w:r>
    </w:p>
    <w:p w14:paraId="13E79F8D" w14:textId="77777777" w:rsidR="00CE0ADB" w:rsidRPr="00CE0ADB" w:rsidRDefault="00CE0ADB" w:rsidP="00CE0ADB">
      <w:pPr>
        <w:tabs>
          <w:tab w:val="left" w:pos="851"/>
        </w:tabs>
        <w:ind w:left="851"/>
        <w:rPr>
          <w:sz w:val="24"/>
          <w:szCs w:val="24"/>
          <w:lang w:val="en-US"/>
        </w:rPr>
      </w:pPr>
    </w:p>
    <w:p w14:paraId="37E0A496" w14:textId="77777777" w:rsidR="00CE0ADB" w:rsidRPr="00CE0ADB" w:rsidRDefault="00CE0ADB" w:rsidP="00CE0ADB">
      <w:pPr>
        <w:tabs>
          <w:tab w:val="left" w:pos="851"/>
        </w:tabs>
        <w:ind w:left="851"/>
        <w:rPr>
          <w:sz w:val="24"/>
          <w:szCs w:val="24"/>
          <w:lang w:val="en-US"/>
        </w:rPr>
      </w:pPr>
      <w:r w:rsidRPr="00CE0ADB">
        <w:rPr>
          <w:i/>
          <w:iCs/>
          <w:sz w:val="24"/>
          <w:szCs w:val="24"/>
          <w:lang w:val="en-US"/>
        </w:rPr>
        <w:t>In vitro</w:t>
      </w:r>
      <w:r w:rsidRPr="00CE0ADB">
        <w:rPr>
          <w:sz w:val="24"/>
          <w:szCs w:val="24"/>
          <w:lang w:val="en-US"/>
        </w:rPr>
        <w:t xml:space="preserve"> metabolism studies indicate that potential for CYP450-based drug interactions is low since there is limited metabolism of sacubitril/valsartan via CYP450 enzymes. Sacubitril/valsartan does not induce or inhibit CYP450 enzymes.</w:t>
      </w:r>
    </w:p>
    <w:p w14:paraId="4016E975" w14:textId="77777777" w:rsidR="00CE0ADB" w:rsidRPr="00CE0ADB" w:rsidRDefault="00CE0ADB" w:rsidP="00CE0ADB">
      <w:pPr>
        <w:tabs>
          <w:tab w:val="left" w:pos="851"/>
        </w:tabs>
        <w:ind w:left="851"/>
        <w:rPr>
          <w:sz w:val="24"/>
          <w:szCs w:val="24"/>
          <w:lang w:val="en-US"/>
        </w:rPr>
      </w:pPr>
    </w:p>
    <w:p w14:paraId="4A06F49C" w14:textId="77777777" w:rsidR="00CE0ADB" w:rsidRPr="00CE0ADB" w:rsidRDefault="00CE0ADB" w:rsidP="00CE0ADB">
      <w:pPr>
        <w:tabs>
          <w:tab w:val="left" w:pos="851"/>
        </w:tabs>
        <w:ind w:left="851"/>
        <w:rPr>
          <w:i/>
          <w:iCs/>
          <w:sz w:val="24"/>
          <w:szCs w:val="24"/>
          <w:u w:val="single"/>
          <w:lang w:val="en-US"/>
        </w:rPr>
      </w:pPr>
      <w:r w:rsidRPr="00CE0ADB">
        <w:rPr>
          <w:i/>
          <w:iCs/>
          <w:sz w:val="24"/>
          <w:szCs w:val="24"/>
          <w:u w:val="single"/>
          <w:lang w:val="en-US"/>
        </w:rPr>
        <w:t>Elimination</w:t>
      </w:r>
    </w:p>
    <w:p w14:paraId="07E2ECFA" w14:textId="77777777" w:rsidR="00CE0ADB" w:rsidRPr="00CE0ADB" w:rsidRDefault="00CE0ADB" w:rsidP="00CE0ADB">
      <w:pPr>
        <w:tabs>
          <w:tab w:val="left" w:pos="851"/>
        </w:tabs>
        <w:ind w:left="851"/>
        <w:rPr>
          <w:sz w:val="24"/>
          <w:szCs w:val="24"/>
          <w:lang w:val="en-US"/>
        </w:rPr>
      </w:pPr>
      <w:r w:rsidRPr="00CE0ADB">
        <w:rPr>
          <w:sz w:val="24"/>
          <w:szCs w:val="24"/>
          <w:lang w:val="en-US"/>
        </w:rPr>
        <w:t>Following oral administration, 52-68% of sacubitril (primarily as LBQ657) and ~13% of valsartan and its metabolites are excreted in urine; 37-48% of sacubitril (primarily as LBQ657) and 86% of valsartan and its metabolites are excreted in faeces.</w:t>
      </w:r>
    </w:p>
    <w:p w14:paraId="27A9E04E" w14:textId="77777777" w:rsidR="00CE0ADB" w:rsidRPr="00CE0ADB" w:rsidRDefault="00CE0ADB" w:rsidP="00CE0ADB">
      <w:pPr>
        <w:tabs>
          <w:tab w:val="left" w:pos="851"/>
        </w:tabs>
        <w:ind w:left="851"/>
        <w:rPr>
          <w:sz w:val="24"/>
          <w:szCs w:val="24"/>
          <w:lang w:val="en-US"/>
        </w:rPr>
      </w:pPr>
    </w:p>
    <w:p w14:paraId="3B0ECDA1" w14:textId="77777777" w:rsidR="00CE0ADB" w:rsidRPr="00CE0ADB" w:rsidRDefault="00CE0ADB" w:rsidP="00CE0ADB">
      <w:pPr>
        <w:tabs>
          <w:tab w:val="left" w:pos="851"/>
        </w:tabs>
        <w:ind w:left="851"/>
        <w:rPr>
          <w:sz w:val="24"/>
          <w:szCs w:val="24"/>
          <w:lang w:val="en-US"/>
        </w:rPr>
      </w:pPr>
      <w:r w:rsidRPr="00CE0ADB">
        <w:rPr>
          <w:sz w:val="24"/>
          <w:szCs w:val="24"/>
          <w:lang w:val="en-US"/>
        </w:rPr>
        <w:t>Sacubitril, LBQ657 and valsartan are eliminated from plasma with a mean elimination half-life (T½) of approximately 1.43 hours, 11.48 hours, and 9.90 hours, respectively.</w:t>
      </w:r>
    </w:p>
    <w:p w14:paraId="41F3634B" w14:textId="77777777" w:rsidR="00CE0ADB" w:rsidRPr="00CE0ADB" w:rsidRDefault="00CE0ADB" w:rsidP="00CE0ADB">
      <w:pPr>
        <w:tabs>
          <w:tab w:val="left" w:pos="851"/>
        </w:tabs>
        <w:ind w:left="851"/>
        <w:rPr>
          <w:sz w:val="24"/>
          <w:szCs w:val="24"/>
          <w:lang w:val="en-US"/>
        </w:rPr>
      </w:pPr>
    </w:p>
    <w:p w14:paraId="31350ADD" w14:textId="77777777" w:rsidR="00CE0ADB" w:rsidRPr="00CE0ADB" w:rsidRDefault="00CE0ADB" w:rsidP="00CE0ADB">
      <w:pPr>
        <w:tabs>
          <w:tab w:val="left" w:pos="851"/>
        </w:tabs>
        <w:ind w:left="851"/>
        <w:rPr>
          <w:i/>
          <w:iCs/>
          <w:sz w:val="24"/>
          <w:szCs w:val="24"/>
          <w:u w:val="single"/>
          <w:lang w:val="en-US"/>
        </w:rPr>
      </w:pPr>
      <w:r w:rsidRPr="00CE0ADB">
        <w:rPr>
          <w:i/>
          <w:iCs/>
          <w:sz w:val="24"/>
          <w:szCs w:val="24"/>
          <w:u w:val="single"/>
          <w:lang w:val="en-US"/>
        </w:rPr>
        <w:t>Linearity/non-linearity</w:t>
      </w:r>
    </w:p>
    <w:p w14:paraId="5AEE9939" w14:textId="77777777" w:rsidR="00CE0ADB" w:rsidRPr="00CE0ADB" w:rsidRDefault="00CE0ADB" w:rsidP="00CE0ADB">
      <w:pPr>
        <w:tabs>
          <w:tab w:val="left" w:pos="851"/>
        </w:tabs>
        <w:ind w:left="851"/>
        <w:rPr>
          <w:sz w:val="24"/>
          <w:szCs w:val="24"/>
          <w:lang w:val="en-US"/>
        </w:rPr>
      </w:pPr>
      <w:r w:rsidRPr="00CE0ADB">
        <w:rPr>
          <w:sz w:val="24"/>
          <w:szCs w:val="24"/>
          <w:lang w:val="en-US"/>
        </w:rPr>
        <w:t>The pharmacokinetics of sacubitril, LBQ657 and valsartan were approximately linear over a sacubitril/valsartan dose range of 24 mg sacubitril/26 mg valsartan to 97 mg sacubitril/103 mg valsartan.</w:t>
      </w:r>
    </w:p>
    <w:p w14:paraId="0E7910DA" w14:textId="4F4D8438" w:rsidR="00CE0ADB" w:rsidRDefault="00CE0ADB">
      <w:pPr>
        <w:rPr>
          <w:sz w:val="24"/>
          <w:szCs w:val="24"/>
          <w:lang w:val="en-US"/>
        </w:rPr>
      </w:pPr>
      <w:r>
        <w:rPr>
          <w:sz w:val="24"/>
          <w:szCs w:val="24"/>
          <w:lang w:val="en-US"/>
        </w:rPr>
        <w:br w:type="page"/>
      </w:r>
    </w:p>
    <w:p w14:paraId="6BD632DB" w14:textId="77777777" w:rsidR="00CE0ADB" w:rsidRPr="00CE0ADB" w:rsidRDefault="00CE0ADB" w:rsidP="00CE0ADB">
      <w:pPr>
        <w:tabs>
          <w:tab w:val="left" w:pos="851"/>
        </w:tabs>
        <w:ind w:left="851"/>
        <w:rPr>
          <w:sz w:val="24"/>
          <w:szCs w:val="24"/>
          <w:lang w:val="en-US"/>
        </w:rPr>
      </w:pPr>
    </w:p>
    <w:p w14:paraId="5588394F" w14:textId="77777777" w:rsidR="00CE0ADB" w:rsidRPr="00CE0ADB" w:rsidRDefault="00CE0ADB" w:rsidP="00CE0ADB">
      <w:pPr>
        <w:tabs>
          <w:tab w:val="left" w:pos="851"/>
        </w:tabs>
        <w:ind w:left="851"/>
        <w:rPr>
          <w:sz w:val="24"/>
          <w:szCs w:val="24"/>
          <w:u w:val="single"/>
          <w:lang w:val="en-US"/>
        </w:rPr>
      </w:pPr>
      <w:r w:rsidRPr="00CE0ADB">
        <w:rPr>
          <w:sz w:val="24"/>
          <w:szCs w:val="24"/>
          <w:u w:val="single"/>
          <w:lang w:val="en-US"/>
        </w:rPr>
        <w:t>Special populations</w:t>
      </w:r>
    </w:p>
    <w:p w14:paraId="660B7BCA" w14:textId="77777777" w:rsidR="00CE0ADB" w:rsidRPr="00CE0ADB" w:rsidRDefault="00CE0ADB" w:rsidP="00CE0ADB">
      <w:pPr>
        <w:tabs>
          <w:tab w:val="left" w:pos="851"/>
        </w:tabs>
        <w:ind w:left="851"/>
        <w:rPr>
          <w:i/>
          <w:iCs/>
          <w:sz w:val="24"/>
          <w:szCs w:val="24"/>
          <w:u w:val="single"/>
          <w:lang w:val="en-US"/>
        </w:rPr>
      </w:pPr>
    </w:p>
    <w:p w14:paraId="6198EA65" w14:textId="77777777" w:rsidR="00CE0ADB" w:rsidRPr="00CE0ADB" w:rsidRDefault="00CE0ADB" w:rsidP="00CE0ADB">
      <w:pPr>
        <w:tabs>
          <w:tab w:val="left" w:pos="851"/>
        </w:tabs>
        <w:ind w:left="851"/>
        <w:rPr>
          <w:i/>
          <w:iCs/>
          <w:sz w:val="24"/>
          <w:szCs w:val="24"/>
          <w:u w:val="single"/>
          <w:lang w:val="en-US"/>
        </w:rPr>
      </w:pPr>
      <w:r w:rsidRPr="00CE0ADB">
        <w:rPr>
          <w:i/>
          <w:iCs/>
          <w:sz w:val="24"/>
          <w:szCs w:val="24"/>
          <w:u w:val="single"/>
          <w:lang w:val="en-US"/>
        </w:rPr>
        <w:t>Elderly</w:t>
      </w:r>
    </w:p>
    <w:p w14:paraId="426501C1" w14:textId="77777777" w:rsidR="00CE0ADB" w:rsidRPr="00CE0ADB" w:rsidRDefault="00CE0ADB" w:rsidP="00CE0ADB">
      <w:pPr>
        <w:tabs>
          <w:tab w:val="left" w:pos="851"/>
        </w:tabs>
        <w:ind w:left="851"/>
        <w:rPr>
          <w:sz w:val="24"/>
          <w:szCs w:val="24"/>
          <w:lang w:val="en-US"/>
        </w:rPr>
      </w:pPr>
      <w:r w:rsidRPr="00CE0ADB">
        <w:rPr>
          <w:sz w:val="24"/>
          <w:szCs w:val="24"/>
          <w:lang w:val="en-US"/>
        </w:rPr>
        <w:t>LBQ657 and valsartan exposure are increased in subjects over 65 years of age by 42% and 30%, respectively, compared to younger subjects.</w:t>
      </w:r>
    </w:p>
    <w:p w14:paraId="38011385" w14:textId="77777777" w:rsidR="00CE0ADB" w:rsidRPr="00CE0ADB" w:rsidRDefault="00CE0ADB" w:rsidP="00CE0ADB">
      <w:pPr>
        <w:tabs>
          <w:tab w:val="left" w:pos="851"/>
        </w:tabs>
        <w:ind w:left="851"/>
        <w:rPr>
          <w:sz w:val="24"/>
          <w:szCs w:val="24"/>
          <w:lang w:val="en-US"/>
        </w:rPr>
      </w:pPr>
    </w:p>
    <w:p w14:paraId="1C5696F5" w14:textId="77777777" w:rsidR="00CE0ADB" w:rsidRPr="00CE0ADB" w:rsidRDefault="00CE0ADB" w:rsidP="00CE0ADB">
      <w:pPr>
        <w:tabs>
          <w:tab w:val="left" w:pos="851"/>
        </w:tabs>
        <w:ind w:left="851"/>
        <w:rPr>
          <w:i/>
          <w:iCs/>
          <w:sz w:val="24"/>
          <w:szCs w:val="24"/>
          <w:u w:val="single"/>
          <w:lang w:val="en-US"/>
        </w:rPr>
      </w:pPr>
      <w:r w:rsidRPr="00CE0ADB">
        <w:rPr>
          <w:i/>
          <w:iCs/>
          <w:sz w:val="24"/>
          <w:szCs w:val="24"/>
          <w:u w:val="single"/>
          <w:lang w:val="en-US"/>
        </w:rPr>
        <w:t>Renal impairment</w:t>
      </w:r>
    </w:p>
    <w:p w14:paraId="40E9ECFA" w14:textId="77777777" w:rsidR="00CE0ADB" w:rsidRPr="00CE0ADB" w:rsidRDefault="00CE0ADB" w:rsidP="00CE0ADB">
      <w:pPr>
        <w:tabs>
          <w:tab w:val="left" w:pos="851"/>
        </w:tabs>
        <w:ind w:left="851"/>
        <w:rPr>
          <w:sz w:val="24"/>
          <w:szCs w:val="24"/>
          <w:lang w:val="en-US"/>
        </w:rPr>
      </w:pPr>
      <w:r w:rsidRPr="00CE0ADB">
        <w:rPr>
          <w:sz w:val="24"/>
          <w:szCs w:val="24"/>
          <w:lang w:val="en-US"/>
        </w:rPr>
        <w:t>A correlation was observed between renal function and systemic exposure to LBQ657 in patients with mild to severe renal impairment. The exposure of LBQ657 in patients with moderate (30 ml/min/1.73 m</w:t>
      </w:r>
      <w:r w:rsidRPr="00CE0ADB">
        <w:rPr>
          <w:sz w:val="24"/>
          <w:szCs w:val="24"/>
          <w:vertAlign w:val="superscript"/>
          <w:lang w:val="en-US"/>
        </w:rPr>
        <w:t>2</w:t>
      </w:r>
      <w:r w:rsidRPr="00CE0ADB">
        <w:rPr>
          <w:sz w:val="24"/>
          <w:szCs w:val="24"/>
          <w:lang w:val="en-US"/>
        </w:rPr>
        <w:t xml:space="preserve"> ≤ eGFR &lt;60 ml/min/1.73 m</w:t>
      </w:r>
      <w:r w:rsidRPr="00CE0ADB">
        <w:rPr>
          <w:sz w:val="24"/>
          <w:szCs w:val="24"/>
          <w:vertAlign w:val="superscript"/>
          <w:lang w:val="en-US"/>
        </w:rPr>
        <w:t>2</w:t>
      </w:r>
      <w:r w:rsidRPr="00CE0ADB">
        <w:rPr>
          <w:sz w:val="24"/>
          <w:szCs w:val="24"/>
          <w:lang w:val="en-US"/>
        </w:rPr>
        <w:t>) and severe renal impairment (15 ml/min/1.73 m</w:t>
      </w:r>
      <w:r w:rsidRPr="00CE0ADB">
        <w:rPr>
          <w:sz w:val="24"/>
          <w:szCs w:val="24"/>
          <w:vertAlign w:val="superscript"/>
          <w:lang w:val="en-US"/>
        </w:rPr>
        <w:t>2</w:t>
      </w:r>
      <w:r w:rsidRPr="00CE0ADB">
        <w:rPr>
          <w:sz w:val="24"/>
          <w:szCs w:val="24"/>
          <w:lang w:val="en-US"/>
        </w:rPr>
        <w:t xml:space="preserve"> ≤ eGFR &lt;30 ml/min/1.73 m</w:t>
      </w:r>
      <w:r w:rsidRPr="00CE0ADB">
        <w:rPr>
          <w:sz w:val="24"/>
          <w:szCs w:val="24"/>
          <w:vertAlign w:val="superscript"/>
          <w:lang w:val="en-US"/>
        </w:rPr>
        <w:t>2</w:t>
      </w:r>
      <w:r w:rsidRPr="00CE0ADB">
        <w:rPr>
          <w:sz w:val="24"/>
          <w:szCs w:val="24"/>
          <w:lang w:val="en-US"/>
        </w:rPr>
        <w:t>) was 1.4-fold and 2.2-fold higher compared to patients with mild renal impairment (60 ml/min/1.73 m</w:t>
      </w:r>
      <w:r w:rsidRPr="00CE0ADB">
        <w:rPr>
          <w:sz w:val="24"/>
          <w:szCs w:val="24"/>
          <w:vertAlign w:val="superscript"/>
          <w:lang w:val="en-US"/>
        </w:rPr>
        <w:t>2</w:t>
      </w:r>
      <w:r w:rsidRPr="00CE0ADB">
        <w:rPr>
          <w:sz w:val="24"/>
          <w:szCs w:val="24"/>
          <w:lang w:val="en-US"/>
        </w:rPr>
        <w:t xml:space="preserve"> ≤ eGFR &lt;90 ml/min/1.73 m</w:t>
      </w:r>
      <w:r w:rsidRPr="00CE0ADB">
        <w:rPr>
          <w:sz w:val="24"/>
          <w:szCs w:val="24"/>
          <w:vertAlign w:val="superscript"/>
          <w:lang w:val="en-US"/>
        </w:rPr>
        <w:t>2</w:t>
      </w:r>
      <w:r w:rsidRPr="00CE0ADB">
        <w:rPr>
          <w:sz w:val="24"/>
          <w:szCs w:val="24"/>
          <w:lang w:val="en-US"/>
        </w:rPr>
        <w:t>), the largest group of patients enrolled in PARADIGM-HF. The exposure of valsartan was similar in patients with moderate and severe renal impairment compared to patients with mild renal impairment. No studies have been performed in patients undergoing dialysis. However, LBQ657 and valsartan are highly bound to plasma protein and therefore unlikely to be effectively removed by dialysis.</w:t>
      </w:r>
    </w:p>
    <w:p w14:paraId="69350098" w14:textId="77777777" w:rsidR="00CE0ADB" w:rsidRPr="00CE0ADB" w:rsidRDefault="00CE0ADB" w:rsidP="00CE0ADB">
      <w:pPr>
        <w:tabs>
          <w:tab w:val="left" w:pos="851"/>
        </w:tabs>
        <w:ind w:left="851"/>
        <w:rPr>
          <w:sz w:val="24"/>
          <w:szCs w:val="24"/>
          <w:lang w:val="en-US"/>
        </w:rPr>
      </w:pPr>
    </w:p>
    <w:p w14:paraId="3164B5E4" w14:textId="77777777" w:rsidR="00CE0ADB" w:rsidRPr="00CE0ADB" w:rsidRDefault="00CE0ADB" w:rsidP="00CE0ADB">
      <w:pPr>
        <w:tabs>
          <w:tab w:val="left" w:pos="851"/>
        </w:tabs>
        <w:ind w:left="851"/>
        <w:rPr>
          <w:i/>
          <w:iCs/>
          <w:sz w:val="24"/>
          <w:szCs w:val="24"/>
          <w:u w:val="single"/>
          <w:lang w:val="en-US"/>
        </w:rPr>
      </w:pPr>
      <w:r w:rsidRPr="00CE0ADB">
        <w:rPr>
          <w:i/>
          <w:iCs/>
          <w:sz w:val="24"/>
          <w:szCs w:val="24"/>
          <w:u w:val="single"/>
          <w:lang w:val="en-US"/>
        </w:rPr>
        <w:t>Hepatic impairment</w:t>
      </w:r>
    </w:p>
    <w:p w14:paraId="7FA2AA2A" w14:textId="77777777" w:rsidR="00CE0ADB" w:rsidRPr="00CE0ADB" w:rsidRDefault="00CE0ADB" w:rsidP="00CE0ADB">
      <w:pPr>
        <w:tabs>
          <w:tab w:val="left" w:pos="851"/>
        </w:tabs>
        <w:ind w:left="851"/>
        <w:rPr>
          <w:sz w:val="24"/>
          <w:szCs w:val="24"/>
          <w:lang w:val="en-US"/>
        </w:rPr>
      </w:pPr>
      <w:r w:rsidRPr="00CE0ADB">
        <w:rPr>
          <w:sz w:val="24"/>
          <w:szCs w:val="24"/>
          <w:lang w:val="en-US"/>
        </w:rPr>
        <w:t>In patients with mild to moderate hepatic impairment, the exposures of sacubitril increased by 1.5- and 3.4- fold, LBQ657 increased by 1.5- and 1.9-fold, and valsartan increased by 1.2-fold and 2.1-fold, respectively, compared to matching healthy subjects. However, in patients with mild to moderate hepatic impairment, the exposures of free concentrations of LBQ657 increased by 1.47- and 3.08-fold, respectively, and the exposures of free concentrations of valsartan increased by 1.09-fold and 2.20-fold, respectively, compared to matching healthy subjects. Sacubitril/valsartan has not been studied in patients with severe hepatic impairment, biliary cirrhosis or cholestasis (see sections 4.3 and 4.4).</w:t>
      </w:r>
    </w:p>
    <w:p w14:paraId="1E671242" w14:textId="77777777" w:rsidR="00CE0ADB" w:rsidRPr="00CE0ADB" w:rsidRDefault="00CE0ADB" w:rsidP="00CE0ADB">
      <w:pPr>
        <w:tabs>
          <w:tab w:val="left" w:pos="851"/>
        </w:tabs>
        <w:ind w:left="851"/>
        <w:rPr>
          <w:sz w:val="24"/>
          <w:szCs w:val="24"/>
          <w:lang w:val="en-US"/>
        </w:rPr>
      </w:pPr>
    </w:p>
    <w:p w14:paraId="73343156" w14:textId="77777777" w:rsidR="00CE0ADB" w:rsidRPr="00CE0ADB" w:rsidRDefault="00CE0ADB" w:rsidP="00CE0ADB">
      <w:pPr>
        <w:tabs>
          <w:tab w:val="left" w:pos="851"/>
        </w:tabs>
        <w:ind w:left="851"/>
        <w:rPr>
          <w:i/>
          <w:iCs/>
          <w:sz w:val="24"/>
          <w:szCs w:val="24"/>
          <w:u w:val="single"/>
          <w:lang w:val="en-US"/>
        </w:rPr>
      </w:pPr>
      <w:r w:rsidRPr="00CE0ADB">
        <w:rPr>
          <w:i/>
          <w:iCs/>
          <w:sz w:val="24"/>
          <w:szCs w:val="24"/>
          <w:u w:val="single"/>
          <w:lang w:val="en-US"/>
        </w:rPr>
        <w:t>Effect of gender</w:t>
      </w:r>
    </w:p>
    <w:p w14:paraId="34559565" w14:textId="77777777" w:rsidR="00CE0ADB" w:rsidRPr="00CE0ADB" w:rsidRDefault="00CE0ADB" w:rsidP="00CE0ADB">
      <w:pPr>
        <w:tabs>
          <w:tab w:val="left" w:pos="851"/>
        </w:tabs>
        <w:ind w:left="851"/>
        <w:rPr>
          <w:sz w:val="24"/>
          <w:szCs w:val="24"/>
          <w:lang w:val="en-US"/>
        </w:rPr>
      </w:pPr>
      <w:r w:rsidRPr="00CE0ADB">
        <w:rPr>
          <w:sz w:val="24"/>
          <w:szCs w:val="24"/>
          <w:lang w:val="en-US"/>
        </w:rPr>
        <w:t>The pharmacokinetics of sacubitril/valsartan (sacubitril, LBQ657 and valsartan) are similar between male and female subjects.</w:t>
      </w:r>
    </w:p>
    <w:p w14:paraId="525125EC" w14:textId="77777777" w:rsidR="00CE0ADB" w:rsidRPr="00CE0ADB" w:rsidRDefault="00CE0ADB" w:rsidP="00CE0ADB">
      <w:pPr>
        <w:tabs>
          <w:tab w:val="left" w:pos="851"/>
        </w:tabs>
        <w:ind w:left="851"/>
        <w:rPr>
          <w:sz w:val="24"/>
          <w:szCs w:val="24"/>
          <w:lang w:val="en-US"/>
        </w:rPr>
      </w:pPr>
    </w:p>
    <w:p w14:paraId="0E28AD99" w14:textId="77777777" w:rsidR="00CE0ADB" w:rsidRPr="00CE0ADB" w:rsidRDefault="00CE0ADB" w:rsidP="00CE0ADB">
      <w:pPr>
        <w:tabs>
          <w:tab w:val="left" w:pos="851"/>
        </w:tabs>
        <w:ind w:left="851"/>
        <w:rPr>
          <w:sz w:val="24"/>
          <w:szCs w:val="24"/>
          <w:u w:val="single"/>
          <w:lang w:val="en-US"/>
        </w:rPr>
      </w:pPr>
      <w:r w:rsidRPr="00CE0ADB">
        <w:rPr>
          <w:sz w:val="24"/>
          <w:szCs w:val="24"/>
          <w:u w:val="single"/>
          <w:lang w:val="en-US"/>
        </w:rPr>
        <w:t>Paediatric population</w:t>
      </w:r>
    </w:p>
    <w:p w14:paraId="795025F7" w14:textId="77777777" w:rsidR="00CE0ADB" w:rsidRPr="00CE0ADB" w:rsidRDefault="00CE0ADB" w:rsidP="00CE0ADB">
      <w:pPr>
        <w:tabs>
          <w:tab w:val="left" w:pos="851"/>
        </w:tabs>
        <w:ind w:left="851"/>
        <w:rPr>
          <w:sz w:val="24"/>
          <w:szCs w:val="24"/>
          <w:lang w:val="en-US"/>
        </w:rPr>
      </w:pPr>
      <w:r w:rsidRPr="00CE0ADB">
        <w:rPr>
          <w:sz w:val="24"/>
          <w:szCs w:val="24"/>
          <w:lang w:val="en-US"/>
        </w:rPr>
        <w:t>The pharmacokinetics of sacubitril/valsartan were evaluated in paediatric heart failure patients aged 1 month to &lt;1 year and 1 year to &lt;18 years and indicated that the pharmacokinetic profile of sacubitril/valsartan in paediatric and adult patients is similar.</w:t>
      </w:r>
    </w:p>
    <w:p w14:paraId="12CD5C0F" w14:textId="77777777" w:rsidR="00CE0ADB" w:rsidRPr="00CE0ADB" w:rsidRDefault="00CE0ADB" w:rsidP="00CE0ADB">
      <w:pPr>
        <w:tabs>
          <w:tab w:val="left" w:pos="851"/>
        </w:tabs>
        <w:ind w:left="851"/>
        <w:rPr>
          <w:sz w:val="24"/>
          <w:szCs w:val="24"/>
          <w:lang w:val="en-US"/>
        </w:rPr>
      </w:pPr>
    </w:p>
    <w:p w14:paraId="57A96509" w14:textId="77777777" w:rsidR="007C5D2A" w:rsidRPr="00303008" w:rsidRDefault="00180A12" w:rsidP="007C5D2A">
      <w:pPr>
        <w:tabs>
          <w:tab w:val="left" w:pos="851"/>
        </w:tabs>
        <w:ind w:left="851" w:hanging="851"/>
        <w:rPr>
          <w:b/>
          <w:sz w:val="24"/>
          <w:szCs w:val="24"/>
          <w:lang w:val="en-GB"/>
        </w:rPr>
      </w:pPr>
      <w:r w:rsidRPr="00303008">
        <w:rPr>
          <w:b/>
          <w:sz w:val="24"/>
          <w:szCs w:val="24"/>
          <w:lang w:val="en-GB"/>
        </w:rPr>
        <w:t>5.3</w:t>
      </w:r>
      <w:r w:rsidRPr="00303008">
        <w:rPr>
          <w:b/>
          <w:sz w:val="24"/>
          <w:szCs w:val="24"/>
          <w:lang w:val="en-GB"/>
        </w:rPr>
        <w:tab/>
        <w:t>Preclinical safety data</w:t>
      </w:r>
    </w:p>
    <w:p w14:paraId="0FEBD963" w14:textId="77777777" w:rsidR="00FE47B1" w:rsidRPr="00FE47B1" w:rsidRDefault="00FE47B1" w:rsidP="00FE47B1">
      <w:pPr>
        <w:tabs>
          <w:tab w:val="left" w:pos="851"/>
        </w:tabs>
        <w:ind w:left="851"/>
        <w:rPr>
          <w:sz w:val="24"/>
          <w:szCs w:val="24"/>
          <w:lang w:val="en-US"/>
        </w:rPr>
      </w:pPr>
      <w:r w:rsidRPr="00FE47B1">
        <w:rPr>
          <w:sz w:val="24"/>
          <w:szCs w:val="24"/>
          <w:lang w:val="en-US"/>
        </w:rPr>
        <w:t>Non-clinical data (including studies with sacubitril and valsartan components and/or sacubitril/valsartan) reveal no special hazard for humans based on conventional studies of safety pharmacology, repeated dose toxicity, genotoxicity, carcinogenic potential and fertility.</w:t>
      </w:r>
    </w:p>
    <w:p w14:paraId="65FF6AE0" w14:textId="77777777" w:rsidR="00FE47B1" w:rsidRPr="00FE47B1" w:rsidRDefault="00FE47B1" w:rsidP="00FE47B1">
      <w:pPr>
        <w:tabs>
          <w:tab w:val="left" w:pos="851"/>
        </w:tabs>
        <w:ind w:left="851"/>
        <w:rPr>
          <w:sz w:val="24"/>
          <w:szCs w:val="24"/>
          <w:lang w:val="en-US"/>
        </w:rPr>
      </w:pPr>
    </w:p>
    <w:p w14:paraId="12B41142" w14:textId="77777777" w:rsidR="00FE47B1" w:rsidRPr="00FE47B1" w:rsidRDefault="00FE47B1" w:rsidP="00FE47B1">
      <w:pPr>
        <w:tabs>
          <w:tab w:val="left" w:pos="851"/>
        </w:tabs>
        <w:ind w:left="851"/>
        <w:rPr>
          <w:sz w:val="24"/>
          <w:szCs w:val="24"/>
          <w:u w:val="single"/>
          <w:lang w:val="en-US"/>
        </w:rPr>
      </w:pPr>
      <w:r w:rsidRPr="00FE47B1">
        <w:rPr>
          <w:sz w:val="24"/>
          <w:szCs w:val="24"/>
          <w:u w:val="single"/>
          <w:lang w:val="en-US"/>
        </w:rPr>
        <w:t>Fertility, reproduction and development</w:t>
      </w:r>
    </w:p>
    <w:p w14:paraId="1C915D78" w14:textId="77777777" w:rsidR="00FE47B1" w:rsidRPr="00FE47B1" w:rsidRDefault="00FE47B1" w:rsidP="00FE47B1">
      <w:pPr>
        <w:tabs>
          <w:tab w:val="left" w:pos="851"/>
        </w:tabs>
        <w:ind w:left="851"/>
        <w:rPr>
          <w:sz w:val="24"/>
          <w:szCs w:val="24"/>
          <w:lang w:val="en-US"/>
        </w:rPr>
      </w:pPr>
      <w:r w:rsidRPr="00FE47B1">
        <w:rPr>
          <w:sz w:val="24"/>
          <w:szCs w:val="24"/>
          <w:lang w:val="en-US"/>
        </w:rPr>
        <w:t xml:space="preserve">Sacubitril/valsartan treatment during organogenesis resulted in increased embryofoetal lethality in rats at doses ≥49 mg sacubitril/51 mg valsartan/kg/day (≤0.72-fold the maximum recommended human dose [MRHD] on the basis of AUC) and rabbits at doses ≥4.9 mg sacubitril/5.1 mg valsartan/kg/day (2-fold and 0.03-fold the MRHD on the basis of valsartan and LBQ657 AUC, respectively). It is teratogenic based on a low incidence of foetal hydrocephaly, associated with maternally toxic doses, which was observed in rabbits </w:t>
      </w:r>
      <w:r w:rsidRPr="00FE47B1">
        <w:rPr>
          <w:sz w:val="24"/>
          <w:szCs w:val="24"/>
          <w:lang w:val="en-US"/>
        </w:rPr>
        <w:lastRenderedPageBreak/>
        <w:t>at a sacubitril/valsartan dose of ≥4.9 mg sacubitril/5.1 mg valsartan/kg/day. Cardiovascular abnormalities (mainly cardiomegaly) were observed in rabbit foetuses at a maternally non-toxic dose (1.46 mg sacubitril/1.54 mg valsartan/kg/day). A slight increase in two foetal skeletal variations (misshapen sternebra, sternebra bipartite ossification) was observed in rabbits at a sacubitril/valsartan dose of 4.9 mg sacubitril/5.1 mg valsartan/kg/day. The adverse embryofoetal effects of sacubitril/valsartan are attributed to the angiotensin receptor antagonist activity (see section 4.6).</w:t>
      </w:r>
    </w:p>
    <w:p w14:paraId="0FBB8735" w14:textId="77777777" w:rsidR="00FE47B1" w:rsidRPr="00FE47B1" w:rsidRDefault="00FE47B1" w:rsidP="00FE47B1">
      <w:pPr>
        <w:tabs>
          <w:tab w:val="left" w:pos="851"/>
        </w:tabs>
        <w:ind w:left="851"/>
        <w:rPr>
          <w:sz w:val="24"/>
          <w:szCs w:val="24"/>
          <w:lang w:val="en-US"/>
        </w:rPr>
      </w:pPr>
    </w:p>
    <w:p w14:paraId="283EC217" w14:textId="77777777" w:rsidR="00FE47B1" w:rsidRPr="00FE47B1" w:rsidRDefault="00FE47B1" w:rsidP="00FE47B1">
      <w:pPr>
        <w:tabs>
          <w:tab w:val="left" w:pos="851"/>
        </w:tabs>
        <w:ind w:left="851"/>
        <w:rPr>
          <w:sz w:val="24"/>
          <w:szCs w:val="24"/>
          <w:lang w:val="en-US"/>
        </w:rPr>
      </w:pPr>
      <w:r w:rsidRPr="00FE47B1">
        <w:rPr>
          <w:sz w:val="24"/>
          <w:szCs w:val="24"/>
          <w:lang w:val="en-US"/>
        </w:rPr>
        <w:t>Sacubitril treatment during organogenesis resulted in embryo-foetal lethality and embryo-foetal toxicity (decreased foetal body weights and skeletal malformations) in rabbits at doses associated with maternal toxicity (500 mg/kg/day; 5.7-fold the MRHD on the basis of LBQ657 AUC). A slight generalised delay in ossification was observed at doses of &gt;50 mg/kg/day. This finding is not considered adverse. No evidence of embryo-foetal toxicity or teratogenicity was observed in rats treated with sacubitril. The embryo-foetal no-observed adverse effect level (NOAEL) for sacubitril was at least 750 mg/kg/day in rats and 200 mg/kg/day in rabbits (2.2-fold the MRHD on the basis of LBQ657 AUC).</w:t>
      </w:r>
    </w:p>
    <w:p w14:paraId="0AA8AAED" w14:textId="77777777" w:rsidR="00FE47B1" w:rsidRPr="00FE47B1" w:rsidRDefault="00FE47B1" w:rsidP="00FE47B1">
      <w:pPr>
        <w:tabs>
          <w:tab w:val="left" w:pos="851"/>
        </w:tabs>
        <w:ind w:left="851"/>
        <w:rPr>
          <w:sz w:val="24"/>
          <w:szCs w:val="24"/>
          <w:lang w:val="en-US"/>
        </w:rPr>
      </w:pPr>
    </w:p>
    <w:p w14:paraId="03B1ECEA" w14:textId="77777777" w:rsidR="00FE47B1" w:rsidRPr="00FE47B1" w:rsidRDefault="00FE47B1" w:rsidP="00FE47B1">
      <w:pPr>
        <w:tabs>
          <w:tab w:val="left" w:pos="851"/>
        </w:tabs>
        <w:ind w:left="851"/>
        <w:rPr>
          <w:sz w:val="24"/>
          <w:szCs w:val="24"/>
          <w:lang w:val="en-US"/>
        </w:rPr>
      </w:pPr>
      <w:r w:rsidRPr="00FE47B1">
        <w:rPr>
          <w:sz w:val="24"/>
          <w:szCs w:val="24"/>
          <w:lang w:val="en-US"/>
        </w:rPr>
        <w:t>Pre- and postnatal development studies in rats conducted with sacubitril at high doses up to 750 mg/kg/day (2.2-fold the MRHD on the basis of AUC) and valsartan at doses up to 600 mg/kg/day (0.86-fold the MRHD on the basis of AUC) indicate that treatment with sacubitril/valsartan during organogenesis, gestation and lactation may affect pup development and survival.</w:t>
      </w:r>
    </w:p>
    <w:p w14:paraId="5BDA83EE" w14:textId="77777777" w:rsidR="00FE47B1" w:rsidRPr="00FE47B1" w:rsidRDefault="00FE47B1" w:rsidP="00FE47B1">
      <w:pPr>
        <w:tabs>
          <w:tab w:val="left" w:pos="851"/>
        </w:tabs>
        <w:ind w:left="851"/>
        <w:rPr>
          <w:sz w:val="24"/>
          <w:szCs w:val="24"/>
          <w:lang w:val="en-US"/>
        </w:rPr>
      </w:pPr>
    </w:p>
    <w:p w14:paraId="690420C4" w14:textId="77777777" w:rsidR="00FE47B1" w:rsidRPr="00FE47B1" w:rsidRDefault="00FE47B1" w:rsidP="00FE47B1">
      <w:pPr>
        <w:tabs>
          <w:tab w:val="left" w:pos="851"/>
        </w:tabs>
        <w:ind w:left="851"/>
        <w:rPr>
          <w:sz w:val="24"/>
          <w:szCs w:val="24"/>
          <w:u w:val="single"/>
          <w:lang w:val="en-US"/>
        </w:rPr>
      </w:pPr>
      <w:r w:rsidRPr="00FE47B1">
        <w:rPr>
          <w:sz w:val="24"/>
          <w:szCs w:val="24"/>
          <w:u w:val="single"/>
          <w:lang w:val="en-US"/>
        </w:rPr>
        <w:t>Other preclinical findings</w:t>
      </w:r>
    </w:p>
    <w:p w14:paraId="5E6A0134" w14:textId="77777777" w:rsidR="00FE47B1" w:rsidRPr="00FE47B1" w:rsidRDefault="00FE47B1" w:rsidP="00FE47B1">
      <w:pPr>
        <w:tabs>
          <w:tab w:val="left" w:pos="851"/>
        </w:tabs>
        <w:ind w:left="851"/>
        <w:rPr>
          <w:sz w:val="24"/>
          <w:szCs w:val="24"/>
          <w:lang w:val="en-US"/>
        </w:rPr>
      </w:pPr>
    </w:p>
    <w:p w14:paraId="23BD075A" w14:textId="77777777" w:rsidR="00FE47B1" w:rsidRPr="00FE47B1" w:rsidRDefault="00FE47B1" w:rsidP="00FE47B1">
      <w:pPr>
        <w:tabs>
          <w:tab w:val="left" w:pos="851"/>
        </w:tabs>
        <w:ind w:left="851"/>
        <w:rPr>
          <w:i/>
          <w:iCs/>
          <w:sz w:val="24"/>
          <w:szCs w:val="24"/>
          <w:u w:val="single"/>
          <w:lang w:val="en-US"/>
        </w:rPr>
      </w:pPr>
      <w:r w:rsidRPr="00FE47B1">
        <w:rPr>
          <w:i/>
          <w:iCs/>
          <w:sz w:val="24"/>
          <w:szCs w:val="24"/>
          <w:u w:val="single"/>
          <w:lang w:val="en-US"/>
        </w:rPr>
        <w:t>Sacubitril/valsartan</w:t>
      </w:r>
    </w:p>
    <w:p w14:paraId="25CFCAE8" w14:textId="77777777" w:rsidR="00FE47B1" w:rsidRPr="00FE47B1" w:rsidRDefault="00FE47B1" w:rsidP="00FE47B1">
      <w:pPr>
        <w:tabs>
          <w:tab w:val="left" w:pos="851"/>
        </w:tabs>
        <w:ind w:left="851"/>
        <w:rPr>
          <w:sz w:val="24"/>
          <w:szCs w:val="24"/>
          <w:lang w:val="en-US"/>
        </w:rPr>
      </w:pPr>
      <w:r w:rsidRPr="00FE47B1">
        <w:rPr>
          <w:sz w:val="24"/>
          <w:szCs w:val="24"/>
          <w:lang w:val="en-US"/>
        </w:rPr>
        <w:t>The effects of sacubitril/valsartan on amyloid-β concentrations in CSF and brain tissue were assessed in young (2-4 years old) cynomolgus monkeys treated with sacubitril/valsartan (24 mg sacubitril/26 mg valsartan/kg/day) for two weeks. In this study CSF Aβ clearance in cynomolgus monkeys was reduced, increasing CSF Aβ1-40, 1-42 and 1-38 levels; there was no corresponding increase in Aβ levels in the brain. Increases in CSF Aβ1-40 and 1-42 were not observed in a two-week healthy volunteer study in humans (see section 5.1). Additionally, in a toxicology study in cynomolgus monkeys treated with sacubitril/valsartan at 146 mg sacubitril/154 mg valsartan/kg/day for 39 weeks, there was no evidence for the presence of amyloid plaques in the brain. Amyloid content was not, however, measured quantitatively in this study.</w:t>
      </w:r>
    </w:p>
    <w:p w14:paraId="2FA7FD80" w14:textId="77777777" w:rsidR="00FE47B1" w:rsidRPr="00FE47B1" w:rsidRDefault="00FE47B1" w:rsidP="00FE47B1">
      <w:pPr>
        <w:tabs>
          <w:tab w:val="left" w:pos="851"/>
        </w:tabs>
        <w:ind w:left="851"/>
        <w:rPr>
          <w:sz w:val="24"/>
          <w:szCs w:val="24"/>
          <w:lang w:val="en-US"/>
        </w:rPr>
      </w:pPr>
    </w:p>
    <w:p w14:paraId="5AB4DB75" w14:textId="77777777" w:rsidR="00FE47B1" w:rsidRPr="00FE47B1" w:rsidRDefault="00FE47B1" w:rsidP="00FE47B1">
      <w:pPr>
        <w:tabs>
          <w:tab w:val="left" w:pos="851"/>
        </w:tabs>
        <w:ind w:left="851"/>
        <w:rPr>
          <w:i/>
          <w:iCs/>
          <w:sz w:val="24"/>
          <w:szCs w:val="24"/>
          <w:u w:val="single"/>
          <w:lang w:val="en-US"/>
        </w:rPr>
      </w:pPr>
      <w:r w:rsidRPr="00FE47B1">
        <w:rPr>
          <w:i/>
          <w:iCs/>
          <w:sz w:val="24"/>
          <w:szCs w:val="24"/>
          <w:u w:val="single"/>
          <w:lang w:val="en-US"/>
        </w:rPr>
        <w:t>Sacubitril</w:t>
      </w:r>
    </w:p>
    <w:p w14:paraId="67540E0A" w14:textId="77777777" w:rsidR="00FE47B1" w:rsidRPr="00FE47B1" w:rsidRDefault="00FE47B1" w:rsidP="00FE47B1">
      <w:pPr>
        <w:tabs>
          <w:tab w:val="left" w:pos="851"/>
        </w:tabs>
        <w:ind w:left="851"/>
        <w:rPr>
          <w:sz w:val="24"/>
          <w:szCs w:val="24"/>
          <w:lang w:val="en-US"/>
        </w:rPr>
      </w:pPr>
      <w:r w:rsidRPr="00FE47B1">
        <w:rPr>
          <w:sz w:val="24"/>
          <w:szCs w:val="24"/>
          <w:lang w:val="en-US"/>
        </w:rPr>
        <w:t xml:space="preserve">In juvenile rats treated with sacubitril (postnatal days 7 to 70), there was a reduction in age-related bone mass development and bone elongation at approximately 2-fold the AUC exposure to the active metabolite of sacubitril, LBQ657, based on sacubitril/valsartan paediatric clinical dose of 3.1 mg/kg twice daily. The mechanism for these findings in juvenile rats, and consequently the relevance to the human paediatric population, is unknown. A study in adult rats showed only a minimal transient inhibitory effect on bone mineral density but not on any other parameters relevant for bone growth, suggesting no relevant effect of sacubitril on bone in adult patient populations under normal conditions. However, a mild transient interference of sacubitril with the early phase of fracture healing in adults cannot be excluded. Clinical data in paediatric patients (PANORAMA-HF study) did not show evidence that sacubitril/valsartan has an impact on body weight, height, head circumference and fracture rate. Bone density was not measured in the study. Long-term </w:t>
      </w:r>
      <w:r w:rsidRPr="00FE47B1">
        <w:rPr>
          <w:sz w:val="24"/>
          <w:szCs w:val="24"/>
          <w:lang w:val="en-US"/>
        </w:rPr>
        <w:lastRenderedPageBreak/>
        <w:t>data in paediatric patients (PANORAMA-HF OLE) showed no evidence of adverse effects of sacubitril/valsartan on (bone) growth or fracture rates.</w:t>
      </w:r>
    </w:p>
    <w:p w14:paraId="1EAB7D1C" w14:textId="77777777" w:rsidR="00FE47B1" w:rsidRPr="00FE47B1" w:rsidRDefault="00FE47B1" w:rsidP="00FE47B1">
      <w:pPr>
        <w:tabs>
          <w:tab w:val="left" w:pos="851"/>
        </w:tabs>
        <w:ind w:left="851"/>
        <w:rPr>
          <w:sz w:val="24"/>
          <w:szCs w:val="24"/>
          <w:lang w:val="en-US"/>
        </w:rPr>
      </w:pPr>
    </w:p>
    <w:p w14:paraId="33EB6F18" w14:textId="77777777" w:rsidR="00FE47B1" w:rsidRPr="00FE47B1" w:rsidRDefault="00FE47B1" w:rsidP="00FE47B1">
      <w:pPr>
        <w:tabs>
          <w:tab w:val="left" w:pos="851"/>
        </w:tabs>
        <w:ind w:left="851"/>
        <w:rPr>
          <w:i/>
          <w:iCs/>
          <w:sz w:val="24"/>
          <w:szCs w:val="24"/>
          <w:u w:val="single"/>
          <w:lang w:val="en-US"/>
        </w:rPr>
      </w:pPr>
      <w:r w:rsidRPr="00FE47B1">
        <w:rPr>
          <w:i/>
          <w:iCs/>
          <w:sz w:val="24"/>
          <w:szCs w:val="24"/>
          <w:u w:val="single"/>
          <w:lang w:val="en-US"/>
        </w:rPr>
        <w:t>Valsartan</w:t>
      </w:r>
    </w:p>
    <w:p w14:paraId="6A11AFFA" w14:textId="77777777" w:rsidR="00FE47B1" w:rsidRPr="00FE47B1" w:rsidRDefault="00FE47B1" w:rsidP="00FE47B1">
      <w:pPr>
        <w:tabs>
          <w:tab w:val="left" w:pos="851"/>
        </w:tabs>
        <w:ind w:left="851"/>
        <w:rPr>
          <w:sz w:val="24"/>
          <w:szCs w:val="24"/>
          <w:lang w:val="en-US"/>
        </w:rPr>
      </w:pPr>
      <w:r w:rsidRPr="00FE47B1">
        <w:rPr>
          <w:sz w:val="24"/>
          <w:szCs w:val="24"/>
          <w:lang w:val="en-US"/>
        </w:rPr>
        <w:t>In juvenile rats treated with valsartan (postnatal days 7 to 70), doses as low as 1 mg/kg/day produced persistent irreversible kidney changes consisting of tubular nephropathy (sometimes accompanied by tubular epithelial necrosis) and pelvic dilatation. These kidney changes represent an expected exaggerated pharmacological effect of angiotensin converting enzyme inhibitors and angiotensin II type 1 blockers; such effects are observed if rats are treated during the first 13 days of life. This period coincides with 36 weeks of gestation in humans, which could occasionally extend up to 44 weeks after conception in humans. Functional renal maturation is an ongoing process within the first year of life in humans. Consequently, a clinical relevance in paediatric patients less than 1 year of age cannot be excluded, while preclinical data do not indicate a safety concern for paediatric patients older than 1 year.</w:t>
      </w:r>
    </w:p>
    <w:p w14:paraId="4C39D6DD" w14:textId="77777777" w:rsidR="007C5D2A" w:rsidRPr="00FE47B1" w:rsidRDefault="007C5D2A" w:rsidP="003E0341">
      <w:pPr>
        <w:tabs>
          <w:tab w:val="left" w:pos="851"/>
        </w:tabs>
        <w:ind w:left="851"/>
        <w:rPr>
          <w:sz w:val="24"/>
          <w:szCs w:val="24"/>
          <w:lang w:val="en-US"/>
        </w:rPr>
      </w:pPr>
    </w:p>
    <w:p w14:paraId="61F4CCFA" w14:textId="77777777" w:rsidR="007C5D2A" w:rsidRPr="00303008" w:rsidRDefault="007C5D2A" w:rsidP="003E0341">
      <w:pPr>
        <w:tabs>
          <w:tab w:val="left" w:pos="851"/>
        </w:tabs>
        <w:ind w:left="851"/>
        <w:rPr>
          <w:sz w:val="24"/>
          <w:szCs w:val="24"/>
          <w:lang w:val="en-GB"/>
        </w:rPr>
      </w:pPr>
    </w:p>
    <w:p w14:paraId="076873DB" w14:textId="77777777" w:rsidR="007C5D2A" w:rsidRPr="00303008" w:rsidRDefault="009925C9" w:rsidP="007C5D2A">
      <w:pPr>
        <w:ind w:left="851" w:hanging="851"/>
        <w:rPr>
          <w:b/>
          <w:sz w:val="24"/>
          <w:szCs w:val="24"/>
          <w:lang w:val="en-GB"/>
        </w:rPr>
      </w:pPr>
      <w:r w:rsidRPr="00303008">
        <w:rPr>
          <w:b/>
          <w:sz w:val="24"/>
          <w:szCs w:val="24"/>
          <w:lang w:val="en-GB"/>
        </w:rPr>
        <w:t>6.</w:t>
      </w:r>
      <w:r w:rsidR="007C5D2A" w:rsidRPr="00303008">
        <w:rPr>
          <w:b/>
          <w:sz w:val="24"/>
          <w:szCs w:val="24"/>
          <w:lang w:val="en-GB"/>
        </w:rPr>
        <w:tab/>
        <w:t>PHARMACEUTICAL PARTICULARS</w:t>
      </w:r>
    </w:p>
    <w:p w14:paraId="4D3154A7" w14:textId="77777777" w:rsidR="007C5D2A" w:rsidRPr="00303008" w:rsidRDefault="007C5D2A" w:rsidP="003E0341">
      <w:pPr>
        <w:tabs>
          <w:tab w:val="left" w:pos="851"/>
        </w:tabs>
        <w:ind w:left="851"/>
        <w:rPr>
          <w:sz w:val="24"/>
          <w:szCs w:val="24"/>
          <w:lang w:val="en-GB"/>
        </w:rPr>
      </w:pPr>
    </w:p>
    <w:p w14:paraId="78895811" w14:textId="77777777" w:rsidR="007C5D2A" w:rsidRPr="00303008" w:rsidRDefault="007C5D2A" w:rsidP="007C5D2A">
      <w:pPr>
        <w:ind w:left="851" w:hanging="851"/>
        <w:rPr>
          <w:b/>
          <w:sz w:val="24"/>
          <w:szCs w:val="24"/>
          <w:lang w:val="en-GB"/>
        </w:rPr>
      </w:pPr>
      <w:r w:rsidRPr="00303008">
        <w:rPr>
          <w:b/>
          <w:sz w:val="24"/>
          <w:szCs w:val="24"/>
          <w:lang w:val="en-GB"/>
        </w:rPr>
        <w:t>6.1</w:t>
      </w:r>
      <w:r w:rsidRPr="00303008">
        <w:rPr>
          <w:b/>
          <w:sz w:val="24"/>
          <w:szCs w:val="24"/>
          <w:lang w:val="en-GB"/>
        </w:rPr>
        <w:tab/>
        <w:t>List of excipients</w:t>
      </w:r>
    </w:p>
    <w:p w14:paraId="7EAD1804" w14:textId="77777777" w:rsidR="00D50C79" w:rsidRDefault="00D50C79" w:rsidP="00D50C79">
      <w:pPr>
        <w:tabs>
          <w:tab w:val="left" w:pos="851"/>
        </w:tabs>
        <w:ind w:left="851"/>
        <w:rPr>
          <w:sz w:val="24"/>
          <w:szCs w:val="24"/>
          <w:u w:val="single"/>
          <w:lang w:val="en-US"/>
        </w:rPr>
      </w:pPr>
    </w:p>
    <w:p w14:paraId="6E3D6E27" w14:textId="4B4DB1DC" w:rsidR="00D50C79" w:rsidRPr="00D50C79" w:rsidRDefault="00D50C79" w:rsidP="00D50C79">
      <w:pPr>
        <w:tabs>
          <w:tab w:val="left" w:pos="851"/>
        </w:tabs>
        <w:ind w:left="851"/>
        <w:rPr>
          <w:sz w:val="24"/>
          <w:szCs w:val="24"/>
          <w:u w:val="single"/>
          <w:lang w:val="en-US"/>
        </w:rPr>
      </w:pPr>
      <w:r w:rsidRPr="00D50C79">
        <w:rPr>
          <w:sz w:val="24"/>
          <w:szCs w:val="24"/>
          <w:u w:val="single"/>
          <w:lang w:val="en-US"/>
        </w:rPr>
        <w:t>Tablet core</w:t>
      </w:r>
    </w:p>
    <w:p w14:paraId="364711EA" w14:textId="77777777" w:rsidR="00D50C79" w:rsidRPr="00D50C79" w:rsidRDefault="00D50C79" w:rsidP="00D50C79">
      <w:pPr>
        <w:tabs>
          <w:tab w:val="left" w:pos="851"/>
        </w:tabs>
        <w:ind w:left="851"/>
        <w:rPr>
          <w:sz w:val="24"/>
          <w:szCs w:val="24"/>
          <w:lang w:val="en-US"/>
        </w:rPr>
      </w:pPr>
      <w:r w:rsidRPr="00D50C79">
        <w:rPr>
          <w:sz w:val="24"/>
          <w:szCs w:val="24"/>
          <w:lang w:val="en-US"/>
        </w:rPr>
        <w:t>Microcrystalline cellulose</w:t>
      </w:r>
    </w:p>
    <w:p w14:paraId="5F8709AF" w14:textId="77777777" w:rsidR="00D50C79" w:rsidRPr="00D50C79" w:rsidRDefault="00D50C79" w:rsidP="00D50C79">
      <w:pPr>
        <w:tabs>
          <w:tab w:val="left" w:pos="851"/>
        </w:tabs>
        <w:ind w:left="851"/>
        <w:rPr>
          <w:sz w:val="24"/>
          <w:szCs w:val="24"/>
          <w:lang w:val="en-US"/>
        </w:rPr>
      </w:pPr>
      <w:r w:rsidRPr="00D50C79">
        <w:rPr>
          <w:sz w:val="24"/>
          <w:szCs w:val="24"/>
          <w:lang w:val="en-US"/>
        </w:rPr>
        <w:t>Crospovidone</w:t>
      </w:r>
    </w:p>
    <w:p w14:paraId="5A8B69F2" w14:textId="77777777" w:rsidR="00D50C79" w:rsidRPr="00D50C79" w:rsidRDefault="00D50C79" w:rsidP="00D50C79">
      <w:pPr>
        <w:tabs>
          <w:tab w:val="left" w:pos="851"/>
        </w:tabs>
        <w:ind w:left="851"/>
        <w:rPr>
          <w:sz w:val="24"/>
          <w:szCs w:val="24"/>
          <w:lang w:val="en-US"/>
        </w:rPr>
      </w:pPr>
      <w:r w:rsidRPr="00D50C79">
        <w:rPr>
          <w:sz w:val="24"/>
          <w:szCs w:val="24"/>
          <w:lang w:val="en-US"/>
        </w:rPr>
        <w:t>Talc</w:t>
      </w:r>
    </w:p>
    <w:p w14:paraId="316C4DEB" w14:textId="77777777" w:rsidR="00D50C79" w:rsidRPr="00D50C79" w:rsidRDefault="00D50C79" w:rsidP="00D50C79">
      <w:pPr>
        <w:tabs>
          <w:tab w:val="left" w:pos="851"/>
        </w:tabs>
        <w:ind w:left="851"/>
        <w:rPr>
          <w:sz w:val="24"/>
          <w:szCs w:val="24"/>
          <w:lang w:val="en-US"/>
        </w:rPr>
      </w:pPr>
      <w:r w:rsidRPr="00D50C79">
        <w:rPr>
          <w:sz w:val="24"/>
          <w:szCs w:val="24"/>
          <w:lang w:val="en-US"/>
        </w:rPr>
        <w:t>Silica colloidal anhydrous</w:t>
      </w:r>
    </w:p>
    <w:p w14:paraId="22F60485" w14:textId="77777777" w:rsidR="00D50C79" w:rsidRPr="00D50C79" w:rsidRDefault="00D50C79" w:rsidP="00D50C79">
      <w:pPr>
        <w:tabs>
          <w:tab w:val="left" w:pos="851"/>
        </w:tabs>
        <w:ind w:left="851"/>
        <w:rPr>
          <w:sz w:val="24"/>
          <w:szCs w:val="24"/>
          <w:lang w:val="en-US"/>
        </w:rPr>
      </w:pPr>
      <w:r w:rsidRPr="00D50C79">
        <w:rPr>
          <w:sz w:val="24"/>
          <w:szCs w:val="24"/>
          <w:lang w:val="en-US"/>
        </w:rPr>
        <w:t>Magnesium stearate</w:t>
      </w:r>
    </w:p>
    <w:p w14:paraId="5318151E" w14:textId="77777777" w:rsidR="00D50C79" w:rsidRPr="00D50C79" w:rsidRDefault="00D50C79" w:rsidP="00D50C79">
      <w:pPr>
        <w:tabs>
          <w:tab w:val="left" w:pos="851"/>
        </w:tabs>
        <w:ind w:left="851"/>
        <w:rPr>
          <w:sz w:val="24"/>
          <w:szCs w:val="24"/>
          <w:lang w:val="en-US"/>
        </w:rPr>
      </w:pPr>
    </w:p>
    <w:p w14:paraId="5DEEFF95" w14:textId="77777777" w:rsidR="00D50C79" w:rsidRPr="00D50C79" w:rsidRDefault="00D50C79" w:rsidP="00D50C79">
      <w:pPr>
        <w:tabs>
          <w:tab w:val="left" w:pos="851"/>
        </w:tabs>
        <w:ind w:left="851"/>
        <w:rPr>
          <w:sz w:val="24"/>
          <w:szCs w:val="24"/>
          <w:u w:val="single"/>
          <w:lang w:val="en-US"/>
        </w:rPr>
      </w:pPr>
      <w:r w:rsidRPr="00D50C79">
        <w:rPr>
          <w:sz w:val="24"/>
          <w:szCs w:val="24"/>
          <w:u w:val="single"/>
          <w:lang w:val="en-US"/>
        </w:rPr>
        <w:t>Film coat</w:t>
      </w:r>
    </w:p>
    <w:p w14:paraId="34CFCF3F" w14:textId="77777777" w:rsidR="00D50C79" w:rsidRPr="00D50C79" w:rsidRDefault="00D50C79" w:rsidP="00D50C79">
      <w:pPr>
        <w:tabs>
          <w:tab w:val="left" w:pos="851"/>
        </w:tabs>
        <w:ind w:left="851"/>
        <w:rPr>
          <w:sz w:val="24"/>
          <w:szCs w:val="24"/>
          <w:u w:val="single"/>
          <w:lang w:val="en-US"/>
        </w:rPr>
      </w:pPr>
    </w:p>
    <w:p w14:paraId="234E6EBE" w14:textId="77777777" w:rsidR="00D50C79" w:rsidRPr="00D50C79" w:rsidRDefault="00D50C79" w:rsidP="00D50C79">
      <w:pPr>
        <w:tabs>
          <w:tab w:val="left" w:pos="851"/>
        </w:tabs>
        <w:ind w:left="851"/>
        <w:rPr>
          <w:i/>
          <w:iCs/>
          <w:sz w:val="24"/>
          <w:szCs w:val="24"/>
          <w:u w:val="single"/>
          <w:lang w:val="en-US"/>
        </w:rPr>
      </w:pPr>
      <w:r w:rsidRPr="00D50C79">
        <w:rPr>
          <w:i/>
          <w:iCs/>
          <w:sz w:val="24"/>
          <w:szCs w:val="24"/>
          <w:u w:val="single"/>
          <w:lang w:val="en-US"/>
        </w:rPr>
        <w:t>Bitrisal 24 mg/26 mg film-coated tablets</w:t>
      </w:r>
    </w:p>
    <w:p w14:paraId="12FB341C" w14:textId="77777777" w:rsidR="00D50C79" w:rsidRPr="00D50C79" w:rsidRDefault="00D50C79" w:rsidP="00D50C79">
      <w:pPr>
        <w:tabs>
          <w:tab w:val="left" w:pos="851"/>
        </w:tabs>
        <w:ind w:left="851"/>
        <w:rPr>
          <w:sz w:val="24"/>
          <w:szCs w:val="24"/>
        </w:rPr>
      </w:pPr>
      <w:r w:rsidRPr="00D50C79">
        <w:rPr>
          <w:sz w:val="24"/>
          <w:szCs w:val="24"/>
        </w:rPr>
        <w:t xml:space="preserve">Hypromellose  (E464) </w:t>
      </w:r>
    </w:p>
    <w:p w14:paraId="4A0ADBC8" w14:textId="77777777" w:rsidR="00D50C79" w:rsidRPr="00D50C79" w:rsidRDefault="00D50C79" w:rsidP="00D50C79">
      <w:pPr>
        <w:tabs>
          <w:tab w:val="left" w:pos="851"/>
        </w:tabs>
        <w:ind w:left="851"/>
        <w:rPr>
          <w:sz w:val="24"/>
          <w:szCs w:val="24"/>
        </w:rPr>
      </w:pPr>
      <w:r w:rsidRPr="00D50C79">
        <w:rPr>
          <w:sz w:val="24"/>
          <w:szCs w:val="24"/>
        </w:rPr>
        <w:t>Titanium dioxide (E171)</w:t>
      </w:r>
    </w:p>
    <w:p w14:paraId="1D9E57AF" w14:textId="77777777" w:rsidR="00D50C79" w:rsidRPr="00D50C79" w:rsidRDefault="00D50C79" w:rsidP="00D50C79">
      <w:pPr>
        <w:tabs>
          <w:tab w:val="left" w:pos="851"/>
        </w:tabs>
        <w:ind w:left="851"/>
        <w:rPr>
          <w:sz w:val="24"/>
          <w:szCs w:val="24"/>
          <w:lang w:val="en-US"/>
        </w:rPr>
      </w:pPr>
      <w:r w:rsidRPr="00D50C79">
        <w:rPr>
          <w:sz w:val="24"/>
          <w:szCs w:val="24"/>
          <w:lang w:val="en-US"/>
        </w:rPr>
        <w:t xml:space="preserve">Magrogol  (E1521) </w:t>
      </w:r>
    </w:p>
    <w:p w14:paraId="5E9687C0" w14:textId="77777777" w:rsidR="00D50C79" w:rsidRPr="00D50C79" w:rsidRDefault="00D50C79" w:rsidP="00D50C79">
      <w:pPr>
        <w:tabs>
          <w:tab w:val="left" w:pos="851"/>
        </w:tabs>
        <w:ind w:left="851"/>
        <w:rPr>
          <w:sz w:val="24"/>
          <w:szCs w:val="24"/>
          <w:lang w:val="en-US"/>
        </w:rPr>
      </w:pPr>
      <w:r w:rsidRPr="00D50C79">
        <w:rPr>
          <w:sz w:val="24"/>
          <w:szCs w:val="24"/>
          <w:lang w:val="en-US"/>
        </w:rPr>
        <w:t xml:space="preserve">Talc (E553b) </w:t>
      </w:r>
    </w:p>
    <w:p w14:paraId="4FE2ACE9" w14:textId="77777777" w:rsidR="00D50C79" w:rsidRPr="00D50C79" w:rsidRDefault="00D50C79" w:rsidP="00D50C79">
      <w:pPr>
        <w:tabs>
          <w:tab w:val="left" w:pos="851"/>
        </w:tabs>
        <w:ind w:left="851"/>
        <w:rPr>
          <w:sz w:val="24"/>
          <w:szCs w:val="24"/>
          <w:lang w:val="en-US"/>
        </w:rPr>
      </w:pPr>
      <w:r w:rsidRPr="00D50C79">
        <w:rPr>
          <w:sz w:val="24"/>
          <w:szCs w:val="24"/>
          <w:lang w:val="en-US"/>
        </w:rPr>
        <w:t>Iron oxide red (E172)</w:t>
      </w:r>
    </w:p>
    <w:p w14:paraId="46105085" w14:textId="77777777" w:rsidR="00D50C79" w:rsidRPr="00D50C79" w:rsidRDefault="00D50C79" w:rsidP="00D50C79">
      <w:pPr>
        <w:tabs>
          <w:tab w:val="left" w:pos="851"/>
        </w:tabs>
        <w:ind w:left="851"/>
        <w:rPr>
          <w:sz w:val="24"/>
          <w:szCs w:val="24"/>
          <w:lang w:val="en-US"/>
        </w:rPr>
      </w:pPr>
      <w:r w:rsidRPr="00D50C79">
        <w:rPr>
          <w:sz w:val="24"/>
          <w:szCs w:val="24"/>
          <w:lang w:val="en-US"/>
        </w:rPr>
        <w:t>Iron oxide black (E172)</w:t>
      </w:r>
    </w:p>
    <w:p w14:paraId="7AEDCB0A" w14:textId="77777777" w:rsidR="00D50C79" w:rsidRPr="00D50C79" w:rsidRDefault="00D50C79" w:rsidP="00D50C79">
      <w:pPr>
        <w:tabs>
          <w:tab w:val="left" w:pos="851"/>
        </w:tabs>
        <w:ind w:left="851"/>
        <w:rPr>
          <w:sz w:val="24"/>
          <w:szCs w:val="24"/>
          <w:lang w:val="en-US"/>
        </w:rPr>
      </w:pPr>
    </w:p>
    <w:p w14:paraId="0F933ED7" w14:textId="77777777" w:rsidR="00D50C79" w:rsidRPr="00D50C79" w:rsidRDefault="00D50C79" w:rsidP="00D50C79">
      <w:pPr>
        <w:tabs>
          <w:tab w:val="left" w:pos="851"/>
        </w:tabs>
        <w:ind w:left="851"/>
        <w:rPr>
          <w:i/>
          <w:iCs/>
          <w:sz w:val="24"/>
          <w:szCs w:val="24"/>
          <w:u w:val="single"/>
          <w:lang w:val="en-US"/>
        </w:rPr>
      </w:pPr>
      <w:r w:rsidRPr="00D50C79">
        <w:rPr>
          <w:i/>
          <w:iCs/>
          <w:sz w:val="24"/>
          <w:szCs w:val="24"/>
          <w:u w:val="single"/>
          <w:lang w:val="en-US"/>
        </w:rPr>
        <w:t>Bitrisal 49 mg/51 mg film-coated tablets</w:t>
      </w:r>
    </w:p>
    <w:p w14:paraId="1EDE697E" w14:textId="77777777" w:rsidR="00D50C79" w:rsidRPr="00D50C79" w:rsidRDefault="00D50C79" w:rsidP="00D50C79">
      <w:pPr>
        <w:tabs>
          <w:tab w:val="left" w:pos="851"/>
        </w:tabs>
        <w:ind w:left="851"/>
        <w:rPr>
          <w:sz w:val="24"/>
          <w:szCs w:val="24"/>
        </w:rPr>
      </w:pPr>
      <w:r w:rsidRPr="00D50C79">
        <w:rPr>
          <w:sz w:val="24"/>
          <w:szCs w:val="24"/>
        </w:rPr>
        <w:t xml:space="preserve">Hypromellose (E464) </w:t>
      </w:r>
    </w:p>
    <w:p w14:paraId="5581C0C4" w14:textId="77777777" w:rsidR="00D50C79" w:rsidRPr="00D50C79" w:rsidRDefault="00D50C79" w:rsidP="00D50C79">
      <w:pPr>
        <w:tabs>
          <w:tab w:val="left" w:pos="851"/>
        </w:tabs>
        <w:ind w:left="851"/>
        <w:rPr>
          <w:sz w:val="24"/>
          <w:szCs w:val="24"/>
        </w:rPr>
      </w:pPr>
      <w:r w:rsidRPr="00D50C79">
        <w:rPr>
          <w:sz w:val="24"/>
          <w:szCs w:val="24"/>
        </w:rPr>
        <w:t>Titanium dioxide (E171)</w:t>
      </w:r>
    </w:p>
    <w:p w14:paraId="6DCD0FAB" w14:textId="77777777" w:rsidR="00D50C79" w:rsidRPr="00D50C79" w:rsidRDefault="00D50C79" w:rsidP="00D50C79">
      <w:pPr>
        <w:tabs>
          <w:tab w:val="left" w:pos="851"/>
        </w:tabs>
        <w:ind w:left="851"/>
        <w:rPr>
          <w:sz w:val="24"/>
          <w:szCs w:val="24"/>
          <w:lang w:val="en-US"/>
        </w:rPr>
      </w:pPr>
      <w:r w:rsidRPr="00D50C79">
        <w:rPr>
          <w:sz w:val="24"/>
          <w:szCs w:val="24"/>
          <w:lang w:val="en-US"/>
        </w:rPr>
        <w:t xml:space="preserve">Magrogol  (E1521) </w:t>
      </w:r>
    </w:p>
    <w:p w14:paraId="6EDF059C" w14:textId="77777777" w:rsidR="00D50C79" w:rsidRPr="00D50C79" w:rsidRDefault="00D50C79" w:rsidP="00D50C79">
      <w:pPr>
        <w:tabs>
          <w:tab w:val="left" w:pos="851"/>
        </w:tabs>
        <w:ind w:left="851"/>
        <w:rPr>
          <w:sz w:val="24"/>
          <w:szCs w:val="24"/>
          <w:lang w:val="en-US"/>
        </w:rPr>
      </w:pPr>
      <w:r w:rsidRPr="00D50C79">
        <w:rPr>
          <w:sz w:val="24"/>
          <w:szCs w:val="24"/>
          <w:lang w:val="en-US"/>
        </w:rPr>
        <w:t xml:space="preserve">Talc (E553b) </w:t>
      </w:r>
    </w:p>
    <w:p w14:paraId="7CE7207D" w14:textId="77777777" w:rsidR="00D50C79" w:rsidRPr="00D50C79" w:rsidRDefault="00D50C79" w:rsidP="00D50C79">
      <w:pPr>
        <w:tabs>
          <w:tab w:val="left" w:pos="851"/>
        </w:tabs>
        <w:ind w:left="851"/>
        <w:rPr>
          <w:sz w:val="24"/>
          <w:szCs w:val="24"/>
          <w:lang w:val="en-US"/>
        </w:rPr>
      </w:pPr>
      <w:r w:rsidRPr="00D50C79">
        <w:rPr>
          <w:sz w:val="24"/>
          <w:szCs w:val="24"/>
          <w:lang w:val="en-US"/>
        </w:rPr>
        <w:t>Iron oxide yellow (E172)</w:t>
      </w:r>
    </w:p>
    <w:p w14:paraId="49D64E20" w14:textId="77777777" w:rsidR="00D50C79" w:rsidRPr="00D50C79" w:rsidRDefault="00D50C79" w:rsidP="00D50C79">
      <w:pPr>
        <w:tabs>
          <w:tab w:val="left" w:pos="851"/>
        </w:tabs>
        <w:ind w:left="851"/>
        <w:rPr>
          <w:sz w:val="24"/>
          <w:szCs w:val="24"/>
          <w:lang w:val="en-US"/>
        </w:rPr>
      </w:pPr>
      <w:r w:rsidRPr="00D50C79">
        <w:rPr>
          <w:sz w:val="24"/>
          <w:szCs w:val="24"/>
          <w:lang w:val="en-US"/>
        </w:rPr>
        <w:t>Iron oxide red (E172)</w:t>
      </w:r>
    </w:p>
    <w:p w14:paraId="3D7FFF10" w14:textId="77777777" w:rsidR="00D50C79" w:rsidRPr="00D50C79" w:rsidRDefault="00D50C79" w:rsidP="00D50C79">
      <w:pPr>
        <w:tabs>
          <w:tab w:val="left" w:pos="851"/>
        </w:tabs>
        <w:ind w:left="851"/>
        <w:rPr>
          <w:sz w:val="24"/>
          <w:szCs w:val="24"/>
          <w:lang w:val="en-US"/>
        </w:rPr>
      </w:pPr>
    </w:p>
    <w:p w14:paraId="7268CFB1" w14:textId="77777777" w:rsidR="00D50C79" w:rsidRPr="00D50C79" w:rsidRDefault="00D50C79" w:rsidP="00D50C79">
      <w:pPr>
        <w:tabs>
          <w:tab w:val="left" w:pos="851"/>
        </w:tabs>
        <w:ind w:left="851"/>
        <w:rPr>
          <w:i/>
          <w:iCs/>
          <w:sz w:val="24"/>
          <w:szCs w:val="24"/>
          <w:u w:val="single"/>
          <w:lang w:val="en-US"/>
        </w:rPr>
      </w:pPr>
      <w:r w:rsidRPr="00D50C79">
        <w:rPr>
          <w:i/>
          <w:iCs/>
          <w:sz w:val="24"/>
          <w:szCs w:val="24"/>
          <w:u w:val="single"/>
          <w:lang w:val="en-US"/>
        </w:rPr>
        <w:t>Bitrisal 97 mg/103 mg film-coated tablets</w:t>
      </w:r>
    </w:p>
    <w:p w14:paraId="39F4B30F" w14:textId="77777777" w:rsidR="00D50C79" w:rsidRPr="00D50C79" w:rsidRDefault="00D50C79" w:rsidP="00D50C79">
      <w:pPr>
        <w:tabs>
          <w:tab w:val="left" w:pos="851"/>
        </w:tabs>
        <w:ind w:left="851"/>
        <w:rPr>
          <w:sz w:val="24"/>
          <w:szCs w:val="24"/>
        </w:rPr>
      </w:pPr>
      <w:r w:rsidRPr="00D50C79">
        <w:rPr>
          <w:sz w:val="24"/>
          <w:szCs w:val="24"/>
        </w:rPr>
        <w:t xml:space="preserve">Hypromellose (E464) </w:t>
      </w:r>
    </w:p>
    <w:p w14:paraId="7B8626BB" w14:textId="77777777" w:rsidR="00D50C79" w:rsidRPr="00D50C79" w:rsidRDefault="00D50C79" w:rsidP="00D50C79">
      <w:pPr>
        <w:tabs>
          <w:tab w:val="left" w:pos="851"/>
        </w:tabs>
        <w:ind w:left="851"/>
        <w:rPr>
          <w:sz w:val="24"/>
          <w:szCs w:val="24"/>
        </w:rPr>
      </w:pPr>
      <w:r w:rsidRPr="00D50C79">
        <w:rPr>
          <w:sz w:val="24"/>
          <w:szCs w:val="24"/>
        </w:rPr>
        <w:t>Titanium dioxide (E171)</w:t>
      </w:r>
    </w:p>
    <w:p w14:paraId="6488BD6E" w14:textId="77777777" w:rsidR="00D50C79" w:rsidRPr="00D50C79" w:rsidRDefault="00D50C79" w:rsidP="00D50C79">
      <w:pPr>
        <w:tabs>
          <w:tab w:val="left" w:pos="851"/>
        </w:tabs>
        <w:ind w:left="851"/>
        <w:rPr>
          <w:sz w:val="24"/>
          <w:szCs w:val="24"/>
          <w:lang w:val="en-US"/>
        </w:rPr>
      </w:pPr>
      <w:r w:rsidRPr="00D50C79">
        <w:rPr>
          <w:sz w:val="24"/>
          <w:szCs w:val="24"/>
          <w:lang w:val="en-US"/>
        </w:rPr>
        <w:t xml:space="preserve">Magrogol  (E1521) </w:t>
      </w:r>
    </w:p>
    <w:p w14:paraId="6CD81B92" w14:textId="77777777" w:rsidR="00D50C79" w:rsidRPr="00D50C79" w:rsidRDefault="00D50C79" w:rsidP="00D50C79">
      <w:pPr>
        <w:tabs>
          <w:tab w:val="left" w:pos="851"/>
        </w:tabs>
        <w:ind w:left="851"/>
        <w:rPr>
          <w:sz w:val="24"/>
          <w:szCs w:val="24"/>
          <w:lang w:val="en-US"/>
        </w:rPr>
      </w:pPr>
      <w:r w:rsidRPr="00D50C79">
        <w:rPr>
          <w:sz w:val="24"/>
          <w:szCs w:val="24"/>
          <w:lang w:val="en-US"/>
        </w:rPr>
        <w:t xml:space="preserve">Talc (E553b) </w:t>
      </w:r>
    </w:p>
    <w:p w14:paraId="39A69E7C" w14:textId="77777777" w:rsidR="00D50C79" w:rsidRPr="00D50C79" w:rsidRDefault="00D50C79" w:rsidP="00D50C79">
      <w:pPr>
        <w:tabs>
          <w:tab w:val="left" w:pos="851"/>
        </w:tabs>
        <w:ind w:left="851"/>
        <w:rPr>
          <w:sz w:val="24"/>
          <w:szCs w:val="24"/>
          <w:lang w:val="en-US"/>
        </w:rPr>
      </w:pPr>
      <w:r w:rsidRPr="00D50C79">
        <w:rPr>
          <w:sz w:val="24"/>
          <w:szCs w:val="24"/>
          <w:lang w:val="en-US"/>
        </w:rPr>
        <w:lastRenderedPageBreak/>
        <w:t>Iron oxide red (E172)</w:t>
      </w:r>
    </w:p>
    <w:p w14:paraId="481ACAFF" w14:textId="77777777" w:rsidR="00D50C79" w:rsidRPr="00D50C79" w:rsidRDefault="00D50C79" w:rsidP="00D50C79">
      <w:pPr>
        <w:tabs>
          <w:tab w:val="left" w:pos="851"/>
        </w:tabs>
        <w:ind w:left="851"/>
        <w:rPr>
          <w:sz w:val="24"/>
          <w:szCs w:val="24"/>
          <w:lang w:val="en-US"/>
        </w:rPr>
      </w:pPr>
      <w:r w:rsidRPr="00D50C79">
        <w:rPr>
          <w:sz w:val="24"/>
          <w:szCs w:val="24"/>
          <w:lang w:val="en-US"/>
        </w:rPr>
        <w:t>Iron oxide black (E172)</w:t>
      </w:r>
    </w:p>
    <w:p w14:paraId="6E3DC717" w14:textId="77777777" w:rsidR="007C5D2A" w:rsidRPr="00D50C79" w:rsidRDefault="007C5D2A" w:rsidP="003D727E">
      <w:pPr>
        <w:tabs>
          <w:tab w:val="left" w:pos="851"/>
        </w:tabs>
        <w:ind w:left="851"/>
        <w:rPr>
          <w:sz w:val="24"/>
          <w:szCs w:val="24"/>
          <w:lang w:val="en-US"/>
        </w:rPr>
      </w:pPr>
    </w:p>
    <w:p w14:paraId="530BC07B" w14:textId="77777777" w:rsidR="007C5D2A" w:rsidRPr="00303008" w:rsidRDefault="007C5D2A" w:rsidP="007C5D2A">
      <w:pPr>
        <w:ind w:left="851" w:hanging="851"/>
        <w:rPr>
          <w:b/>
          <w:sz w:val="24"/>
          <w:szCs w:val="24"/>
          <w:lang w:val="en-GB"/>
        </w:rPr>
      </w:pPr>
      <w:r w:rsidRPr="00303008">
        <w:rPr>
          <w:b/>
          <w:sz w:val="24"/>
          <w:szCs w:val="24"/>
          <w:lang w:val="en-GB"/>
        </w:rPr>
        <w:t>6.2</w:t>
      </w:r>
      <w:r w:rsidRPr="00303008">
        <w:rPr>
          <w:b/>
          <w:sz w:val="24"/>
          <w:szCs w:val="24"/>
          <w:lang w:val="en-GB"/>
        </w:rPr>
        <w:tab/>
        <w:t>Incompatibilities</w:t>
      </w:r>
    </w:p>
    <w:p w14:paraId="1DD8ADC0" w14:textId="77777777" w:rsidR="00D50C79" w:rsidRPr="00D50C79" w:rsidRDefault="00D50C79" w:rsidP="00D50C79">
      <w:pPr>
        <w:tabs>
          <w:tab w:val="left" w:pos="851"/>
        </w:tabs>
        <w:ind w:left="851"/>
        <w:rPr>
          <w:sz w:val="24"/>
          <w:szCs w:val="24"/>
          <w:lang w:val="en-US"/>
        </w:rPr>
      </w:pPr>
      <w:r w:rsidRPr="00D50C79">
        <w:rPr>
          <w:sz w:val="24"/>
          <w:szCs w:val="24"/>
          <w:lang w:val="en-US"/>
        </w:rPr>
        <w:t>Not applicable.</w:t>
      </w:r>
    </w:p>
    <w:p w14:paraId="3A6FD6A1" w14:textId="77777777" w:rsidR="007C5D2A" w:rsidRPr="00303008" w:rsidRDefault="007C5D2A" w:rsidP="003E0341">
      <w:pPr>
        <w:tabs>
          <w:tab w:val="left" w:pos="851"/>
        </w:tabs>
        <w:ind w:left="851"/>
        <w:rPr>
          <w:sz w:val="24"/>
          <w:szCs w:val="24"/>
          <w:lang w:val="en-GB"/>
        </w:rPr>
      </w:pPr>
    </w:p>
    <w:p w14:paraId="6F89B314" w14:textId="77777777" w:rsidR="007C5D2A" w:rsidRPr="00303008" w:rsidRDefault="007C5D2A" w:rsidP="007C5D2A">
      <w:pPr>
        <w:ind w:left="851" w:hanging="851"/>
        <w:rPr>
          <w:b/>
          <w:sz w:val="24"/>
          <w:szCs w:val="24"/>
          <w:lang w:val="en-GB"/>
        </w:rPr>
      </w:pPr>
      <w:r w:rsidRPr="00303008">
        <w:rPr>
          <w:b/>
          <w:sz w:val="24"/>
          <w:szCs w:val="24"/>
          <w:lang w:val="en-GB"/>
        </w:rPr>
        <w:t>6.3</w:t>
      </w:r>
      <w:r w:rsidRPr="00303008">
        <w:rPr>
          <w:b/>
          <w:sz w:val="24"/>
          <w:szCs w:val="24"/>
          <w:lang w:val="en-GB"/>
        </w:rPr>
        <w:tab/>
        <w:t>Shelf</w:t>
      </w:r>
      <w:r w:rsidR="00B45DC5">
        <w:rPr>
          <w:b/>
          <w:sz w:val="24"/>
          <w:szCs w:val="24"/>
          <w:lang w:val="en-GB"/>
        </w:rPr>
        <w:t xml:space="preserve"> </w:t>
      </w:r>
      <w:r w:rsidRPr="00303008">
        <w:rPr>
          <w:b/>
          <w:sz w:val="24"/>
          <w:szCs w:val="24"/>
          <w:lang w:val="en-GB"/>
        </w:rPr>
        <w:t>life</w:t>
      </w:r>
    </w:p>
    <w:p w14:paraId="35A4B625" w14:textId="5639FB3C" w:rsidR="00D50C79" w:rsidRPr="00D50C79" w:rsidRDefault="00454BC9" w:rsidP="00D50C79">
      <w:pPr>
        <w:tabs>
          <w:tab w:val="left" w:pos="851"/>
        </w:tabs>
        <w:ind w:left="851"/>
        <w:rPr>
          <w:sz w:val="24"/>
          <w:szCs w:val="24"/>
          <w:lang w:val="en-US"/>
        </w:rPr>
      </w:pPr>
      <w:r>
        <w:rPr>
          <w:sz w:val="24"/>
          <w:szCs w:val="24"/>
          <w:lang w:val="en-US"/>
        </w:rPr>
        <w:t>3 years.</w:t>
      </w:r>
    </w:p>
    <w:p w14:paraId="1977567C" w14:textId="77777777" w:rsidR="007C5D2A" w:rsidRPr="00D50C79" w:rsidRDefault="007C5D2A" w:rsidP="003E0341">
      <w:pPr>
        <w:tabs>
          <w:tab w:val="left" w:pos="851"/>
        </w:tabs>
        <w:ind w:left="851"/>
        <w:rPr>
          <w:sz w:val="24"/>
          <w:szCs w:val="24"/>
          <w:lang w:val="en-US"/>
        </w:rPr>
      </w:pPr>
    </w:p>
    <w:p w14:paraId="123D870D" w14:textId="77777777" w:rsidR="007C5D2A" w:rsidRPr="00303008" w:rsidRDefault="007C5D2A" w:rsidP="007C5D2A">
      <w:pPr>
        <w:ind w:left="851" w:hanging="851"/>
        <w:rPr>
          <w:b/>
          <w:sz w:val="24"/>
          <w:szCs w:val="24"/>
          <w:lang w:val="en-GB"/>
        </w:rPr>
      </w:pPr>
      <w:r w:rsidRPr="00303008">
        <w:rPr>
          <w:b/>
          <w:sz w:val="24"/>
          <w:szCs w:val="24"/>
          <w:lang w:val="en-GB"/>
        </w:rPr>
        <w:t>6.4</w:t>
      </w:r>
      <w:r w:rsidRPr="00303008">
        <w:rPr>
          <w:b/>
          <w:sz w:val="24"/>
          <w:szCs w:val="24"/>
          <w:lang w:val="en-GB"/>
        </w:rPr>
        <w:tab/>
        <w:t>Special precautions for storage</w:t>
      </w:r>
    </w:p>
    <w:p w14:paraId="6A9E2A84" w14:textId="48BA6F35" w:rsidR="00D50C79" w:rsidRPr="00D50C79" w:rsidRDefault="00D50C79" w:rsidP="00D50C79">
      <w:pPr>
        <w:tabs>
          <w:tab w:val="left" w:pos="851"/>
        </w:tabs>
        <w:ind w:left="851"/>
        <w:rPr>
          <w:sz w:val="24"/>
          <w:szCs w:val="24"/>
          <w:lang w:val="en-US"/>
        </w:rPr>
      </w:pPr>
      <w:r w:rsidRPr="00D50C79">
        <w:rPr>
          <w:sz w:val="24"/>
          <w:szCs w:val="24"/>
          <w:lang w:val="en-US"/>
        </w:rPr>
        <w:t>This medicinal product does not require any special storage conditions.</w:t>
      </w:r>
    </w:p>
    <w:p w14:paraId="145AFF53" w14:textId="77777777" w:rsidR="007C5D2A" w:rsidRPr="00D50C79" w:rsidRDefault="007C5D2A" w:rsidP="003E0341">
      <w:pPr>
        <w:tabs>
          <w:tab w:val="left" w:pos="851"/>
        </w:tabs>
        <w:ind w:left="851"/>
        <w:rPr>
          <w:sz w:val="24"/>
          <w:szCs w:val="24"/>
          <w:lang w:val="en-US"/>
        </w:rPr>
      </w:pPr>
    </w:p>
    <w:p w14:paraId="0201BDA4" w14:textId="77777777" w:rsidR="007C5D2A" w:rsidRPr="00303008" w:rsidRDefault="007C5D2A" w:rsidP="007C5D2A">
      <w:pPr>
        <w:ind w:left="851" w:hanging="851"/>
        <w:rPr>
          <w:b/>
          <w:sz w:val="24"/>
          <w:szCs w:val="24"/>
          <w:lang w:val="en-GB"/>
        </w:rPr>
      </w:pPr>
      <w:r w:rsidRPr="00303008">
        <w:rPr>
          <w:b/>
          <w:sz w:val="24"/>
          <w:szCs w:val="24"/>
          <w:lang w:val="en-GB"/>
        </w:rPr>
        <w:t>6.5</w:t>
      </w:r>
      <w:r w:rsidRPr="00303008">
        <w:rPr>
          <w:b/>
          <w:sz w:val="24"/>
          <w:szCs w:val="24"/>
          <w:lang w:val="en-GB"/>
        </w:rPr>
        <w:tab/>
        <w:t>Nature and contents of container</w:t>
      </w:r>
    </w:p>
    <w:p w14:paraId="1EF1B1E2" w14:textId="7E184814" w:rsidR="00454BC9" w:rsidRDefault="00454BC9" w:rsidP="00454BC9">
      <w:pPr>
        <w:tabs>
          <w:tab w:val="left" w:pos="851"/>
        </w:tabs>
        <w:ind w:left="851"/>
        <w:rPr>
          <w:sz w:val="24"/>
          <w:szCs w:val="24"/>
          <w:lang w:val="en-US"/>
        </w:rPr>
      </w:pPr>
      <w:r w:rsidRPr="00454BC9">
        <w:rPr>
          <w:sz w:val="24"/>
          <w:szCs w:val="24"/>
          <w:lang w:val="en-US"/>
        </w:rPr>
        <w:t>Aluminum/aluminum blister</w:t>
      </w:r>
      <w:r>
        <w:rPr>
          <w:sz w:val="24"/>
          <w:szCs w:val="24"/>
          <w:lang w:val="en-US"/>
        </w:rPr>
        <w:t>s.</w:t>
      </w:r>
    </w:p>
    <w:p w14:paraId="262673C9" w14:textId="77777777" w:rsidR="00454BC9" w:rsidRDefault="00454BC9" w:rsidP="00454BC9">
      <w:pPr>
        <w:tabs>
          <w:tab w:val="left" w:pos="851"/>
        </w:tabs>
        <w:ind w:left="851"/>
        <w:rPr>
          <w:sz w:val="24"/>
          <w:szCs w:val="24"/>
          <w:u w:val="single"/>
          <w:lang w:val="en-US"/>
        </w:rPr>
      </w:pPr>
    </w:p>
    <w:p w14:paraId="04BF1779" w14:textId="5D2CE8F4" w:rsidR="00454BC9" w:rsidRPr="00454BC9" w:rsidRDefault="00454BC9" w:rsidP="00454BC9">
      <w:pPr>
        <w:tabs>
          <w:tab w:val="left" w:pos="851"/>
        </w:tabs>
        <w:ind w:left="851"/>
        <w:rPr>
          <w:sz w:val="24"/>
          <w:szCs w:val="24"/>
          <w:u w:val="single"/>
          <w:lang w:val="en-US"/>
        </w:rPr>
      </w:pPr>
      <w:r w:rsidRPr="00454BC9">
        <w:rPr>
          <w:sz w:val="24"/>
          <w:szCs w:val="24"/>
          <w:u w:val="single"/>
          <w:lang w:val="en-US"/>
        </w:rPr>
        <w:t>Bitrisal 24 mg/26 mg film-coated tablets</w:t>
      </w:r>
    </w:p>
    <w:p w14:paraId="311256AF" w14:textId="77777777" w:rsidR="00454BC9" w:rsidRDefault="00454BC9" w:rsidP="00454BC9">
      <w:pPr>
        <w:tabs>
          <w:tab w:val="left" w:pos="851"/>
        </w:tabs>
        <w:ind w:left="851"/>
        <w:rPr>
          <w:sz w:val="24"/>
          <w:szCs w:val="24"/>
          <w:lang w:val="en-US"/>
        </w:rPr>
      </w:pPr>
      <w:r>
        <w:rPr>
          <w:sz w:val="24"/>
          <w:szCs w:val="24"/>
          <w:lang w:val="en-US"/>
        </w:rPr>
        <w:t>Pack sizes:</w:t>
      </w:r>
    </w:p>
    <w:p w14:paraId="0F8831A3" w14:textId="33DC9A25" w:rsidR="00454BC9" w:rsidRDefault="00454BC9" w:rsidP="00454BC9">
      <w:pPr>
        <w:tabs>
          <w:tab w:val="left" w:pos="851"/>
        </w:tabs>
        <w:ind w:left="851"/>
        <w:rPr>
          <w:sz w:val="24"/>
          <w:szCs w:val="24"/>
          <w:lang w:val="en-US"/>
        </w:rPr>
      </w:pPr>
      <w:r>
        <w:rPr>
          <w:sz w:val="24"/>
          <w:szCs w:val="24"/>
          <w:lang w:val="en-US"/>
        </w:rPr>
        <w:t>Cartons</w:t>
      </w:r>
      <w:r w:rsidRPr="00454BC9">
        <w:rPr>
          <w:sz w:val="24"/>
          <w:szCs w:val="24"/>
          <w:lang w:val="en-US"/>
        </w:rPr>
        <w:t xml:space="preserve"> of 14, 20, 28, 56 </w:t>
      </w:r>
      <w:r>
        <w:rPr>
          <w:sz w:val="24"/>
          <w:szCs w:val="24"/>
          <w:lang w:val="en-US"/>
        </w:rPr>
        <w:t>and</w:t>
      </w:r>
      <w:r w:rsidRPr="00454BC9">
        <w:rPr>
          <w:sz w:val="24"/>
          <w:szCs w:val="24"/>
          <w:lang w:val="en-US"/>
        </w:rPr>
        <w:t xml:space="preserve"> 196 film-coated tablets</w:t>
      </w:r>
      <w:r>
        <w:rPr>
          <w:sz w:val="24"/>
          <w:szCs w:val="24"/>
          <w:lang w:val="en-US"/>
        </w:rPr>
        <w:t>.</w:t>
      </w:r>
    </w:p>
    <w:p w14:paraId="01ECCD3D" w14:textId="2964CD87" w:rsidR="00454BC9" w:rsidRPr="00454BC9" w:rsidRDefault="00454BC9" w:rsidP="00454BC9">
      <w:pPr>
        <w:tabs>
          <w:tab w:val="left" w:pos="851"/>
        </w:tabs>
        <w:ind w:left="851"/>
        <w:rPr>
          <w:sz w:val="24"/>
          <w:szCs w:val="24"/>
          <w:lang w:val="en-US"/>
        </w:rPr>
      </w:pPr>
      <w:r>
        <w:rPr>
          <w:sz w:val="24"/>
          <w:szCs w:val="24"/>
          <w:lang w:val="en-US"/>
        </w:rPr>
        <w:t>M</w:t>
      </w:r>
      <w:r w:rsidRPr="00454BC9">
        <w:rPr>
          <w:sz w:val="24"/>
          <w:szCs w:val="24"/>
          <w:lang w:val="en-US"/>
        </w:rPr>
        <w:t>ultipacks containing 196 (7 packs of 28) film-coated tablets.</w:t>
      </w:r>
    </w:p>
    <w:p w14:paraId="748A53C8" w14:textId="77777777" w:rsidR="00454BC9" w:rsidRPr="00454BC9" w:rsidRDefault="00454BC9" w:rsidP="00454BC9">
      <w:pPr>
        <w:tabs>
          <w:tab w:val="left" w:pos="851"/>
        </w:tabs>
        <w:ind w:left="851"/>
        <w:rPr>
          <w:sz w:val="24"/>
          <w:szCs w:val="24"/>
          <w:lang w:val="en-US"/>
        </w:rPr>
      </w:pPr>
    </w:p>
    <w:p w14:paraId="79BD0974" w14:textId="77777777" w:rsidR="00454BC9" w:rsidRPr="00454BC9" w:rsidRDefault="00454BC9" w:rsidP="00454BC9">
      <w:pPr>
        <w:tabs>
          <w:tab w:val="left" w:pos="851"/>
        </w:tabs>
        <w:ind w:left="851"/>
        <w:rPr>
          <w:sz w:val="24"/>
          <w:szCs w:val="24"/>
          <w:u w:val="single"/>
          <w:lang w:val="en-US"/>
        </w:rPr>
      </w:pPr>
      <w:r w:rsidRPr="00454BC9">
        <w:rPr>
          <w:sz w:val="24"/>
          <w:szCs w:val="24"/>
          <w:u w:val="single"/>
          <w:lang w:val="en-US"/>
        </w:rPr>
        <w:t>Bitrisal 49 mg/51 mg film-coated tablets</w:t>
      </w:r>
    </w:p>
    <w:p w14:paraId="11593A53" w14:textId="77777777" w:rsidR="00454BC9" w:rsidRDefault="00454BC9" w:rsidP="00454BC9">
      <w:pPr>
        <w:tabs>
          <w:tab w:val="left" w:pos="851"/>
        </w:tabs>
        <w:ind w:left="851"/>
        <w:rPr>
          <w:sz w:val="24"/>
          <w:szCs w:val="24"/>
          <w:lang w:val="en-US"/>
        </w:rPr>
      </w:pPr>
      <w:r>
        <w:rPr>
          <w:sz w:val="24"/>
          <w:szCs w:val="24"/>
          <w:lang w:val="en-US"/>
        </w:rPr>
        <w:t>Pack sizes:</w:t>
      </w:r>
    </w:p>
    <w:p w14:paraId="3A03A48B" w14:textId="77777777" w:rsidR="00454BC9" w:rsidRDefault="00454BC9" w:rsidP="00454BC9">
      <w:pPr>
        <w:tabs>
          <w:tab w:val="left" w:pos="851"/>
        </w:tabs>
        <w:ind w:left="851"/>
        <w:rPr>
          <w:sz w:val="24"/>
          <w:szCs w:val="24"/>
          <w:lang w:val="en-US"/>
        </w:rPr>
      </w:pPr>
      <w:r>
        <w:rPr>
          <w:sz w:val="24"/>
          <w:szCs w:val="24"/>
          <w:lang w:val="en-US"/>
        </w:rPr>
        <w:t>C</w:t>
      </w:r>
      <w:r w:rsidRPr="00454BC9">
        <w:rPr>
          <w:sz w:val="24"/>
          <w:szCs w:val="24"/>
          <w:lang w:val="en-US"/>
        </w:rPr>
        <w:t xml:space="preserve">artons of 14, 20, 28, 56, 168 </w:t>
      </w:r>
      <w:r>
        <w:rPr>
          <w:sz w:val="24"/>
          <w:szCs w:val="24"/>
          <w:lang w:val="en-US"/>
        </w:rPr>
        <w:t>and</w:t>
      </w:r>
      <w:r w:rsidRPr="00454BC9">
        <w:rPr>
          <w:sz w:val="24"/>
          <w:szCs w:val="24"/>
          <w:lang w:val="en-US"/>
        </w:rPr>
        <w:t xml:space="preserve"> 196 film-coated tablets</w:t>
      </w:r>
      <w:r>
        <w:rPr>
          <w:sz w:val="24"/>
          <w:szCs w:val="24"/>
          <w:lang w:val="en-US"/>
        </w:rPr>
        <w:t>.</w:t>
      </w:r>
    </w:p>
    <w:p w14:paraId="5433A78B" w14:textId="0ACAA40A" w:rsidR="00454BC9" w:rsidRPr="00454BC9" w:rsidRDefault="00454BC9" w:rsidP="00454BC9">
      <w:pPr>
        <w:tabs>
          <w:tab w:val="left" w:pos="851"/>
        </w:tabs>
        <w:ind w:left="851"/>
        <w:rPr>
          <w:sz w:val="24"/>
          <w:szCs w:val="24"/>
          <w:lang w:val="en-US"/>
        </w:rPr>
      </w:pPr>
      <w:r>
        <w:rPr>
          <w:sz w:val="24"/>
          <w:szCs w:val="24"/>
          <w:lang w:val="en-US"/>
        </w:rPr>
        <w:t>M</w:t>
      </w:r>
      <w:r w:rsidRPr="00454BC9">
        <w:rPr>
          <w:sz w:val="24"/>
          <w:szCs w:val="24"/>
          <w:lang w:val="en-US"/>
        </w:rPr>
        <w:t xml:space="preserve">ultipacks containing 168 (3 packs of 56) </w:t>
      </w:r>
      <w:r>
        <w:rPr>
          <w:sz w:val="24"/>
          <w:szCs w:val="24"/>
          <w:lang w:val="en-US"/>
        </w:rPr>
        <w:t>and</w:t>
      </w:r>
      <w:r w:rsidRPr="00454BC9">
        <w:rPr>
          <w:sz w:val="24"/>
          <w:szCs w:val="24"/>
          <w:lang w:val="en-US"/>
        </w:rPr>
        <w:t xml:space="preserve"> 196 (7 packs of 28) film-coated tablets.</w:t>
      </w:r>
    </w:p>
    <w:p w14:paraId="5CAF5477" w14:textId="77777777" w:rsidR="00454BC9" w:rsidRPr="00454BC9" w:rsidRDefault="00454BC9" w:rsidP="00454BC9">
      <w:pPr>
        <w:tabs>
          <w:tab w:val="left" w:pos="851"/>
        </w:tabs>
        <w:ind w:left="851"/>
        <w:rPr>
          <w:sz w:val="24"/>
          <w:szCs w:val="24"/>
          <w:lang w:val="en-US"/>
        </w:rPr>
      </w:pPr>
    </w:p>
    <w:p w14:paraId="4D483252" w14:textId="77777777" w:rsidR="00454BC9" w:rsidRPr="00454BC9" w:rsidRDefault="00454BC9" w:rsidP="00454BC9">
      <w:pPr>
        <w:tabs>
          <w:tab w:val="left" w:pos="851"/>
        </w:tabs>
        <w:ind w:left="851"/>
        <w:rPr>
          <w:sz w:val="24"/>
          <w:szCs w:val="24"/>
          <w:u w:val="single"/>
          <w:lang w:val="en-US"/>
        </w:rPr>
      </w:pPr>
      <w:r w:rsidRPr="00454BC9">
        <w:rPr>
          <w:sz w:val="24"/>
          <w:szCs w:val="24"/>
          <w:u w:val="single"/>
          <w:lang w:val="en-US"/>
        </w:rPr>
        <w:t>Bitrisal 97 mg/103 mg film-coated tablets</w:t>
      </w:r>
    </w:p>
    <w:p w14:paraId="2AEE53B3" w14:textId="77777777" w:rsidR="00454BC9" w:rsidRDefault="00454BC9" w:rsidP="00454BC9">
      <w:pPr>
        <w:tabs>
          <w:tab w:val="left" w:pos="851"/>
        </w:tabs>
        <w:ind w:left="851"/>
        <w:rPr>
          <w:sz w:val="24"/>
          <w:szCs w:val="24"/>
          <w:lang w:val="en-US"/>
        </w:rPr>
      </w:pPr>
      <w:r>
        <w:rPr>
          <w:sz w:val="24"/>
          <w:szCs w:val="24"/>
          <w:lang w:val="en-US"/>
        </w:rPr>
        <w:t>Pack sizes:</w:t>
      </w:r>
    </w:p>
    <w:p w14:paraId="2D2FDCD6" w14:textId="77777777" w:rsidR="00454BC9" w:rsidRDefault="00454BC9" w:rsidP="00454BC9">
      <w:pPr>
        <w:tabs>
          <w:tab w:val="left" w:pos="851"/>
        </w:tabs>
        <w:ind w:left="851"/>
        <w:rPr>
          <w:sz w:val="24"/>
          <w:szCs w:val="24"/>
          <w:lang w:val="en-US"/>
        </w:rPr>
      </w:pPr>
      <w:r>
        <w:rPr>
          <w:sz w:val="24"/>
          <w:szCs w:val="24"/>
          <w:lang w:val="en-US"/>
        </w:rPr>
        <w:t>C</w:t>
      </w:r>
      <w:r w:rsidRPr="00454BC9">
        <w:rPr>
          <w:sz w:val="24"/>
          <w:szCs w:val="24"/>
          <w:lang w:val="en-US"/>
        </w:rPr>
        <w:t xml:space="preserve">artons of 14, 20, 28, 56, 168 </w:t>
      </w:r>
      <w:r>
        <w:rPr>
          <w:sz w:val="24"/>
          <w:szCs w:val="24"/>
          <w:lang w:val="en-US"/>
        </w:rPr>
        <w:t>and</w:t>
      </w:r>
      <w:r w:rsidRPr="00454BC9">
        <w:rPr>
          <w:sz w:val="24"/>
          <w:szCs w:val="24"/>
          <w:lang w:val="en-US"/>
        </w:rPr>
        <w:t xml:space="preserve"> 196 film-coated tablets</w:t>
      </w:r>
      <w:r>
        <w:rPr>
          <w:sz w:val="24"/>
          <w:szCs w:val="24"/>
          <w:lang w:val="en-US"/>
        </w:rPr>
        <w:t>.</w:t>
      </w:r>
    </w:p>
    <w:p w14:paraId="76E6CD19" w14:textId="66DC95FF" w:rsidR="00454BC9" w:rsidRPr="00454BC9" w:rsidRDefault="00454BC9" w:rsidP="00454BC9">
      <w:pPr>
        <w:tabs>
          <w:tab w:val="left" w:pos="851"/>
        </w:tabs>
        <w:ind w:left="851"/>
        <w:rPr>
          <w:sz w:val="24"/>
          <w:szCs w:val="24"/>
          <w:lang w:val="en-US"/>
        </w:rPr>
      </w:pPr>
      <w:r>
        <w:rPr>
          <w:sz w:val="24"/>
          <w:szCs w:val="24"/>
          <w:lang w:val="en-US"/>
        </w:rPr>
        <w:t>M</w:t>
      </w:r>
      <w:r w:rsidRPr="00454BC9">
        <w:rPr>
          <w:sz w:val="24"/>
          <w:szCs w:val="24"/>
          <w:lang w:val="en-US"/>
        </w:rPr>
        <w:t xml:space="preserve">ultipacks containing 168 (3 packs of 56) </w:t>
      </w:r>
      <w:r>
        <w:rPr>
          <w:sz w:val="24"/>
          <w:szCs w:val="24"/>
          <w:lang w:val="en-US"/>
        </w:rPr>
        <w:t>and</w:t>
      </w:r>
      <w:r w:rsidRPr="00454BC9">
        <w:rPr>
          <w:sz w:val="24"/>
          <w:szCs w:val="24"/>
          <w:lang w:val="en-US"/>
        </w:rPr>
        <w:t xml:space="preserve"> 196 (7 packs of 28) film-coated tablets.</w:t>
      </w:r>
    </w:p>
    <w:p w14:paraId="0F5728ED" w14:textId="77777777" w:rsidR="00454BC9" w:rsidRPr="00454BC9" w:rsidRDefault="00454BC9" w:rsidP="00454BC9">
      <w:pPr>
        <w:tabs>
          <w:tab w:val="left" w:pos="851"/>
        </w:tabs>
        <w:ind w:left="851"/>
        <w:rPr>
          <w:sz w:val="24"/>
          <w:szCs w:val="24"/>
          <w:lang w:val="en-US"/>
        </w:rPr>
      </w:pPr>
    </w:p>
    <w:p w14:paraId="1DC9D4DB" w14:textId="77777777" w:rsidR="00454BC9" w:rsidRPr="00454BC9" w:rsidRDefault="00454BC9" w:rsidP="00454BC9">
      <w:pPr>
        <w:tabs>
          <w:tab w:val="left" w:pos="851"/>
        </w:tabs>
        <w:ind w:left="851"/>
        <w:rPr>
          <w:sz w:val="24"/>
          <w:szCs w:val="24"/>
          <w:lang w:val="en-US"/>
        </w:rPr>
      </w:pPr>
      <w:r w:rsidRPr="00454BC9">
        <w:rPr>
          <w:sz w:val="24"/>
          <w:szCs w:val="24"/>
          <w:lang w:val="en-US"/>
        </w:rPr>
        <w:t>Not all pack sizes may be marketed.</w:t>
      </w:r>
    </w:p>
    <w:p w14:paraId="5EFBBB68" w14:textId="77777777" w:rsidR="007C5D2A" w:rsidRPr="00454BC9" w:rsidRDefault="007C5D2A" w:rsidP="003E0341">
      <w:pPr>
        <w:tabs>
          <w:tab w:val="left" w:pos="851"/>
        </w:tabs>
        <w:ind w:left="851"/>
        <w:rPr>
          <w:sz w:val="24"/>
          <w:szCs w:val="24"/>
          <w:lang w:val="en-US"/>
        </w:rPr>
      </w:pPr>
    </w:p>
    <w:p w14:paraId="7A51636A" w14:textId="77777777" w:rsidR="007C5D2A" w:rsidRPr="00303008" w:rsidRDefault="007C5D2A" w:rsidP="007C5D2A">
      <w:pPr>
        <w:ind w:left="851" w:hanging="851"/>
        <w:rPr>
          <w:b/>
          <w:sz w:val="24"/>
          <w:szCs w:val="24"/>
          <w:lang w:val="en-GB"/>
        </w:rPr>
      </w:pPr>
      <w:r w:rsidRPr="00303008">
        <w:rPr>
          <w:b/>
          <w:sz w:val="24"/>
          <w:szCs w:val="24"/>
          <w:lang w:val="en-GB"/>
        </w:rPr>
        <w:t>6.6</w:t>
      </w:r>
      <w:r w:rsidRPr="00303008">
        <w:rPr>
          <w:b/>
          <w:sz w:val="24"/>
          <w:szCs w:val="24"/>
          <w:lang w:val="en-GB"/>
        </w:rPr>
        <w:tab/>
        <w:t>Special precautions for disposal and other handling</w:t>
      </w:r>
    </w:p>
    <w:p w14:paraId="55079D46" w14:textId="77777777" w:rsidR="00C10891" w:rsidRPr="00C10891" w:rsidRDefault="00C10891" w:rsidP="00C10891">
      <w:pPr>
        <w:tabs>
          <w:tab w:val="left" w:pos="851"/>
        </w:tabs>
        <w:ind w:left="851"/>
        <w:rPr>
          <w:sz w:val="24"/>
          <w:szCs w:val="24"/>
          <w:lang w:val="en-US"/>
        </w:rPr>
      </w:pPr>
      <w:r w:rsidRPr="00C10891">
        <w:rPr>
          <w:sz w:val="24"/>
          <w:szCs w:val="24"/>
          <w:lang w:val="en-US"/>
        </w:rPr>
        <w:t>Any unused medicinal product or waste material should be disposed of in accordance with local requirements.</w:t>
      </w:r>
    </w:p>
    <w:p w14:paraId="37CEB3DE" w14:textId="77777777" w:rsidR="007C5D2A" w:rsidRPr="00C10891" w:rsidRDefault="007C5D2A" w:rsidP="00AB4376">
      <w:pPr>
        <w:tabs>
          <w:tab w:val="left" w:pos="851"/>
        </w:tabs>
        <w:ind w:left="851"/>
        <w:rPr>
          <w:sz w:val="24"/>
          <w:szCs w:val="24"/>
          <w:lang w:val="en-US"/>
        </w:rPr>
      </w:pPr>
    </w:p>
    <w:p w14:paraId="0FD7196D" w14:textId="77777777" w:rsidR="007C5D2A" w:rsidRPr="00303008" w:rsidRDefault="007C5D2A" w:rsidP="007C5D2A">
      <w:pPr>
        <w:tabs>
          <w:tab w:val="left" w:pos="851"/>
        </w:tabs>
        <w:ind w:left="851" w:hanging="851"/>
        <w:jc w:val="both"/>
        <w:rPr>
          <w:b/>
          <w:sz w:val="24"/>
          <w:szCs w:val="24"/>
          <w:lang w:val="en-GB"/>
        </w:rPr>
      </w:pPr>
      <w:r w:rsidRPr="00303008">
        <w:rPr>
          <w:b/>
          <w:sz w:val="24"/>
          <w:szCs w:val="24"/>
          <w:lang w:val="en-GB"/>
        </w:rPr>
        <w:t>7.</w:t>
      </w:r>
      <w:r w:rsidRPr="00303008">
        <w:rPr>
          <w:b/>
          <w:sz w:val="24"/>
          <w:szCs w:val="24"/>
          <w:lang w:val="en-GB"/>
        </w:rPr>
        <w:tab/>
        <w:t>MARKETING AUTHORISATION HOLDER</w:t>
      </w:r>
    </w:p>
    <w:p w14:paraId="677E5B4F" w14:textId="77777777" w:rsidR="00C10891" w:rsidRPr="00C10891" w:rsidRDefault="00C10891" w:rsidP="00C10891">
      <w:pPr>
        <w:tabs>
          <w:tab w:val="left" w:pos="851"/>
        </w:tabs>
        <w:ind w:left="851"/>
        <w:jc w:val="both"/>
        <w:rPr>
          <w:sz w:val="24"/>
          <w:szCs w:val="24"/>
          <w:lang w:val="en-US"/>
        </w:rPr>
      </w:pPr>
      <w:r w:rsidRPr="00C10891">
        <w:rPr>
          <w:sz w:val="24"/>
          <w:szCs w:val="24"/>
          <w:lang w:val="en-US"/>
        </w:rPr>
        <w:t>Genepharm S.A.</w:t>
      </w:r>
    </w:p>
    <w:p w14:paraId="7581D50A" w14:textId="77777777" w:rsidR="00C10891" w:rsidRPr="00C10891" w:rsidRDefault="00C10891" w:rsidP="00C10891">
      <w:pPr>
        <w:tabs>
          <w:tab w:val="left" w:pos="851"/>
        </w:tabs>
        <w:ind w:left="851"/>
        <w:jc w:val="both"/>
        <w:rPr>
          <w:sz w:val="24"/>
          <w:szCs w:val="24"/>
          <w:lang w:val="en-US"/>
        </w:rPr>
      </w:pPr>
      <w:r w:rsidRPr="00C10891">
        <w:rPr>
          <w:sz w:val="24"/>
          <w:szCs w:val="24"/>
          <w:lang w:val="en-US"/>
        </w:rPr>
        <w:t>18th km Marathonos Avenue</w:t>
      </w:r>
    </w:p>
    <w:p w14:paraId="10D6DDB1" w14:textId="1F755345" w:rsidR="00C10891" w:rsidRPr="00C10891" w:rsidRDefault="00C10891" w:rsidP="00C10891">
      <w:pPr>
        <w:tabs>
          <w:tab w:val="left" w:pos="851"/>
        </w:tabs>
        <w:ind w:left="851"/>
        <w:jc w:val="both"/>
        <w:rPr>
          <w:sz w:val="24"/>
          <w:szCs w:val="24"/>
          <w:lang w:val="en-US"/>
        </w:rPr>
      </w:pPr>
      <w:r w:rsidRPr="00C10891">
        <w:rPr>
          <w:sz w:val="24"/>
          <w:szCs w:val="24"/>
          <w:lang w:val="en-US"/>
        </w:rPr>
        <w:t>153 51 Pallini</w:t>
      </w:r>
    </w:p>
    <w:p w14:paraId="1E0388EC" w14:textId="1CAF7FA2" w:rsidR="00C10891" w:rsidRPr="00C10891" w:rsidRDefault="00F8194B" w:rsidP="00C10891">
      <w:pPr>
        <w:tabs>
          <w:tab w:val="left" w:pos="851"/>
        </w:tabs>
        <w:ind w:left="851"/>
        <w:jc w:val="both"/>
        <w:rPr>
          <w:sz w:val="24"/>
          <w:szCs w:val="24"/>
          <w:lang w:val="en-US"/>
        </w:rPr>
      </w:pPr>
      <w:r>
        <w:rPr>
          <w:sz w:val="24"/>
          <w:szCs w:val="24"/>
          <w:lang w:val="en-US"/>
        </w:rPr>
        <w:t>Grækenland</w:t>
      </w:r>
    </w:p>
    <w:p w14:paraId="2B68ACA0" w14:textId="77777777" w:rsidR="007C5D2A" w:rsidRDefault="007C5D2A" w:rsidP="003E0341">
      <w:pPr>
        <w:tabs>
          <w:tab w:val="left" w:pos="851"/>
        </w:tabs>
        <w:ind w:left="851"/>
        <w:jc w:val="both"/>
        <w:rPr>
          <w:sz w:val="24"/>
          <w:szCs w:val="24"/>
          <w:lang w:val="en-GB"/>
        </w:rPr>
      </w:pPr>
    </w:p>
    <w:p w14:paraId="342F6896" w14:textId="77777777" w:rsidR="007C5D2A" w:rsidRPr="00303008" w:rsidRDefault="007C5D2A" w:rsidP="007C5D2A">
      <w:pPr>
        <w:ind w:left="851" w:hanging="851"/>
        <w:jc w:val="both"/>
        <w:rPr>
          <w:b/>
          <w:sz w:val="24"/>
          <w:szCs w:val="24"/>
          <w:lang w:val="en-GB"/>
        </w:rPr>
      </w:pPr>
      <w:r w:rsidRPr="00303008">
        <w:rPr>
          <w:b/>
          <w:sz w:val="24"/>
          <w:szCs w:val="24"/>
          <w:lang w:val="en-GB"/>
        </w:rPr>
        <w:t>8.</w:t>
      </w:r>
      <w:r w:rsidRPr="00303008">
        <w:rPr>
          <w:b/>
          <w:sz w:val="24"/>
          <w:szCs w:val="24"/>
          <w:lang w:val="en-GB"/>
        </w:rPr>
        <w:tab/>
        <w:t>MARKETING AUTHORISATION NUMBER(S)</w:t>
      </w:r>
    </w:p>
    <w:p w14:paraId="19CC130B" w14:textId="7A4E19B3" w:rsidR="007C5D2A" w:rsidRPr="00123FA5" w:rsidRDefault="00F8194B" w:rsidP="00F8194B">
      <w:pPr>
        <w:tabs>
          <w:tab w:val="left" w:pos="851"/>
          <w:tab w:val="left" w:pos="2410"/>
        </w:tabs>
        <w:ind w:left="851"/>
        <w:jc w:val="both"/>
        <w:rPr>
          <w:sz w:val="24"/>
          <w:szCs w:val="24"/>
          <w:lang w:val="en-US"/>
        </w:rPr>
      </w:pPr>
      <w:r w:rsidRPr="00123FA5">
        <w:rPr>
          <w:sz w:val="24"/>
          <w:szCs w:val="24"/>
          <w:lang w:val="en-US"/>
        </w:rPr>
        <w:t>24 mg/26 mg:</w:t>
      </w:r>
      <w:r w:rsidRPr="00123FA5">
        <w:rPr>
          <w:sz w:val="24"/>
          <w:szCs w:val="24"/>
          <w:lang w:val="en-US"/>
        </w:rPr>
        <w:tab/>
        <w:t>71277</w:t>
      </w:r>
    </w:p>
    <w:p w14:paraId="044EBB61" w14:textId="2EB24DCE" w:rsidR="00F8194B" w:rsidRPr="00123FA5" w:rsidRDefault="00F8194B" w:rsidP="00F8194B">
      <w:pPr>
        <w:tabs>
          <w:tab w:val="left" w:pos="851"/>
          <w:tab w:val="left" w:pos="2410"/>
        </w:tabs>
        <w:ind w:left="851"/>
        <w:jc w:val="both"/>
        <w:rPr>
          <w:sz w:val="24"/>
          <w:szCs w:val="24"/>
          <w:lang w:val="en-US"/>
        </w:rPr>
      </w:pPr>
      <w:r w:rsidRPr="00123FA5">
        <w:rPr>
          <w:sz w:val="24"/>
          <w:szCs w:val="24"/>
          <w:lang w:val="en-US"/>
        </w:rPr>
        <w:t>49 mg/51 mg:</w:t>
      </w:r>
      <w:r w:rsidRPr="00123FA5">
        <w:rPr>
          <w:sz w:val="24"/>
          <w:szCs w:val="24"/>
          <w:lang w:val="en-US"/>
        </w:rPr>
        <w:tab/>
        <w:t>71278</w:t>
      </w:r>
    </w:p>
    <w:p w14:paraId="05065CD4" w14:textId="00BB582C" w:rsidR="00F8194B" w:rsidRPr="00123FA5" w:rsidRDefault="00F8194B" w:rsidP="00F8194B">
      <w:pPr>
        <w:tabs>
          <w:tab w:val="left" w:pos="851"/>
          <w:tab w:val="left" w:pos="2410"/>
        </w:tabs>
        <w:ind w:left="851"/>
        <w:jc w:val="both"/>
        <w:rPr>
          <w:sz w:val="24"/>
          <w:szCs w:val="24"/>
          <w:lang w:val="en-US"/>
        </w:rPr>
      </w:pPr>
      <w:r w:rsidRPr="00123FA5">
        <w:rPr>
          <w:sz w:val="24"/>
          <w:szCs w:val="24"/>
          <w:lang w:val="en-US"/>
        </w:rPr>
        <w:t>97 mg/103 mg:</w:t>
      </w:r>
      <w:r w:rsidRPr="00123FA5">
        <w:rPr>
          <w:sz w:val="24"/>
          <w:szCs w:val="24"/>
          <w:lang w:val="en-US"/>
        </w:rPr>
        <w:tab/>
        <w:t>71279</w:t>
      </w:r>
    </w:p>
    <w:p w14:paraId="45034A96" w14:textId="77777777" w:rsidR="007C5D2A" w:rsidRPr="00123FA5" w:rsidRDefault="007C5D2A" w:rsidP="00180A12">
      <w:pPr>
        <w:tabs>
          <w:tab w:val="left" w:pos="851"/>
        </w:tabs>
        <w:ind w:left="851"/>
        <w:jc w:val="both"/>
        <w:rPr>
          <w:sz w:val="24"/>
          <w:szCs w:val="24"/>
          <w:lang w:val="en-US"/>
        </w:rPr>
      </w:pPr>
    </w:p>
    <w:p w14:paraId="2A51422C" w14:textId="77777777" w:rsidR="007C5D2A" w:rsidRPr="00303008" w:rsidRDefault="007C5D2A" w:rsidP="007C5D2A">
      <w:pPr>
        <w:tabs>
          <w:tab w:val="left" w:pos="851"/>
        </w:tabs>
        <w:jc w:val="both"/>
        <w:rPr>
          <w:sz w:val="24"/>
          <w:szCs w:val="24"/>
          <w:lang w:val="en-GB"/>
        </w:rPr>
      </w:pPr>
      <w:r w:rsidRPr="00303008">
        <w:rPr>
          <w:b/>
          <w:sz w:val="24"/>
          <w:szCs w:val="24"/>
          <w:lang w:val="en-GB"/>
        </w:rPr>
        <w:t>9.</w:t>
      </w:r>
      <w:r w:rsidRPr="00303008">
        <w:rPr>
          <w:b/>
          <w:sz w:val="24"/>
          <w:szCs w:val="24"/>
          <w:lang w:val="en-GB"/>
        </w:rPr>
        <w:tab/>
        <w:t>DATE OF FIRST AUTHORISATION</w:t>
      </w:r>
    </w:p>
    <w:p w14:paraId="0A64581F" w14:textId="2AE4BCA5" w:rsidR="007C5D2A" w:rsidRPr="00303008" w:rsidRDefault="00123FA5" w:rsidP="00A85D26">
      <w:pPr>
        <w:ind w:left="851"/>
        <w:jc w:val="both"/>
        <w:rPr>
          <w:sz w:val="24"/>
          <w:szCs w:val="24"/>
          <w:lang w:val="en-GB"/>
        </w:rPr>
      </w:pPr>
      <w:r>
        <w:rPr>
          <w:sz w:val="24"/>
          <w:szCs w:val="24"/>
          <w:lang w:val="en-GB"/>
        </w:rPr>
        <w:t>8 January 2026</w:t>
      </w:r>
    </w:p>
    <w:p w14:paraId="46955156" w14:textId="13C02C8A" w:rsidR="00F8194B" w:rsidRDefault="00F8194B">
      <w:pPr>
        <w:rPr>
          <w:sz w:val="24"/>
          <w:szCs w:val="24"/>
          <w:lang w:val="en-GB"/>
        </w:rPr>
      </w:pPr>
      <w:r>
        <w:rPr>
          <w:sz w:val="24"/>
          <w:szCs w:val="24"/>
          <w:lang w:val="en-GB"/>
        </w:rPr>
        <w:br w:type="page"/>
      </w:r>
    </w:p>
    <w:p w14:paraId="4E7976EF" w14:textId="77777777" w:rsidR="007C5D2A" w:rsidRPr="00303008" w:rsidRDefault="007C5D2A" w:rsidP="003E0341">
      <w:pPr>
        <w:tabs>
          <w:tab w:val="left" w:pos="851"/>
        </w:tabs>
        <w:ind w:left="851"/>
        <w:jc w:val="both"/>
        <w:rPr>
          <w:sz w:val="24"/>
          <w:szCs w:val="24"/>
          <w:lang w:val="en-GB"/>
        </w:rPr>
      </w:pPr>
    </w:p>
    <w:p w14:paraId="695E334C" w14:textId="77777777" w:rsidR="007C5D2A" w:rsidRPr="00303008" w:rsidRDefault="007C5D2A" w:rsidP="007C5D2A">
      <w:pPr>
        <w:tabs>
          <w:tab w:val="left" w:pos="851"/>
        </w:tabs>
        <w:jc w:val="both"/>
        <w:rPr>
          <w:sz w:val="24"/>
          <w:szCs w:val="24"/>
          <w:lang w:val="en-GB"/>
        </w:rPr>
      </w:pPr>
      <w:r w:rsidRPr="00303008">
        <w:rPr>
          <w:b/>
          <w:sz w:val="24"/>
          <w:szCs w:val="24"/>
          <w:lang w:val="en-GB"/>
        </w:rPr>
        <w:t>10.</w:t>
      </w:r>
      <w:r w:rsidRPr="00303008">
        <w:rPr>
          <w:b/>
          <w:sz w:val="24"/>
          <w:szCs w:val="24"/>
          <w:lang w:val="en-GB"/>
        </w:rPr>
        <w:tab/>
        <w:t>DATE OF REVISION OF THE TEXT</w:t>
      </w:r>
    </w:p>
    <w:p w14:paraId="5DE2C964" w14:textId="09970768" w:rsidR="007C5D2A" w:rsidRPr="00303008" w:rsidRDefault="00F8194B" w:rsidP="003E0341">
      <w:pPr>
        <w:tabs>
          <w:tab w:val="left" w:pos="851"/>
        </w:tabs>
        <w:ind w:left="851"/>
        <w:jc w:val="both"/>
        <w:rPr>
          <w:sz w:val="24"/>
          <w:szCs w:val="24"/>
          <w:lang w:val="en-GB"/>
        </w:rPr>
      </w:pPr>
      <w:r>
        <w:rPr>
          <w:sz w:val="24"/>
          <w:szCs w:val="24"/>
          <w:lang w:val="en-GB"/>
        </w:rPr>
        <w:t>-</w:t>
      </w:r>
    </w:p>
    <w:sectPr w:rsidR="007C5D2A" w:rsidRPr="00303008" w:rsidSect="004A3BF4">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8D7C1" w14:textId="77777777" w:rsidR="00D50C79" w:rsidRDefault="00D50C79">
      <w:r>
        <w:separator/>
      </w:r>
    </w:p>
  </w:endnote>
  <w:endnote w:type="continuationSeparator" w:id="0">
    <w:p w14:paraId="05C7059F" w14:textId="77777777" w:rsidR="00D50C79" w:rsidRDefault="00D5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9C852" w14:textId="77777777" w:rsidR="00D50C79" w:rsidRDefault="00D50C7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8AAF5" w14:textId="77777777" w:rsidR="00D50C79" w:rsidRDefault="00D50C79">
    <w:pPr>
      <w:pStyle w:val="Sidefod"/>
      <w:pBdr>
        <w:bottom w:val="single" w:sz="6" w:space="1" w:color="auto"/>
      </w:pBdr>
    </w:pPr>
  </w:p>
  <w:p w14:paraId="1843260A" w14:textId="77777777" w:rsidR="00D50C79" w:rsidRDefault="00D50C79">
    <w:pPr>
      <w:pStyle w:val="Sidefod"/>
      <w:tabs>
        <w:tab w:val="clear" w:pos="4819"/>
        <w:tab w:val="left" w:pos="8647"/>
      </w:tabs>
      <w:rPr>
        <w:i/>
        <w:snapToGrid w:val="0"/>
        <w:sz w:val="18"/>
      </w:rPr>
    </w:pPr>
  </w:p>
  <w:p w14:paraId="6317077A" w14:textId="1EFE5C99" w:rsidR="00D50C79" w:rsidRDefault="00D50C79"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Bitrisal, filmovertrukne tabletter 24+26 mg, 49+51 mg og 97+103 mg</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5FCEC" w14:textId="77777777" w:rsidR="00D50C79" w:rsidRDefault="00D50C79">
    <w:pPr>
      <w:pStyle w:val="Sidefod"/>
      <w:pBdr>
        <w:bottom w:val="single" w:sz="6" w:space="1" w:color="auto"/>
      </w:pBdr>
      <w:tabs>
        <w:tab w:val="clear" w:pos="4819"/>
        <w:tab w:val="left" w:pos="8789"/>
      </w:tabs>
      <w:rPr>
        <w:i/>
        <w:snapToGrid w:val="0"/>
        <w:sz w:val="18"/>
      </w:rPr>
    </w:pPr>
  </w:p>
  <w:p w14:paraId="6574C2F9" w14:textId="77777777" w:rsidR="00D50C79" w:rsidRDefault="00D50C79">
    <w:pPr>
      <w:pStyle w:val="Sidefod"/>
      <w:tabs>
        <w:tab w:val="clear" w:pos="4819"/>
        <w:tab w:val="left" w:pos="8789"/>
      </w:tabs>
      <w:rPr>
        <w:i/>
        <w:snapToGrid w:val="0"/>
        <w:sz w:val="18"/>
      </w:rPr>
    </w:pPr>
  </w:p>
  <w:p w14:paraId="4B68B11C" w14:textId="04270E86" w:rsidR="00D50C79" w:rsidRDefault="00D50C79">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Pr>
        <w:i/>
        <w:noProof/>
        <w:snapToGrid w:val="0"/>
        <w:sz w:val="18"/>
      </w:rPr>
      <w:t>Bitrisal, filmovertrukne tabletter 24+26 mg, 49+51 mg og 97+103 mg</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917B9" w14:textId="77777777" w:rsidR="00D50C79" w:rsidRDefault="00D50C79">
      <w:r>
        <w:separator/>
      </w:r>
    </w:p>
  </w:footnote>
  <w:footnote w:type="continuationSeparator" w:id="0">
    <w:p w14:paraId="6C459BD8" w14:textId="77777777" w:rsidR="00D50C79" w:rsidRDefault="00D50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A98E2" w14:textId="77777777" w:rsidR="00D50C79" w:rsidRDefault="00D50C7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B5DA4" w14:textId="77777777" w:rsidR="00D50C79" w:rsidRDefault="00D50C79">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B4091" w14:textId="77777777" w:rsidR="00D50C79" w:rsidRDefault="00D50C7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4" w15:restartNumberingAfterBreak="0">
    <w:nsid w:val="724C0CEC"/>
    <w:multiLevelType w:val="hybridMultilevel"/>
    <w:tmpl w:val="5064A45C"/>
    <w:lvl w:ilvl="0" w:tplc="76202870">
      <w:numFmt w:val="bullet"/>
      <w:lvlText w:val=""/>
      <w:lvlJc w:val="left"/>
      <w:pPr>
        <w:ind w:left="696" w:hanging="567"/>
      </w:pPr>
      <w:rPr>
        <w:rFonts w:ascii="Symbol" w:eastAsia="Symbol" w:hAnsi="Symbol" w:cs="Symbol" w:hint="default"/>
        <w:w w:val="100"/>
        <w:sz w:val="22"/>
        <w:szCs w:val="22"/>
      </w:rPr>
    </w:lvl>
    <w:lvl w:ilvl="1" w:tplc="94AAC744">
      <w:numFmt w:val="bullet"/>
      <w:lvlText w:val="•"/>
      <w:lvlJc w:val="left"/>
      <w:pPr>
        <w:ind w:left="854" w:hanging="567"/>
      </w:pPr>
    </w:lvl>
    <w:lvl w:ilvl="2" w:tplc="07A46E10">
      <w:numFmt w:val="bullet"/>
      <w:lvlText w:val="•"/>
      <w:lvlJc w:val="left"/>
      <w:pPr>
        <w:ind w:left="1008" w:hanging="567"/>
      </w:pPr>
    </w:lvl>
    <w:lvl w:ilvl="3" w:tplc="E106354C">
      <w:numFmt w:val="bullet"/>
      <w:lvlText w:val="•"/>
      <w:lvlJc w:val="left"/>
      <w:pPr>
        <w:ind w:left="1162" w:hanging="567"/>
      </w:pPr>
    </w:lvl>
    <w:lvl w:ilvl="4" w:tplc="F6A81478">
      <w:numFmt w:val="bullet"/>
      <w:lvlText w:val="•"/>
      <w:lvlJc w:val="left"/>
      <w:pPr>
        <w:ind w:left="1316" w:hanging="567"/>
      </w:pPr>
    </w:lvl>
    <w:lvl w:ilvl="5" w:tplc="B71EA8CC">
      <w:numFmt w:val="bullet"/>
      <w:lvlText w:val="•"/>
      <w:lvlJc w:val="left"/>
      <w:pPr>
        <w:ind w:left="1470" w:hanging="567"/>
      </w:pPr>
    </w:lvl>
    <w:lvl w:ilvl="6" w:tplc="16122610">
      <w:numFmt w:val="bullet"/>
      <w:lvlText w:val="•"/>
      <w:lvlJc w:val="left"/>
      <w:pPr>
        <w:ind w:left="1624" w:hanging="567"/>
      </w:pPr>
    </w:lvl>
    <w:lvl w:ilvl="7" w:tplc="96DE39B2">
      <w:numFmt w:val="bullet"/>
      <w:lvlText w:val="•"/>
      <w:lvlJc w:val="left"/>
      <w:pPr>
        <w:ind w:left="1778" w:hanging="567"/>
      </w:pPr>
    </w:lvl>
    <w:lvl w:ilvl="8" w:tplc="D332DDD0">
      <w:numFmt w:val="bullet"/>
      <w:lvlText w:val="•"/>
      <w:lvlJc w:val="left"/>
      <w:pPr>
        <w:ind w:left="1932" w:hanging="567"/>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04"/>
    <w:rsid w:val="00056601"/>
    <w:rsid w:val="000C3846"/>
    <w:rsid w:val="000C6218"/>
    <w:rsid w:val="000D3C9D"/>
    <w:rsid w:val="000F0D47"/>
    <w:rsid w:val="00123FA5"/>
    <w:rsid w:val="001242DE"/>
    <w:rsid w:val="00143BF3"/>
    <w:rsid w:val="00180A12"/>
    <w:rsid w:val="00214331"/>
    <w:rsid w:val="00214CF4"/>
    <w:rsid w:val="00281F03"/>
    <w:rsid w:val="0029458A"/>
    <w:rsid w:val="002A1587"/>
    <w:rsid w:val="002B27C5"/>
    <w:rsid w:val="002F6D9C"/>
    <w:rsid w:val="00303008"/>
    <w:rsid w:val="00373B55"/>
    <w:rsid w:val="003D727E"/>
    <w:rsid w:val="003E0341"/>
    <w:rsid w:val="003E3402"/>
    <w:rsid w:val="003F4736"/>
    <w:rsid w:val="00401B49"/>
    <w:rsid w:val="0042292D"/>
    <w:rsid w:val="00431158"/>
    <w:rsid w:val="00437D5B"/>
    <w:rsid w:val="00440254"/>
    <w:rsid w:val="00454BC9"/>
    <w:rsid w:val="004860D3"/>
    <w:rsid w:val="004A3BF4"/>
    <w:rsid w:val="004A5DB3"/>
    <w:rsid w:val="005152D9"/>
    <w:rsid w:val="00533AD4"/>
    <w:rsid w:val="00534849"/>
    <w:rsid w:val="00560102"/>
    <w:rsid w:val="00562EA1"/>
    <w:rsid w:val="005A498B"/>
    <w:rsid w:val="005F67E0"/>
    <w:rsid w:val="00617BB8"/>
    <w:rsid w:val="006207FF"/>
    <w:rsid w:val="00650F04"/>
    <w:rsid w:val="00680052"/>
    <w:rsid w:val="00683267"/>
    <w:rsid w:val="006844E9"/>
    <w:rsid w:val="006B3847"/>
    <w:rsid w:val="0075453D"/>
    <w:rsid w:val="007A4CC6"/>
    <w:rsid w:val="007C3623"/>
    <w:rsid w:val="007C5D2A"/>
    <w:rsid w:val="007F1E00"/>
    <w:rsid w:val="00827444"/>
    <w:rsid w:val="008400E3"/>
    <w:rsid w:val="00864538"/>
    <w:rsid w:val="00873B4F"/>
    <w:rsid w:val="008A24F6"/>
    <w:rsid w:val="008E51AE"/>
    <w:rsid w:val="008F2F8C"/>
    <w:rsid w:val="009925C9"/>
    <w:rsid w:val="00A179D0"/>
    <w:rsid w:val="00A358A3"/>
    <w:rsid w:val="00A46747"/>
    <w:rsid w:val="00A80446"/>
    <w:rsid w:val="00A85D26"/>
    <w:rsid w:val="00A9153A"/>
    <w:rsid w:val="00AB4376"/>
    <w:rsid w:val="00AC033C"/>
    <w:rsid w:val="00AD2E36"/>
    <w:rsid w:val="00AD3647"/>
    <w:rsid w:val="00B368DC"/>
    <w:rsid w:val="00B45DC5"/>
    <w:rsid w:val="00BD3490"/>
    <w:rsid w:val="00C10891"/>
    <w:rsid w:val="00C26226"/>
    <w:rsid w:val="00C3571D"/>
    <w:rsid w:val="00C54F0B"/>
    <w:rsid w:val="00C82621"/>
    <w:rsid w:val="00CB1423"/>
    <w:rsid w:val="00CE0ADB"/>
    <w:rsid w:val="00D02508"/>
    <w:rsid w:val="00D50C79"/>
    <w:rsid w:val="00D778CC"/>
    <w:rsid w:val="00D82FE9"/>
    <w:rsid w:val="00D92AEF"/>
    <w:rsid w:val="00D97B77"/>
    <w:rsid w:val="00DB6A85"/>
    <w:rsid w:val="00E06B32"/>
    <w:rsid w:val="00E1290F"/>
    <w:rsid w:val="00E36A80"/>
    <w:rsid w:val="00EB21D7"/>
    <w:rsid w:val="00EE3EB7"/>
    <w:rsid w:val="00F27EB7"/>
    <w:rsid w:val="00F57E16"/>
    <w:rsid w:val="00F60336"/>
    <w:rsid w:val="00F8194B"/>
    <w:rsid w:val="00FD652E"/>
    <w:rsid w:val="00FE47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3B7A6"/>
  <w15:chartTrackingRefBased/>
  <w15:docId w15:val="{F1FA7F7B-93EB-460F-A730-FBA2C39F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table" w:styleId="Tabel-Gitter">
    <w:name w:val="Table Grid"/>
    <w:basedOn w:val="Tabel-Normal"/>
    <w:uiPriority w:val="39"/>
    <w:rsid w:val="00143BF3"/>
    <w:rPr>
      <w:rFonts w:asciiTheme="minorHAnsi" w:eastAsiaTheme="minorHAnsi" w:hAnsiTheme="minorHAnsi" w:cstheme="minorBidi"/>
      <w:sz w:val="22"/>
      <w:szCs w:val="22"/>
      <w:lang w:val="el-G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7505">
      <w:bodyDiv w:val="1"/>
      <w:marLeft w:val="0"/>
      <w:marRight w:val="0"/>
      <w:marTop w:val="0"/>
      <w:marBottom w:val="0"/>
      <w:divBdr>
        <w:top w:val="none" w:sz="0" w:space="0" w:color="auto"/>
        <w:left w:val="none" w:sz="0" w:space="0" w:color="auto"/>
        <w:bottom w:val="none" w:sz="0" w:space="0" w:color="auto"/>
        <w:right w:val="none" w:sz="0" w:space="0" w:color="auto"/>
      </w:divBdr>
    </w:div>
    <w:div w:id="31468431">
      <w:bodyDiv w:val="1"/>
      <w:marLeft w:val="0"/>
      <w:marRight w:val="0"/>
      <w:marTop w:val="0"/>
      <w:marBottom w:val="0"/>
      <w:divBdr>
        <w:top w:val="none" w:sz="0" w:space="0" w:color="auto"/>
        <w:left w:val="none" w:sz="0" w:space="0" w:color="auto"/>
        <w:bottom w:val="none" w:sz="0" w:space="0" w:color="auto"/>
        <w:right w:val="none" w:sz="0" w:space="0" w:color="auto"/>
      </w:divBdr>
    </w:div>
    <w:div w:id="62799940">
      <w:bodyDiv w:val="1"/>
      <w:marLeft w:val="0"/>
      <w:marRight w:val="0"/>
      <w:marTop w:val="0"/>
      <w:marBottom w:val="0"/>
      <w:divBdr>
        <w:top w:val="none" w:sz="0" w:space="0" w:color="auto"/>
        <w:left w:val="none" w:sz="0" w:space="0" w:color="auto"/>
        <w:bottom w:val="none" w:sz="0" w:space="0" w:color="auto"/>
        <w:right w:val="none" w:sz="0" w:space="0" w:color="auto"/>
      </w:divBdr>
    </w:div>
    <w:div w:id="88429376">
      <w:bodyDiv w:val="1"/>
      <w:marLeft w:val="0"/>
      <w:marRight w:val="0"/>
      <w:marTop w:val="0"/>
      <w:marBottom w:val="0"/>
      <w:divBdr>
        <w:top w:val="none" w:sz="0" w:space="0" w:color="auto"/>
        <w:left w:val="none" w:sz="0" w:space="0" w:color="auto"/>
        <w:bottom w:val="none" w:sz="0" w:space="0" w:color="auto"/>
        <w:right w:val="none" w:sz="0" w:space="0" w:color="auto"/>
      </w:divBdr>
    </w:div>
    <w:div w:id="145783841">
      <w:bodyDiv w:val="1"/>
      <w:marLeft w:val="0"/>
      <w:marRight w:val="0"/>
      <w:marTop w:val="0"/>
      <w:marBottom w:val="0"/>
      <w:divBdr>
        <w:top w:val="none" w:sz="0" w:space="0" w:color="auto"/>
        <w:left w:val="none" w:sz="0" w:space="0" w:color="auto"/>
        <w:bottom w:val="none" w:sz="0" w:space="0" w:color="auto"/>
        <w:right w:val="none" w:sz="0" w:space="0" w:color="auto"/>
      </w:divBdr>
    </w:div>
    <w:div w:id="174003982">
      <w:bodyDiv w:val="1"/>
      <w:marLeft w:val="0"/>
      <w:marRight w:val="0"/>
      <w:marTop w:val="0"/>
      <w:marBottom w:val="0"/>
      <w:divBdr>
        <w:top w:val="none" w:sz="0" w:space="0" w:color="auto"/>
        <w:left w:val="none" w:sz="0" w:space="0" w:color="auto"/>
        <w:bottom w:val="none" w:sz="0" w:space="0" w:color="auto"/>
        <w:right w:val="none" w:sz="0" w:space="0" w:color="auto"/>
      </w:divBdr>
    </w:div>
    <w:div w:id="188447647">
      <w:bodyDiv w:val="1"/>
      <w:marLeft w:val="0"/>
      <w:marRight w:val="0"/>
      <w:marTop w:val="0"/>
      <w:marBottom w:val="0"/>
      <w:divBdr>
        <w:top w:val="none" w:sz="0" w:space="0" w:color="auto"/>
        <w:left w:val="none" w:sz="0" w:space="0" w:color="auto"/>
        <w:bottom w:val="none" w:sz="0" w:space="0" w:color="auto"/>
        <w:right w:val="none" w:sz="0" w:space="0" w:color="auto"/>
      </w:divBdr>
    </w:div>
    <w:div w:id="198713819">
      <w:bodyDiv w:val="1"/>
      <w:marLeft w:val="0"/>
      <w:marRight w:val="0"/>
      <w:marTop w:val="0"/>
      <w:marBottom w:val="0"/>
      <w:divBdr>
        <w:top w:val="none" w:sz="0" w:space="0" w:color="auto"/>
        <w:left w:val="none" w:sz="0" w:space="0" w:color="auto"/>
        <w:bottom w:val="none" w:sz="0" w:space="0" w:color="auto"/>
        <w:right w:val="none" w:sz="0" w:space="0" w:color="auto"/>
      </w:divBdr>
    </w:div>
    <w:div w:id="313603231">
      <w:bodyDiv w:val="1"/>
      <w:marLeft w:val="0"/>
      <w:marRight w:val="0"/>
      <w:marTop w:val="0"/>
      <w:marBottom w:val="0"/>
      <w:divBdr>
        <w:top w:val="none" w:sz="0" w:space="0" w:color="auto"/>
        <w:left w:val="none" w:sz="0" w:space="0" w:color="auto"/>
        <w:bottom w:val="none" w:sz="0" w:space="0" w:color="auto"/>
        <w:right w:val="none" w:sz="0" w:space="0" w:color="auto"/>
      </w:divBdr>
    </w:div>
    <w:div w:id="357580711">
      <w:bodyDiv w:val="1"/>
      <w:marLeft w:val="0"/>
      <w:marRight w:val="0"/>
      <w:marTop w:val="0"/>
      <w:marBottom w:val="0"/>
      <w:divBdr>
        <w:top w:val="none" w:sz="0" w:space="0" w:color="auto"/>
        <w:left w:val="none" w:sz="0" w:space="0" w:color="auto"/>
        <w:bottom w:val="none" w:sz="0" w:space="0" w:color="auto"/>
        <w:right w:val="none" w:sz="0" w:space="0" w:color="auto"/>
      </w:divBdr>
    </w:div>
    <w:div w:id="376709267">
      <w:bodyDiv w:val="1"/>
      <w:marLeft w:val="0"/>
      <w:marRight w:val="0"/>
      <w:marTop w:val="0"/>
      <w:marBottom w:val="0"/>
      <w:divBdr>
        <w:top w:val="none" w:sz="0" w:space="0" w:color="auto"/>
        <w:left w:val="none" w:sz="0" w:space="0" w:color="auto"/>
        <w:bottom w:val="none" w:sz="0" w:space="0" w:color="auto"/>
        <w:right w:val="none" w:sz="0" w:space="0" w:color="auto"/>
      </w:divBdr>
    </w:div>
    <w:div w:id="552808591">
      <w:bodyDiv w:val="1"/>
      <w:marLeft w:val="0"/>
      <w:marRight w:val="0"/>
      <w:marTop w:val="0"/>
      <w:marBottom w:val="0"/>
      <w:divBdr>
        <w:top w:val="none" w:sz="0" w:space="0" w:color="auto"/>
        <w:left w:val="none" w:sz="0" w:space="0" w:color="auto"/>
        <w:bottom w:val="none" w:sz="0" w:space="0" w:color="auto"/>
        <w:right w:val="none" w:sz="0" w:space="0" w:color="auto"/>
      </w:divBdr>
    </w:div>
    <w:div w:id="566309893">
      <w:bodyDiv w:val="1"/>
      <w:marLeft w:val="0"/>
      <w:marRight w:val="0"/>
      <w:marTop w:val="0"/>
      <w:marBottom w:val="0"/>
      <w:divBdr>
        <w:top w:val="none" w:sz="0" w:space="0" w:color="auto"/>
        <w:left w:val="none" w:sz="0" w:space="0" w:color="auto"/>
        <w:bottom w:val="none" w:sz="0" w:space="0" w:color="auto"/>
        <w:right w:val="none" w:sz="0" w:space="0" w:color="auto"/>
      </w:divBdr>
    </w:div>
    <w:div w:id="655033626">
      <w:bodyDiv w:val="1"/>
      <w:marLeft w:val="0"/>
      <w:marRight w:val="0"/>
      <w:marTop w:val="0"/>
      <w:marBottom w:val="0"/>
      <w:divBdr>
        <w:top w:val="none" w:sz="0" w:space="0" w:color="auto"/>
        <w:left w:val="none" w:sz="0" w:space="0" w:color="auto"/>
        <w:bottom w:val="none" w:sz="0" w:space="0" w:color="auto"/>
        <w:right w:val="none" w:sz="0" w:space="0" w:color="auto"/>
      </w:divBdr>
    </w:div>
    <w:div w:id="661201682">
      <w:bodyDiv w:val="1"/>
      <w:marLeft w:val="0"/>
      <w:marRight w:val="0"/>
      <w:marTop w:val="0"/>
      <w:marBottom w:val="0"/>
      <w:divBdr>
        <w:top w:val="none" w:sz="0" w:space="0" w:color="auto"/>
        <w:left w:val="none" w:sz="0" w:space="0" w:color="auto"/>
        <w:bottom w:val="none" w:sz="0" w:space="0" w:color="auto"/>
        <w:right w:val="none" w:sz="0" w:space="0" w:color="auto"/>
      </w:divBdr>
    </w:div>
    <w:div w:id="734932914">
      <w:bodyDiv w:val="1"/>
      <w:marLeft w:val="0"/>
      <w:marRight w:val="0"/>
      <w:marTop w:val="0"/>
      <w:marBottom w:val="0"/>
      <w:divBdr>
        <w:top w:val="none" w:sz="0" w:space="0" w:color="auto"/>
        <w:left w:val="none" w:sz="0" w:space="0" w:color="auto"/>
        <w:bottom w:val="none" w:sz="0" w:space="0" w:color="auto"/>
        <w:right w:val="none" w:sz="0" w:space="0" w:color="auto"/>
      </w:divBdr>
    </w:div>
    <w:div w:id="797145063">
      <w:bodyDiv w:val="1"/>
      <w:marLeft w:val="0"/>
      <w:marRight w:val="0"/>
      <w:marTop w:val="0"/>
      <w:marBottom w:val="0"/>
      <w:divBdr>
        <w:top w:val="none" w:sz="0" w:space="0" w:color="auto"/>
        <w:left w:val="none" w:sz="0" w:space="0" w:color="auto"/>
        <w:bottom w:val="none" w:sz="0" w:space="0" w:color="auto"/>
        <w:right w:val="none" w:sz="0" w:space="0" w:color="auto"/>
      </w:divBdr>
    </w:div>
    <w:div w:id="832724536">
      <w:bodyDiv w:val="1"/>
      <w:marLeft w:val="0"/>
      <w:marRight w:val="0"/>
      <w:marTop w:val="0"/>
      <w:marBottom w:val="0"/>
      <w:divBdr>
        <w:top w:val="none" w:sz="0" w:space="0" w:color="auto"/>
        <w:left w:val="none" w:sz="0" w:space="0" w:color="auto"/>
        <w:bottom w:val="none" w:sz="0" w:space="0" w:color="auto"/>
        <w:right w:val="none" w:sz="0" w:space="0" w:color="auto"/>
      </w:divBdr>
    </w:div>
    <w:div w:id="849950905">
      <w:bodyDiv w:val="1"/>
      <w:marLeft w:val="0"/>
      <w:marRight w:val="0"/>
      <w:marTop w:val="0"/>
      <w:marBottom w:val="0"/>
      <w:divBdr>
        <w:top w:val="none" w:sz="0" w:space="0" w:color="auto"/>
        <w:left w:val="none" w:sz="0" w:space="0" w:color="auto"/>
        <w:bottom w:val="none" w:sz="0" w:space="0" w:color="auto"/>
        <w:right w:val="none" w:sz="0" w:space="0" w:color="auto"/>
      </w:divBdr>
    </w:div>
    <w:div w:id="859585708">
      <w:bodyDiv w:val="1"/>
      <w:marLeft w:val="0"/>
      <w:marRight w:val="0"/>
      <w:marTop w:val="0"/>
      <w:marBottom w:val="0"/>
      <w:divBdr>
        <w:top w:val="none" w:sz="0" w:space="0" w:color="auto"/>
        <w:left w:val="none" w:sz="0" w:space="0" w:color="auto"/>
        <w:bottom w:val="none" w:sz="0" w:space="0" w:color="auto"/>
        <w:right w:val="none" w:sz="0" w:space="0" w:color="auto"/>
      </w:divBdr>
    </w:div>
    <w:div w:id="926227724">
      <w:bodyDiv w:val="1"/>
      <w:marLeft w:val="0"/>
      <w:marRight w:val="0"/>
      <w:marTop w:val="0"/>
      <w:marBottom w:val="0"/>
      <w:divBdr>
        <w:top w:val="none" w:sz="0" w:space="0" w:color="auto"/>
        <w:left w:val="none" w:sz="0" w:space="0" w:color="auto"/>
        <w:bottom w:val="none" w:sz="0" w:space="0" w:color="auto"/>
        <w:right w:val="none" w:sz="0" w:space="0" w:color="auto"/>
      </w:divBdr>
    </w:div>
    <w:div w:id="931888660">
      <w:bodyDiv w:val="1"/>
      <w:marLeft w:val="0"/>
      <w:marRight w:val="0"/>
      <w:marTop w:val="0"/>
      <w:marBottom w:val="0"/>
      <w:divBdr>
        <w:top w:val="none" w:sz="0" w:space="0" w:color="auto"/>
        <w:left w:val="none" w:sz="0" w:space="0" w:color="auto"/>
        <w:bottom w:val="none" w:sz="0" w:space="0" w:color="auto"/>
        <w:right w:val="none" w:sz="0" w:space="0" w:color="auto"/>
      </w:divBdr>
    </w:div>
    <w:div w:id="1033917098">
      <w:bodyDiv w:val="1"/>
      <w:marLeft w:val="0"/>
      <w:marRight w:val="0"/>
      <w:marTop w:val="0"/>
      <w:marBottom w:val="0"/>
      <w:divBdr>
        <w:top w:val="none" w:sz="0" w:space="0" w:color="auto"/>
        <w:left w:val="none" w:sz="0" w:space="0" w:color="auto"/>
        <w:bottom w:val="none" w:sz="0" w:space="0" w:color="auto"/>
        <w:right w:val="none" w:sz="0" w:space="0" w:color="auto"/>
      </w:divBdr>
    </w:div>
    <w:div w:id="1112439836">
      <w:bodyDiv w:val="1"/>
      <w:marLeft w:val="0"/>
      <w:marRight w:val="0"/>
      <w:marTop w:val="0"/>
      <w:marBottom w:val="0"/>
      <w:divBdr>
        <w:top w:val="none" w:sz="0" w:space="0" w:color="auto"/>
        <w:left w:val="none" w:sz="0" w:space="0" w:color="auto"/>
        <w:bottom w:val="none" w:sz="0" w:space="0" w:color="auto"/>
        <w:right w:val="none" w:sz="0" w:space="0" w:color="auto"/>
      </w:divBdr>
    </w:div>
    <w:div w:id="1136532066">
      <w:bodyDiv w:val="1"/>
      <w:marLeft w:val="0"/>
      <w:marRight w:val="0"/>
      <w:marTop w:val="0"/>
      <w:marBottom w:val="0"/>
      <w:divBdr>
        <w:top w:val="none" w:sz="0" w:space="0" w:color="auto"/>
        <w:left w:val="none" w:sz="0" w:space="0" w:color="auto"/>
        <w:bottom w:val="none" w:sz="0" w:space="0" w:color="auto"/>
        <w:right w:val="none" w:sz="0" w:space="0" w:color="auto"/>
      </w:divBdr>
    </w:div>
    <w:div w:id="1152939796">
      <w:bodyDiv w:val="1"/>
      <w:marLeft w:val="0"/>
      <w:marRight w:val="0"/>
      <w:marTop w:val="0"/>
      <w:marBottom w:val="0"/>
      <w:divBdr>
        <w:top w:val="none" w:sz="0" w:space="0" w:color="auto"/>
        <w:left w:val="none" w:sz="0" w:space="0" w:color="auto"/>
        <w:bottom w:val="none" w:sz="0" w:space="0" w:color="auto"/>
        <w:right w:val="none" w:sz="0" w:space="0" w:color="auto"/>
      </w:divBdr>
    </w:div>
    <w:div w:id="1211503377">
      <w:bodyDiv w:val="1"/>
      <w:marLeft w:val="0"/>
      <w:marRight w:val="0"/>
      <w:marTop w:val="0"/>
      <w:marBottom w:val="0"/>
      <w:divBdr>
        <w:top w:val="none" w:sz="0" w:space="0" w:color="auto"/>
        <w:left w:val="none" w:sz="0" w:space="0" w:color="auto"/>
        <w:bottom w:val="none" w:sz="0" w:space="0" w:color="auto"/>
        <w:right w:val="none" w:sz="0" w:space="0" w:color="auto"/>
      </w:divBdr>
    </w:div>
    <w:div w:id="1562862498">
      <w:bodyDiv w:val="1"/>
      <w:marLeft w:val="0"/>
      <w:marRight w:val="0"/>
      <w:marTop w:val="0"/>
      <w:marBottom w:val="0"/>
      <w:divBdr>
        <w:top w:val="none" w:sz="0" w:space="0" w:color="auto"/>
        <w:left w:val="none" w:sz="0" w:space="0" w:color="auto"/>
        <w:bottom w:val="none" w:sz="0" w:space="0" w:color="auto"/>
        <w:right w:val="none" w:sz="0" w:space="0" w:color="auto"/>
      </w:divBdr>
    </w:div>
    <w:div w:id="1642492057">
      <w:bodyDiv w:val="1"/>
      <w:marLeft w:val="0"/>
      <w:marRight w:val="0"/>
      <w:marTop w:val="0"/>
      <w:marBottom w:val="0"/>
      <w:divBdr>
        <w:top w:val="none" w:sz="0" w:space="0" w:color="auto"/>
        <w:left w:val="none" w:sz="0" w:space="0" w:color="auto"/>
        <w:bottom w:val="none" w:sz="0" w:space="0" w:color="auto"/>
        <w:right w:val="none" w:sz="0" w:space="0" w:color="auto"/>
      </w:divBdr>
    </w:div>
    <w:div w:id="1654020182">
      <w:bodyDiv w:val="1"/>
      <w:marLeft w:val="0"/>
      <w:marRight w:val="0"/>
      <w:marTop w:val="0"/>
      <w:marBottom w:val="0"/>
      <w:divBdr>
        <w:top w:val="none" w:sz="0" w:space="0" w:color="auto"/>
        <w:left w:val="none" w:sz="0" w:space="0" w:color="auto"/>
        <w:bottom w:val="none" w:sz="0" w:space="0" w:color="auto"/>
        <w:right w:val="none" w:sz="0" w:space="0" w:color="auto"/>
      </w:divBdr>
    </w:div>
    <w:div w:id="1657299993">
      <w:bodyDiv w:val="1"/>
      <w:marLeft w:val="0"/>
      <w:marRight w:val="0"/>
      <w:marTop w:val="0"/>
      <w:marBottom w:val="0"/>
      <w:divBdr>
        <w:top w:val="none" w:sz="0" w:space="0" w:color="auto"/>
        <w:left w:val="none" w:sz="0" w:space="0" w:color="auto"/>
        <w:bottom w:val="none" w:sz="0" w:space="0" w:color="auto"/>
        <w:right w:val="none" w:sz="0" w:space="0" w:color="auto"/>
      </w:divBdr>
    </w:div>
    <w:div w:id="1697846614">
      <w:bodyDiv w:val="1"/>
      <w:marLeft w:val="0"/>
      <w:marRight w:val="0"/>
      <w:marTop w:val="0"/>
      <w:marBottom w:val="0"/>
      <w:divBdr>
        <w:top w:val="none" w:sz="0" w:space="0" w:color="auto"/>
        <w:left w:val="none" w:sz="0" w:space="0" w:color="auto"/>
        <w:bottom w:val="none" w:sz="0" w:space="0" w:color="auto"/>
        <w:right w:val="none" w:sz="0" w:space="0" w:color="auto"/>
      </w:divBdr>
    </w:div>
    <w:div w:id="1702584415">
      <w:bodyDiv w:val="1"/>
      <w:marLeft w:val="0"/>
      <w:marRight w:val="0"/>
      <w:marTop w:val="0"/>
      <w:marBottom w:val="0"/>
      <w:divBdr>
        <w:top w:val="none" w:sz="0" w:space="0" w:color="auto"/>
        <w:left w:val="none" w:sz="0" w:space="0" w:color="auto"/>
        <w:bottom w:val="none" w:sz="0" w:space="0" w:color="auto"/>
        <w:right w:val="none" w:sz="0" w:space="0" w:color="auto"/>
      </w:divBdr>
    </w:div>
    <w:div w:id="1717655188">
      <w:bodyDiv w:val="1"/>
      <w:marLeft w:val="0"/>
      <w:marRight w:val="0"/>
      <w:marTop w:val="0"/>
      <w:marBottom w:val="0"/>
      <w:divBdr>
        <w:top w:val="none" w:sz="0" w:space="0" w:color="auto"/>
        <w:left w:val="none" w:sz="0" w:space="0" w:color="auto"/>
        <w:bottom w:val="none" w:sz="0" w:space="0" w:color="auto"/>
        <w:right w:val="none" w:sz="0" w:space="0" w:color="auto"/>
      </w:divBdr>
    </w:div>
    <w:div w:id="1757289082">
      <w:bodyDiv w:val="1"/>
      <w:marLeft w:val="0"/>
      <w:marRight w:val="0"/>
      <w:marTop w:val="0"/>
      <w:marBottom w:val="0"/>
      <w:divBdr>
        <w:top w:val="none" w:sz="0" w:space="0" w:color="auto"/>
        <w:left w:val="none" w:sz="0" w:space="0" w:color="auto"/>
        <w:bottom w:val="none" w:sz="0" w:space="0" w:color="auto"/>
        <w:right w:val="none" w:sz="0" w:space="0" w:color="auto"/>
      </w:divBdr>
    </w:div>
    <w:div w:id="1778334002">
      <w:bodyDiv w:val="1"/>
      <w:marLeft w:val="0"/>
      <w:marRight w:val="0"/>
      <w:marTop w:val="0"/>
      <w:marBottom w:val="0"/>
      <w:divBdr>
        <w:top w:val="none" w:sz="0" w:space="0" w:color="auto"/>
        <w:left w:val="none" w:sz="0" w:space="0" w:color="auto"/>
        <w:bottom w:val="none" w:sz="0" w:space="0" w:color="auto"/>
        <w:right w:val="none" w:sz="0" w:space="0" w:color="auto"/>
      </w:divBdr>
    </w:div>
    <w:div w:id="1794323703">
      <w:bodyDiv w:val="1"/>
      <w:marLeft w:val="0"/>
      <w:marRight w:val="0"/>
      <w:marTop w:val="0"/>
      <w:marBottom w:val="0"/>
      <w:divBdr>
        <w:top w:val="none" w:sz="0" w:space="0" w:color="auto"/>
        <w:left w:val="none" w:sz="0" w:space="0" w:color="auto"/>
        <w:bottom w:val="none" w:sz="0" w:space="0" w:color="auto"/>
        <w:right w:val="none" w:sz="0" w:space="0" w:color="auto"/>
      </w:divBdr>
    </w:div>
    <w:div w:id="1857305596">
      <w:bodyDiv w:val="1"/>
      <w:marLeft w:val="0"/>
      <w:marRight w:val="0"/>
      <w:marTop w:val="0"/>
      <w:marBottom w:val="0"/>
      <w:divBdr>
        <w:top w:val="none" w:sz="0" w:space="0" w:color="auto"/>
        <w:left w:val="none" w:sz="0" w:space="0" w:color="auto"/>
        <w:bottom w:val="none" w:sz="0" w:space="0" w:color="auto"/>
        <w:right w:val="none" w:sz="0" w:space="0" w:color="auto"/>
      </w:divBdr>
    </w:div>
    <w:div w:id="1893030326">
      <w:bodyDiv w:val="1"/>
      <w:marLeft w:val="0"/>
      <w:marRight w:val="0"/>
      <w:marTop w:val="0"/>
      <w:marBottom w:val="0"/>
      <w:divBdr>
        <w:top w:val="none" w:sz="0" w:space="0" w:color="auto"/>
        <w:left w:val="none" w:sz="0" w:space="0" w:color="auto"/>
        <w:bottom w:val="none" w:sz="0" w:space="0" w:color="auto"/>
        <w:right w:val="none" w:sz="0" w:space="0" w:color="auto"/>
      </w:divBdr>
    </w:div>
    <w:div w:id="1905798515">
      <w:bodyDiv w:val="1"/>
      <w:marLeft w:val="0"/>
      <w:marRight w:val="0"/>
      <w:marTop w:val="0"/>
      <w:marBottom w:val="0"/>
      <w:divBdr>
        <w:top w:val="none" w:sz="0" w:space="0" w:color="auto"/>
        <w:left w:val="none" w:sz="0" w:space="0" w:color="auto"/>
        <w:bottom w:val="none" w:sz="0" w:space="0" w:color="auto"/>
        <w:right w:val="none" w:sz="0" w:space="0" w:color="auto"/>
      </w:divBdr>
    </w:div>
    <w:div w:id="1925414892">
      <w:bodyDiv w:val="1"/>
      <w:marLeft w:val="0"/>
      <w:marRight w:val="0"/>
      <w:marTop w:val="0"/>
      <w:marBottom w:val="0"/>
      <w:divBdr>
        <w:top w:val="none" w:sz="0" w:space="0" w:color="auto"/>
        <w:left w:val="none" w:sz="0" w:space="0" w:color="auto"/>
        <w:bottom w:val="none" w:sz="0" w:space="0" w:color="auto"/>
        <w:right w:val="none" w:sz="0" w:space="0" w:color="auto"/>
      </w:divBdr>
    </w:div>
    <w:div w:id="19724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Template>
  <TotalTime>38</TotalTime>
  <Pages>23</Pages>
  <Words>8209</Words>
  <Characters>49394</Characters>
  <Application>Microsoft Office Word</Application>
  <DocSecurity>0</DocSecurity>
  <Lines>411</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2024023234 mt</dc:description>
  <cp:lastModifiedBy>Hanne Thy Iversen</cp:lastModifiedBy>
  <cp:revision>12</cp:revision>
  <cp:lastPrinted>2006-02-24T09:31:00Z</cp:lastPrinted>
  <dcterms:created xsi:type="dcterms:W3CDTF">2026-01-07T09:37:00Z</dcterms:created>
  <dcterms:modified xsi:type="dcterms:W3CDTF">2026-01-08T08:50:00Z</dcterms:modified>
</cp:coreProperties>
</file>