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F2F9" w14:textId="6E58D59C" w:rsidR="009260DE" w:rsidRPr="0089631E" w:rsidRDefault="0021526C" w:rsidP="00CB1A0F">
      <w:pPr>
        <w:rPr>
          <w:b/>
          <w:sz w:val="24"/>
          <w:szCs w:val="24"/>
        </w:rPr>
      </w:pPr>
      <w:bookmarkStart w:id="0" w:name="_GoBack"/>
      <w:bookmarkEnd w:id="0"/>
      <w:r w:rsidRPr="0089631E">
        <w:rPr>
          <w:noProof/>
          <w:sz w:val="24"/>
          <w:szCs w:val="24"/>
          <w:lang w:eastAsia="da-DK"/>
        </w:rPr>
        <w:drawing>
          <wp:anchor distT="0" distB="0" distL="114300" distR="114300" simplePos="0" relativeHeight="251658240" behindDoc="0" locked="0" layoutInCell="1" allowOverlap="1" wp14:anchorId="170DEFFB" wp14:editId="0CBC3F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9631E">
        <w:rPr>
          <w:sz w:val="24"/>
          <w:szCs w:val="24"/>
        </w:rPr>
        <w:br w:type="textWrapping" w:clear="all"/>
      </w:r>
    </w:p>
    <w:p w14:paraId="27D214F9" w14:textId="1010326B" w:rsidR="009260DE" w:rsidRPr="0089631E" w:rsidRDefault="009260DE" w:rsidP="009260DE">
      <w:pPr>
        <w:pStyle w:val="Titel"/>
        <w:tabs>
          <w:tab w:val="right" w:pos="9356"/>
        </w:tabs>
        <w:jc w:val="left"/>
        <w:rPr>
          <w:b w:val="0"/>
          <w:szCs w:val="24"/>
          <w:lang w:eastAsia="en-US"/>
        </w:rPr>
      </w:pPr>
      <w:r w:rsidRPr="0089631E">
        <w:rPr>
          <w:b w:val="0"/>
          <w:szCs w:val="24"/>
          <w:lang w:eastAsia="en-US"/>
        </w:rPr>
        <w:tab/>
      </w:r>
      <w:r w:rsidR="008901D0">
        <w:rPr>
          <w:szCs w:val="24"/>
          <w:lang w:eastAsia="en-US"/>
        </w:rPr>
        <w:t>18. marts 2025</w:t>
      </w:r>
    </w:p>
    <w:p w14:paraId="417B581E" w14:textId="4032C1B3" w:rsidR="009260DE" w:rsidRPr="0089631E" w:rsidRDefault="009260DE" w:rsidP="009260DE">
      <w:pPr>
        <w:pStyle w:val="Titel"/>
        <w:tabs>
          <w:tab w:val="left" w:pos="8222"/>
        </w:tabs>
        <w:jc w:val="left"/>
        <w:rPr>
          <w:b w:val="0"/>
          <w:szCs w:val="24"/>
        </w:rPr>
      </w:pPr>
    </w:p>
    <w:p w14:paraId="33F05190" w14:textId="77777777" w:rsidR="009260DE" w:rsidRPr="0089631E" w:rsidRDefault="009260DE" w:rsidP="009260DE">
      <w:pPr>
        <w:pStyle w:val="Titel"/>
        <w:jc w:val="left"/>
        <w:rPr>
          <w:b w:val="0"/>
          <w:szCs w:val="24"/>
        </w:rPr>
      </w:pPr>
    </w:p>
    <w:p w14:paraId="2575D2E9" w14:textId="77777777" w:rsidR="009260DE" w:rsidRPr="0089631E" w:rsidRDefault="009260DE" w:rsidP="009260DE">
      <w:pPr>
        <w:pStyle w:val="Titel"/>
        <w:jc w:val="left"/>
        <w:rPr>
          <w:b w:val="0"/>
          <w:szCs w:val="24"/>
        </w:rPr>
      </w:pPr>
    </w:p>
    <w:p w14:paraId="34290711" w14:textId="77777777" w:rsidR="009260DE" w:rsidRPr="0089631E" w:rsidRDefault="009260DE" w:rsidP="009260DE">
      <w:pPr>
        <w:jc w:val="center"/>
        <w:rPr>
          <w:b/>
          <w:sz w:val="24"/>
          <w:szCs w:val="24"/>
        </w:rPr>
      </w:pPr>
      <w:r w:rsidRPr="0089631E">
        <w:rPr>
          <w:b/>
          <w:sz w:val="24"/>
          <w:szCs w:val="24"/>
        </w:rPr>
        <w:t>PRODUKTRESUMÉ</w:t>
      </w:r>
    </w:p>
    <w:p w14:paraId="2500E986" w14:textId="77777777" w:rsidR="009260DE" w:rsidRPr="0089631E" w:rsidRDefault="009260DE" w:rsidP="009260DE">
      <w:pPr>
        <w:jc w:val="center"/>
        <w:rPr>
          <w:b/>
          <w:sz w:val="24"/>
          <w:szCs w:val="24"/>
        </w:rPr>
      </w:pPr>
    </w:p>
    <w:p w14:paraId="2F0B850F" w14:textId="77777777" w:rsidR="009260DE" w:rsidRPr="0089631E" w:rsidRDefault="009260DE" w:rsidP="009260DE">
      <w:pPr>
        <w:jc w:val="center"/>
        <w:rPr>
          <w:b/>
          <w:sz w:val="24"/>
          <w:szCs w:val="24"/>
        </w:rPr>
      </w:pPr>
      <w:r w:rsidRPr="0089631E">
        <w:rPr>
          <w:b/>
          <w:sz w:val="24"/>
          <w:szCs w:val="24"/>
        </w:rPr>
        <w:t>for</w:t>
      </w:r>
    </w:p>
    <w:p w14:paraId="67FC5FF2" w14:textId="77777777" w:rsidR="000B058C" w:rsidRPr="0089631E" w:rsidRDefault="000B058C" w:rsidP="009260DE">
      <w:pPr>
        <w:jc w:val="center"/>
        <w:rPr>
          <w:b/>
          <w:sz w:val="24"/>
          <w:szCs w:val="24"/>
        </w:rPr>
      </w:pPr>
    </w:p>
    <w:p w14:paraId="57F9BC67" w14:textId="1D033F20" w:rsidR="009260DE" w:rsidRPr="0089631E" w:rsidRDefault="00505C75" w:rsidP="009260DE">
      <w:pPr>
        <w:jc w:val="center"/>
        <w:rPr>
          <w:b/>
          <w:sz w:val="24"/>
          <w:szCs w:val="24"/>
        </w:rPr>
      </w:pPr>
      <w:proofErr w:type="spellStart"/>
      <w:r w:rsidRPr="0089631E">
        <w:rPr>
          <w:b/>
          <w:sz w:val="24"/>
          <w:szCs w:val="24"/>
        </w:rPr>
        <w:t>Bonjesta</w:t>
      </w:r>
      <w:proofErr w:type="spellEnd"/>
      <w:r w:rsidRPr="0089631E">
        <w:rPr>
          <w:b/>
          <w:sz w:val="24"/>
          <w:szCs w:val="24"/>
        </w:rPr>
        <w:t>, tabletter med modificeret udløsning</w:t>
      </w:r>
    </w:p>
    <w:p w14:paraId="22BD8E11" w14:textId="77777777" w:rsidR="009260DE" w:rsidRPr="0089631E" w:rsidRDefault="009260DE" w:rsidP="009260DE">
      <w:pPr>
        <w:jc w:val="both"/>
        <w:rPr>
          <w:sz w:val="24"/>
          <w:szCs w:val="24"/>
        </w:rPr>
      </w:pPr>
    </w:p>
    <w:p w14:paraId="5CFFE310" w14:textId="77777777" w:rsidR="009260DE" w:rsidRPr="0089631E" w:rsidRDefault="009260DE" w:rsidP="009260DE">
      <w:pPr>
        <w:jc w:val="both"/>
        <w:rPr>
          <w:sz w:val="24"/>
          <w:szCs w:val="24"/>
        </w:rPr>
      </w:pPr>
    </w:p>
    <w:p w14:paraId="5FB6C230" w14:textId="77777777" w:rsidR="009260DE" w:rsidRPr="0089631E" w:rsidRDefault="009260DE" w:rsidP="009260DE">
      <w:pPr>
        <w:tabs>
          <w:tab w:val="left" w:pos="851"/>
        </w:tabs>
        <w:ind w:left="851" w:hanging="851"/>
        <w:rPr>
          <w:b/>
          <w:sz w:val="24"/>
          <w:szCs w:val="24"/>
        </w:rPr>
      </w:pPr>
      <w:r w:rsidRPr="0089631E">
        <w:rPr>
          <w:b/>
          <w:sz w:val="24"/>
          <w:szCs w:val="24"/>
        </w:rPr>
        <w:t>0.</w:t>
      </w:r>
      <w:r w:rsidRPr="0089631E">
        <w:rPr>
          <w:b/>
          <w:sz w:val="24"/>
          <w:szCs w:val="24"/>
        </w:rPr>
        <w:tab/>
        <w:t>D.SP.NR.</w:t>
      </w:r>
    </w:p>
    <w:p w14:paraId="0144A26E" w14:textId="726FDC64" w:rsidR="009260DE" w:rsidRPr="0089631E" w:rsidRDefault="00505C75" w:rsidP="009260DE">
      <w:pPr>
        <w:tabs>
          <w:tab w:val="left" w:pos="851"/>
        </w:tabs>
        <w:ind w:left="851"/>
        <w:rPr>
          <w:sz w:val="24"/>
          <w:szCs w:val="24"/>
        </w:rPr>
      </w:pPr>
      <w:r w:rsidRPr="0089631E">
        <w:rPr>
          <w:sz w:val="24"/>
          <w:szCs w:val="24"/>
        </w:rPr>
        <w:t>32638</w:t>
      </w:r>
    </w:p>
    <w:p w14:paraId="4117F428" w14:textId="77777777" w:rsidR="009260DE" w:rsidRPr="0089631E" w:rsidRDefault="009260DE" w:rsidP="009260DE">
      <w:pPr>
        <w:tabs>
          <w:tab w:val="left" w:pos="851"/>
        </w:tabs>
        <w:ind w:left="851"/>
        <w:rPr>
          <w:sz w:val="24"/>
          <w:szCs w:val="24"/>
        </w:rPr>
      </w:pPr>
    </w:p>
    <w:p w14:paraId="4EFE8417" w14:textId="77777777" w:rsidR="009260DE" w:rsidRPr="0089631E" w:rsidRDefault="009260DE" w:rsidP="009260DE">
      <w:pPr>
        <w:tabs>
          <w:tab w:val="left" w:pos="851"/>
        </w:tabs>
        <w:ind w:left="851" w:hanging="851"/>
        <w:rPr>
          <w:b/>
          <w:sz w:val="24"/>
          <w:szCs w:val="24"/>
        </w:rPr>
      </w:pPr>
      <w:r w:rsidRPr="0089631E">
        <w:rPr>
          <w:b/>
          <w:sz w:val="24"/>
          <w:szCs w:val="24"/>
        </w:rPr>
        <w:t>1.</w:t>
      </w:r>
      <w:r w:rsidRPr="0089631E">
        <w:rPr>
          <w:b/>
          <w:sz w:val="24"/>
          <w:szCs w:val="24"/>
        </w:rPr>
        <w:tab/>
        <w:t>LÆGEMIDLETS NAVN</w:t>
      </w:r>
    </w:p>
    <w:p w14:paraId="151E3854" w14:textId="39A2FBF2" w:rsidR="009260DE" w:rsidRPr="0089631E" w:rsidRDefault="00505C75" w:rsidP="009260DE">
      <w:pPr>
        <w:tabs>
          <w:tab w:val="left" w:pos="851"/>
        </w:tabs>
        <w:ind w:left="851"/>
        <w:rPr>
          <w:sz w:val="24"/>
          <w:szCs w:val="24"/>
        </w:rPr>
      </w:pPr>
      <w:proofErr w:type="spellStart"/>
      <w:r w:rsidRPr="0089631E">
        <w:rPr>
          <w:sz w:val="24"/>
          <w:szCs w:val="24"/>
        </w:rPr>
        <w:t>Bonjesta</w:t>
      </w:r>
      <w:proofErr w:type="spellEnd"/>
    </w:p>
    <w:p w14:paraId="4363BD6A" w14:textId="77777777" w:rsidR="009260DE" w:rsidRPr="0089631E" w:rsidRDefault="009260DE" w:rsidP="009260DE">
      <w:pPr>
        <w:tabs>
          <w:tab w:val="left" w:pos="851"/>
        </w:tabs>
        <w:ind w:left="851"/>
        <w:rPr>
          <w:sz w:val="24"/>
          <w:szCs w:val="24"/>
        </w:rPr>
      </w:pPr>
    </w:p>
    <w:p w14:paraId="64666F9C" w14:textId="77777777" w:rsidR="009260DE" w:rsidRPr="0089631E" w:rsidRDefault="009260DE" w:rsidP="009260DE">
      <w:pPr>
        <w:tabs>
          <w:tab w:val="left" w:pos="851"/>
        </w:tabs>
        <w:ind w:left="851" w:hanging="851"/>
        <w:rPr>
          <w:b/>
          <w:sz w:val="24"/>
          <w:szCs w:val="24"/>
        </w:rPr>
      </w:pPr>
      <w:r w:rsidRPr="0089631E">
        <w:rPr>
          <w:b/>
          <w:sz w:val="24"/>
          <w:szCs w:val="24"/>
        </w:rPr>
        <w:t>2.</w:t>
      </w:r>
      <w:r w:rsidRPr="0089631E">
        <w:rPr>
          <w:b/>
          <w:sz w:val="24"/>
          <w:szCs w:val="24"/>
        </w:rPr>
        <w:tab/>
        <w:t>KVALITATIV OG KVANTITATIV SAMMENSÆTNING</w:t>
      </w:r>
    </w:p>
    <w:p w14:paraId="3257C80F" w14:textId="38A2A534" w:rsidR="0048621A" w:rsidRPr="0089631E" w:rsidRDefault="0048621A" w:rsidP="00076476">
      <w:pPr>
        <w:ind w:left="851"/>
        <w:rPr>
          <w:sz w:val="24"/>
          <w:szCs w:val="24"/>
          <w:lang w:eastAsia="en-GB"/>
        </w:rPr>
      </w:pPr>
      <w:r w:rsidRPr="0089631E">
        <w:rPr>
          <w:sz w:val="24"/>
          <w:szCs w:val="24"/>
        </w:rPr>
        <w:t xml:space="preserve">Hver tablet med modificeret udløsning indeholder 20 mg </w:t>
      </w:r>
      <w:proofErr w:type="spellStart"/>
      <w:r w:rsidRPr="0089631E">
        <w:rPr>
          <w:sz w:val="24"/>
          <w:szCs w:val="24"/>
        </w:rPr>
        <w:t>doxylaminhydrogensuccinat</w:t>
      </w:r>
      <w:proofErr w:type="spellEnd"/>
      <w:r w:rsidRPr="0089631E">
        <w:rPr>
          <w:sz w:val="24"/>
          <w:szCs w:val="24"/>
        </w:rPr>
        <w:t xml:space="preserve"> og 20 mg </w:t>
      </w:r>
      <w:proofErr w:type="spellStart"/>
      <w:r w:rsidRPr="0089631E">
        <w:rPr>
          <w:sz w:val="24"/>
          <w:szCs w:val="24"/>
        </w:rPr>
        <w:t>pyridoxinhydrochlorid</w:t>
      </w:r>
      <w:proofErr w:type="spellEnd"/>
      <w:r w:rsidRPr="0089631E">
        <w:rPr>
          <w:sz w:val="24"/>
          <w:szCs w:val="24"/>
        </w:rPr>
        <w:t xml:space="preserve">. </w:t>
      </w:r>
      <w:proofErr w:type="spellStart"/>
      <w:r w:rsidRPr="0089631E">
        <w:rPr>
          <w:sz w:val="24"/>
          <w:szCs w:val="24"/>
        </w:rPr>
        <w:t>Bonjesta</w:t>
      </w:r>
      <w:proofErr w:type="spellEnd"/>
      <w:r w:rsidRPr="0089631E">
        <w:rPr>
          <w:sz w:val="24"/>
          <w:szCs w:val="24"/>
        </w:rPr>
        <w:t xml:space="preserve"> består af en kerne med </w:t>
      </w:r>
      <w:proofErr w:type="spellStart"/>
      <w:r w:rsidRPr="0089631E">
        <w:rPr>
          <w:sz w:val="24"/>
          <w:szCs w:val="24"/>
        </w:rPr>
        <w:t>enteroovertræk</w:t>
      </w:r>
      <w:proofErr w:type="spellEnd"/>
      <w:r w:rsidRPr="0089631E">
        <w:rPr>
          <w:sz w:val="24"/>
          <w:szCs w:val="24"/>
        </w:rPr>
        <w:t xml:space="preserve"> indeholdende 10 mg </w:t>
      </w:r>
      <w:proofErr w:type="spellStart"/>
      <w:r w:rsidRPr="0089631E">
        <w:rPr>
          <w:sz w:val="24"/>
          <w:szCs w:val="24"/>
        </w:rPr>
        <w:t>doxylaminhydrogensuccinat</w:t>
      </w:r>
      <w:proofErr w:type="spellEnd"/>
      <w:r w:rsidRPr="0089631E">
        <w:rPr>
          <w:sz w:val="24"/>
          <w:szCs w:val="24"/>
        </w:rPr>
        <w:t xml:space="preserve"> og 10 mg </w:t>
      </w:r>
      <w:proofErr w:type="spellStart"/>
      <w:r w:rsidRPr="0089631E">
        <w:rPr>
          <w:sz w:val="24"/>
          <w:szCs w:val="24"/>
        </w:rPr>
        <w:t>pyridoxinhydrochlorid</w:t>
      </w:r>
      <w:proofErr w:type="spellEnd"/>
      <w:r w:rsidRPr="0089631E">
        <w:rPr>
          <w:sz w:val="24"/>
          <w:szCs w:val="24"/>
        </w:rPr>
        <w:t xml:space="preserve"> og et flerlagsovertræk med øjeblikkelig udløsning indeholdende 10 mg </w:t>
      </w:r>
      <w:proofErr w:type="spellStart"/>
      <w:r w:rsidRPr="0089631E">
        <w:rPr>
          <w:sz w:val="24"/>
          <w:szCs w:val="24"/>
        </w:rPr>
        <w:t>doxylamin</w:t>
      </w:r>
      <w:r w:rsidR="0089631E">
        <w:rPr>
          <w:sz w:val="24"/>
          <w:szCs w:val="24"/>
        </w:rPr>
        <w:softHyphen/>
      </w:r>
      <w:r w:rsidRPr="0089631E">
        <w:rPr>
          <w:sz w:val="24"/>
          <w:szCs w:val="24"/>
        </w:rPr>
        <w:t>hydrogensuccinat</w:t>
      </w:r>
      <w:proofErr w:type="spellEnd"/>
      <w:r w:rsidRPr="0089631E">
        <w:rPr>
          <w:sz w:val="24"/>
          <w:szCs w:val="24"/>
        </w:rPr>
        <w:t xml:space="preserve"> og 10 mg </w:t>
      </w:r>
      <w:proofErr w:type="spellStart"/>
      <w:r w:rsidRPr="0089631E">
        <w:rPr>
          <w:sz w:val="24"/>
          <w:szCs w:val="24"/>
        </w:rPr>
        <w:t>pyridoxinhydrochlorid</w:t>
      </w:r>
      <w:proofErr w:type="spellEnd"/>
      <w:r w:rsidRPr="0089631E">
        <w:rPr>
          <w:sz w:val="24"/>
          <w:szCs w:val="24"/>
        </w:rPr>
        <w:t>.</w:t>
      </w:r>
    </w:p>
    <w:p w14:paraId="6CA2BCB7" w14:textId="77777777" w:rsidR="0048621A" w:rsidRPr="0089631E" w:rsidRDefault="0048621A" w:rsidP="00076476">
      <w:pPr>
        <w:ind w:left="851"/>
        <w:rPr>
          <w:sz w:val="24"/>
          <w:szCs w:val="24"/>
        </w:rPr>
      </w:pPr>
    </w:p>
    <w:p w14:paraId="3A2EAD72" w14:textId="77777777" w:rsidR="0048621A" w:rsidRPr="0089631E" w:rsidRDefault="0048621A" w:rsidP="00076476">
      <w:pPr>
        <w:ind w:left="851"/>
        <w:rPr>
          <w:sz w:val="24"/>
          <w:szCs w:val="24"/>
        </w:rPr>
      </w:pPr>
      <w:r w:rsidRPr="0089631E">
        <w:rPr>
          <w:sz w:val="24"/>
          <w:szCs w:val="24"/>
        </w:rPr>
        <w:t>Hjælpestof(fer), som behandleren skal være opmærksom på</w:t>
      </w:r>
    </w:p>
    <w:p w14:paraId="2BC0B6B9" w14:textId="77777777" w:rsidR="0048621A" w:rsidRPr="0089631E" w:rsidRDefault="0048621A" w:rsidP="00076476">
      <w:pPr>
        <w:ind w:left="851"/>
        <w:rPr>
          <w:sz w:val="24"/>
          <w:szCs w:val="24"/>
        </w:rPr>
      </w:pPr>
      <w:r w:rsidRPr="0089631E">
        <w:rPr>
          <w:sz w:val="24"/>
          <w:szCs w:val="24"/>
        </w:rPr>
        <w:t xml:space="preserve">Hver tablet indeholder 0.008 mg </w:t>
      </w:r>
      <w:proofErr w:type="spellStart"/>
      <w:r w:rsidRPr="0089631E">
        <w:rPr>
          <w:sz w:val="24"/>
          <w:szCs w:val="24"/>
        </w:rPr>
        <w:t>allura</w:t>
      </w:r>
      <w:proofErr w:type="spellEnd"/>
      <w:r w:rsidRPr="0089631E">
        <w:rPr>
          <w:sz w:val="24"/>
          <w:szCs w:val="24"/>
        </w:rPr>
        <w:t xml:space="preserve"> rød AC aluminiumlak (E129), et </w:t>
      </w:r>
      <w:proofErr w:type="spellStart"/>
      <w:r w:rsidRPr="0089631E">
        <w:rPr>
          <w:sz w:val="24"/>
          <w:szCs w:val="24"/>
        </w:rPr>
        <w:t>azofarvestof</w:t>
      </w:r>
      <w:proofErr w:type="spellEnd"/>
      <w:r w:rsidRPr="0089631E">
        <w:rPr>
          <w:sz w:val="24"/>
          <w:szCs w:val="24"/>
        </w:rPr>
        <w:t>.</w:t>
      </w:r>
    </w:p>
    <w:p w14:paraId="1B2E958D" w14:textId="77777777" w:rsidR="0048621A" w:rsidRPr="0089631E" w:rsidRDefault="0048621A" w:rsidP="00076476">
      <w:pPr>
        <w:ind w:left="851"/>
        <w:rPr>
          <w:sz w:val="24"/>
          <w:szCs w:val="24"/>
        </w:rPr>
      </w:pPr>
    </w:p>
    <w:p w14:paraId="652BFA7E" w14:textId="77777777" w:rsidR="0048621A" w:rsidRPr="0089631E" w:rsidRDefault="0048621A" w:rsidP="00076476">
      <w:pPr>
        <w:ind w:left="851"/>
        <w:rPr>
          <w:sz w:val="24"/>
          <w:szCs w:val="24"/>
        </w:rPr>
      </w:pPr>
      <w:r w:rsidRPr="0089631E">
        <w:rPr>
          <w:sz w:val="24"/>
          <w:szCs w:val="24"/>
        </w:rPr>
        <w:t>Alle hjælpestoffer er anført under pkt. 6.1.</w:t>
      </w:r>
    </w:p>
    <w:p w14:paraId="21227FC7" w14:textId="77777777" w:rsidR="009260DE" w:rsidRPr="0089631E" w:rsidRDefault="009260DE" w:rsidP="009260DE">
      <w:pPr>
        <w:tabs>
          <w:tab w:val="left" w:pos="851"/>
        </w:tabs>
        <w:ind w:left="851"/>
        <w:rPr>
          <w:sz w:val="24"/>
          <w:szCs w:val="24"/>
        </w:rPr>
      </w:pPr>
    </w:p>
    <w:p w14:paraId="438CAA1E" w14:textId="77777777" w:rsidR="009260DE" w:rsidRPr="0089631E" w:rsidRDefault="009260DE" w:rsidP="009260DE">
      <w:pPr>
        <w:tabs>
          <w:tab w:val="left" w:pos="851"/>
        </w:tabs>
        <w:ind w:left="851" w:hanging="851"/>
        <w:rPr>
          <w:b/>
          <w:sz w:val="24"/>
          <w:szCs w:val="24"/>
        </w:rPr>
      </w:pPr>
      <w:r w:rsidRPr="0089631E">
        <w:rPr>
          <w:b/>
          <w:sz w:val="24"/>
          <w:szCs w:val="24"/>
        </w:rPr>
        <w:t>3.</w:t>
      </w:r>
      <w:r w:rsidRPr="0089631E">
        <w:rPr>
          <w:b/>
          <w:sz w:val="24"/>
          <w:szCs w:val="24"/>
        </w:rPr>
        <w:tab/>
        <w:t>LÆGEMIDDELFORM</w:t>
      </w:r>
    </w:p>
    <w:p w14:paraId="555BB394" w14:textId="0CF0D800" w:rsidR="0048621A" w:rsidRPr="0089631E" w:rsidRDefault="0048621A" w:rsidP="00076476">
      <w:pPr>
        <w:ind w:left="851"/>
        <w:rPr>
          <w:sz w:val="24"/>
          <w:szCs w:val="24"/>
          <w:lang w:eastAsia="en-GB"/>
        </w:rPr>
      </w:pPr>
      <w:r w:rsidRPr="0089631E">
        <w:rPr>
          <w:sz w:val="24"/>
          <w:szCs w:val="24"/>
        </w:rPr>
        <w:t>Tablet</w:t>
      </w:r>
      <w:r w:rsidR="0089631E">
        <w:rPr>
          <w:sz w:val="24"/>
          <w:szCs w:val="24"/>
        </w:rPr>
        <w:t>ter</w:t>
      </w:r>
      <w:r w:rsidRPr="0089631E">
        <w:rPr>
          <w:sz w:val="24"/>
          <w:szCs w:val="24"/>
        </w:rPr>
        <w:t xml:space="preserve"> med modificeret udløsning</w:t>
      </w:r>
    </w:p>
    <w:p w14:paraId="3A051A85" w14:textId="77777777" w:rsidR="0048621A" w:rsidRPr="0089631E" w:rsidRDefault="0048621A" w:rsidP="00076476">
      <w:pPr>
        <w:ind w:left="851"/>
        <w:rPr>
          <w:sz w:val="24"/>
          <w:szCs w:val="24"/>
        </w:rPr>
      </w:pPr>
    </w:p>
    <w:p w14:paraId="70D72D6A" w14:textId="77777777" w:rsidR="0048621A" w:rsidRPr="0089631E" w:rsidRDefault="0048621A" w:rsidP="00076476">
      <w:pPr>
        <w:ind w:left="851"/>
        <w:rPr>
          <w:sz w:val="24"/>
          <w:szCs w:val="24"/>
        </w:rPr>
      </w:pPr>
      <w:r w:rsidRPr="0089631E">
        <w:rPr>
          <w:sz w:val="24"/>
          <w:szCs w:val="24"/>
        </w:rPr>
        <w:t xml:space="preserve">Lyserød, rund filmovertrukken tablet med et motiv i lyserødt af en gravid kvinde på den ene side og bogstavet ”D” på den anden side. Tabletten er ca. 9 mm i diameter og 4 mm tyk. </w:t>
      </w:r>
    </w:p>
    <w:p w14:paraId="3CCCF295" w14:textId="77777777" w:rsidR="009260DE" w:rsidRPr="0089631E" w:rsidRDefault="009260DE" w:rsidP="009260DE">
      <w:pPr>
        <w:tabs>
          <w:tab w:val="left" w:pos="851"/>
        </w:tabs>
        <w:ind w:left="851"/>
        <w:rPr>
          <w:sz w:val="24"/>
          <w:szCs w:val="24"/>
        </w:rPr>
      </w:pPr>
    </w:p>
    <w:p w14:paraId="1D83131A" w14:textId="77777777" w:rsidR="009260DE" w:rsidRPr="0089631E" w:rsidRDefault="009260DE" w:rsidP="009260DE">
      <w:pPr>
        <w:tabs>
          <w:tab w:val="left" w:pos="851"/>
        </w:tabs>
        <w:ind w:left="851"/>
        <w:rPr>
          <w:sz w:val="24"/>
          <w:szCs w:val="24"/>
        </w:rPr>
      </w:pPr>
    </w:p>
    <w:p w14:paraId="48807F2C" w14:textId="77777777" w:rsidR="009260DE" w:rsidRPr="0089631E" w:rsidRDefault="009260DE" w:rsidP="009260DE">
      <w:pPr>
        <w:tabs>
          <w:tab w:val="left" w:pos="851"/>
        </w:tabs>
        <w:ind w:left="851" w:hanging="851"/>
        <w:rPr>
          <w:b/>
          <w:sz w:val="24"/>
          <w:szCs w:val="24"/>
        </w:rPr>
      </w:pPr>
      <w:r w:rsidRPr="0089631E">
        <w:rPr>
          <w:b/>
          <w:sz w:val="24"/>
          <w:szCs w:val="24"/>
        </w:rPr>
        <w:t>4.</w:t>
      </w:r>
      <w:r w:rsidRPr="0089631E">
        <w:rPr>
          <w:b/>
          <w:sz w:val="24"/>
          <w:szCs w:val="24"/>
        </w:rPr>
        <w:tab/>
        <w:t>KLINISKE OPLYSNINGER</w:t>
      </w:r>
    </w:p>
    <w:p w14:paraId="049B93B4" w14:textId="77777777" w:rsidR="009260DE" w:rsidRPr="0089631E" w:rsidRDefault="009260DE" w:rsidP="009260DE">
      <w:pPr>
        <w:tabs>
          <w:tab w:val="left" w:pos="851"/>
        </w:tabs>
        <w:ind w:left="851"/>
        <w:rPr>
          <w:b/>
          <w:sz w:val="24"/>
          <w:szCs w:val="24"/>
        </w:rPr>
      </w:pPr>
    </w:p>
    <w:p w14:paraId="5F7E1643" w14:textId="77777777" w:rsidR="009260DE" w:rsidRPr="0089631E" w:rsidRDefault="009260DE" w:rsidP="009260DE">
      <w:pPr>
        <w:tabs>
          <w:tab w:val="left" w:pos="851"/>
        </w:tabs>
        <w:ind w:left="851" w:hanging="851"/>
        <w:rPr>
          <w:b/>
          <w:sz w:val="24"/>
          <w:szCs w:val="24"/>
          <w:u w:val="single"/>
        </w:rPr>
      </w:pPr>
      <w:r w:rsidRPr="0089631E">
        <w:rPr>
          <w:b/>
          <w:sz w:val="24"/>
          <w:szCs w:val="24"/>
        </w:rPr>
        <w:t>4.1</w:t>
      </w:r>
      <w:r w:rsidRPr="0089631E">
        <w:rPr>
          <w:b/>
          <w:sz w:val="24"/>
          <w:szCs w:val="24"/>
        </w:rPr>
        <w:tab/>
        <w:t>Terapeutiske indikationer</w:t>
      </w:r>
    </w:p>
    <w:p w14:paraId="35C8FB26" w14:textId="77777777" w:rsidR="0048621A" w:rsidRPr="0089631E" w:rsidRDefault="0048621A" w:rsidP="00076476">
      <w:pPr>
        <w:ind w:left="851"/>
        <w:rPr>
          <w:sz w:val="24"/>
          <w:szCs w:val="24"/>
          <w:lang w:eastAsia="en-GB"/>
        </w:rPr>
      </w:pPr>
      <w:proofErr w:type="spellStart"/>
      <w:r w:rsidRPr="0089631E">
        <w:rPr>
          <w:sz w:val="24"/>
          <w:szCs w:val="24"/>
        </w:rPr>
        <w:t>Bonjesta</w:t>
      </w:r>
      <w:proofErr w:type="spellEnd"/>
      <w:r w:rsidRPr="0089631E">
        <w:rPr>
          <w:sz w:val="24"/>
          <w:szCs w:val="24"/>
        </w:rPr>
        <w:t xml:space="preserve"> er indiceret til symptomatisk behandling af kvalme og opkastning i forbindelse med graviditet (NVP) hos gravide ≥ 18 år, som ikke responderer på konservativ behandling (dvs. livsstils- og kostændringer).</w:t>
      </w:r>
    </w:p>
    <w:p w14:paraId="7A57BC4A" w14:textId="77777777" w:rsidR="0048621A" w:rsidRPr="0089631E" w:rsidRDefault="0048621A" w:rsidP="00076476">
      <w:pPr>
        <w:ind w:left="851"/>
        <w:rPr>
          <w:sz w:val="24"/>
          <w:szCs w:val="24"/>
        </w:rPr>
      </w:pPr>
    </w:p>
    <w:p w14:paraId="12DF5AC5" w14:textId="747D7ADB" w:rsidR="0048621A" w:rsidRPr="0089631E" w:rsidRDefault="0048621A" w:rsidP="00076476">
      <w:pPr>
        <w:ind w:left="851"/>
        <w:rPr>
          <w:sz w:val="24"/>
          <w:szCs w:val="24"/>
        </w:rPr>
      </w:pPr>
      <w:r w:rsidRPr="0089631E">
        <w:rPr>
          <w:sz w:val="24"/>
          <w:szCs w:val="24"/>
        </w:rPr>
        <w:t xml:space="preserve">Begrænsninger i anvendelse: </w:t>
      </w:r>
      <w:bookmarkStart w:id="1" w:name="_Hlk120106978"/>
      <w:r w:rsidRPr="0089631E">
        <w:rPr>
          <w:sz w:val="24"/>
          <w:szCs w:val="24"/>
        </w:rPr>
        <w:t xml:space="preserve">Kombinationen </w:t>
      </w:r>
      <w:proofErr w:type="spellStart"/>
      <w:r w:rsidRPr="0089631E">
        <w:rPr>
          <w:sz w:val="24"/>
          <w:szCs w:val="24"/>
        </w:rPr>
        <w:t>doxylamin</w:t>
      </w:r>
      <w:proofErr w:type="spellEnd"/>
      <w:r w:rsidRPr="0089631E">
        <w:rPr>
          <w:sz w:val="24"/>
          <w:szCs w:val="24"/>
        </w:rPr>
        <w:t>/</w:t>
      </w:r>
      <w:proofErr w:type="spellStart"/>
      <w:r w:rsidRPr="0089631E">
        <w:rPr>
          <w:sz w:val="24"/>
          <w:szCs w:val="24"/>
        </w:rPr>
        <w:t>pyridoxin</w:t>
      </w:r>
      <w:proofErr w:type="spellEnd"/>
      <w:r w:rsidRPr="0089631E">
        <w:rPr>
          <w:sz w:val="24"/>
          <w:szCs w:val="24"/>
        </w:rPr>
        <w:t xml:space="preserve"> er ikke blevet undersøgt i tilfælde af </w:t>
      </w:r>
      <w:proofErr w:type="spellStart"/>
      <w:r w:rsidRPr="0089631E">
        <w:rPr>
          <w:sz w:val="24"/>
          <w:szCs w:val="24"/>
        </w:rPr>
        <w:t>hyperemesis</w:t>
      </w:r>
      <w:proofErr w:type="spellEnd"/>
      <w:r w:rsidRPr="0089631E">
        <w:rPr>
          <w:sz w:val="24"/>
          <w:szCs w:val="24"/>
        </w:rPr>
        <w:t xml:space="preserve"> </w:t>
      </w:r>
      <w:proofErr w:type="spellStart"/>
      <w:r w:rsidRPr="0089631E">
        <w:rPr>
          <w:sz w:val="24"/>
          <w:szCs w:val="24"/>
        </w:rPr>
        <w:t>gravidarum</w:t>
      </w:r>
      <w:bookmarkEnd w:id="1"/>
      <w:proofErr w:type="spellEnd"/>
      <w:r w:rsidRPr="0089631E">
        <w:rPr>
          <w:sz w:val="24"/>
          <w:szCs w:val="24"/>
        </w:rPr>
        <w:t xml:space="preserve"> (se pkt. 4.4)</w:t>
      </w:r>
      <w:r w:rsidR="0089631E">
        <w:rPr>
          <w:sz w:val="24"/>
          <w:szCs w:val="24"/>
        </w:rPr>
        <w:t>.</w:t>
      </w:r>
    </w:p>
    <w:p w14:paraId="55EC48AE" w14:textId="77777777" w:rsidR="009260DE" w:rsidRPr="0089631E" w:rsidRDefault="009260DE" w:rsidP="009260DE">
      <w:pPr>
        <w:tabs>
          <w:tab w:val="left" w:pos="851"/>
        </w:tabs>
        <w:ind w:left="851"/>
        <w:rPr>
          <w:sz w:val="24"/>
          <w:szCs w:val="24"/>
        </w:rPr>
      </w:pPr>
    </w:p>
    <w:p w14:paraId="64AD156D" w14:textId="77777777" w:rsidR="009260DE" w:rsidRPr="0089631E" w:rsidRDefault="009260DE" w:rsidP="009260DE">
      <w:pPr>
        <w:tabs>
          <w:tab w:val="left" w:pos="851"/>
        </w:tabs>
        <w:ind w:left="851" w:hanging="851"/>
        <w:rPr>
          <w:b/>
          <w:sz w:val="24"/>
          <w:szCs w:val="24"/>
        </w:rPr>
      </w:pPr>
      <w:r w:rsidRPr="0089631E">
        <w:rPr>
          <w:b/>
          <w:sz w:val="24"/>
          <w:szCs w:val="24"/>
        </w:rPr>
        <w:t>4.2</w:t>
      </w:r>
      <w:r w:rsidRPr="0089631E">
        <w:rPr>
          <w:b/>
          <w:sz w:val="24"/>
          <w:szCs w:val="24"/>
        </w:rPr>
        <w:tab/>
        <w:t xml:space="preserve">Dosering og </w:t>
      </w:r>
      <w:r w:rsidR="002C1EC0" w:rsidRPr="0089631E">
        <w:rPr>
          <w:b/>
          <w:sz w:val="24"/>
          <w:szCs w:val="24"/>
        </w:rPr>
        <w:t>administration</w:t>
      </w:r>
    </w:p>
    <w:p w14:paraId="672F6460" w14:textId="77777777" w:rsidR="0089631E" w:rsidRDefault="0089631E" w:rsidP="00076476">
      <w:pPr>
        <w:ind w:left="851"/>
        <w:rPr>
          <w:noProof/>
          <w:sz w:val="24"/>
          <w:szCs w:val="24"/>
        </w:rPr>
      </w:pPr>
    </w:p>
    <w:p w14:paraId="14C31E56" w14:textId="0CDF2231" w:rsidR="0048621A" w:rsidRPr="00041126" w:rsidRDefault="0048621A" w:rsidP="00076476">
      <w:pPr>
        <w:ind w:left="851"/>
        <w:rPr>
          <w:noProof/>
          <w:sz w:val="24"/>
          <w:szCs w:val="24"/>
          <w:u w:val="single"/>
        </w:rPr>
      </w:pPr>
      <w:r w:rsidRPr="00041126">
        <w:rPr>
          <w:noProof/>
          <w:sz w:val="24"/>
          <w:szCs w:val="24"/>
          <w:u w:val="single"/>
        </w:rPr>
        <w:t>Dosering</w:t>
      </w:r>
    </w:p>
    <w:p w14:paraId="1C6F7DD8" w14:textId="77777777" w:rsidR="0048621A" w:rsidRPr="0089631E" w:rsidRDefault="0048621A" w:rsidP="00076476">
      <w:pPr>
        <w:ind w:left="851"/>
        <w:rPr>
          <w:noProof/>
          <w:sz w:val="24"/>
          <w:szCs w:val="24"/>
        </w:rPr>
      </w:pPr>
    </w:p>
    <w:p w14:paraId="7C3B8E93" w14:textId="77777777" w:rsidR="0048621A" w:rsidRPr="0089631E" w:rsidRDefault="0048621A" w:rsidP="00076476">
      <w:pPr>
        <w:ind w:left="851"/>
        <w:rPr>
          <w:sz w:val="24"/>
          <w:szCs w:val="24"/>
        </w:rPr>
      </w:pPr>
      <w:bookmarkStart w:id="2" w:name="_Hlk63411054"/>
      <w:r w:rsidRPr="0089631E">
        <w:rPr>
          <w:sz w:val="24"/>
          <w:szCs w:val="24"/>
        </w:rPr>
        <w:t xml:space="preserve">Den anbefalede initialdosis af </w:t>
      </w:r>
      <w:proofErr w:type="spellStart"/>
      <w:r w:rsidRPr="0089631E">
        <w:rPr>
          <w:sz w:val="24"/>
          <w:szCs w:val="24"/>
        </w:rPr>
        <w:t>Bonjesta</w:t>
      </w:r>
      <w:proofErr w:type="spellEnd"/>
      <w:r w:rsidRPr="0089631E">
        <w:rPr>
          <w:sz w:val="24"/>
          <w:szCs w:val="24"/>
        </w:rPr>
        <w:t xml:space="preserve"> er én tablet (20 mg/20 mg) ved sengetid på dag 1 og på dag 2. Hvis symptomerne ikke er tilstrækkeligt kontrollerede på dag 2, kan dosis øges på dag 3 til én ekstra tablet (20 mg/20 mg) om morgenen og én tablet (20 mg/20 mg) ved sengetid (i alt to tabletter om dagen). Den maksimale anbefalede dosis er to tabletter daglig, én om morgenen og én ved sengetid (for en maksimal daglig dosis på 40 mg/40 mg).</w:t>
      </w:r>
      <w:bookmarkEnd w:id="2"/>
      <w:r w:rsidRPr="0089631E">
        <w:rPr>
          <w:sz w:val="24"/>
          <w:szCs w:val="24"/>
        </w:rPr>
        <w:t xml:space="preserve"> </w:t>
      </w:r>
    </w:p>
    <w:p w14:paraId="13D985B5" w14:textId="77777777" w:rsidR="0048621A" w:rsidRPr="0089631E" w:rsidRDefault="0048621A" w:rsidP="00076476">
      <w:pPr>
        <w:ind w:left="851"/>
        <w:rPr>
          <w:sz w:val="24"/>
          <w:szCs w:val="24"/>
        </w:rPr>
      </w:pPr>
      <w:proofErr w:type="spellStart"/>
      <w:r w:rsidRPr="0089631E">
        <w:rPr>
          <w:sz w:val="24"/>
          <w:szCs w:val="24"/>
        </w:rPr>
        <w:t>Bonjesta</w:t>
      </w:r>
      <w:proofErr w:type="spellEnd"/>
      <w:r w:rsidRPr="0089631E">
        <w:rPr>
          <w:sz w:val="24"/>
          <w:szCs w:val="24"/>
        </w:rPr>
        <w:t xml:space="preserve"> skal tages som en ordineret daglig dosis og ikke efter behov. Et fortsat behov for </w:t>
      </w:r>
      <w:proofErr w:type="spellStart"/>
      <w:r w:rsidRPr="0089631E">
        <w:rPr>
          <w:sz w:val="24"/>
          <w:szCs w:val="24"/>
        </w:rPr>
        <w:t>Bonjesta</w:t>
      </w:r>
      <w:proofErr w:type="spellEnd"/>
      <w:r w:rsidRPr="0089631E">
        <w:rPr>
          <w:sz w:val="24"/>
          <w:szCs w:val="24"/>
        </w:rPr>
        <w:t xml:space="preserve"> skal revurderes, efterhånden som graviditeten skrider frem.</w:t>
      </w:r>
    </w:p>
    <w:p w14:paraId="1AEB1E3D" w14:textId="77777777" w:rsidR="0048621A" w:rsidRPr="0089631E" w:rsidRDefault="0048621A" w:rsidP="00076476">
      <w:pPr>
        <w:ind w:left="851"/>
        <w:rPr>
          <w:sz w:val="24"/>
          <w:szCs w:val="24"/>
        </w:rPr>
      </w:pPr>
    </w:p>
    <w:p w14:paraId="48F3C774" w14:textId="150F854B" w:rsidR="0048621A" w:rsidRPr="0089631E" w:rsidRDefault="0048621A" w:rsidP="00076476">
      <w:pPr>
        <w:ind w:left="851"/>
        <w:rPr>
          <w:sz w:val="24"/>
          <w:szCs w:val="24"/>
        </w:rPr>
      </w:pPr>
      <w:r w:rsidRPr="0089631E">
        <w:rPr>
          <w:sz w:val="24"/>
          <w:szCs w:val="24"/>
        </w:rPr>
        <w:t xml:space="preserve">Nogle kvinder kan opnå symptomkontrol ved </w:t>
      </w:r>
      <w:proofErr w:type="spellStart"/>
      <w:r w:rsidRPr="0089631E">
        <w:rPr>
          <w:sz w:val="24"/>
          <w:szCs w:val="24"/>
        </w:rPr>
        <w:t>intermediære</w:t>
      </w:r>
      <w:proofErr w:type="spellEnd"/>
      <w:r w:rsidRPr="0089631E">
        <w:rPr>
          <w:sz w:val="24"/>
          <w:szCs w:val="24"/>
        </w:rPr>
        <w:t xml:space="preserve"> doser på 30 mg/30 mg. Denne dosis kan ikke opnås med </w:t>
      </w:r>
      <w:proofErr w:type="spellStart"/>
      <w:r w:rsidRPr="0089631E">
        <w:rPr>
          <w:sz w:val="24"/>
          <w:szCs w:val="24"/>
        </w:rPr>
        <w:t>Bonjesta</w:t>
      </w:r>
      <w:proofErr w:type="spellEnd"/>
      <w:r w:rsidRPr="0089631E">
        <w:rPr>
          <w:sz w:val="24"/>
          <w:szCs w:val="24"/>
        </w:rPr>
        <w:t xml:space="preserve"> 20 mg/20 mg. Andre formuleringer af </w:t>
      </w:r>
      <w:proofErr w:type="spellStart"/>
      <w:r w:rsidRPr="0089631E">
        <w:rPr>
          <w:sz w:val="24"/>
          <w:szCs w:val="24"/>
        </w:rPr>
        <w:t>doxylamin</w:t>
      </w:r>
      <w:r w:rsidR="00CA76D0">
        <w:rPr>
          <w:sz w:val="24"/>
          <w:szCs w:val="24"/>
        </w:rPr>
        <w:softHyphen/>
      </w:r>
      <w:r w:rsidRPr="0089631E">
        <w:rPr>
          <w:sz w:val="24"/>
          <w:szCs w:val="24"/>
        </w:rPr>
        <w:t>hydrogensuccinat</w:t>
      </w:r>
      <w:proofErr w:type="spellEnd"/>
      <w:r w:rsidRPr="0089631E">
        <w:rPr>
          <w:sz w:val="24"/>
          <w:szCs w:val="24"/>
        </w:rPr>
        <w:t xml:space="preserve">/ </w:t>
      </w:r>
      <w:proofErr w:type="spellStart"/>
      <w:r w:rsidRPr="0089631E">
        <w:rPr>
          <w:sz w:val="24"/>
          <w:szCs w:val="24"/>
        </w:rPr>
        <w:t>pyridoxinhydrochlorid</w:t>
      </w:r>
      <w:proofErr w:type="spellEnd"/>
      <w:r w:rsidRPr="0089631E">
        <w:rPr>
          <w:sz w:val="24"/>
          <w:szCs w:val="24"/>
        </w:rPr>
        <w:t xml:space="preserve"> er tilgængelige, hvilket kan give større fleksibilitet for dosisjustering i henhold til symptomernes sværhedsgrad. Med </w:t>
      </w:r>
      <w:proofErr w:type="spellStart"/>
      <w:r w:rsidRPr="0089631E">
        <w:rPr>
          <w:sz w:val="24"/>
          <w:szCs w:val="24"/>
        </w:rPr>
        <w:t>Bonjesta</w:t>
      </w:r>
      <w:proofErr w:type="spellEnd"/>
      <w:r w:rsidRPr="0089631E">
        <w:rPr>
          <w:sz w:val="24"/>
          <w:szCs w:val="24"/>
        </w:rPr>
        <w:t xml:space="preserve"> 20</w:t>
      </w:r>
      <w:r w:rsidR="00CA76D0">
        <w:rPr>
          <w:sz w:val="24"/>
          <w:szCs w:val="24"/>
        </w:rPr>
        <w:t> </w:t>
      </w:r>
      <w:r w:rsidRPr="0089631E">
        <w:rPr>
          <w:sz w:val="24"/>
          <w:szCs w:val="24"/>
        </w:rPr>
        <w:t>mg/20 mg tabletter med modificeret udløsning er den maksimale anbefalede daglige dosis 40 mg/40 mg og kun 2 tabletter dagligt.</w:t>
      </w:r>
    </w:p>
    <w:p w14:paraId="29DAF888" w14:textId="77777777" w:rsidR="0048621A" w:rsidRPr="0089631E" w:rsidRDefault="0048621A" w:rsidP="00076476">
      <w:pPr>
        <w:ind w:left="851"/>
        <w:rPr>
          <w:sz w:val="24"/>
          <w:szCs w:val="24"/>
        </w:rPr>
      </w:pPr>
    </w:p>
    <w:p w14:paraId="507D5258" w14:textId="77777777" w:rsidR="0048621A" w:rsidRPr="0089631E" w:rsidRDefault="0048621A" w:rsidP="00076476">
      <w:pPr>
        <w:ind w:left="851"/>
        <w:rPr>
          <w:sz w:val="24"/>
          <w:szCs w:val="24"/>
        </w:rPr>
      </w:pPr>
      <w:r w:rsidRPr="0089631E">
        <w:rPr>
          <w:sz w:val="24"/>
          <w:szCs w:val="24"/>
        </w:rPr>
        <w:t xml:space="preserve">For at undgå en pludselig tilbagevenden af graviditetssymptomer med kvalme og opkastning anbefales en gradvis nedtrapning af </w:t>
      </w:r>
      <w:proofErr w:type="spellStart"/>
      <w:r w:rsidRPr="0089631E">
        <w:rPr>
          <w:sz w:val="24"/>
          <w:szCs w:val="24"/>
        </w:rPr>
        <w:t>Bonjesta</w:t>
      </w:r>
      <w:proofErr w:type="spellEnd"/>
      <w:r w:rsidRPr="0089631E">
        <w:rPr>
          <w:sz w:val="24"/>
          <w:szCs w:val="24"/>
        </w:rPr>
        <w:t xml:space="preserve"> i forbindelse med ophør. </w:t>
      </w:r>
    </w:p>
    <w:p w14:paraId="72CCEB1C" w14:textId="77777777" w:rsidR="0048621A" w:rsidRPr="0089631E" w:rsidRDefault="0048621A" w:rsidP="00076476">
      <w:pPr>
        <w:ind w:left="851"/>
        <w:rPr>
          <w:sz w:val="24"/>
          <w:szCs w:val="24"/>
        </w:rPr>
      </w:pPr>
    </w:p>
    <w:p w14:paraId="3A6475A7" w14:textId="77777777" w:rsidR="0048621A" w:rsidRPr="00041126" w:rsidRDefault="0048621A" w:rsidP="00076476">
      <w:pPr>
        <w:ind w:left="851"/>
        <w:rPr>
          <w:sz w:val="24"/>
          <w:szCs w:val="24"/>
          <w:u w:val="single"/>
        </w:rPr>
      </w:pPr>
      <w:r w:rsidRPr="00041126">
        <w:rPr>
          <w:sz w:val="24"/>
          <w:szCs w:val="24"/>
          <w:u w:val="single"/>
        </w:rPr>
        <w:t>Nedsat leverfunktion</w:t>
      </w:r>
    </w:p>
    <w:p w14:paraId="3B025179" w14:textId="77777777" w:rsidR="0048621A" w:rsidRPr="0089631E" w:rsidRDefault="0048621A" w:rsidP="00076476">
      <w:pPr>
        <w:ind w:left="851"/>
        <w:rPr>
          <w:sz w:val="24"/>
          <w:szCs w:val="24"/>
        </w:rPr>
      </w:pPr>
    </w:p>
    <w:p w14:paraId="62FC6593" w14:textId="77777777" w:rsidR="0048621A" w:rsidRPr="0089631E" w:rsidRDefault="0048621A" w:rsidP="00076476">
      <w:pPr>
        <w:ind w:left="851"/>
        <w:rPr>
          <w:sz w:val="24"/>
          <w:szCs w:val="24"/>
        </w:rPr>
      </w:pPr>
      <w:bookmarkStart w:id="3" w:name="_Hlk62811794"/>
      <w:r w:rsidRPr="0089631E">
        <w:rPr>
          <w:sz w:val="24"/>
          <w:szCs w:val="24"/>
        </w:rPr>
        <w:t xml:space="preserve">Der er ikke udført </w:t>
      </w:r>
      <w:proofErr w:type="spellStart"/>
      <w:r w:rsidRPr="0089631E">
        <w:rPr>
          <w:sz w:val="24"/>
          <w:szCs w:val="24"/>
        </w:rPr>
        <w:t>farmakokinetiske</w:t>
      </w:r>
      <w:proofErr w:type="spellEnd"/>
      <w:r w:rsidRPr="0089631E">
        <w:rPr>
          <w:sz w:val="24"/>
          <w:szCs w:val="24"/>
        </w:rPr>
        <w:t xml:space="preserve"> studier med patienter med nedsat leverfunktion. Det anbefales dog at være forsigtig på grund af muligheden for nedsat metabolisme. Der er mulighed for dosisjustering (se pkt. 4.4).</w:t>
      </w:r>
    </w:p>
    <w:bookmarkEnd w:id="3"/>
    <w:p w14:paraId="07D19159" w14:textId="77777777" w:rsidR="0048621A" w:rsidRPr="0089631E" w:rsidRDefault="0048621A" w:rsidP="00076476">
      <w:pPr>
        <w:ind w:left="851"/>
        <w:rPr>
          <w:sz w:val="24"/>
          <w:szCs w:val="24"/>
        </w:rPr>
      </w:pPr>
    </w:p>
    <w:p w14:paraId="0DC1A7C0" w14:textId="77777777" w:rsidR="0048621A" w:rsidRPr="00041126" w:rsidRDefault="0048621A" w:rsidP="00076476">
      <w:pPr>
        <w:ind w:left="851"/>
        <w:rPr>
          <w:sz w:val="24"/>
          <w:szCs w:val="24"/>
          <w:u w:val="single"/>
        </w:rPr>
      </w:pPr>
      <w:r w:rsidRPr="00041126">
        <w:rPr>
          <w:sz w:val="24"/>
          <w:szCs w:val="24"/>
          <w:u w:val="single"/>
        </w:rPr>
        <w:t>Nedsat nyrefunktion</w:t>
      </w:r>
    </w:p>
    <w:p w14:paraId="594D2EDD" w14:textId="77777777" w:rsidR="0048621A" w:rsidRPr="0089631E" w:rsidRDefault="0048621A" w:rsidP="00076476">
      <w:pPr>
        <w:ind w:left="851"/>
        <w:rPr>
          <w:sz w:val="24"/>
          <w:szCs w:val="24"/>
        </w:rPr>
      </w:pPr>
    </w:p>
    <w:p w14:paraId="010BC462" w14:textId="77777777" w:rsidR="0048621A" w:rsidRPr="0089631E" w:rsidRDefault="0048621A" w:rsidP="00076476">
      <w:pPr>
        <w:ind w:left="851"/>
        <w:rPr>
          <w:sz w:val="24"/>
          <w:szCs w:val="24"/>
        </w:rPr>
      </w:pPr>
      <w:r w:rsidRPr="0089631E">
        <w:rPr>
          <w:sz w:val="24"/>
          <w:szCs w:val="24"/>
        </w:rPr>
        <w:t xml:space="preserve">Der er ikke udført </w:t>
      </w:r>
      <w:proofErr w:type="spellStart"/>
      <w:r w:rsidRPr="0089631E">
        <w:rPr>
          <w:sz w:val="24"/>
          <w:szCs w:val="24"/>
        </w:rPr>
        <w:t>farmakokinetiske</w:t>
      </w:r>
      <w:proofErr w:type="spellEnd"/>
      <w:r w:rsidRPr="0089631E">
        <w:rPr>
          <w:sz w:val="24"/>
          <w:szCs w:val="24"/>
        </w:rPr>
        <w:t xml:space="preserve"> studier med patienter med nedsat nyrefunktion. Det anbefales dog at være forsigtig på grund af muligheden for metabolitakkumulering. Der er mulighed for dosisjustering (se pkt. 4.4).</w:t>
      </w:r>
    </w:p>
    <w:p w14:paraId="3B798CE3" w14:textId="77777777" w:rsidR="0048621A" w:rsidRPr="0089631E" w:rsidRDefault="0048621A" w:rsidP="00076476">
      <w:pPr>
        <w:ind w:left="851"/>
        <w:rPr>
          <w:noProof/>
          <w:sz w:val="24"/>
          <w:szCs w:val="24"/>
        </w:rPr>
      </w:pPr>
    </w:p>
    <w:p w14:paraId="411EBD87" w14:textId="77777777" w:rsidR="0048621A" w:rsidRPr="0089631E" w:rsidRDefault="0048621A" w:rsidP="00076476">
      <w:pPr>
        <w:ind w:left="851"/>
        <w:rPr>
          <w:i/>
          <w:noProof/>
          <w:sz w:val="24"/>
          <w:szCs w:val="24"/>
        </w:rPr>
      </w:pPr>
      <w:r w:rsidRPr="0089631E">
        <w:rPr>
          <w:i/>
          <w:noProof/>
          <w:sz w:val="24"/>
          <w:szCs w:val="24"/>
        </w:rPr>
        <w:t>Pædiatrisk population</w:t>
      </w:r>
    </w:p>
    <w:p w14:paraId="5359B9E9" w14:textId="77777777" w:rsidR="0048621A" w:rsidRPr="0089631E" w:rsidRDefault="0048621A" w:rsidP="00076476">
      <w:pPr>
        <w:ind w:left="851"/>
        <w:rPr>
          <w:i/>
          <w:noProof/>
          <w:sz w:val="24"/>
          <w:szCs w:val="24"/>
        </w:rPr>
      </w:pPr>
    </w:p>
    <w:p w14:paraId="343DFFA1" w14:textId="77777777" w:rsidR="0048621A" w:rsidRPr="0089631E" w:rsidRDefault="0048621A" w:rsidP="00076476">
      <w:pPr>
        <w:ind w:left="851"/>
        <w:rPr>
          <w:sz w:val="24"/>
          <w:szCs w:val="24"/>
        </w:rPr>
      </w:pPr>
      <w:proofErr w:type="spellStart"/>
      <w:r w:rsidRPr="0089631E">
        <w:rPr>
          <w:sz w:val="24"/>
          <w:szCs w:val="24"/>
        </w:rPr>
        <w:t>Bonjesta</w:t>
      </w:r>
      <w:proofErr w:type="spellEnd"/>
      <w:r w:rsidRPr="0089631E">
        <w:rPr>
          <w:sz w:val="24"/>
          <w:szCs w:val="24"/>
        </w:rPr>
        <w:t xml:space="preserve"> anbefales ikke til brug hos børn under 18 år, da der mangler kliniske data (se pkt. 5.1). </w:t>
      </w:r>
    </w:p>
    <w:p w14:paraId="4984911D" w14:textId="77777777" w:rsidR="0048621A" w:rsidRPr="0089631E" w:rsidRDefault="0048621A" w:rsidP="00076476">
      <w:pPr>
        <w:ind w:left="851"/>
        <w:rPr>
          <w:noProof/>
          <w:sz w:val="24"/>
          <w:szCs w:val="24"/>
        </w:rPr>
      </w:pPr>
    </w:p>
    <w:p w14:paraId="7DBFE644" w14:textId="77777777" w:rsidR="0048621A" w:rsidRPr="00041126" w:rsidRDefault="0048621A" w:rsidP="00076476">
      <w:pPr>
        <w:ind w:left="851"/>
        <w:rPr>
          <w:sz w:val="24"/>
          <w:szCs w:val="24"/>
          <w:u w:val="single"/>
        </w:rPr>
      </w:pPr>
      <w:r w:rsidRPr="00041126">
        <w:rPr>
          <w:sz w:val="24"/>
          <w:szCs w:val="24"/>
          <w:u w:val="single"/>
        </w:rPr>
        <w:t>Administration</w:t>
      </w:r>
    </w:p>
    <w:p w14:paraId="45F1ABA6" w14:textId="77777777" w:rsidR="0048621A" w:rsidRPr="0089631E" w:rsidRDefault="0048621A" w:rsidP="00076476">
      <w:pPr>
        <w:ind w:left="851"/>
        <w:rPr>
          <w:sz w:val="24"/>
          <w:szCs w:val="24"/>
        </w:rPr>
      </w:pPr>
    </w:p>
    <w:p w14:paraId="0B571572" w14:textId="77777777" w:rsidR="00A84B8E" w:rsidRDefault="00A84B8E" w:rsidP="00A84B8E">
      <w:pPr>
        <w:ind w:left="851"/>
        <w:rPr>
          <w:sz w:val="24"/>
          <w:szCs w:val="24"/>
        </w:rPr>
      </w:pPr>
      <w:r>
        <w:rPr>
          <w:sz w:val="24"/>
          <w:szCs w:val="24"/>
        </w:rPr>
        <w:t>Oral anvendelse.</w:t>
      </w:r>
    </w:p>
    <w:p w14:paraId="26DE6000" w14:textId="7CA69ABA" w:rsidR="00A84B8E" w:rsidRDefault="00A84B8E" w:rsidP="00A84B8E">
      <w:pPr>
        <w:ind w:left="851"/>
        <w:rPr>
          <w:sz w:val="24"/>
          <w:szCs w:val="24"/>
        </w:rPr>
      </w:pPr>
      <w:bookmarkStart w:id="4" w:name="_Hlk168918316"/>
      <w:proofErr w:type="spellStart"/>
      <w:r>
        <w:rPr>
          <w:sz w:val="24"/>
          <w:szCs w:val="24"/>
        </w:rPr>
        <w:t>Bonjesta</w:t>
      </w:r>
      <w:proofErr w:type="spellEnd"/>
      <w:r>
        <w:rPr>
          <w:sz w:val="24"/>
          <w:szCs w:val="24"/>
        </w:rPr>
        <w:t xml:space="preserve"> skal administreres på tom mave med et glas vand (se pkt. 4.5). Tabletterne med modificeret udløsning skal sluges hele og må ikke knuses, deles eller tygges for at bevare egenskaberne af deres </w:t>
      </w:r>
      <w:proofErr w:type="spellStart"/>
      <w:r>
        <w:rPr>
          <w:sz w:val="24"/>
          <w:szCs w:val="24"/>
        </w:rPr>
        <w:t>enteroovertrukne</w:t>
      </w:r>
      <w:proofErr w:type="spellEnd"/>
      <w:r>
        <w:rPr>
          <w:sz w:val="24"/>
          <w:szCs w:val="24"/>
        </w:rPr>
        <w:t xml:space="preserve"> kerne.</w:t>
      </w:r>
      <w:bookmarkEnd w:id="4"/>
    </w:p>
    <w:p w14:paraId="4ACA36D5" w14:textId="77777777" w:rsidR="009260DE" w:rsidRPr="0089631E" w:rsidRDefault="009260DE" w:rsidP="009260DE">
      <w:pPr>
        <w:tabs>
          <w:tab w:val="left" w:pos="851"/>
        </w:tabs>
        <w:ind w:left="851"/>
        <w:rPr>
          <w:sz w:val="24"/>
          <w:szCs w:val="24"/>
        </w:rPr>
      </w:pPr>
    </w:p>
    <w:p w14:paraId="4AA65A4D" w14:textId="77777777" w:rsidR="009260DE" w:rsidRPr="0089631E" w:rsidRDefault="009260DE" w:rsidP="009260DE">
      <w:pPr>
        <w:tabs>
          <w:tab w:val="left" w:pos="851"/>
        </w:tabs>
        <w:ind w:left="851" w:hanging="851"/>
        <w:rPr>
          <w:b/>
          <w:sz w:val="24"/>
          <w:szCs w:val="24"/>
        </w:rPr>
      </w:pPr>
      <w:r w:rsidRPr="0089631E">
        <w:rPr>
          <w:b/>
          <w:sz w:val="24"/>
          <w:szCs w:val="24"/>
        </w:rPr>
        <w:t>4.3</w:t>
      </w:r>
      <w:r w:rsidRPr="0089631E">
        <w:rPr>
          <w:b/>
          <w:sz w:val="24"/>
          <w:szCs w:val="24"/>
        </w:rPr>
        <w:tab/>
        <w:t>Kontraindikationer</w:t>
      </w:r>
    </w:p>
    <w:p w14:paraId="35554A85" w14:textId="77777777" w:rsidR="0048621A" w:rsidRPr="0089631E" w:rsidRDefault="0048621A" w:rsidP="00076476">
      <w:pPr>
        <w:ind w:left="851"/>
        <w:rPr>
          <w:sz w:val="24"/>
          <w:szCs w:val="24"/>
          <w:lang w:eastAsia="en-GB"/>
        </w:rPr>
      </w:pPr>
      <w:r w:rsidRPr="0089631E">
        <w:rPr>
          <w:sz w:val="24"/>
          <w:szCs w:val="24"/>
        </w:rPr>
        <w:t>Overfølsomhed over for de aktive stoffer eller over for et eller flere af hjælpestofferne anført i pkt. 6.1.</w:t>
      </w:r>
    </w:p>
    <w:p w14:paraId="24189687" w14:textId="77777777" w:rsidR="0048621A" w:rsidRPr="0089631E" w:rsidRDefault="0048621A" w:rsidP="00076476">
      <w:pPr>
        <w:ind w:left="851"/>
        <w:rPr>
          <w:sz w:val="24"/>
          <w:szCs w:val="24"/>
        </w:rPr>
      </w:pPr>
      <w:bookmarkStart w:id="5" w:name="_Hlk105418319"/>
    </w:p>
    <w:p w14:paraId="5E537416" w14:textId="77777777" w:rsidR="0048621A" w:rsidRPr="0089631E" w:rsidRDefault="0048621A" w:rsidP="00076476">
      <w:pPr>
        <w:ind w:left="851"/>
        <w:rPr>
          <w:sz w:val="24"/>
          <w:szCs w:val="24"/>
        </w:rPr>
      </w:pPr>
      <w:r w:rsidRPr="0089631E">
        <w:rPr>
          <w:sz w:val="24"/>
          <w:szCs w:val="24"/>
        </w:rPr>
        <w:t xml:space="preserve">Samtidig brug af </w:t>
      </w:r>
      <w:proofErr w:type="spellStart"/>
      <w:r w:rsidRPr="0089631E">
        <w:rPr>
          <w:sz w:val="24"/>
          <w:szCs w:val="24"/>
        </w:rPr>
        <w:t>monoaminooxidasehæmmere</w:t>
      </w:r>
      <w:proofErr w:type="spellEnd"/>
      <w:r w:rsidRPr="0089631E">
        <w:rPr>
          <w:sz w:val="24"/>
          <w:szCs w:val="24"/>
        </w:rPr>
        <w:t xml:space="preserve"> (MAO-</w:t>
      </w:r>
      <w:proofErr w:type="spellStart"/>
      <w:r w:rsidRPr="0089631E">
        <w:rPr>
          <w:sz w:val="24"/>
          <w:szCs w:val="24"/>
        </w:rPr>
        <w:t>hæmmere</w:t>
      </w:r>
      <w:proofErr w:type="spellEnd"/>
      <w:r w:rsidRPr="0089631E">
        <w:rPr>
          <w:sz w:val="24"/>
          <w:szCs w:val="24"/>
        </w:rPr>
        <w:t xml:space="preserve">) eller brug af </w:t>
      </w:r>
      <w:proofErr w:type="spellStart"/>
      <w:r w:rsidRPr="0089631E">
        <w:rPr>
          <w:sz w:val="24"/>
          <w:szCs w:val="24"/>
        </w:rPr>
        <w:t>Bonjesta</w:t>
      </w:r>
      <w:proofErr w:type="spellEnd"/>
      <w:r w:rsidRPr="0089631E">
        <w:rPr>
          <w:sz w:val="24"/>
          <w:szCs w:val="24"/>
        </w:rPr>
        <w:t xml:space="preserve"> op til 14 dage efter ophør med MAO-</w:t>
      </w:r>
      <w:proofErr w:type="spellStart"/>
      <w:r w:rsidRPr="0089631E">
        <w:rPr>
          <w:sz w:val="24"/>
          <w:szCs w:val="24"/>
        </w:rPr>
        <w:t>hæmmere</w:t>
      </w:r>
      <w:proofErr w:type="spellEnd"/>
      <w:r w:rsidRPr="0089631E">
        <w:rPr>
          <w:sz w:val="24"/>
          <w:szCs w:val="24"/>
        </w:rPr>
        <w:t xml:space="preserve"> (se pkt. 4.5).</w:t>
      </w:r>
      <w:bookmarkEnd w:id="5"/>
    </w:p>
    <w:p w14:paraId="42994EED" w14:textId="77777777" w:rsidR="0048621A" w:rsidRPr="0089631E" w:rsidRDefault="0048621A" w:rsidP="00076476">
      <w:pPr>
        <w:ind w:left="851"/>
        <w:rPr>
          <w:sz w:val="24"/>
          <w:szCs w:val="24"/>
        </w:rPr>
      </w:pPr>
    </w:p>
    <w:p w14:paraId="0E75B943" w14:textId="77777777" w:rsidR="0048621A" w:rsidRPr="0089631E" w:rsidRDefault="0048621A" w:rsidP="00076476">
      <w:pPr>
        <w:ind w:left="851"/>
        <w:rPr>
          <w:sz w:val="24"/>
          <w:szCs w:val="24"/>
        </w:rPr>
      </w:pPr>
      <w:proofErr w:type="spellStart"/>
      <w:r w:rsidRPr="0089631E">
        <w:rPr>
          <w:sz w:val="24"/>
          <w:szCs w:val="24"/>
        </w:rPr>
        <w:t>Porfyri</w:t>
      </w:r>
      <w:proofErr w:type="spellEnd"/>
      <w:r w:rsidRPr="0089631E">
        <w:rPr>
          <w:sz w:val="24"/>
          <w:szCs w:val="24"/>
        </w:rPr>
        <w:t>.</w:t>
      </w:r>
    </w:p>
    <w:p w14:paraId="25C592DB" w14:textId="77777777" w:rsidR="009260DE" w:rsidRPr="0089631E" w:rsidRDefault="009260DE" w:rsidP="009260DE">
      <w:pPr>
        <w:tabs>
          <w:tab w:val="left" w:pos="851"/>
        </w:tabs>
        <w:ind w:left="851"/>
        <w:rPr>
          <w:sz w:val="24"/>
          <w:szCs w:val="24"/>
        </w:rPr>
      </w:pPr>
    </w:p>
    <w:p w14:paraId="279FA3B7" w14:textId="77777777" w:rsidR="009260DE" w:rsidRPr="0089631E" w:rsidRDefault="009260DE" w:rsidP="009260DE">
      <w:pPr>
        <w:tabs>
          <w:tab w:val="left" w:pos="851"/>
        </w:tabs>
        <w:ind w:left="851" w:hanging="851"/>
        <w:rPr>
          <w:b/>
          <w:sz w:val="24"/>
          <w:szCs w:val="24"/>
        </w:rPr>
      </w:pPr>
      <w:r w:rsidRPr="0089631E">
        <w:rPr>
          <w:b/>
          <w:sz w:val="24"/>
          <w:szCs w:val="24"/>
        </w:rPr>
        <w:t>4.4</w:t>
      </w:r>
      <w:r w:rsidRPr="0089631E">
        <w:rPr>
          <w:b/>
          <w:sz w:val="24"/>
          <w:szCs w:val="24"/>
        </w:rPr>
        <w:tab/>
        <w:t>Særlige advarsler og forsigtighedsregler vedrørende brugen</w:t>
      </w:r>
    </w:p>
    <w:p w14:paraId="39C45E3A" w14:textId="77777777" w:rsidR="0048621A" w:rsidRPr="0089631E" w:rsidRDefault="0048621A" w:rsidP="00076476">
      <w:pPr>
        <w:ind w:left="851"/>
        <w:rPr>
          <w:sz w:val="24"/>
          <w:szCs w:val="24"/>
        </w:rPr>
      </w:pPr>
      <w:r w:rsidRPr="0089631E">
        <w:rPr>
          <w:sz w:val="24"/>
          <w:szCs w:val="24"/>
        </w:rPr>
        <w:t xml:space="preserve">Dette lægemiddel kan forårsage døsighed på grund af de </w:t>
      </w:r>
      <w:proofErr w:type="spellStart"/>
      <w:r w:rsidRPr="0089631E">
        <w:rPr>
          <w:sz w:val="24"/>
          <w:szCs w:val="24"/>
        </w:rPr>
        <w:t>antikolinerge</w:t>
      </w:r>
      <w:proofErr w:type="spellEnd"/>
      <w:r w:rsidRPr="0089631E">
        <w:rPr>
          <w:sz w:val="24"/>
          <w:szCs w:val="24"/>
        </w:rPr>
        <w:t xml:space="preserve"> egenskaber ved </w:t>
      </w:r>
      <w:proofErr w:type="spellStart"/>
      <w:r w:rsidRPr="0089631E">
        <w:rPr>
          <w:sz w:val="24"/>
          <w:szCs w:val="24"/>
        </w:rPr>
        <w:t>doxylaminhydrogensuccinat</w:t>
      </w:r>
      <w:proofErr w:type="spellEnd"/>
      <w:r w:rsidRPr="0089631E">
        <w:rPr>
          <w:sz w:val="24"/>
          <w:szCs w:val="24"/>
        </w:rPr>
        <w:t xml:space="preserve">, et antihistamin (se pkt. 4.8). </w:t>
      </w:r>
    </w:p>
    <w:p w14:paraId="3D5FBC4D" w14:textId="77777777" w:rsidR="0048621A" w:rsidRPr="0089631E" w:rsidRDefault="0048621A" w:rsidP="00076476">
      <w:pPr>
        <w:ind w:left="851"/>
        <w:rPr>
          <w:sz w:val="24"/>
          <w:szCs w:val="24"/>
        </w:rPr>
      </w:pPr>
    </w:p>
    <w:p w14:paraId="1CC798A9" w14:textId="77777777" w:rsidR="0048621A" w:rsidRPr="0089631E" w:rsidRDefault="0048621A" w:rsidP="00076476">
      <w:pPr>
        <w:ind w:left="851"/>
        <w:rPr>
          <w:sz w:val="24"/>
          <w:szCs w:val="24"/>
        </w:rPr>
      </w:pPr>
      <w:r w:rsidRPr="0089631E">
        <w:rPr>
          <w:sz w:val="24"/>
          <w:szCs w:val="24"/>
        </w:rPr>
        <w:t>Det frarådes at bruge dette lægemiddel, hvis en kvinde samtidig bruger CNS-deprimerende midler, herunder alkohol (se pkt. 4.5).</w:t>
      </w:r>
    </w:p>
    <w:p w14:paraId="30385833" w14:textId="77777777" w:rsidR="0048621A" w:rsidRPr="0089631E" w:rsidRDefault="0048621A" w:rsidP="00076476">
      <w:pPr>
        <w:ind w:left="851"/>
        <w:rPr>
          <w:sz w:val="24"/>
          <w:szCs w:val="24"/>
        </w:rPr>
      </w:pPr>
    </w:p>
    <w:p w14:paraId="7C9C56F8" w14:textId="77777777" w:rsidR="0048621A" w:rsidRPr="0089631E" w:rsidRDefault="0048621A" w:rsidP="00076476">
      <w:pPr>
        <w:ind w:left="851"/>
        <w:rPr>
          <w:sz w:val="24"/>
          <w:szCs w:val="24"/>
        </w:rPr>
      </w:pPr>
      <w:r w:rsidRPr="0089631E">
        <w:rPr>
          <w:sz w:val="24"/>
          <w:szCs w:val="24"/>
        </w:rPr>
        <w:t xml:space="preserve">Dette lægemiddel har </w:t>
      </w:r>
      <w:proofErr w:type="spellStart"/>
      <w:r w:rsidRPr="0089631E">
        <w:rPr>
          <w:sz w:val="24"/>
          <w:szCs w:val="24"/>
        </w:rPr>
        <w:t>antikolinerge</w:t>
      </w:r>
      <w:proofErr w:type="spellEnd"/>
      <w:r w:rsidRPr="0089631E">
        <w:rPr>
          <w:sz w:val="24"/>
          <w:szCs w:val="24"/>
        </w:rPr>
        <w:t xml:space="preserve"> egenskaber og skal derfor anvendes med forsigtighed til patienter med: øget </w:t>
      </w:r>
      <w:proofErr w:type="spellStart"/>
      <w:r w:rsidRPr="0089631E">
        <w:rPr>
          <w:sz w:val="24"/>
          <w:szCs w:val="24"/>
        </w:rPr>
        <w:t>intraokulært</w:t>
      </w:r>
      <w:proofErr w:type="spellEnd"/>
      <w:r w:rsidRPr="0089631E">
        <w:rPr>
          <w:sz w:val="24"/>
          <w:szCs w:val="24"/>
        </w:rPr>
        <w:t xml:space="preserve"> tryk, snævervinklet </w:t>
      </w:r>
      <w:proofErr w:type="spellStart"/>
      <w:r w:rsidRPr="0089631E">
        <w:rPr>
          <w:sz w:val="24"/>
          <w:szCs w:val="24"/>
        </w:rPr>
        <w:t>glaukom</w:t>
      </w:r>
      <w:proofErr w:type="spellEnd"/>
      <w:r w:rsidRPr="0089631E">
        <w:rPr>
          <w:sz w:val="24"/>
          <w:szCs w:val="24"/>
        </w:rPr>
        <w:t xml:space="preserve">, </w:t>
      </w:r>
      <w:proofErr w:type="spellStart"/>
      <w:r w:rsidRPr="0089631E">
        <w:rPr>
          <w:sz w:val="24"/>
          <w:szCs w:val="24"/>
        </w:rPr>
        <w:t>stenoserende</w:t>
      </w:r>
      <w:proofErr w:type="spellEnd"/>
      <w:r w:rsidRPr="0089631E">
        <w:rPr>
          <w:sz w:val="24"/>
          <w:szCs w:val="24"/>
        </w:rPr>
        <w:t xml:space="preserve"> mavesår, </w:t>
      </w:r>
      <w:proofErr w:type="spellStart"/>
      <w:r w:rsidRPr="0089631E">
        <w:rPr>
          <w:sz w:val="24"/>
          <w:szCs w:val="24"/>
        </w:rPr>
        <w:t>pyloroduodenal</w:t>
      </w:r>
      <w:proofErr w:type="spellEnd"/>
      <w:r w:rsidRPr="0089631E">
        <w:rPr>
          <w:sz w:val="24"/>
          <w:szCs w:val="24"/>
        </w:rPr>
        <w:t xml:space="preserve"> obstruktion og blærehalsobstruktion, da de </w:t>
      </w:r>
      <w:proofErr w:type="spellStart"/>
      <w:r w:rsidRPr="0089631E">
        <w:rPr>
          <w:sz w:val="24"/>
          <w:szCs w:val="24"/>
        </w:rPr>
        <w:t>antikolinerge</w:t>
      </w:r>
      <w:proofErr w:type="spellEnd"/>
      <w:r w:rsidRPr="0089631E">
        <w:rPr>
          <w:sz w:val="24"/>
          <w:szCs w:val="24"/>
        </w:rPr>
        <w:t xml:space="preserve"> virkninger af dette lægemiddel kan forværre disse lidelser.</w:t>
      </w:r>
    </w:p>
    <w:p w14:paraId="14C15C03" w14:textId="77777777" w:rsidR="0048621A" w:rsidRPr="0089631E" w:rsidRDefault="0048621A" w:rsidP="00076476">
      <w:pPr>
        <w:ind w:left="851"/>
        <w:rPr>
          <w:sz w:val="24"/>
          <w:szCs w:val="24"/>
        </w:rPr>
      </w:pPr>
    </w:p>
    <w:p w14:paraId="58F39290" w14:textId="77777777" w:rsidR="0048621A" w:rsidRPr="0089631E" w:rsidRDefault="0048621A" w:rsidP="00076476">
      <w:pPr>
        <w:ind w:left="851"/>
        <w:rPr>
          <w:sz w:val="24"/>
          <w:szCs w:val="24"/>
        </w:rPr>
      </w:pPr>
      <w:r w:rsidRPr="0089631E">
        <w:rPr>
          <w:sz w:val="24"/>
          <w:szCs w:val="24"/>
        </w:rPr>
        <w:t xml:space="preserve">Dette lægemiddel skal ligeledes bruges med forsigtighed hos patienter med astma eller andre vejrtrækningsforstyrrelser, såsom kronisk bronkitis og </w:t>
      </w:r>
      <w:proofErr w:type="spellStart"/>
      <w:r w:rsidRPr="0089631E">
        <w:rPr>
          <w:sz w:val="24"/>
          <w:szCs w:val="24"/>
        </w:rPr>
        <w:t>lungeemfysem</w:t>
      </w:r>
      <w:proofErr w:type="spellEnd"/>
      <w:r w:rsidRPr="0089631E">
        <w:rPr>
          <w:sz w:val="24"/>
          <w:szCs w:val="24"/>
        </w:rPr>
        <w:t xml:space="preserve">. Det er blevet påvist, at antihistaminer reducerer mængden af bronkialsekreter og øger deres viskositet, hvorved bronkial </w:t>
      </w:r>
      <w:proofErr w:type="spellStart"/>
      <w:r w:rsidRPr="0089631E">
        <w:rPr>
          <w:sz w:val="24"/>
          <w:szCs w:val="24"/>
        </w:rPr>
        <w:t>ekspektoration</w:t>
      </w:r>
      <w:proofErr w:type="spellEnd"/>
      <w:r w:rsidRPr="0089631E">
        <w:rPr>
          <w:sz w:val="24"/>
          <w:szCs w:val="24"/>
        </w:rPr>
        <w:t xml:space="preserve"> vanskeliggøres. Dette kan resultere i respiratorisk obstruktion, som kan forværre disse tilstande. Der skal derfor udvises forsigtighed hos sådanne patienter.</w:t>
      </w:r>
    </w:p>
    <w:p w14:paraId="134A965A" w14:textId="77777777" w:rsidR="0048621A" w:rsidRPr="0089631E" w:rsidRDefault="0048621A" w:rsidP="00076476">
      <w:pPr>
        <w:ind w:left="851"/>
        <w:rPr>
          <w:sz w:val="24"/>
          <w:szCs w:val="24"/>
        </w:rPr>
      </w:pPr>
    </w:p>
    <w:p w14:paraId="2F76ADB9" w14:textId="196B48FA" w:rsidR="0048621A" w:rsidRPr="0089631E" w:rsidRDefault="0048621A" w:rsidP="00076476">
      <w:pPr>
        <w:ind w:left="851"/>
        <w:rPr>
          <w:sz w:val="24"/>
          <w:szCs w:val="24"/>
        </w:rPr>
      </w:pPr>
      <w:r w:rsidRPr="0089631E">
        <w:rPr>
          <w:sz w:val="24"/>
          <w:szCs w:val="24"/>
        </w:rPr>
        <w:t xml:space="preserve">Dette lægemiddel skal anvendes med forsigtighed hos patienter med nedsat lever- eller nyrefunktion. Der foreligger ingen data. Imidlertid kan metabolismen af </w:t>
      </w: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pyridoxin</w:t>
      </w:r>
      <w:proofErr w:type="spellEnd"/>
      <w:r w:rsidRPr="0089631E">
        <w:rPr>
          <w:sz w:val="24"/>
          <w:szCs w:val="24"/>
        </w:rPr>
        <w:t xml:space="preserve"> teoretisk reduceres ved tilstedeværelse af nedsat leverfun</w:t>
      </w:r>
      <w:r w:rsidR="00041126">
        <w:rPr>
          <w:sz w:val="24"/>
          <w:szCs w:val="24"/>
        </w:rPr>
        <w:t>k</w:t>
      </w:r>
      <w:r w:rsidRPr="0089631E">
        <w:rPr>
          <w:sz w:val="24"/>
          <w:szCs w:val="24"/>
        </w:rPr>
        <w:t>tion. Der kan også være en teoretisk metabolitakkumulering ved tilstedeværelse af nedsat nyrefunktion.</w:t>
      </w:r>
    </w:p>
    <w:p w14:paraId="76F3606E" w14:textId="77777777" w:rsidR="0048621A" w:rsidRPr="0089631E" w:rsidRDefault="0048621A" w:rsidP="00076476">
      <w:pPr>
        <w:ind w:left="851"/>
        <w:rPr>
          <w:sz w:val="24"/>
          <w:szCs w:val="24"/>
        </w:rPr>
      </w:pPr>
    </w:p>
    <w:p w14:paraId="71C74E13" w14:textId="77777777" w:rsidR="0048621A" w:rsidRPr="0089631E" w:rsidRDefault="0048621A" w:rsidP="00076476">
      <w:pPr>
        <w:ind w:left="851"/>
        <w:rPr>
          <w:sz w:val="24"/>
          <w:szCs w:val="24"/>
        </w:rPr>
      </w:pPr>
      <w:proofErr w:type="spellStart"/>
      <w:r w:rsidRPr="0089631E">
        <w:rPr>
          <w:sz w:val="24"/>
          <w:szCs w:val="24"/>
        </w:rPr>
        <w:t>Bonjesta</w:t>
      </w:r>
      <w:proofErr w:type="spellEnd"/>
      <w:r w:rsidRPr="0089631E">
        <w:rPr>
          <w:sz w:val="24"/>
          <w:szCs w:val="24"/>
        </w:rPr>
        <w:t xml:space="preserve"> indeholder </w:t>
      </w:r>
      <w:proofErr w:type="spellStart"/>
      <w:r w:rsidRPr="0089631E">
        <w:rPr>
          <w:sz w:val="24"/>
          <w:szCs w:val="24"/>
        </w:rPr>
        <w:t>pyridoxinhydrochlorid</w:t>
      </w:r>
      <w:proofErr w:type="spellEnd"/>
      <w:r w:rsidRPr="0089631E">
        <w:rPr>
          <w:sz w:val="24"/>
          <w:szCs w:val="24"/>
        </w:rPr>
        <w:t>, en vitamin B6-analog. Yderligere niveauer fra kosten og vitamin B6-tilskud bør derfor vurderes.</w:t>
      </w:r>
    </w:p>
    <w:p w14:paraId="060B2152" w14:textId="77777777" w:rsidR="0048621A" w:rsidRPr="0089631E" w:rsidRDefault="0048621A" w:rsidP="00076476">
      <w:pPr>
        <w:ind w:left="851"/>
        <w:rPr>
          <w:sz w:val="24"/>
          <w:szCs w:val="24"/>
        </w:rPr>
      </w:pPr>
    </w:p>
    <w:p w14:paraId="740A0859" w14:textId="77777777" w:rsidR="0048621A" w:rsidRPr="0089631E" w:rsidRDefault="0048621A" w:rsidP="00076476">
      <w:pPr>
        <w:ind w:left="851"/>
        <w:rPr>
          <w:sz w:val="24"/>
          <w:szCs w:val="24"/>
        </w:rPr>
      </w:pPr>
      <w:r w:rsidRPr="0089631E">
        <w:rPr>
          <w:sz w:val="24"/>
          <w:szCs w:val="24"/>
        </w:rPr>
        <w:t xml:space="preserve">Kombinationen </w:t>
      </w:r>
      <w:proofErr w:type="spellStart"/>
      <w:r w:rsidRPr="0089631E">
        <w:rPr>
          <w:sz w:val="24"/>
          <w:szCs w:val="24"/>
        </w:rPr>
        <w:t>doxylamin</w:t>
      </w:r>
      <w:proofErr w:type="spellEnd"/>
      <w:r w:rsidRPr="0089631E">
        <w:rPr>
          <w:sz w:val="24"/>
          <w:szCs w:val="24"/>
        </w:rPr>
        <w:t>/</w:t>
      </w:r>
      <w:proofErr w:type="spellStart"/>
      <w:r w:rsidRPr="0089631E">
        <w:rPr>
          <w:sz w:val="24"/>
          <w:szCs w:val="24"/>
        </w:rPr>
        <w:t>pyridoxin</w:t>
      </w:r>
      <w:proofErr w:type="spellEnd"/>
      <w:r w:rsidRPr="0089631E">
        <w:rPr>
          <w:sz w:val="24"/>
          <w:szCs w:val="24"/>
        </w:rPr>
        <w:t xml:space="preserve"> er ikke blevet undersøgt i tilfælde af </w:t>
      </w:r>
      <w:proofErr w:type="spellStart"/>
      <w:r w:rsidRPr="0089631E">
        <w:rPr>
          <w:sz w:val="24"/>
          <w:szCs w:val="24"/>
        </w:rPr>
        <w:t>hyperemesis</w:t>
      </w:r>
      <w:proofErr w:type="spellEnd"/>
      <w:r w:rsidRPr="0089631E">
        <w:rPr>
          <w:sz w:val="24"/>
          <w:szCs w:val="24"/>
        </w:rPr>
        <w:t xml:space="preserve"> </w:t>
      </w:r>
      <w:proofErr w:type="spellStart"/>
      <w:r w:rsidRPr="0089631E">
        <w:rPr>
          <w:sz w:val="24"/>
          <w:szCs w:val="24"/>
        </w:rPr>
        <w:t>gravidarum</w:t>
      </w:r>
      <w:proofErr w:type="spellEnd"/>
      <w:r w:rsidRPr="0089631E">
        <w:rPr>
          <w:sz w:val="24"/>
          <w:szCs w:val="24"/>
        </w:rPr>
        <w:t xml:space="preserve">. Der skal derfor udvises forsigtighed. Disse patienter skal behandles af en specialist. Tidlig behandling af symptomer relateret til morgenkvalme, typisk i forbindelse med graviditet, anbefales for at forhindre progression til </w:t>
      </w:r>
      <w:proofErr w:type="spellStart"/>
      <w:r w:rsidRPr="0089631E">
        <w:rPr>
          <w:sz w:val="24"/>
          <w:szCs w:val="24"/>
        </w:rPr>
        <w:t>hyperemesis</w:t>
      </w:r>
      <w:proofErr w:type="spellEnd"/>
      <w:r w:rsidRPr="0089631E">
        <w:rPr>
          <w:sz w:val="24"/>
          <w:szCs w:val="24"/>
        </w:rPr>
        <w:t xml:space="preserve"> </w:t>
      </w:r>
      <w:proofErr w:type="spellStart"/>
      <w:r w:rsidRPr="0089631E">
        <w:rPr>
          <w:sz w:val="24"/>
          <w:szCs w:val="24"/>
        </w:rPr>
        <w:t>gravidarum</w:t>
      </w:r>
      <w:proofErr w:type="spellEnd"/>
      <w:r w:rsidRPr="0089631E">
        <w:rPr>
          <w:sz w:val="24"/>
          <w:szCs w:val="24"/>
        </w:rPr>
        <w:t xml:space="preserve"> (se pkt. 4.1).</w:t>
      </w:r>
    </w:p>
    <w:p w14:paraId="3FEF3C10" w14:textId="77777777" w:rsidR="0048621A" w:rsidRPr="0089631E" w:rsidRDefault="0048621A" w:rsidP="00076476">
      <w:pPr>
        <w:ind w:left="851"/>
        <w:rPr>
          <w:sz w:val="24"/>
          <w:szCs w:val="24"/>
        </w:rPr>
      </w:pPr>
    </w:p>
    <w:p w14:paraId="57E003DC" w14:textId="77777777" w:rsidR="0048621A" w:rsidRPr="0089631E" w:rsidRDefault="0048621A" w:rsidP="00076476">
      <w:pPr>
        <w:ind w:left="851"/>
        <w:rPr>
          <w:sz w:val="24"/>
          <w:szCs w:val="24"/>
        </w:rPr>
      </w:pPr>
      <w:r w:rsidRPr="0089631E">
        <w:rPr>
          <w:sz w:val="24"/>
          <w:szCs w:val="24"/>
        </w:rPr>
        <w:t xml:space="preserve">Lysfølsomhedsreaktioner: Selvom det ikke er bemærket i forbindelse med </w:t>
      </w:r>
      <w:proofErr w:type="spellStart"/>
      <w:r w:rsidRPr="0089631E">
        <w:rPr>
          <w:sz w:val="24"/>
          <w:szCs w:val="24"/>
        </w:rPr>
        <w:t>doxylamin</w:t>
      </w:r>
      <w:proofErr w:type="spellEnd"/>
      <w:r w:rsidRPr="0089631E">
        <w:rPr>
          <w:sz w:val="24"/>
          <w:szCs w:val="24"/>
        </w:rPr>
        <w:t xml:space="preserve">, er en øget følsomhed af huden over for sollys med </w:t>
      </w:r>
      <w:proofErr w:type="spellStart"/>
      <w:r w:rsidRPr="0089631E">
        <w:rPr>
          <w:sz w:val="24"/>
          <w:szCs w:val="24"/>
        </w:rPr>
        <w:t>fotodermatitis</w:t>
      </w:r>
      <w:proofErr w:type="spellEnd"/>
      <w:r w:rsidRPr="0089631E">
        <w:rPr>
          <w:sz w:val="24"/>
          <w:szCs w:val="24"/>
        </w:rPr>
        <w:t xml:space="preserve"> blevet observeret med nogle antihistaminer. Solbadning skal derfor undgås under behandlingen.</w:t>
      </w:r>
    </w:p>
    <w:p w14:paraId="4800E4CA" w14:textId="77777777" w:rsidR="0048621A" w:rsidRPr="0089631E" w:rsidRDefault="0048621A" w:rsidP="00076476">
      <w:pPr>
        <w:ind w:left="851"/>
        <w:rPr>
          <w:sz w:val="24"/>
          <w:szCs w:val="24"/>
        </w:rPr>
      </w:pPr>
    </w:p>
    <w:p w14:paraId="6555F95D" w14:textId="77777777" w:rsidR="0048621A" w:rsidRPr="0089631E" w:rsidRDefault="0048621A" w:rsidP="00076476">
      <w:pPr>
        <w:ind w:left="851"/>
        <w:rPr>
          <w:sz w:val="24"/>
          <w:szCs w:val="24"/>
        </w:rPr>
      </w:pPr>
      <w:proofErr w:type="spellStart"/>
      <w:r w:rsidRPr="0089631E">
        <w:rPr>
          <w:sz w:val="24"/>
          <w:szCs w:val="24"/>
        </w:rPr>
        <w:t>Ototoksiske</w:t>
      </w:r>
      <w:proofErr w:type="spellEnd"/>
      <w:r w:rsidRPr="0089631E">
        <w:rPr>
          <w:sz w:val="24"/>
          <w:szCs w:val="24"/>
        </w:rPr>
        <w:t xml:space="preserve"> lægemidler: Sederende antihistaminer af </w:t>
      </w:r>
      <w:proofErr w:type="spellStart"/>
      <w:r w:rsidRPr="0089631E">
        <w:rPr>
          <w:sz w:val="24"/>
          <w:szCs w:val="24"/>
        </w:rPr>
        <w:t>ethanolamin</w:t>
      </w:r>
      <w:proofErr w:type="spellEnd"/>
      <w:r w:rsidRPr="0089631E">
        <w:rPr>
          <w:sz w:val="24"/>
          <w:szCs w:val="24"/>
        </w:rPr>
        <w:t xml:space="preserve">-klassen såsom </w:t>
      </w:r>
      <w:proofErr w:type="spellStart"/>
      <w:r w:rsidRPr="0089631E">
        <w:rPr>
          <w:sz w:val="24"/>
          <w:szCs w:val="24"/>
        </w:rPr>
        <w:t>doxylamin</w:t>
      </w:r>
      <w:proofErr w:type="spellEnd"/>
      <w:r w:rsidRPr="0089631E">
        <w:rPr>
          <w:sz w:val="24"/>
          <w:szCs w:val="24"/>
        </w:rPr>
        <w:t xml:space="preserve"> kan maskere advarselstegnene på skader forårsaget af </w:t>
      </w:r>
      <w:proofErr w:type="spellStart"/>
      <w:r w:rsidRPr="0089631E">
        <w:rPr>
          <w:sz w:val="24"/>
          <w:szCs w:val="24"/>
        </w:rPr>
        <w:t>ototoksiske</w:t>
      </w:r>
      <w:proofErr w:type="spellEnd"/>
      <w:r w:rsidRPr="0089631E">
        <w:rPr>
          <w:sz w:val="24"/>
          <w:szCs w:val="24"/>
        </w:rPr>
        <w:t xml:space="preserve"> lægemidler som eksempelvis antibakterielle aminoglykosider, </w:t>
      </w:r>
      <w:proofErr w:type="spellStart"/>
      <w:r w:rsidRPr="0089631E">
        <w:rPr>
          <w:sz w:val="24"/>
          <w:szCs w:val="24"/>
        </w:rPr>
        <w:t>carboplatin</w:t>
      </w:r>
      <w:proofErr w:type="spellEnd"/>
      <w:r w:rsidRPr="0089631E">
        <w:rPr>
          <w:sz w:val="24"/>
          <w:szCs w:val="24"/>
        </w:rPr>
        <w:t xml:space="preserve">, </w:t>
      </w:r>
      <w:proofErr w:type="spellStart"/>
      <w:r w:rsidRPr="0089631E">
        <w:rPr>
          <w:sz w:val="24"/>
          <w:szCs w:val="24"/>
        </w:rPr>
        <w:t>cisplatin</w:t>
      </w:r>
      <w:proofErr w:type="spellEnd"/>
      <w:r w:rsidRPr="0089631E">
        <w:rPr>
          <w:sz w:val="24"/>
          <w:szCs w:val="24"/>
        </w:rPr>
        <w:t xml:space="preserve">, </w:t>
      </w:r>
      <w:proofErr w:type="spellStart"/>
      <w:r w:rsidRPr="0089631E">
        <w:rPr>
          <w:sz w:val="24"/>
          <w:szCs w:val="24"/>
        </w:rPr>
        <w:t>chloroquin</w:t>
      </w:r>
      <w:proofErr w:type="spellEnd"/>
      <w:r w:rsidRPr="0089631E">
        <w:rPr>
          <w:sz w:val="24"/>
          <w:szCs w:val="24"/>
        </w:rPr>
        <w:t xml:space="preserve"> og </w:t>
      </w:r>
      <w:proofErr w:type="spellStart"/>
      <w:r w:rsidRPr="0089631E">
        <w:rPr>
          <w:sz w:val="24"/>
          <w:szCs w:val="24"/>
        </w:rPr>
        <w:t>erythromycin</w:t>
      </w:r>
      <w:proofErr w:type="spellEnd"/>
      <w:r w:rsidRPr="0089631E">
        <w:rPr>
          <w:sz w:val="24"/>
          <w:szCs w:val="24"/>
        </w:rPr>
        <w:t>.</w:t>
      </w:r>
    </w:p>
    <w:p w14:paraId="2E4C58C7" w14:textId="77777777" w:rsidR="0048621A" w:rsidRPr="0089631E" w:rsidRDefault="0048621A" w:rsidP="00076476">
      <w:pPr>
        <w:ind w:left="851"/>
        <w:rPr>
          <w:sz w:val="24"/>
          <w:szCs w:val="24"/>
        </w:rPr>
      </w:pPr>
    </w:p>
    <w:p w14:paraId="41F684AA" w14:textId="77777777" w:rsidR="0048621A" w:rsidRPr="0089631E" w:rsidRDefault="0048621A" w:rsidP="00076476">
      <w:pPr>
        <w:ind w:left="851"/>
        <w:rPr>
          <w:sz w:val="24"/>
          <w:szCs w:val="24"/>
        </w:rPr>
      </w:pPr>
      <w:r w:rsidRPr="0089631E">
        <w:rPr>
          <w:sz w:val="24"/>
          <w:szCs w:val="24"/>
        </w:rPr>
        <w:t>Der bør udvises forsigtighed hos patienter med epilepsi, da antihistaminer lejlighedsvis er blevet forbundet med paradoksale hyperaktivitetsreaktioner selv ved terapeutiske doser.</w:t>
      </w:r>
    </w:p>
    <w:p w14:paraId="294C3458" w14:textId="77777777" w:rsidR="0048621A" w:rsidRPr="0089631E" w:rsidRDefault="0048621A" w:rsidP="00076476">
      <w:pPr>
        <w:ind w:left="851"/>
        <w:rPr>
          <w:sz w:val="24"/>
          <w:szCs w:val="24"/>
        </w:rPr>
      </w:pPr>
    </w:p>
    <w:p w14:paraId="6B80CB7D" w14:textId="77777777" w:rsidR="0048621A" w:rsidRPr="0089631E" w:rsidRDefault="0048621A" w:rsidP="00076476">
      <w:pPr>
        <w:ind w:left="851"/>
        <w:rPr>
          <w:sz w:val="24"/>
          <w:szCs w:val="24"/>
        </w:rPr>
      </w:pPr>
      <w:r w:rsidRPr="0089631E">
        <w:rPr>
          <w:sz w:val="24"/>
          <w:szCs w:val="24"/>
        </w:rPr>
        <w:lastRenderedPageBreak/>
        <w:t xml:space="preserve">På grund af nedsat svedtendens forårsaget af </w:t>
      </w:r>
      <w:proofErr w:type="spellStart"/>
      <w:r w:rsidRPr="0089631E">
        <w:rPr>
          <w:sz w:val="24"/>
          <w:szCs w:val="24"/>
        </w:rPr>
        <w:t>antikolinerge</w:t>
      </w:r>
      <w:proofErr w:type="spellEnd"/>
      <w:r w:rsidRPr="0089631E">
        <w:rPr>
          <w:sz w:val="24"/>
          <w:szCs w:val="24"/>
        </w:rPr>
        <w:t xml:space="preserve"> virkninger kan antihistaminer forværre symptomer på dehydrering og hedeslag.</w:t>
      </w:r>
    </w:p>
    <w:p w14:paraId="470B6B1A" w14:textId="77777777" w:rsidR="0048621A" w:rsidRPr="0089631E" w:rsidRDefault="0048621A" w:rsidP="00076476">
      <w:pPr>
        <w:ind w:left="851"/>
        <w:rPr>
          <w:sz w:val="24"/>
          <w:szCs w:val="24"/>
        </w:rPr>
      </w:pPr>
    </w:p>
    <w:p w14:paraId="1C18A57B" w14:textId="77777777" w:rsidR="0048621A" w:rsidRPr="0089631E" w:rsidRDefault="0048621A" w:rsidP="00076476">
      <w:pPr>
        <w:ind w:left="851"/>
        <w:rPr>
          <w:sz w:val="24"/>
          <w:szCs w:val="24"/>
        </w:rPr>
      </w:pPr>
      <w:r w:rsidRPr="0089631E">
        <w:rPr>
          <w:sz w:val="24"/>
          <w:szCs w:val="24"/>
        </w:rPr>
        <w:t xml:space="preserve">Særlige forholdsregler skal tages hos patienter med langt QT-syndrom, da flere antihistaminer kan forlænge det nævnte QT-interval, selvom denne effekt ikke er observeret specifikt med </w:t>
      </w:r>
      <w:proofErr w:type="spellStart"/>
      <w:r w:rsidRPr="0089631E">
        <w:rPr>
          <w:sz w:val="24"/>
          <w:szCs w:val="24"/>
        </w:rPr>
        <w:t>doxylamin</w:t>
      </w:r>
      <w:proofErr w:type="spellEnd"/>
      <w:r w:rsidRPr="0089631E">
        <w:rPr>
          <w:sz w:val="24"/>
          <w:szCs w:val="24"/>
        </w:rPr>
        <w:t xml:space="preserve"> ved terapeutisk dosis.</w:t>
      </w:r>
    </w:p>
    <w:p w14:paraId="78911BC6" w14:textId="77777777" w:rsidR="0048621A" w:rsidRPr="0089631E" w:rsidRDefault="0048621A" w:rsidP="00076476">
      <w:pPr>
        <w:ind w:left="851"/>
        <w:rPr>
          <w:sz w:val="24"/>
          <w:szCs w:val="24"/>
        </w:rPr>
      </w:pPr>
    </w:p>
    <w:p w14:paraId="71E36EB1" w14:textId="77777777" w:rsidR="0048621A" w:rsidRPr="0089631E" w:rsidRDefault="0048621A" w:rsidP="00076476">
      <w:pPr>
        <w:ind w:left="851"/>
        <w:rPr>
          <w:sz w:val="24"/>
          <w:szCs w:val="24"/>
        </w:rPr>
      </w:pPr>
      <w:r w:rsidRPr="0089631E">
        <w:rPr>
          <w:sz w:val="24"/>
          <w:szCs w:val="24"/>
        </w:rPr>
        <w:t xml:space="preserve">Behandling af patienter med </w:t>
      </w:r>
      <w:proofErr w:type="spellStart"/>
      <w:r w:rsidRPr="0089631E">
        <w:rPr>
          <w:sz w:val="24"/>
          <w:szCs w:val="24"/>
        </w:rPr>
        <w:t>hypokaliæmi</w:t>
      </w:r>
      <w:proofErr w:type="spellEnd"/>
      <w:r w:rsidRPr="0089631E">
        <w:rPr>
          <w:sz w:val="24"/>
          <w:szCs w:val="24"/>
        </w:rPr>
        <w:t xml:space="preserve"> eller andre elektrolytforstyrrelser bør evalueres.</w:t>
      </w:r>
    </w:p>
    <w:p w14:paraId="3D1A6E91" w14:textId="77777777" w:rsidR="0048621A" w:rsidRPr="0089631E" w:rsidRDefault="0048621A" w:rsidP="00076476">
      <w:pPr>
        <w:ind w:left="851"/>
        <w:rPr>
          <w:sz w:val="24"/>
          <w:szCs w:val="24"/>
        </w:rPr>
      </w:pPr>
    </w:p>
    <w:p w14:paraId="3A108AAA" w14:textId="77777777" w:rsidR="0048621A" w:rsidRPr="0089631E" w:rsidRDefault="0048621A" w:rsidP="00076476">
      <w:pPr>
        <w:ind w:left="851"/>
        <w:rPr>
          <w:sz w:val="24"/>
          <w:szCs w:val="24"/>
        </w:rPr>
      </w:pPr>
      <w:r w:rsidRPr="0089631E">
        <w:rPr>
          <w:sz w:val="24"/>
          <w:szCs w:val="24"/>
        </w:rPr>
        <w:t xml:space="preserve">Risikoen for misbrug og stofafhængighed af </w:t>
      </w:r>
      <w:proofErr w:type="spellStart"/>
      <w:r w:rsidRPr="0089631E">
        <w:rPr>
          <w:sz w:val="24"/>
          <w:szCs w:val="24"/>
        </w:rPr>
        <w:t>doxylamin</w:t>
      </w:r>
      <w:proofErr w:type="spellEnd"/>
      <w:r w:rsidRPr="0089631E">
        <w:rPr>
          <w:sz w:val="24"/>
          <w:szCs w:val="24"/>
        </w:rPr>
        <w:t xml:space="preserve"> er lav. Forekomsten af tegn, der tyder på misbrug eller afhængighed, bør overvåges nøje, især hos patienter, som tidligere har haft misbrugsproblemer.</w:t>
      </w:r>
    </w:p>
    <w:p w14:paraId="27A47B5E" w14:textId="77777777" w:rsidR="0048621A" w:rsidRPr="0089631E" w:rsidRDefault="0048621A" w:rsidP="00076476">
      <w:pPr>
        <w:ind w:left="851"/>
        <w:rPr>
          <w:sz w:val="24"/>
          <w:szCs w:val="24"/>
        </w:rPr>
      </w:pPr>
    </w:p>
    <w:p w14:paraId="6C1D964B" w14:textId="43DB542B" w:rsidR="0048621A" w:rsidRPr="0089631E" w:rsidRDefault="0048621A" w:rsidP="00076476">
      <w:pPr>
        <w:ind w:left="851"/>
        <w:rPr>
          <w:sz w:val="24"/>
          <w:szCs w:val="24"/>
        </w:rPr>
      </w:pPr>
      <w:r w:rsidRPr="0089631E">
        <w:rPr>
          <w:sz w:val="24"/>
          <w:szCs w:val="24"/>
        </w:rPr>
        <w:t xml:space="preserve">Der har været rapporter om falsk positive screeninger for metadon, opiater og </w:t>
      </w:r>
      <w:proofErr w:type="spellStart"/>
      <w:r w:rsidRPr="0089631E">
        <w:rPr>
          <w:sz w:val="24"/>
          <w:szCs w:val="24"/>
        </w:rPr>
        <w:t>phencyclidinphosphat</w:t>
      </w:r>
      <w:proofErr w:type="spellEnd"/>
      <w:r w:rsidRPr="0089631E">
        <w:rPr>
          <w:sz w:val="24"/>
          <w:szCs w:val="24"/>
        </w:rPr>
        <w:t xml:space="preserve"> (PCP) i urinen ved brug af </w:t>
      </w:r>
      <w:proofErr w:type="spellStart"/>
      <w:r w:rsidRPr="0089631E">
        <w:rPr>
          <w:sz w:val="24"/>
          <w:szCs w:val="24"/>
        </w:rPr>
        <w:t>doxylaminhydrogensuccinat</w:t>
      </w:r>
      <w:proofErr w:type="spellEnd"/>
      <w:r w:rsidRPr="0089631E">
        <w:rPr>
          <w:sz w:val="24"/>
          <w:szCs w:val="24"/>
        </w:rPr>
        <w:t>/</w:t>
      </w:r>
      <w:proofErr w:type="spellStart"/>
      <w:r w:rsidRPr="0089631E">
        <w:rPr>
          <w:sz w:val="24"/>
          <w:szCs w:val="24"/>
        </w:rPr>
        <w:t>pyridoxin</w:t>
      </w:r>
      <w:r w:rsidR="00041126">
        <w:rPr>
          <w:sz w:val="24"/>
          <w:szCs w:val="24"/>
        </w:rPr>
        <w:softHyphen/>
      </w:r>
      <w:r w:rsidRPr="0089631E">
        <w:rPr>
          <w:sz w:val="24"/>
          <w:szCs w:val="24"/>
        </w:rPr>
        <w:t>hydrochlorid</w:t>
      </w:r>
      <w:proofErr w:type="spellEnd"/>
      <w:r w:rsidRPr="0089631E">
        <w:rPr>
          <w:sz w:val="24"/>
          <w:szCs w:val="24"/>
        </w:rPr>
        <w:t xml:space="preserve"> (se pkt. 4.5).</w:t>
      </w:r>
    </w:p>
    <w:p w14:paraId="461BB095" w14:textId="77777777" w:rsidR="0048621A" w:rsidRPr="0089631E" w:rsidRDefault="0048621A" w:rsidP="00076476">
      <w:pPr>
        <w:ind w:left="851"/>
        <w:rPr>
          <w:i/>
          <w:iCs/>
          <w:sz w:val="24"/>
          <w:szCs w:val="24"/>
        </w:rPr>
      </w:pPr>
    </w:p>
    <w:p w14:paraId="2F522F5A" w14:textId="77777777" w:rsidR="0048621A" w:rsidRPr="0089631E" w:rsidRDefault="0048621A" w:rsidP="00076476">
      <w:pPr>
        <w:ind w:left="851"/>
        <w:rPr>
          <w:i/>
          <w:iCs/>
          <w:sz w:val="24"/>
          <w:szCs w:val="24"/>
        </w:rPr>
      </w:pPr>
      <w:r w:rsidRPr="0089631E">
        <w:rPr>
          <w:i/>
          <w:iCs/>
          <w:sz w:val="24"/>
          <w:szCs w:val="24"/>
        </w:rPr>
        <w:t>Interferens med hudtest af allergi</w:t>
      </w:r>
    </w:p>
    <w:p w14:paraId="7EEF66C2" w14:textId="77777777" w:rsidR="0048621A" w:rsidRPr="0089631E" w:rsidRDefault="0048621A" w:rsidP="00076476">
      <w:pPr>
        <w:ind w:left="851"/>
        <w:rPr>
          <w:i/>
          <w:iCs/>
          <w:sz w:val="24"/>
          <w:szCs w:val="24"/>
        </w:rPr>
      </w:pPr>
    </w:p>
    <w:p w14:paraId="4146233A" w14:textId="77777777" w:rsidR="0048621A" w:rsidRPr="0089631E" w:rsidRDefault="0048621A" w:rsidP="00076476">
      <w:pPr>
        <w:ind w:left="851"/>
        <w:rPr>
          <w:sz w:val="24"/>
          <w:szCs w:val="24"/>
        </w:rPr>
      </w:pPr>
      <w:r w:rsidRPr="0089631E">
        <w:rPr>
          <w:sz w:val="24"/>
          <w:szCs w:val="24"/>
        </w:rPr>
        <w:t xml:space="preserve">Antihistaminer kan undertrykke det </w:t>
      </w:r>
      <w:proofErr w:type="spellStart"/>
      <w:r w:rsidRPr="0089631E">
        <w:rPr>
          <w:sz w:val="24"/>
          <w:szCs w:val="24"/>
        </w:rPr>
        <w:t>kutane</w:t>
      </w:r>
      <w:proofErr w:type="spellEnd"/>
      <w:r w:rsidRPr="0089631E">
        <w:rPr>
          <w:sz w:val="24"/>
          <w:szCs w:val="24"/>
        </w:rPr>
        <w:t xml:space="preserve"> histaminrespons på allergenekstrakter og skal seponeres flere dage før hudtesten.</w:t>
      </w:r>
    </w:p>
    <w:p w14:paraId="3AC24090" w14:textId="77777777" w:rsidR="0048621A" w:rsidRPr="0089631E" w:rsidRDefault="0048621A" w:rsidP="00076476">
      <w:pPr>
        <w:ind w:left="851"/>
        <w:rPr>
          <w:sz w:val="24"/>
          <w:szCs w:val="24"/>
        </w:rPr>
      </w:pPr>
    </w:p>
    <w:p w14:paraId="49339BA5" w14:textId="77777777" w:rsidR="0048621A" w:rsidRPr="0089631E" w:rsidRDefault="0048621A" w:rsidP="00076476">
      <w:pPr>
        <w:ind w:left="851"/>
        <w:rPr>
          <w:sz w:val="24"/>
          <w:szCs w:val="24"/>
        </w:rPr>
      </w:pPr>
      <w:r w:rsidRPr="0089631E">
        <w:rPr>
          <w:sz w:val="24"/>
          <w:szCs w:val="24"/>
        </w:rPr>
        <w:t xml:space="preserve">Dette lægemiddel indeholder </w:t>
      </w:r>
      <w:proofErr w:type="spellStart"/>
      <w:r w:rsidRPr="0089631E">
        <w:rPr>
          <w:sz w:val="24"/>
          <w:szCs w:val="24"/>
        </w:rPr>
        <w:t>allura</w:t>
      </w:r>
      <w:proofErr w:type="spellEnd"/>
      <w:r w:rsidRPr="0089631E">
        <w:rPr>
          <w:sz w:val="24"/>
          <w:szCs w:val="24"/>
        </w:rPr>
        <w:t xml:space="preserve"> rød AC aluminiumlak (E129), et </w:t>
      </w:r>
      <w:proofErr w:type="spellStart"/>
      <w:r w:rsidRPr="0089631E">
        <w:rPr>
          <w:sz w:val="24"/>
          <w:szCs w:val="24"/>
        </w:rPr>
        <w:t>azofarvestof</w:t>
      </w:r>
      <w:proofErr w:type="spellEnd"/>
      <w:r w:rsidRPr="0089631E">
        <w:rPr>
          <w:sz w:val="24"/>
          <w:szCs w:val="24"/>
        </w:rPr>
        <w:t>, der kan medføre allergiske reaktioner.</w:t>
      </w:r>
    </w:p>
    <w:p w14:paraId="5BE6DFC8" w14:textId="77777777" w:rsidR="0048621A" w:rsidRPr="0089631E" w:rsidRDefault="0048621A" w:rsidP="00076476">
      <w:pPr>
        <w:ind w:left="851"/>
        <w:rPr>
          <w:sz w:val="24"/>
          <w:szCs w:val="24"/>
        </w:rPr>
      </w:pPr>
    </w:p>
    <w:p w14:paraId="4323E980" w14:textId="0F795189" w:rsidR="0048621A" w:rsidRPr="0089631E" w:rsidRDefault="0048621A" w:rsidP="00076476">
      <w:pPr>
        <w:ind w:left="851"/>
        <w:rPr>
          <w:sz w:val="24"/>
          <w:szCs w:val="24"/>
        </w:rPr>
      </w:pPr>
      <w:r w:rsidRPr="0089631E">
        <w:rPr>
          <w:sz w:val="24"/>
          <w:szCs w:val="24"/>
        </w:rPr>
        <w:t>Dette lægemiddel indeholder mindre end 1 mmol (23 mg) natrium pr.</w:t>
      </w:r>
      <w:r w:rsidR="00CA76D0">
        <w:rPr>
          <w:sz w:val="24"/>
          <w:szCs w:val="24"/>
        </w:rPr>
        <w:t xml:space="preserve"> </w:t>
      </w:r>
      <w:r w:rsidRPr="0089631E">
        <w:rPr>
          <w:sz w:val="24"/>
          <w:szCs w:val="24"/>
        </w:rPr>
        <w:t>tablet, dvs. det er i det væsentlige natrium-frit.</w:t>
      </w:r>
    </w:p>
    <w:p w14:paraId="0756A9C4" w14:textId="77777777" w:rsidR="009260DE" w:rsidRPr="0089631E" w:rsidRDefault="009260DE" w:rsidP="009260DE">
      <w:pPr>
        <w:tabs>
          <w:tab w:val="left" w:pos="851"/>
        </w:tabs>
        <w:ind w:left="851"/>
        <w:rPr>
          <w:sz w:val="24"/>
          <w:szCs w:val="24"/>
        </w:rPr>
      </w:pPr>
    </w:p>
    <w:p w14:paraId="22BB86BE" w14:textId="77777777" w:rsidR="009260DE" w:rsidRPr="0089631E" w:rsidRDefault="009260DE" w:rsidP="009260DE">
      <w:pPr>
        <w:tabs>
          <w:tab w:val="left" w:pos="851"/>
        </w:tabs>
        <w:ind w:left="851" w:hanging="851"/>
        <w:rPr>
          <w:b/>
          <w:sz w:val="24"/>
          <w:szCs w:val="24"/>
        </w:rPr>
      </w:pPr>
      <w:r w:rsidRPr="0089631E">
        <w:rPr>
          <w:b/>
          <w:sz w:val="24"/>
          <w:szCs w:val="24"/>
        </w:rPr>
        <w:t>4.5</w:t>
      </w:r>
      <w:r w:rsidRPr="0089631E">
        <w:rPr>
          <w:b/>
          <w:sz w:val="24"/>
          <w:szCs w:val="24"/>
        </w:rPr>
        <w:tab/>
        <w:t>Interaktion med andre lægemidler og andre former for interaktion</w:t>
      </w:r>
    </w:p>
    <w:p w14:paraId="03D4C3A4" w14:textId="020A1BAD" w:rsidR="0048621A" w:rsidRPr="0089631E" w:rsidRDefault="00CB1A0F" w:rsidP="00076476">
      <w:pPr>
        <w:ind w:left="851"/>
        <w:rPr>
          <w:sz w:val="24"/>
          <w:szCs w:val="24"/>
        </w:rPr>
      </w:pPr>
      <w:r w:rsidRPr="0089631E">
        <w:rPr>
          <w:sz w:val="24"/>
          <w:szCs w:val="24"/>
        </w:rPr>
        <w:t>K</w:t>
      </w:r>
      <w:r w:rsidR="0048621A" w:rsidRPr="0089631E">
        <w:rPr>
          <w:sz w:val="24"/>
          <w:szCs w:val="24"/>
        </w:rPr>
        <w:t xml:space="preserve">endte eller teoretiske interaktioner med </w:t>
      </w:r>
      <w:proofErr w:type="spellStart"/>
      <w:r w:rsidR="0048621A" w:rsidRPr="0089631E">
        <w:rPr>
          <w:sz w:val="24"/>
          <w:szCs w:val="24"/>
        </w:rPr>
        <w:t>histaminer</w:t>
      </w:r>
      <w:proofErr w:type="spellEnd"/>
      <w:r w:rsidR="0048621A" w:rsidRPr="0089631E">
        <w:rPr>
          <w:sz w:val="24"/>
          <w:szCs w:val="24"/>
        </w:rPr>
        <w:t xml:space="preserve"> af </w:t>
      </w:r>
      <w:proofErr w:type="spellStart"/>
      <w:r w:rsidR="0048621A" w:rsidRPr="0089631E">
        <w:rPr>
          <w:sz w:val="24"/>
          <w:szCs w:val="24"/>
        </w:rPr>
        <w:t>ethanolamin</w:t>
      </w:r>
      <w:proofErr w:type="spellEnd"/>
      <w:r w:rsidR="0048621A" w:rsidRPr="0089631E">
        <w:rPr>
          <w:sz w:val="24"/>
          <w:szCs w:val="24"/>
        </w:rPr>
        <w:t>-klassen:</w:t>
      </w:r>
    </w:p>
    <w:p w14:paraId="14620F4C" w14:textId="77777777" w:rsidR="0048621A" w:rsidRPr="0089631E" w:rsidRDefault="0048621A" w:rsidP="00076476">
      <w:pPr>
        <w:ind w:left="851"/>
        <w:rPr>
          <w:sz w:val="24"/>
          <w:szCs w:val="24"/>
        </w:rPr>
      </w:pPr>
    </w:p>
    <w:p w14:paraId="10F18A3D" w14:textId="3F253857" w:rsidR="0048621A" w:rsidRPr="0089631E" w:rsidRDefault="0048621A" w:rsidP="00CB1A0F">
      <w:pPr>
        <w:pStyle w:val="Listeafsnit"/>
        <w:numPr>
          <w:ilvl w:val="0"/>
          <w:numId w:val="8"/>
        </w:numPr>
        <w:ind w:left="1276" w:hanging="425"/>
        <w:rPr>
          <w:bCs/>
          <w:sz w:val="24"/>
          <w:szCs w:val="24"/>
        </w:rPr>
      </w:pPr>
      <w:proofErr w:type="spellStart"/>
      <w:r w:rsidRPr="0089631E">
        <w:rPr>
          <w:sz w:val="24"/>
          <w:szCs w:val="24"/>
        </w:rPr>
        <w:t>Antikolinerge</w:t>
      </w:r>
      <w:proofErr w:type="spellEnd"/>
      <w:r w:rsidRPr="0089631E">
        <w:rPr>
          <w:sz w:val="24"/>
          <w:szCs w:val="24"/>
        </w:rPr>
        <w:t xml:space="preserve"> midler (tricykliske </w:t>
      </w:r>
      <w:proofErr w:type="spellStart"/>
      <w:r w:rsidRPr="0089631E">
        <w:rPr>
          <w:sz w:val="24"/>
          <w:szCs w:val="24"/>
        </w:rPr>
        <w:t>antidepressiva</w:t>
      </w:r>
      <w:proofErr w:type="spellEnd"/>
      <w:r w:rsidRPr="0089631E">
        <w:rPr>
          <w:sz w:val="24"/>
          <w:szCs w:val="24"/>
        </w:rPr>
        <w:t>, MAO-</w:t>
      </w:r>
      <w:proofErr w:type="spellStart"/>
      <w:r w:rsidRPr="0089631E">
        <w:rPr>
          <w:sz w:val="24"/>
          <w:szCs w:val="24"/>
        </w:rPr>
        <w:t>hæmmere</w:t>
      </w:r>
      <w:proofErr w:type="spellEnd"/>
      <w:r w:rsidRPr="0089631E">
        <w:rPr>
          <w:sz w:val="24"/>
          <w:szCs w:val="24"/>
        </w:rPr>
        <w:t xml:space="preserve">, </w:t>
      </w:r>
      <w:proofErr w:type="spellStart"/>
      <w:r w:rsidRPr="0089631E">
        <w:rPr>
          <w:sz w:val="24"/>
          <w:szCs w:val="24"/>
        </w:rPr>
        <w:t>neuroleptika</w:t>
      </w:r>
      <w:proofErr w:type="spellEnd"/>
      <w:r w:rsidRPr="0089631E">
        <w:rPr>
          <w:sz w:val="24"/>
          <w:szCs w:val="24"/>
        </w:rPr>
        <w:t xml:space="preserve">): kan øge toksiciteten på grund af tilføjelsen af deres </w:t>
      </w:r>
      <w:proofErr w:type="spellStart"/>
      <w:r w:rsidRPr="0089631E">
        <w:rPr>
          <w:sz w:val="24"/>
          <w:szCs w:val="24"/>
        </w:rPr>
        <w:t>antikolinerge</w:t>
      </w:r>
      <w:proofErr w:type="spellEnd"/>
      <w:r w:rsidRPr="0089631E">
        <w:rPr>
          <w:sz w:val="24"/>
          <w:szCs w:val="24"/>
        </w:rPr>
        <w:t xml:space="preserve"> virkninger. </w:t>
      </w:r>
      <w:proofErr w:type="spellStart"/>
      <w:r w:rsidRPr="0089631E">
        <w:rPr>
          <w:bCs/>
          <w:sz w:val="24"/>
          <w:szCs w:val="24"/>
        </w:rPr>
        <w:t>Monoaminoxidasehæmmere</w:t>
      </w:r>
      <w:proofErr w:type="spellEnd"/>
      <w:r w:rsidRPr="0089631E">
        <w:rPr>
          <w:bCs/>
          <w:sz w:val="24"/>
          <w:szCs w:val="24"/>
        </w:rPr>
        <w:t xml:space="preserve"> (MAO-</w:t>
      </w:r>
      <w:proofErr w:type="spellStart"/>
      <w:r w:rsidRPr="0089631E">
        <w:rPr>
          <w:bCs/>
          <w:sz w:val="24"/>
          <w:szCs w:val="24"/>
        </w:rPr>
        <w:t>hæmmere</w:t>
      </w:r>
      <w:proofErr w:type="spellEnd"/>
      <w:r w:rsidRPr="0089631E">
        <w:rPr>
          <w:bCs/>
          <w:sz w:val="24"/>
          <w:szCs w:val="24"/>
        </w:rPr>
        <w:t xml:space="preserve">) forlænger og intensiverer de </w:t>
      </w:r>
      <w:proofErr w:type="spellStart"/>
      <w:r w:rsidRPr="0089631E">
        <w:rPr>
          <w:bCs/>
          <w:sz w:val="24"/>
          <w:szCs w:val="24"/>
        </w:rPr>
        <w:t>antikolinerge</w:t>
      </w:r>
      <w:proofErr w:type="spellEnd"/>
      <w:r w:rsidRPr="0089631E">
        <w:rPr>
          <w:bCs/>
          <w:sz w:val="24"/>
          <w:szCs w:val="24"/>
        </w:rPr>
        <w:t xml:space="preserve"> virkninger af antihistaminer, og samtidig behandling med MAO-</w:t>
      </w:r>
      <w:proofErr w:type="spellStart"/>
      <w:r w:rsidRPr="0089631E">
        <w:rPr>
          <w:bCs/>
          <w:sz w:val="24"/>
          <w:szCs w:val="24"/>
        </w:rPr>
        <w:t>hæmmere</w:t>
      </w:r>
      <w:proofErr w:type="spellEnd"/>
      <w:r w:rsidRPr="0089631E">
        <w:rPr>
          <w:bCs/>
          <w:sz w:val="24"/>
          <w:szCs w:val="24"/>
        </w:rPr>
        <w:t xml:space="preserve"> eller brug af </w:t>
      </w:r>
      <w:proofErr w:type="spellStart"/>
      <w:r w:rsidRPr="0089631E">
        <w:rPr>
          <w:bCs/>
          <w:sz w:val="24"/>
          <w:szCs w:val="24"/>
        </w:rPr>
        <w:t>Bonjesta</w:t>
      </w:r>
      <w:proofErr w:type="spellEnd"/>
      <w:r w:rsidRPr="0089631E">
        <w:rPr>
          <w:bCs/>
          <w:sz w:val="24"/>
          <w:szCs w:val="24"/>
        </w:rPr>
        <w:t xml:space="preserve"> op til 14 dage efter ophør med MAO-</w:t>
      </w:r>
      <w:proofErr w:type="spellStart"/>
      <w:r w:rsidRPr="0089631E">
        <w:rPr>
          <w:bCs/>
          <w:sz w:val="24"/>
          <w:szCs w:val="24"/>
        </w:rPr>
        <w:t>hæmmere</w:t>
      </w:r>
      <w:proofErr w:type="spellEnd"/>
      <w:r w:rsidRPr="0089631E">
        <w:rPr>
          <w:bCs/>
          <w:sz w:val="24"/>
          <w:szCs w:val="24"/>
        </w:rPr>
        <w:t xml:space="preserve"> er kontraindiceret (se pkt. 4.3).</w:t>
      </w:r>
    </w:p>
    <w:p w14:paraId="1D50FF68" w14:textId="77777777" w:rsidR="0048621A" w:rsidRPr="0089631E" w:rsidRDefault="0048621A" w:rsidP="00CB1A0F">
      <w:pPr>
        <w:ind w:left="1276" w:hanging="425"/>
        <w:rPr>
          <w:sz w:val="24"/>
          <w:szCs w:val="24"/>
        </w:rPr>
      </w:pPr>
    </w:p>
    <w:p w14:paraId="476309EE" w14:textId="3C63B8CA" w:rsidR="0048621A" w:rsidRPr="0089631E" w:rsidRDefault="0048621A" w:rsidP="00CB1A0F">
      <w:pPr>
        <w:pStyle w:val="Listeafsnit"/>
        <w:numPr>
          <w:ilvl w:val="0"/>
          <w:numId w:val="8"/>
        </w:numPr>
        <w:ind w:left="1276" w:hanging="425"/>
        <w:rPr>
          <w:sz w:val="24"/>
          <w:szCs w:val="24"/>
        </w:rPr>
      </w:pPr>
      <w:r w:rsidRPr="0089631E">
        <w:rPr>
          <w:sz w:val="24"/>
          <w:szCs w:val="24"/>
        </w:rPr>
        <w:t xml:space="preserve">Sedativer (barbiturater, benzodiazepiner, antipsykotiske midler, </w:t>
      </w:r>
      <w:proofErr w:type="spellStart"/>
      <w:r w:rsidRPr="0089631E">
        <w:rPr>
          <w:sz w:val="24"/>
          <w:szCs w:val="24"/>
        </w:rPr>
        <w:t>opioidanalgetika</w:t>
      </w:r>
      <w:proofErr w:type="spellEnd"/>
      <w:r w:rsidRPr="0089631E">
        <w:rPr>
          <w:sz w:val="24"/>
          <w:szCs w:val="24"/>
        </w:rPr>
        <w:t>): kan forstærke den hypnotiske virkning.</w:t>
      </w:r>
    </w:p>
    <w:p w14:paraId="3D80BE70" w14:textId="77777777" w:rsidR="0048621A" w:rsidRPr="0089631E" w:rsidRDefault="0048621A" w:rsidP="00CB1A0F">
      <w:pPr>
        <w:ind w:left="1276" w:hanging="425"/>
        <w:rPr>
          <w:sz w:val="24"/>
          <w:szCs w:val="24"/>
        </w:rPr>
      </w:pPr>
    </w:p>
    <w:p w14:paraId="0F169366" w14:textId="31F77D47" w:rsidR="0048621A" w:rsidRPr="0089631E" w:rsidRDefault="0048621A" w:rsidP="00CB1A0F">
      <w:pPr>
        <w:pStyle w:val="Listeafsnit"/>
        <w:numPr>
          <w:ilvl w:val="0"/>
          <w:numId w:val="8"/>
        </w:numPr>
        <w:ind w:left="1276" w:hanging="425"/>
        <w:rPr>
          <w:sz w:val="24"/>
          <w:szCs w:val="24"/>
        </w:rPr>
      </w:pPr>
      <w:r w:rsidRPr="0089631E">
        <w:rPr>
          <w:sz w:val="24"/>
          <w:szCs w:val="24"/>
        </w:rPr>
        <w:t>Samtidig brug af CNS-deprimerende midler, herunder alkohol, hypnotiske sedativer og beroligende midler, anbefales ikke. Kombinationen kan resultere i svær døsighed (se pkt. 4.8).</w:t>
      </w:r>
    </w:p>
    <w:p w14:paraId="7021792F" w14:textId="77777777" w:rsidR="0048621A" w:rsidRPr="0089631E" w:rsidRDefault="0048621A" w:rsidP="00CB1A0F">
      <w:pPr>
        <w:ind w:left="1276" w:hanging="425"/>
        <w:rPr>
          <w:sz w:val="24"/>
          <w:szCs w:val="24"/>
        </w:rPr>
      </w:pPr>
    </w:p>
    <w:p w14:paraId="4F32E4B4" w14:textId="509BCC91" w:rsidR="0048621A" w:rsidRPr="0089631E" w:rsidRDefault="0048621A" w:rsidP="00CB1A0F">
      <w:pPr>
        <w:pStyle w:val="Listeafsnit"/>
        <w:numPr>
          <w:ilvl w:val="0"/>
          <w:numId w:val="8"/>
        </w:numPr>
        <w:ind w:left="1276" w:hanging="425"/>
        <w:rPr>
          <w:sz w:val="24"/>
          <w:szCs w:val="24"/>
        </w:rPr>
      </w:pPr>
      <w:proofErr w:type="spellStart"/>
      <w:r w:rsidRPr="0089631E">
        <w:rPr>
          <w:sz w:val="24"/>
          <w:szCs w:val="24"/>
        </w:rPr>
        <w:t>Antihypertensiva</w:t>
      </w:r>
      <w:proofErr w:type="spellEnd"/>
      <w:r w:rsidRPr="0089631E">
        <w:rPr>
          <w:sz w:val="24"/>
          <w:szCs w:val="24"/>
        </w:rPr>
        <w:t xml:space="preserve"> med beroligende virkning på CNS (især alfa-</w:t>
      </w:r>
      <w:proofErr w:type="spellStart"/>
      <w:r w:rsidRPr="0089631E">
        <w:rPr>
          <w:sz w:val="24"/>
          <w:szCs w:val="24"/>
        </w:rPr>
        <w:t>methyldopa</w:t>
      </w:r>
      <w:proofErr w:type="spellEnd"/>
      <w:r w:rsidRPr="0089631E">
        <w:rPr>
          <w:sz w:val="24"/>
          <w:szCs w:val="24"/>
        </w:rPr>
        <w:t>), fordi de kan forstærke den sedative virkning, når de administreres sammen med antihistaminer.</w:t>
      </w:r>
    </w:p>
    <w:p w14:paraId="6E7CA521" w14:textId="77777777" w:rsidR="0048621A" w:rsidRPr="0089631E" w:rsidRDefault="0048621A" w:rsidP="00CB1A0F">
      <w:pPr>
        <w:ind w:left="1276" w:hanging="425"/>
        <w:rPr>
          <w:sz w:val="24"/>
          <w:szCs w:val="24"/>
        </w:rPr>
      </w:pPr>
    </w:p>
    <w:p w14:paraId="3ED7D7BA" w14:textId="59A7B79B" w:rsidR="0048621A" w:rsidRPr="0089631E" w:rsidRDefault="0048621A" w:rsidP="00CB1A0F">
      <w:pPr>
        <w:pStyle w:val="Listeafsnit"/>
        <w:numPr>
          <w:ilvl w:val="0"/>
          <w:numId w:val="8"/>
        </w:numPr>
        <w:ind w:left="1276" w:hanging="425"/>
        <w:rPr>
          <w:sz w:val="24"/>
          <w:szCs w:val="24"/>
        </w:rPr>
      </w:pPr>
      <w:r w:rsidRPr="0089631E">
        <w:rPr>
          <w:sz w:val="24"/>
          <w:szCs w:val="24"/>
        </w:rPr>
        <w:t xml:space="preserve">Alkohol: øget toksicitet med ændret intellektuel og </w:t>
      </w:r>
      <w:proofErr w:type="spellStart"/>
      <w:r w:rsidRPr="0089631E">
        <w:rPr>
          <w:sz w:val="24"/>
          <w:szCs w:val="24"/>
        </w:rPr>
        <w:t>psykomotorisk</w:t>
      </w:r>
      <w:proofErr w:type="spellEnd"/>
      <w:r w:rsidRPr="0089631E">
        <w:rPr>
          <w:sz w:val="24"/>
          <w:szCs w:val="24"/>
        </w:rPr>
        <w:t xml:space="preserve"> kapacitet er blevet rapporteret i nogle studier. Mekanismen er ikke klarlagt.</w:t>
      </w:r>
    </w:p>
    <w:p w14:paraId="797BD468" w14:textId="77777777" w:rsidR="0048621A" w:rsidRPr="0089631E" w:rsidRDefault="0048621A" w:rsidP="00CB1A0F">
      <w:pPr>
        <w:ind w:left="1276" w:hanging="425"/>
        <w:rPr>
          <w:sz w:val="24"/>
          <w:szCs w:val="24"/>
        </w:rPr>
      </w:pPr>
    </w:p>
    <w:p w14:paraId="1E9091D2" w14:textId="6E2F45C5" w:rsidR="0048621A" w:rsidRPr="0089631E" w:rsidRDefault="0048621A" w:rsidP="00CB1A0F">
      <w:pPr>
        <w:pStyle w:val="Listeafsnit"/>
        <w:numPr>
          <w:ilvl w:val="0"/>
          <w:numId w:val="8"/>
        </w:numPr>
        <w:ind w:left="1276" w:hanging="425"/>
        <w:rPr>
          <w:sz w:val="24"/>
          <w:szCs w:val="24"/>
        </w:rPr>
      </w:pPr>
      <w:proofErr w:type="spellStart"/>
      <w:r w:rsidRPr="0089631E">
        <w:rPr>
          <w:sz w:val="24"/>
          <w:szCs w:val="24"/>
        </w:rPr>
        <w:lastRenderedPageBreak/>
        <w:t>Natriumoxybat</w:t>
      </w:r>
      <w:proofErr w:type="spellEnd"/>
      <w:r w:rsidRPr="0089631E">
        <w:rPr>
          <w:sz w:val="24"/>
          <w:szCs w:val="24"/>
        </w:rPr>
        <w:t xml:space="preserve"> er ikke anbefalet i kombination med </w:t>
      </w:r>
      <w:proofErr w:type="spellStart"/>
      <w:r w:rsidRPr="0089631E">
        <w:rPr>
          <w:sz w:val="24"/>
          <w:szCs w:val="24"/>
        </w:rPr>
        <w:t>doxylamin</w:t>
      </w:r>
      <w:proofErr w:type="spellEnd"/>
      <w:r w:rsidRPr="0089631E">
        <w:rPr>
          <w:sz w:val="24"/>
          <w:szCs w:val="24"/>
        </w:rPr>
        <w:t xml:space="preserve"> på grund af dets vigtige CNS- deprimerende effekt.</w:t>
      </w:r>
    </w:p>
    <w:p w14:paraId="2B36D877" w14:textId="77777777" w:rsidR="0048621A" w:rsidRPr="0089631E" w:rsidRDefault="0048621A" w:rsidP="00CB1A0F">
      <w:pPr>
        <w:ind w:left="1276" w:hanging="425"/>
        <w:rPr>
          <w:sz w:val="24"/>
          <w:szCs w:val="24"/>
        </w:rPr>
      </w:pPr>
    </w:p>
    <w:p w14:paraId="721B2964" w14:textId="49680DEB" w:rsidR="0048621A" w:rsidRPr="0089631E" w:rsidRDefault="0048621A" w:rsidP="00CB1A0F">
      <w:pPr>
        <w:pStyle w:val="Listeafsnit"/>
        <w:numPr>
          <w:ilvl w:val="0"/>
          <w:numId w:val="8"/>
        </w:numPr>
        <w:ind w:left="1276" w:hanging="425"/>
        <w:rPr>
          <w:sz w:val="24"/>
          <w:szCs w:val="24"/>
        </w:rPr>
      </w:pPr>
      <w:proofErr w:type="spellStart"/>
      <w:r w:rsidRPr="0089631E">
        <w:rPr>
          <w:sz w:val="24"/>
          <w:szCs w:val="24"/>
        </w:rPr>
        <w:t>Ototoksiske</w:t>
      </w:r>
      <w:proofErr w:type="spellEnd"/>
      <w:r w:rsidRPr="0089631E">
        <w:rPr>
          <w:sz w:val="24"/>
          <w:szCs w:val="24"/>
        </w:rPr>
        <w:t xml:space="preserve"> lægemidler: Sederende antihistaminer af </w:t>
      </w:r>
      <w:proofErr w:type="spellStart"/>
      <w:r w:rsidRPr="0089631E">
        <w:rPr>
          <w:sz w:val="24"/>
          <w:szCs w:val="24"/>
        </w:rPr>
        <w:t>ethanolamin</w:t>
      </w:r>
      <w:proofErr w:type="spellEnd"/>
      <w:r w:rsidRPr="0089631E">
        <w:rPr>
          <w:sz w:val="24"/>
          <w:szCs w:val="24"/>
        </w:rPr>
        <w:t xml:space="preserve">-klassen som f.eks. </w:t>
      </w:r>
      <w:proofErr w:type="spellStart"/>
      <w:r w:rsidRPr="0089631E">
        <w:rPr>
          <w:sz w:val="24"/>
          <w:szCs w:val="24"/>
        </w:rPr>
        <w:t>doxylamin</w:t>
      </w:r>
      <w:proofErr w:type="spellEnd"/>
      <w:r w:rsidRPr="0089631E">
        <w:rPr>
          <w:sz w:val="24"/>
          <w:szCs w:val="24"/>
        </w:rPr>
        <w:t xml:space="preserve"> kan maskere advarselstegnene på skader forårsaget af </w:t>
      </w:r>
      <w:proofErr w:type="spellStart"/>
      <w:r w:rsidRPr="0089631E">
        <w:rPr>
          <w:sz w:val="24"/>
          <w:szCs w:val="24"/>
        </w:rPr>
        <w:t>ototoksiske</w:t>
      </w:r>
      <w:proofErr w:type="spellEnd"/>
      <w:r w:rsidRPr="0089631E">
        <w:rPr>
          <w:sz w:val="24"/>
          <w:szCs w:val="24"/>
        </w:rPr>
        <w:t xml:space="preserve"> lægemidler som f.eks. antibakterielle aminoglykosider.</w:t>
      </w:r>
    </w:p>
    <w:p w14:paraId="170FCB34" w14:textId="77777777" w:rsidR="0048621A" w:rsidRPr="0089631E" w:rsidRDefault="0048621A" w:rsidP="00076476">
      <w:pPr>
        <w:ind w:left="851"/>
        <w:rPr>
          <w:sz w:val="24"/>
          <w:szCs w:val="24"/>
        </w:rPr>
      </w:pPr>
    </w:p>
    <w:p w14:paraId="53F356B1" w14:textId="1ACBF52A" w:rsidR="0048621A" w:rsidRPr="00A84B8E" w:rsidRDefault="0048621A" w:rsidP="00A84B8E">
      <w:pPr>
        <w:pStyle w:val="Listeafsnit"/>
        <w:numPr>
          <w:ilvl w:val="0"/>
          <w:numId w:val="18"/>
        </w:numPr>
        <w:rPr>
          <w:sz w:val="24"/>
          <w:szCs w:val="24"/>
        </w:rPr>
      </w:pPr>
      <w:r w:rsidRPr="00A84B8E">
        <w:rPr>
          <w:sz w:val="24"/>
          <w:szCs w:val="24"/>
        </w:rPr>
        <w:t xml:space="preserve">Fotosensibiliserende lægemidler: Samtidig brug af antihistaminer med andre fotosensibiliserende lægemidler som f.eks. </w:t>
      </w:r>
      <w:proofErr w:type="spellStart"/>
      <w:r w:rsidRPr="00A84B8E">
        <w:rPr>
          <w:sz w:val="24"/>
          <w:szCs w:val="24"/>
        </w:rPr>
        <w:t>amiodaron</w:t>
      </w:r>
      <w:proofErr w:type="spellEnd"/>
      <w:r w:rsidRPr="00A84B8E">
        <w:rPr>
          <w:sz w:val="24"/>
          <w:szCs w:val="24"/>
        </w:rPr>
        <w:t xml:space="preserve">, </w:t>
      </w:r>
      <w:proofErr w:type="spellStart"/>
      <w:r w:rsidRPr="00A84B8E">
        <w:rPr>
          <w:sz w:val="24"/>
          <w:szCs w:val="24"/>
        </w:rPr>
        <w:t>quinidin</w:t>
      </w:r>
      <w:proofErr w:type="spellEnd"/>
      <w:r w:rsidRPr="00A84B8E">
        <w:rPr>
          <w:sz w:val="24"/>
          <w:szCs w:val="24"/>
        </w:rPr>
        <w:t xml:space="preserve">, </w:t>
      </w:r>
      <w:proofErr w:type="spellStart"/>
      <w:r w:rsidRPr="00A84B8E">
        <w:rPr>
          <w:sz w:val="24"/>
          <w:szCs w:val="24"/>
        </w:rPr>
        <w:t>imipramin</w:t>
      </w:r>
      <w:proofErr w:type="spellEnd"/>
      <w:r w:rsidRPr="00A84B8E">
        <w:rPr>
          <w:sz w:val="24"/>
          <w:szCs w:val="24"/>
        </w:rPr>
        <w:t xml:space="preserve">, </w:t>
      </w:r>
      <w:proofErr w:type="spellStart"/>
      <w:r w:rsidRPr="00A84B8E">
        <w:rPr>
          <w:sz w:val="24"/>
          <w:szCs w:val="24"/>
        </w:rPr>
        <w:t>doxepin</w:t>
      </w:r>
      <w:proofErr w:type="spellEnd"/>
      <w:r w:rsidRPr="00A84B8E">
        <w:rPr>
          <w:sz w:val="24"/>
          <w:szCs w:val="24"/>
        </w:rPr>
        <w:t xml:space="preserve">, </w:t>
      </w:r>
      <w:proofErr w:type="spellStart"/>
      <w:r w:rsidRPr="00A84B8E">
        <w:rPr>
          <w:sz w:val="24"/>
          <w:szCs w:val="24"/>
        </w:rPr>
        <w:t>amitriptylin</w:t>
      </w:r>
      <w:proofErr w:type="spellEnd"/>
      <w:r w:rsidRPr="00A84B8E">
        <w:rPr>
          <w:sz w:val="24"/>
          <w:szCs w:val="24"/>
        </w:rPr>
        <w:t xml:space="preserve">, </w:t>
      </w:r>
      <w:proofErr w:type="spellStart"/>
      <w:r w:rsidRPr="00A84B8E">
        <w:rPr>
          <w:sz w:val="24"/>
          <w:szCs w:val="24"/>
        </w:rPr>
        <w:t>griseofulvin</w:t>
      </w:r>
      <w:proofErr w:type="spellEnd"/>
      <w:r w:rsidRPr="00A84B8E">
        <w:rPr>
          <w:sz w:val="24"/>
          <w:szCs w:val="24"/>
        </w:rPr>
        <w:t xml:space="preserve">, </w:t>
      </w:r>
      <w:proofErr w:type="spellStart"/>
      <w:r w:rsidRPr="00A84B8E">
        <w:rPr>
          <w:sz w:val="24"/>
          <w:szCs w:val="24"/>
        </w:rPr>
        <w:t>chlorpheniramin</w:t>
      </w:r>
      <w:proofErr w:type="spellEnd"/>
      <w:r w:rsidRPr="00A84B8E">
        <w:rPr>
          <w:sz w:val="24"/>
          <w:szCs w:val="24"/>
        </w:rPr>
        <w:t xml:space="preserve">, </w:t>
      </w:r>
      <w:proofErr w:type="spellStart"/>
      <w:r w:rsidRPr="00A84B8E">
        <w:rPr>
          <w:sz w:val="24"/>
          <w:szCs w:val="24"/>
        </w:rPr>
        <w:t>piroxicam</w:t>
      </w:r>
      <w:proofErr w:type="spellEnd"/>
      <w:r w:rsidRPr="00A84B8E">
        <w:rPr>
          <w:sz w:val="24"/>
          <w:szCs w:val="24"/>
        </w:rPr>
        <w:t xml:space="preserve">, </w:t>
      </w:r>
      <w:proofErr w:type="spellStart"/>
      <w:r w:rsidRPr="00A84B8E">
        <w:rPr>
          <w:sz w:val="24"/>
          <w:szCs w:val="24"/>
        </w:rPr>
        <w:t>furosemid</w:t>
      </w:r>
      <w:proofErr w:type="spellEnd"/>
      <w:r w:rsidRPr="00A84B8E">
        <w:rPr>
          <w:sz w:val="24"/>
          <w:szCs w:val="24"/>
        </w:rPr>
        <w:t xml:space="preserve">, </w:t>
      </w:r>
      <w:proofErr w:type="spellStart"/>
      <w:r w:rsidRPr="00A84B8E">
        <w:rPr>
          <w:sz w:val="24"/>
          <w:szCs w:val="24"/>
        </w:rPr>
        <w:t>captopril</w:t>
      </w:r>
      <w:proofErr w:type="spellEnd"/>
      <w:r w:rsidRPr="00A84B8E">
        <w:rPr>
          <w:sz w:val="24"/>
          <w:szCs w:val="24"/>
        </w:rPr>
        <w:t>, kan forårsage forstærkede fotosensibiliserende virkninger.</w:t>
      </w:r>
    </w:p>
    <w:p w14:paraId="3951A51C" w14:textId="77777777" w:rsidR="0048621A" w:rsidRPr="0089631E" w:rsidRDefault="0048621A" w:rsidP="00076476">
      <w:pPr>
        <w:ind w:left="851"/>
        <w:rPr>
          <w:sz w:val="24"/>
          <w:szCs w:val="24"/>
        </w:rPr>
      </w:pPr>
    </w:p>
    <w:p w14:paraId="0C37F0BA" w14:textId="5CC71D81" w:rsidR="0048621A" w:rsidRPr="0089631E" w:rsidRDefault="0048621A" w:rsidP="00CB1A0F">
      <w:pPr>
        <w:pStyle w:val="Listeafsnit"/>
        <w:numPr>
          <w:ilvl w:val="0"/>
          <w:numId w:val="13"/>
        </w:numPr>
        <w:ind w:left="1276" w:hanging="425"/>
        <w:rPr>
          <w:sz w:val="24"/>
          <w:szCs w:val="24"/>
        </w:rPr>
      </w:pPr>
      <w:r w:rsidRPr="0089631E">
        <w:rPr>
          <w:sz w:val="24"/>
          <w:szCs w:val="24"/>
        </w:rPr>
        <w:t xml:space="preserve">Da adskillige antihistaminer kan forlænge QT-intervallet, selvom denne effekt ikke er blevet observeret med </w:t>
      </w:r>
      <w:proofErr w:type="spellStart"/>
      <w:r w:rsidRPr="0089631E">
        <w:rPr>
          <w:sz w:val="24"/>
          <w:szCs w:val="24"/>
        </w:rPr>
        <w:t>doxylamin</w:t>
      </w:r>
      <w:proofErr w:type="spellEnd"/>
      <w:r w:rsidRPr="0089631E">
        <w:rPr>
          <w:sz w:val="24"/>
          <w:szCs w:val="24"/>
        </w:rPr>
        <w:t xml:space="preserve"> ved en terapeutisk dosis, bør samtidig brug af lægemidler, der forlænger intervallet, undgås (f.eks. </w:t>
      </w:r>
      <w:proofErr w:type="spellStart"/>
      <w:r w:rsidRPr="0089631E">
        <w:rPr>
          <w:sz w:val="24"/>
          <w:szCs w:val="24"/>
        </w:rPr>
        <w:t>antiarytmika</w:t>
      </w:r>
      <w:proofErr w:type="spellEnd"/>
      <w:r w:rsidRPr="0089631E">
        <w:rPr>
          <w:sz w:val="24"/>
          <w:szCs w:val="24"/>
        </w:rPr>
        <w:t xml:space="preserve">, visse antibiotika, visse lægemidler mod malaria, visse antihistaminer, visse lipidregulerende lægemidler eller visse </w:t>
      </w:r>
      <w:proofErr w:type="spellStart"/>
      <w:r w:rsidRPr="0089631E">
        <w:rPr>
          <w:sz w:val="24"/>
          <w:szCs w:val="24"/>
        </w:rPr>
        <w:t>neuroleptika</w:t>
      </w:r>
      <w:proofErr w:type="spellEnd"/>
      <w:r w:rsidRPr="0089631E">
        <w:rPr>
          <w:sz w:val="24"/>
          <w:szCs w:val="24"/>
        </w:rPr>
        <w:t>).</w:t>
      </w:r>
    </w:p>
    <w:p w14:paraId="591AC2F8" w14:textId="77777777" w:rsidR="0048621A" w:rsidRPr="0089631E" w:rsidRDefault="0048621A" w:rsidP="00CB1A0F">
      <w:pPr>
        <w:ind w:left="1276" w:hanging="425"/>
        <w:rPr>
          <w:sz w:val="24"/>
          <w:szCs w:val="24"/>
        </w:rPr>
      </w:pPr>
    </w:p>
    <w:p w14:paraId="29C6C0B4" w14:textId="77777777" w:rsidR="00A84B8E" w:rsidRDefault="00A84B8E" w:rsidP="00A84B8E">
      <w:pPr>
        <w:pStyle w:val="Listeafsnit"/>
        <w:numPr>
          <w:ilvl w:val="0"/>
          <w:numId w:val="19"/>
        </w:numPr>
        <w:ind w:left="1276" w:hanging="425"/>
        <w:rPr>
          <w:sz w:val="24"/>
          <w:szCs w:val="24"/>
        </w:rPr>
      </w:pPr>
      <w:r>
        <w:rPr>
          <w:sz w:val="24"/>
          <w:szCs w:val="24"/>
        </w:rPr>
        <w:t xml:space="preserve">På grund af den kendte metabolismevej for </w:t>
      </w:r>
      <w:proofErr w:type="spellStart"/>
      <w:r>
        <w:rPr>
          <w:sz w:val="24"/>
          <w:szCs w:val="24"/>
        </w:rPr>
        <w:t>doxylamin</w:t>
      </w:r>
      <w:proofErr w:type="spellEnd"/>
      <w:r>
        <w:rPr>
          <w:sz w:val="24"/>
          <w:szCs w:val="24"/>
        </w:rPr>
        <w:t xml:space="preserve"> og mangel på data om interaktioner, bør samtidig brug med potente </w:t>
      </w:r>
      <w:proofErr w:type="spellStart"/>
      <w:r>
        <w:rPr>
          <w:sz w:val="24"/>
          <w:szCs w:val="24"/>
        </w:rPr>
        <w:t>hæmmere</w:t>
      </w:r>
      <w:proofErr w:type="spellEnd"/>
      <w:r>
        <w:rPr>
          <w:sz w:val="24"/>
          <w:szCs w:val="24"/>
        </w:rPr>
        <w:t xml:space="preserve"> af CYP2D6 (fx </w:t>
      </w:r>
      <w:proofErr w:type="spellStart"/>
      <w:r>
        <w:rPr>
          <w:sz w:val="24"/>
          <w:szCs w:val="24"/>
        </w:rPr>
        <w:t>fluoxetin</w:t>
      </w:r>
      <w:proofErr w:type="spellEnd"/>
      <w:r>
        <w:rPr>
          <w:sz w:val="24"/>
          <w:szCs w:val="24"/>
        </w:rPr>
        <w:t xml:space="preserve">, </w:t>
      </w:r>
      <w:proofErr w:type="spellStart"/>
      <w:r>
        <w:rPr>
          <w:sz w:val="24"/>
          <w:szCs w:val="24"/>
        </w:rPr>
        <w:t>terbinafin</w:t>
      </w:r>
      <w:proofErr w:type="spellEnd"/>
      <w:r>
        <w:rPr>
          <w:sz w:val="24"/>
          <w:szCs w:val="24"/>
        </w:rPr>
        <w:t xml:space="preserve">), CYP1A2 (fx </w:t>
      </w:r>
      <w:proofErr w:type="spellStart"/>
      <w:r>
        <w:rPr>
          <w:sz w:val="24"/>
          <w:szCs w:val="24"/>
        </w:rPr>
        <w:t>fluvoxamin</w:t>
      </w:r>
      <w:proofErr w:type="spellEnd"/>
      <w:r>
        <w:rPr>
          <w:sz w:val="24"/>
          <w:szCs w:val="24"/>
        </w:rPr>
        <w:t xml:space="preserve">, </w:t>
      </w:r>
      <w:proofErr w:type="spellStart"/>
      <w:r>
        <w:rPr>
          <w:sz w:val="24"/>
          <w:szCs w:val="24"/>
        </w:rPr>
        <w:t>cimetidin</w:t>
      </w:r>
      <w:proofErr w:type="spellEnd"/>
      <w:r>
        <w:rPr>
          <w:sz w:val="24"/>
          <w:szCs w:val="24"/>
        </w:rPr>
        <w:t xml:space="preserve">) og CYP2C9 (fx </w:t>
      </w:r>
      <w:proofErr w:type="spellStart"/>
      <w:r>
        <w:rPr>
          <w:sz w:val="24"/>
          <w:szCs w:val="24"/>
        </w:rPr>
        <w:t>gemfibrozail</w:t>
      </w:r>
      <w:proofErr w:type="spellEnd"/>
      <w:r>
        <w:rPr>
          <w:sz w:val="24"/>
          <w:szCs w:val="24"/>
        </w:rPr>
        <w:t>,</w:t>
      </w:r>
      <w:r>
        <w:t xml:space="preserve"> </w:t>
      </w:r>
      <w:proofErr w:type="spellStart"/>
      <w:r>
        <w:rPr>
          <w:sz w:val="24"/>
          <w:szCs w:val="24"/>
        </w:rPr>
        <w:t>amiodaron</w:t>
      </w:r>
      <w:proofErr w:type="spellEnd"/>
      <w:r>
        <w:rPr>
          <w:sz w:val="24"/>
          <w:szCs w:val="24"/>
        </w:rPr>
        <w:t>) undgås som en</w:t>
      </w:r>
      <w:r>
        <w:t xml:space="preserve"> </w:t>
      </w:r>
      <w:r>
        <w:rPr>
          <w:sz w:val="24"/>
          <w:szCs w:val="24"/>
        </w:rPr>
        <w:t>sikkerhedsforanstaltning.</w:t>
      </w:r>
    </w:p>
    <w:p w14:paraId="61852367" w14:textId="77777777" w:rsidR="0048621A" w:rsidRPr="0089631E" w:rsidRDefault="0048621A" w:rsidP="00CB1A0F">
      <w:pPr>
        <w:ind w:left="1276" w:hanging="425"/>
        <w:rPr>
          <w:sz w:val="24"/>
          <w:szCs w:val="24"/>
        </w:rPr>
      </w:pPr>
    </w:p>
    <w:p w14:paraId="4BAC1AA2" w14:textId="4A027CB9" w:rsidR="0048621A" w:rsidRPr="0089631E" w:rsidRDefault="0048621A" w:rsidP="00CB1A0F">
      <w:pPr>
        <w:pStyle w:val="Listeafsnit"/>
        <w:numPr>
          <w:ilvl w:val="0"/>
          <w:numId w:val="13"/>
        </w:numPr>
        <w:ind w:left="1276" w:hanging="425"/>
        <w:rPr>
          <w:sz w:val="24"/>
          <w:szCs w:val="24"/>
        </w:rPr>
      </w:pPr>
      <w:r w:rsidRPr="0089631E">
        <w:rPr>
          <w:sz w:val="24"/>
          <w:szCs w:val="24"/>
        </w:rPr>
        <w:t xml:space="preserve">Samtidig brug af lægemidler, der forårsager elektrolytforstyrrelser som f.eks. </w:t>
      </w:r>
      <w:proofErr w:type="spellStart"/>
      <w:r w:rsidRPr="0089631E">
        <w:rPr>
          <w:sz w:val="24"/>
          <w:szCs w:val="24"/>
        </w:rPr>
        <w:t>hypokaliæmi</w:t>
      </w:r>
      <w:proofErr w:type="spellEnd"/>
      <w:r w:rsidRPr="0089631E">
        <w:rPr>
          <w:sz w:val="24"/>
          <w:szCs w:val="24"/>
        </w:rPr>
        <w:t xml:space="preserve"> eller </w:t>
      </w:r>
      <w:proofErr w:type="spellStart"/>
      <w:r w:rsidRPr="0089631E">
        <w:rPr>
          <w:sz w:val="24"/>
          <w:szCs w:val="24"/>
        </w:rPr>
        <w:t>hypomagnesæmi</w:t>
      </w:r>
      <w:proofErr w:type="spellEnd"/>
      <w:r w:rsidRPr="0089631E">
        <w:rPr>
          <w:sz w:val="24"/>
          <w:szCs w:val="24"/>
        </w:rPr>
        <w:t xml:space="preserve"> (f.eks. nogle </w:t>
      </w:r>
      <w:proofErr w:type="spellStart"/>
      <w:r w:rsidRPr="0089631E">
        <w:rPr>
          <w:sz w:val="24"/>
          <w:szCs w:val="24"/>
        </w:rPr>
        <w:t>diuretika</w:t>
      </w:r>
      <w:proofErr w:type="spellEnd"/>
      <w:r w:rsidRPr="0089631E">
        <w:rPr>
          <w:sz w:val="24"/>
          <w:szCs w:val="24"/>
        </w:rPr>
        <w:t>), bør undgås.</w:t>
      </w:r>
    </w:p>
    <w:p w14:paraId="24868821" w14:textId="77777777" w:rsidR="0048621A" w:rsidRPr="0089631E" w:rsidRDefault="0048621A" w:rsidP="00076476">
      <w:pPr>
        <w:ind w:left="851"/>
        <w:rPr>
          <w:sz w:val="24"/>
          <w:szCs w:val="24"/>
        </w:rPr>
      </w:pPr>
    </w:p>
    <w:p w14:paraId="58211435" w14:textId="77777777" w:rsidR="0048621A" w:rsidRPr="0089631E" w:rsidRDefault="0048621A" w:rsidP="00076476">
      <w:pPr>
        <w:ind w:left="851"/>
        <w:rPr>
          <w:sz w:val="24"/>
          <w:szCs w:val="24"/>
        </w:rPr>
      </w:pPr>
      <w:r w:rsidRPr="0089631E">
        <w:rPr>
          <w:sz w:val="24"/>
          <w:szCs w:val="24"/>
        </w:rPr>
        <w:t xml:space="preserve">De </w:t>
      </w:r>
      <w:proofErr w:type="spellStart"/>
      <w:r w:rsidRPr="0089631E">
        <w:rPr>
          <w:sz w:val="24"/>
          <w:szCs w:val="24"/>
        </w:rPr>
        <w:t>antikolinerge</w:t>
      </w:r>
      <w:proofErr w:type="spellEnd"/>
      <w:r w:rsidRPr="0089631E">
        <w:rPr>
          <w:sz w:val="24"/>
          <w:szCs w:val="24"/>
        </w:rPr>
        <w:t xml:space="preserve"> virkninger af </w:t>
      </w:r>
      <w:proofErr w:type="spellStart"/>
      <w:r w:rsidRPr="0089631E">
        <w:rPr>
          <w:sz w:val="24"/>
          <w:szCs w:val="24"/>
        </w:rPr>
        <w:t>doxylamin</w:t>
      </w:r>
      <w:proofErr w:type="spellEnd"/>
      <w:r w:rsidRPr="0089631E">
        <w:rPr>
          <w:sz w:val="24"/>
          <w:szCs w:val="24"/>
        </w:rPr>
        <w:t xml:space="preserve">, en komponent i dette lægemiddel, kan føre til falsk negative test af </w:t>
      </w:r>
      <w:proofErr w:type="spellStart"/>
      <w:r w:rsidRPr="0089631E">
        <w:rPr>
          <w:sz w:val="24"/>
          <w:szCs w:val="24"/>
        </w:rPr>
        <w:t>dermal</w:t>
      </w:r>
      <w:proofErr w:type="spellEnd"/>
      <w:r w:rsidRPr="0089631E">
        <w:rPr>
          <w:sz w:val="24"/>
          <w:szCs w:val="24"/>
        </w:rPr>
        <w:t xml:space="preserve"> overfølsomhed med antigenekstrakter. Det anbefales at seponere behandlingen, flere dage før testen påbegyndes.</w:t>
      </w:r>
    </w:p>
    <w:p w14:paraId="08111444" w14:textId="77777777" w:rsidR="0048621A" w:rsidRPr="0089631E" w:rsidRDefault="0048621A" w:rsidP="00076476">
      <w:pPr>
        <w:ind w:left="851"/>
        <w:rPr>
          <w:sz w:val="24"/>
          <w:szCs w:val="24"/>
        </w:rPr>
      </w:pPr>
    </w:p>
    <w:p w14:paraId="12433478" w14:textId="77777777" w:rsidR="0048621A" w:rsidRPr="00041126" w:rsidRDefault="0048621A" w:rsidP="00076476">
      <w:pPr>
        <w:ind w:left="851"/>
        <w:rPr>
          <w:sz w:val="24"/>
          <w:szCs w:val="24"/>
          <w:u w:val="single"/>
        </w:rPr>
      </w:pPr>
      <w:r w:rsidRPr="00041126">
        <w:rPr>
          <w:sz w:val="24"/>
          <w:szCs w:val="24"/>
          <w:u w:val="single"/>
        </w:rPr>
        <w:t xml:space="preserve">Kendte eller teoretiske interaktioner med </w:t>
      </w:r>
      <w:proofErr w:type="spellStart"/>
      <w:r w:rsidRPr="00041126">
        <w:rPr>
          <w:sz w:val="24"/>
          <w:szCs w:val="24"/>
          <w:u w:val="single"/>
        </w:rPr>
        <w:t>pyroksidin</w:t>
      </w:r>
      <w:proofErr w:type="spellEnd"/>
    </w:p>
    <w:p w14:paraId="3740A92D" w14:textId="77777777" w:rsidR="0048621A" w:rsidRPr="0089631E" w:rsidRDefault="0048621A" w:rsidP="00076476">
      <w:pPr>
        <w:ind w:left="851"/>
        <w:rPr>
          <w:sz w:val="24"/>
          <w:szCs w:val="24"/>
        </w:rPr>
      </w:pPr>
    </w:p>
    <w:p w14:paraId="46A6E50F" w14:textId="580D44A7" w:rsidR="0048621A" w:rsidRPr="0089631E" w:rsidRDefault="0048621A" w:rsidP="00744908">
      <w:pPr>
        <w:pStyle w:val="Listeafsnit"/>
        <w:numPr>
          <w:ilvl w:val="0"/>
          <w:numId w:val="15"/>
        </w:numPr>
        <w:ind w:left="1276" w:hanging="425"/>
        <w:rPr>
          <w:sz w:val="24"/>
          <w:szCs w:val="24"/>
        </w:rPr>
      </w:pPr>
      <w:r w:rsidRPr="0089631E">
        <w:rPr>
          <w:sz w:val="24"/>
          <w:szCs w:val="24"/>
        </w:rPr>
        <w:t xml:space="preserve">Reducerer virkningen af </w:t>
      </w:r>
      <w:proofErr w:type="spellStart"/>
      <w:r w:rsidRPr="0089631E">
        <w:rPr>
          <w:sz w:val="24"/>
          <w:szCs w:val="24"/>
        </w:rPr>
        <w:t>levodopa</w:t>
      </w:r>
      <w:proofErr w:type="spellEnd"/>
      <w:r w:rsidRPr="0089631E">
        <w:rPr>
          <w:sz w:val="24"/>
          <w:szCs w:val="24"/>
        </w:rPr>
        <w:t xml:space="preserve">, selvom det ikke forekommer, hvis det administreres sammen med en </w:t>
      </w:r>
      <w:proofErr w:type="spellStart"/>
      <w:r w:rsidRPr="0089631E">
        <w:rPr>
          <w:sz w:val="24"/>
          <w:szCs w:val="24"/>
        </w:rPr>
        <w:t>dopadecarboxylase</w:t>
      </w:r>
      <w:proofErr w:type="spellEnd"/>
      <w:r w:rsidRPr="0089631E">
        <w:rPr>
          <w:sz w:val="24"/>
          <w:szCs w:val="24"/>
        </w:rPr>
        <w:t>-hæmmer.</w:t>
      </w:r>
    </w:p>
    <w:p w14:paraId="0BAE55C1" w14:textId="77777777" w:rsidR="0048621A" w:rsidRPr="0089631E" w:rsidRDefault="0048621A" w:rsidP="00744908">
      <w:pPr>
        <w:ind w:left="1276" w:hanging="425"/>
        <w:rPr>
          <w:sz w:val="24"/>
          <w:szCs w:val="24"/>
        </w:rPr>
      </w:pPr>
    </w:p>
    <w:p w14:paraId="3A1C96C5" w14:textId="390C65B1" w:rsidR="0048621A" w:rsidRPr="0089631E" w:rsidRDefault="0048621A" w:rsidP="00744908">
      <w:pPr>
        <w:pStyle w:val="Listeafsnit"/>
        <w:numPr>
          <w:ilvl w:val="0"/>
          <w:numId w:val="15"/>
        </w:numPr>
        <w:ind w:left="1276" w:hanging="425"/>
        <w:rPr>
          <w:sz w:val="24"/>
          <w:szCs w:val="24"/>
        </w:rPr>
      </w:pPr>
      <w:r w:rsidRPr="0089631E">
        <w:rPr>
          <w:sz w:val="24"/>
          <w:szCs w:val="24"/>
        </w:rPr>
        <w:t xml:space="preserve">Der er blevet beskrevet en reduktion i plasmaniveauer af nogle </w:t>
      </w:r>
      <w:proofErr w:type="spellStart"/>
      <w:r w:rsidRPr="0089631E">
        <w:rPr>
          <w:sz w:val="24"/>
          <w:szCs w:val="24"/>
        </w:rPr>
        <w:t>antiepileptika</w:t>
      </w:r>
      <w:proofErr w:type="spellEnd"/>
      <w:r w:rsidRPr="0089631E">
        <w:rPr>
          <w:sz w:val="24"/>
          <w:szCs w:val="24"/>
        </w:rPr>
        <w:t xml:space="preserve">, som f.eks. </w:t>
      </w:r>
      <w:proofErr w:type="spellStart"/>
      <w:r w:rsidRPr="0089631E">
        <w:rPr>
          <w:sz w:val="24"/>
          <w:szCs w:val="24"/>
        </w:rPr>
        <w:t>phenobarbital</w:t>
      </w:r>
      <w:proofErr w:type="spellEnd"/>
      <w:r w:rsidRPr="0089631E">
        <w:rPr>
          <w:sz w:val="24"/>
          <w:szCs w:val="24"/>
        </w:rPr>
        <w:t xml:space="preserve"> og </w:t>
      </w:r>
      <w:proofErr w:type="spellStart"/>
      <w:r w:rsidRPr="0089631E">
        <w:rPr>
          <w:sz w:val="24"/>
          <w:szCs w:val="24"/>
        </w:rPr>
        <w:t>phenytoin</w:t>
      </w:r>
      <w:proofErr w:type="spellEnd"/>
      <w:r w:rsidRPr="0089631E">
        <w:rPr>
          <w:sz w:val="24"/>
          <w:szCs w:val="24"/>
        </w:rPr>
        <w:t>.</w:t>
      </w:r>
    </w:p>
    <w:p w14:paraId="75D0CC3E" w14:textId="77777777" w:rsidR="0048621A" w:rsidRPr="0089631E" w:rsidRDefault="0048621A" w:rsidP="00744908">
      <w:pPr>
        <w:ind w:left="1276" w:hanging="425"/>
        <w:rPr>
          <w:sz w:val="24"/>
          <w:szCs w:val="24"/>
        </w:rPr>
      </w:pPr>
    </w:p>
    <w:p w14:paraId="66386E11" w14:textId="7187978F" w:rsidR="0048621A" w:rsidRPr="0089631E" w:rsidRDefault="0048621A" w:rsidP="00744908">
      <w:pPr>
        <w:pStyle w:val="Listeafsnit"/>
        <w:numPr>
          <w:ilvl w:val="0"/>
          <w:numId w:val="15"/>
        </w:numPr>
        <w:ind w:left="1276" w:hanging="425"/>
        <w:rPr>
          <w:sz w:val="24"/>
          <w:szCs w:val="24"/>
        </w:rPr>
      </w:pPr>
      <w:r w:rsidRPr="0089631E">
        <w:rPr>
          <w:sz w:val="24"/>
          <w:szCs w:val="24"/>
        </w:rPr>
        <w:t xml:space="preserve">Nogle lægemidler som f.eks. </w:t>
      </w:r>
      <w:proofErr w:type="spellStart"/>
      <w:r w:rsidRPr="0089631E">
        <w:rPr>
          <w:sz w:val="24"/>
          <w:szCs w:val="24"/>
        </w:rPr>
        <w:t>hydroxyzin</w:t>
      </w:r>
      <w:proofErr w:type="spellEnd"/>
      <w:r w:rsidRPr="0089631E">
        <w:rPr>
          <w:sz w:val="24"/>
          <w:szCs w:val="24"/>
        </w:rPr>
        <w:t xml:space="preserve">, </w:t>
      </w:r>
      <w:proofErr w:type="spellStart"/>
      <w:r w:rsidRPr="0089631E">
        <w:rPr>
          <w:sz w:val="24"/>
          <w:szCs w:val="24"/>
        </w:rPr>
        <w:t>isoniazid</w:t>
      </w:r>
      <w:proofErr w:type="spellEnd"/>
      <w:r w:rsidRPr="0089631E">
        <w:rPr>
          <w:sz w:val="24"/>
          <w:szCs w:val="24"/>
        </w:rPr>
        <w:t xml:space="preserve"> eller </w:t>
      </w:r>
      <w:proofErr w:type="spellStart"/>
      <w:r w:rsidRPr="0089631E">
        <w:rPr>
          <w:sz w:val="24"/>
          <w:szCs w:val="24"/>
        </w:rPr>
        <w:t>penicillamin</w:t>
      </w:r>
      <w:proofErr w:type="spellEnd"/>
      <w:r w:rsidRPr="0089631E">
        <w:rPr>
          <w:sz w:val="24"/>
          <w:szCs w:val="24"/>
        </w:rPr>
        <w:t xml:space="preserve"> kan interferere med </w:t>
      </w:r>
      <w:proofErr w:type="spellStart"/>
      <w:r w:rsidRPr="0089631E">
        <w:rPr>
          <w:sz w:val="24"/>
          <w:szCs w:val="24"/>
        </w:rPr>
        <w:t>pyridoxin</w:t>
      </w:r>
      <w:proofErr w:type="spellEnd"/>
      <w:r w:rsidRPr="0089631E">
        <w:rPr>
          <w:sz w:val="24"/>
          <w:szCs w:val="24"/>
        </w:rPr>
        <w:t xml:space="preserve"> og kan øge behovet for vitamin B6.</w:t>
      </w:r>
    </w:p>
    <w:p w14:paraId="1DE372A5" w14:textId="77777777" w:rsidR="0048621A" w:rsidRPr="0089631E" w:rsidRDefault="0048621A" w:rsidP="00076476">
      <w:pPr>
        <w:ind w:left="851"/>
        <w:rPr>
          <w:sz w:val="24"/>
          <w:szCs w:val="24"/>
        </w:rPr>
      </w:pPr>
    </w:p>
    <w:p w14:paraId="39B1F012" w14:textId="77777777" w:rsidR="0048621A" w:rsidRPr="00041126" w:rsidRDefault="0048621A" w:rsidP="00076476">
      <w:pPr>
        <w:ind w:left="851"/>
        <w:rPr>
          <w:sz w:val="24"/>
          <w:szCs w:val="24"/>
          <w:u w:val="single"/>
        </w:rPr>
      </w:pPr>
      <w:r w:rsidRPr="00041126">
        <w:rPr>
          <w:sz w:val="24"/>
          <w:szCs w:val="24"/>
          <w:u w:val="single"/>
        </w:rPr>
        <w:t>Mad</w:t>
      </w:r>
    </w:p>
    <w:p w14:paraId="7A53AAFE" w14:textId="77777777" w:rsidR="0048621A" w:rsidRPr="0089631E" w:rsidRDefault="0048621A" w:rsidP="00076476">
      <w:pPr>
        <w:ind w:left="851"/>
        <w:rPr>
          <w:sz w:val="24"/>
          <w:szCs w:val="24"/>
        </w:rPr>
      </w:pPr>
    </w:p>
    <w:p w14:paraId="76D3C4E9" w14:textId="77777777" w:rsidR="0048621A" w:rsidRPr="0089631E" w:rsidRDefault="0048621A" w:rsidP="00076476">
      <w:pPr>
        <w:ind w:left="851"/>
        <w:rPr>
          <w:sz w:val="24"/>
          <w:szCs w:val="24"/>
        </w:rPr>
      </w:pPr>
      <w:r w:rsidRPr="0089631E">
        <w:rPr>
          <w:sz w:val="24"/>
          <w:szCs w:val="24"/>
        </w:rPr>
        <w:t>Et studie af effekten af mad har vist, at forsinkelsen i virkningsstart af dette lægemiddel kan blive yderligere forsinket, og en reduktion i absorptionen kan forekomme, når tabletter tages sammen med mad (se pkt. 5.2). Dette lægemiddel skal derfor tages på tom mave med et glas vand (se pkt. 4.2).</w:t>
      </w:r>
    </w:p>
    <w:p w14:paraId="77CBC244" w14:textId="77777777" w:rsidR="0048621A" w:rsidRPr="0089631E" w:rsidRDefault="0048621A" w:rsidP="00076476">
      <w:pPr>
        <w:ind w:left="851"/>
        <w:rPr>
          <w:sz w:val="24"/>
          <w:szCs w:val="24"/>
        </w:rPr>
      </w:pPr>
    </w:p>
    <w:p w14:paraId="5EE8A6EF" w14:textId="77777777" w:rsidR="0048621A" w:rsidRPr="00041126" w:rsidRDefault="0048621A" w:rsidP="00076476">
      <w:pPr>
        <w:ind w:left="851"/>
        <w:rPr>
          <w:sz w:val="24"/>
          <w:szCs w:val="24"/>
          <w:u w:val="single"/>
        </w:rPr>
      </w:pPr>
      <w:r w:rsidRPr="00041126">
        <w:rPr>
          <w:sz w:val="24"/>
          <w:szCs w:val="24"/>
          <w:u w:val="single"/>
        </w:rPr>
        <w:t xml:space="preserve">Interferens med screening for metadon, </w:t>
      </w:r>
      <w:proofErr w:type="spellStart"/>
      <w:r w:rsidRPr="00041126">
        <w:rPr>
          <w:sz w:val="24"/>
          <w:szCs w:val="24"/>
          <w:u w:val="single"/>
        </w:rPr>
        <w:t>opioater</w:t>
      </w:r>
      <w:proofErr w:type="spellEnd"/>
      <w:r w:rsidRPr="00041126">
        <w:rPr>
          <w:sz w:val="24"/>
          <w:szCs w:val="24"/>
          <w:u w:val="single"/>
        </w:rPr>
        <w:t xml:space="preserve"> og PCP i urinen</w:t>
      </w:r>
    </w:p>
    <w:p w14:paraId="1E58FEF6" w14:textId="77777777" w:rsidR="0048621A" w:rsidRPr="0089631E" w:rsidRDefault="0048621A" w:rsidP="00076476">
      <w:pPr>
        <w:ind w:left="851"/>
        <w:rPr>
          <w:sz w:val="24"/>
          <w:szCs w:val="24"/>
        </w:rPr>
      </w:pPr>
    </w:p>
    <w:p w14:paraId="5739D891" w14:textId="77777777" w:rsidR="0048621A" w:rsidRPr="0089631E" w:rsidRDefault="0048621A" w:rsidP="00076476">
      <w:pPr>
        <w:ind w:left="851"/>
        <w:rPr>
          <w:sz w:val="24"/>
          <w:szCs w:val="24"/>
        </w:rPr>
      </w:pPr>
      <w:r w:rsidRPr="0089631E">
        <w:rPr>
          <w:sz w:val="24"/>
          <w:szCs w:val="24"/>
        </w:rPr>
        <w:lastRenderedPageBreak/>
        <w:t xml:space="preserve">Falsk positive screeninger for metadon, opiater og PCP i urinen kan forekomme ved brug af </w:t>
      </w:r>
      <w:proofErr w:type="spellStart"/>
      <w:r w:rsidRPr="0089631E">
        <w:rPr>
          <w:sz w:val="24"/>
          <w:szCs w:val="24"/>
        </w:rPr>
        <w:t>doxylaminhydrogensuccinat</w:t>
      </w:r>
      <w:proofErr w:type="spellEnd"/>
      <w:r w:rsidRPr="0089631E">
        <w:rPr>
          <w:sz w:val="24"/>
          <w:szCs w:val="24"/>
        </w:rPr>
        <w:t>/</w:t>
      </w:r>
      <w:proofErr w:type="spellStart"/>
      <w:r w:rsidRPr="0089631E">
        <w:rPr>
          <w:sz w:val="24"/>
          <w:szCs w:val="24"/>
        </w:rPr>
        <w:t>pyridoxinhydrochlorid</w:t>
      </w:r>
      <w:proofErr w:type="spellEnd"/>
      <w:r w:rsidRPr="0089631E">
        <w:rPr>
          <w:sz w:val="24"/>
          <w:szCs w:val="24"/>
        </w:rPr>
        <w:t>. Bekræftende test, såsom gaskromatografi-</w:t>
      </w:r>
      <w:proofErr w:type="spellStart"/>
      <w:r w:rsidRPr="0089631E">
        <w:rPr>
          <w:sz w:val="24"/>
          <w:szCs w:val="24"/>
        </w:rPr>
        <w:t>massespektrometri</w:t>
      </w:r>
      <w:proofErr w:type="spellEnd"/>
      <w:r w:rsidRPr="0089631E">
        <w:rPr>
          <w:sz w:val="24"/>
          <w:szCs w:val="24"/>
        </w:rPr>
        <w:t xml:space="preserve"> (GC-MS), bør bruges til at bekræfte stoffets identitet i tilfælde af et positivt </w:t>
      </w:r>
      <w:proofErr w:type="spellStart"/>
      <w:r w:rsidRPr="0089631E">
        <w:rPr>
          <w:sz w:val="24"/>
          <w:szCs w:val="24"/>
        </w:rPr>
        <w:t>immunoassay</w:t>
      </w:r>
      <w:proofErr w:type="spellEnd"/>
      <w:r w:rsidRPr="0089631E">
        <w:rPr>
          <w:sz w:val="24"/>
          <w:szCs w:val="24"/>
        </w:rPr>
        <w:t>-resultat.</w:t>
      </w:r>
    </w:p>
    <w:p w14:paraId="487C1E84" w14:textId="77777777" w:rsidR="009260DE" w:rsidRPr="0089631E" w:rsidRDefault="009260DE" w:rsidP="009260DE">
      <w:pPr>
        <w:tabs>
          <w:tab w:val="left" w:pos="851"/>
        </w:tabs>
        <w:ind w:left="851"/>
        <w:rPr>
          <w:sz w:val="24"/>
          <w:szCs w:val="24"/>
        </w:rPr>
      </w:pPr>
    </w:p>
    <w:p w14:paraId="5CAB7AC1" w14:textId="77777777" w:rsidR="009260DE" w:rsidRPr="0089631E" w:rsidRDefault="009260DE" w:rsidP="009260DE">
      <w:pPr>
        <w:tabs>
          <w:tab w:val="left" w:pos="851"/>
        </w:tabs>
        <w:ind w:left="851" w:hanging="851"/>
        <w:rPr>
          <w:b/>
          <w:sz w:val="24"/>
          <w:szCs w:val="24"/>
        </w:rPr>
      </w:pPr>
      <w:r w:rsidRPr="0089631E">
        <w:rPr>
          <w:b/>
          <w:sz w:val="24"/>
          <w:szCs w:val="24"/>
        </w:rPr>
        <w:t>4.6</w:t>
      </w:r>
      <w:r w:rsidRPr="0089631E">
        <w:rPr>
          <w:b/>
          <w:sz w:val="24"/>
          <w:szCs w:val="24"/>
        </w:rPr>
        <w:tab/>
      </w:r>
      <w:r w:rsidR="0071241E" w:rsidRPr="0089631E">
        <w:rPr>
          <w:b/>
          <w:sz w:val="24"/>
          <w:szCs w:val="24"/>
        </w:rPr>
        <w:t>Fertilitet, g</w:t>
      </w:r>
      <w:r w:rsidRPr="0089631E">
        <w:rPr>
          <w:b/>
          <w:sz w:val="24"/>
          <w:szCs w:val="24"/>
        </w:rPr>
        <w:t>raviditet og amning</w:t>
      </w:r>
    </w:p>
    <w:p w14:paraId="305E9DD0" w14:textId="77777777" w:rsidR="00041126" w:rsidRDefault="00041126" w:rsidP="00076476">
      <w:pPr>
        <w:ind w:left="851"/>
        <w:rPr>
          <w:sz w:val="24"/>
          <w:szCs w:val="24"/>
        </w:rPr>
      </w:pPr>
    </w:p>
    <w:p w14:paraId="0AE22B61" w14:textId="5038DC0C" w:rsidR="0048621A" w:rsidRPr="00041126" w:rsidRDefault="0048621A" w:rsidP="00076476">
      <w:pPr>
        <w:ind w:left="851"/>
        <w:rPr>
          <w:sz w:val="24"/>
          <w:szCs w:val="24"/>
          <w:u w:val="single"/>
          <w:lang w:eastAsia="en-GB"/>
        </w:rPr>
      </w:pPr>
      <w:r w:rsidRPr="00041126">
        <w:rPr>
          <w:sz w:val="24"/>
          <w:szCs w:val="24"/>
          <w:u w:val="single"/>
        </w:rPr>
        <w:t>Graviditet</w:t>
      </w:r>
    </w:p>
    <w:p w14:paraId="21A6E5D5" w14:textId="77777777" w:rsidR="0048621A" w:rsidRPr="0089631E" w:rsidRDefault="0048621A" w:rsidP="00076476">
      <w:pPr>
        <w:ind w:left="851"/>
        <w:rPr>
          <w:sz w:val="24"/>
          <w:szCs w:val="24"/>
        </w:rPr>
      </w:pPr>
    </w:p>
    <w:p w14:paraId="1ACBDBB2" w14:textId="77777777" w:rsidR="0048621A" w:rsidRPr="0089631E" w:rsidRDefault="0048621A" w:rsidP="00076476">
      <w:pPr>
        <w:ind w:left="851"/>
        <w:rPr>
          <w:sz w:val="24"/>
          <w:szCs w:val="24"/>
        </w:rPr>
      </w:pPr>
      <w:r w:rsidRPr="0089631E">
        <w:rPr>
          <w:sz w:val="24"/>
          <w:szCs w:val="24"/>
        </w:rPr>
        <w:t>Dette lægemiddel er beregnet til brug af gravide kvinder.</w:t>
      </w:r>
    </w:p>
    <w:p w14:paraId="19B801CD" w14:textId="77777777" w:rsidR="0048621A" w:rsidRPr="0089631E" w:rsidRDefault="0048621A" w:rsidP="00076476">
      <w:pPr>
        <w:ind w:left="851"/>
        <w:rPr>
          <w:sz w:val="24"/>
          <w:szCs w:val="24"/>
        </w:rPr>
      </w:pPr>
    </w:p>
    <w:p w14:paraId="4329C98C" w14:textId="38D90C28" w:rsidR="0048621A" w:rsidRPr="0089631E" w:rsidRDefault="0048621A" w:rsidP="00076476">
      <w:pPr>
        <w:ind w:left="851"/>
        <w:rPr>
          <w:sz w:val="24"/>
          <w:szCs w:val="24"/>
        </w:rPr>
      </w:pPr>
      <w:r w:rsidRPr="0089631E">
        <w:rPr>
          <w:sz w:val="24"/>
          <w:szCs w:val="24"/>
        </w:rPr>
        <w:t xml:space="preserve">En stor mængde data om gravide kvinder, herunder to metaanalyser med over 168.000 patienter og 18.000 eksponeringer for kombinationen </w:t>
      </w:r>
      <w:proofErr w:type="spellStart"/>
      <w:r w:rsidRPr="0089631E">
        <w:rPr>
          <w:sz w:val="24"/>
          <w:szCs w:val="24"/>
        </w:rPr>
        <w:t>doxylamin</w:t>
      </w:r>
      <w:proofErr w:type="spellEnd"/>
      <w:r w:rsidRPr="0089631E">
        <w:rPr>
          <w:sz w:val="24"/>
          <w:szCs w:val="24"/>
        </w:rPr>
        <w:t>/</w:t>
      </w:r>
      <w:proofErr w:type="spellStart"/>
      <w:r w:rsidRPr="0089631E">
        <w:rPr>
          <w:sz w:val="24"/>
          <w:szCs w:val="24"/>
        </w:rPr>
        <w:t>pyridoxin</w:t>
      </w:r>
      <w:proofErr w:type="spellEnd"/>
      <w:r w:rsidRPr="0089631E">
        <w:rPr>
          <w:sz w:val="24"/>
          <w:szCs w:val="24"/>
        </w:rPr>
        <w:t xml:space="preserve"> i første trimester, viser ingen misdannelser eller </w:t>
      </w:r>
      <w:proofErr w:type="spellStart"/>
      <w:r w:rsidRPr="0089631E">
        <w:rPr>
          <w:sz w:val="24"/>
          <w:szCs w:val="24"/>
        </w:rPr>
        <w:t>føtal</w:t>
      </w:r>
      <w:proofErr w:type="spellEnd"/>
      <w:r w:rsidRPr="0089631E">
        <w:rPr>
          <w:sz w:val="24"/>
          <w:szCs w:val="24"/>
        </w:rPr>
        <w:t xml:space="preserve">/neonatal toksicitet af </w:t>
      </w:r>
      <w:proofErr w:type="spellStart"/>
      <w:r w:rsidRPr="0089631E">
        <w:rPr>
          <w:sz w:val="24"/>
          <w:szCs w:val="24"/>
        </w:rPr>
        <w:t>doxylamin</w:t>
      </w:r>
      <w:r w:rsidR="00041126">
        <w:rPr>
          <w:sz w:val="24"/>
          <w:szCs w:val="24"/>
        </w:rPr>
        <w:softHyphen/>
      </w:r>
      <w:r w:rsidRPr="0089631E">
        <w:rPr>
          <w:sz w:val="24"/>
          <w:szCs w:val="24"/>
        </w:rPr>
        <w:t>hydrogensuccinat</w:t>
      </w:r>
      <w:proofErr w:type="spellEnd"/>
      <w:r w:rsidRPr="0089631E">
        <w:rPr>
          <w:sz w:val="24"/>
          <w:szCs w:val="24"/>
        </w:rPr>
        <w:t xml:space="preserve"> og </w:t>
      </w:r>
      <w:proofErr w:type="spellStart"/>
      <w:r w:rsidRPr="0089631E">
        <w:rPr>
          <w:sz w:val="24"/>
          <w:szCs w:val="24"/>
        </w:rPr>
        <w:t>pyridoxinhydrochlorid</w:t>
      </w:r>
      <w:proofErr w:type="spellEnd"/>
      <w:r w:rsidRPr="0089631E">
        <w:rPr>
          <w:sz w:val="24"/>
          <w:szCs w:val="24"/>
        </w:rPr>
        <w:t>.</w:t>
      </w:r>
    </w:p>
    <w:p w14:paraId="3525E2EA" w14:textId="77777777" w:rsidR="0048621A" w:rsidRPr="0089631E" w:rsidRDefault="0048621A" w:rsidP="00076476">
      <w:pPr>
        <w:ind w:left="851"/>
        <w:rPr>
          <w:sz w:val="24"/>
          <w:szCs w:val="24"/>
        </w:rPr>
      </w:pPr>
    </w:p>
    <w:p w14:paraId="097F09CC" w14:textId="77777777" w:rsidR="0048621A" w:rsidRPr="00041126" w:rsidRDefault="0048621A" w:rsidP="00076476">
      <w:pPr>
        <w:ind w:left="851"/>
        <w:rPr>
          <w:sz w:val="24"/>
          <w:szCs w:val="24"/>
          <w:u w:val="single"/>
        </w:rPr>
      </w:pPr>
      <w:r w:rsidRPr="00041126">
        <w:rPr>
          <w:sz w:val="24"/>
          <w:szCs w:val="24"/>
          <w:u w:val="single"/>
        </w:rPr>
        <w:t>Amning</w:t>
      </w:r>
    </w:p>
    <w:p w14:paraId="69A781F7" w14:textId="77777777" w:rsidR="0048621A" w:rsidRPr="0089631E" w:rsidRDefault="0048621A" w:rsidP="00076476">
      <w:pPr>
        <w:ind w:left="851"/>
        <w:rPr>
          <w:sz w:val="24"/>
          <w:szCs w:val="24"/>
        </w:rPr>
      </w:pPr>
    </w:p>
    <w:p w14:paraId="5A31DD09" w14:textId="77777777" w:rsidR="0048621A" w:rsidRPr="0089631E" w:rsidRDefault="0048621A" w:rsidP="00076476">
      <w:pPr>
        <w:ind w:left="851"/>
        <w:rPr>
          <w:sz w:val="24"/>
          <w:szCs w:val="24"/>
        </w:rPr>
      </w:pPr>
      <w:r w:rsidRPr="0089631E">
        <w:rPr>
          <w:sz w:val="24"/>
          <w:szCs w:val="24"/>
        </w:rPr>
        <w:t xml:space="preserve">Molekylvægten af </w:t>
      </w:r>
      <w:proofErr w:type="spellStart"/>
      <w:r w:rsidRPr="0089631E">
        <w:rPr>
          <w:sz w:val="24"/>
          <w:szCs w:val="24"/>
        </w:rPr>
        <w:t>doxylaminhydrogensuccinat</w:t>
      </w:r>
      <w:proofErr w:type="spellEnd"/>
      <w:r w:rsidRPr="0089631E">
        <w:rPr>
          <w:sz w:val="24"/>
          <w:szCs w:val="24"/>
        </w:rPr>
        <w:t xml:space="preserve"> er lav nok til, at der kan forventes udskillelse i human mælk. Ophidselse, irritabilitet og sedation er blevet rapporteret hos ammende spædbørn, der formentlig er blevet udsat for </w:t>
      </w:r>
      <w:proofErr w:type="spellStart"/>
      <w:r w:rsidRPr="0089631E">
        <w:rPr>
          <w:sz w:val="24"/>
          <w:szCs w:val="24"/>
        </w:rPr>
        <w:t>doxylaminhydrogensuccinat</w:t>
      </w:r>
      <w:proofErr w:type="spellEnd"/>
      <w:r w:rsidRPr="0089631E">
        <w:rPr>
          <w:sz w:val="24"/>
          <w:szCs w:val="24"/>
        </w:rPr>
        <w:t xml:space="preserve"> gennem human mælk. </w:t>
      </w:r>
    </w:p>
    <w:p w14:paraId="45F98939" w14:textId="77777777" w:rsidR="0048621A" w:rsidRPr="0089631E" w:rsidRDefault="0048621A" w:rsidP="00076476">
      <w:pPr>
        <w:ind w:left="851"/>
        <w:rPr>
          <w:sz w:val="24"/>
          <w:szCs w:val="24"/>
        </w:rPr>
      </w:pPr>
      <w:r w:rsidRPr="0089631E">
        <w:rPr>
          <w:sz w:val="24"/>
          <w:szCs w:val="24"/>
        </w:rPr>
        <w:t>Spædbørn med apnø eller andre respiratoriske syndromer kan være særligt sårbare over for de sederende virkninger af dette lægemiddel, hvilket resulterer i forværring af deres apnø eller respiratoriske tilstande.</w:t>
      </w:r>
    </w:p>
    <w:p w14:paraId="11121937" w14:textId="77777777" w:rsidR="0048621A" w:rsidRPr="0089631E" w:rsidRDefault="0048621A" w:rsidP="00076476">
      <w:pPr>
        <w:ind w:left="851"/>
        <w:rPr>
          <w:sz w:val="24"/>
          <w:szCs w:val="24"/>
        </w:rPr>
      </w:pPr>
    </w:p>
    <w:p w14:paraId="7E5E0DB9" w14:textId="77777777" w:rsidR="0048621A" w:rsidRPr="0089631E" w:rsidRDefault="0048621A" w:rsidP="00076476">
      <w:pPr>
        <w:ind w:left="851"/>
        <w:rPr>
          <w:sz w:val="24"/>
          <w:szCs w:val="24"/>
          <w:highlight w:val="yellow"/>
        </w:rPr>
      </w:pPr>
      <w:proofErr w:type="spellStart"/>
      <w:r w:rsidRPr="0089631E">
        <w:rPr>
          <w:sz w:val="24"/>
          <w:szCs w:val="24"/>
        </w:rPr>
        <w:t>Pyridoxinhydrochlorid</w:t>
      </w:r>
      <w:proofErr w:type="spellEnd"/>
      <w:r w:rsidRPr="0089631E">
        <w:rPr>
          <w:sz w:val="24"/>
          <w:szCs w:val="24"/>
        </w:rPr>
        <w:t xml:space="preserve">/metabolitter udskilles i human mælk. Der er ikke rapporteret om bivirkninger hos spædbørn, der formentlig har været udsat for </w:t>
      </w:r>
      <w:proofErr w:type="spellStart"/>
      <w:r w:rsidRPr="0089631E">
        <w:rPr>
          <w:sz w:val="24"/>
          <w:szCs w:val="24"/>
        </w:rPr>
        <w:t>pyridoxinhydrochlorid</w:t>
      </w:r>
      <w:proofErr w:type="spellEnd"/>
      <w:r w:rsidRPr="0089631E">
        <w:rPr>
          <w:sz w:val="24"/>
          <w:szCs w:val="24"/>
        </w:rPr>
        <w:t xml:space="preserve"> gennem human mælk.</w:t>
      </w:r>
      <w:r w:rsidRPr="0089631E">
        <w:rPr>
          <w:sz w:val="24"/>
          <w:szCs w:val="24"/>
          <w:highlight w:val="yellow"/>
        </w:rPr>
        <w:t xml:space="preserve"> </w:t>
      </w:r>
    </w:p>
    <w:p w14:paraId="79415BA1" w14:textId="77777777" w:rsidR="0048621A" w:rsidRPr="0089631E" w:rsidRDefault="0048621A" w:rsidP="00076476">
      <w:pPr>
        <w:ind w:left="851"/>
        <w:rPr>
          <w:sz w:val="24"/>
          <w:szCs w:val="24"/>
          <w:highlight w:val="yellow"/>
        </w:rPr>
      </w:pPr>
    </w:p>
    <w:p w14:paraId="5B651F34" w14:textId="77777777" w:rsidR="0048621A" w:rsidRPr="0089631E" w:rsidRDefault="0048621A" w:rsidP="00076476">
      <w:pPr>
        <w:ind w:left="851"/>
        <w:rPr>
          <w:sz w:val="24"/>
          <w:szCs w:val="24"/>
        </w:rPr>
      </w:pPr>
      <w:r w:rsidRPr="0089631E">
        <w:rPr>
          <w:sz w:val="24"/>
          <w:szCs w:val="24"/>
        </w:rPr>
        <w:t>Da nyfødte kan være mere følsomme over for virkningerne af antihistaminer og til paradoksal irritabilitet hyperaktivitet, kan en risiko for nyfødte/spædbørn ikke udelukkes. Dette lægemiddel anbefales ikke under amning.</w:t>
      </w:r>
    </w:p>
    <w:p w14:paraId="516B0780" w14:textId="77777777" w:rsidR="0048621A" w:rsidRPr="0089631E" w:rsidRDefault="0048621A" w:rsidP="00076476">
      <w:pPr>
        <w:ind w:left="851"/>
        <w:rPr>
          <w:sz w:val="24"/>
          <w:szCs w:val="24"/>
        </w:rPr>
      </w:pPr>
    </w:p>
    <w:p w14:paraId="120B8BC6" w14:textId="77777777" w:rsidR="0048621A" w:rsidRPr="0089631E" w:rsidRDefault="0048621A" w:rsidP="00076476">
      <w:pPr>
        <w:ind w:left="851"/>
        <w:rPr>
          <w:sz w:val="24"/>
          <w:szCs w:val="24"/>
        </w:rPr>
      </w:pPr>
      <w:r w:rsidRPr="0089631E">
        <w:rPr>
          <w:sz w:val="24"/>
          <w:szCs w:val="24"/>
        </w:rPr>
        <w:t>Det skal besluttes, om amning skal ophøre eller behandling med dette lægemiddel ophøre, idet der tages højde for fordelene ved amning for barnet i forhold til de terapeutiske fordele for moderen.</w:t>
      </w:r>
    </w:p>
    <w:p w14:paraId="5FFDEF56" w14:textId="77777777" w:rsidR="0048621A" w:rsidRPr="0089631E" w:rsidRDefault="0048621A" w:rsidP="00076476">
      <w:pPr>
        <w:ind w:left="851"/>
        <w:rPr>
          <w:sz w:val="24"/>
          <w:szCs w:val="24"/>
        </w:rPr>
      </w:pPr>
    </w:p>
    <w:p w14:paraId="2BD3B03A" w14:textId="77777777" w:rsidR="0048621A" w:rsidRPr="00041126" w:rsidRDefault="0048621A" w:rsidP="00076476">
      <w:pPr>
        <w:ind w:left="851"/>
        <w:rPr>
          <w:sz w:val="24"/>
          <w:szCs w:val="24"/>
          <w:u w:val="single"/>
        </w:rPr>
      </w:pPr>
      <w:r w:rsidRPr="00041126">
        <w:rPr>
          <w:sz w:val="24"/>
          <w:szCs w:val="24"/>
          <w:u w:val="single"/>
        </w:rPr>
        <w:t>Fertilitet</w:t>
      </w:r>
    </w:p>
    <w:p w14:paraId="731C6FD1" w14:textId="77777777" w:rsidR="0048621A" w:rsidRPr="0089631E" w:rsidRDefault="0048621A" w:rsidP="00076476">
      <w:pPr>
        <w:ind w:left="851"/>
        <w:rPr>
          <w:color w:val="000000"/>
          <w:sz w:val="24"/>
          <w:szCs w:val="24"/>
        </w:rPr>
      </w:pPr>
    </w:p>
    <w:p w14:paraId="24FAA175" w14:textId="77777777" w:rsidR="0048621A" w:rsidRPr="0089631E" w:rsidRDefault="0048621A" w:rsidP="00076476">
      <w:pPr>
        <w:ind w:left="851"/>
        <w:rPr>
          <w:color w:val="000000"/>
          <w:sz w:val="24"/>
          <w:szCs w:val="24"/>
        </w:rPr>
      </w:pPr>
      <w:r w:rsidRPr="0089631E">
        <w:rPr>
          <w:color w:val="000000"/>
          <w:sz w:val="24"/>
          <w:szCs w:val="24"/>
        </w:rPr>
        <w:t>Der foreligger ingen humane data.</w:t>
      </w:r>
    </w:p>
    <w:p w14:paraId="0F5C114A" w14:textId="77777777" w:rsidR="009260DE" w:rsidRPr="0089631E" w:rsidRDefault="009260DE" w:rsidP="009260DE">
      <w:pPr>
        <w:tabs>
          <w:tab w:val="left" w:pos="851"/>
        </w:tabs>
        <w:ind w:left="851"/>
        <w:rPr>
          <w:sz w:val="24"/>
          <w:szCs w:val="24"/>
        </w:rPr>
      </w:pPr>
    </w:p>
    <w:p w14:paraId="5A0FF748" w14:textId="77777777" w:rsidR="009260DE" w:rsidRPr="0089631E" w:rsidRDefault="009260DE" w:rsidP="009260DE">
      <w:pPr>
        <w:tabs>
          <w:tab w:val="left" w:pos="851"/>
        </w:tabs>
        <w:ind w:left="851" w:hanging="851"/>
        <w:rPr>
          <w:b/>
          <w:sz w:val="24"/>
          <w:szCs w:val="24"/>
        </w:rPr>
      </w:pPr>
      <w:r w:rsidRPr="0089631E">
        <w:rPr>
          <w:b/>
          <w:sz w:val="24"/>
          <w:szCs w:val="24"/>
        </w:rPr>
        <w:t>4.7</w:t>
      </w:r>
      <w:r w:rsidRPr="0089631E">
        <w:rPr>
          <w:b/>
          <w:sz w:val="24"/>
          <w:szCs w:val="24"/>
        </w:rPr>
        <w:tab/>
        <w:t xml:space="preserve">Virkning på evnen til at føre motorkøretøj </w:t>
      </w:r>
      <w:r w:rsidR="0071241E" w:rsidRPr="0089631E">
        <w:rPr>
          <w:b/>
          <w:sz w:val="24"/>
          <w:szCs w:val="24"/>
        </w:rPr>
        <w:t>og</w:t>
      </w:r>
      <w:r w:rsidRPr="0089631E">
        <w:rPr>
          <w:b/>
          <w:sz w:val="24"/>
          <w:szCs w:val="24"/>
        </w:rPr>
        <w:t xml:space="preserve"> betjene maskiner</w:t>
      </w:r>
    </w:p>
    <w:p w14:paraId="34544902" w14:textId="77777777" w:rsidR="0048621A" w:rsidRPr="0089631E" w:rsidRDefault="0048621A" w:rsidP="00076476">
      <w:pPr>
        <w:ind w:left="851"/>
        <w:rPr>
          <w:sz w:val="24"/>
          <w:szCs w:val="24"/>
          <w:lang w:eastAsia="en-GB"/>
        </w:rPr>
      </w:pPr>
      <w:r w:rsidRPr="0089631E">
        <w:rPr>
          <w:sz w:val="24"/>
          <w:szCs w:val="24"/>
        </w:rPr>
        <w:t>Mærkning.</w:t>
      </w:r>
    </w:p>
    <w:p w14:paraId="20819936" w14:textId="77777777" w:rsidR="0048621A" w:rsidRPr="0089631E" w:rsidRDefault="0048621A" w:rsidP="00076476">
      <w:pPr>
        <w:ind w:left="851"/>
        <w:rPr>
          <w:sz w:val="24"/>
          <w:szCs w:val="24"/>
        </w:rPr>
      </w:pPr>
    </w:p>
    <w:p w14:paraId="26DF6B09" w14:textId="77777777" w:rsidR="0048621A" w:rsidRPr="0089631E" w:rsidRDefault="0048621A" w:rsidP="00076476">
      <w:pPr>
        <w:ind w:left="851"/>
        <w:rPr>
          <w:sz w:val="24"/>
          <w:szCs w:val="24"/>
        </w:rPr>
      </w:pPr>
      <w:proofErr w:type="spellStart"/>
      <w:r w:rsidRPr="0089631E">
        <w:rPr>
          <w:sz w:val="24"/>
          <w:szCs w:val="24"/>
        </w:rPr>
        <w:t>Bonjesta</w:t>
      </w:r>
      <w:proofErr w:type="spellEnd"/>
      <w:r w:rsidRPr="0089631E">
        <w:rPr>
          <w:sz w:val="24"/>
          <w:szCs w:val="24"/>
        </w:rPr>
        <w:t xml:space="preserve"> påvirker i moderat eller væsentlig grad evnen til at føre motorkøretøj og betjene maskiner.</w:t>
      </w:r>
    </w:p>
    <w:p w14:paraId="6419F782" w14:textId="77777777" w:rsidR="0048621A" w:rsidRPr="0089631E" w:rsidRDefault="0048621A" w:rsidP="00076476">
      <w:pPr>
        <w:ind w:left="851"/>
        <w:rPr>
          <w:sz w:val="24"/>
          <w:szCs w:val="24"/>
        </w:rPr>
      </w:pPr>
    </w:p>
    <w:p w14:paraId="53391BC1" w14:textId="77777777" w:rsidR="0048621A" w:rsidRPr="0089631E" w:rsidRDefault="0048621A" w:rsidP="00076476">
      <w:pPr>
        <w:ind w:left="851"/>
        <w:rPr>
          <w:sz w:val="24"/>
          <w:szCs w:val="24"/>
        </w:rPr>
      </w:pPr>
      <w:proofErr w:type="spellStart"/>
      <w:r w:rsidRPr="0089631E">
        <w:rPr>
          <w:sz w:val="24"/>
          <w:szCs w:val="24"/>
        </w:rPr>
        <w:t>Bonjesta</w:t>
      </w:r>
      <w:proofErr w:type="spellEnd"/>
      <w:r w:rsidRPr="0089631E">
        <w:rPr>
          <w:sz w:val="24"/>
          <w:szCs w:val="24"/>
        </w:rPr>
        <w:t xml:space="preserve"> kan forårsage døsighed og sløret syn, især i løbet af de første dages behandling (se pkt. 4.8). Kvinder skal undgå at deltage i aktiviteter, der kræver fuldstændig mental </w:t>
      </w:r>
      <w:r w:rsidRPr="0089631E">
        <w:rPr>
          <w:sz w:val="24"/>
          <w:szCs w:val="24"/>
        </w:rPr>
        <w:lastRenderedPageBreak/>
        <w:t xml:space="preserve">årvågenhed, som f.eks. at køre bil eller betjene tunge maskiner, mens de bruger </w:t>
      </w:r>
      <w:proofErr w:type="spellStart"/>
      <w:r w:rsidRPr="0089631E">
        <w:rPr>
          <w:sz w:val="24"/>
          <w:szCs w:val="24"/>
        </w:rPr>
        <w:t>Bonjesta</w:t>
      </w:r>
      <w:proofErr w:type="spellEnd"/>
      <w:r w:rsidRPr="0089631E">
        <w:rPr>
          <w:sz w:val="24"/>
          <w:szCs w:val="24"/>
        </w:rPr>
        <w:t>, indtil de har fået tilladelse til det af deres læge.</w:t>
      </w:r>
    </w:p>
    <w:p w14:paraId="415A4638" w14:textId="77777777" w:rsidR="009260DE" w:rsidRPr="0089631E" w:rsidRDefault="009260DE" w:rsidP="009260DE">
      <w:pPr>
        <w:tabs>
          <w:tab w:val="left" w:pos="851"/>
        </w:tabs>
        <w:ind w:left="851"/>
        <w:rPr>
          <w:sz w:val="24"/>
          <w:szCs w:val="24"/>
        </w:rPr>
      </w:pPr>
    </w:p>
    <w:p w14:paraId="3F44A032" w14:textId="77777777" w:rsidR="009260DE" w:rsidRPr="0089631E" w:rsidRDefault="009260DE" w:rsidP="009260DE">
      <w:pPr>
        <w:tabs>
          <w:tab w:val="left" w:pos="851"/>
        </w:tabs>
        <w:ind w:left="851" w:hanging="851"/>
        <w:rPr>
          <w:b/>
          <w:sz w:val="24"/>
          <w:szCs w:val="24"/>
        </w:rPr>
      </w:pPr>
      <w:r w:rsidRPr="0089631E">
        <w:rPr>
          <w:b/>
          <w:sz w:val="24"/>
          <w:szCs w:val="24"/>
        </w:rPr>
        <w:t>4.8</w:t>
      </w:r>
      <w:r w:rsidRPr="0089631E">
        <w:rPr>
          <w:b/>
          <w:sz w:val="24"/>
          <w:szCs w:val="24"/>
        </w:rPr>
        <w:tab/>
        <w:t>Bivirkninger</w:t>
      </w:r>
    </w:p>
    <w:p w14:paraId="3FDE2497" w14:textId="77777777" w:rsidR="00041126" w:rsidRDefault="00041126" w:rsidP="00076476">
      <w:pPr>
        <w:ind w:left="851"/>
        <w:rPr>
          <w:sz w:val="24"/>
          <w:szCs w:val="24"/>
        </w:rPr>
      </w:pPr>
    </w:p>
    <w:p w14:paraId="5172F5A8" w14:textId="3B19EBE0" w:rsidR="0048621A" w:rsidRPr="0089631E" w:rsidRDefault="0048621A" w:rsidP="00076476">
      <w:pPr>
        <w:ind w:left="851"/>
        <w:rPr>
          <w:sz w:val="24"/>
          <w:szCs w:val="24"/>
          <w:lang w:eastAsia="en-GB"/>
        </w:rPr>
      </w:pPr>
      <w:r w:rsidRPr="0089631E">
        <w:rPr>
          <w:sz w:val="24"/>
          <w:szCs w:val="24"/>
        </w:rPr>
        <w:t>a</w:t>
      </w:r>
      <w:r w:rsidR="00041126">
        <w:rPr>
          <w:sz w:val="24"/>
          <w:szCs w:val="24"/>
        </w:rPr>
        <w:t>)</w:t>
      </w:r>
      <w:r w:rsidRPr="0089631E">
        <w:rPr>
          <w:sz w:val="24"/>
          <w:szCs w:val="24"/>
        </w:rPr>
        <w:t xml:space="preserve"> </w:t>
      </w:r>
      <w:r w:rsidRPr="00041126">
        <w:rPr>
          <w:sz w:val="24"/>
          <w:szCs w:val="24"/>
          <w:u w:val="single"/>
        </w:rPr>
        <w:t>Resumé af sikkerhedsprofilen</w:t>
      </w:r>
    </w:p>
    <w:p w14:paraId="42471EB9" w14:textId="77777777" w:rsidR="0048621A" w:rsidRPr="0089631E" w:rsidRDefault="0048621A" w:rsidP="00076476">
      <w:pPr>
        <w:ind w:left="851"/>
        <w:rPr>
          <w:sz w:val="24"/>
          <w:szCs w:val="24"/>
        </w:rPr>
      </w:pPr>
    </w:p>
    <w:p w14:paraId="3D72803D" w14:textId="77777777" w:rsidR="0048621A" w:rsidRPr="0089631E" w:rsidRDefault="0048621A" w:rsidP="00076476">
      <w:pPr>
        <w:ind w:left="851"/>
        <w:rPr>
          <w:sz w:val="24"/>
          <w:szCs w:val="24"/>
        </w:rPr>
      </w:pPr>
      <w:r w:rsidRPr="0089631E">
        <w:rPr>
          <w:sz w:val="24"/>
          <w:szCs w:val="24"/>
        </w:rPr>
        <w:t>Bivirkningsoplysninger stammer fra kliniske studier og verdensomspændende erfaring efter markedsføring.</w:t>
      </w:r>
    </w:p>
    <w:p w14:paraId="7E6F28CC" w14:textId="3C39BA3F" w:rsidR="0048621A" w:rsidRPr="0089631E" w:rsidRDefault="0048621A" w:rsidP="00076476">
      <w:pPr>
        <w:ind w:left="851"/>
        <w:rPr>
          <w:sz w:val="24"/>
          <w:szCs w:val="24"/>
        </w:rPr>
      </w:pPr>
      <w:r w:rsidRPr="0089631E">
        <w:rPr>
          <w:sz w:val="24"/>
          <w:szCs w:val="24"/>
        </w:rPr>
        <w:t xml:space="preserve">Der har været omfattende klinisk erfaring med brugen af </w:t>
      </w:r>
      <w:proofErr w:type="spellStart"/>
      <w:r w:rsidRPr="0089631E">
        <w:rPr>
          <w:sz w:val="24"/>
          <w:szCs w:val="24"/>
        </w:rPr>
        <w:t>Bonjesta</w:t>
      </w:r>
      <w:proofErr w:type="spellEnd"/>
      <w:r w:rsidRPr="0089631E">
        <w:rPr>
          <w:sz w:val="24"/>
          <w:szCs w:val="24"/>
        </w:rPr>
        <w:t>-kombinationen (</w:t>
      </w:r>
      <w:proofErr w:type="spellStart"/>
      <w:r w:rsidRPr="0089631E">
        <w:rPr>
          <w:sz w:val="24"/>
          <w:szCs w:val="24"/>
        </w:rPr>
        <w:t>doxylaminhydrogensuccinat</w:t>
      </w:r>
      <w:proofErr w:type="spellEnd"/>
      <w:r w:rsidRPr="0089631E">
        <w:rPr>
          <w:sz w:val="24"/>
          <w:szCs w:val="24"/>
        </w:rPr>
        <w:t xml:space="preserve"> og </w:t>
      </w:r>
      <w:proofErr w:type="spellStart"/>
      <w:r w:rsidRPr="0089631E">
        <w:rPr>
          <w:sz w:val="24"/>
          <w:szCs w:val="24"/>
        </w:rPr>
        <w:t>pyridoxinhydrochlorid</w:t>
      </w:r>
      <w:proofErr w:type="spellEnd"/>
      <w:r w:rsidRPr="0089631E">
        <w:rPr>
          <w:sz w:val="24"/>
          <w:szCs w:val="24"/>
        </w:rPr>
        <w:t xml:space="preserve">). Den hyppigst rapporterede bivirkning (≥ 5 % og som oversteg frekvensen hos placebo) var døsighed i et dobbeltblindt, randomiseret, placebokontrolleret studie af 15 dages varighed, som inkluderede 261 kvinder med kvalme og opkast under graviditeten (128 blev behandlet med placebo og 133 med </w:t>
      </w:r>
      <w:proofErr w:type="spellStart"/>
      <w:r w:rsidRPr="0089631E">
        <w:rPr>
          <w:sz w:val="24"/>
          <w:szCs w:val="24"/>
        </w:rPr>
        <w:t>doxylaminhydrogensuccinat</w:t>
      </w:r>
      <w:proofErr w:type="spellEnd"/>
      <w:r w:rsidRPr="0089631E">
        <w:rPr>
          <w:sz w:val="24"/>
          <w:szCs w:val="24"/>
        </w:rPr>
        <w:t>/</w:t>
      </w:r>
      <w:proofErr w:type="spellStart"/>
      <w:r w:rsidRPr="0089631E">
        <w:rPr>
          <w:sz w:val="24"/>
          <w:szCs w:val="24"/>
        </w:rPr>
        <w:t>pyridoxinhydrochlorid</w:t>
      </w:r>
      <w:proofErr w:type="spellEnd"/>
      <w:r w:rsidRPr="0089631E">
        <w:rPr>
          <w:sz w:val="24"/>
          <w:szCs w:val="24"/>
        </w:rPr>
        <w:t>).</w:t>
      </w:r>
    </w:p>
    <w:p w14:paraId="097D0C61" w14:textId="77777777" w:rsidR="0048621A" w:rsidRPr="0089631E" w:rsidRDefault="0048621A" w:rsidP="00076476">
      <w:pPr>
        <w:ind w:left="851"/>
        <w:rPr>
          <w:sz w:val="24"/>
          <w:szCs w:val="24"/>
        </w:rPr>
      </w:pPr>
    </w:p>
    <w:p w14:paraId="1D5098DE" w14:textId="77777777" w:rsidR="0048621A" w:rsidRPr="0089631E" w:rsidRDefault="0048621A" w:rsidP="00076476">
      <w:pPr>
        <w:ind w:left="851"/>
        <w:rPr>
          <w:sz w:val="24"/>
          <w:szCs w:val="24"/>
        </w:rPr>
      </w:pPr>
      <w:r w:rsidRPr="0089631E">
        <w:rPr>
          <w:sz w:val="24"/>
          <w:szCs w:val="24"/>
        </w:rPr>
        <w:t xml:space="preserve">b) </w:t>
      </w:r>
      <w:r w:rsidRPr="00041126">
        <w:rPr>
          <w:sz w:val="24"/>
          <w:szCs w:val="24"/>
          <w:u w:val="single"/>
        </w:rPr>
        <w:t>Liste over bivirkninger i tabelform</w:t>
      </w:r>
    </w:p>
    <w:p w14:paraId="380535E5" w14:textId="77777777" w:rsidR="0048621A" w:rsidRPr="0089631E" w:rsidRDefault="0048621A" w:rsidP="00076476">
      <w:pPr>
        <w:ind w:left="851"/>
        <w:rPr>
          <w:sz w:val="24"/>
          <w:szCs w:val="24"/>
        </w:rPr>
      </w:pPr>
    </w:p>
    <w:p w14:paraId="3AF16357" w14:textId="77777777" w:rsidR="0048621A" w:rsidRPr="0089631E" w:rsidRDefault="0048621A" w:rsidP="00076476">
      <w:pPr>
        <w:ind w:left="851"/>
        <w:rPr>
          <w:sz w:val="24"/>
          <w:szCs w:val="24"/>
        </w:rPr>
      </w:pPr>
      <w:r w:rsidRPr="0089631E">
        <w:rPr>
          <w:sz w:val="24"/>
          <w:szCs w:val="24"/>
        </w:rPr>
        <w:t>Følgende liste over bivirkninger er baseret på erfaringer fra kliniske studier og/eller brug efter markedsføringen med dette lægemiddel og andre lignende lægemidler indeholdende de samme aktive ingredienser.</w:t>
      </w:r>
    </w:p>
    <w:p w14:paraId="597CCF94" w14:textId="77777777" w:rsidR="0048621A" w:rsidRPr="0089631E" w:rsidRDefault="0048621A" w:rsidP="00076476">
      <w:pPr>
        <w:ind w:left="851"/>
        <w:rPr>
          <w:sz w:val="24"/>
          <w:szCs w:val="24"/>
        </w:rPr>
      </w:pPr>
    </w:p>
    <w:p w14:paraId="24344BD7" w14:textId="77777777" w:rsidR="0048621A" w:rsidRPr="0089631E" w:rsidRDefault="0048621A" w:rsidP="00076476">
      <w:pPr>
        <w:ind w:left="851"/>
        <w:rPr>
          <w:sz w:val="24"/>
          <w:szCs w:val="24"/>
        </w:rPr>
      </w:pPr>
      <w:r w:rsidRPr="0089631E">
        <w:rPr>
          <w:sz w:val="24"/>
          <w:szCs w:val="24"/>
        </w:rPr>
        <w:t xml:space="preserve">Bivirkninger vises efter </w:t>
      </w:r>
      <w:proofErr w:type="spellStart"/>
      <w:r w:rsidRPr="0089631E">
        <w:rPr>
          <w:sz w:val="24"/>
          <w:szCs w:val="24"/>
        </w:rPr>
        <w:t>MedDRA</w:t>
      </w:r>
      <w:proofErr w:type="spellEnd"/>
      <w:r w:rsidRPr="0089631E">
        <w:rPr>
          <w:sz w:val="24"/>
          <w:szCs w:val="24"/>
        </w:rPr>
        <w:t xml:space="preserve"> systemorganklasse og anvender følgende konventioner for hyppighed: meget almindelig (≥1/10); almindelig (≥1/100 til &lt;1/10), ikke almindelig (≥1/1 000 til &lt;1/100), sjælden (≥1/10 000 til &lt;1/1 000); meget sjælden (&lt;1/10 000); ikke kendt (kan ikke estimeres ud fra forhåndenværende data).</w:t>
      </w:r>
    </w:p>
    <w:p w14:paraId="054E403D" w14:textId="77777777" w:rsidR="0048621A" w:rsidRPr="0089631E" w:rsidRDefault="0048621A" w:rsidP="00076476">
      <w:pPr>
        <w:ind w:left="851"/>
        <w:rPr>
          <w:sz w:val="24"/>
          <w:szCs w:val="24"/>
        </w:rPr>
      </w:pPr>
      <w:r w:rsidRPr="0089631E">
        <w:rPr>
          <w:sz w:val="24"/>
          <w:szCs w:val="24"/>
        </w:rPr>
        <w:t xml:space="preserve">Bivirkningsfrekvensen, der er rapporteret efter markedsføring kan ikke fastslås, da de stammer fra spontane indberetninger. Derfor kvalificeres hyppigheden af disse bivirkninger som "ikke kendt". </w:t>
      </w:r>
    </w:p>
    <w:p w14:paraId="2603226D" w14:textId="77777777" w:rsidR="0048621A" w:rsidRPr="0089631E" w:rsidRDefault="0048621A" w:rsidP="0048621A">
      <w:pPr>
        <w:pStyle w:val="Normalindrykning"/>
        <w:spacing w:after="0"/>
        <w:ind w:left="0"/>
        <w:rPr>
          <w:sz w:val="24"/>
          <w:szCs w:val="24"/>
        </w:rPr>
      </w:pPr>
    </w:p>
    <w:tbl>
      <w:tblPr>
        <w:tblW w:w="450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463"/>
        <w:gridCol w:w="2300"/>
      </w:tblGrid>
      <w:tr w:rsidR="0048621A" w:rsidRPr="0089631E" w14:paraId="2FB654E9" w14:textId="77777777" w:rsidTr="00076476">
        <w:trPr>
          <w:trHeight w:val="261"/>
        </w:trPr>
        <w:tc>
          <w:tcPr>
            <w:tcW w:w="1680" w:type="pct"/>
            <w:tcBorders>
              <w:top w:val="single" w:sz="4" w:space="0" w:color="auto"/>
              <w:left w:val="single" w:sz="4" w:space="0" w:color="auto"/>
              <w:bottom w:val="single" w:sz="4" w:space="0" w:color="auto"/>
              <w:right w:val="single" w:sz="4" w:space="0" w:color="auto"/>
            </w:tcBorders>
            <w:hideMark/>
          </w:tcPr>
          <w:p w14:paraId="614C8743" w14:textId="77777777" w:rsidR="0048621A" w:rsidRPr="0089631E" w:rsidRDefault="0048621A">
            <w:pPr>
              <w:pStyle w:val="Titel"/>
              <w:jc w:val="left"/>
              <w:rPr>
                <w:noProof/>
                <w:szCs w:val="24"/>
              </w:rPr>
            </w:pPr>
            <w:r w:rsidRPr="0089631E">
              <w:rPr>
                <w:szCs w:val="24"/>
              </w:rPr>
              <w:t>Systemorganklasse</w:t>
            </w:r>
          </w:p>
        </w:tc>
        <w:tc>
          <w:tcPr>
            <w:tcW w:w="1994" w:type="pct"/>
            <w:tcBorders>
              <w:top w:val="single" w:sz="4" w:space="0" w:color="auto"/>
              <w:left w:val="single" w:sz="4" w:space="0" w:color="auto"/>
              <w:bottom w:val="single" w:sz="4" w:space="0" w:color="auto"/>
              <w:right w:val="single" w:sz="4" w:space="0" w:color="auto"/>
            </w:tcBorders>
            <w:hideMark/>
          </w:tcPr>
          <w:p w14:paraId="4FEE031C" w14:textId="77777777" w:rsidR="0048621A" w:rsidRPr="0089631E" w:rsidRDefault="0048621A">
            <w:pPr>
              <w:pStyle w:val="Titel"/>
              <w:jc w:val="left"/>
              <w:rPr>
                <w:noProof/>
                <w:szCs w:val="24"/>
              </w:rPr>
            </w:pPr>
            <w:r w:rsidRPr="0089631E">
              <w:rPr>
                <w:szCs w:val="24"/>
              </w:rPr>
              <w:t>Bivirkning</w:t>
            </w:r>
          </w:p>
        </w:tc>
        <w:tc>
          <w:tcPr>
            <w:tcW w:w="1325" w:type="pct"/>
            <w:tcBorders>
              <w:top w:val="single" w:sz="4" w:space="0" w:color="auto"/>
              <w:left w:val="single" w:sz="4" w:space="0" w:color="auto"/>
              <w:bottom w:val="single" w:sz="4" w:space="0" w:color="auto"/>
              <w:right w:val="single" w:sz="4" w:space="0" w:color="auto"/>
            </w:tcBorders>
            <w:hideMark/>
          </w:tcPr>
          <w:p w14:paraId="78FA26FB" w14:textId="77777777" w:rsidR="0048621A" w:rsidRPr="0089631E" w:rsidRDefault="0048621A">
            <w:pPr>
              <w:pStyle w:val="Titel"/>
              <w:jc w:val="left"/>
              <w:rPr>
                <w:noProof/>
                <w:szCs w:val="24"/>
              </w:rPr>
            </w:pPr>
            <w:r w:rsidRPr="0089631E">
              <w:rPr>
                <w:szCs w:val="24"/>
              </w:rPr>
              <w:t>Hyppighed</w:t>
            </w:r>
          </w:p>
        </w:tc>
      </w:tr>
      <w:tr w:rsidR="0048621A" w:rsidRPr="0089631E" w14:paraId="1E26C87E" w14:textId="77777777" w:rsidTr="00076476">
        <w:trPr>
          <w:trHeight w:val="261"/>
        </w:trPr>
        <w:tc>
          <w:tcPr>
            <w:tcW w:w="1680" w:type="pct"/>
            <w:tcBorders>
              <w:top w:val="single" w:sz="4" w:space="0" w:color="auto"/>
              <w:left w:val="single" w:sz="4" w:space="0" w:color="auto"/>
              <w:bottom w:val="single" w:sz="4" w:space="0" w:color="auto"/>
              <w:right w:val="single" w:sz="4" w:space="0" w:color="auto"/>
            </w:tcBorders>
            <w:hideMark/>
          </w:tcPr>
          <w:p w14:paraId="00E42D83" w14:textId="77777777" w:rsidR="0048621A" w:rsidRPr="0089631E" w:rsidRDefault="0048621A">
            <w:pPr>
              <w:pStyle w:val="Titel"/>
              <w:jc w:val="left"/>
              <w:rPr>
                <w:b w:val="0"/>
                <w:noProof/>
                <w:szCs w:val="24"/>
              </w:rPr>
            </w:pPr>
            <w:r w:rsidRPr="0089631E">
              <w:rPr>
                <w:b w:val="0"/>
                <w:bCs/>
                <w:iCs/>
                <w:szCs w:val="24"/>
              </w:rPr>
              <w:t>Blod og lymfesystem</w:t>
            </w:r>
          </w:p>
        </w:tc>
        <w:tc>
          <w:tcPr>
            <w:tcW w:w="1994" w:type="pct"/>
            <w:tcBorders>
              <w:top w:val="single" w:sz="4" w:space="0" w:color="auto"/>
              <w:left w:val="single" w:sz="4" w:space="0" w:color="auto"/>
              <w:bottom w:val="single" w:sz="4" w:space="0" w:color="auto"/>
              <w:right w:val="single" w:sz="4" w:space="0" w:color="auto"/>
            </w:tcBorders>
            <w:hideMark/>
          </w:tcPr>
          <w:p w14:paraId="4CB2BD47" w14:textId="77777777" w:rsidR="0048621A" w:rsidRPr="0089631E" w:rsidRDefault="0048621A">
            <w:pPr>
              <w:pStyle w:val="Titel"/>
              <w:jc w:val="left"/>
              <w:rPr>
                <w:b w:val="0"/>
                <w:noProof/>
                <w:szCs w:val="24"/>
              </w:rPr>
            </w:pPr>
            <w:proofErr w:type="spellStart"/>
            <w:r w:rsidRPr="0089631E">
              <w:rPr>
                <w:b w:val="0"/>
                <w:bCs/>
                <w:szCs w:val="24"/>
              </w:rPr>
              <w:t>hæmolytisk</w:t>
            </w:r>
            <w:proofErr w:type="spellEnd"/>
            <w:r w:rsidRPr="0089631E">
              <w:rPr>
                <w:b w:val="0"/>
                <w:bCs/>
                <w:szCs w:val="24"/>
              </w:rPr>
              <w:t xml:space="preserve"> anæmi</w:t>
            </w:r>
          </w:p>
        </w:tc>
        <w:tc>
          <w:tcPr>
            <w:tcW w:w="1325" w:type="pct"/>
            <w:tcBorders>
              <w:top w:val="single" w:sz="4" w:space="0" w:color="auto"/>
              <w:left w:val="single" w:sz="4" w:space="0" w:color="auto"/>
              <w:bottom w:val="single" w:sz="4" w:space="0" w:color="auto"/>
              <w:right w:val="single" w:sz="4" w:space="0" w:color="auto"/>
            </w:tcBorders>
            <w:hideMark/>
          </w:tcPr>
          <w:p w14:paraId="0014199A" w14:textId="77777777" w:rsidR="0048621A" w:rsidRPr="0089631E" w:rsidRDefault="0048621A">
            <w:pPr>
              <w:pStyle w:val="Titel"/>
              <w:jc w:val="left"/>
              <w:rPr>
                <w:b w:val="0"/>
                <w:noProof/>
                <w:szCs w:val="24"/>
              </w:rPr>
            </w:pPr>
            <w:r w:rsidRPr="0089631E">
              <w:rPr>
                <w:b w:val="0"/>
                <w:szCs w:val="24"/>
              </w:rPr>
              <w:t>Sjælden</w:t>
            </w:r>
          </w:p>
        </w:tc>
      </w:tr>
      <w:tr w:rsidR="0048621A" w:rsidRPr="0089631E" w14:paraId="472D36D1" w14:textId="77777777" w:rsidTr="00076476">
        <w:trPr>
          <w:trHeight w:val="261"/>
        </w:trPr>
        <w:tc>
          <w:tcPr>
            <w:tcW w:w="1680" w:type="pct"/>
            <w:tcBorders>
              <w:top w:val="single" w:sz="4" w:space="0" w:color="auto"/>
              <w:left w:val="single" w:sz="4" w:space="0" w:color="auto"/>
              <w:bottom w:val="single" w:sz="4" w:space="0" w:color="auto"/>
              <w:right w:val="single" w:sz="4" w:space="0" w:color="auto"/>
            </w:tcBorders>
            <w:hideMark/>
          </w:tcPr>
          <w:p w14:paraId="50E64F4F" w14:textId="77777777" w:rsidR="0048621A" w:rsidRPr="0089631E" w:rsidRDefault="0048621A">
            <w:pPr>
              <w:pStyle w:val="Titel"/>
              <w:jc w:val="left"/>
              <w:rPr>
                <w:b w:val="0"/>
                <w:noProof/>
                <w:szCs w:val="24"/>
              </w:rPr>
            </w:pPr>
            <w:r w:rsidRPr="0089631E">
              <w:rPr>
                <w:b w:val="0"/>
                <w:szCs w:val="24"/>
              </w:rPr>
              <w:t xml:space="preserve">Immunsystemet </w:t>
            </w:r>
          </w:p>
        </w:tc>
        <w:tc>
          <w:tcPr>
            <w:tcW w:w="1994" w:type="pct"/>
            <w:tcBorders>
              <w:top w:val="single" w:sz="4" w:space="0" w:color="auto"/>
              <w:left w:val="single" w:sz="4" w:space="0" w:color="auto"/>
              <w:bottom w:val="single" w:sz="4" w:space="0" w:color="auto"/>
              <w:right w:val="single" w:sz="4" w:space="0" w:color="auto"/>
            </w:tcBorders>
            <w:hideMark/>
          </w:tcPr>
          <w:p w14:paraId="2E7D6065" w14:textId="77777777" w:rsidR="0048621A" w:rsidRPr="0089631E" w:rsidRDefault="0048621A">
            <w:pPr>
              <w:pStyle w:val="Titel"/>
              <w:jc w:val="left"/>
              <w:rPr>
                <w:b w:val="0"/>
                <w:noProof/>
                <w:szCs w:val="24"/>
              </w:rPr>
            </w:pPr>
            <w:r w:rsidRPr="0089631E">
              <w:rPr>
                <w:b w:val="0"/>
                <w:szCs w:val="24"/>
              </w:rPr>
              <w:t>overfølsomhed</w:t>
            </w:r>
          </w:p>
        </w:tc>
        <w:tc>
          <w:tcPr>
            <w:tcW w:w="1325" w:type="pct"/>
            <w:tcBorders>
              <w:top w:val="single" w:sz="4" w:space="0" w:color="auto"/>
              <w:left w:val="single" w:sz="4" w:space="0" w:color="auto"/>
              <w:bottom w:val="single" w:sz="4" w:space="0" w:color="auto"/>
              <w:right w:val="single" w:sz="4" w:space="0" w:color="auto"/>
            </w:tcBorders>
            <w:hideMark/>
          </w:tcPr>
          <w:p w14:paraId="1AE7BC3D"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143C5A3D" w14:textId="77777777" w:rsidTr="00076476">
        <w:trPr>
          <w:trHeight w:val="219"/>
        </w:trPr>
        <w:tc>
          <w:tcPr>
            <w:tcW w:w="1680" w:type="pct"/>
            <w:vMerge w:val="restart"/>
            <w:tcBorders>
              <w:top w:val="single" w:sz="4" w:space="0" w:color="auto"/>
              <w:left w:val="single" w:sz="4" w:space="0" w:color="auto"/>
              <w:bottom w:val="single" w:sz="4" w:space="0" w:color="auto"/>
              <w:right w:val="single" w:sz="4" w:space="0" w:color="auto"/>
            </w:tcBorders>
            <w:hideMark/>
          </w:tcPr>
          <w:p w14:paraId="2C9CD4C8" w14:textId="77777777" w:rsidR="0048621A" w:rsidRPr="0089631E" w:rsidRDefault="0048621A">
            <w:pPr>
              <w:pStyle w:val="Titel"/>
              <w:jc w:val="left"/>
              <w:rPr>
                <w:b w:val="0"/>
                <w:noProof/>
                <w:szCs w:val="24"/>
              </w:rPr>
            </w:pPr>
            <w:r w:rsidRPr="0089631E">
              <w:rPr>
                <w:b w:val="0"/>
                <w:szCs w:val="24"/>
              </w:rPr>
              <w:t xml:space="preserve">Psykiske forstyrrelser </w:t>
            </w:r>
          </w:p>
        </w:tc>
        <w:tc>
          <w:tcPr>
            <w:tcW w:w="1994" w:type="pct"/>
            <w:tcBorders>
              <w:top w:val="single" w:sz="4" w:space="0" w:color="auto"/>
              <w:left w:val="single" w:sz="4" w:space="0" w:color="auto"/>
              <w:bottom w:val="single" w:sz="4" w:space="0" w:color="auto"/>
              <w:right w:val="single" w:sz="4" w:space="0" w:color="auto"/>
            </w:tcBorders>
            <w:hideMark/>
          </w:tcPr>
          <w:p w14:paraId="179BC2DE" w14:textId="77777777" w:rsidR="0048621A" w:rsidRPr="0089631E" w:rsidRDefault="0048621A">
            <w:pPr>
              <w:pStyle w:val="Titel"/>
              <w:jc w:val="left"/>
              <w:rPr>
                <w:b w:val="0"/>
                <w:noProof/>
                <w:szCs w:val="24"/>
              </w:rPr>
            </w:pPr>
            <w:r w:rsidRPr="0089631E">
              <w:rPr>
                <w:b w:val="0"/>
                <w:szCs w:val="24"/>
              </w:rPr>
              <w:t>forvirring</w:t>
            </w:r>
          </w:p>
        </w:tc>
        <w:tc>
          <w:tcPr>
            <w:tcW w:w="1325" w:type="pct"/>
            <w:tcBorders>
              <w:top w:val="single" w:sz="4" w:space="0" w:color="auto"/>
              <w:left w:val="single" w:sz="4" w:space="0" w:color="auto"/>
              <w:bottom w:val="single" w:sz="4" w:space="0" w:color="auto"/>
              <w:right w:val="single" w:sz="4" w:space="0" w:color="auto"/>
            </w:tcBorders>
            <w:hideMark/>
          </w:tcPr>
          <w:p w14:paraId="4D8F79B1" w14:textId="77777777" w:rsidR="0048621A" w:rsidRPr="0089631E" w:rsidRDefault="0048621A">
            <w:pPr>
              <w:pStyle w:val="Titel"/>
              <w:jc w:val="left"/>
              <w:rPr>
                <w:b w:val="0"/>
                <w:noProof/>
                <w:szCs w:val="24"/>
              </w:rPr>
            </w:pPr>
            <w:r w:rsidRPr="0089631E">
              <w:rPr>
                <w:b w:val="0"/>
                <w:szCs w:val="24"/>
              </w:rPr>
              <w:t>Ikke almindelig</w:t>
            </w:r>
          </w:p>
        </w:tc>
      </w:tr>
      <w:tr w:rsidR="0048621A" w:rsidRPr="0089631E" w14:paraId="4510822E" w14:textId="77777777" w:rsidTr="00076476">
        <w:trPr>
          <w:trHeight w:val="217"/>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6A5E8EF4"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489F1AB4" w14:textId="77777777" w:rsidR="0048621A" w:rsidRPr="0089631E" w:rsidRDefault="0048621A">
            <w:pPr>
              <w:pStyle w:val="Titel"/>
              <w:jc w:val="left"/>
              <w:rPr>
                <w:b w:val="0"/>
                <w:noProof/>
                <w:szCs w:val="24"/>
              </w:rPr>
            </w:pPr>
            <w:r w:rsidRPr="0089631E">
              <w:rPr>
                <w:b w:val="0"/>
                <w:szCs w:val="24"/>
              </w:rPr>
              <w:t>uro</w:t>
            </w:r>
          </w:p>
        </w:tc>
        <w:tc>
          <w:tcPr>
            <w:tcW w:w="1325" w:type="pct"/>
            <w:tcBorders>
              <w:top w:val="single" w:sz="4" w:space="0" w:color="auto"/>
              <w:left w:val="single" w:sz="4" w:space="0" w:color="auto"/>
              <w:bottom w:val="single" w:sz="4" w:space="0" w:color="auto"/>
              <w:right w:val="single" w:sz="4" w:space="0" w:color="auto"/>
            </w:tcBorders>
            <w:hideMark/>
          </w:tcPr>
          <w:p w14:paraId="1AD05318" w14:textId="77777777" w:rsidR="0048621A" w:rsidRPr="0089631E" w:rsidRDefault="0048621A">
            <w:pPr>
              <w:pStyle w:val="Titel"/>
              <w:jc w:val="left"/>
              <w:rPr>
                <w:b w:val="0"/>
                <w:noProof/>
                <w:szCs w:val="24"/>
              </w:rPr>
            </w:pPr>
            <w:r w:rsidRPr="0089631E">
              <w:rPr>
                <w:b w:val="0"/>
                <w:szCs w:val="24"/>
              </w:rPr>
              <w:t>Sjælden</w:t>
            </w:r>
          </w:p>
        </w:tc>
      </w:tr>
      <w:tr w:rsidR="0048621A" w:rsidRPr="0089631E" w14:paraId="7E03BA50" w14:textId="77777777" w:rsidTr="00076476">
        <w:trPr>
          <w:trHeight w:val="217"/>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255EFCF9"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481BA344" w14:textId="77777777" w:rsidR="0048621A" w:rsidRPr="0089631E" w:rsidRDefault="0048621A">
            <w:pPr>
              <w:pStyle w:val="Titel"/>
              <w:jc w:val="left"/>
              <w:rPr>
                <w:b w:val="0"/>
                <w:noProof/>
                <w:szCs w:val="24"/>
              </w:rPr>
            </w:pPr>
            <w:r w:rsidRPr="0089631E">
              <w:rPr>
                <w:b w:val="0"/>
                <w:szCs w:val="24"/>
              </w:rPr>
              <w:t xml:space="preserve">angst, desorientering, </w:t>
            </w:r>
            <w:proofErr w:type="spellStart"/>
            <w:r w:rsidRPr="0089631E">
              <w:rPr>
                <w:b w:val="0"/>
                <w:szCs w:val="24"/>
              </w:rPr>
              <w:t>insomni</w:t>
            </w:r>
            <w:proofErr w:type="spellEnd"/>
            <w:r w:rsidRPr="0089631E">
              <w:rPr>
                <w:b w:val="0"/>
                <w:szCs w:val="24"/>
              </w:rPr>
              <w:t>, irritabilitet, mareridt</w:t>
            </w:r>
          </w:p>
        </w:tc>
        <w:tc>
          <w:tcPr>
            <w:tcW w:w="1325" w:type="pct"/>
            <w:tcBorders>
              <w:top w:val="single" w:sz="4" w:space="0" w:color="auto"/>
              <w:left w:val="single" w:sz="4" w:space="0" w:color="auto"/>
              <w:bottom w:val="single" w:sz="4" w:space="0" w:color="auto"/>
              <w:right w:val="single" w:sz="4" w:space="0" w:color="auto"/>
            </w:tcBorders>
            <w:hideMark/>
          </w:tcPr>
          <w:p w14:paraId="67533421"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1EC90D78" w14:textId="77777777" w:rsidTr="00076476">
        <w:trPr>
          <w:trHeight w:val="261"/>
        </w:trPr>
        <w:tc>
          <w:tcPr>
            <w:tcW w:w="1680" w:type="pct"/>
            <w:vMerge w:val="restart"/>
            <w:tcBorders>
              <w:top w:val="single" w:sz="4" w:space="0" w:color="auto"/>
              <w:left w:val="single" w:sz="4" w:space="0" w:color="auto"/>
              <w:bottom w:val="single" w:sz="4" w:space="0" w:color="auto"/>
              <w:right w:val="single" w:sz="4" w:space="0" w:color="auto"/>
            </w:tcBorders>
            <w:hideMark/>
          </w:tcPr>
          <w:p w14:paraId="700F9794" w14:textId="77777777" w:rsidR="0048621A" w:rsidRPr="0089631E" w:rsidRDefault="0048621A">
            <w:pPr>
              <w:pStyle w:val="Titel"/>
              <w:jc w:val="left"/>
              <w:rPr>
                <w:b w:val="0"/>
                <w:noProof/>
                <w:szCs w:val="24"/>
              </w:rPr>
            </w:pPr>
            <w:r w:rsidRPr="0089631E">
              <w:rPr>
                <w:b w:val="0"/>
                <w:szCs w:val="24"/>
              </w:rPr>
              <w:t xml:space="preserve">Nervesystemet </w:t>
            </w:r>
          </w:p>
        </w:tc>
        <w:tc>
          <w:tcPr>
            <w:tcW w:w="1994" w:type="pct"/>
            <w:tcBorders>
              <w:top w:val="single" w:sz="4" w:space="0" w:color="auto"/>
              <w:left w:val="single" w:sz="4" w:space="0" w:color="auto"/>
              <w:bottom w:val="single" w:sz="4" w:space="0" w:color="auto"/>
              <w:right w:val="single" w:sz="4" w:space="0" w:color="auto"/>
            </w:tcBorders>
          </w:tcPr>
          <w:p w14:paraId="571AE6F1" w14:textId="2132AFCA" w:rsidR="0048621A" w:rsidRPr="0089631E" w:rsidRDefault="0048621A" w:rsidP="00744908">
            <w:pPr>
              <w:pStyle w:val="Titel"/>
              <w:jc w:val="left"/>
              <w:rPr>
                <w:b w:val="0"/>
                <w:noProof/>
                <w:szCs w:val="24"/>
              </w:rPr>
            </w:pPr>
            <w:r w:rsidRPr="0089631E">
              <w:rPr>
                <w:b w:val="0"/>
                <w:szCs w:val="24"/>
              </w:rPr>
              <w:t>døsighed</w:t>
            </w:r>
          </w:p>
        </w:tc>
        <w:tc>
          <w:tcPr>
            <w:tcW w:w="1325" w:type="pct"/>
            <w:tcBorders>
              <w:top w:val="single" w:sz="4" w:space="0" w:color="auto"/>
              <w:left w:val="single" w:sz="4" w:space="0" w:color="auto"/>
              <w:bottom w:val="single" w:sz="4" w:space="0" w:color="auto"/>
              <w:right w:val="single" w:sz="4" w:space="0" w:color="auto"/>
            </w:tcBorders>
            <w:hideMark/>
          </w:tcPr>
          <w:p w14:paraId="3E1AA216" w14:textId="77777777" w:rsidR="0048621A" w:rsidRPr="0089631E" w:rsidRDefault="0048621A">
            <w:pPr>
              <w:pStyle w:val="Titel"/>
              <w:jc w:val="left"/>
              <w:rPr>
                <w:b w:val="0"/>
                <w:noProof/>
                <w:szCs w:val="24"/>
              </w:rPr>
            </w:pPr>
            <w:r w:rsidRPr="0089631E">
              <w:rPr>
                <w:b w:val="0"/>
                <w:szCs w:val="24"/>
              </w:rPr>
              <w:t>Meget almindelig</w:t>
            </w:r>
          </w:p>
        </w:tc>
      </w:tr>
      <w:tr w:rsidR="0048621A" w:rsidRPr="0089631E" w14:paraId="34D4FBC0" w14:textId="77777777" w:rsidTr="00076476">
        <w:trPr>
          <w:trHeight w:val="261"/>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22168884"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557FF436" w14:textId="77777777" w:rsidR="0048621A" w:rsidRPr="0089631E" w:rsidRDefault="0048621A">
            <w:pPr>
              <w:pStyle w:val="Titel"/>
              <w:jc w:val="left"/>
              <w:rPr>
                <w:b w:val="0"/>
                <w:noProof/>
                <w:szCs w:val="24"/>
              </w:rPr>
            </w:pPr>
            <w:r w:rsidRPr="0089631E">
              <w:rPr>
                <w:b w:val="0"/>
                <w:szCs w:val="24"/>
              </w:rPr>
              <w:t>svimmelhed</w:t>
            </w:r>
          </w:p>
        </w:tc>
        <w:tc>
          <w:tcPr>
            <w:tcW w:w="1325" w:type="pct"/>
            <w:tcBorders>
              <w:top w:val="single" w:sz="4" w:space="0" w:color="auto"/>
              <w:left w:val="single" w:sz="4" w:space="0" w:color="auto"/>
              <w:bottom w:val="single" w:sz="4" w:space="0" w:color="auto"/>
              <w:right w:val="single" w:sz="4" w:space="0" w:color="auto"/>
            </w:tcBorders>
            <w:hideMark/>
          </w:tcPr>
          <w:p w14:paraId="28C8A7AA" w14:textId="77777777" w:rsidR="0048621A" w:rsidRPr="0089631E" w:rsidRDefault="0048621A">
            <w:pPr>
              <w:pStyle w:val="Titel"/>
              <w:jc w:val="left"/>
              <w:rPr>
                <w:b w:val="0"/>
                <w:noProof/>
                <w:szCs w:val="24"/>
              </w:rPr>
            </w:pPr>
            <w:r w:rsidRPr="0089631E">
              <w:rPr>
                <w:b w:val="0"/>
                <w:szCs w:val="24"/>
              </w:rPr>
              <w:t>Almindelig</w:t>
            </w:r>
          </w:p>
        </w:tc>
      </w:tr>
      <w:tr w:rsidR="0048621A" w:rsidRPr="0089631E" w14:paraId="7067C095" w14:textId="77777777" w:rsidTr="00076476">
        <w:trPr>
          <w:trHeight w:val="261"/>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69CACA2B"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23BAB029" w14:textId="77777777" w:rsidR="0048621A" w:rsidRPr="0089631E" w:rsidRDefault="0048621A">
            <w:pPr>
              <w:pStyle w:val="Titel"/>
              <w:jc w:val="left"/>
              <w:rPr>
                <w:b w:val="0"/>
                <w:noProof/>
                <w:szCs w:val="24"/>
              </w:rPr>
            </w:pPr>
            <w:proofErr w:type="spellStart"/>
            <w:r w:rsidRPr="0089631E">
              <w:rPr>
                <w:b w:val="0"/>
                <w:szCs w:val="24"/>
              </w:rPr>
              <w:t>tremor</w:t>
            </w:r>
            <w:proofErr w:type="spellEnd"/>
            <w:r w:rsidRPr="0089631E">
              <w:rPr>
                <w:b w:val="0"/>
                <w:szCs w:val="24"/>
              </w:rPr>
              <w:t>, kramper</w:t>
            </w:r>
          </w:p>
        </w:tc>
        <w:tc>
          <w:tcPr>
            <w:tcW w:w="1325" w:type="pct"/>
            <w:tcBorders>
              <w:top w:val="single" w:sz="4" w:space="0" w:color="auto"/>
              <w:left w:val="single" w:sz="4" w:space="0" w:color="auto"/>
              <w:bottom w:val="single" w:sz="4" w:space="0" w:color="auto"/>
              <w:right w:val="single" w:sz="4" w:space="0" w:color="auto"/>
            </w:tcBorders>
            <w:hideMark/>
          </w:tcPr>
          <w:p w14:paraId="4C04D4E2" w14:textId="77777777" w:rsidR="0048621A" w:rsidRPr="0089631E" w:rsidRDefault="0048621A">
            <w:pPr>
              <w:pStyle w:val="Titel"/>
              <w:jc w:val="left"/>
              <w:rPr>
                <w:b w:val="0"/>
                <w:noProof/>
                <w:szCs w:val="24"/>
              </w:rPr>
            </w:pPr>
            <w:r w:rsidRPr="0089631E">
              <w:rPr>
                <w:b w:val="0"/>
                <w:szCs w:val="24"/>
              </w:rPr>
              <w:t>Sjælden</w:t>
            </w:r>
          </w:p>
        </w:tc>
      </w:tr>
      <w:tr w:rsidR="0048621A" w:rsidRPr="0089631E" w14:paraId="4B36DE54" w14:textId="77777777" w:rsidTr="00076476">
        <w:trPr>
          <w:trHeight w:val="261"/>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57541634"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4FE4AF51" w14:textId="77777777" w:rsidR="0048621A" w:rsidRPr="0089631E" w:rsidRDefault="0048621A">
            <w:pPr>
              <w:pStyle w:val="Titel"/>
              <w:jc w:val="left"/>
              <w:rPr>
                <w:b w:val="0"/>
                <w:noProof/>
                <w:szCs w:val="24"/>
              </w:rPr>
            </w:pPr>
            <w:r w:rsidRPr="0089631E">
              <w:rPr>
                <w:b w:val="0"/>
                <w:szCs w:val="24"/>
              </w:rPr>
              <w:t xml:space="preserve">hovedpine, migræne, </w:t>
            </w:r>
            <w:proofErr w:type="spellStart"/>
            <w:r w:rsidRPr="0089631E">
              <w:rPr>
                <w:b w:val="0"/>
                <w:szCs w:val="24"/>
              </w:rPr>
              <w:t>paræstesi</w:t>
            </w:r>
            <w:proofErr w:type="spellEnd"/>
            <w:r w:rsidRPr="0089631E">
              <w:rPr>
                <w:b w:val="0"/>
                <w:szCs w:val="24"/>
              </w:rPr>
              <w:t xml:space="preserve">, </w:t>
            </w:r>
            <w:proofErr w:type="spellStart"/>
            <w:r w:rsidRPr="0089631E">
              <w:rPr>
                <w:b w:val="0"/>
                <w:szCs w:val="24"/>
              </w:rPr>
              <w:t>psykomotorisk</w:t>
            </w:r>
            <w:proofErr w:type="spellEnd"/>
            <w:r w:rsidRPr="0089631E">
              <w:rPr>
                <w:b w:val="0"/>
                <w:szCs w:val="24"/>
              </w:rPr>
              <w:t xml:space="preserve"> hyperaktivitet</w:t>
            </w:r>
          </w:p>
        </w:tc>
        <w:tc>
          <w:tcPr>
            <w:tcW w:w="1325" w:type="pct"/>
            <w:tcBorders>
              <w:top w:val="single" w:sz="4" w:space="0" w:color="auto"/>
              <w:left w:val="single" w:sz="4" w:space="0" w:color="auto"/>
              <w:bottom w:val="single" w:sz="4" w:space="0" w:color="auto"/>
              <w:right w:val="single" w:sz="4" w:space="0" w:color="auto"/>
            </w:tcBorders>
            <w:hideMark/>
          </w:tcPr>
          <w:p w14:paraId="13269BE2"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1223F69C" w14:textId="77777777" w:rsidTr="00076476">
        <w:trPr>
          <w:trHeight w:val="243"/>
        </w:trPr>
        <w:tc>
          <w:tcPr>
            <w:tcW w:w="1680" w:type="pct"/>
            <w:vMerge w:val="restart"/>
            <w:tcBorders>
              <w:top w:val="single" w:sz="4" w:space="0" w:color="auto"/>
              <w:left w:val="single" w:sz="4" w:space="0" w:color="auto"/>
              <w:bottom w:val="single" w:sz="4" w:space="0" w:color="auto"/>
              <w:right w:val="single" w:sz="4" w:space="0" w:color="auto"/>
            </w:tcBorders>
            <w:hideMark/>
          </w:tcPr>
          <w:p w14:paraId="12FC2352" w14:textId="77777777" w:rsidR="0048621A" w:rsidRPr="0089631E" w:rsidRDefault="0048621A">
            <w:pPr>
              <w:pStyle w:val="Titel"/>
              <w:jc w:val="left"/>
              <w:rPr>
                <w:b w:val="0"/>
                <w:noProof/>
                <w:szCs w:val="24"/>
              </w:rPr>
            </w:pPr>
            <w:r w:rsidRPr="0089631E">
              <w:rPr>
                <w:b w:val="0"/>
                <w:szCs w:val="24"/>
              </w:rPr>
              <w:t xml:space="preserve">Øjne </w:t>
            </w:r>
          </w:p>
        </w:tc>
        <w:tc>
          <w:tcPr>
            <w:tcW w:w="1994" w:type="pct"/>
            <w:tcBorders>
              <w:top w:val="single" w:sz="4" w:space="0" w:color="auto"/>
              <w:left w:val="single" w:sz="4" w:space="0" w:color="auto"/>
              <w:bottom w:val="single" w:sz="4" w:space="0" w:color="auto"/>
              <w:right w:val="single" w:sz="4" w:space="0" w:color="auto"/>
            </w:tcBorders>
            <w:hideMark/>
          </w:tcPr>
          <w:p w14:paraId="6DE3BC5B" w14:textId="77777777" w:rsidR="0048621A" w:rsidRPr="0089631E" w:rsidRDefault="0048621A">
            <w:pPr>
              <w:pStyle w:val="Titel"/>
              <w:jc w:val="left"/>
              <w:rPr>
                <w:b w:val="0"/>
                <w:noProof/>
                <w:szCs w:val="24"/>
              </w:rPr>
            </w:pPr>
            <w:proofErr w:type="spellStart"/>
            <w:r w:rsidRPr="0089631E">
              <w:rPr>
                <w:b w:val="0"/>
                <w:bCs/>
                <w:szCs w:val="24"/>
              </w:rPr>
              <w:t>diplopi</w:t>
            </w:r>
            <w:proofErr w:type="spellEnd"/>
            <w:r w:rsidRPr="0089631E">
              <w:rPr>
                <w:b w:val="0"/>
                <w:bCs/>
                <w:szCs w:val="24"/>
              </w:rPr>
              <w:t xml:space="preserve">, </w:t>
            </w:r>
            <w:proofErr w:type="spellStart"/>
            <w:r w:rsidRPr="0089631E">
              <w:rPr>
                <w:b w:val="0"/>
                <w:bCs/>
                <w:szCs w:val="24"/>
              </w:rPr>
              <w:t>glaukom</w:t>
            </w:r>
            <w:proofErr w:type="spellEnd"/>
          </w:p>
        </w:tc>
        <w:tc>
          <w:tcPr>
            <w:tcW w:w="1325" w:type="pct"/>
            <w:tcBorders>
              <w:top w:val="single" w:sz="4" w:space="0" w:color="auto"/>
              <w:left w:val="single" w:sz="4" w:space="0" w:color="auto"/>
              <w:bottom w:val="single" w:sz="4" w:space="0" w:color="auto"/>
              <w:right w:val="single" w:sz="4" w:space="0" w:color="auto"/>
            </w:tcBorders>
            <w:hideMark/>
          </w:tcPr>
          <w:p w14:paraId="54BDD868" w14:textId="77777777" w:rsidR="0048621A" w:rsidRPr="0089631E" w:rsidRDefault="0048621A">
            <w:pPr>
              <w:pStyle w:val="Titel"/>
              <w:jc w:val="left"/>
              <w:rPr>
                <w:b w:val="0"/>
                <w:noProof/>
                <w:szCs w:val="24"/>
              </w:rPr>
            </w:pPr>
            <w:r w:rsidRPr="0089631E">
              <w:rPr>
                <w:b w:val="0"/>
                <w:szCs w:val="24"/>
              </w:rPr>
              <w:t>Ikke almindelig</w:t>
            </w:r>
          </w:p>
        </w:tc>
      </w:tr>
      <w:tr w:rsidR="0048621A" w:rsidRPr="0089631E" w14:paraId="3ADDA24E" w14:textId="77777777" w:rsidTr="00076476">
        <w:trPr>
          <w:trHeight w:val="243"/>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08B87692"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27A985D9" w14:textId="77777777" w:rsidR="0048621A" w:rsidRPr="0089631E" w:rsidRDefault="0048621A">
            <w:pPr>
              <w:pStyle w:val="Titel"/>
              <w:jc w:val="left"/>
              <w:rPr>
                <w:b w:val="0"/>
                <w:noProof/>
                <w:szCs w:val="24"/>
              </w:rPr>
            </w:pPr>
            <w:r w:rsidRPr="0089631E">
              <w:rPr>
                <w:b w:val="0"/>
                <w:szCs w:val="24"/>
              </w:rPr>
              <w:t>sløret syn, synsnedsættelse</w:t>
            </w:r>
          </w:p>
        </w:tc>
        <w:tc>
          <w:tcPr>
            <w:tcW w:w="1325" w:type="pct"/>
            <w:tcBorders>
              <w:top w:val="single" w:sz="4" w:space="0" w:color="auto"/>
              <w:left w:val="single" w:sz="4" w:space="0" w:color="auto"/>
              <w:bottom w:val="single" w:sz="4" w:space="0" w:color="auto"/>
              <w:right w:val="single" w:sz="4" w:space="0" w:color="auto"/>
            </w:tcBorders>
            <w:hideMark/>
          </w:tcPr>
          <w:p w14:paraId="2D80A243"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71E81EFC" w14:textId="77777777" w:rsidTr="00076476">
        <w:trPr>
          <w:trHeight w:val="261"/>
        </w:trPr>
        <w:tc>
          <w:tcPr>
            <w:tcW w:w="1680" w:type="pct"/>
            <w:vMerge w:val="restart"/>
            <w:tcBorders>
              <w:top w:val="single" w:sz="4" w:space="0" w:color="auto"/>
              <w:left w:val="single" w:sz="4" w:space="0" w:color="auto"/>
              <w:bottom w:val="single" w:sz="4" w:space="0" w:color="auto"/>
              <w:right w:val="single" w:sz="4" w:space="0" w:color="auto"/>
            </w:tcBorders>
            <w:hideMark/>
          </w:tcPr>
          <w:p w14:paraId="63A86C7D" w14:textId="77777777" w:rsidR="0048621A" w:rsidRPr="0089631E" w:rsidRDefault="0048621A">
            <w:pPr>
              <w:pStyle w:val="Titel"/>
              <w:jc w:val="left"/>
              <w:rPr>
                <w:b w:val="0"/>
                <w:noProof/>
                <w:szCs w:val="24"/>
              </w:rPr>
            </w:pPr>
            <w:r w:rsidRPr="0089631E">
              <w:rPr>
                <w:b w:val="0"/>
                <w:szCs w:val="24"/>
              </w:rPr>
              <w:t xml:space="preserve">Øre og labyrint </w:t>
            </w:r>
          </w:p>
        </w:tc>
        <w:tc>
          <w:tcPr>
            <w:tcW w:w="1994" w:type="pct"/>
            <w:tcBorders>
              <w:top w:val="single" w:sz="4" w:space="0" w:color="auto"/>
              <w:left w:val="single" w:sz="4" w:space="0" w:color="auto"/>
              <w:bottom w:val="single" w:sz="4" w:space="0" w:color="auto"/>
              <w:right w:val="single" w:sz="4" w:space="0" w:color="auto"/>
            </w:tcBorders>
            <w:hideMark/>
          </w:tcPr>
          <w:p w14:paraId="4F56F5AA" w14:textId="77777777" w:rsidR="0048621A" w:rsidRPr="0089631E" w:rsidRDefault="0048621A">
            <w:pPr>
              <w:pStyle w:val="Titel"/>
              <w:jc w:val="left"/>
              <w:rPr>
                <w:b w:val="0"/>
                <w:noProof/>
                <w:szCs w:val="24"/>
              </w:rPr>
            </w:pPr>
            <w:r w:rsidRPr="0089631E">
              <w:rPr>
                <w:b w:val="0"/>
                <w:bCs/>
                <w:szCs w:val="24"/>
              </w:rPr>
              <w:t>tinnitus</w:t>
            </w:r>
          </w:p>
        </w:tc>
        <w:tc>
          <w:tcPr>
            <w:tcW w:w="1325" w:type="pct"/>
            <w:tcBorders>
              <w:top w:val="single" w:sz="4" w:space="0" w:color="auto"/>
              <w:left w:val="single" w:sz="4" w:space="0" w:color="auto"/>
              <w:bottom w:val="single" w:sz="4" w:space="0" w:color="auto"/>
              <w:right w:val="single" w:sz="4" w:space="0" w:color="auto"/>
            </w:tcBorders>
            <w:hideMark/>
          </w:tcPr>
          <w:p w14:paraId="561B5712" w14:textId="77777777" w:rsidR="0048621A" w:rsidRPr="0089631E" w:rsidRDefault="0048621A">
            <w:pPr>
              <w:pStyle w:val="Titel"/>
              <w:jc w:val="left"/>
              <w:rPr>
                <w:b w:val="0"/>
                <w:noProof/>
                <w:szCs w:val="24"/>
              </w:rPr>
            </w:pPr>
            <w:r w:rsidRPr="0089631E">
              <w:rPr>
                <w:b w:val="0"/>
                <w:bCs/>
                <w:szCs w:val="24"/>
              </w:rPr>
              <w:t>Ikke almindelig</w:t>
            </w:r>
          </w:p>
        </w:tc>
      </w:tr>
      <w:tr w:rsidR="0048621A" w:rsidRPr="0089631E" w14:paraId="3185F637" w14:textId="77777777" w:rsidTr="00076476">
        <w:trPr>
          <w:trHeight w:val="261"/>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70F99464"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31BEC16E" w14:textId="77777777" w:rsidR="0048621A" w:rsidRPr="0089631E" w:rsidRDefault="0048621A">
            <w:pPr>
              <w:pStyle w:val="Titel"/>
              <w:jc w:val="left"/>
              <w:rPr>
                <w:b w:val="0"/>
                <w:noProof/>
                <w:szCs w:val="24"/>
              </w:rPr>
            </w:pPr>
            <w:r w:rsidRPr="0089631E">
              <w:rPr>
                <w:b w:val="0"/>
                <w:szCs w:val="24"/>
              </w:rPr>
              <w:t>svimmelhed</w:t>
            </w:r>
          </w:p>
        </w:tc>
        <w:tc>
          <w:tcPr>
            <w:tcW w:w="1325" w:type="pct"/>
            <w:tcBorders>
              <w:top w:val="single" w:sz="4" w:space="0" w:color="auto"/>
              <w:left w:val="single" w:sz="4" w:space="0" w:color="auto"/>
              <w:bottom w:val="single" w:sz="4" w:space="0" w:color="auto"/>
              <w:right w:val="single" w:sz="4" w:space="0" w:color="auto"/>
            </w:tcBorders>
            <w:hideMark/>
          </w:tcPr>
          <w:p w14:paraId="7E0F7199"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7E87FA6E" w14:textId="77777777" w:rsidTr="00076476">
        <w:trPr>
          <w:trHeight w:val="261"/>
        </w:trPr>
        <w:tc>
          <w:tcPr>
            <w:tcW w:w="1680" w:type="pct"/>
            <w:tcBorders>
              <w:top w:val="single" w:sz="4" w:space="0" w:color="auto"/>
              <w:left w:val="single" w:sz="4" w:space="0" w:color="auto"/>
              <w:bottom w:val="single" w:sz="4" w:space="0" w:color="auto"/>
              <w:right w:val="single" w:sz="4" w:space="0" w:color="auto"/>
            </w:tcBorders>
            <w:hideMark/>
          </w:tcPr>
          <w:p w14:paraId="7B436ABA" w14:textId="77777777" w:rsidR="0048621A" w:rsidRPr="0089631E" w:rsidRDefault="0048621A">
            <w:pPr>
              <w:pStyle w:val="Titel"/>
              <w:jc w:val="left"/>
              <w:rPr>
                <w:b w:val="0"/>
                <w:noProof/>
                <w:szCs w:val="24"/>
              </w:rPr>
            </w:pPr>
            <w:r w:rsidRPr="0089631E">
              <w:rPr>
                <w:b w:val="0"/>
                <w:szCs w:val="24"/>
              </w:rPr>
              <w:t xml:space="preserve">Hjerte </w:t>
            </w:r>
          </w:p>
        </w:tc>
        <w:tc>
          <w:tcPr>
            <w:tcW w:w="1994" w:type="pct"/>
            <w:tcBorders>
              <w:top w:val="single" w:sz="4" w:space="0" w:color="auto"/>
              <w:left w:val="single" w:sz="4" w:space="0" w:color="auto"/>
              <w:bottom w:val="single" w:sz="4" w:space="0" w:color="auto"/>
              <w:right w:val="single" w:sz="4" w:space="0" w:color="auto"/>
            </w:tcBorders>
            <w:hideMark/>
          </w:tcPr>
          <w:p w14:paraId="64625E19" w14:textId="77777777" w:rsidR="0048621A" w:rsidRPr="0089631E" w:rsidRDefault="0048621A">
            <w:pPr>
              <w:pStyle w:val="Titel"/>
              <w:jc w:val="left"/>
              <w:rPr>
                <w:b w:val="0"/>
                <w:noProof/>
                <w:szCs w:val="24"/>
              </w:rPr>
            </w:pPr>
            <w:proofErr w:type="spellStart"/>
            <w:r w:rsidRPr="0089631E">
              <w:rPr>
                <w:b w:val="0"/>
                <w:szCs w:val="24"/>
              </w:rPr>
              <w:t>palpitation</w:t>
            </w:r>
            <w:proofErr w:type="spellEnd"/>
            <w:r w:rsidRPr="0089631E">
              <w:rPr>
                <w:b w:val="0"/>
                <w:szCs w:val="24"/>
              </w:rPr>
              <w:t xml:space="preserve">, </w:t>
            </w:r>
            <w:proofErr w:type="spellStart"/>
            <w:r w:rsidRPr="0089631E">
              <w:rPr>
                <w:b w:val="0"/>
                <w:szCs w:val="24"/>
              </w:rPr>
              <w:t>takykardi</w:t>
            </w:r>
            <w:proofErr w:type="spellEnd"/>
          </w:p>
        </w:tc>
        <w:tc>
          <w:tcPr>
            <w:tcW w:w="1325" w:type="pct"/>
            <w:tcBorders>
              <w:top w:val="single" w:sz="4" w:space="0" w:color="auto"/>
              <w:left w:val="single" w:sz="4" w:space="0" w:color="auto"/>
              <w:bottom w:val="single" w:sz="4" w:space="0" w:color="auto"/>
              <w:right w:val="single" w:sz="4" w:space="0" w:color="auto"/>
            </w:tcBorders>
            <w:hideMark/>
          </w:tcPr>
          <w:p w14:paraId="2CC0E117"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6CD79CB7" w14:textId="77777777" w:rsidTr="00076476">
        <w:trPr>
          <w:trHeight w:val="265"/>
        </w:trPr>
        <w:tc>
          <w:tcPr>
            <w:tcW w:w="1680" w:type="pct"/>
            <w:tcBorders>
              <w:top w:val="single" w:sz="4" w:space="0" w:color="auto"/>
              <w:left w:val="single" w:sz="4" w:space="0" w:color="auto"/>
              <w:bottom w:val="single" w:sz="4" w:space="0" w:color="auto"/>
              <w:right w:val="single" w:sz="4" w:space="0" w:color="auto"/>
            </w:tcBorders>
            <w:hideMark/>
          </w:tcPr>
          <w:p w14:paraId="419F4E50" w14:textId="77777777" w:rsidR="0048621A" w:rsidRPr="0089631E" w:rsidRDefault="0048621A">
            <w:pPr>
              <w:pStyle w:val="Titel"/>
              <w:jc w:val="left"/>
              <w:rPr>
                <w:b w:val="0"/>
                <w:noProof/>
                <w:szCs w:val="24"/>
              </w:rPr>
            </w:pPr>
            <w:proofErr w:type="spellStart"/>
            <w:r w:rsidRPr="0089631E">
              <w:rPr>
                <w:b w:val="0"/>
                <w:bCs/>
                <w:iCs/>
                <w:szCs w:val="24"/>
              </w:rPr>
              <w:t>Vaskulære</w:t>
            </w:r>
            <w:proofErr w:type="spellEnd"/>
            <w:r w:rsidRPr="0089631E">
              <w:rPr>
                <w:b w:val="0"/>
                <w:bCs/>
                <w:iCs/>
                <w:szCs w:val="24"/>
              </w:rPr>
              <w:t xml:space="preserve"> sygdomme</w:t>
            </w:r>
          </w:p>
        </w:tc>
        <w:tc>
          <w:tcPr>
            <w:tcW w:w="1994" w:type="pct"/>
            <w:tcBorders>
              <w:top w:val="single" w:sz="4" w:space="0" w:color="auto"/>
              <w:left w:val="single" w:sz="4" w:space="0" w:color="auto"/>
              <w:bottom w:val="single" w:sz="4" w:space="0" w:color="auto"/>
              <w:right w:val="single" w:sz="4" w:space="0" w:color="auto"/>
            </w:tcBorders>
            <w:hideMark/>
          </w:tcPr>
          <w:p w14:paraId="178C32C0" w14:textId="77777777" w:rsidR="0048621A" w:rsidRPr="0089631E" w:rsidRDefault="0048621A">
            <w:pPr>
              <w:pStyle w:val="Titel"/>
              <w:jc w:val="left"/>
              <w:rPr>
                <w:b w:val="0"/>
                <w:noProof/>
                <w:szCs w:val="24"/>
              </w:rPr>
            </w:pPr>
            <w:proofErr w:type="spellStart"/>
            <w:r w:rsidRPr="0089631E">
              <w:rPr>
                <w:b w:val="0"/>
                <w:bCs/>
                <w:szCs w:val="24"/>
              </w:rPr>
              <w:t>ortostatisk</w:t>
            </w:r>
            <w:proofErr w:type="spellEnd"/>
            <w:r w:rsidRPr="0089631E">
              <w:rPr>
                <w:b w:val="0"/>
                <w:bCs/>
                <w:szCs w:val="24"/>
              </w:rPr>
              <w:t xml:space="preserve"> hypotension.</w:t>
            </w:r>
          </w:p>
        </w:tc>
        <w:tc>
          <w:tcPr>
            <w:tcW w:w="1325" w:type="pct"/>
            <w:tcBorders>
              <w:top w:val="single" w:sz="4" w:space="0" w:color="auto"/>
              <w:left w:val="single" w:sz="4" w:space="0" w:color="auto"/>
              <w:bottom w:val="single" w:sz="4" w:space="0" w:color="auto"/>
              <w:right w:val="single" w:sz="4" w:space="0" w:color="auto"/>
            </w:tcBorders>
            <w:hideMark/>
          </w:tcPr>
          <w:p w14:paraId="7883A180" w14:textId="77777777" w:rsidR="0048621A" w:rsidRPr="0089631E" w:rsidRDefault="0048621A">
            <w:pPr>
              <w:pStyle w:val="Titel"/>
              <w:jc w:val="left"/>
              <w:rPr>
                <w:b w:val="0"/>
                <w:noProof/>
                <w:szCs w:val="24"/>
              </w:rPr>
            </w:pPr>
            <w:r w:rsidRPr="0089631E">
              <w:rPr>
                <w:b w:val="0"/>
                <w:bCs/>
                <w:szCs w:val="24"/>
              </w:rPr>
              <w:t>Ikke almindelig</w:t>
            </w:r>
          </w:p>
        </w:tc>
      </w:tr>
      <w:tr w:rsidR="0048621A" w:rsidRPr="0089631E" w14:paraId="36E76119" w14:textId="77777777" w:rsidTr="00076476">
        <w:trPr>
          <w:trHeight w:val="163"/>
        </w:trPr>
        <w:tc>
          <w:tcPr>
            <w:tcW w:w="1680" w:type="pct"/>
            <w:vMerge w:val="restart"/>
            <w:tcBorders>
              <w:top w:val="single" w:sz="4" w:space="0" w:color="auto"/>
              <w:left w:val="single" w:sz="4" w:space="0" w:color="auto"/>
              <w:bottom w:val="single" w:sz="4" w:space="0" w:color="auto"/>
              <w:right w:val="single" w:sz="4" w:space="0" w:color="auto"/>
            </w:tcBorders>
            <w:hideMark/>
          </w:tcPr>
          <w:p w14:paraId="26A40401" w14:textId="77777777" w:rsidR="0048621A" w:rsidRPr="0089631E" w:rsidRDefault="0048621A">
            <w:pPr>
              <w:pStyle w:val="Titel"/>
              <w:jc w:val="left"/>
              <w:rPr>
                <w:b w:val="0"/>
                <w:noProof/>
                <w:szCs w:val="24"/>
              </w:rPr>
            </w:pPr>
            <w:r w:rsidRPr="0089631E">
              <w:rPr>
                <w:b w:val="0"/>
                <w:bCs/>
                <w:szCs w:val="24"/>
              </w:rPr>
              <w:t xml:space="preserve">Luftveje, thorax og </w:t>
            </w:r>
            <w:proofErr w:type="spellStart"/>
            <w:r w:rsidRPr="0089631E">
              <w:rPr>
                <w:b w:val="0"/>
                <w:bCs/>
                <w:szCs w:val="24"/>
              </w:rPr>
              <w:t>mediastinum</w:t>
            </w:r>
            <w:proofErr w:type="spellEnd"/>
          </w:p>
        </w:tc>
        <w:tc>
          <w:tcPr>
            <w:tcW w:w="1994" w:type="pct"/>
            <w:tcBorders>
              <w:top w:val="single" w:sz="4" w:space="0" w:color="auto"/>
              <w:left w:val="single" w:sz="4" w:space="0" w:color="auto"/>
              <w:bottom w:val="single" w:sz="4" w:space="0" w:color="auto"/>
              <w:right w:val="single" w:sz="4" w:space="0" w:color="auto"/>
            </w:tcBorders>
            <w:hideMark/>
          </w:tcPr>
          <w:p w14:paraId="7D3A6703" w14:textId="77777777" w:rsidR="0048621A" w:rsidRPr="0089631E" w:rsidRDefault="0048621A">
            <w:pPr>
              <w:pStyle w:val="Titel"/>
              <w:jc w:val="left"/>
              <w:rPr>
                <w:b w:val="0"/>
                <w:noProof/>
                <w:szCs w:val="24"/>
              </w:rPr>
            </w:pPr>
            <w:r w:rsidRPr="0089631E">
              <w:rPr>
                <w:b w:val="0"/>
                <w:bCs/>
                <w:szCs w:val="24"/>
              </w:rPr>
              <w:t>øget bronkialsekret</w:t>
            </w:r>
          </w:p>
        </w:tc>
        <w:tc>
          <w:tcPr>
            <w:tcW w:w="1325" w:type="pct"/>
            <w:tcBorders>
              <w:top w:val="single" w:sz="4" w:space="0" w:color="auto"/>
              <w:left w:val="single" w:sz="4" w:space="0" w:color="auto"/>
              <w:bottom w:val="single" w:sz="4" w:space="0" w:color="auto"/>
              <w:right w:val="single" w:sz="4" w:space="0" w:color="auto"/>
            </w:tcBorders>
            <w:hideMark/>
          </w:tcPr>
          <w:p w14:paraId="448ED753" w14:textId="77777777" w:rsidR="0048621A" w:rsidRPr="0089631E" w:rsidRDefault="0048621A">
            <w:pPr>
              <w:pStyle w:val="Titel"/>
              <w:jc w:val="left"/>
              <w:rPr>
                <w:b w:val="0"/>
                <w:noProof/>
                <w:szCs w:val="24"/>
              </w:rPr>
            </w:pPr>
            <w:r w:rsidRPr="0089631E">
              <w:rPr>
                <w:b w:val="0"/>
                <w:bCs/>
                <w:szCs w:val="24"/>
              </w:rPr>
              <w:t>Almindelig</w:t>
            </w:r>
          </w:p>
        </w:tc>
      </w:tr>
      <w:tr w:rsidR="0048621A" w:rsidRPr="0089631E" w14:paraId="22F434E1" w14:textId="77777777" w:rsidTr="00076476">
        <w:trPr>
          <w:trHeight w:val="163"/>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6584BCAB"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3046DBFE" w14:textId="77777777" w:rsidR="0048621A" w:rsidRPr="0089631E" w:rsidRDefault="0048621A">
            <w:pPr>
              <w:pStyle w:val="Titel"/>
              <w:jc w:val="left"/>
              <w:rPr>
                <w:b w:val="0"/>
                <w:noProof/>
                <w:szCs w:val="24"/>
              </w:rPr>
            </w:pPr>
            <w:r w:rsidRPr="0089631E">
              <w:rPr>
                <w:b w:val="0"/>
                <w:bCs/>
                <w:szCs w:val="24"/>
              </w:rPr>
              <w:t>dyspnø</w:t>
            </w:r>
          </w:p>
        </w:tc>
        <w:tc>
          <w:tcPr>
            <w:tcW w:w="1325" w:type="pct"/>
            <w:tcBorders>
              <w:top w:val="single" w:sz="4" w:space="0" w:color="auto"/>
              <w:left w:val="single" w:sz="4" w:space="0" w:color="auto"/>
              <w:bottom w:val="single" w:sz="4" w:space="0" w:color="auto"/>
              <w:right w:val="single" w:sz="4" w:space="0" w:color="auto"/>
            </w:tcBorders>
            <w:hideMark/>
          </w:tcPr>
          <w:p w14:paraId="29725A05" w14:textId="77777777" w:rsidR="0048621A" w:rsidRPr="0089631E" w:rsidRDefault="0048621A">
            <w:pPr>
              <w:pStyle w:val="Titel"/>
              <w:jc w:val="left"/>
              <w:rPr>
                <w:b w:val="0"/>
                <w:noProof/>
                <w:szCs w:val="24"/>
              </w:rPr>
            </w:pPr>
            <w:r w:rsidRPr="0089631E">
              <w:rPr>
                <w:b w:val="0"/>
                <w:bCs/>
                <w:szCs w:val="24"/>
              </w:rPr>
              <w:t>Ikke kendt</w:t>
            </w:r>
          </w:p>
        </w:tc>
      </w:tr>
      <w:tr w:rsidR="0048621A" w:rsidRPr="0089631E" w14:paraId="1E36EAAF" w14:textId="77777777" w:rsidTr="00076476">
        <w:trPr>
          <w:trHeight w:val="261"/>
        </w:trPr>
        <w:tc>
          <w:tcPr>
            <w:tcW w:w="1680" w:type="pct"/>
            <w:vMerge w:val="restart"/>
            <w:tcBorders>
              <w:top w:val="single" w:sz="4" w:space="0" w:color="auto"/>
              <w:left w:val="single" w:sz="4" w:space="0" w:color="auto"/>
              <w:bottom w:val="single" w:sz="4" w:space="0" w:color="auto"/>
              <w:right w:val="single" w:sz="4" w:space="0" w:color="auto"/>
            </w:tcBorders>
            <w:hideMark/>
          </w:tcPr>
          <w:p w14:paraId="0D9D6506" w14:textId="77777777" w:rsidR="0048621A" w:rsidRPr="0089631E" w:rsidRDefault="0048621A">
            <w:pPr>
              <w:pStyle w:val="Titel"/>
              <w:jc w:val="left"/>
              <w:rPr>
                <w:b w:val="0"/>
                <w:noProof/>
                <w:szCs w:val="24"/>
              </w:rPr>
            </w:pPr>
            <w:r w:rsidRPr="0089631E">
              <w:rPr>
                <w:b w:val="0"/>
                <w:szCs w:val="24"/>
              </w:rPr>
              <w:t xml:space="preserve">Mave-tarm-kanalen </w:t>
            </w:r>
          </w:p>
        </w:tc>
        <w:tc>
          <w:tcPr>
            <w:tcW w:w="1994" w:type="pct"/>
            <w:tcBorders>
              <w:top w:val="single" w:sz="4" w:space="0" w:color="auto"/>
              <w:left w:val="single" w:sz="4" w:space="0" w:color="auto"/>
              <w:bottom w:val="single" w:sz="4" w:space="0" w:color="auto"/>
              <w:right w:val="single" w:sz="4" w:space="0" w:color="auto"/>
            </w:tcBorders>
            <w:hideMark/>
          </w:tcPr>
          <w:p w14:paraId="6A393D04" w14:textId="77777777" w:rsidR="0048621A" w:rsidRPr="0089631E" w:rsidRDefault="0048621A">
            <w:pPr>
              <w:pStyle w:val="Titel"/>
              <w:jc w:val="left"/>
              <w:rPr>
                <w:b w:val="0"/>
                <w:noProof/>
                <w:szCs w:val="24"/>
              </w:rPr>
            </w:pPr>
            <w:r w:rsidRPr="0089631E">
              <w:rPr>
                <w:b w:val="0"/>
                <w:szCs w:val="24"/>
              </w:rPr>
              <w:t>Mundtørhed</w:t>
            </w:r>
          </w:p>
        </w:tc>
        <w:tc>
          <w:tcPr>
            <w:tcW w:w="1325" w:type="pct"/>
            <w:tcBorders>
              <w:top w:val="single" w:sz="4" w:space="0" w:color="auto"/>
              <w:left w:val="single" w:sz="4" w:space="0" w:color="auto"/>
              <w:bottom w:val="single" w:sz="4" w:space="0" w:color="auto"/>
              <w:right w:val="single" w:sz="4" w:space="0" w:color="auto"/>
            </w:tcBorders>
            <w:hideMark/>
          </w:tcPr>
          <w:p w14:paraId="30E6B83E" w14:textId="77777777" w:rsidR="0048621A" w:rsidRPr="0089631E" w:rsidRDefault="0048621A">
            <w:pPr>
              <w:pStyle w:val="Titel"/>
              <w:jc w:val="left"/>
              <w:rPr>
                <w:b w:val="0"/>
                <w:noProof/>
                <w:szCs w:val="24"/>
              </w:rPr>
            </w:pPr>
            <w:r w:rsidRPr="0089631E">
              <w:rPr>
                <w:b w:val="0"/>
                <w:szCs w:val="24"/>
              </w:rPr>
              <w:t>Almindelig</w:t>
            </w:r>
          </w:p>
        </w:tc>
      </w:tr>
      <w:tr w:rsidR="0048621A" w:rsidRPr="0089631E" w14:paraId="409B368A" w14:textId="77777777" w:rsidTr="00076476">
        <w:trPr>
          <w:trHeight w:val="261"/>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3BD5EBFA"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18CABCB3" w14:textId="77777777" w:rsidR="0048621A" w:rsidRPr="0089631E" w:rsidRDefault="0048621A">
            <w:pPr>
              <w:pStyle w:val="Titel"/>
              <w:jc w:val="left"/>
              <w:rPr>
                <w:b w:val="0"/>
                <w:noProof/>
                <w:szCs w:val="24"/>
              </w:rPr>
            </w:pPr>
            <w:r w:rsidRPr="0089631E">
              <w:rPr>
                <w:b w:val="0"/>
                <w:szCs w:val="24"/>
              </w:rPr>
              <w:t>kvalme, opkastning</w:t>
            </w:r>
          </w:p>
        </w:tc>
        <w:tc>
          <w:tcPr>
            <w:tcW w:w="1325" w:type="pct"/>
            <w:tcBorders>
              <w:top w:val="single" w:sz="4" w:space="0" w:color="auto"/>
              <w:left w:val="single" w:sz="4" w:space="0" w:color="auto"/>
              <w:bottom w:val="single" w:sz="4" w:space="0" w:color="auto"/>
              <w:right w:val="single" w:sz="4" w:space="0" w:color="auto"/>
            </w:tcBorders>
            <w:hideMark/>
          </w:tcPr>
          <w:p w14:paraId="34B5E191" w14:textId="77777777" w:rsidR="0048621A" w:rsidRPr="0089631E" w:rsidRDefault="0048621A">
            <w:pPr>
              <w:pStyle w:val="Titel"/>
              <w:jc w:val="left"/>
              <w:rPr>
                <w:b w:val="0"/>
                <w:noProof/>
                <w:szCs w:val="24"/>
              </w:rPr>
            </w:pPr>
            <w:r w:rsidRPr="0089631E">
              <w:rPr>
                <w:b w:val="0"/>
                <w:szCs w:val="24"/>
              </w:rPr>
              <w:t>Ikke almindelig</w:t>
            </w:r>
          </w:p>
        </w:tc>
      </w:tr>
      <w:tr w:rsidR="0048621A" w:rsidRPr="0089631E" w14:paraId="5D3F1AA0" w14:textId="77777777" w:rsidTr="00076476">
        <w:trPr>
          <w:trHeight w:val="261"/>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1D88352F"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0D6D18E1" w14:textId="77777777" w:rsidR="0048621A" w:rsidRPr="0089631E" w:rsidRDefault="0048621A">
            <w:pPr>
              <w:pStyle w:val="Titel"/>
              <w:jc w:val="left"/>
              <w:rPr>
                <w:b w:val="0"/>
                <w:noProof/>
                <w:szCs w:val="24"/>
              </w:rPr>
            </w:pPr>
            <w:proofErr w:type="spellStart"/>
            <w:r w:rsidRPr="0089631E">
              <w:rPr>
                <w:b w:val="0"/>
                <w:szCs w:val="24"/>
              </w:rPr>
              <w:t>abdominal</w:t>
            </w:r>
            <w:proofErr w:type="spellEnd"/>
            <w:r w:rsidRPr="0089631E">
              <w:rPr>
                <w:b w:val="0"/>
                <w:szCs w:val="24"/>
              </w:rPr>
              <w:t xml:space="preserve"> </w:t>
            </w:r>
            <w:proofErr w:type="spellStart"/>
            <w:r w:rsidRPr="0089631E">
              <w:rPr>
                <w:b w:val="0"/>
                <w:szCs w:val="24"/>
              </w:rPr>
              <w:t>distention</w:t>
            </w:r>
            <w:proofErr w:type="spellEnd"/>
            <w:r w:rsidRPr="0089631E">
              <w:rPr>
                <w:b w:val="0"/>
                <w:szCs w:val="24"/>
              </w:rPr>
              <w:t>, mavesmerter, konstipation, diarré</w:t>
            </w:r>
          </w:p>
        </w:tc>
        <w:tc>
          <w:tcPr>
            <w:tcW w:w="1325" w:type="pct"/>
            <w:tcBorders>
              <w:top w:val="single" w:sz="4" w:space="0" w:color="auto"/>
              <w:left w:val="single" w:sz="4" w:space="0" w:color="auto"/>
              <w:bottom w:val="single" w:sz="4" w:space="0" w:color="auto"/>
              <w:right w:val="single" w:sz="4" w:space="0" w:color="auto"/>
            </w:tcBorders>
            <w:hideMark/>
          </w:tcPr>
          <w:p w14:paraId="2D602A2F"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2CC14139" w14:textId="77777777" w:rsidTr="00076476">
        <w:trPr>
          <w:trHeight w:val="243"/>
        </w:trPr>
        <w:tc>
          <w:tcPr>
            <w:tcW w:w="1680" w:type="pct"/>
            <w:vMerge w:val="restart"/>
            <w:tcBorders>
              <w:top w:val="single" w:sz="4" w:space="0" w:color="auto"/>
              <w:left w:val="single" w:sz="4" w:space="0" w:color="auto"/>
              <w:bottom w:val="single" w:sz="4" w:space="0" w:color="auto"/>
              <w:right w:val="single" w:sz="4" w:space="0" w:color="auto"/>
            </w:tcBorders>
            <w:hideMark/>
          </w:tcPr>
          <w:p w14:paraId="58ED45E3" w14:textId="77777777" w:rsidR="0048621A" w:rsidRPr="0089631E" w:rsidRDefault="0048621A">
            <w:pPr>
              <w:pStyle w:val="Titel"/>
              <w:jc w:val="left"/>
              <w:rPr>
                <w:b w:val="0"/>
                <w:noProof/>
                <w:szCs w:val="24"/>
              </w:rPr>
            </w:pPr>
            <w:r w:rsidRPr="0089631E">
              <w:rPr>
                <w:b w:val="0"/>
                <w:szCs w:val="24"/>
              </w:rPr>
              <w:t xml:space="preserve">Hud og subkutane væv </w:t>
            </w:r>
          </w:p>
        </w:tc>
        <w:tc>
          <w:tcPr>
            <w:tcW w:w="1994" w:type="pct"/>
            <w:tcBorders>
              <w:top w:val="single" w:sz="4" w:space="0" w:color="auto"/>
              <w:left w:val="single" w:sz="4" w:space="0" w:color="auto"/>
              <w:bottom w:val="single" w:sz="4" w:space="0" w:color="auto"/>
              <w:right w:val="single" w:sz="4" w:space="0" w:color="auto"/>
            </w:tcBorders>
            <w:hideMark/>
          </w:tcPr>
          <w:p w14:paraId="219F0689" w14:textId="77777777" w:rsidR="0048621A" w:rsidRPr="0089631E" w:rsidRDefault="0048621A">
            <w:pPr>
              <w:pStyle w:val="Titel"/>
              <w:jc w:val="left"/>
              <w:rPr>
                <w:b w:val="0"/>
                <w:noProof/>
                <w:szCs w:val="24"/>
              </w:rPr>
            </w:pPr>
            <w:r w:rsidRPr="0089631E">
              <w:rPr>
                <w:b w:val="0"/>
                <w:bCs/>
                <w:szCs w:val="24"/>
              </w:rPr>
              <w:t>fotosensitivitetsreaktion</w:t>
            </w:r>
          </w:p>
        </w:tc>
        <w:tc>
          <w:tcPr>
            <w:tcW w:w="1325" w:type="pct"/>
            <w:tcBorders>
              <w:top w:val="single" w:sz="4" w:space="0" w:color="auto"/>
              <w:left w:val="single" w:sz="4" w:space="0" w:color="auto"/>
              <w:bottom w:val="single" w:sz="4" w:space="0" w:color="auto"/>
              <w:right w:val="single" w:sz="4" w:space="0" w:color="auto"/>
            </w:tcBorders>
            <w:hideMark/>
          </w:tcPr>
          <w:p w14:paraId="6CCA6CEA" w14:textId="77777777" w:rsidR="0048621A" w:rsidRPr="0089631E" w:rsidRDefault="0048621A">
            <w:pPr>
              <w:pStyle w:val="Titel"/>
              <w:jc w:val="left"/>
              <w:rPr>
                <w:b w:val="0"/>
                <w:noProof/>
                <w:szCs w:val="24"/>
              </w:rPr>
            </w:pPr>
            <w:r w:rsidRPr="0089631E">
              <w:rPr>
                <w:b w:val="0"/>
                <w:szCs w:val="24"/>
              </w:rPr>
              <w:t>Ikke almindelig</w:t>
            </w:r>
          </w:p>
        </w:tc>
      </w:tr>
      <w:tr w:rsidR="0048621A" w:rsidRPr="0089631E" w14:paraId="20BAC706" w14:textId="77777777" w:rsidTr="00076476">
        <w:trPr>
          <w:trHeight w:val="243"/>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0CEFF70F"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hideMark/>
          </w:tcPr>
          <w:p w14:paraId="6CE5BBA2" w14:textId="77777777" w:rsidR="0048621A" w:rsidRPr="0089631E" w:rsidRDefault="0048621A">
            <w:pPr>
              <w:pStyle w:val="Titel"/>
              <w:jc w:val="left"/>
              <w:rPr>
                <w:b w:val="0"/>
                <w:noProof/>
                <w:szCs w:val="24"/>
              </w:rPr>
            </w:pPr>
            <w:proofErr w:type="spellStart"/>
            <w:r w:rsidRPr="0089631E">
              <w:rPr>
                <w:b w:val="0"/>
                <w:szCs w:val="24"/>
              </w:rPr>
              <w:t>hyperhidrose</w:t>
            </w:r>
            <w:proofErr w:type="spellEnd"/>
            <w:r w:rsidRPr="0089631E">
              <w:rPr>
                <w:b w:val="0"/>
                <w:szCs w:val="24"/>
              </w:rPr>
              <w:t xml:space="preserve">, </w:t>
            </w:r>
            <w:proofErr w:type="spellStart"/>
            <w:r w:rsidRPr="0089631E">
              <w:rPr>
                <w:b w:val="0"/>
                <w:szCs w:val="24"/>
              </w:rPr>
              <w:t>pruritus</w:t>
            </w:r>
            <w:proofErr w:type="spellEnd"/>
            <w:r w:rsidRPr="0089631E">
              <w:rPr>
                <w:b w:val="0"/>
                <w:szCs w:val="24"/>
              </w:rPr>
              <w:t xml:space="preserve">, hududslæt, </w:t>
            </w:r>
            <w:proofErr w:type="spellStart"/>
            <w:r w:rsidRPr="0089631E">
              <w:rPr>
                <w:b w:val="0"/>
                <w:szCs w:val="24"/>
              </w:rPr>
              <w:t>makulopapuløst</w:t>
            </w:r>
            <w:proofErr w:type="spellEnd"/>
            <w:r w:rsidRPr="0089631E">
              <w:rPr>
                <w:b w:val="0"/>
                <w:szCs w:val="24"/>
              </w:rPr>
              <w:t xml:space="preserve"> udslæt</w:t>
            </w:r>
          </w:p>
        </w:tc>
        <w:tc>
          <w:tcPr>
            <w:tcW w:w="1325" w:type="pct"/>
            <w:tcBorders>
              <w:top w:val="single" w:sz="4" w:space="0" w:color="auto"/>
              <w:left w:val="single" w:sz="4" w:space="0" w:color="auto"/>
              <w:bottom w:val="single" w:sz="4" w:space="0" w:color="auto"/>
              <w:right w:val="single" w:sz="4" w:space="0" w:color="auto"/>
            </w:tcBorders>
            <w:hideMark/>
          </w:tcPr>
          <w:p w14:paraId="445C371A"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2628C807" w14:textId="77777777" w:rsidTr="00076476">
        <w:trPr>
          <w:trHeight w:val="261"/>
        </w:trPr>
        <w:tc>
          <w:tcPr>
            <w:tcW w:w="1680" w:type="pct"/>
            <w:tcBorders>
              <w:top w:val="single" w:sz="4" w:space="0" w:color="auto"/>
              <w:left w:val="single" w:sz="4" w:space="0" w:color="auto"/>
              <w:bottom w:val="single" w:sz="4" w:space="0" w:color="auto"/>
              <w:right w:val="single" w:sz="4" w:space="0" w:color="auto"/>
            </w:tcBorders>
            <w:hideMark/>
          </w:tcPr>
          <w:p w14:paraId="3871FE35" w14:textId="77777777" w:rsidR="0048621A" w:rsidRPr="0089631E" w:rsidRDefault="0048621A">
            <w:pPr>
              <w:pStyle w:val="Titel"/>
              <w:jc w:val="left"/>
              <w:rPr>
                <w:b w:val="0"/>
                <w:noProof/>
                <w:szCs w:val="24"/>
              </w:rPr>
            </w:pPr>
            <w:r w:rsidRPr="0089631E">
              <w:rPr>
                <w:b w:val="0"/>
                <w:szCs w:val="24"/>
              </w:rPr>
              <w:t xml:space="preserve">Nyrer og urinveje </w:t>
            </w:r>
          </w:p>
        </w:tc>
        <w:tc>
          <w:tcPr>
            <w:tcW w:w="1994" w:type="pct"/>
            <w:tcBorders>
              <w:top w:val="single" w:sz="4" w:space="0" w:color="auto"/>
              <w:left w:val="single" w:sz="4" w:space="0" w:color="auto"/>
              <w:bottom w:val="single" w:sz="4" w:space="0" w:color="auto"/>
              <w:right w:val="single" w:sz="4" w:space="0" w:color="auto"/>
            </w:tcBorders>
            <w:hideMark/>
          </w:tcPr>
          <w:p w14:paraId="0832069B" w14:textId="77777777" w:rsidR="0048621A" w:rsidRPr="0089631E" w:rsidRDefault="0048621A">
            <w:pPr>
              <w:pStyle w:val="Titel"/>
              <w:jc w:val="left"/>
              <w:rPr>
                <w:b w:val="0"/>
                <w:noProof/>
                <w:szCs w:val="24"/>
              </w:rPr>
            </w:pPr>
            <w:proofErr w:type="spellStart"/>
            <w:r w:rsidRPr="0089631E">
              <w:rPr>
                <w:b w:val="0"/>
                <w:szCs w:val="24"/>
              </w:rPr>
              <w:t>dysuri</w:t>
            </w:r>
            <w:proofErr w:type="spellEnd"/>
            <w:r w:rsidRPr="0089631E">
              <w:rPr>
                <w:b w:val="0"/>
                <w:szCs w:val="24"/>
              </w:rPr>
              <w:t>, urinretention</w:t>
            </w:r>
          </w:p>
        </w:tc>
        <w:tc>
          <w:tcPr>
            <w:tcW w:w="1325" w:type="pct"/>
            <w:tcBorders>
              <w:top w:val="single" w:sz="4" w:space="0" w:color="auto"/>
              <w:left w:val="single" w:sz="4" w:space="0" w:color="auto"/>
              <w:bottom w:val="single" w:sz="4" w:space="0" w:color="auto"/>
              <w:right w:val="single" w:sz="4" w:space="0" w:color="auto"/>
            </w:tcBorders>
            <w:hideMark/>
          </w:tcPr>
          <w:p w14:paraId="02342980" w14:textId="77777777" w:rsidR="0048621A" w:rsidRPr="0089631E" w:rsidRDefault="0048621A">
            <w:pPr>
              <w:pStyle w:val="Titel"/>
              <w:jc w:val="left"/>
              <w:rPr>
                <w:b w:val="0"/>
                <w:noProof/>
                <w:szCs w:val="24"/>
              </w:rPr>
            </w:pPr>
            <w:r w:rsidRPr="0089631E">
              <w:rPr>
                <w:b w:val="0"/>
                <w:szCs w:val="24"/>
              </w:rPr>
              <w:t>Ikke kendt</w:t>
            </w:r>
          </w:p>
        </w:tc>
      </w:tr>
      <w:tr w:rsidR="0048621A" w:rsidRPr="0089631E" w14:paraId="172A1A67" w14:textId="77777777" w:rsidTr="00076476">
        <w:trPr>
          <w:trHeight w:val="327"/>
        </w:trPr>
        <w:tc>
          <w:tcPr>
            <w:tcW w:w="1680" w:type="pct"/>
            <w:vMerge w:val="restart"/>
            <w:tcBorders>
              <w:top w:val="single" w:sz="4" w:space="0" w:color="auto"/>
              <w:left w:val="single" w:sz="4" w:space="0" w:color="auto"/>
              <w:bottom w:val="single" w:sz="4" w:space="0" w:color="auto"/>
              <w:right w:val="single" w:sz="4" w:space="0" w:color="auto"/>
            </w:tcBorders>
            <w:vAlign w:val="center"/>
            <w:hideMark/>
          </w:tcPr>
          <w:p w14:paraId="058E74B0" w14:textId="77777777" w:rsidR="0048621A" w:rsidRPr="0089631E" w:rsidRDefault="0048621A">
            <w:pPr>
              <w:pStyle w:val="Titel"/>
              <w:jc w:val="left"/>
              <w:rPr>
                <w:b w:val="0"/>
                <w:noProof/>
                <w:szCs w:val="24"/>
              </w:rPr>
            </w:pPr>
            <w:r w:rsidRPr="0089631E">
              <w:rPr>
                <w:b w:val="0"/>
                <w:szCs w:val="24"/>
              </w:rPr>
              <w:t xml:space="preserve">Almene symptomer og reaktioner på administrationsstedet </w:t>
            </w:r>
          </w:p>
        </w:tc>
        <w:tc>
          <w:tcPr>
            <w:tcW w:w="1994" w:type="pct"/>
            <w:tcBorders>
              <w:top w:val="single" w:sz="4" w:space="0" w:color="auto"/>
              <w:left w:val="single" w:sz="4" w:space="0" w:color="auto"/>
              <w:bottom w:val="single" w:sz="4" w:space="0" w:color="auto"/>
              <w:right w:val="single" w:sz="4" w:space="0" w:color="auto"/>
            </w:tcBorders>
            <w:vAlign w:val="center"/>
            <w:hideMark/>
          </w:tcPr>
          <w:p w14:paraId="451F3AA3" w14:textId="77777777" w:rsidR="0048621A" w:rsidRPr="0089631E" w:rsidRDefault="0048621A">
            <w:pPr>
              <w:pStyle w:val="Titel"/>
              <w:jc w:val="left"/>
              <w:rPr>
                <w:b w:val="0"/>
                <w:noProof/>
                <w:szCs w:val="24"/>
              </w:rPr>
            </w:pPr>
            <w:r w:rsidRPr="0089631E">
              <w:rPr>
                <w:b w:val="0"/>
                <w:szCs w:val="24"/>
              </w:rPr>
              <w:t>træthed</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A19499E" w14:textId="77777777" w:rsidR="0048621A" w:rsidRPr="0089631E" w:rsidRDefault="0048621A">
            <w:pPr>
              <w:pStyle w:val="Titel"/>
              <w:jc w:val="left"/>
              <w:rPr>
                <w:b w:val="0"/>
                <w:noProof/>
                <w:szCs w:val="24"/>
              </w:rPr>
            </w:pPr>
            <w:r w:rsidRPr="0089631E">
              <w:rPr>
                <w:b w:val="0"/>
                <w:szCs w:val="24"/>
              </w:rPr>
              <w:t>Almindelig</w:t>
            </w:r>
          </w:p>
        </w:tc>
      </w:tr>
      <w:tr w:rsidR="0048621A" w:rsidRPr="0089631E" w14:paraId="3773D83D" w14:textId="77777777" w:rsidTr="00076476">
        <w:trPr>
          <w:trHeight w:val="326"/>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45439964"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vAlign w:val="center"/>
            <w:hideMark/>
          </w:tcPr>
          <w:p w14:paraId="4D605F1A" w14:textId="77777777" w:rsidR="0048621A" w:rsidRPr="0089631E" w:rsidRDefault="0048621A">
            <w:pPr>
              <w:pStyle w:val="Titel"/>
              <w:jc w:val="left"/>
              <w:rPr>
                <w:b w:val="0"/>
                <w:noProof/>
                <w:szCs w:val="24"/>
              </w:rPr>
            </w:pPr>
            <w:r w:rsidRPr="0089631E">
              <w:rPr>
                <w:b w:val="0"/>
                <w:bCs/>
                <w:szCs w:val="24"/>
              </w:rPr>
              <w:t>asteni, perifere ødemer</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52D571E" w14:textId="77777777" w:rsidR="0048621A" w:rsidRPr="0089631E" w:rsidRDefault="0048621A">
            <w:pPr>
              <w:pStyle w:val="Titel"/>
              <w:jc w:val="left"/>
              <w:rPr>
                <w:b w:val="0"/>
                <w:noProof/>
                <w:szCs w:val="24"/>
              </w:rPr>
            </w:pPr>
            <w:r w:rsidRPr="0089631E">
              <w:rPr>
                <w:b w:val="0"/>
                <w:szCs w:val="24"/>
              </w:rPr>
              <w:t>Ikke almindelig</w:t>
            </w:r>
          </w:p>
        </w:tc>
      </w:tr>
      <w:tr w:rsidR="0048621A" w:rsidRPr="0089631E" w14:paraId="1AA05665" w14:textId="77777777" w:rsidTr="00076476">
        <w:trPr>
          <w:trHeight w:val="326"/>
        </w:trPr>
        <w:tc>
          <w:tcPr>
            <w:tcW w:w="1680" w:type="pct"/>
            <w:vMerge/>
            <w:tcBorders>
              <w:top w:val="single" w:sz="4" w:space="0" w:color="auto"/>
              <w:left w:val="single" w:sz="4" w:space="0" w:color="auto"/>
              <w:bottom w:val="single" w:sz="4" w:space="0" w:color="auto"/>
              <w:right w:val="single" w:sz="4" w:space="0" w:color="auto"/>
            </w:tcBorders>
            <w:vAlign w:val="center"/>
            <w:hideMark/>
          </w:tcPr>
          <w:p w14:paraId="723B7ACB" w14:textId="77777777" w:rsidR="0048621A" w:rsidRPr="0089631E" w:rsidRDefault="0048621A">
            <w:pPr>
              <w:rPr>
                <w:noProof/>
                <w:sz w:val="24"/>
                <w:szCs w:val="24"/>
              </w:rPr>
            </w:pPr>
          </w:p>
        </w:tc>
        <w:tc>
          <w:tcPr>
            <w:tcW w:w="1994" w:type="pct"/>
            <w:tcBorders>
              <w:top w:val="single" w:sz="4" w:space="0" w:color="auto"/>
              <w:left w:val="single" w:sz="4" w:space="0" w:color="auto"/>
              <w:bottom w:val="single" w:sz="4" w:space="0" w:color="auto"/>
              <w:right w:val="single" w:sz="4" w:space="0" w:color="auto"/>
            </w:tcBorders>
            <w:vAlign w:val="center"/>
            <w:hideMark/>
          </w:tcPr>
          <w:p w14:paraId="6EE2A764" w14:textId="77777777" w:rsidR="0048621A" w:rsidRPr="0089631E" w:rsidRDefault="0048621A">
            <w:pPr>
              <w:pStyle w:val="Titel"/>
              <w:jc w:val="left"/>
              <w:rPr>
                <w:b w:val="0"/>
                <w:noProof/>
                <w:szCs w:val="24"/>
              </w:rPr>
            </w:pPr>
            <w:r w:rsidRPr="0089631E">
              <w:rPr>
                <w:b w:val="0"/>
                <w:bCs/>
                <w:szCs w:val="24"/>
              </w:rPr>
              <w:t>ubehag i brystregionen, utilpashed</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83CAC08" w14:textId="77777777" w:rsidR="0048621A" w:rsidRPr="0089631E" w:rsidRDefault="0048621A">
            <w:pPr>
              <w:pStyle w:val="Titel"/>
              <w:jc w:val="left"/>
              <w:rPr>
                <w:b w:val="0"/>
                <w:noProof/>
                <w:szCs w:val="24"/>
              </w:rPr>
            </w:pPr>
            <w:r w:rsidRPr="0089631E">
              <w:rPr>
                <w:b w:val="0"/>
                <w:szCs w:val="24"/>
              </w:rPr>
              <w:t>Ikke kendt</w:t>
            </w:r>
          </w:p>
        </w:tc>
      </w:tr>
    </w:tbl>
    <w:p w14:paraId="141F2FF8" w14:textId="77777777" w:rsidR="0048621A" w:rsidRPr="0089631E" w:rsidRDefault="0048621A" w:rsidP="0048621A">
      <w:pPr>
        <w:pStyle w:val="Normalindrykning"/>
        <w:spacing w:after="0"/>
        <w:ind w:left="0"/>
        <w:rPr>
          <w:sz w:val="24"/>
          <w:szCs w:val="24"/>
        </w:rPr>
      </w:pPr>
    </w:p>
    <w:p w14:paraId="0B7FF751" w14:textId="3B06102D" w:rsidR="0048621A" w:rsidRPr="0089631E" w:rsidRDefault="0048621A" w:rsidP="00076476">
      <w:pPr>
        <w:ind w:left="851"/>
        <w:rPr>
          <w:sz w:val="24"/>
          <w:szCs w:val="24"/>
        </w:rPr>
      </w:pPr>
      <w:r w:rsidRPr="0089631E">
        <w:rPr>
          <w:sz w:val="24"/>
          <w:szCs w:val="24"/>
        </w:rPr>
        <w:t>c</w:t>
      </w:r>
      <w:r w:rsidR="00041126">
        <w:rPr>
          <w:sz w:val="24"/>
          <w:szCs w:val="24"/>
        </w:rPr>
        <w:t>)</w:t>
      </w:r>
      <w:r w:rsidRPr="0089631E">
        <w:rPr>
          <w:sz w:val="24"/>
          <w:szCs w:val="24"/>
        </w:rPr>
        <w:t xml:space="preserve"> </w:t>
      </w:r>
      <w:r w:rsidRPr="00041126">
        <w:rPr>
          <w:sz w:val="24"/>
          <w:szCs w:val="24"/>
          <w:u w:val="single"/>
        </w:rPr>
        <w:t>Beskrivelse af udvalgte bivirkninger</w:t>
      </w:r>
    </w:p>
    <w:p w14:paraId="473F9712" w14:textId="77777777" w:rsidR="0048621A" w:rsidRPr="0089631E" w:rsidRDefault="0048621A" w:rsidP="00076476">
      <w:pPr>
        <w:ind w:left="851"/>
        <w:rPr>
          <w:sz w:val="24"/>
          <w:szCs w:val="24"/>
        </w:rPr>
      </w:pPr>
    </w:p>
    <w:p w14:paraId="6D9373AA" w14:textId="77777777" w:rsidR="0048621A" w:rsidRPr="0089631E" w:rsidRDefault="0048621A" w:rsidP="00076476">
      <w:pPr>
        <w:ind w:left="851"/>
        <w:rPr>
          <w:sz w:val="24"/>
          <w:szCs w:val="24"/>
        </w:rPr>
      </w:pPr>
      <w:r w:rsidRPr="0089631E">
        <w:rPr>
          <w:sz w:val="24"/>
          <w:szCs w:val="24"/>
        </w:rPr>
        <w:t xml:space="preserve">Svær døsighed kan forekomme, hvis </w:t>
      </w:r>
      <w:proofErr w:type="spellStart"/>
      <w:r w:rsidRPr="0089631E">
        <w:rPr>
          <w:sz w:val="24"/>
          <w:szCs w:val="24"/>
        </w:rPr>
        <w:t>Bonjesta</w:t>
      </w:r>
      <w:proofErr w:type="spellEnd"/>
      <w:r w:rsidRPr="0089631E">
        <w:rPr>
          <w:sz w:val="24"/>
          <w:szCs w:val="24"/>
        </w:rPr>
        <w:t xml:space="preserve"> tages sammen med CNS-deprimerende midler, herunder alkohol (se pkt. 4.4 og 4.5).</w:t>
      </w:r>
    </w:p>
    <w:p w14:paraId="4CC930B3" w14:textId="77777777" w:rsidR="0048621A" w:rsidRPr="0089631E" w:rsidRDefault="0048621A" w:rsidP="00076476">
      <w:pPr>
        <w:ind w:left="851"/>
        <w:rPr>
          <w:sz w:val="24"/>
          <w:szCs w:val="24"/>
        </w:rPr>
      </w:pPr>
    </w:p>
    <w:p w14:paraId="5D5E2B40" w14:textId="77777777" w:rsidR="0048621A" w:rsidRPr="0089631E" w:rsidRDefault="0048621A" w:rsidP="00076476">
      <w:pPr>
        <w:ind w:left="851"/>
        <w:rPr>
          <w:sz w:val="24"/>
          <w:szCs w:val="24"/>
        </w:rPr>
      </w:pPr>
      <w:proofErr w:type="spellStart"/>
      <w:r w:rsidRPr="0089631E">
        <w:rPr>
          <w:sz w:val="24"/>
          <w:szCs w:val="24"/>
        </w:rPr>
        <w:t>Antikolinerge</w:t>
      </w:r>
      <w:proofErr w:type="spellEnd"/>
      <w:r w:rsidRPr="0089631E">
        <w:rPr>
          <w:sz w:val="24"/>
          <w:szCs w:val="24"/>
        </w:rPr>
        <w:t xml:space="preserve"> virkninger af </w:t>
      </w:r>
      <w:proofErr w:type="spellStart"/>
      <w:r w:rsidRPr="0089631E">
        <w:rPr>
          <w:sz w:val="24"/>
          <w:szCs w:val="24"/>
        </w:rPr>
        <w:t>Bonjesta</w:t>
      </w:r>
      <w:proofErr w:type="spellEnd"/>
      <w:r w:rsidRPr="0089631E">
        <w:rPr>
          <w:sz w:val="24"/>
          <w:szCs w:val="24"/>
        </w:rPr>
        <w:t xml:space="preserve"> kan modificeres og forstærkes af </w:t>
      </w:r>
      <w:proofErr w:type="spellStart"/>
      <w:r w:rsidRPr="0089631E">
        <w:rPr>
          <w:sz w:val="24"/>
          <w:szCs w:val="24"/>
        </w:rPr>
        <w:t>monoaminoxidasehæmmere</w:t>
      </w:r>
      <w:proofErr w:type="spellEnd"/>
      <w:r w:rsidRPr="0089631E">
        <w:rPr>
          <w:sz w:val="24"/>
          <w:szCs w:val="24"/>
        </w:rPr>
        <w:t xml:space="preserve"> (MAO-</w:t>
      </w:r>
      <w:proofErr w:type="spellStart"/>
      <w:r w:rsidRPr="0089631E">
        <w:rPr>
          <w:sz w:val="24"/>
          <w:szCs w:val="24"/>
        </w:rPr>
        <w:t>hæmmere</w:t>
      </w:r>
      <w:proofErr w:type="spellEnd"/>
      <w:r w:rsidRPr="0089631E">
        <w:rPr>
          <w:sz w:val="24"/>
          <w:szCs w:val="24"/>
        </w:rPr>
        <w:t>) (se pkt. 4.3 og 4.5).</w:t>
      </w:r>
    </w:p>
    <w:p w14:paraId="00AE297E" w14:textId="77777777" w:rsidR="0048621A" w:rsidRPr="0089631E" w:rsidRDefault="0048621A" w:rsidP="00076476">
      <w:pPr>
        <w:ind w:left="851"/>
        <w:rPr>
          <w:sz w:val="24"/>
          <w:szCs w:val="24"/>
        </w:rPr>
      </w:pPr>
    </w:p>
    <w:p w14:paraId="347A8830" w14:textId="77777777" w:rsidR="0048621A" w:rsidRPr="0089631E" w:rsidRDefault="0048621A" w:rsidP="00076476">
      <w:pPr>
        <w:ind w:left="851"/>
        <w:rPr>
          <w:sz w:val="24"/>
          <w:szCs w:val="24"/>
        </w:rPr>
      </w:pPr>
      <w:r w:rsidRPr="0089631E">
        <w:rPr>
          <w:sz w:val="24"/>
          <w:szCs w:val="24"/>
        </w:rPr>
        <w:t xml:space="preserve">Mulige negative </w:t>
      </w:r>
      <w:proofErr w:type="spellStart"/>
      <w:r w:rsidRPr="0089631E">
        <w:rPr>
          <w:sz w:val="24"/>
          <w:szCs w:val="24"/>
        </w:rPr>
        <w:t>antikolinerge</w:t>
      </w:r>
      <w:proofErr w:type="spellEnd"/>
      <w:r w:rsidRPr="0089631E">
        <w:rPr>
          <w:sz w:val="24"/>
          <w:szCs w:val="24"/>
        </w:rPr>
        <w:t xml:space="preserve"> virkninger, der er forbundet med brugen af antihistamin-klassen, omfatter generelt: tørhed i mund, næse og hals; </w:t>
      </w:r>
      <w:proofErr w:type="spellStart"/>
      <w:r w:rsidRPr="0089631E">
        <w:rPr>
          <w:sz w:val="24"/>
          <w:szCs w:val="24"/>
        </w:rPr>
        <w:t>dysuri</w:t>
      </w:r>
      <w:proofErr w:type="spellEnd"/>
      <w:r w:rsidRPr="0089631E">
        <w:rPr>
          <w:sz w:val="24"/>
          <w:szCs w:val="24"/>
        </w:rPr>
        <w:t xml:space="preserve">; urinretention; </w:t>
      </w:r>
      <w:proofErr w:type="spellStart"/>
      <w:r w:rsidRPr="0089631E">
        <w:rPr>
          <w:sz w:val="24"/>
          <w:szCs w:val="24"/>
        </w:rPr>
        <w:t>vertigo</w:t>
      </w:r>
      <w:proofErr w:type="spellEnd"/>
      <w:r w:rsidRPr="0089631E">
        <w:rPr>
          <w:sz w:val="24"/>
          <w:szCs w:val="24"/>
        </w:rPr>
        <w:t xml:space="preserve">, synsforstyrrelser, sløret syn, </w:t>
      </w:r>
      <w:proofErr w:type="spellStart"/>
      <w:r w:rsidRPr="0089631E">
        <w:rPr>
          <w:sz w:val="24"/>
          <w:szCs w:val="24"/>
        </w:rPr>
        <w:t>diplopi</w:t>
      </w:r>
      <w:proofErr w:type="spellEnd"/>
      <w:r w:rsidRPr="0089631E">
        <w:rPr>
          <w:sz w:val="24"/>
          <w:szCs w:val="24"/>
        </w:rPr>
        <w:t xml:space="preserve">, tinnitus; akut </w:t>
      </w:r>
      <w:proofErr w:type="spellStart"/>
      <w:r w:rsidRPr="0089631E">
        <w:rPr>
          <w:sz w:val="24"/>
          <w:szCs w:val="24"/>
        </w:rPr>
        <w:t>labyrintitis</w:t>
      </w:r>
      <w:proofErr w:type="spellEnd"/>
      <w:r w:rsidRPr="0089631E">
        <w:rPr>
          <w:sz w:val="24"/>
          <w:szCs w:val="24"/>
        </w:rPr>
        <w:t xml:space="preserve">; søvnløshed; </w:t>
      </w:r>
      <w:proofErr w:type="spellStart"/>
      <w:r w:rsidRPr="0089631E">
        <w:rPr>
          <w:sz w:val="24"/>
          <w:szCs w:val="24"/>
        </w:rPr>
        <w:t>tremor</w:t>
      </w:r>
      <w:proofErr w:type="spellEnd"/>
      <w:r w:rsidRPr="0089631E">
        <w:rPr>
          <w:sz w:val="24"/>
          <w:szCs w:val="24"/>
        </w:rPr>
        <w:t xml:space="preserve">, nervøsitet; irritabilitet; og </w:t>
      </w:r>
      <w:proofErr w:type="spellStart"/>
      <w:r w:rsidRPr="0089631E">
        <w:rPr>
          <w:sz w:val="24"/>
          <w:szCs w:val="24"/>
        </w:rPr>
        <w:t>ansigtsdyskinesi</w:t>
      </w:r>
      <w:proofErr w:type="spellEnd"/>
      <w:r w:rsidRPr="0089631E">
        <w:rPr>
          <w:sz w:val="24"/>
          <w:szCs w:val="24"/>
        </w:rPr>
        <w:t xml:space="preserve">. Der er forekommet trykken for brystet, fortykkelse af bronkialsekreter, pibende vejrtrækning, tilstoppet næse, svedtendens, kulderystelser, tidlig menstruation, toksisk psykose, hovedpine, besvimelse og </w:t>
      </w:r>
      <w:proofErr w:type="spellStart"/>
      <w:r w:rsidRPr="0089631E">
        <w:rPr>
          <w:sz w:val="24"/>
          <w:szCs w:val="24"/>
        </w:rPr>
        <w:t>paræstesi</w:t>
      </w:r>
      <w:proofErr w:type="spellEnd"/>
      <w:r w:rsidRPr="0089631E">
        <w:rPr>
          <w:sz w:val="24"/>
          <w:szCs w:val="24"/>
        </w:rPr>
        <w:t>.</w:t>
      </w:r>
    </w:p>
    <w:p w14:paraId="5BC762DE" w14:textId="77777777" w:rsidR="0048621A" w:rsidRPr="0089631E" w:rsidRDefault="0048621A" w:rsidP="00076476">
      <w:pPr>
        <w:ind w:left="851"/>
        <w:rPr>
          <w:sz w:val="24"/>
          <w:szCs w:val="24"/>
        </w:rPr>
      </w:pPr>
    </w:p>
    <w:p w14:paraId="0B28C44B" w14:textId="77777777" w:rsidR="0048621A" w:rsidRPr="0089631E" w:rsidRDefault="0048621A" w:rsidP="00076476">
      <w:pPr>
        <w:ind w:left="851"/>
        <w:rPr>
          <w:sz w:val="24"/>
          <w:szCs w:val="24"/>
        </w:rPr>
      </w:pPr>
      <w:r w:rsidRPr="0089631E">
        <w:rPr>
          <w:sz w:val="24"/>
          <w:szCs w:val="24"/>
        </w:rPr>
        <w:t xml:space="preserve">I sjældne tilfælde er der indberettet </w:t>
      </w:r>
      <w:proofErr w:type="spellStart"/>
      <w:r w:rsidRPr="0089631E">
        <w:rPr>
          <w:sz w:val="24"/>
          <w:szCs w:val="24"/>
        </w:rPr>
        <w:t>agranulocytose</w:t>
      </w:r>
      <w:proofErr w:type="spellEnd"/>
      <w:r w:rsidRPr="0089631E">
        <w:rPr>
          <w:sz w:val="24"/>
          <w:szCs w:val="24"/>
        </w:rPr>
        <w:t xml:space="preserve">, </w:t>
      </w:r>
      <w:proofErr w:type="spellStart"/>
      <w:r w:rsidRPr="0089631E">
        <w:rPr>
          <w:sz w:val="24"/>
          <w:szCs w:val="24"/>
        </w:rPr>
        <w:t>hæmolytisk</w:t>
      </w:r>
      <w:proofErr w:type="spellEnd"/>
      <w:r w:rsidRPr="0089631E">
        <w:rPr>
          <w:sz w:val="24"/>
          <w:szCs w:val="24"/>
        </w:rPr>
        <w:t xml:space="preserve"> anæmi, </w:t>
      </w:r>
      <w:proofErr w:type="spellStart"/>
      <w:r w:rsidRPr="0089631E">
        <w:rPr>
          <w:sz w:val="24"/>
          <w:szCs w:val="24"/>
        </w:rPr>
        <w:t>leukopeni</w:t>
      </w:r>
      <w:proofErr w:type="spellEnd"/>
      <w:r w:rsidRPr="0089631E">
        <w:rPr>
          <w:sz w:val="24"/>
          <w:szCs w:val="24"/>
        </w:rPr>
        <w:t xml:space="preserve">, </w:t>
      </w:r>
      <w:proofErr w:type="spellStart"/>
      <w:r w:rsidRPr="0089631E">
        <w:rPr>
          <w:sz w:val="24"/>
          <w:szCs w:val="24"/>
        </w:rPr>
        <w:t>trombocytopeni</w:t>
      </w:r>
      <w:proofErr w:type="spellEnd"/>
      <w:r w:rsidRPr="0089631E">
        <w:rPr>
          <w:sz w:val="24"/>
          <w:szCs w:val="24"/>
        </w:rPr>
        <w:t xml:space="preserve"> og </w:t>
      </w:r>
      <w:proofErr w:type="spellStart"/>
      <w:r w:rsidRPr="0089631E">
        <w:rPr>
          <w:sz w:val="24"/>
          <w:szCs w:val="24"/>
        </w:rPr>
        <w:t>pancytopeni</w:t>
      </w:r>
      <w:proofErr w:type="spellEnd"/>
      <w:r w:rsidRPr="0089631E">
        <w:rPr>
          <w:sz w:val="24"/>
          <w:szCs w:val="24"/>
        </w:rPr>
        <w:t xml:space="preserve"> hos nogle få patienter, der fik visse antihistaminer. Øget appetit og/eller vægtøgning forekom også hos patienter, der fik antihistaminer.</w:t>
      </w:r>
    </w:p>
    <w:p w14:paraId="35FF20C0" w14:textId="77777777" w:rsidR="0048621A" w:rsidRPr="0089631E" w:rsidRDefault="0048621A" w:rsidP="00076476">
      <w:pPr>
        <w:ind w:left="851"/>
        <w:rPr>
          <w:sz w:val="24"/>
          <w:szCs w:val="24"/>
        </w:rPr>
      </w:pPr>
    </w:p>
    <w:p w14:paraId="179845BC" w14:textId="77777777" w:rsidR="0048621A" w:rsidRPr="0089631E" w:rsidRDefault="0048621A" w:rsidP="00076476">
      <w:pPr>
        <w:ind w:left="851"/>
        <w:rPr>
          <w:sz w:val="24"/>
          <w:szCs w:val="24"/>
          <w:u w:val="single"/>
        </w:rPr>
      </w:pPr>
      <w:r w:rsidRPr="0089631E">
        <w:rPr>
          <w:sz w:val="24"/>
          <w:szCs w:val="24"/>
          <w:u w:val="single"/>
        </w:rPr>
        <w:t>Indberetning af formodede bivirkninger</w:t>
      </w:r>
    </w:p>
    <w:p w14:paraId="7A87E077" w14:textId="6AAB779C" w:rsidR="0048621A" w:rsidRPr="0089631E" w:rsidRDefault="0048621A" w:rsidP="00076476">
      <w:pPr>
        <w:ind w:left="851"/>
        <w:rPr>
          <w:sz w:val="24"/>
          <w:szCs w:val="24"/>
        </w:rPr>
      </w:pPr>
      <w:r w:rsidRPr="0089631E">
        <w:rPr>
          <w:sz w:val="24"/>
          <w:szCs w:val="24"/>
        </w:rPr>
        <w:t>Når lægemidlet er godkendt, er indberetning af formodede bivirkninger vigtig. Det muliggør løbende overvågning af benefit/</w:t>
      </w:r>
      <w:proofErr w:type="spellStart"/>
      <w:r w:rsidRPr="0089631E">
        <w:rPr>
          <w:sz w:val="24"/>
          <w:szCs w:val="24"/>
        </w:rPr>
        <w:t>risk</w:t>
      </w:r>
      <w:proofErr w:type="spellEnd"/>
      <w:r w:rsidRPr="0089631E">
        <w:rPr>
          <w:sz w:val="24"/>
          <w:szCs w:val="24"/>
        </w:rPr>
        <w:t xml:space="preserve">-forholdet for lægemidlet. </w:t>
      </w:r>
      <w:r w:rsidR="00744908" w:rsidRPr="0089631E">
        <w:rPr>
          <w:sz w:val="24"/>
          <w:szCs w:val="24"/>
        </w:rPr>
        <w:t>S</w:t>
      </w:r>
      <w:r w:rsidRPr="0089631E">
        <w:rPr>
          <w:sz w:val="24"/>
          <w:szCs w:val="24"/>
        </w:rPr>
        <w:t>undhedsperson</w:t>
      </w:r>
      <w:r w:rsidR="00744908" w:rsidRPr="0089631E">
        <w:rPr>
          <w:sz w:val="24"/>
          <w:szCs w:val="24"/>
        </w:rPr>
        <w:t>er</w:t>
      </w:r>
      <w:r w:rsidRPr="0089631E">
        <w:rPr>
          <w:sz w:val="24"/>
          <w:szCs w:val="24"/>
        </w:rPr>
        <w:t xml:space="preserve"> anmodes om at indberette alle mistænkte bivirkninger til </w:t>
      </w:r>
    </w:p>
    <w:p w14:paraId="49BB222D" w14:textId="77777777" w:rsidR="0048621A" w:rsidRPr="0089631E" w:rsidRDefault="0048621A" w:rsidP="00076476">
      <w:pPr>
        <w:ind w:left="851"/>
        <w:rPr>
          <w:sz w:val="24"/>
          <w:szCs w:val="24"/>
        </w:rPr>
      </w:pPr>
    </w:p>
    <w:p w14:paraId="2B1AF662" w14:textId="77777777" w:rsidR="0048621A" w:rsidRPr="0089631E" w:rsidRDefault="0048621A" w:rsidP="00076476">
      <w:pPr>
        <w:ind w:left="851"/>
        <w:rPr>
          <w:sz w:val="24"/>
          <w:szCs w:val="24"/>
        </w:rPr>
      </w:pPr>
      <w:r w:rsidRPr="0089631E">
        <w:rPr>
          <w:sz w:val="24"/>
          <w:szCs w:val="24"/>
        </w:rPr>
        <w:t xml:space="preserve">Lægemiddelstyrelsen </w:t>
      </w:r>
    </w:p>
    <w:p w14:paraId="446AE5DE" w14:textId="77777777" w:rsidR="0048621A" w:rsidRPr="0089631E" w:rsidRDefault="0048621A" w:rsidP="00076476">
      <w:pPr>
        <w:ind w:left="851"/>
        <w:rPr>
          <w:sz w:val="24"/>
          <w:szCs w:val="24"/>
        </w:rPr>
      </w:pPr>
      <w:r w:rsidRPr="0089631E">
        <w:rPr>
          <w:sz w:val="24"/>
          <w:szCs w:val="24"/>
        </w:rPr>
        <w:t xml:space="preserve">Axel Heides Gade 1 </w:t>
      </w:r>
    </w:p>
    <w:p w14:paraId="54014E70" w14:textId="77777777" w:rsidR="0048621A" w:rsidRPr="0089631E" w:rsidRDefault="0048621A" w:rsidP="00076476">
      <w:pPr>
        <w:ind w:left="851"/>
        <w:rPr>
          <w:sz w:val="24"/>
          <w:szCs w:val="24"/>
        </w:rPr>
      </w:pPr>
      <w:r w:rsidRPr="0089631E">
        <w:rPr>
          <w:sz w:val="24"/>
          <w:szCs w:val="24"/>
        </w:rPr>
        <w:t xml:space="preserve">DK-2300 København S. </w:t>
      </w:r>
    </w:p>
    <w:p w14:paraId="512B01E4" w14:textId="77777777" w:rsidR="0048621A" w:rsidRPr="0089631E" w:rsidRDefault="0048621A" w:rsidP="00076476">
      <w:pPr>
        <w:ind w:left="851"/>
        <w:rPr>
          <w:sz w:val="24"/>
          <w:szCs w:val="24"/>
        </w:rPr>
      </w:pPr>
      <w:r w:rsidRPr="0089631E">
        <w:rPr>
          <w:sz w:val="24"/>
          <w:szCs w:val="24"/>
        </w:rPr>
        <w:t>Websted: www.meldenbivirkning.dk</w:t>
      </w:r>
    </w:p>
    <w:p w14:paraId="2BED4246" w14:textId="77777777" w:rsidR="009260DE" w:rsidRPr="0089631E" w:rsidRDefault="009260DE" w:rsidP="00A10294">
      <w:pPr>
        <w:tabs>
          <w:tab w:val="left" w:pos="851"/>
        </w:tabs>
        <w:ind w:left="851"/>
        <w:rPr>
          <w:sz w:val="24"/>
          <w:szCs w:val="24"/>
        </w:rPr>
      </w:pPr>
    </w:p>
    <w:p w14:paraId="48143013" w14:textId="77777777" w:rsidR="009260DE" w:rsidRPr="0089631E" w:rsidRDefault="009260DE" w:rsidP="009260DE">
      <w:pPr>
        <w:tabs>
          <w:tab w:val="left" w:pos="851"/>
        </w:tabs>
        <w:ind w:left="851" w:hanging="851"/>
        <w:rPr>
          <w:b/>
          <w:sz w:val="24"/>
          <w:szCs w:val="24"/>
        </w:rPr>
      </w:pPr>
      <w:r w:rsidRPr="0089631E">
        <w:rPr>
          <w:b/>
          <w:sz w:val="24"/>
          <w:szCs w:val="24"/>
        </w:rPr>
        <w:t>4.9</w:t>
      </w:r>
      <w:r w:rsidRPr="0089631E">
        <w:rPr>
          <w:b/>
          <w:sz w:val="24"/>
          <w:szCs w:val="24"/>
        </w:rPr>
        <w:tab/>
        <w:t>Overdosering</w:t>
      </w:r>
    </w:p>
    <w:p w14:paraId="4FC56BFC" w14:textId="77777777" w:rsidR="0048621A" w:rsidRPr="0089631E" w:rsidRDefault="0048621A" w:rsidP="00076476">
      <w:pPr>
        <w:ind w:left="851"/>
        <w:rPr>
          <w:sz w:val="24"/>
          <w:szCs w:val="24"/>
          <w:lang w:eastAsia="en-GB"/>
        </w:rPr>
      </w:pPr>
      <w:proofErr w:type="spellStart"/>
      <w:r w:rsidRPr="0089631E">
        <w:rPr>
          <w:sz w:val="24"/>
          <w:szCs w:val="24"/>
        </w:rPr>
        <w:t>Bonjesta</w:t>
      </w:r>
      <w:proofErr w:type="spellEnd"/>
      <w:r w:rsidRPr="0089631E">
        <w:rPr>
          <w:sz w:val="24"/>
          <w:szCs w:val="24"/>
        </w:rPr>
        <w:t xml:space="preserve"> er en formulering med modificeret udløsning. Derfor er tegn og symptomer muligvis ikke tydelige med det samme.</w:t>
      </w:r>
    </w:p>
    <w:p w14:paraId="63CC7EA2" w14:textId="77777777" w:rsidR="0048621A" w:rsidRPr="0089631E" w:rsidRDefault="0048621A" w:rsidP="00076476">
      <w:pPr>
        <w:ind w:left="851"/>
        <w:rPr>
          <w:sz w:val="24"/>
          <w:szCs w:val="24"/>
          <w:u w:val="single"/>
        </w:rPr>
      </w:pPr>
    </w:p>
    <w:p w14:paraId="3722EFC2" w14:textId="77777777" w:rsidR="0048621A" w:rsidRPr="0089631E" w:rsidRDefault="0048621A" w:rsidP="00076476">
      <w:pPr>
        <w:ind w:left="851"/>
        <w:rPr>
          <w:sz w:val="24"/>
          <w:szCs w:val="24"/>
          <w:u w:val="single"/>
        </w:rPr>
      </w:pPr>
      <w:r w:rsidRPr="0089631E">
        <w:rPr>
          <w:sz w:val="24"/>
          <w:szCs w:val="24"/>
          <w:u w:val="single"/>
        </w:rPr>
        <w:t>Symptomer</w:t>
      </w:r>
    </w:p>
    <w:p w14:paraId="5254B653" w14:textId="77777777" w:rsidR="0048621A" w:rsidRPr="0089631E" w:rsidRDefault="0048621A" w:rsidP="00076476">
      <w:pPr>
        <w:ind w:left="851"/>
        <w:rPr>
          <w:sz w:val="24"/>
          <w:szCs w:val="24"/>
        </w:rPr>
      </w:pPr>
    </w:p>
    <w:p w14:paraId="16E3679F" w14:textId="77777777" w:rsidR="0048621A" w:rsidRPr="0089631E" w:rsidRDefault="0048621A" w:rsidP="00076476">
      <w:pPr>
        <w:ind w:left="851"/>
        <w:rPr>
          <w:sz w:val="24"/>
          <w:szCs w:val="24"/>
        </w:rPr>
      </w:pPr>
      <w:r w:rsidRPr="0089631E">
        <w:rPr>
          <w:sz w:val="24"/>
          <w:szCs w:val="24"/>
        </w:rPr>
        <w:t xml:space="preserve">Tegn og symptomer på overdosering kan omfatte rastløshed, mundtørhed, udvidede pupiller, søvnighed, </w:t>
      </w:r>
      <w:proofErr w:type="spellStart"/>
      <w:r w:rsidRPr="0089631E">
        <w:rPr>
          <w:sz w:val="24"/>
          <w:szCs w:val="24"/>
        </w:rPr>
        <w:t>vertigo</w:t>
      </w:r>
      <w:proofErr w:type="spellEnd"/>
      <w:r w:rsidRPr="0089631E">
        <w:rPr>
          <w:sz w:val="24"/>
          <w:szCs w:val="24"/>
        </w:rPr>
        <w:t xml:space="preserve">, mental konfusion og </w:t>
      </w:r>
      <w:proofErr w:type="spellStart"/>
      <w:r w:rsidRPr="0089631E">
        <w:rPr>
          <w:sz w:val="24"/>
          <w:szCs w:val="24"/>
        </w:rPr>
        <w:t>takykardi</w:t>
      </w:r>
      <w:proofErr w:type="spellEnd"/>
      <w:r w:rsidRPr="0089631E">
        <w:rPr>
          <w:sz w:val="24"/>
          <w:szCs w:val="24"/>
        </w:rPr>
        <w:t>.</w:t>
      </w:r>
    </w:p>
    <w:p w14:paraId="2D0AED98" w14:textId="77777777" w:rsidR="0048621A" w:rsidRPr="0089631E" w:rsidRDefault="0048621A" w:rsidP="00076476">
      <w:pPr>
        <w:ind w:left="851"/>
        <w:rPr>
          <w:sz w:val="24"/>
          <w:szCs w:val="24"/>
        </w:rPr>
      </w:pPr>
    </w:p>
    <w:p w14:paraId="1749A7DA" w14:textId="77777777" w:rsidR="0048621A" w:rsidRPr="0089631E" w:rsidRDefault="0048621A" w:rsidP="00076476">
      <w:pPr>
        <w:ind w:left="851"/>
        <w:rPr>
          <w:sz w:val="24"/>
          <w:szCs w:val="24"/>
        </w:rPr>
      </w:pPr>
      <w:r w:rsidRPr="0089631E">
        <w:rPr>
          <w:sz w:val="24"/>
          <w:szCs w:val="24"/>
        </w:rPr>
        <w:lastRenderedPageBreak/>
        <w:t xml:space="preserve">Ved toksiske doser udviser </w:t>
      </w:r>
      <w:proofErr w:type="spellStart"/>
      <w:r w:rsidRPr="0089631E">
        <w:rPr>
          <w:sz w:val="24"/>
          <w:szCs w:val="24"/>
        </w:rPr>
        <w:t>doxylamin</w:t>
      </w:r>
      <w:proofErr w:type="spellEnd"/>
      <w:r w:rsidRPr="0089631E">
        <w:rPr>
          <w:sz w:val="24"/>
          <w:szCs w:val="24"/>
        </w:rPr>
        <w:t xml:space="preserve"> </w:t>
      </w:r>
      <w:proofErr w:type="spellStart"/>
      <w:r w:rsidRPr="0089631E">
        <w:rPr>
          <w:sz w:val="24"/>
          <w:szCs w:val="24"/>
        </w:rPr>
        <w:t>antikolinerge</w:t>
      </w:r>
      <w:proofErr w:type="spellEnd"/>
      <w:r w:rsidRPr="0089631E">
        <w:rPr>
          <w:sz w:val="24"/>
          <w:szCs w:val="24"/>
        </w:rPr>
        <w:t xml:space="preserve"> virkninger, herunder kramper, </w:t>
      </w:r>
      <w:proofErr w:type="spellStart"/>
      <w:r w:rsidRPr="0089631E">
        <w:rPr>
          <w:sz w:val="24"/>
          <w:szCs w:val="24"/>
        </w:rPr>
        <w:t>rhabdomyolyse</w:t>
      </w:r>
      <w:proofErr w:type="spellEnd"/>
      <w:r w:rsidRPr="0089631E">
        <w:rPr>
          <w:sz w:val="24"/>
          <w:szCs w:val="24"/>
        </w:rPr>
        <w:t xml:space="preserve">, akut nyresvigt, </w:t>
      </w:r>
      <w:proofErr w:type="spellStart"/>
      <w:r w:rsidRPr="0089631E">
        <w:rPr>
          <w:sz w:val="24"/>
          <w:szCs w:val="24"/>
        </w:rPr>
        <w:t>arytmier</w:t>
      </w:r>
      <w:proofErr w:type="spellEnd"/>
      <w:r w:rsidRPr="0089631E">
        <w:rPr>
          <w:sz w:val="24"/>
          <w:szCs w:val="24"/>
        </w:rPr>
        <w:t xml:space="preserve">, </w:t>
      </w:r>
      <w:proofErr w:type="spellStart"/>
      <w:r w:rsidRPr="0089631E">
        <w:rPr>
          <w:sz w:val="24"/>
          <w:szCs w:val="24"/>
        </w:rPr>
        <w:t>torsade</w:t>
      </w:r>
      <w:proofErr w:type="spellEnd"/>
      <w:r w:rsidRPr="0089631E">
        <w:rPr>
          <w:sz w:val="24"/>
          <w:szCs w:val="24"/>
        </w:rPr>
        <w:t xml:space="preserve"> de pointes og død.</w:t>
      </w:r>
    </w:p>
    <w:p w14:paraId="7FB9228B" w14:textId="77777777" w:rsidR="0048621A" w:rsidRPr="0089631E" w:rsidRDefault="0048621A" w:rsidP="00076476">
      <w:pPr>
        <w:ind w:left="851"/>
        <w:rPr>
          <w:sz w:val="24"/>
          <w:szCs w:val="24"/>
          <w:u w:val="single"/>
        </w:rPr>
      </w:pPr>
    </w:p>
    <w:p w14:paraId="7C6F3237" w14:textId="77777777" w:rsidR="0048621A" w:rsidRPr="0089631E" w:rsidRDefault="0048621A" w:rsidP="00076476">
      <w:pPr>
        <w:ind w:left="851"/>
        <w:rPr>
          <w:sz w:val="24"/>
          <w:szCs w:val="24"/>
          <w:u w:val="single"/>
        </w:rPr>
      </w:pPr>
      <w:r w:rsidRPr="0089631E">
        <w:rPr>
          <w:sz w:val="24"/>
          <w:szCs w:val="24"/>
          <w:u w:val="single"/>
        </w:rPr>
        <w:t>Håndtering</w:t>
      </w:r>
    </w:p>
    <w:p w14:paraId="50E674C5" w14:textId="77777777" w:rsidR="0048621A" w:rsidRPr="0089631E" w:rsidRDefault="0048621A" w:rsidP="00076476">
      <w:pPr>
        <w:ind w:left="851"/>
        <w:rPr>
          <w:sz w:val="24"/>
          <w:szCs w:val="24"/>
        </w:rPr>
      </w:pPr>
    </w:p>
    <w:p w14:paraId="341A8F18" w14:textId="77777777" w:rsidR="0048621A" w:rsidRPr="0089631E" w:rsidRDefault="0048621A" w:rsidP="00076476">
      <w:pPr>
        <w:ind w:left="851"/>
        <w:rPr>
          <w:sz w:val="24"/>
          <w:szCs w:val="24"/>
        </w:rPr>
      </w:pPr>
      <w:r w:rsidRPr="0089631E">
        <w:rPr>
          <w:sz w:val="24"/>
          <w:szCs w:val="24"/>
        </w:rPr>
        <w:t>I tilfælde af en overdosis består behandlingen af aktivt kul, skylning af hele tarmen og symptomatisk behandling. Behandlingen skal være i overensstemmelse med de fastlagte retningslinjer for behandling.</w:t>
      </w:r>
    </w:p>
    <w:p w14:paraId="79F06A46" w14:textId="77777777" w:rsidR="0048621A" w:rsidRPr="0089631E" w:rsidRDefault="0048621A" w:rsidP="00076476">
      <w:pPr>
        <w:ind w:left="851"/>
        <w:rPr>
          <w:sz w:val="24"/>
          <w:szCs w:val="24"/>
          <w:u w:val="single"/>
        </w:rPr>
      </w:pPr>
    </w:p>
    <w:p w14:paraId="172A087A" w14:textId="77777777" w:rsidR="0048621A" w:rsidRPr="0089631E" w:rsidRDefault="0048621A" w:rsidP="00076476">
      <w:pPr>
        <w:ind w:left="851"/>
        <w:rPr>
          <w:sz w:val="24"/>
          <w:szCs w:val="24"/>
          <w:u w:val="single"/>
        </w:rPr>
      </w:pPr>
      <w:r w:rsidRPr="0089631E">
        <w:rPr>
          <w:sz w:val="24"/>
          <w:szCs w:val="24"/>
          <w:u w:val="single"/>
        </w:rPr>
        <w:t>Pædiatrisk population</w:t>
      </w:r>
    </w:p>
    <w:p w14:paraId="4293EC57" w14:textId="77777777" w:rsidR="0048621A" w:rsidRPr="0089631E" w:rsidRDefault="0048621A" w:rsidP="00076476">
      <w:pPr>
        <w:ind w:left="851"/>
        <w:rPr>
          <w:sz w:val="24"/>
          <w:szCs w:val="24"/>
        </w:rPr>
      </w:pPr>
    </w:p>
    <w:p w14:paraId="3FDE8C0A" w14:textId="77777777" w:rsidR="0048621A" w:rsidRPr="0089631E" w:rsidRDefault="0048621A" w:rsidP="00076476">
      <w:pPr>
        <w:ind w:left="851"/>
        <w:rPr>
          <w:sz w:val="24"/>
          <w:szCs w:val="24"/>
        </w:rPr>
      </w:pPr>
      <w:r w:rsidRPr="0089631E">
        <w:rPr>
          <w:sz w:val="24"/>
          <w:szCs w:val="24"/>
        </w:rPr>
        <w:t xml:space="preserve">Der er indberetninger om dødsfald som følge af overdosering af </w:t>
      </w:r>
      <w:proofErr w:type="spellStart"/>
      <w:r w:rsidRPr="0089631E">
        <w:rPr>
          <w:sz w:val="24"/>
          <w:szCs w:val="24"/>
        </w:rPr>
        <w:t>doxylamin</w:t>
      </w:r>
      <w:proofErr w:type="spellEnd"/>
      <w:r w:rsidRPr="0089631E">
        <w:rPr>
          <w:sz w:val="24"/>
          <w:szCs w:val="24"/>
        </w:rPr>
        <w:t xml:space="preserve"> hos børn. Tilfældene med overdosering har været karakteriseret ved koma, grand mal-anfald og akut hjertestop. Børn ser ud til at have en høj risiko for hjertestop. Der er rapporteret om en toksisk dosis for børn på mere end 1,8 mg/kg. Et 3-årigt barn døde 18 timer efter at have indtaget 1000 mg </w:t>
      </w:r>
      <w:proofErr w:type="spellStart"/>
      <w:r w:rsidRPr="0089631E">
        <w:rPr>
          <w:sz w:val="24"/>
          <w:szCs w:val="24"/>
        </w:rPr>
        <w:t>doxylamin-hydrogensuccinat</w:t>
      </w:r>
      <w:proofErr w:type="spellEnd"/>
      <w:r w:rsidRPr="0089631E">
        <w:rPr>
          <w:sz w:val="24"/>
          <w:szCs w:val="24"/>
        </w:rPr>
        <w:t xml:space="preserve">. Der er dog ingen sammenhæng mellem mængden af indtaget </w:t>
      </w:r>
      <w:proofErr w:type="spellStart"/>
      <w:r w:rsidRPr="0089631E">
        <w:rPr>
          <w:sz w:val="24"/>
          <w:szCs w:val="24"/>
        </w:rPr>
        <w:t>doxylamin</w:t>
      </w:r>
      <w:proofErr w:type="spellEnd"/>
      <w:r w:rsidRPr="0089631E">
        <w:rPr>
          <w:sz w:val="24"/>
          <w:szCs w:val="24"/>
        </w:rPr>
        <w:t xml:space="preserve">, niveauet af </w:t>
      </w:r>
      <w:proofErr w:type="spellStart"/>
      <w:r w:rsidRPr="0089631E">
        <w:rPr>
          <w:sz w:val="24"/>
          <w:szCs w:val="24"/>
        </w:rPr>
        <w:t>doxylamin</w:t>
      </w:r>
      <w:proofErr w:type="spellEnd"/>
      <w:r w:rsidRPr="0089631E">
        <w:rPr>
          <w:sz w:val="24"/>
          <w:szCs w:val="24"/>
        </w:rPr>
        <w:t xml:space="preserve"> i plasma og klinisk symptomatologi.</w:t>
      </w:r>
    </w:p>
    <w:p w14:paraId="156A0F7D" w14:textId="77777777" w:rsidR="009260DE" w:rsidRPr="0089631E" w:rsidRDefault="009260DE" w:rsidP="009260DE">
      <w:pPr>
        <w:tabs>
          <w:tab w:val="left" w:pos="851"/>
        </w:tabs>
        <w:ind w:left="851"/>
        <w:rPr>
          <w:sz w:val="24"/>
          <w:szCs w:val="24"/>
        </w:rPr>
      </w:pPr>
    </w:p>
    <w:p w14:paraId="20E0F020" w14:textId="77777777" w:rsidR="009260DE" w:rsidRPr="0089631E" w:rsidRDefault="009260DE" w:rsidP="009260DE">
      <w:pPr>
        <w:tabs>
          <w:tab w:val="left" w:pos="851"/>
        </w:tabs>
        <w:ind w:left="851" w:hanging="851"/>
        <w:rPr>
          <w:b/>
          <w:sz w:val="24"/>
          <w:szCs w:val="24"/>
        </w:rPr>
      </w:pPr>
      <w:r w:rsidRPr="0089631E">
        <w:rPr>
          <w:b/>
          <w:sz w:val="24"/>
          <w:szCs w:val="24"/>
        </w:rPr>
        <w:t>4.10</w:t>
      </w:r>
      <w:r w:rsidRPr="0089631E">
        <w:rPr>
          <w:b/>
          <w:sz w:val="24"/>
          <w:szCs w:val="24"/>
        </w:rPr>
        <w:tab/>
        <w:t>Udlevering</w:t>
      </w:r>
    </w:p>
    <w:p w14:paraId="7068BA90" w14:textId="7A0A611E" w:rsidR="009260DE" w:rsidRPr="0089631E" w:rsidRDefault="00744908" w:rsidP="009260DE">
      <w:pPr>
        <w:tabs>
          <w:tab w:val="left" w:pos="851"/>
        </w:tabs>
        <w:ind w:left="851"/>
        <w:rPr>
          <w:sz w:val="24"/>
          <w:szCs w:val="24"/>
        </w:rPr>
      </w:pPr>
      <w:r w:rsidRPr="0089631E">
        <w:rPr>
          <w:sz w:val="24"/>
          <w:szCs w:val="24"/>
        </w:rPr>
        <w:t>B</w:t>
      </w:r>
    </w:p>
    <w:p w14:paraId="7CCA1654" w14:textId="77777777" w:rsidR="009260DE" w:rsidRPr="0089631E" w:rsidRDefault="009260DE" w:rsidP="009260DE">
      <w:pPr>
        <w:tabs>
          <w:tab w:val="left" w:pos="851"/>
        </w:tabs>
        <w:ind w:left="851"/>
        <w:rPr>
          <w:sz w:val="24"/>
          <w:szCs w:val="24"/>
        </w:rPr>
      </w:pPr>
    </w:p>
    <w:p w14:paraId="6FC783A2" w14:textId="77777777" w:rsidR="009260DE" w:rsidRPr="0089631E" w:rsidRDefault="009260DE" w:rsidP="009260DE">
      <w:pPr>
        <w:tabs>
          <w:tab w:val="left" w:pos="851"/>
        </w:tabs>
        <w:ind w:left="851"/>
        <w:rPr>
          <w:sz w:val="24"/>
          <w:szCs w:val="24"/>
        </w:rPr>
      </w:pPr>
    </w:p>
    <w:p w14:paraId="5411C613" w14:textId="77777777" w:rsidR="009260DE" w:rsidRPr="0089631E" w:rsidRDefault="009260DE" w:rsidP="009260DE">
      <w:pPr>
        <w:tabs>
          <w:tab w:val="left" w:pos="851"/>
        </w:tabs>
        <w:ind w:left="851" w:hanging="851"/>
        <w:rPr>
          <w:b/>
          <w:sz w:val="24"/>
          <w:szCs w:val="24"/>
        </w:rPr>
      </w:pPr>
      <w:r w:rsidRPr="0089631E">
        <w:rPr>
          <w:b/>
          <w:sz w:val="24"/>
          <w:szCs w:val="24"/>
        </w:rPr>
        <w:t>5.</w:t>
      </w:r>
      <w:r w:rsidRPr="0089631E">
        <w:rPr>
          <w:b/>
          <w:sz w:val="24"/>
          <w:szCs w:val="24"/>
        </w:rPr>
        <w:tab/>
        <w:t>FARMAKOLOGISKE EGENSKABER</w:t>
      </w:r>
    </w:p>
    <w:p w14:paraId="48E8BA37" w14:textId="77777777" w:rsidR="009260DE" w:rsidRPr="0089631E" w:rsidRDefault="009260DE" w:rsidP="009260DE">
      <w:pPr>
        <w:tabs>
          <w:tab w:val="left" w:pos="851"/>
        </w:tabs>
        <w:ind w:left="851"/>
        <w:rPr>
          <w:sz w:val="24"/>
          <w:szCs w:val="24"/>
        </w:rPr>
      </w:pPr>
    </w:p>
    <w:p w14:paraId="233CBEBA" w14:textId="77777777" w:rsidR="009260DE" w:rsidRPr="0089631E" w:rsidRDefault="009260DE" w:rsidP="009260DE">
      <w:pPr>
        <w:tabs>
          <w:tab w:val="num" w:pos="851"/>
        </w:tabs>
        <w:ind w:left="851" w:hanging="851"/>
        <w:rPr>
          <w:b/>
          <w:sz w:val="24"/>
          <w:szCs w:val="24"/>
        </w:rPr>
      </w:pPr>
      <w:r w:rsidRPr="0089631E">
        <w:rPr>
          <w:b/>
          <w:sz w:val="24"/>
          <w:szCs w:val="24"/>
        </w:rPr>
        <w:t>5.1</w:t>
      </w:r>
      <w:r w:rsidRPr="0089631E">
        <w:rPr>
          <w:b/>
          <w:sz w:val="24"/>
          <w:szCs w:val="24"/>
        </w:rPr>
        <w:tab/>
      </w:r>
      <w:proofErr w:type="spellStart"/>
      <w:r w:rsidRPr="0089631E">
        <w:rPr>
          <w:b/>
          <w:sz w:val="24"/>
          <w:szCs w:val="24"/>
        </w:rPr>
        <w:t>Farmakodynamiske</w:t>
      </w:r>
      <w:proofErr w:type="spellEnd"/>
      <w:r w:rsidRPr="0089631E">
        <w:rPr>
          <w:b/>
          <w:sz w:val="24"/>
          <w:szCs w:val="24"/>
        </w:rPr>
        <w:t xml:space="preserve"> egenskaber</w:t>
      </w:r>
    </w:p>
    <w:p w14:paraId="6AEDB1BB" w14:textId="77777777" w:rsidR="0048621A" w:rsidRPr="0089631E" w:rsidRDefault="0048621A" w:rsidP="00076476">
      <w:pPr>
        <w:ind w:left="851"/>
        <w:rPr>
          <w:sz w:val="24"/>
          <w:szCs w:val="24"/>
          <w:lang w:eastAsia="en-GB"/>
        </w:rPr>
      </w:pPr>
      <w:proofErr w:type="spellStart"/>
      <w:r w:rsidRPr="0089631E">
        <w:rPr>
          <w:sz w:val="24"/>
          <w:szCs w:val="24"/>
        </w:rPr>
        <w:t>Farmakoterapeutisk</w:t>
      </w:r>
      <w:proofErr w:type="spellEnd"/>
      <w:r w:rsidRPr="0089631E">
        <w:rPr>
          <w:sz w:val="24"/>
          <w:szCs w:val="24"/>
        </w:rPr>
        <w:t xml:space="preserve"> klassifikation: Antihistaminer til systemisk brug. ATC-kode: R06AA59</w:t>
      </w:r>
    </w:p>
    <w:p w14:paraId="3BC84D11" w14:textId="77777777" w:rsidR="0048621A" w:rsidRPr="0089631E" w:rsidRDefault="0048621A" w:rsidP="00076476">
      <w:pPr>
        <w:ind w:left="851"/>
        <w:rPr>
          <w:sz w:val="24"/>
          <w:szCs w:val="24"/>
          <w:u w:val="single"/>
        </w:rPr>
      </w:pPr>
    </w:p>
    <w:p w14:paraId="0E416204" w14:textId="77777777" w:rsidR="0048621A" w:rsidRPr="0089631E" w:rsidRDefault="0048621A" w:rsidP="00076476">
      <w:pPr>
        <w:ind w:left="851"/>
        <w:rPr>
          <w:sz w:val="24"/>
          <w:szCs w:val="24"/>
          <w:u w:val="single"/>
        </w:rPr>
      </w:pPr>
      <w:r w:rsidRPr="0089631E">
        <w:rPr>
          <w:sz w:val="24"/>
          <w:szCs w:val="24"/>
          <w:u w:val="single"/>
        </w:rPr>
        <w:t>Virkningsmekanisme</w:t>
      </w:r>
    </w:p>
    <w:p w14:paraId="7D59E8F3" w14:textId="77777777" w:rsidR="0048621A" w:rsidRPr="0089631E" w:rsidRDefault="0048621A" w:rsidP="00076476">
      <w:pPr>
        <w:ind w:left="851"/>
        <w:rPr>
          <w:sz w:val="24"/>
          <w:szCs w:val="24"/>
        </w:rPr>
      </w:pPr>
    </w:p>
    <w:p w14:paraId="7D4AA6A3" w14:textId="77777777" w:rsidR="0048621A" w:rsidRPr="0089631E" w:rsidRDefault="0048621A" w:rsidP="00076476">
      <w:pPr>
        <w:ind w:left="851"/>
        <w:rPr>
          <w:sz w:val="24"/>
          <w:szCs w:val="24"/>
        </w:rPr>
      </w:pPr>
      <w:proofErr w:type="spellStart"/>
      <w:r w:rsidRPr="0089631E">
        <w:rPr>
          <w:sz w:val="24"/>
          <w:szCs w:val="24"/>
        </w:rPr>
        <w:t>Bonjestas</w:t>
      </w:r>
      <w:proofErr w:type="spellEnd"/>
      <w:r w:rsidRPr="0089631E">
        <w:rPr>
          <w:sz w:val="24"/>
          <w:szCs w:val="24"/>
        </w:rPr>
        <w:t xml:space="preserve"> virkemåde skyldes to ikke-relaterede forbindelser. </w:t>
      </w:r>
      <w:proofErr w:type="spellStart"/>
      <w:r w:rsidRPr="0089631E">
        <w:rPr>
          <w:sz w:val="24"/>
          <w:szCs w:val="24"/>
        </w:rPr>
        <w:t>Doxylaminhydrogensuccinat</w:t>
      </w:r>
      <w:proofErr w:type="spellEnd"/>
      <w:r w:rsidRPr="0089631E">
        <w:rPr>
          <w:sz w:val="24"/>
          <w:szCs w:val="24"/>
        </w:rPr>
        <w:t xml:space="preserve"> (et antihistamin) og </w:t>
      </w:r>
      <w:proofErr w:type="spellStart"/>
      <w:r w:rsidRPr="0089631E">
        <w:rPr>
          <w:sz w:val="24"/>
          <w:szCs w:val="24"/>
        </w:rPr>
        <w:t>pyridoxinhydrochlorid</w:t>
      </w:r>
      <w:proofErr w:type="spellEnd"/>
      <w:r w:rsidRPr="0089631E">
        <w:rPr>
          <w:sz w:val="24"/>
          <w:szCs w:val="24"/>
        </w:rPr>
        <w:t xml:space="preserve"> (vitamin B6) har kvalmestillende og </w:t>
      </w:r>
      <w:proofErr w:type="spellStart"/>
      <w:r w:rsidRPr="0089631E">
        <w:rPr>
          <w:sz w:val="24"/>
          <w:szCs w:val="24"/>
        </w:rPr>
        <w:t>antiemetisk</w:t>
      </w:r>
      <w:proofErr w:type="spellEnd"/>
      <w:r w:rsidRPr="0089631E">
        <w:rPr>
          <w:sz w:val="24"/>
          <w:szCs w:val="24"/>
        </w:rPr>
        <w:t xml:space="preserve"> aktivitet.</w:t>
      </w:r>
    </w:p>
    <w:p w14:paraId="33E7BEDD" w14:textId="77777777" w:rsidR="0048621A" w:rsidRPr="0089631E" w:rsidRDefault="0048621A" w:rsidP="00076476">
      <w:pPr>
        <w:ind w:left="851"/>
        <w:rPr>
          <w:sz w:val="24"/>
          <w:szCs w:val="24"/>
        </w:rPr>
      </w:pPr>
    </w:p>
    <w:p w14:paraId="5C9203AB" w14:textId="77777777" w:rsidR="0048621A" w:rsidRPr="0089631E" w:rsidRDefault="0048621A" w:rsidP="00076476">
      <w:pPr>
        <w:ind w:left="851"/>
        <w:rPr>
          <w:sz w:val="24"/>
          <w:szCs w:val="24"/>
        </w:rPr>
      </w:pPr>
      <w:proofErr w:type="spellStart"/>
      <w:r w:rsidRPr="0089631E">
        <w:rPr>
          <w:sz w:val="24"/>
          <w:szCs w:val="24"/>
        </w:rPr>
        <w:t>Doxylaminhydrogensuccinat</w:t>
      </w:r>
      <w:proofErr w:type="spellEnd"/>
      <w:r w:rsidRPr="0089631E">
        <w:rPr>
          <w:sz w:val="24"/>
          <w:szCs w:val="24"/>
        </w:rPr>
        <w:t xml:space="preserve"> er et </w:t>
      </w:r>
      <w:proofErr w:type="spellStart"/>
      <w:r w:rsidRPr="0089631E">
        <w:rPr>
          <w:sz w:val="24"/>
          <w:szCs w:val="24"/>
        </w:rPr>
        <w:t>ethanolaminderivat</w:t>
      </w:r>
      <w:proofErr w:type="spellEnd"/>
      <w:r w:rsidRPr="0089631E">
        <w:rPr>
          <w:sz w:val="24"/>
          <w:szCs w:val="24"/>
        </w:rPr>
        <w:t xml:space="preserve">, et førstegenerations antihistamin, der </w:t>
      </w:r>
      <w:proofErr w:type="spellStart"/>
      <w:r w:rsidRPr="0089631E">
        <w:rPr>
          <w:sz w:val="24"/>
          <w:szCs w:val="24"/>
        </w:rPr>
        <w:t>kompetitivt</w:t>
      </w:r>
      <w:proofErr w:type="spellEnd"/>
      <w:r w:rsidRPr="0089631E">
        <w:rPr>
          <w:sz w:val="24"/>
          <w:szCs w:val="24"/>
        </w:rPr>
        <w:t xml:space="preserve">, reversibelt og ikke-specifikt blokerer H1-receptorer. Det er desuden en ikke-specifik antagonist, der blokerer andre receptorer som f.eks. centrale eller perifere </w:t>
      </w:r>
      <w:proofErr w:type="spellStart"/>
      <w:r w:rsidRPr="0089631E">
        <w:rPr>
          <w:sz w:val="24"/>
          <w:szCs w:val="24"/>
        </w:rPr>
        <w:t>muskarine</w:t>
      </w:r>
      <w:proofErr w:type="spellEnd"/>
      <w:r w:rsidRPr="0089631E">
        <w:rPr>
          <w:sz w:val="24"/>
          <w:szCs w:val="24"/>
        </w:rPr>
        <w:t xml:space="preserve"> receptorer. Den </w:t>
      </w:r>
      <w:proofErr w:type="spellStart"/>
      <w:r w:rsidRPr="0089631E">
        <w:rPr>
          <w:sz w:val="24"/>
          <w:szCs w:val="24"/>
        </w:rPr>
        <w:t>antiemetiske</w:t>
      </w:r>
      <w:proofErr w:type="spellEnd"/>
      <w:r w:rsidRPr="0089631E">
        <w:rPr>
          <w:sz w:val="24"/>
          <w:szCs w:val="24"/>
        </w:rPr>
        <w:t xml:space="preserve"> virkning af </w:t>
      </w:r>
      <w:proofErr w:type="spellStart"/>
      <w:r w:rsidRPr="0089631E">
        <w:rPr>
          <w:sz w:val="24"/>
          <w:szCs w:val="24"/>
        </w:rPr>
        <w:t>doxylamin</w:t>
      </w:r>
      <w:proofErr w:type="spellEnd"/>
      <w:r w:rsidRPr="0089631E">
        <w:rPr>
          <w:sz w:val="24"/>
          <w:szCs w:val="24"/>
        </w:rPr>
        <w:t xml:space="preserve"> er også forbundet med blokering af de centrale </w:t>
      </w:r>
      <w:proofErr w:type="spellStart"/>
      <w:r w:rsidRPr="0089631E">
        <w:rPr>
          <w:sz w:val="24"/>
          <w:szCs w:val="24"/>
        </w:rPr>
        <w:t>kolinerge</w:t>
      </w:r>
      <w:proofErr w:type="spellEnd"/>
      <w:r w:rsidRPr="0089631E">
        <w:rPr>
          <w:sz w:val="24"/>
          <w:szCs w:val="24"/>
        </w:rPr>
        <w:t xml:space="preserve"> receptorer og H1-receptorer, selvom virkningsmekanismen er ukendt.</w:t>
      </w:r>
    </w:p>
    <w:p w14:paraId="68A399B9" w14:textId="72A74F02" w:rsidR="0048621A" w:rsidRPr="0089631E" w:rsidRDefault="0048621A" w:rsidP="00076476">
      <w:pPr>
        <w:ind w:left="851"/>
        <w:rPr>
          <w:sz w:val="24"/>
          <w:szCs w:val="24"/>
        </w:rPr>
      </w:pPr>
    </w:p>
    <w:p w14:paraId="674D4FE8" w14:textId="77777777" w:rsidR="0048621A" w:rsidRPr="0089631E" w:rsidRDefault="0048621A" w:rsidP="00076476">
      <w:pPr>
        <w:ind w:left="851"/>
        <w:rPr>
          <w:sz w:val="24"/>
          <w:szCs w:val="24"/>
        </w:rPr>
      </w:pPr>
      <w:proofErr w:type="spellStart"/>
      <w:r w:rsidRPr="0089631E">
        <w:rPr>
          <w:sz w:val="24"/>
          <w:szCs w:val="24"/>
        </w:rPr>
        <w:t>Pyridoxinhydrochlorid</w:t>
      </w:r>
      <w:proofErr w:type="spellEnd"/>
      <w:r w:rsidRPr="0089631E">
        <w:rPr>
          <w:sz w:val="24"/>
          <w:szCs w:val="24"/>
        </w:rPr>
        <w:t xml:space="preserve">, et vandopløseligt vitamin, omdannes til </w:t>
      </w:r>
      <w:proofErr w:type="spellStart"/>
      <w:r w:rsidRPr="0089631E">
        <w:rPr>
          <w:sz w:val="24"/>
          <w:szCs w:val="24"/>
        </w:rPr>
        <w:t>pyridoxal</w:t>
      </w:r>
      <w:proofErr w:type="spellEnd"/>
      <w:r w:rsidRPr="0089631E">
        <w:rPr>
          <w:sz w:val="24"/>
          <w:szCs w:val="24"/>
        </w:rPr>
        <w:t xml:space="preserve">, </w:t>
      </w:r>
      <w:proofErr w:type="spellStart"/>
      <w:r w:rsidRPr="0089631E">
        <w:rPr>
          <w:sz w:val="24"/>
          <w:szCs w:val="24"/>
        </w:rPr>
        <w:t>pyridoxamin</w:t>
      </w:r>
      <w:proofErr w:type="spellEnd"/>
      <w:r w:rsidRPr="0089631E">
        <w:rPr>
          <w:sz w:val="24"/>
          <w:szCs w:val="24"/>
        </w:rPr>
        <w:t xml:space="preserve">, </w:t>
      </w:r>
      <w:proofErr w:type="spellStart"/>
      <w:r w:rsidRPr="0089631E">
        <w:rPr>
          <w:sz w:val="24"/>
          <w:szCs w:val="24"/>
        </w:rPr>
        <w:t>pyridoxal</w:t>
      </w:r>
      <w:proofErr w:type="spellEnd"/>
      <w:r w:rsidRPr="0089631E">
        <w:rPr>
          <w:sz w:val="24"/>
          <w:szCs w:val="24"/>
        </w:rPr>
        <w:t xml:space="preserve"> 5'-phosphat og </w:t>
      </w:r>
      <w:proofErr w:type="spellStart"/>
      <w:r w:rsidRPr="0089631E">
        <w:rPr>
          <w:sz w:val="24"/>
          <w:szCs w:val="24"/>
        </w:rPr>
        <w:t>pyridoxamin</w:t>
      </w:r>
      <w:proofErr w:type="spellEnd"/>
      <w:r w:rsidRPr="0089631E">
        <w:rPr>
          <w:sz w:val="24"/>
          <w:szCs w:val="24"/>
        </w:rPr>
        <w:t xml:space="preserve"> 5'-phosphat. Skønt </w:t>
      </w:r>
      <w:proofErr w:type="spellStart"/>
      <w:r w:rsidRPr="0089631E">
        <w:rPr>
          <w:sz w:val="24"/>
          <w:szCs w:val="24"/>
        </w:rPr>
        <w:t>pyridoxal</w:t>
      </w:r>
      <w:proofErr w:type="spellEnd"/>
      <w:r w:rsidRPr="0089631E">
        <w:rPr>
          <w:sz w:val="24"/>
          <w:szCs w:val="24"/>
        </w:rPr>
        <w:t xml:space="preserve"> 5'-phosphat er den primære aktive </w:t>
      </w:r>
      <w:proofErr w:type="spellStart"/>
      <w:r w:rsidRPr="0089631E">
        <w:rPr>
          <w:sz w:val="24"/>
          <w:szCs w:val="24"/>
        </w:rPr>
        <w:t>antiemetiske</w:t>
      </w:r>
      <w:proofErr w:type="spellEnd"/>
      <w:r w:rsidRPr="0089631E">
        <w:rPr>
          <w:sz w:val="24"/>
          <w:szCs w:val="24"/>
        </w:rPr>
        <w:t xml:space="preserve"> metabolit, bidrager de andre metabolitter også til den biologiske aktivitet.</w:t>
      </w:r>
    </w:p>
    <w:p w14:paraId="1BFF613B" w14:textId="178EF691" w:rsidR="0048621A" w:rsidRPr="0089631E" w:rsidRDefault="0048621A" w:rsidP="00076476">
      <w:pPr>
        <w:ind w:left="851"/>
        <w:rPr>
          <w:sz w:val="24"/>
          <w:szCs w:val="24"/>
        </w:rPr>
      </w:pPr>
    </w:p>
    <w:p w14:paraId="2F41E821" w14:textId="77777777" w:rsidR="0048621A" w:rsidRPr="0089631E" w:rsidRDefault="0048621A" w:rsidP="00076476">
      <w:pPr>
        <w:ind w:left="851"/>
        <w:rPr>
          <w:sz w:val="24"/>
          <w:szCs w:val="24"/>
        </w:rPr>
      </w:pPr>
      <w:r w:rsidRPr="0089631E">
        <w:rPr>
          <w:sz w:val="24"/>
          <w:szCs w:val="24"/>
        </w:rPr>
        <w:t xml:space="preserve">Virkningsmekanismen af kombinationen af </w:t>
      </w:r>
      <w:proofErr w:type="spellStart"/>
      <w:r w:rsidRPr="0089631E">
        <w:rPr>
          <w:sz w:val="24"/>
          <w:szCs w:val="24"/>
        </w:rPr>
        <w:t>doxylaminhydrogensuccinat</w:t>
      </w:r>
      <w:proofErr w:type="spellEnd"/>
      <w:r w:rsidRPr="0089631E">
        <w:rPr>
          <w:sz w:val="24"/>
          <w:szCs w:val="24"/>
        </w:rPr>
        <w:t xml:space="preserve"> og </w:t>
      </w:r>
      <w:proofErr w:type="spellStart"/>
      <w:r w:rsidRPr="0089631E">
        <w:rPr>
          <w:sz w:val="24"/>
          <w:szCs w:val="24"/>
        </w:rPr>
        <w:t>pyridoxinhydrochlorid</w:t>
      </w:r>
      <w:proofErr w:type="spellEnd"/>
      <w:r w:rsidRPr="0089631E">
        <w:rPr>
          <w:sz w:val="24"/>
          <w:szCs w:val="24"/>
        </w:rPr>
        <w:t xml:space="preserve"> til behandling af kvalme og opkastning under graviditet er ikke blevet klarlagt.</w:t>
      </w:r>
    </w:p>
    <w:p w14:paraId="0E730FB6" w14:textId="77777777" w:rsidR="0048621A" w:rsidRPr="0089631E" w:rsidRDefault="0048621A" w:rsidP="00076476">
      <w:pPr>
        <w:ind w:left="851"/>
        <w:rPr>
          <w:sz w:val="24"/>
          <w:szCs w:val="24"/>
          <w:u w:val="single"/>
        </w:rPr>
      </w:pPr>
    </w:p>
    <w:p w14:paraId="6F2E64CC" w14:textId="77777777" w:rsidR="0048621A" w:rsidRPr="0089631E" w:rsidRDefault="0048621A" w:rsidP="00076476">
      <w:pPr>
        <w:ind w:left="851"/>
        <w:rPr>
          <w:sz w:val="24"/>
          <w:szCs w:val="24"/>
          <w:u w:val="single"/>
        </w:rPr>
      </w:pPr>
      <w:r w:rsidRPr="0089631E">
        <w:rPr>
          <w:sz w:val="24"/>
          <w:szCs w:val="24"/>
          <w:u w:val="single"/>
        </w:rPr>
        <w:lastRenderedPageBreak/>
        <w:t>Klinisk virkning og sikkerhed</w:t>
      </w:r>
    </w:p>
    <w:p w14:paraId="61DDE257" w14:textId="77777777" w:rsidR="0048621A" w:rsidRPr="0089631E" w:rsidRDefault="0048621A" w:rsidP="00076476">
      <w:pPr>
        <w:ind w:left="851"/>
        <w:rPr>
          <w:sz w:val="24"/>
          <w:szCs w:val="24"/>
        </w:rPr>
      </w:pPr>
    </w:p>
    <w:p w14:paraId="184103BE" w14:textId="77777777" w:rsidR="0048621A" w:rsidRPr="0089631E" w:rsidRDefault="0048621A" w:rsidP="00076476">
      <w:pPr>
        <w:ind w:left="851"/>
        <w:rPr>
          <w:sz w:val="24"/>
          <w:szCs w:val="24"/>
        </w:rPr>
      </w:pPr>
      <w:r w:rsidRPr="0089631E">
        <w:rPr>
          <w:sz w:val="24"/>
          <w:szCs w:val="24"/>
        </w:rPr>
        <w:t xml:space="preserve">Sikkerheden og virkningen af kombinationen af </w:t>
      </w:r>
      <w:proofErr w:type="spellStart"/>
      <w:r w:rsidRPr="0089631E">
        <w:rPr>
          <w:sz w:val="24"/>
          <w:szCs w:val="24"/>
        </w:rPr>
        <w:t>doxylaminhydrogensuccinat</w:t>
      </w:r>
      <w:proofErr w:type="spellEnd"/>
      <w:r w:rsidRPr="0089631E">
        <w:rPr>
          <w:sz w:val="24"/>
          <w:szCs w:val="24"/>
        </w:rPr>
        <w:t xml:space="preserve"> og </w:t>
      </w:r>
      <w:proofErr w:type="spellStart"/>
      <w:r w:rsidRPr="0089631E">
        <w:rPr>
          <w:sz w:val="24"/>
          <w:szCs w:val="24"/>
        </w:rPr>
        <w:t>pyridoxinhydrochlorid</w:t>
      </w:r>
      <w:proofErr w:type="spellEnd"/>
      <w:r w:rsidRPr="0089631E">
        <w:rPr>
          <w:sz w:val="24"/>
          <w:szCs w:val="24"/>
        </w:rPr>
        <w:t xml:space="preserve"> blev sammenlignet med placebo i et dobbeltblindt, randomiseret multicenterstudie med 261 voksne kvinder på 18 år og derover. Den gennemsnitlige </w:t>
      </w:r>
      <w:proofErr w:type="spellStart"/>
      <w:r w:rsidRPr="0089631E">
        <w:rPr>
          <w:sz w:val="24"/>
          <w:szCs w:val="24"/>
        </w:rPr>
        <w:t>gestationsalder</w:t>
      </w:r>
      <w:proofErr w:type="spellEnd"/>
      <w:r w:rsidRPr="0089631E">
        <w:rPr>
          <w:sz w:val="24"/>
          <w:szCs w:val="24"/>
        </w:rPr>
        <w:t xml:space="preserve"> ved inklusion var 9,3 uger, varierende fra 7 til 14 ugers </w:t>
      </w:r>
      <w:proofErr w:type="spellStart"/>
      <w:r w:rsidRPr="0089631E">
        <w:rPr>
          <w:sz w:val="24"/>
          <w:szCs w:val="24"/>
        </w:rPr>
        <w:t>gestation</w:t>
      </w:r>
      <w:proofErr w:type="spellEnd"/>
      <w:r w:rsidRPr="0089631E">
        <w:rPr>
          <w:sz w:val="24"/>
          <w:szCs w:val="24"/>
        </w:rPr>
        <w:t xml:space="preserve">. </w:t>
      </w:r>
    </w:p>
    <w:p w14:paraId="1139453A" w14:textId="77777777" w:rsidR="0048621A" w:rsidRPr="0089631E" w:rsidRDefault="0048621A" w:rsidP="00076476">
      <w:pPr>
        <w:ind w:left="851"/>
        <w:rPr>
          <w:sz w:val="24"/>
          <w:szCs w:val="24"/>
        </w:rPr>
      </w:pPr>
    </w:p>
    <w:p w14:paraId="5D217432" w14:textId="77777777" w:rsidR="0048621A" w:rsidRPr="0089631E" w:rsidRDefault="0048621A" w:rsidP="00076476">
      <w:pPr>
        <w:ind w:left="851"/>
        <w:rPr>
          <w:sz w:val="24"/>
          <w:szCs w:val="24"/>
        </w:rPr>
      </w:pPr>
      <w:r w:rsidRPr="0089631E">
        <w:rPr>
          <w:sz w:val="24"/>
          <w:szCs w:val="24"/>
        </w:rPr>
        <w:t xml:space="preserve">Effektivitetsstudiet er blevet udført med en 10 mg/10 mg </w:t>
      </w:r>
      <w:proofErr w:type="spellStart"/>
      <w:r w:rsidRPr="0089631E">
        <w:rPr>
          <w:sz w:val="24"/>
          <w:szCs w:val="24"/>
        </w:rPr>
        <w:t>enterotabletformulering</w:t>
      </w:r>
      <w:proofErr w:type="spellEnd"/>
      <w:r w:rsidRPr="0089631E">
        <w:rPr>
          <w:sz w:val="24"/>
          <w:szCs w:val="24"/>
        </w:rPr>
        <w:t xml:space="preserve"> af </w:t>
      </w: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pyridoxin</w:t>
      </w:r>
      <w:proofErr w:type="spellEnd"/>
      <w:r w:rsidRPr="0089631E">
        <w:rPr>
          <w:sz w:val="24"/>
          <w:szCs w:val="24"/>
        </w:rPr>
        <w:t xml:space="preserve">. Selvom udløsningsmønsteret for 20 mg/20 mg modificeret udløsning (med en øjeblikkelig udløsning og en </w:t>
      </w:r>
      <w:proofErr w:type="spellStart"/>
      <w:r w:rsidRPr="0089631E">
        <w:rPr>
          <w:sz w:val="24"/>
          <w:szCs w:val="24"/>
        </w:rPr>
        <w:t>enterokomponent</w:t>
      </w:r>
      <w:proofErr w:type="spellEnd"/>
      <w:r w:rsidRPr="0089631E">
        <w:rPr>
          <w:sz w:val="24"/>
          <w:szCs w:val="24"/>
        </w:rPr>
        <w:t xml:space="preserve">) tabletformulering </w:t>
      </w:r>
      <w:proofErr w:type="spellStart"/>
      <w:r w:rsidRPr="0089631E">
        <w:rPr>
          <w:sz w:val="24"/>
          <w:szCs w:val="24"/>
        </w:rPr>
        <w:t>Bonjesta</w:t>
      </w:r>
      <w:proofErr w:type="spellEnd"/>
      <w:r w:rsidRPr="0089631E">
        <w:rPr>
          <w:sz w:val="24"/>
          <w:szCs w:val="24"/>
        </w:rPr>
        <w:t xml:space="preserve"> er forskellig fra udløsningsmønsteret for 10 mg/10 mg </w:t>
      </w:r>
      <w:proofErr w:type="spellStart"/>
      <w:r w:rsidRPr="0089631E">
        <w:rPr>
          <w:sz w:val="24"/>
          <w:szCs w:val="24"/>
        </w:rPr>
        <w:t>enterotabletformuleringen</w:t>
      </w:r>
      <w:proofErr w:type="spellEnd"/>
      <w:r w:rsidRPr="0089631E">
        <w:rPr>
          <w:sz w:val="24"/>
          <w:szCs w:val="24"/>
        </w:rPr>
        <w:t xml:space="preserve"> af </w:t>
      </w: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pyridoxin</w:t>
      </w:r>
      <w:proofErr w:type="spellEnd"/>
      <w:r w:rsidRPr="0089631E">
        <w:rPr>
          <w:sz w:val="24"/>
          <w:szCs w:val="24"/>
        </w:rPr>
        <w:t xml:space="preserve">, ses der sammenlignelige eksponeringer (90 % CI inden for 80-125 %) for AUC, </w:t>
      </w:r>
      <w:proofErr w:type="spellStart"/>
      <w:r w:rsidRPr="0089631E">
        <w:rPr>
          <w:sz w:val="24"/>
          <w:szCs w:val="24"/>
        </w:rPr>
        <w:t>C</w:t>
      </w:r>
      <w:r w:rsidRPr="0089631E">
        <w:rPr>
          <w:sz w:val="24"/>
          <w:szCs w:val="24"/>
          <w:vertAlign w:val="subscript"/>
        </w:rPr>
        <w:t>max</w:t>
      </w:r>
      <w:proofErr w:type="spellEnd"/>
      <w:r w:rsidRPr="0089631E">
        <w:rPr>
          <w:sz w:val="24"/>
          <w:szCs w:val="24"/>
          <w:vertAlign w:val="subscript"/>
        </w:rPr>
        <w:t xml:space="preserve"> </w:t>
      </w:r>
      <w:r w:rsidRPr="0089631E">
        <w:rPr>
          <w:sz w:val="24"/>
          <w:szCs w:val="24"/>
        </w:rPr>
        <w:t xml:space="preserve">og </w:t>
      </w:r>
      <w:proofErr w:type="spellStart"/>
      <w:r w:rsidRPr="0089631E">
        <w:rPr>
          <w:sz w:val="24"/>
          <w:szCs w:val="24"/>
        </w:rPr>
        <w:t>C</w:t>
      </w:r>
      <w:r w:rsidRPr="0089631E">
        <w:rPr>
          <w:sz w:val="24"/>
          <w:szCs w:val="24"/>
          <w:vertAlign w:val="subscript"/>
        </w:rPr>
        <w:t>min</w:t>
      </w:r>
      <w:proofErr w:type="spellEnd"/>
      <w:r w:rsidRPr="0089631E">
        <w:rPr>
          <w:sz w:val="24"/>
          <w:szCs w:val="24"/>
        </w:rPr>
        <w:t xml:space="preserve"> for </w:t>
      </w: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pyridoxal</w:t>
      </w:r>
      <w:proofErr w:type="spellEnd"/>
      <w:r w:rsidRPr="0089631E">
        <w:rPr>
          <w:sz w:val="24"/>
          <w:szCs w:val="24"/>
        </w:rPr>
        <w:t xml:space="preserve"> 5'-phosphat efter administration af den samme daglige dosis. Derfor understøtter resultaterne af effektivitetsstudiet med 10 mg/10 mg </w:t>
      </w:r>
      <w:proofErr w:type="spellStart"/>
      <w:r w:rsidRPr="0089631E">
        <w:rPr>
          <w:sz w:val="24"/>
          <w:szCs w:val="24"/>
        </w:rPr>
        <w:t>enterotabletformulering</w:t>
      </w:r>
      <w:proofErr w:type="spellEnd"/>
      <w:r w:rsidRPr="0089631E">
        <w:rPr>
          <w:sz w:val="24"/>
          <w:szCs w:val="24"/>
        </w:rPr>
        <w:t xml:space="preserve"> også </w:t>
      </w:r>
    </w:p>
    <w:p w14:paraId="67738FDB" w14:textId="77777777" w:rsidR="0048621A" w:rsidRPr="0089631E" w:rsidRDefault="0048621A" w:rsidP="00076476">
      <w:pPr>
        <w:ind w:left="851"/>
        <w:rPr>
          <w:sz w:val="24"/>
          <w:szCs w:val="24"/>
        </w:rPr>
      </w:pPr>
      <w:r w:rsidRPr="0089631E">
        <w:rPr>
          <w:sz w:val="24"/>
          <w:szCs w:val="24"/>
        </w:rPr>
        <w:t xml:space="preserve">20 mg/20 mg tabletformuleringen for </w:t>
      </w:r>
      <w:proofErr w:type="spellStart"/>
      <w:r w:rsidRPr="0089631E">
        <w:rPr>
          <w:sz w:val="24"/>
          <w:szCs w:val="24"/>
        </w:rPr>
        <w:t>Bonjesta</w:t>
      </w:r>
      <w:proofErr w:type="spellEnd"/>
      <w:r w:rsidRPr="0089631E">
        <w:rPr>
          <w:sz w:val="24"/>
          <w:szCs w:val="24"/>
        </w:rPr>
        <w:t>.</w:t>
      </w:r>
    </w:p>
    <w:p w14:paraId="5762C1C3" w14:textId="77777777" w:rsidR="0048621A" w:rsidRPr="0089631E" w:rsidRDefault="0048621A" w:rsidP="00076476">
      <w:pPr>
        <w:ind w:left="851"/>
        <w:rPr>
          <w:sz w:val="24"/>
          <w:szCs w:val="24"/>
        </w:rPr>
      </w:pPr>
    </w:p>
    <w:p w14:paraId="02B043B0" w14:textId="77777777" w:rsidR="0048621A" w:rsidRPr="0089631E" w:rsidRDefault="0048621A" w:rsidP="00076476">
      <w:pPr>
        <w:ind w:left="851"/>
        <w:rPr>
          <w:sz w:val="24"/>
          <w:szCs w:val="24"/>
        </w:rPr>
      </w:pPr>
      <w:r w:rsidRPr="0089631E">
        <w:rPr>
          <w:sz w:val="24"/>
          <w:szCs w:val="24"/>
        </w:rPr>
        <w:t xml:space="preserve">To 10 mg/10 mg </w:t>
      </w:r>
      <w:proofErr w:type="spellStart"/>
      <w:r w:rsidRPr="0089631E">
        <w:rPr>
          <w:sz w:val="24"/>
          <w:szCs w:val="24"/>
        </w:rPr>
        <w:t>enterotabletter</w:t>
      </w:r>
      <w:proofErr w:type="spellEnd"/>
      <w:r w:rsidRPr="0089631E">
        <w:rPr>
          <w:sz w:val="24"/>
          <w:szCs w:val="24"/>
        </w:rPr>
        <w:t xml:space="preserve"> blev administreret ved sengetid på dag 1. Hvis symptomer på kvalme og opkastning varede ved ind i eftermiddagstimerne på dag 2, blev kvinden henvist til sin sædvanlige dosis på to tabletter ved sengetid den aften og skulle på dag 3 tage en tablet om morgenen og to tabletter ved sengetid. </w:t>
      </w:r>
    </w:p>
    <w:p w14:paraId="019FE34E" w14:textId="0DAAE37E" w:rsidR="0048621A" w:rsidRPr="0089631E" w:rsidRDefault="0048621A" w:rsidP="00076476">
      <w:pPr>
        <w:ind w:left="851"/>
        <w:rPr>
          <w:sz w:val="24"/>
          <w:szCs w:val="24"/>
        </w:rPr>
      </w:pPr>
      <w:r w:rsidRPr="0089631E">
        <w:rPr>
          <w:sz w:val="24"/>
          <w:szCs w:val="24"/>
        </w:rPr>
        <w:t xml:space="preserve">På grundlag af en vurdering af de tilbageværende symptomer ved kvindens klinikbesøg på dag 4 (± 1 dag), kan kvinden være blevet bedt om at tage en ekstra tablet midt på eftermiddagen. </w:t>
      </w:r>
    </w:p>
    <w:p w14:paraId="73DB7948" w14:textId="77777777" w:rsidR="00041126" w:rsidRDefault="0048621A" w:rsidP="00076476">
      <w:pPr>
        <w:ind w:left="851"/>
        <w:rPr>
          <w:sz w:val="24"/>
          <w:szCs w:val="24"/>
        </w:rPr>
      </w:pPr>
      <w:r w:rsidRPr="0089631E">
        <w:rPr>
          <w:sz w:val="24"/>
          <w:szCs w:val="24"/>
        </w:rPr>
        <w:t xml:space="preserve">Maksimalt fire tabletter (én om morgenen, én midt på eftermiddagen og to ved sengetid) blev taget dagligt til en maksimal daglig dosis på 40 mg </w:t>
      </w:r>
      <w:proofErr w:type="spellStart"/>
      <w:r w:rsidRPr="0089631E">
        <w:rPr>
          <w:sz w:val="24"/>
          <w:szCs w:val="24"/>
        </w:rPr>
        <w:t>doxylamin</w:t>
      </w:r>
      <w:proofErr w:type="spellEnd"/>
      <w:r w:rsidRPr="0089631E">
        <w:rPr>
          <w:sz w:val="24"/>
          <w:szCs w:val="24"/>
        </w:rPr>
        <w:t xml:space="preserve"> og 40 mg </w:t>
      </w:r>
      <w:proofErr w:type="spellStart"/>
      <w:r w:rsidRPr="0089631E">
        <w:rPr>
          <w:sz w:val="24"/>
          <w:szCs w:val="24"/>
        </w:rPr>
        <w:t>pyridoxin</w:t>
      </w:r>
      <w:proofErr w:type="spellEnd"/>
      <w:r w:rsidRPr="0089631E">
        <w:rPr>
          <w:sz w:val="24"/>
          <w:szCs w:val="24"/>
        </w:rPr>
        <w:t>.</w:t>
      </w:r>
    </w:p>
    <w:p w14:paraId="3F0C1912" w14:textId="77777777" w:rsidR="00041126" w:rsidRDefault="00041126" w:rsidP="00076476">
      <w:pPr>
        <w:ind w:left="851"/>
        <w:rPr>
          <w:sz w:val="24"/>
          <w:szCs w:val="24"/>
        </w:rPr>
      </w:pPr>
    </w:p>
    <w:p w14:paraId="14D8B129" w14:textId="45C8AFC6" w:rsidR="0048621A" w:rsidRPr="0089631E" w:rsidRDefault="0048621A" w:rsidP="00076476">
      <w:pPr>
        <w:ind w:left="851"/>
        <w:rPr>
          <w:sz w:val="24"/>
          <w:szCs w:val="24"/>
        </w:rPr>
      </w:pPr>
      <w:r w:rsidRPr="0089631E">
        <w:rPr>
          <w:sz w:val="24"/>
          <w:szCs w:val="24"/>
        </w:rPr>
        <w:t xml:space="preserve">I løbet af behandlingsperioden fik 60 % af de produktbehandlede patienter den maksimale daglige dosis på 40 mg </w:t>
      </w:r>
      <w:proofErr w:type="spellStart"/>
      <w:r w:rsidRPr="0089631E">
        <w:rPr>
          <w:sz w:val="24"/>
          <w:szCs w:val="24"/>
        </w:rPr>
        <w:t>doxylamin</w:t>
      </w:r>
      <w:proofErr w:type="spellEnd"/>
      <w:r w:rsidRPr="0089631E">
        <w:rPr>
          <w:sz w:val="24"/>
          <w:szCs w:val="24"/>
        </w:rPr>
        <w:t xml:space="preserve"> og 40 mg </w:t>
      </w:r>
      <w:proofErr w:type="spellStart"/>
      <w:r w:rsidRPr="0089631E">
        <w:rPr>
          <w:sz w:val="24"/>
          <w:szCs w:val="24"/>
        </w:rPr>
        <w:t>pyridoxin</w:t>
      </w:r>
      <w:proofErr w:type="spellEnd"/>
      <w:r w:rsidRPr="0089631E">
        <w:rPr>
          <w:sz w:val="24"/>
          <w:szCs w:val="24"/>
        </w:rPr>
        <w:t>.</w:t>
      </w:r>
    </w:p>
    <w:p w14:paraId="581133AE" w14:textId="77777777" w:rsidR="0048621A" w:rsidRPr="0089631E" w:rsidRDefault="0048621A" w:rsidP="00076476">
      <w:pPr>
        <w:ind w:left="851"/>
        <w:rPr>
          <w:sz w:val="24"/>
          <w:szCs w:val="24"/>
        </w:rPr>
      </w:pPr>
    </w:p>
    <w:p w14:paraId="26F8867C" w14:textId="77777777" w:rsidR="0048621A" w:rsidRPr="0089631E" w:rsidRDefault="0048621A" w:rsidP="00076476">
      <w:pPr>
        <w:ind w:left="851"/>
        <w:rPr>
          <w:sz w:val="24"/>
          <w:szCs w:val="24"/>
        </w:rPr>
      </w:pPr>
      <w:r w:rsidRPr="0089631E">
        <w:rPr>
          <w:sz w:val="24"/>
          <w:szCs w:val="24"/>
        </w:rPr>
        <w:t xml:space="preserve">Det primære effektendemål var ændringen fra </w:t>
      </w:r>
      <w:r w:rsidRPr="0089631E">
        <w:rPr>
          <w:i/>
          <w:iCs/>
          <w:sz w:val="24"/>
          <w:szCs w:val="24"/>
        </w:rPr>
        <w:t>baseline</w:t>
      </w:r>
      <w:r w:rsidRPr="0089631E">
        <w:rPr>
          <w:sz w:val="24"/>
          <w:szCs w:val="24"/>
        </w:rPr>
        <w:t xml:space="preserve"> på dag 15 i PUQE-score (</w:t>
      </w:r>
      <w:proofErr w:type="spellStart"/>
      <w:r w:rsidRPr="0089631E">
        <w:rPr>
          <w:i/>
          <w:iCs/>
          <w:sz w:val="24"/>
          <w:szCs w:val="24"/>
        </w:rPr>
        <w:t>Pregnancy</w:t>
      </w:r>
      <w:proofErr w:type="spellEnd"/>
      <w:r w:rsidRPr="0089631E">
        <w:rPr>
          <w:i/>
          <w:iCs/>
          <w:sz w:val="24"/>
          <w:szCs w:val="24"/>
        </w:rPr>
        <w:t xml:space="preserve"> Unique-</w:t>
      </w:r>
      <w:proofErr w:type="spellStart"/>
      <w:r w:rsidRPr="0089631E">
        <w:rPr>
          <w:i/>
          <w:iCs/>
          <w:sz w:val="24"/>
          <w:szCs w:val="24"/>
        </w:rPr>
        <w:t>Quantification</w:t>
      </w:r>
      <w:proofErr w:type="spellEnd"/>
      <w:r w:rsidRPr="0089631E">
        <w:rPr>
          <w:i/>
          <w:iCs/>
          <w:sz w:val="24"/>
          <w:szCs w:val="24"/>
        </w:rPr>
        <w:t xml:space="preserve"> of </w:t>
      </w:r>
      <w:proofErr w:type="spellStart"/>
      <w:r w:rsidRPr="0089631E">
        <w:rPr>
          <w:i/>
          <w:iCs/>
          <w:sz w:val="24"/>
          <w:szCs w:val="24"/>
        </w:rPr>
        <w:t>Emesis</w:t>
      </w:r>
      <w:proofErr w:type="spellEnd"/>
      <w:r w:rsidRPr="0089631E">
        <w:rPr>
          <w:sz w:val="24"/>
          <w:szCs w:val="24"/>
        </w:rPr>
        <w:t>). PUQE-scoren inkorporerer antallet af daglige opkastningsepisoder, antallet af daglige opkastninger og længden af daglig kvalme i timer med henblik på en samlet score af symptomer vurderet fra 3 (ingen symptomer) til 15 (mest alvorlige).</w:t>
      </w:r>
    </w:p>
    <w:p w14:paraId="274C0895" w14:textId="77777777" w:rsidR="0048621A" w:rsidRPr="0089631E" w:rsidRDefault="0048621A" w:rsidP="00076476">
      <w:pPr>
        <w:ind w:left="851"/>
        <w:rPr>
          <w:sz w:val="24"/>
          <w:szCs w:val="24"/>
        </w:rPr>
      </w:pPr>
    </w:p>
    <w:p w14:paraId="2AF20530" w14:textId="77777777" w:rsidR="0048621A" w:rsidRPr="0089631E" w:rsidRDefault="0048621A" w:rsidP="00076476">
      <w:pPr>
        <w:ind w:left="851"/>
        <w:rPr>
          <w:sz w:val="24"/>
          <w:szCs w:val="24"/>
        </w:rPr>
      </w:pPr>
      <w:r w:rsidRPr="0089631E">
        <w:rPr>
          <w:sz w:val="24"/>
          <w:szCs w:val="24"/>
        </w:rPr>
        <w:t xml:space="preserve">Ved </w:t>
      </w:r>
      <w:r w:rsidRPr="0089631E">
        <w:rPr>
          <w:i/>
          <w:iCs/>
          <w:sz w:val="24"/>
          <w:szCs w:val="24"/>
        </w:rPr>
        <w:t>baseline</w:t>
      </w:r>
      <w:r w:rsidRPr="0089631E">
        <w:rPr>
          <w:sz w:val="24"/>
          <w:szCs w:val="24"/>
        </w:rPr>
        <w:t xml:space="preserve"> var den gennemsnitlige PUQE-score 9,0 i produktgruppen og 8,8 i placebogruppen. Der var et gennemsnitligt fald i PUQE-score (forbedring af kvalme- og opkastningssymptomer) på 0,9 </w:t>
      </w:r>
    </w:p>
    <w:p w14:paraId="21BDB9BD" w14:textId="77777777" w:rsidR="0048621A" w:rsidRPr="0089631E" w:rsidRDefault="0048621A" w:rsidP="00076476">
      <w:pPr>
        <w:ind w:left="851"/>
        <w:rPr>
          <w:sz w:val="24"/>
          <w:szCs w:val="24"/>
        </w:rPr>
      </w:pPr>
      <w:r w:rsidRPr="0089631E">
        <w:rPr>
          <w:sz w:val="24"/>
          <w:szCs w:val="24"/>
        </w:rPr>
        <w:t xml:space="preserve">(95 % konfidensinterval 0,2 til 1,2 med </w:t>
      </w:r>
      <w:proofErr w:type="spellStart"/>
      <w:r w:rsidRPr="0089631E">
        <w:rPr>
          <w:sz w:val="24"/>
          <w:szCs w:val="24"/>
        </w:rPr>
        <w:t>p-værdi</w:t>
      </w:r>
      <w:proofErr w:type="spellEnd"/>
      <w:r w:rsidRPr="0089631E">
        <w:rPr>
          <w:sz w:val="24"/>
          <w:szCs w:val="24"/>
        </w:rPr>
        <w:t xml:space="preserve"> 0,006) fra </w:t>
      </w:r>
      <w:r w:rsidRPr="0089631E">
        <w:rPr>
          <w:i/>
          <w:iCs/>
          <w:sz w:val="24"/>
          <w:szCs w:val="24"/>
        </w:rPr>
        <w:t>baseline</w:t>
      </w:r>
      <w:r w:rsidRPr="0089631E">
        <w:rPr>
          <w:sz w:val="24"/>
          <w:szCs w:val="24"/>
        </w:rPr>
        <w:t xml:space="preserve"> til dag 15 med lægemidlet sammenlignet med placebo (se tabel 1).</w:t>
      </w:r>
    </w:p>
    <w:p w14:paraId="068B3D16" w14:textId="77777777" w:rsidR="0048621A" w:rsidRPr="0089631E" w:rsidRDefault="0048621A" w:rsidP="00076476">
      <w:pPr>
        <w:ind w:left="851"/>
        <w:rPr>
          <w:b/>
          <w:sz w:val="24"/>
          <w:szCs w:val="24"/>
        </w:rPr>
      </w:pPr>
    </w:p>
    <w:p w14:paraId="26B33C07" w14:textId="77777777" w:rsidR="0048621A" w:rsidRPr="0089631E" w:rsidRDefault="0048621A" w:rsidP="00076476">
      <w:pPr>
        <w:ind w:left="851"/>
        <w:rPr>
          <w:b/>
          <w:sz w:val="24"/>
          <w:szCs w:val="24"/>
        </w:rPr>
      </w:pPr>
      <w:r w:rsidRPr="0089631E">
        <w:rPr>
          <w:b/>
          <w:sz w:val="24"/>
          <w:szCs w:val="24"/>
        </w:rPr>
        <w:t xml:space="preserve">Tabel 1 - Ændring fra </w:t>
      </w:r>
      <w:r w:rsidRPr="0089631E">
        <w:rPr>
          <w:b/>
          <w:i/>
          <w:iCs/>
          <w:sz w:val="24"/>
          <w:szCs w:val="24"/>
        </w:rPr>
        <w:t>baseline</w:t>
      </w:r>
      <w:r w:rsidRPr="0089631E">
        <w:rPr>
          <w:b/>
          <w:sz w:val="24"/>
          <w:szCs w:val="24"/>
        </w:rPr>
        <w:t xml:space="preserve"> i det primære endepunkt, </w:t>
      </w:r>
      <w:proofErr w:type="spellStart"/>
      <w:r w:rsidRPr="0089631E">
        <w:rPr>
          <w:b/>
          <w:sz w:val="24"/>
          <w:szCs w:val="24"/>
        </w:rPr>
        <w:t>Pregnancy</w:t>
      </w:r>
      <w:proofErr w:type="spellEnd"/>
      <w:r w:rsidRPr="0089631E">
        <w:rPr>
          <w:b/>
          <w:sz w:val="24"/>
          <w:szCs w:val="24"/>
        </w:rPr>
        <w:t xml:space="preserve"> Unique-</w:t>
      </w:r>
      <w:proofErr w:type="spellStart"/>
      <w:r w:rsidRPr="0089631E">
        <w:rPr>
          <w:b/>
          <w:sz w:val="24"/>
          <w:szCs w:val="24"/>
        </w:rPr>
        <w:t>Quantification</w:t>
      </w:r>
      <w:proofErr w:type="spellEnd"/>
      <w:r w:rsidRPr="0089631E">
        <w:rPr>
          <w:b/>
          <w:sz w:val="24"/>
          <w:szCs w:val="24"/>
        </w:rPr>
        <w:t xml:space="preserve"> of </w:t>
      </w:r>
      <w:proofErr w:type="spellStart"/>
      <w:r w:rsidRPr="0089631E">
        <w:rPr>
          <w:b/>
          <w:sz w:val="24"/>
          <w:szCs w:val="24"/>
        </w:rPr>
        <w:t>Emesis</w:t>
      </w:r>
      <w:proofErr w:type="spellEnd"/>
      <w:r w:rsidRPr="0089631E">
        <w:rPr>
          <w:b/>
          <w:sz w:val="24"/>
          <w:szCs w:val="24"/>
        </w:rPr>
        <w:t xml:space="preserve"> (PUQE)-score til dag 15*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3150"/>
        <w:gridCol w:w="1525"/>
        <w:gridCol w:w="2290"/>
      </w:tblGrid>
      <w:tr w:rsidR="0048621A" w:rsidRPr="0089631E" w14:paraId="0CC5A28E" w14:textId="77777777" w:rsidTr="00076476">
        <w:tc>
          <w:tcPr>
            <w:tcW w:w="1385" w:type="pct"/>
            <w:tcBorders>
              <w:top w:val="single" w:sz="4" w:space="0" w:color="auto"/>
              <w:left w:val="single" w:sz="4" w:space="0" w:color="auto"/>
              <w:bottom w:val="single" w:sz="4" w:space="0" w:color="auto"/>
              <w:right w:val="single" w:sz="4" w:space="0" w:color="auto"/>
            </w:tcBorders>
            <w:hideMark/>
          </w:tcPr>
          <w:p w14:paraId="45129383" w14:textId="77777777" w:rsidR="0048621A" w:rsidRPr="0089631E" w:rsidRDefault="0048621A">
            <w:pPr>
              <w:pStyle w:val="Normalindrykning"/>
              <w:ind w:left="0"/>
              <w:rPr>
                <w:b/>
                <w:sz w:val="24"/>
                <w:szCs w:val="24"/>
              </w:rPr>
            </w:pPr>
            <w:r w:rsidRPr="0089631E">
              <w:rPr>
                <w:b/>
                <w:sz w:val="24"/>
                <w:szCs w:val="24"/>
              </w:rPr>
              <w:t>PUQE Score**</w:t>
            </w:r>
          </w:p>
        </w:tc>
        <w:tc>
          <w:tcPr>
            <w:tcW w:w="1629" w:type="pct"/>
            <w:tcBorders>
              <w:top w:val="single" w:sz="4" w:space="0" w:color="auto"/>
              <w:left w:val="single" w:sz="4" w:space="0" w:color="auto"/>
              <w:bottom w:val="single" w:sz="4" w:space="0" w:color="auto"/>
              <w:right w:val="single" w:sz="4" w:space="0" w:color="auto"/>
            </w:tcBorders>
            <w:hideMark/>
          </w:tcPr>
          <w:p w14:paraId="74B1E08E" w14:textId="77777777" w:rsidR="0048621A" w:rsidRPr="0089631E" w:rsidRDefault="0048621A">
            <w:pPr>
              <w:pStyle w:val="Normalindrykning"/>
              <w:ind w:left="0"/>
              <w:jc w:val="center"/>
              <w:rPr>
                <w:b/>
                <w:sz w:val="24"/>
                <w:szCs w:val="24"/>
              </w:rPr>
            </w:pPr>
            <w:proofErr w:type="spellStart"/>
            <w:r w:rsidRPr="0089631E">
              <w:rPr>
                <w:b/>
                <w:sz w:val="24"/>
                <w:szCs w:val="24"/>
              </w:rPr>
              <w:t>Doxylaminhydrogensuccinat</w:t>
            </w:r>
            <w:proofErr w:type="spellEnd"/>
            <w:r w:rsidRPr="0089631E">
              <w:rPr>
                <w:b/>
                <w:sz w:val="24"/>
                <w:szCs w:val="24"/>
              </w:rPr>
              <w:t xml:space="preserve"> + </w:t>
            </w:r>
            <w:proofErr w:type="spellStart"/>
            <w:r w:rsidRPr="0089631E">
              <w:rPr>
                <w:b/>
                <w:sz w:val="24"/>
                <w:szCs w:val="24"/>
              </w:rPr>
              <w:t>pyridoxinhydrochlorid</w:t>
            </w:r>
            <w:proofErr w:type="spellEnd"/>
          </w:p>
        </w:tc>
        <w:tc>
          <w:tcPr>
            <w:tcW w:w="794" w:type="pct"/>
            <w:tcBorders>
              <w:top w:val="single" w:sz="4" w:space="0" w:color="auto"/>
              <w:left w:val="single" w:sz="4" w:space="0" w:color="auto"/>
              <w:bottom w:val="single" w:sz="4" w:space="0" w:color="auto"/>
              <w:right w:val="single" w:sz="4" w:space="0" w:color="auto"/>
            </w:tcBorders>
            <w:hideMark/>
          </w:tcPr>
          <w:p w14:paraId="67008ADD" w14:textId="77777777" w:rsidR="0048621A" w:rsidRPr="0089631E" w:rsidRDefault="0048621A">
            <w:pPr>
              <w:pStyle w:val="Normalindrykning"/>
              <w:ind w:left="0"/>
              <w:jc w:val="center"/>
              <w:rPr>
                <w:b/>
                <w:sz w:val="24"/>
                <w:szCs w:val="24"/>
              </w:rPr>
            </w:pPr>
            <w:r w:rsidRPr="0089631E">
              <w:rPr>
                <w:b/>
                <w:sz w:val="24"/>
                <w:szCs w:val="24"/>
              </w:rPr>
              <w:t>Placebo</w:t>
            </w:r>
          </w:p>
        </w:tc>
        <w:tc>
          <w:tcPr>
            <w:tcW w:w="1191" w:type="pct"/>
            <w:tcBorders>
              <w:top w:val="single" w:sz="4" w:space="0" w:color="auto"/>
              <w:left w:val="single" w:sz="4" w:space="0" w:color="auto"/>
              <w:bottom w:val="single" w:sz="4" w:space="0" w:color="auto"/>
              <w:right w:val="single" w:sz="4" w:space="0" w:color="auto"/>
            </w:tcBorders>
            <w:hideMark/>
          </w:tcPr>
          <w:p w14:paraId="1ADC340D" w14:textId="77777777" w:rsidR="0048621A" w:rsidRPr="0089631E" w:rsidRDefault="0048621A">
            <w:pPr>
              <w:pStyle w:val="Normalindrykning"/>
              <w:ind w:left="0"/>
              <w:jc w:val="center"/>
              <w:rPr>
                <w:b/>
                <w:sz w:val="24"/>
                <w:szCs w:val="24"/>
              </w:rPr>
            </w:pPr>
            <w:r w:rsidRPr="0089631E">
              <w:rPr>
                <w:b/>
                <w:sz w:val="24"/>
                <w:szCs w:val="24"/>
              </w:rPr>
              <w:t>Behandlingsforskel [95 % konfidensinterval]</w:t>
            </w:r>
          </w:p>
        </w:tc>
      </w:tr>
      <w:tr w:rsidR="0048621A" w:rsidRPr="0089631E" w14:paraId="0D374AD1" w14:textId="77777777" w:rsidTr="00076476">
        <w:tc>
          <w:tcPr>
            <w:tcW w:w="1385" w:type="pct"/>
            <w:tcBorders>
              <w:top w:val="single" w:sz="4" w:space="0" w:color="auto"/>
              <w:left w:val="single" w:sz="4" w:space="0" w:color="auto"/>
              <w:bottom w:val="single" w:sz="4" w:space="0" w:color="auto"/>
              <w:right w:val="single" w:sz="4" w:space="0" w:color="auto"/>
            </w:tcBorders>
            <w:hideMark/>
          </w:tcPr>
          <w:p w14:paraId="14F9CE2C" w14:textId="77777777" w:rsidR="0048621A" w:rsidRPr="0089631E" w:rsidRDefault="0048621A">
            <w:pPr>
              <w:pStyle w:val="Normalindrykning"/>
              <w:ind w:left="0"/>
              <w:rPr>
                <w:sz w:val="24"/>
                <w:szCs w:val="24"/>
              </w:rPr>
            </w:pPr>
            <w:r w:rsidRPr="0089631E">
              <w:rPr>
                <w:i/>
                <w:iCs/>
                <w:sz w:val="24"/>
                <w:szCs w:val="24"/>
              </w:rPr>
              <w:t>Baseline</w:t>
            </w:r>
            <w:r w:rsidRPr="0089631E">
              <w:rPr>
                <w:sz w:val="24"/>
                <w:szCs w:val="24"/>
              </w:rPr>
              <w:br/>
              <w:t xml:space="preserve">Ændring fra </w:t>
            </w:r>
            <w:r w:rsidRPr="0089631E">
              <w:rPr>
                <w:i/>
                <w:iCs/>
                <w:sz w:val="24"/>
                <w:szCs w:val="24"/>
              </w:rPr>
              <w:t>baseline</w:t>
            </w:r>
            <w:r w:rsidRPr="0089631E">
              <w:rPr>
                <w:sz w:val="24"/>
                <w:szCs w:val="24"/>
              </w:rPr>
              <w:t xml:space="preserve"> til dag 15</w:t>
            </w:r>
          </w:p>
        </w:tc>
        <w:tc>
          <w:tcPr>
            <w:tcW w:w="1629" w:type="pct"/>
            <w:tcBorders>
              <w:top w:val="single" w:sz="4" w:space="0" w:color="auto"/>
              <w:left w:val="single" w:sz="4" w:space="0" w:color="auto"/>
              <w:bottom w:val="single" w:sz="4" w:space="0" w:color="auto"/>
              <w:right w:val="single" w:sz="4" w:space="0" w:color="auto"/>
            </w:tcBorders>
            <w:hideMark/>
          </w:tcPr>
          <w:p w14:paraId="4E672462" w14:textId="77777777" w:rsidR="0048621A" w:rsidRPr="0089631E" w:rsidRDefault="0048621A">
            <w:pPr>
              <w:pStyle w:val="Normalindrykning"/>
              <w:ind w:left="0"/>
              <w:jc w:val="center"/>
              <w:rPr>
                <w:sz w:val="24"/>
                <w:szCs w:val="24"/>
              </w:rPr>
            </w:pPr>
            <w:r w:rsidRPr="0089631E">
              <w:rPr>
                <w:sz w:val="24"/>
                <w:szCs w:val="24"/>
              </w:rPr>
              <w:t>9,0 ± 2,1</w:t>
            </w:r>
            <w:r w:rsidRPr="0089631E">
              <w:rPr>
                <w:sz w:val="24"/>
                <w:szCs w:val="24"/>
              </w:rPr>
              <w:br/>
            </w:r>
            <w:r w:rsidRPr="0089631E">
              <w:rPr>
                <w:sz w:val="24"/>
                <w:szCs w:val="24"/>
              </w:rPr>
              <w:br/>
              <w:t>-4,8 ± 2,7</w:t>
            </w:r>
          </w:p>
        </w:tc>
        <w:tc>
          <w:tcPr>
            <w:tcW w:w="794" w:type="pct"/>
            <w:tcBorders>
              <w:top w:val="single" w:sz="4" w:space="0" w:color="auto"/>
              <w:left w:val="single" w:sz="4" w:space="0" w:color="auto"/>
              <w:bottom w:val="single" w:sz="4" w:space="0" w:color="auto"/>
              <w:right w:val="single" w:sz="4" w:space="0" w:color="auto"/>
            </w:tcBorders>
            <w:hideMark/>
          </w:tcPr>
          <w:p w14:paraId="65EB987E" w14:textId="77777777" w:rsidR="0048621A" w:rsidRPr="0089631E" w:rsidRDefault="0048621A">
            <w:pPr>
              <w:pStyle w:val="Normalindrykning"/>
              <w:ind w:left="0"/>
              <w:jc w:val="center"/>
              <w:rPr>
                <w:sz w:val="24"/>
                <w:szCs w:val="24"/>
              </w:rPr>
            </w:pPr>
            <w:r w:rsidRPr="0089631E">
              <w:rPr>
                <w:sz w:val="24"/>
                <w:szCs w:val="24"/>
              </w:rPr>
              <w:t>8,8 ± 2,1</w:t>
            </w:r>
            <w:r w:rsidRPr="0089631E">
              <w:rPr>
                <w:sz w:val="24"/>
                <w:szCs w:val="24"/>
              </w:rPr>
              <w:br/>
            </w:r>
            <w:r w:rsidRPr="0089631E">
              <w:rPr>
                <w:sz w:val="24"/>
                <w:szCs w:val="24"/>
              </w:rPr>
              <w:br/>
              <w:t>-3,9 ± 2,6</w:t>
            </w:r>
          </w:p>
        </w:tc>
        <w:tc>
          <w:tcPr>
            <w:tcW w:w="1191" w:type="pct"/>
            <w:tcBorders>
              <w:top w:val="single" w:sz="4" w:space="0" w:color="auto"/>
              <w:left w:val="single" w:sz="4" w:space="0" w:color="auto"/>
              <w:bottom w:val="single" w:sz="4" w:space="0" w:color="auto"/>
              <w:right w:val="single" w:sz="4" w:space="0" w:color="auto"/>
            </w:tcBorders>
            <w:vAlign w:val="center"/>
            <w:hideMark/>
          </w:tcPr>
          <w:p w14:paraId="1A461243" w14:textId="77777777" w:rsidR="0048621A" w:rsidRPr="0089631E" w:rsidRDefault="0048621A">
            <w:pPr>
              <w:pStyle w:val="Normalindrykning"/>
              <w:ind w:left="0"/>
              <w:jc w:val="center"/>
              <w:rPr>
                <w:sz w:val="24"/>
                <w:szCs w:val="24"/>
              </w:rPr>
            </w:pPr>
            <w:r w:rsidRPr="0089631E">
              <w:rPr>
                <w:sz w:val="24"/>
                <w:szCs w:val="24"/>
              </w:rPr>
              <w:t>-0,9 [-1,2, -0,2]</w:t>
            </w:r>
            <w:r w:rsidRPr="0089631E">
              <w:rPr>
                <w:color w:val="FF0000"/>
                <w:sz w:val="24"/>
                <w:szCs w:val="24"/>
                <w:vertAlign w:val="superscript"/>
              </w:rPr>
              <w:t xml:space="preserve"> §</w:t>
            </w:r>
          </w:p>
        </w:tc>
      </w:tr>
    </w:tbl>
    <w:p w14:paraId="1D3DE96D" w14:textId="77777777" w:rsidR="0048621A" w:rsidRPr="00CA76D0" w:rsidRDefault="0048621A" w:rsidP="00076476">
      <w:pPr>
        <w:ind w:left="851"/>
        <w:rPr>
          <w:sz w:val="20"/>
          <w:lang w:val="en-US" w:eastAsia="en-GB"/>
        </w:rPr>
      </w:pPr>
      <w:r w:rsidRPr="00CA76D0">
        <w:rPr>
          <w:sz w:val="20"/>
          <w:lang w:val="en-US"/>
        </w:rPr>
        <w:lastRenderedPageBreak/>
        <w:t>* Intent to treat-population med Last-Observation Carried Forward (</w:t>
      </w:r>
      <w:proofErr w:type="spellStart"/>
      <w:r w:rsidRPr="00CA76D0">
        <w:rPr>
          <w:sz w:val="20"/>
          <w:lang w:val="en-US"/>
        </w:rPr>
        <w:t>seneste</w:t>
      </w:r>
      <w:proofErr w:type="spellEnd"/>
      <w:r w:rsidRPr="00CA76D0">
        <w:rPr>
          <w:sz w:val="20"/>
          <w:lang w:val="en-US"/>
        </w:rPr>
        <w:t xml:space="preserve"> </w:t>
      </w:r>
      <w:proofErr w:type="spellStart"/>
      <w:r w:rsidRPr="00CA76D0">
        <w:rPr>
          <w:sz w:val="20"/>
          <w:lang w:val="en-US"/>
        </w:rPr>
        <w:t>overførte</w:t>
      </w:r>
      <w:proofErr w:type="spellEnd"/>
      <w:r w:rsidRPr="00CA76D0">
        <w:rPr>
          <w:sz w:val="20"/>
          <w:lang w:val="en-US"/>
        </w:rPr>
        <w:t xml:space="preserve"> observation)</w:t>
      </w:r>
    </w:p>
    <w:p w14:paraId="51B2181D" w14:textId="77777777" w:rsidR="00041126" w:rsidRPr="00CA76D0" w:rsidRDefault="00041126" w:rsidP="00076476">
      <w:pPr>
        <w:ind w:left="851"/>
        <w:rPr>
          <w:sz w:val="20"/>
          <w:lang w:val="en-US"/>
        </w:rPr>
      </w:pPr>
    </w:p>
    <w:p w14:paraId="6B30C898" w14:textId="4E2A8EB8" w:rsidR="0048621A" w:rsidRPr="00041126" w:rsidRDefault="0048621A" w:rsidP="00076476">
      <w:pPr>
        <w:ind w:left="851"/>
        <w:rPr>
          <w:sz w:val="20"/>
        </w:rPr>
      </w:pPr>
      <w:r w:rsidRPr="00041126">
        <w:rPr>
          <w:sz w:val="20"/>
        </w:rPr>
        <w:t xml:space="preserve">** The </w:t>
      </w:r>
      <w:proofErr w:type="spellStart"/>
      <w:r w:rsidRPr="00041126">
        <w:rPr>
          <w:sz w:val="20"/>
        </w:rPr>
        <w:t>Pregnancy</w:t>
      </w:r>
      <w:proofErr w:type="spellEnd"/>
      <w:r w:rsidRPr="00041126">
        <w:rPr>
          <w:sz w:val="20"/>
        </w:rPr>
        <w:t xml:space="preserve">-Unique </w:t>
      </w:r>
      <w:proofErr w:type="spellStart"/>
      <w:r w:rsidRPr="00041126">
        <w:rPr>
          <w:sz w:val="20"/>
        </w:rPr>
        <w:t>Quantification</w:t>
      </w:r>
      <w:proofErr w:type="spellEnd"/>
      <w:r w:rsidRPr="00041126">
        <w:rPr>
          <w:sz w:val="20"/>
        </w:rPr>
        <w:t xml:space="preserve"> of </w:t>
      </w:r>
      <w:proofErr w:type="spellStart"/>
      <w:r w:rsidRPr="00041126">
        <w:rPr>
          <w:sz w:val="20"/>
        </w:rPr>
        <w:t>Emesis</w:t>
      </w:r>
      <w:proofErr w:type="spellEnd"/>
      <w:r w:rsidRPr="00041126">
        <w:rPr>
          <w:sz w:val="20"/>
        </w:rPr>
        <w:t xml:space="preserve"> and </w:t>
      </w:r>
      <w:proofErr w:type="spellStart"/>
      <w:r w:rsidRPr="00041126">
        <w:rPr>
          <w:sz w:val="20"/>
        </w:rPr>
        <w:t>Nausea</w:t>
      </w:r>
      <w:proofErr w:type="spellEnd"/>
      <w:r w:rsidRPr="00041126">
        <w:rPr>
          <w:sz w:val="20"/>
        </w:rPr>
        <w:t xml:space="preserve"> (PUQE)-scoren inkorporerede antallet af daglige opkastningsepisoder, antallet af daglige opkastninger og længden af daglig kvalme i timer med henblik på en samlet score af symptomer vurderet fra 3 (ingen symptomer) til 15 (mest alvorlige). Baseline var defineret som PUQE-scoren, der blev udfyldt ved inklusionsbesøget.</w:t>
      </w:r>
    </w:p>
    <w:p w14:paraId="498C72CB" w14:textId="77777777" w:rsidR="0048621A" w:rsidRPr="00041126" w:rsidRDefault="0048621A" w:rsidP="00076476">
      <w:pPr>
        <w:ind w:left="851"/>
        <w:rPr>
          <w:sz w:val="20"/>
        </w:rPr>
      </w:pPr>
    </w:p>
    <w:p w14:paraId="2C1CAE17" w14:textId="3A673B09" w:rsidR="0048621A" w:rsidRPr="00041126" w:rsidRDefault="0048621A" w:rsidP="00076476">
      <w:pPr>
        <w:ind w:left="851"/>
        <w:rPr>
          <w:sz w:val="20"/>
        </w:rPr>
      </w:pPr>
      <w:r w:rsidRPr="00041126">
        <w:rPr>
          <w:sz w:val="20"/>
        </w:rPr>
        <w:t>§ Beregnet Cohens d-koefficient = 0,34.</w:t>
      </w:r>
      <w:bookmarkStart w:id="6" w:name="_Hlk105064535"/>
      <w:r w:rsidRPr="00041126">
        <w:rPr>
          <w:sz w:val="20"/>
        </w:rPr>
        <w:t xml:space="preserve"> Forskellen i gennemsnitlig reduktion i PUQE-score reducering betragtes som en "mellemstor effekt" ifølge Cohens d-koefficient (på 0,34), hvor &gt; 0,20 = mellemstor effekt.</w:t>
      </w:r>
      <w:bookmarkEnd w:id="6"/>
    </w:p>
    <w:p w14:paraId="634F61C0" w14:textId="77777777" w:rsidR="0048621A" w:rsidRPr="0089631E" w:rsidRDefault="0048621A" w:rsidP="00076476">
      <w:pPr>
        <w:ind w:left="851"/>
        <w:rPr>
          <w:sz w:val="24"/>
          <w:szCs w:val="24"/>
        </w:rPr>
      </w:pPr>
    </w:p>
    <w:p w14:paraId="7765E1D5" w14:textId="7B3CBF8B" w:rsidR="0048621A" w:rsidRPr="0089631E" w:rsidRDefault="0048621A" w:rsidP="00076476">
      <w:pPr>
        <w:ind w:left="851"/>
        <w:rPr>
          <w:sz w:val="24"/>
          <w:szCs w:val="24"/>
        </w:rPr>
      </w:pPr>
      <w:r w:rsidRPr="0089631E">
        <w:rPr>
          <w:sz w:val="24"/>
          <w:szCs w:val="24"/>
        </w:rPr>
        <w:t xml:space="preserve">I litteraturen er sikkerheden og virkningen af kombinationen af </w:t>
      </w:r>
      <w:proofErr w:type="spellStart"/>
      <w:r w:rsidRPr="0089631E">
        <w:rPr>
          <w:sz w:val="24"/>
          <w:szCs w:val="24"/>
        </w:rPr>
        <w:t>doxylaminhydrogen</w:t>
      </w:r>
      <w:r w:rsidR="00744908" w:rsidRPr="0089631E">
        <w:rPr>
          <w:sz w:val="24"/>
          <w:szCs w:val="24"/>
        </w:rPr>
        <w:softHyphen/>
      </w:r>
      <w:r w:rsidRPr="0089631E">
        <w:rPr>
          <w:sz w:val="24"/>
          <w:szCs w:val="24"/>
        </w:rPr>
        <w:t>succinat</w:t>
      </w:r>
      <w:proofErr w:type="spellEnd"/>
      <w:r w:rsidRPr="0089631E">
        <w:rPr>
          <w:sz w:val="24"/>
          <w:szCs w:val="24"/>
        </w:rPr>
        <w:t xml:space="preserve"> og </w:t>
      </w:r>
      <w:proofErr w:type="spellStart"/>
      <w:r w:rsidRPr="0089631E">
        <w:rPr>
          <w:sz w:val="24"/>
          <w:szCs w:val="24"/>
        </w:rPr>
        <w:t>pyridoxinhydrochlorid</w:t>
      </w:r>
      <w:proofErr w:type="spellEnd"/>
      <w:r w:rsidRPr="0089631E">
        <w:rPr>
          <w:sz w:val="24"/>
          <w:szCs w:val="24"/>
        </w:rPr>
        <w:t xml:space="preserve"> blevet påvist ved behandling af NVP (kvalme og opkastning i graviditeten) hos gravide kvinder</w:t>
      </w:r>
    </w:p>
    <w:p w14:paraId="1A95957A" w14:textId="77777777" w:rsidR="0048621A" w:rsidRPr="0089631E" w:rsidRDefault="0048621A" w:rsidP="00076476">
      <w:pPr>
        <w:ind w:left="851"/>
        <w:rPr>
          <w:sz w:val="24"/>
          <w:szCs w:val="24"/>
          <w:u w:val="single"/>
        </w:rPr>
      </w:pPr>
    </w:p>
    <w:p w14:paraId="77942EC7" w14:textId="77777777" w:rsidR="0048621A" w:rsidRPr="0089631E" w:rsidRDefault="0048621A" w:rsidP="00076476">
      <w:pPr>
        <w:ind w:left="851"/>
        <w:rPr>
          <w:sz w:val="24"/>
          <w:szCs w:val="24"/>
          <w:u w:val="single"/>
        </w:rPr>
      </w:pPr>
      <w:r w:rsidRPr="0089631E">
        <w:rPr>
          <w:sz w:val="24"/>
          <w:szCs w:val="24"/>
          <w:u w:val="single"/>
        </w:rPr>
        <w:t>Pædiatrisk population</w:t>
      </w:r>
    </w:p>
    <w:p w14:paraId="0AD370BF" w14:textId="77777777" w:rsidR="0048621A" w:rsidRPr="0089631E" w:rsidRDefault="0048621A" w:rsidP="00076476">
      <w:pPr>
        <w:ind w:left="851"/>
        <w:rPr>
          <w:sz w:val="24"/>
          <w:szCs w:val="24"/>
        </w:rPr>
      </w:pPr>
    </w:p>
    <w:p w14:paraId="6C990AF4" w14:textId="77777777" w:rsidR="0048621A" w:rsidRPr="0089631E" w:rsidRDefault="0048621A" w:rsidP="00076476">
      <w:pPr>
        <w:ind w:left="851"/>
        <w:rPr>
          <w:sz w:val="24"/>
          <w:szCs w:val="24"/>
        </w:rPr>
      </w:pPr>
      <w:r w:rsidRPr="0089631E">
        <w:rPr>
          <w:sz w:val="24"/>
          <w:szCs w:val="24"/>
        </w:rPr>
        <w:t>Sikkerheden og virkningen er ikke klarlagt i den pædiatriske population. Der foreligger ingen data.  (se pkt. 4.2 for oplysninger om pædiatrisk anvendelse).</w:t>
      </w:r>
    </w:p>
    <w:p w14:paraId="46415440" w14:textId="77777777" w:rsidR="009260DE" w:rsidRPr="0089631E" w:rsidRDefault="009260DE" w:rsidP="009260DE">
      <w:pPr>
        <w:tabs>
          <w:tab w:val="left" w:pos="851"/>
        </w:tabs>
        <w:ind w:left="851"/>
        <w:rPr>
          <w:sz w:val="24"/>
          <w:szCs w:val="24"/>
        </w:rPr>
      </w:pPr>
    </w:p>
    <w:p w14:paraId="534A0546" w14:textId="77777777" w:rsidR="009260DE" w:rsidRPr="0089631E" w:rsidRDefault="009260DE" w:rsidP="009260DE">
      <w:pPr>
        <w:tabs>
          <w:tab w:val="left" w:pos="851"/>
        </w:tabs>
        <w:ind w:left="851" w:hanging="851"/>
        <w:rPr>
          <w:b/>
          <w:sz w:val="24"/>
          <w:szCs w:val="24"/>
        </w:rPr>
      </w:pPr>
      <w:r w:rsidRPr="0089631E">
        <w:rPr>
          <w:b/>
          <w:sz w:val="24"/>
          <w:szCs w:val="24"/>
        </w:rPr>
        <w:t>5.2</w:t>
      </w:r>
      <w:r w:rsidRPr="0089631E">
        <w:rPr>
          <w:b/>
          <w:sz w:val="24"/>
          <w:szCs w:val="24"/>
        </w:rPr>
        <w:tab/>
      </w:r>
      <w:proofErr w:type="spellStart"/>
      <w:r w:rsidRPr="0089631E">
        <w:rPr>
          <w:b/>
          <w:sz w:val="24"/>
          <w:szCs w:val="24"/>
        </w:rPr>
        <w:t>Farmakokinetiske</w:t>
      </w:r>
      <w:proofErr w:type="spellEnd"/>
      <w:r w:rsidRPr="0089631E">
        <w:rPr>
          <w:b/>
          <w:sz w:val="24"/>
          <w:szCs w:val="24"/>
        </w:rPr>
        <w:t xml:space="preserve"> egenskaber</w:t>
      </w:r>
    </w:p>
    <w:p w14:paraId="6D4F0E87" w14:textId="77777777" w:rsidR="0048621A" w:rsidRPr="0089631E" w:rsidRDefault="0048621A" w:rsidP="00076476">
      <w:pPr>
        <w:ind w:left="851"/>
        <w:rPr>
          <w:sz w:val="24"/>
          <w:szCs w:val="24"/>
          <w:lang w:eastAsia="en-GB"/>
        </w:rPr>
      </w:pPr>
      <w:r w:rsidRPr="0089631E">
        <w:rPr>
          <w:sz w:val="24"/>
          <w:szCs w:val="24"/>
        </w:rPr>
        <w:t xml:space="preserve">Farmakokinetikken for </w:t>
      </w:r>
      <w:proofErr w:type="spellStart"/>
      <w:r w:rsidRPr="0089631E">
        <w:rPr>
          <w:sz w:val="24"/>
          <w:szCs w:val="24"/>
        </w:rPr>
        <w:t>Bonjesta</w:t>
      </w:r>
      <w:proofErr w:type="spellEnd"/>
      <w:r w:rsidRPr="0089631E">
        <w:rPr>
          <w:sz w:val="24"/>
          <w:szCs w:val="24"/>
        </w:rPr>
        <w:t xml:space="preserve"> er blevet karakteriseret hos raske, ikke-gravide voksne kvinder i et enkeltdosisstudie (én tablet) og et flerdosisstudie (to tabletter dagligt fra dag 1 til 11).</w:t>
      </w:r>
    </w:p>
    <w:p w14:paraId="0CED342D" w14:textId="77777777" w:rsidR="0048621A" w:rsidRPr="0089631E" w:rsidRDefault="0048621A" w:rsidP="00076476">
      <w:pPr>
        <w:ind w:left="851"/>
        <w:rPr>
          <w:sz w:val="24"/>
          <w:szCs w:val="24"/>
          <w:u w:val="single"/>
        </w:rPr>
      </w:pPr>
    </w:p>
    <w:p w14:paraId="02F761D1" w14:textId="77777777" w:rsidR="0048621A" w:rsidRPr="0089631E" w:rsidRDefault="0048621A" w:rsidP="00076476">
      <w:pPr>
        <w:ind w:left="851"/>
        <w:rPr>
          <w:sz w:val="24"/>
          <w:szCs w:val="24"/>
          <w:u w:val="single"/>
        </w:rPr>
      </w:pPr>
      <w:r w:rsidRPr="0089631E">
        <w:rPr>
          <w:sz w:val="24"/>
          <w:szCs w:val="24"/>
          <w:u w:val="single"/>
        </w:rPr>
        <w:t>Absorption</w:t>
      </w:r>
    </w:p>
    <w:p w14:paraId="67703CA1" w14:textId="77777777" w:rsidR="0048621A" w:rsidRPr="0089631E" w:rsidRDefault="0048621A" w:rsidP="00076476">
      <w:pPr>
        <w:ind w:left="851"/>
        <w:rPr>
          <w:sz w:val="24"/>
          <w:szCs w:val="24"/>
          <w:u w:val="single"/>
        </w:rPr>
      </w:pPr>
    </w:p>
    <w:p w14:paraId="57D2E50D" w14:textId="6FE6098D" w:rsidR="0048621A" w:rsidRPr="0089631E" w:rsidRDefault="0048621A" w:rsidP="00076476">
      <w:pPr>
        <w:ind w:left="851"/>
        <w:rPr>
          <w:sz w:val="24"/>
          <w:szCs w:val="24"/>
        </w:rPr>
      </w:pP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pyridoxin</w:t>
      </w:r>
      <w:proofErr w:type="spellEnd"/>
      <w:r w:rsidRPr="0089631E">
        <w:rPr>
          <w:sz w:val="24"/>
          <w:szCs w:val="24"/>
        </w:rPr>
        <w:t xml:space="preserve"> absorberes i mave-tarm-</w:t>
      </w:r>
      <w:r w:rsidR="00CA76D0">
        <w:rPr>
          <w:sz w:val="24"/>
          <w:szCs w:val="24"/>
        </w:rPr>
        <w:t>k</w:t>
      </w:r>
      <w:r w:rsidRPr="0089631E">
        <w:rPr>
          <w:sz w:val="24"/>
          <w:szCs w:val="24"/>
        </w:rPr>
        <w:t>analen, hovedsageligt i jejunum.</w:t>
      </w:r>
    </w:p>
    <w:p w14:paraId="50A9F82B" w14:textId="77777777" w:rsidR="0048621A" w:rsidRPr="0089631E" w:rsidRDefault="0048621A" w:rsidP="00076476">
      <w:pPr>
        <w:ind w:left="851"/>
        <w:rPr>
          <w:sz w:val="24"/>
          <w:szCs w:val="24"/>
        </w:rPr>
      </w:pPr>
      <w:r w:rsidRPr="0089631E">
        <w:rPr>
          <w:sz w:val="24"/>
          <w:szCs w:val="24"/>
        </w:rPr>
        <w:t xml:space="preserve">Ved formulering som en tablet med modificeret udløsning, blev den gennemsnitlige maksimale plasmakoncentration af </w:t>
      </w: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pyridoxin</w:t>
      </w:r>
      <w:proofErr w:type="spellEnd"/>
      <w:r w:rsidRPr="0089631E">
        <w:rPr>
          <w:sz w:val="24"/>
          <w:szCs w:val="24"/>
        </w:rPr>
        <w:t xml:space="preserve"> efter enkeltdosisadministration opnået inden for henholdsvis 4,5 og 0,5 timer.</w:t>
      </w:r>
    </w:p>
    <w:p w14:paraId="23A2584C" w14:textId="77777777" w:rsidR="0048621A" w:rsidRPr="0089631E" w:rsidRDefault="0048621A" w:rsidP="00076476">
      <w:pPr>
        <w:ind w:left="851"/>
        <w:rPr>
          <w:sz w:val="24"/>
          <w:szCs w:val="24"/>
        </w:rPr>
      </w:pPr>
    </w:p>
    <w:p w14:paraId="26222ACF" w14:textId="77777777" w:rsidR="0048621A" w:rsidRPr="0089631E" w:rsidRDefault="0048621A" w:rsidP="00076476">
      <w:pPr>
        <w:ind w:left="851"/>
        <w:rPr>
          <w:sz w:val="24"/>
          <w:szCs w:val="24"/>
        </w:rPr>
      </w:pPr>
      <w:r w:rsidRPr="0089631E">
        <w:rPr>
          <w:sz w:val="24"/>
          <w:szCs w:val="24"/>
        </w:rPr>
        <w:t>Flerdosisadministration resulterede i:</w:t>
      </w:r>
    </w:p>
    <w:p w14:paraId="07D120D1" w14:textId="77777777" w:rsidR="0048621A" w:rsidRPr="0089631E" w:rsidRDefault="0048621A" w:rsidP="00076476">
      <w:pPr>
        <w:ind w:left="851"/>
        <w:rPr>
          <w:sz w:val="24"/>
          <w:szCs w:val="24"/>
        </w:rPr>
      </w:pPr>
    </w:p>
    <w:p w14:paraId="7CE4AEB0" w14:textId="648D3D3E" w:rsidR="0048621A" w:rsidRPr="00041126" w:rsidRDefault="0048621A" w:rsidP="00041126">
      <w:pPr>
        <w:pStyle w:val="Listeafsnit"/>
        <w:numPr>
          <w:ilvl w:val="0"/>
          <w:numId w:val="16"/>
        </w:numPr>
        <w:ind w:left="1276" w:hanging="425"/>
        <w:rPr>
          <w:sz w:val="24"/>
          <w:szCs w:val="24"/>
        </w:rPr>
      </w:pPr>
      <w:r w:rsidRPr="00041126">
        <w:rPr>
          <w:sz w:val="24"/>
          <w:szCs w:val="24"/>
        </w:rPr>
        <w:t xml:space="preserve">Øgede koncentrationer af </w:t>
      </w:r>
      <w:proofErr w:type="spellStart"/>
      <w:r w:rsidRPr="00041126">
        <w:rPr>
          <w:sz w:val="24"/>
          <w:szCs w:val="24"/>
        </w:rPr>
        <w:t>doxylamin</w:t>
      </w:r>
      <w:proofErr w:type="spellEnd"/>
      <w:r w:rsidRPr="00041126">
        <w:rPr>
          <w:sz w:val="24"/>
          <w:szCs w:val="24"/>
        </w:rPr>
        <w:t xml:space="preserve"> samt øget </w:t>
      </w:r>
      <w:proofErr w:type="spellStart"/>
      <w:r w:rsidRPr="00041126">
        <w:rPr>
          <w:sz w:val="24"/>
          <w:szCs w:val="24"/>
        </w:rPr>
        <w:t>C</w:t>
      </w:r>
      <w:r w:rsidRPr="00041126">
        <w:rPr>
          <w:sz w:val="24"/>
          <w:szCs w:val="24"/>
          <w:vertAlign w:val="subscript"/>
        </w:rPr>
        <w:t>max</w:t>
      </w:r>
      <w:proofErr w:type="spellEnd"/>
      <w:r w:rsidRPr="00041126">
        <w:rPr>
          <w:sz w:val="24"/>
          <w:szCs w:val="24"/>
        </w:rPr>
        <w:t xml:space="preserve"> med 1,8 og AUC for absorption med 2,0. Tiden til opnåelse af den maksimale koncentration blev reduceret ved flere doser, fra et gennemsnit på 20,0 timer (interval 2,00-23,0) til 3,50 timer (interval 1,00-20,0). Det gennemsnitlige akkumuleringsindeks var 1,99, hvilket tyder på, at </w:t>
      </w:r>
      <w:proofErr w:type="spellStart"/>
      <w:r w:rsidRPr="00041126">
        <w:rPr>
          <w:sz w:val="24"/>
          <w:szCs w:val="24"/>
        </w:rPr>
        <w:t>doxylamin</w:t>
      </w:r>
      <w:proofErr w:type="spellEnd"/>
      <w:r w:rsidRPr="00041126">
        <w:rPr>
          <w:sz w:val="24"/>
          <w:szCs w:val="24"/>
        </w:rPr>
        <w:t xml:space="preserve"> akkumuleres efter gentagen dosering.</w:t>
      </w:r>
    </w:p>
    <w:p w14:paraId="6C0EA20D" w14:textId="77777777" w:rsidR="0048621A" w:rsidRPr="0089631E" w:rsidRDefault="0048621A" w:rsidP="00041126">
      <w:pPr>
        <w:ind w:left="1276" w:hanging="425"/>
        <w:rPr>
          <w:sz w:val="24"/>
          <w:szCs w:val="24"/>
        </w:rPr>
      </w:pPr>
    </w:p>
    <w:p w14:paraId="086BC057" w14:textId="20009973" w:rsidR="0048621A" w:rsidRPr="00041126" w:rsidRDefault="0048621A" w:rsidP="00041126">
      <w:pPr>
        <w:pStyle w:val="Listeafsnit"/>
        <w:numPr>
          <w:ilvl w:val="0"/>
          <w:numId w:val="16"/>
        </w:numPr>
        <w:ind w:left="1276" w:hanging="425"/>
        <w:rPr>
          <w:sz w:val="24"/>
          <w:szCs w:val="24"/>
        </w:rPr>
      </w:pPr>
      <w:r w:rsidRPr="00041126">
        <w:rPr>
          <w:sz w:val="24"/>
          <w:szCs w:val="24"/>
        </w:rPr>
        <w:t xml:space="preserve">Selvom der ikke blev observeret akkumulering for </w:t>
      </w:r>
      <w:proofErr w:type="spellStart"/>
      <w:r w:rsidRPr="00041126">
        <w:rPr>
          <w:sz w:val="24"/>
          <w:szCs w:val="24"/>
        </w:rPr>
        <w:t>pyridoxin</w:t>
      </w:r>
      <w:proofErr w:type="spellEnd"/>
      <w:r w:rsidRPr="00041126">
        <w:rPr>
          <w:sz w:val="24"/>
          <w:szCs w:val="24"/>
        </w:rPr>
        <w:t xml:space="preserve">, var det gennemsnitlige akkumuleringsindeks for den aktive hovedmetabolit </w:t>
      </w:r>
      <w:proofErr w:type="spellStart"/>
      <w:r w:rsidRPr="00041126">
        <w:rPr>
          <w:sz w:val="24"/>
          <w:szCs w:val="24"/>
        </w:rPr>
        <w:t>pyridoxal</w:t>
      </w:r>
      <w:proofErr w:type="spellEnd"/>
      <w:r w:rsidRPr="00041126">
        <w:rPr>
          <w:sz w:val="24"/>
          <w:szCs w:val="24"/>
        </w:rPr>
        <w:t xml:space="preserve"> 5'-phosphat 2,61 efter administration af flere doser. Tiden til op</w:t>
      </w:r>
      <w:r w:rsidR="00CA76D0">
        <w:rPr>
          <w:sz w:val="24"/>
          <w:szCs w:val="24"/>
        </w:rPr>
        <w:t>n</w:t>
      </w:r>
      <w:r w:rsidRPr="00041126">
        <w:rPr>
          <w:sz w:val="24"/>
          <w:szCs w:val="24"/>
        </w:rPr>
        <w:t xml:space="preserve">åelse af den maksimale koncentration blev let påvirket ved flere doser fra et gennemsnit på 21,0 timer (interval 15,0-23,9) til 15,0 timer (interval 2,00-24,0). </w:t>
      </w:r>
    </w:p>
    <w:p w14:paraId="28BE8793" w14:textId="77777777" w:rsidR="0048621A" w:rsidRPr="0089631E" w:rsidRDefault="0048621A" w:rsidP="00076476">
      <w:pPr>
        <w:ind w:left="851"/>
        <w:rPr>
          <w:iCs/>
          <w:sz w:val="24"/>
          <w:szCs w:val="24"/>
        </w:rPr>
      </w:pPr>
    </w:p>
    <w:p w14:paraId="3063CE32" w14:textId="77777777" w:rsidR="0048621A" w:rsidRPr="0089631E" w:rsidRDefault="0048621A" w:rsidP="00076476">
      <w:pPr>
        <w:ind w:left="851"/>
        <w:rPr>
          <w:iCs/>
          <w:sz w:val="24"/>
          <w:szCs w:val="24"/>
        </w:rPr>
      </w:pPr>
      <w:r w:rsidRPr="0089631E">
        <w:rPr>
          <w:iCs/>
          <w:sz w:val="24"/>
          <w:szCs w:val="24"/>
        </w:rPr>
        <w:t xml:space="preserve">I et klinisk mad-effekt crossover-studie med enkeltdosis-effekt udført hos 23 raske, </w:t>
      </w:r>
      <w:proofErr w:type="spellStart"/>
      <w:r w:rsidRPr="0089631E">
        <w:rPr>
          <w:iCs/>
          <w:sz w:val="24"/>
          <w:szCs w:val="24"/>
        </w:rPr>
        <w:t>præmenopausale</w:t>
      </w:r>
      <w:proofErr w:type="spellEnd"/>
      <w:r w:rsidRPr="0089631E">
        <w:rPr>
          <w:iCs/>
          <w:sz w:val="24"/>
          <w:szCs w:val="24"/>
        </w:rPr>
        <w:t xml:space="preserve"> kvinder:</w:t>
      </w:r>
    </w:p>
    <w:p w14:paraId="7FEA2C0D" w14:textId="77777777" w:rsidR="0048621A" w:rsidRPr="0089631E" w:rsidRDefault="0048621A" w:rsidP="00076476">
      <w:pPr>
        <w:ind w:left="851"/>
        <w:rPr>
          <w:iCs/>
          <w:sz w:val="24"/>
          <w:szCs w:val="24"/>
        </w:rPr>
      </w:pPr>
    </w:p>
    <w:p w14:paraId="55A8F166" w14:textId="77777777" w:rsidR="0048621A" w:rsidRPr="00041126" w:rsidRDefault="0048621A" w:rsidP="00041126">
      <w:pPr>
        <w:pStyle w:val="Listeafsnit"/>
        <w:numPr>
          <w:ilvl w:val="0"/>
          <w:numId w:val="17"/>
        </w:numPr>
        <w:ind w:left="1276" w:hanging="425"/>
        <w:rPr>
          <w:iCs/>
          <w:sz w:val="24"/>
          <w:szCs w:val="24"/>
        </w:rPr>
      </w:pPr>
      <w:r w:rsidRPr="00041126">
        <w:rPr>
          <w:sz w:val="24"/>
          <w:szCs w:val="24"/>
        </w:rPr>
        <w:t xml:space="preserve">Administration af et måltid med højt fedtindhold og højt kalorieindhold forsinkede absorptionen af </w:t>
      </w:r>
      <w:proofErr w:type="spellStart"/>
      <w:r w:rsidRPr="00041126">
        <w:rPr>
          <w:sz w:val="24"/>
          <w:szCs w:val="24"/>
        </w:rPr>
        <w:t>doxylamin</w:t>
      </w:r>
      <w:proofErr w:type="spellEnd"/>
      <w:r w:rsidRPr="00041126">
        <w:rPr>
          <w:sz w:val="24"/>
          <w:szCs w:val="24"/>
        </w:rPr>
        <w:t xml:space="preserve">, </w:t>
      </w:r>
      <w:proofErr w:type="spellStart"/>
      <w:r w:rsidRPr="00041126">
        <w:rPr>
          <w:sz w:val="24"/>
          <w:szCs w:val="24"/>
        </w:rPr>
        <w:t>pyridoxin</w:t>
      </w:r>
      <w:proofErr w:type="spellEnd"/>
      <w:r w:rsidRPr="00041126">
        <w:rPr>
          <w:sz w:val="24"/>
          <w:szCs w:val="24"/>
        </w:rPr>
        <w:t xml:space="preserve"> og </w:t>
      </w:r>
      <w:proofErr w:type="spellStart"/>
      <w:r w:rsidRPr="00041126">
        <w:rPr>
          <w:sz w:val="24"/>
          <w:szCs w:val="24"/>
        </w:rPr>
        <w:t>pyridoxinmetabolitter</w:t>
      </w:r>
      <w:proofErr w:type="spellEnd"/>
      <w:r w:rsidRPr="00041126">
        <w:rPr>
          <w:sz w:val="24"/>
          <w:szCs w:val="24"/>
        </w:rPr>
        <w:t xml:space="preserve">. Denne forsinkelse var forbundet med lavere spidskoncentrationer af </w:t>
      </w:r>
      <w:proofErr w:type="spellStart"/>
      <w:r w:rsidRPr="00041126">
        <w:rPr>
          <w:sz w:val="24"/>
          <w:szCs w:val="24"/>
        </w:rPr>
        <w:t>doxylamin</w:t>
      </w:r>
      <w:proofErr w:type="spellEnd"/>
      <w:r w:rsidRPr="00041126">
        <w:rPr>
          <w:sz w:val="24"/>
          <w:szCs w:val="24"/>
        </w:rPr>
        <w:t xml:space="preserve">, </w:t>
      </w:r>
      <w:proofErr w:type="spellStart"/>
      <w:r w:rsidRPr="00041126">
        <w:rPr>
          <w:sz w:val="24"/>
          <w:szCs w:val="24"/>
        </w:rPr>
        <w:t>pyridoxin</w:t>
      </w:r>
      <w:proofErr w:type="spellEnd"/>
      <w:r w:rsidRPr="00041126">
        <w:rPr>
          <w:sz w:val="24"/>
          <w:szCs w:val="24"/>
        </w:rPr>
        <w:t xml:space="preserve"> og </w:t>
      </w:r>
      <w:proofErr w:type="spellStart"/>
      <w:r w:rsidRPr="00041126">
        <w:rPr>
          <w:sz w:val="24"/>
          <w:szCs w:val="24"/>
        </w:rPr>
        <w:t>pyridoxal</w:t>
      </w:r>
      <w:proofErr w:type="spellEnd"/>
      <w:r w:rsidRPr="00041126">
        <w:rPr>
          <w:sz w:val="24"/>
          <w:szCs w:val="24"/>
        </w:rPr>
        <w:t xml:space="preserve">. </w:t>
      </w:r>
    </w:p>
    <w:p w14:paraId="4D41A780" w14:textId="77777777" w:rsidR="0048621A" w:rsidRPr="0089631E" w:rsidRDefault="0048621A" w:rsidP="00041126">
      <w:pPr>
        <w:ind w:left="1276" w:hanging="425"/>
        <w:rPr>
          <w:iCs/>
          <w:sz w:val="24"/>
          <w:szCs w:val="24"/>
        </w:rPr>
      </w:pPr>
    </w:p>
    <w:p w14:paraId="6AC3C458" w14:textId="77777777" w:rsidR="0048621A" w:rsidRPr="00041126" w:rsidRDefault="0048621A" w:rsidP="00041126">
      <w:pPr>
        <w:pStyle w:val="Listeafsnit"/>
        <w:numPr>
          <w:ilvl w:val="0"/>
          <w:numId w:val="17"/>
        </w:numPr>
        <w:ind w:left="1276" w:hanging="425"/>
        <w:rPr>
          <w:iCs/>
          <w:sz w:val="24"/>
          <w:szCs w:val="24"/>
        </w:rPr>
      </w:pPr>
      <w:r w:rsidRPr="00041126">
        <w:rPr>
          <w:sz w:val="24"/>
          <w:szCs w:val="24"/>
        </w:rPr>
        <w:lastRenderedPageBreak/>
        <w:t xml:space="preserve">Absorptionsgraden for </w:t>
      </w:r>
      <w:proofErr w:type="spellStart"/>
      <w:r w:rsidRPr="00041126">
        <w:rPr>
          <w:sz w:val="24"/>
          <w:szCs w:val="24"/>
        </w:rPr>
        <w:t>pyridoxin</w:t>
      </w:r>
      <w:proofErr w:type="spellEnd"/>
      <w:r w:rsidRPr="00041126">
        <w:rPr>
          <w:sz w:val="24"/>
          <w:szCs w:val="24"/>
        </w:rPr>
        <w:t xml:space="preserve"> var nedsat. Virkningen af mad på spidskoncentrationen og absorptionsgraden af </w:t>
      </w:r>
      <w:proofErr w:type="spellStart"/>
      <w:r w:rsidRPr="00041126">
        <w:rPr>
          <w:sz w:val="24"/>
          <w:szCs w:val="24"/>
        </w:rPr>
        <w:t>pyridoxinkomponenten</w:t>
      </w:r>
      <w:proofErr w:type="spellEnd"/>
      <w:r w:rsidRPr="00041126">
        <w:rPr>
          <w:sz w:val="24"/>
          <w:szCs w:val="24"/>
        </w:rPr>
        <w:t xml:space="preserve"> er mere kompleks, fordi </w:t>
      </w:r>
      <w:proofErr w:type="spellStart"/>
      <w:r w:rsidRPr="00041126">
        <w:rPr>
          <w:sz w:val="24"/>
          <w:szCs w:val="24"/>
        </w:rPr>
        <w:t>pyridoxinmetabolitter</w:t>
      </w:r>
      <w:proofErr w:type="spellEnd"/>
      <w:r w:rsidRPr="00041126">
        <w:rPr>
          <w:sz w:val="24"/>
          <w:szCs w:val="24"/>
        </w:rPr>
        <w:t xml:space="preserve"> såsom </w:t>
      </w:r>
      <w:proofErr w:type="spellStart"/>
      <w:r w:rsidRPr="00041126">
        <w:rPr>
          <w:sz w:val="24"/>
          <w:szCs w:val="24"/>
        </w:rPr>
        <w:t>pyridoxal</w:t>
      </w:r>
      <w:proofErr w:type="spellEnd"/>
      <w:r w:rsidRPr="00041126">
        <w:rPr>
          <w:sz w:val="24"/>
          <w:szCs w:val="24"/>
        </w:rPr>
        <w:t xml:space="preserve">, </w:t>
      </w:r>
      <w:proofErr w:type="spellStart"/>
      <w:r w:rsidRPr="00041126">
        <w:rPr>
          <w:sz w:val="24"/>
          <w:szCs w:val="24"/>
        </w:rPr>
        <w:t>pyridoxamin</w:t>
      </w:r>
      <w:proofErr w:type="spellEnd"/>
      <w:r w:rsidRPr="00041126">
        <w:rPr>
          <w:sz w:val="24"/>
          <w:szCs w:val="24"/>
        </w:rPr>
        <w:t xml:space="preserve">, </w:t>
      </w:r>
      <w:proofErr w:type="spellStart"/>
      <w:r w:rsidRPr="00041126">
        <w:rPr>
          <w:sz w:val="24"/>
          <w:szCs w:val="24"/>
        </w:rPr>
        <w:t>pyridoxal</w:t>
      </w:r>
      <w:proofErr w:type="spellEnd"/>
      <w:r w:rsidRPr="00041126">
        <w:rPr>
          <w:sz w:val="24"/>
          <w:szCs w:val="24"/>
        </w:rPr>
        <w:t xml:space="preserve"> 5'-phosphat og </w:t>
      </w:r>
      <w:proofErr w:type="spellStart"/>
      <w:r w:rsidRPr="00041126">
        <w:rPr>
          <w:sz w:val="24"/>
          <w:szCs w:val="24"/>
        </w:rPr>
        <w:t>pyridoxamin</w:t>
      </w:r>
      <w:proofErr w:type="spellEnd"/>
      <w:r w:rsidRPr="00041126">
        <w:rPr>
          <w:sz w:val="24"/>
          <w:szCs w:val="24"/>
        </w:rPr>
        <w:t xml:space="preserve"> 5'-phosphat også bidrager til biologisk aktivitet. </w:t>
      </w:r>
    </w:p>
    <w:p w14:paraId="735064EB" w14:textId="77777777" w:rsidR="0048621A" w:rsidRPr="0089631E" w:rsidRDefault="0048621A" w:rsidP="00041126">
      <w:pPr>
        <w:ind w:left="1276" w:hanging="425"/>
        <w:rPr>
          <w:iCs/>
          <w:sz w:val="24"/>
          <w:szCs w:val="24"/>
        </w:rPr>
      </w:pPr>
    </w:p>
    <w:p w14:paraId="6E3C7C5C" w14:textId="77777777" w:rsidR="0048621A" w:rsidRPr="00041126" w:rsidRDefault="0048621A" w:rsidP="00041126">
      <w:pPr>
        <w:pStyle w:val="Listeafsnit"/>
        <w:numPr>
          <w:ilvl w:val="0"/>
          <w:numId w:val="17"/>
        </w:numPr>
        <w:ind w:left="1276" w:hanging="425"/>
        <w:rPr>
          <w:sz w:val="24"/>
          <w:szCs w:val="24"/>
        </w:rPr>
      </w:pPr>
      <w:r w:rsidRPr="00041126">
        <w:rPr>
          <w:sz w:val="24"/>
          <w:szCs w:val="24"/>
        </w:rPr>
        <w:t xml:space="preserve">Mad reducerede biotilgængeligheden af </w:t>
      </w:r>
      <w:proofErr w:type="spellStart"/>
      <w:r w:rsidRPr="00041126">
        <w:rPr>
          <w:sz w:val="24"/>
          <w:szCs w:val="24"/>
        </w:rPr>
        <w:t>pyridoxin</w:t>
      </w:r>
      <w:proofErr w:type="spellEnd"/>
      <w:r w:rsidRPr="00041126">
        <w:rPr>
          <w:sz w:val="24"/>
          <w:szCs w:val="24"/>
        </w:rPr>
        <w:t xml:space="preserve"> signifikant, idet maden sænkede dets </w:t>
      </w:r>
      <w:proofErr w:type="spellStart"/>
      <w:r w:rsidRPr="00041126">
        <w:rPr>
          <w:sz w:val="24"/>
          <w:szCs w:val="24"/>
        </w:rPr>
        <w:t>C</w:t>
      </w:r>
      <w:r w:rsidRPr="00041126">
        <w:rPr>
          <w:sz w:val="24"/>
          <w:szCs w:val="24"/>
          <w:vertAlign w:val="subscript"/>
        </w:rPr>
        <w:t>max</w:t>
      </w:r>
      <w:proofErr w:type="spellEnd"/>
      <w:r w:rsidRPr="00041126">
        <w:rPr>
          <w:sz w:val="24"/>
          <w:szCs w:val="24"/>
        </w:rPr>
        <w:t xml:space="preserve"> og AUC med henholdsvis ca. 67 % og 37 % sammenlignet med fastetilstande. I modsætning hertil påvirkede mad ikke </w:t>
      </w:r>
      <w:proofErr w:type="spellStart"/>
      <w:r w:rsidRPr="00041126">
        <w:rPr>
          <w:sz w:val="24"/>
          <w:szCs w:val="24"/>
        </w:rPr>
        <w:t>C</w:t>
      </w:r>
      <w:r w:rsidRPr="00041126">
        <w:rPr>
          <w:iCs/>
          <w:sz w:val="24"/>
          <w:szCs w:val="24"/>
          <w:vertAlign w:val="subscript"/>
        </w:rPr>
        <w:t>max</w:t>
      </w:r>
      <w:proofErr w:type="spellEnd"/>
      <w:r w:rsidRPr="00041126">
        <w:rPr>
          <w:sz w:val="24"/>
          <w:szCs w:val="24"/>
        </w:rPr>
        <w:t xml:space="preserve"> og AUC for den aktive hovedmetabolit </w:t>
      </w:r>
      <w:proofErr w:type="spellStart"/>
      <w:r w:rsidRPr="00041126">
        <w:rPr>
          <w:sz w:val="24"/>
          <w:szCs w:val="24"/>
        </w:rPr>
        <w:t>pyridoxal</w:t>
      </w:r>
      <w:proofErr w:type="spellEnd"/>
      <w:r w:rsidRPr="00041126">
        <w:rPr>
          <w:sz w:val="24"/>
          <w:szCs w:val="24"/>
        </w:rPr>
        <w:t xml:space="preserve"> 5'-phosphat.  </w:t>
      </w:r>
    </w:p>
    <w:p w14:paraId="217BD254" w14:textId="77777777" w:rsidR="0048621A" w:rsidRPr="0089631E" w:rsidRDefault="0048621A" w:rsidP="00076476">
      <w:pPr>
        <w:ind w:left="851"/>
        <w:rPr>
          <w:iCs/>
          <w:sz w:val="24"/>
          <w:szCs w:val="24"/>
          <w:u w:val="single"/>
        </w:rPr>
      </w:pPr>
    </w:p>
    <w:p w14:paraId="2640B290" w14:textId="77777777" w:rsidR="0048621A" w:rsidRPr="0089631E" w:rsidRDefault="0048621A" w:rsidP="00076476">
      <w:pPr>
        <w:ind w:left="851"/>
        <w:rPr>
          <w:iCs/>
          <w:sz w:val="24"/>
          <w:szCs w:val="24"/>
          <w:u w:val="single"/>
        </w:rPr>
      </w:pPr>
      <w:r w:rsidRPr="0089631E">
        <w:rPr>
          <w:iCs/>
          <w:sz w:val="24"/>
          <w:szCs w:val="24"/>
          <w:u w:val="single"/>
        </w:rPr>
        <w:t>Fordeling</w:t>
      </w:r>
    </w:p>
    <w:p w14:paraId="1B0F142F" w14:textId="77777777" w:rsidR="0048621A" w:rsidRPr="0089631E" w:rsidRDefault="0048621A" w:rsidP="00076476">
      <w:pPr>
        <w:ind w:left="851"/>
        <w:rPr>
          <w:iCs/>
          <w:sz w:val="24"/>
          <w:szCs w:val="24"/>
        </w:rPr>
      </w:pPr>
      <w:proofErr w:type="spellStart"/>
      <w:r w:rsidRPr="0089631E">
        <w:rPr>
          <w:iCs/>
          <w:sz w:val="24"/>
          <w:szCs w:val="24"/>
        </w:rPr>
        <w:t>Doxylamin</w:t>
      </w:r>
      <w:proofErr w:type="spellEnd"/>
      <w:r w:rsidRPr="0089631E">
        <w:rPr>
          <w:iCs/>
          <w:sz w:val="24"/>
          <w:szCs w:val="24"/>
        </w:rPr>
        <w:t xml:space="preserve"> har en lav proteinbinding (ubundet fraktion på 28,7 % i rotter), er meget permeabel og er ikke et substrat for P-</w:t>
      </w:r>
      <w:proofErr w:type="spellStart"/>
      <w:r w:rsidRPr="0089631E">
        <w:rPr>
          <w:iCs/>
          <w:sz w:val="24"/>
          <w:szCs w:val="24"/>
        </w:rPr>
        <w:t>glycoprotein</w:t>
      </w:r>
      <w:proofErr w:type="spellEnd"/>
      <w:r w:rsidRPr="0089631E">
        <w:rPr>
          <w:iCs/>
          <w:sz w:val="24"/>
          <w:szCs w:val="24"/>
        </w:rPr>
        <w:t xml:space="preserve">, hvilket fører til en bred fordeling i væv. </w:t>
      </w:r>
      <w:proofErr w:type="spellStart"/>
      <w:r w:rsidRPr="0089631E">
        <w:rPr>
          <w:iCs/>
          <w:sz w:val="24"/>
          <w:szCs w:val="24"/>
        </w:rPr>
        <w:t>Doxylamin</w:t>
      </w:r>
      <w:proofErr w:type="spellEnd"/>
      <w:r w:rsidRPr="0089631E">
        <w:rPr>
          <w:iCs/>
          <w:sz w:val="24"/>
          <w:szCs w:val="24"/>
        </w:rPr>
        <w:t xml:space="preserve"> krydser blod-hjerne-barrieren og har en høj affinitet for H1-receptorer.</w:t>
      </w:r>
    </w:p>
    <w:p w14:paraId="2C8608B2" w14:textId="77777777" w:rsidR="0048621A" w:rsidRPr="0089631E" w:rsidRDefault="0048621A" w:rsidP="00076476">
      <w:pPr>
        <w:ind w:left="851"/>
        <w:rPr>
          <w:iCs/>
          <w:sz w:val="24"/>
          <w:szCs w:val="24"/>
        </w:rPr>
      </w:pPr>
    </w:p>
    <w:p w14:paraId="2D08624B" w14:textId="77777777" w:rsidR="0048621A" w:rsidRPr="0089631E" w:rsidRDefault="0048621A" w:rsidP="00076476">
      <w:pPr>
        <w:ind w:left="851"/>
        <w:rPr>
          <w:iCs/>
          <w:sz w:val="24"/>
          <w:szCs w:val="24"/>
        </w:rPr>
      </w:pPr>
      <w:proofErr w:type="spellStart"/>
      <w:r w:rsidRPr="0089631E">
        <w:rPr>
          <w:iCs/>
          <w:sz w:val="24"/>
          <w:szCs w:val="24"/>
        </w:rPr>
        <w:t>Pyridoxin</w:t>
      </w:r>
      <w:proofErr w:type="spellEnd"/>
      <w:r w:rsidRPr="0089631E">
        <w:rPr>
          <w:iCs/>
          <w:sz w:val="24"/>
          <w:szCs w:val="24"/>
        </w:rPr>
        <w:t xml:space="preserve"> har en stærk proteinbinding, primært til albumin. Dets metabolitter, </w:t>
      </w:r>
      <w:proofErr w:type="spellStart"/>
      <w:r w:rsidRPr="0089631E">
        <w:rPr>
          <w:iCs/>
          <w:sz w:val="24"/>
          <w:szCs w:val="24"/>
        </w:rPr>
        <w:t>pyridoxal</w:t>
      </w:r>
      <w:proofErr w:type="spellEnd"/>
      <w:r w:rsidRPr="0089631E">
        <w:rPr>
          <w:iCs/>
          <w:sz w:val="24"/>
          <w:szCs w:val="24"/>
        </w:rPr>
        <w:t xml:space="preserve"> og </w:t>
      </w:r>
      <w:proofErr w:type="spellStart"/>
      <w:r w:rsidRPr="0089631E">
        <w:rPr>
          <w:iCs/>
          <w:sz w:val="24"/>
          <w:szCs w:val="24"/>
        </w:rPr>
        <w:t>pyridoxal</w:t>
      </w:r>
      <w:proofErr w:type="spellEnd"/>
      <w:r w:rsidRPr="0089631E">
        <w:rPr>
          <w:iCs/>
          <w:sz w:val="24"/>
          <w:szCs w:val="24"/>
        </w:rPr>
        <w:t xml:space="preserve"> 5'-phosphat, er henholdsvis delvist og næsten fuldstændigt bundet til albumin i plasma. Dets vigtigste aktive metabolit </w:t>
      </w:r>
      <w:proofErr w:type="spellStart"/>
      <w:r w:rsidRPr="0089631E">
        <w:rPr>
          <w:iCs/>
          <w:sz w:val="24"/>
          <w:szCs w:val="24"/>
        </w:rPr>
        <w:t>pyridoxal</w:t>
      </w:r>
      <w:proofErr w:type="spellEnd"/>
      <w:r w:rsidRPr="0089631E">
        <w:rPr>
          <w:iCs/>
          <w:sz w:val="24"/>
          <w:szCs w:val="24"/>
        </w:rPr>
        <w:t xml:space="preserve"> 5'-phosphat (PLP) tegner sig for mindst 60% af cirkulerende vitamin B6-koncentrationer. </w:t>
      </w:r>
    </w:p>
    <w:p w14:paraId="35AF919E" w14:textId="77777777" w:rsidR="0048621A" w:rsidRPr="0089631E" w:rsidRDefault="0048621A" w:rsidP="00076476">
      <w:pPr>
        <w:ind w:left="851"/>
        <w:rPr>
          <w:iCs/>
          <w:sz w:val="24"/>
          <w:szCs w:val="24"/>
        </w:rPr>
      </w:pPr>
    </w:p>
    <w:p w14:paraId="2B7220FC" w14:textId="77777777" w:rsidR="0048621A" w:rsidRPr="0089631E" w:rsidRDefault="0048621A" w:rsidP="00076476">
      <w:pPr>
        <w:ind w:left="851"/>
        <w:rPr>
          <w:sz w:val="24"/>
          <w:szCs w:val="24"/>
          <w:u w:val="single"/>
        </w:rPr>
      </w:pPr>
      <w:r w:rsidRPr="0089631E">
        <w:rPr>
          <w:sz w:val="24"/>
          <w:szCs w:val="24"/>
          <w:u w:val="single"/>
        </w:rPr>
        <w:t>Biotransformation</w:t>
      </w:r>
    </w:p>
    <w:p w14:paraId="54681B11" w14:textId="77777777" w:rsidR="0048621A" w:rsidRPr="0089631E" w:rsidRDefault="0048621A" w:rsidP="00076476">
      <w:pPr>
        <w:ind w:left="851"/>
        <w:rPr>
          <w:sz w:val="24"/>
          <w:szCs w:val="24"/>
        </w:rPr>
      </w:pPr>
    </w:p>
    <w:p w14:paraId="38E34BDE" w14:textId="77777777" w:rsidR="0048621A" w:rsidRPr="0089631E" w:rsidRDefault="0048621A" w:rsidP="00076476">
      <w:pPr>
        <w:ind w:left="851"/>
        <w:rPr>
          <w:sz w:val="24"/>
          <w:szCs w:val="24"/>
        </w:rPr>
      </w:pPr>
      <w:proofErr w:type="spellStart"/>
      <w:r w:rsidRPr="0089631E">
        <w:rPr>
          <w:sz w:val="24"/>
          <w:szCs w:val="24"/>
        </w:rPr>
        <w:t>Doxylamin</w:t>
      </w:r>
      <w:proofErr w:type="spellEnd"/>
      <w:r w:rsidRPr="0089631E">
        <w:rPr>
          <w:sz w:val="24"/>
          <w:szCs w:val="24"/>
        </w:rPr>
        <w:t xml:space="preserve"> biotransformeres i leveren primært af </w:t>
      </w:r>
      <w:proofErr w:type="spellStart"/>
      <w:r w:rsidRPr="0089631E">
        <w:rPr>
          <w:sz w:val="24"/>
          <w:szCs w:val="24"/>
        </w:rPr>
        <w:t>cytochrom</w:t>
      </w:r>
      <w:proofErr w:type="spellEnd"/>
      <w:r w:rsidRPr="0089631E">
        <w:rPr>
          <w:sz w:val="24"/>
          <w:szCs w:val="24"/>
        </w:rPr>
        <w:t xml:space="preserve"> P450-enzymerne CYP2D6, CYP1A2 og CYP2C9 til dets hovedmetabolitter N-</w:t>
      </w:r>
      <w:proofErr w:type="spellStart"/>
      <w:r w:rsidRPr="0089631E">
        <w:rPr>
          <w:sz w:val="24"/>
          <w:szCs w:val="24"/>
        </w:rPr>
        <w:t>desmethyl</w:t>
      </w:r>
      <w:proofErr w:type="spellEnd"/>
      <w:r w:rsidRPr="0089631E">
        <w:rPr>
          <w:sz w:val="24"/>
          <w:szCs w:val="24"/>
        </w:rPr>
        <w:t>-</w:t>
      </w:r>
      <w:proofErr w:type="spellStart"/>
      <w:r w:rsidRPr="0089631E">
        <w:rPr>
          <w:sz w:val="24"/>
          <w:szCs w:val="24"/>
        </w:rPr>
        <w:t>doxylamin</w:t>
      </w:r>
      <w:proofErr w:type="spellEnd"/>
      <w:r w:rsidRPr="0089631E">
        <w:rPr>
          <w:sz w:val="24"/>
          <w:szCs w:val="24"/>
        </w:rPr>
        <w:t xml:space="preserve"> og </w:t>
      </w:r>
      <w:proofErr w:type="gramStart"/>
      <w:r w:rsidRPr="0089631E">
        <w:rPr>
          <w:sz w:val="24"/>
          <w:szCs w:val="24"/>
        </w:rPr>
        <w:t>N,N</w:t>
      </w:r>
      <w:proofErr w:type="gramEnd"/>
      <w:r w:rsidRPr="0089631E">
        <w:rPr>
          <w:sz w:val="24"/>
          <w:szCs w:val="24"/>
        </w:rPr>
        <w:t>-</w:t>
      </w:r>
      <w:proofErr w:type="spellStart"/>
      <w:r w:rsidRPr="0089631E">
        <w:rPr>
          <w:sz w:val="24"/>
          <w:szCs w:val="24"/>
        </w:rPr>
        <w:t>didesmethyldoxylamin</w:t>
      </w:r>
      <w:proofErr w:type="spellEnd"/>
      <w:r w:rsidRPr="0089631E">
        <w:rPr>
          <w:sz w:val="24"/>
          <w:szCs w:val="24"/>
        </w:rPr>
        <w:t xml:space="preserve">. </w:t>
      </w:r>
      <w:proofErr w:type="spellStart"/>
      <w:r w:rsidRPr="0089631E">
        <w:rPr>
          <w:sz w:val="24"/>
          <w:szCs w:val="24"/>
        </w:rPr>
        <w:t>Pyridoxin</w:t>
      </w:r>
      <w:proofErr w:type="spellEnd"/>
      <w:r w:rsidRPr="0089631E">
        <w:rPr>
          <w:sz w:val="24"/>
          <w:szCs w:val="24"/>
        </w:rPr>
        <w:t xml:space="preserve"> er </w:t>
      </w:r>
      <w:proofErr w:type="gramStart"/>
      <w:r w:rsidRPr="0089631E">
        <w:rPr>
          <w:sz w:val="24"/>
          <w:szCs w:val="24"/>
        </w:rPr>
        <w:t>et prodrug</w:t>
      </w:r>
      <w:proofErr w:type="gramEnd"/>
      <w:r w:rsidRPr="0089631E">
        <w:rPr>
          <w:sz w:val="24"/>
          <w:szCs w:val="24"/>
        </w:rPr>
        <w:t xml:space="preserve">, der primært </w:t>
      </w:r>
      <w:proofErr w:type="spellStart"/>
      <w:r w:rsidRPr="0089631E">
        <w:rPr>
          <w:sz w:val="24"/>
          <w:szCs w:val="24"/>
        </w:rPr>
        <w:t>metaboliseres</w:t>
      </w:r>
      <w:proofErr w:type="spellEnd"/>
      <w:r w:rsidRPr="0089631E">
        <w:rPr>
          <w:sz w:val="24"/>
          <w:szCs w:val="24"/>
        </w:rPr>
        <w:t xml:space="preserve"> i leveren, med en høj </w:t>
      </w:r>
      <w:proofErr w:type="spellStart"/>
      <w:r w:rsidRPr="0089631E">
        <w:rPr>
          <w:sz w:val="24"/>
          <w:szCs w:val="24"/>
        </w:rPr>
        <w:t>first</w:t>
      </w:r>
      <w:proofErr w:type="spellEnd"/>
      <w:r w:rsidRPr="0089631E">
        <w:rPr>
          <w:sz w:val="24"/>
          <w:szCs w:val="24"/>
        </w:rPr>
        <w:t xml:space="preserve"> </w:t>
      </w:r>
      <w:proofErr w:type="spellStart"/>
      <w:r w:rsidRPr="0089631E">
        <w:rPr>
          <w:sz w:val="24"/>
          <w:szCs w:val="24"/>
        </w:rPr>
        <w:t>pass</w:t>
      </w:r>
      <w:proofErr w:type="spellEnd"/>
      <w:r w:rsidRPr="0089631E">
        <w:rPr>
          <w:sz w:val="24"/>
          <w:szCs w:val="24"/>
        </w:rPr>
        <w:t xml:space="preserve">-effekt. Det metaboliske skema for </w:t>
      </w:r>
      <w:proofErr w:type="spellStart"/>
      <w:r w:rsidRPr="0089631E">
        <w:rPr>
          <w:sz w:val="24"/>
          <w:szCs w:val="24"/>
        </w:rPr>
        <w:t>pyridoxin</w:t>
      </w:r>
      <w:proofErr w:type="spellEnd"/>
      <w:r w:rsidRPr="0089631E">
        <w:rPr>
          <w:sz w:val="24"/>
          <w:szCs w:val="24"/>
        </w:rPr>
        <w:t xml:space="preserve"> er komplekst med dannelse af primære og sekundære metabolitter sammen med </w:t>
      </w:r>
      <w:proofErr w:type="spellStart"/>
      <w:r w:rsidRPr="0089631E">
        <w:rPr>
          <w:sz w:val="24"/>
          <w:szCs w:val="24"/>
        </w:rPr>
        <w:t>interkonvertering</w:t>
      </w:r>
      <w:proofErr w:type="spellEnd"/>
      <w:r w:rsidRPr="0089631E">
        <w:rPr>
          <w:sz w:val="24"/>
          <w:szCs w:val="24"/>
        </w:rPr>
        <w:t xml:space="preserve"> tilbage til </w:t>
      </w:r>
      <w:proofErr w:type="spellStart"/>
      <w:r w:rsidRPr="0089631E">
        <w:rPr>
          <w:sz w:val="24"/>
          <w:szCs w:val="24"/>
        </w:rPr>
        <w:t>pyridoxin</w:t>
      </w:r>
      <w:proofErr w:type="spellEnd"/>
      <w:r w:rsidRPr="0089631E">
        <w:rPr>
          <w:sz w:val="24"/>
          <w:szCs w:val="24"/>
        </w:rPr>
        <w:t xml:space="preserve">. </w:t>
      </w:r>
      <w:proofErr w:type="spellStart"/>
      <w:r w:rsidRPr="0089631E">
        <w:rPr>
          <w:sz w:val="24"/>
          <w:szCs w:val="24"/>
        </w:rPr>
        <w:t>Pyridoxin</w:t>
      </w:r>
      <w:proofErr w:type="spellEnd"/>
      <w:r w:rsidRPr="0089631E">
        <w:rPr>
          <w:sz w:val="24"/>
          <w:szCs w:val="24"/>
        </w:rPr>
        <w:t xml:space="preserve"> og dets metabolitter </w:t>
      </w:r>
      <w:proofErr w:type="spellStart"/>
      <w:r w:rsidRPr="0089631E">
        <w:rPr>
          <w:sz w:val="24"/>
          <w:szCs w:val="24"/>
        </w:rPr>
        <w:t>pyridoxal</w:t>
      </w:r>
      <w:proofErr w:type="spellEnd"/>
      <w:r w:rsidRPr="0089631E">
        <w:rPr>
          <w:sz w:val="24"/>
          <w:szCs w:val="24"/>
        </w:rPr>
        <w:t xml:space="preserve">, </w:t>
      </w:r>
      <w:proofErr w:type="spellStart"/>
      <w:r w:rsidRPr="0089631E">
        <w:rPr>
          <w:sz w:val="24"/>
          <w:szCs w:val="24"/>
        </w:rPr>
        <w:t>pyridoxamin</w:t>
      </w:r>
      <w:proofErr w:type="spellEnd"/>
      <w:r w:rsidRPr="0089631E">
        <w:rPr>
          <w:sz w:val="24"/>
          <w:szCs w:val="24"/>
        </w:rPr>
        <w:t xml:space="preserve">, </w:t>
      </w:r>
      <w:proofErr w:type="spellStart"/>
      <w:r w:rsidRPr="0089631E">
        <w:rPr>
          <w:sz w:val="24"/>
          <w:szCs w:val="24"/>
        </w:rPr>
        <w:t>pyridoxal</w:t>
      </w:r>
      <w:proofErr w:type="spellEnd"/>
      <w:r w:rsidRPr="0089631E">
        <w:rPr>
          <w:sz w:val="24"/>
          <w:szCs w:val="24"/>
        </w:rPr>
        <w:t xml:space="preserve"> 5'-phosphat og </w:t>
      </w:r>
      <w:proofErr w:type="spellStart"/>
      <w:r w:rsidRPr="0089631E">
        <w:rPr>
          <w:sz w:val="24"/>
          <w:szCs w:val="24"/>
        </w:rPr>
        <w:t>pyridoxamin</w:t>
      </w:r>
      <w:proofErr w:type="spellEnd"/>
      <w:r w:rsidRPr="0089631E">
        <w:rPr>
          <w:sz w:val="24"/>
          <w:szCs w:val="24"/>
        </w:rPr>
        <w:t xml:space="preserve"> 5'-phosphat bidrager til biologisk aktivitet. </w:t>
      </w:r>
    </w:p>
    <w:p w14:paraId="02E264AF" w14:textId="77777777" w:rsidR="0048621A" w:rsidRPr="0089631E" w:rsidRDefault="0048621A" w:rsidP="00076476">
      <w:pPr>
        <w:ind w:left="851"/>
        <w:rPr>
          <w:sz w:val="24"/>
          <w:szCs w:val="24"/>
          <w:u w:val="single"/>
        </w:rPr>
      </w:pPr>
    </w:p>
    <w:p w14:paraId="423D49AB" w14:textId="77777777" w:rsidR="0048621A" w:rsidRPr="0089631E" w:rsidRDefault="0048621A" w:rsidP="00076476">
      <w:pPr>
        <w:ind w:left="851"/>
        <w:rPr>
          <w:sz w:val="24"/>
          <w:szCs w:val="24"/>
        </w:rPr>
      </w:pPr>
      <w:r w:rsidRPr="0089631E">
        <w:rPr>
          <w:sz w:val="24"/>
          <w:szCs w:val="24"/>
          <w:u w:val="single"/>
        </w:rPr>
        <w:t>Elimination</w:t>
      </w:r>
    </w:p>
    <w:p w14:paraId="443FF286" w14:textId="19735635" w:rsidR="0048621A" w:rsidRPr="0089631E" w:rsidRDefault="0048621A" w:rsidP="00076476">
      <w:pPr>
        <w:ind w:left="851"/>
        <w:rPr>
          <w:sz w:val="24"/>
          <w:szCs w:val="24"/>
        </w:rPr>
      </w:pPr>
      <w:r w:rsidRPr="0089631E">
        <w:rPr>
          <w:sz w:val="24"/>
          <w:szCs w:val="24"/>
        </w:rPr>
        <w:t xml:space="preserve">De vigtigste metabolitter af </w:t>
      </w:r>
      <w:proofErr w:type="spellStart"/>
      <w:r w:rsidRPr="0089631E">
        <w:rPr>
          <w:sz w:val="24"/>
          <w:szCs w:val="24"/>
        </w:rPr>
        <w:t>doxylamin</w:t>
      </w:r>
      <w:proofErr w:type="spellEnd"/>
      <w:r w:rsidRPr="0089631E">
        <w:rPr>
          <w:sz w:val="24"/>
          <w:szCs w:val="24"/>
        </w:rPr>
        <w:t>, N-</w:t>
      </w:r>
      <w:proofErr w:type="spellStart"/>
      <w:r w:rsidRPr="0089631E">
        <w:rPr>
          <w:sz w:val="24"/>
          <w:szCs w:val="24"/>
        </w:rPr>
        <w:t>desmethyl</w:t>
      </w:r>
      <w:proofErr w:type="spellEnd"/>
      <w:r w:rsidRPr="0089631E">
        <w:rPr>
          <w:sz w:val="24"/>
          <w:szCs w:val="24"/>
        </w:rPr>
        <w:t>-</w:t>
      </w:r>
      <w:proofErr w:type="spellStart"/>
      <w:r w:rsidRPr="0089631E">
        <w:rPr>
          <w:sz w:val="24"/>
          <w:szCs w:val="24"/>
        </w:rPr>
        <w:t>doxylamin</w:t>
      </w:r>
      <w:proofErr w:type="spellEnd"/>
      <w:r w:rsidRPr="0089631E">
        <w:rPr>
          <w:sz w:val="24"/>
          <w:szCs w:val="24"/>
        </w:rPr>
        <w:t xml:space="preserve"> og </w:t>
      </w:r>
      <w:proofErr w:type="spellStart"/>
      <w:proofErr w:type="gramStart"/>
      <w:r w:rsidRPr="0089631E">
        <w:rPr>
          <w:sz w:val="24"/>
          <w:szCs w:val="24"/>
        </w:rPr>
        <w:t>N,N</w:t>
      </w:r>
      <w:proofErr w:type="gramEnd"/>
      <w:r w:rsidRPr="0089631E">
        <w:rPr>
          <w:sz w:val="24"/>
          <w:szCs w:val="24"/>
        </w:rPr>
        <w:t>-didesmethyl</w:t>
      </w:r>
      <w:r w:rsidR="00744908" w:rsidRPr="0089631E">
        <w:rPr>
          <w:sz w:val="24"/>
          <w:szCs w:val="24"/>
        </w:rPr>
        <w:softHyphen/>
      </w:r>
      <w:r w:rsidRPr="0089631E">
        <w:rPr>
          <w:sz w:val="24"/>
          <w:szCs w:val="24"/>
        </w:rPr>
        <w:t>doxylamin</w:t>
      </w:r>
      <w:proofErr w:type="spellEnd"/>
      <w:r w:rsidRPr="0089631E">
        <w:rPr>
          <w:sz w:val="24"/>
          <w:szCs w:val="24"/>
        </w:rPr>
        <w:t xml:space="preserve"> udskilles af nyrerne. </w:t>
      </w:r>
    </w:p>
    <w:p w14:paraId="6447E182" w14:textId="77777777" w:rsidR="0048621A" w:rsidRPr="0089631E" w:rsidRDefault="0048621A" w:rsidP="00076476">
      <w:pPr>
        <w:ind w:left="851"/>
        <w:rPr>
          <w:sz w:val="24"/>
          <w:szCs w:val="24"/>
        </w:rPr>
      </w:pPr>
    </w:p>
    <w:p w14:paraId="34A32878" w14:textId="77777777" w:rsidR="0048621A" w:rsidRPr="0089631E" w:rsidRDefault="0048621A" w:rsidP="00076476">
      <w:pPr>
        <w:ind w:left="851"/>
        <w:rPr>
          <w:sz w:val="24"/>
          <w:szCs w:val="24"/>
        </w:rPr>
      </w:pPr>
      <w:proofErr w:type="spellStart"/>
      <w:r w:rsidRPr="0089631E">
        <w:rPr>
          <w:sz w:val="24"/>
          <w:szCs w:val="24"/>
        </w:rPr>
        <w:t>Renal</w:t>
      </w:r>
      <w:proofErr w:type="spellEnd"/>
      <w:r w:rsidRPr="0089631E">
        <w:rPr>
          <w:sz w:val="24"/>
          <w:szCs w:val="24"/>
        </w:rPr>
        <w:t xml:space="preserve"> elimination er også den vigtigste udskillelsesvej for derivater af </w:t>
      </w:r>
      <w:proofErr w:type="spellStart"/>
      <w:r w:rsidRPr="0089631E">
        <w:rPr>
          <w:sz w:val="24"/>
          <w:szCs w:val="24"/>
        </w:rPr>
        <w:t>pyridoxinmetabolisme</w:t>
      </w:r>
      <w:proofErr w:type="spellEnd"/>
      <w:r w:rsidRPr="0089631E">
        <w:rPr>
          <w:sz w:val="24"/>
          <w:szCs w:val="24"/>
        </w:rPr>
        <w:t xml:space="preserve"> (rapporteret til at være 74 % af en 100 mg intravenøs dosis af </w:t>
      </w:r>
      <w:proofErr w:type="spellStart"/>
      <w:r w:rsidRPr="0089631E">
        <w:rPr>
          <w:sz w:val="24"/>
          <w:szCs w:val="24"/>
        </w:rPr>
        <w:t>pyridoxin</w:t>
      </w:r>
      <w:proofErr w:type="spellEnd"/>
      <w:r w:rsidRPr="0089631E">
        <w:rPr>
          <w:sz w:val="24"/>
          <w:szCs w:val="24"/>
        </w:rPr>
        <w:t>), hovedsageligt som den inaktive form 4-pyridoxinsyre.</w:t>
      </w:r>
    </w:p>
    <w:p w14:paraId="7254612D" w14:textId="77777777" w:rsidR="0048621A" w:rsidRPr="0089631E" w:rsidRDefault="0048621A" w:rsidP="00076476">
      <w:pPr>
        <w:ind w:left="851"/>
        <w:rPr>
          <w:sz w:val="24"/>
          <w:szCs w:val="24"/>
        </w:rPr>
      </w:pPr>
    </w:p>
    <w:p w14:paraId="2A20F688" w14:textId="77777777" w:rsidR="0048621A" w:rsidRPr="0089631E" w:rsidRDefault="0048621A" w:rsidP="00076476">
      <w:pPr>
        <w:ind w:left="851"/>
        <w:rPr>
          <w:sz w:val="24"/>
          <w:szCs w:val="24"/>
        </w:rPr>
      </w:pPr>
      <w:r w:rsidRPr="0089631E">
        <w:rPr>
          <w:sz w:val="24"/>
          <w:szCs w:val="24"/>
        </w:rPr>
        <w:t xml:space="preserve">Ved formulering som en tablet med modificeret udløsning, er den terminale eliminationshalveringstid for </w:t>
      </w:r>
      <w:proofErr w:type="spellStart"/>
      <w:r w:rsidRPr="0089631E">
        <w:rPr>
          <w:sz w:val="24"/>
          <w:szCs w:val="24"/>
        </w:rPr>
        <w:t>doxylamin</w:t>
      </w:r>
      <w:proofErr w:type="spellEnd"/>
      <w:r w:rsidRPr="0089631E">
        <w:rPr>
          <w:sz w:val="24"/>
          <w:szCs w:val="24"/>
        </w:rPr>
        <w:t xml:space="preserve"> og </w:t>
      </w:r>
      <w:proofErr w:type="spellStart"/>
      <w:r w:rsidRPr="0089631E">
        <w:rPr>
          <w:sz w:val="24"/>
          <w:szCs w:val="24"/>
        </w:rPr>
        <w:t>pyridoxin</w:t>
      </w:r>
      <w:proofErr w:type="spellEnd"/>
      <w:r w:rsidRPr="0089631E">
        <w:rPr>
          <w:sz w:val="24"/>
          <w:szCs w:val="24"/>
        </w:rPr>
        <w:t xml:space="preserve"> efter enkeltdosisadministration henholdsvis 12,43 timer og 0,27 timer.</w:t>
      </w:r>
    </w:p>
    <w:p w14:paraId="4D9E8A8F" w14:textId="77777777" w:rsidR="0048621A" w:rsidRPr="0089631E" w:rsidRDefault="0048621A" w:rsidP="00076476">
      <w:pPr>
        <w:ind w:left="851"/>
        <w:rPr>
          <w:i/>
          <w:iCs/>
          <w:sz w:val="24"/>
          <w:szCs w:val="24"/>
        </w:rPr>
      </w:pPr>
    </w:p>
    <w:p w14:paraId="563670E8" w14:textId="77777777" w:rsidR="0048621A" w:rsidRPr="0089631E" w:rsidRDefault="0048621A" w:rsidP="00076476">
      <w:pPr>
        <w:ind w:left="851"/>
        <w:rPr>
          <w:sz w:val="24"/>
          <w:szCs w:val="24"/>
        </w:rPr>
      </w:pPr>
      <w:r w:rsidRPr="0089631E">
        <w:rPr>
          <w:i/>
          <w:iCs/>
          <w:sz w:val="24"/>
          <w:szCs w:val="24"/>
        </w:rPr>
        <w:t>Nedsat leverfunktion:</w:t>
      </w:r>
      <w:r w:rsidRPr="0089631E">
        <w:rPr>
          <w:sz w:val="24"/>
          <w:szCs w:val="24"/>
        </w:rPr>
        <w:t xml:space="preserve"> Der er ikke udført </w:t>
      </w:r>
      <w:proofErr w:type="spellStart"/>
      <w:r w:rsidRPr="0089631E">
        <w:rPr>
          <w:sz w:val="24"/>
          <w:szCs w:val="24"/>
        </w:rPr>
        <w:t>farmakokinetiske</w:t>
      </w:r>
      <w:proofErr w:type="spellEnd"/>
      <w:r w:rsidRPr="0089631E">
        <w:rPr>
          <w:sz w:val="24"/>
          <w:szCs w:val="24"/>
        </w:rPr>
        <w:t xml:space="preserve"> studier med patienter med nedsat leverfunktion.</w:t>
      </w:r>
    </w:p>
    <w:p w14:paraId="01964FC6" w14:textId="77777777" w:rsidR="0048621A" w:rsidRPr="0089631E" w:rsidRDefault="0048621A" w:rsidP="00076476">
      <w:pPr>
        <w:ind w:left="851"/>
        <w:rPr>
          <w:sz w:val="24"/>
          <w:szCs w:val="24"/>
        </w:rPr>
      </w:pPr>
    </w:p>
    <w:p w14:paraId="7E7F0A16" w14:textId="77777777" w:rsidR="0048621A" w:rsidRPr="0089631E" w:rsidRDefault="0048621A" w:rsidP="00076476">
      <w:pPr>
        <w:ind w:left="851"/>
        <w:rPr>
          <w:sz w:val="24"/>
          <w:szCs w:val="24"/>
        </w:rPr>
      </w:pPr>
      <w:r w:rsidRPr="0089631E">
        <w:rPr>
          <w:i/>
          <w:iCs/>
          <w:sz w:val="24"/>
          <w:szCs w:val="24"/>
        </w:rPr>
        <w:t>Nedsat nyrefunktion:</w:t>
      </w:r>
      <w:r w:rsidRPr="0089631E">
        <w:rPr>
          <w:sz w:val="24"/>
          <w:szCs w:val="24"/>
        </w:rPr>
        <w:t xml:space="preserve"> Der er ikke udført </w:t>
      </w:r>
      <w:proofErr w:type="spellStart"/>
      <w:r w:rsidRPr="0089631E">
        <w:rPr>
          <w:sz w:val="24"/>
          <w:szCs w:val="24"/>
        </w:rPr>
        <w:t>farmakokinetiske</w:t>
      </w:r>
      <w:proofErr w:type="spellEnd"/>
      <w:r w:rsidRPr="0089631E">
        <w:rPr>
          <w:sz w:val="24"/>
          <w:szCs w:val="24"/>
        </w:rPr>
        <w:t xml:space="preserve"> studier med patienter med nedsat nyrefunktion. </w:t>
      </w:r>
    </w:p>
    <w:p w14:paraId="2F6A4F51" w14:textId="77777777" w:rsidR="009260DE" w:rsidRPr="0089631E" w:rsidRDefault="009260DE" w:rsidP="009260DE">
      <w:pPr>
        <w:tabs>
          <w:tab w:val="left" w:pos="851"/>
        </w:tabs>
        <w:ind w:left="851"/>
        <w:rPr>
          <w:sz w:val="24"/>
          <w:szCs w:val="24"/>
        </w:rPr>
      </w:pPr>
    </w:p>
    <w:p w14:paraId="1C71A8D9" w14:textId="77777777" w:rsidR="009260DE" w:rsidRPr="0089631E" w:rsidRDefault="009260DE" w:rsidP="009260DE">
      <w:pPr>
        <w:tabs>
          <w:tab w:val="left" w:pos="851"/>
        </w:tabs>
        <w:ind w:left="851" w:hanging="851"/>
        <w:rPr>
          <w:b/>
          <w:sz w:val="24"/>
          <w:szCs w:val="24"/>
        </w:rPr>
      </w:pPr>
      <w:r w:rsidRPr="0089631E">
        <w:rPr>
          <w:b/>
          <w:sz w:val="24"/>
          <w:szCs w:val="24"/>
        </w:rPr>
        <w:t>5.3</w:t>
      </w:r>
      <w:r w:rsidRPr="0089631E">
        <w:rPr>
          <w:b/>
          <w:sz w:val="24"/>
          <w:szCs w:val="24"/>
        </w:rPr>
        <w:tab/>
      </w:r>
      <w:r w:rsidR="00BD7931" w:rsidRPr="0089631E">
        <w:rPr>
          <w:b/>
          <w:sz w:val="24"/>
          <w:szCs w:val="24"/>
        </w:rPr>
        <w:t>Non-</w:t>
      </w:r>
      <w:r w:rsidRPr="0089631E">
        <w:rPr>
          <w:b/>
          <w:sz w:val="24"/>
          <w:szCs w:val="24"/>
        </w:rPr>
        <w:t>kliniske sikkerhedsdata</w:t>
      </w:r>
    </w:p>
    <w:p w14:paraId="26DF2153" w14:textId="77777777" w:rsidR="0048621A" w:rsidRPr="0089631E" w:rsidRDefault="0048621A" w:rsidP="00076476">
      <w:pPr>
        <w:ind w:left="851"/>
        <w:rPr>
          <w:sz w:val="24"/>
          <w:szCs w:val="24"/>
          <w:lang w:eastAsia="en-GB"/>
        </w:rPr>
      </w:pPr>
      <w:r w:rsidRPr="0089631E">
        <w:rPr>
          <w:sz w:val="24"/>
          <w:szCs w:val="24"/>
        </w:rPr>
        <w:t xml:space="preserve">Non-kliniske data viser ingen speciel risiko for mennesker vurderet ud fra tilgængelige data for toksicitet efter gentagne doser, genotoksicitet og </w:t>
      </w:r>
      <w:proofErr w:type="spellStart"/>
      <w:r w:rsidRPr="0089631E">
        <w:rPr>
          <w:sz w:val="24"/>
          <w:szCs w:val="24"/>
        </w:rPr>
        <w:t>karcinogenicitet</w:t>
      </w:r>
      <w:proofErr w:type="spellEnd"/>
      <w:r w:rsidRPr="0089631E">
        <w:rPr>
          <w:sz w:val="24"/>
          <w:szCs w:val="24"/>
        </w:rPr>
        <w:t>.</w:t>
      </w:r>
    </w:p>
    <w:p w14:paraId="1056B786" w14:textId="77777777" w:rsidR="0048621A" w:rsidRPr="0089631E" w:rsidRDefault="0048621A" w:rsidP="00076476">
      <w:pPr>
        <w:ind w:left="851"/>
        <w:rPr>
          <w:sz w:val="24"/>
          <w:szCs w:val="24"/>
          <w:u w:val="single"/>
        </w:rPr>
      </w:pPr>
    </w:p>
    <w:p w14:paraId="69CB3DC2" w14:textId="77777777" w:rsidR="0048621A" w:rsidRPr="0089631E" w:rsidRDefault="0048621A" w:rsidP="00076476">
      <w:pPr>
        <w:ind w:left="851"/>
        <w:rPr>
          <w:sz w:val="24"/>
          <w:szCs w:val="24"/>
          <w:u w:val="single"/>
        </w:rPr>
      </w:pPr>
      <w:r w:rsidRPr="0089631E">
        <w:rPr>
          <w:sz w:val="24"/>
          <w:szCs w:val="24"/>
          <w:u w:val="single"/>
        </w:rPr>
        <w:t xml:space="preserve">Reproduktionstoksicitet </w:t>
      </w:r>
    </w:p>
    <w:p w14:paraId="350D3084" w14:textId="77777777" w:rsidR="0048621A" w:rsidRPr="0089631E" w:rsidRDefault="0048621A" w:rsidP="00076476">
      <w:pPr>
        <w:ind w:left="851"/>
        <w:rPr>
          <w:sz w:val="24"/>
          <w:szCs w:val="24"/>
          <w:u w:val="single"/>
        </w:rPr>
      </w:pPr>
    </w:p>
    <w:p w14:paraId="560B0727" w14:textId="77777777" w:rsidR="0048621A" w:rsidRPr="0089631E" w:rsidRDefault="0048621A" w:rsidP="00076476">
      <w:pPr>
        <w:ind w:left="851"/>
        <w:rPr>
          <w:sz w:val="24"/>
          <w:szCs w:val="24"/>
        </w:rPr>
      </w:pPr>
      <w:r w:rsidRPr="0089631E">
        <w:rPr>
          <w:sz w:val="24"/>
          <w:szCs w:val="24"/>
        </w:rPr>
        <w:t xml:space="preserve">I et reproduktionstoksicitets-studie i rotter af et lægemiddel, der indeholdt lige store koncentrationer af </w:t>
      </w:r>
      <w:proofErr w:type="spellStart"/>
      <w:r w:rsidRPr="0089631E">
        <w:rPr>
          <w:sz w:val="24"/>
          <w:szCs w:val="24"/>
        </w:rPr>
        <w:t>doxylaminhydrogensuccinat</w:t>
      </w:r>
      <w:proofErr w:type="spellEnd"/>
      <w:r w:rsidRPr="0089631E">
        <w:rPr>
          <w:sz w:val="24"/>
          <w:szCs w:val="24"/>
        </w:rPr>
        <w:t xml:space="preserve"> og </w:t>
      </w:r>
      <w:proofErr w:type="spellStart"/>
      <w:r w:rsidRPr="0089631E">
        <w:rPr>
          <w:sz w:val="24"/>
          <w:szCs w:val="24"/>
        </w:rPr>
        <w:t>pyridoxinhydrochlorid</w:t>
      </w:r>
      <w:proofErr w:type="spellEnd"/>
      <w:r w:rsidRPr="0089631E">
        <w:rPr>
          <w:sz w:val="24"/>
          <w:szCs w:val="24"/>
        </w:rPr>
        <w:t xml:space="preserve">, blev </w:t>
      </w:r>
      <w:proofErr w:type="spellStart"/>
      <w:r w:rsidRPr="0089631E">
        <w:rPr>
          <w:sz w:val="24"/>
          <w:szCs w:val="24"/>
        </w:rPr>
        <w:t>maternel</w:t>
      </w:r>
      <w:proofErr w:type="spellEnd"/>
      <w:r w:rsidRPr="0089631E">
        <w:rPr>
          <w:sz w:val="24"/>
          <w:szCs w:val="24"/>
        </w:rPr>
        <w:t xml:space="preserve"> toksicitet kun observeret ved eksponeringer, der anses for langt over den maksimale humane eksponering, hvilket indikerer ringe relevans for klinisk anvendelse. Udviklingstoksicitet (herunder nedsat prænatal levedygtighed og reduceret </w:t>
      </w:r>
      <w:proofErr w:type="spellStart"/>
      <w:r w:rsidRPr="0089631E">
        <w:rPr>
          <w:sz w:val="24"/>
          <w:szCs w:val="24"/>
        </w:rPr>
        <w:t>føtal</w:t>
      </w:r>
      <w:proofErr w:type="spellEnd"/>
      <w:r w:rsidRPr="0089631E">
        <w:rPr>
          <w:sz w:val="24"/>
          <w:szCs w:val="24"/>
        </w:rPr>
        <w:t xml:space="preserve"> kropsvægt pr. kuld, reduceret </w:t>
      </w:r>
      <w:proofErr w:type="spellStart"/>
      <w:r w:rsidRPr="0089631E">
        <w:rPr>
          <w:sz w:val="24"/>
          <w:szCs w:val="24"/>
        </w:rPr>
        <w:t>føtal</w:t>
      </w:r>
      <w:proofErr w:type="spellEnd"/>
      <w:r w:rsidRPr="0089631E">
        <w:rPr>
          <w:sz w:val="24"/>
          <w:szCs w:val="24"/>
        </w:rPr>
        <w:t xml:space="preserve"> </w:t>
      </w:r>
      <w:proofErr w:type="spellStart"/>
      <w:r w:rsidRPr="0089631E">
        <w:rPr>
          <w:sz w:val="24"/>
          <w:szCs w:val="24"/>
        </w:rPr>
        <w:t>ossifikation</w:t>
      </w:r>
      <w:proofErr w:type="spellEnd"/>
      <w:r w:rsidRPr="0089631E">
        <w:rPr>
          <w:sz w:val="24"/>
          <w:szCs w:val="24"/>
        </w:rPr>
        <w:t xml:space="preserve"> i forreste </w:t>
      </w:r>
      <w:proofErr w:type="spellStart"/>
      <w:r w:rsidRPr="0089631E">
        <w:rPr>
          <w:sz w:val="24"/>
          <w:szCs w:val="24"/>
        </w:rPr>
        <w:t>distale</w:t>
      </w:r>
      <w:proofErr w:type="spellEnd"/>
      <w:r w:rsidRPr="0089631E">
        <w:rPr>
          <w:sz w:val="24"/>
          <w:szCs w:val="24"/>
        </w:rPr>
        <w:t xml:space="preserve"> lemmer) forekom kun ved tilstedeværelse af </w:t>
      </w:r>
      <w:proofErr w:type="spellStart"/>
      <w:r w:rsidRPr="0089631E">
        <w:rPr>
          <w:sz w:val="24"/>
          <w:szCs w:val="24"/>
        </w:rPr>
        <w:t>maternel</w:t>
      </w:r>
      <w:proofErr w:type="spellEnd"/>
      <w:r w:rsidRPr="0089631E">
        <w:rPr>
          <w:sz w:val="24"/>
          <w:szCs w:val="24"/>
        </w:rPr>
        <w:t xml:space="preserve"> toksicitet (ved doser fra 60 gange den maksimale anbefalede humane baseret på mg/m</w:t>
      </w:r>
      <w:r w:rsidRPr="0089631E">
        <w:rPr>
          <w:sz w:val="24"/>
          <w:szCs w:val="24"/>
          <w:vertAlign w:val="superscript"/>
        </w:rPr>
        <w:t>2</w:t>
      </w:r>
      <w:r w:rsidRPr="0089631E">
        <w:rPr>
          <w:sz w:val="24"/>
          <w:szCs w:val="24"/>
        </w:rPr>
        <w:t xml:space="preserve">). Ingen </w:t>
      </w:r>
      <w:proofErr w:type="spellStart"/>
      <w:r w:rsidRPr="0089631E">
        <w:rPr>
          <w:sz w:val="24"/>
          <w:szCs w:val="24"/>
        </w:rPr>
        <w:t>teratogene</w:t>
      </w:r>
      <w:proofErr w:type="spellEnd"/>
      <w:r w:rsidRPr="0089631E">
        <w:rPr>
          <w:sz w:val="24"/>
          <w:szCs w:val="24"/>
        </w:rPr>
        <w:t xml:space="preserve"> virkninger er rapporteret.</w:t>
      </w:r>
    </w:p>
    <w:p w14:paraId="4BBB3317" w14:textId="77777777" w:rsidR="009260DE" w:rsidRPr="0089631E" w:rsidRDefault="009260DE" w:rsidP="009260DE">
      <w:pPr>
        <w:tabs>
          <w:tab w:val="left" w:pos="851"/>
        </w:tabs>
        <w:ind w:left="851"/>
        <w:rPr>
          <w:sz w:val="24"/>
          <w:szCs w:val="24"/>
        </w:rPr>
      </w:pPr>
    </w:p>
    <w:p w14:paraId="67A3C8DA" w14:textId="77777777" w:rsidR="009260DE" w:rsidRPr="0089631E" w:rsidRDefault="009260DE" w:rsidP="009260DE">
      <w:pPr>
        <w:tabs>
          <w:tab w:val="left" w:pos="851"/>
        </w:tabs>
        <w:ind w:left="851"/>
        <w:rPr>
          <w:sz w:val="24"/>
          <w:szCs w:val="24"/>
        </w:rPr>
      </w:pPr>
    </w:p>
    <w:p w14:paraId="115D48B0" w14:textId="77777777" w:rsidR="009260DE" w:rsidRPr="0089631E" w:rsidRDefault="009260DE" w:rsidP="009260DE">
      <w:pPr>
        <w:tabs>
          <w:tab w:val="left" w:pos="851"/>
        </w:tabs>
        <w:ind w:left="851" w:hanging="851"/>
        <w:rPr>
          <w:b/>
          <w:sz w:val="24"/>
          <w:szCs w:val="24"/>
        </w:rPr>
      </w:pPr>
      <w:r w:rsidRPr="0089631E">
        <w:rPr>
          <w:b/>
          <w:sz w:val="24"/>
          <w:szCs w:val="24"/>
        </w:rPr>
        <w:t>6.</w:t>
      </w:r>
      <w:r w:rsidRPr="0089631E">
        <w:rPr>
          <w:b/>
          <w:sz w:val="24"/>
          <w:szCs w:val="24"/>
        </w:rPr>
        <w:tab/>
        <w:t>FARMACEUTISKE OPLYSNINGER</w:t>
      </w:r>
    </w:p>
    <w:p w14:paraId="42BA3438" w14:textId="77777777" w:rsidR="009260DE" w:rsidRPr="0089631E" w:rsidRDefault="009260DE" w:rsidP="009260DE">
      <w:pPr>
        <w:tabs>
          <w:tab w:val="left" w:pos="851"/>
        </w:tabs>
        <w:ind w:left="851"/>
        <w:rPr>
          <w:sz w:val="24"/>
          <w:szCs w:val="24"/>
        </w:rPr>
      </w:pPr>
    </w:p>
    <w:p w14:paraId="7C722F97" w14:textId="77777777" w:rsidR="009260DE" w:rsidRPr="0089631E" w:rsidRDefault="009260DE" w:rsidP="009260DE">
      <w:pPr>
        <w:tabs>
          <w:tab w:val="left" w:pos="851"/>
        </w:tabs>
        <w:ind w:left="851" w:hanging="851"/>
        <w:rPr>
          <w:b/>
          <w:sz w:val="24"/>
          <w:szCs w:val="24"/>
        </w:rPr>
      </w:pPr>
      <w:r w:rsidRPr="0089631E">
        <w:rPr>
          <w:b/>
          <w:sz w:val="24"/>
          <w:szCs w:val="24"/>
        </w:rPr>
        <w:t>6.1</w:t>
      </w:r>
      <w:r w:rsidRPr="0089631E">
        <w:rPr>
          <w:b/>
          <w:sz w:val="24"/>
          <w:szCs w:val="24"/>
        </w:rPr>
        <w:tab/>
        <w:t>Hjælpestoffer</w:t>
      </w:r>
    </w:p>
    <w:p w14:paraId="05C2684A" w14:textId="77777777" w:rsidR="00041126" w:rsidRDefault="00041126" w:rsidP="00076476">
      <w:pPr>
        <w:ind w:left="851"/>
        <w:rPr>
          <w:sz w:val="24"/>
          <w:szCs w:val="24"/>
        </w:rPr>
      </w:pPr>
    </w:p>
    <w:p w14:paraId="75731B81" w14:textId="407C908E" w:rsidR="0048621A" w:rsidRPr="00041126" w:rsidRDefault="0048621A" w:rsidP="00076476">
      <w:pPr>
        <w:ind w:left="851"/>
        <w:rPr>
          <w:sz w:val="24"/>
          <w:szCs w:val="24"/>
          <w:u w:val="single"/>
          <w:lang w:eastAsia="en-GB"/>
        </w:rPr>
      </w:pPr>
      <w:r w:rsidRPr="00041126">
        <w:rPr>
          <w:sz w:val="24"/>
          <w:szCs w:val="24"/>
          <w:u w:val="single"/>
        </w:rPr>
        <w:t>Tabletkerne</w:t>
      </w:r>
    </w:p>
    <w:p w14:paraId="1A9BA7D6" w14:textId="77777777" w:rsidR="0048621A" w:rsidRPr="0089631E" w:rsidRDefault="0048621A" w:rsidP="00076476">
      <w:pPr>
        <w:ind w:left="851"/>
        <w:rPr>
          <w:sz w:val="24"/>
          <w:szCs w:val="24"/>
        </w:rPr>
      </w:pPr>
      <w:r w:rsidRPr="0089631E">
        <w:rPr>
          <w:sz w:val="24"/>
          <w:szCs w:val="24"/>
        </w:rPr>
        <w:t>Mikrokrystallinsk cellulose</w:t>
      </w:r>
    </w:p>
    <w:p w14:paraId="60828E90" w14:textId="77777777" w:rsidR="0048621A" w:rsidRPr="00CA76D0" w:rsidRDefault="0048621A" w:rsidP="00076476">
      <w:pPr>
        <w:ind w:left="851"/>
        <w:rPr>
          <w:sz w:val="24"/>
          <w:szCs w:val="24"/>
          <w:lang w:val="en-US"/>
        </w:rPr>
      </w:pPr>
      <w:proofErr w:type="spellStart"/>
      <w:r w:rsidRPr="00CA76D0">
        <w:rPr>
          <w:sz w:val="24"/>
          <w:szCs w:val="24"/>
          <w:lang w:val="en-US"/>
        </w:rPr>
        <w:t>Magnesiumtrisilicat</w:t>
      </w:r>
      <w:proofErr w:type="spellEnd"/>
    </w:p>
    <w:p w14:paraId="0BA411A4" w14:textId="77777777" w:rsidR="0048621A" w:rsidRPr="00CA76D0" w:rsidRDefault="0048621A" w:rsidP="00076476">
      <w:pPr>
        <w:ind w:left="851"/>
        <w:rPr>
          <w:sz w:val="24"/>
          <w:szCs w:val="24"/>
          <w:lang w:val="en-US"/>
        </w:rPr>
      </w:pPr>
      <w:proofErr w:type="spellStart"/>
      <w:r w:rsidRPr="00CA76D0">
        <w:rPr>
          <w:sz w:val="24"/>
          <w:szCs w:val="24"/>
          <w:lang w:val="en-US"/>
        </w:rPr>
        <w:t>Croscarmellosenatrium</w:t>
      </w:r>
      <w:proofErr w:type="spellEnd"/>
    </w:p>
    <w:p w14:paraId="30458690" w14:textId="77777777" w:rsidR="0048621A" w:rsidRPr="00CA76D0" w:rsidRDefault="0048621A" w:rsidP="00076476">
      <w:pPr>
        <w:ind w:left="851"/>
        <w:rPr>
          <w:sz w:val="24"/>
          <w:szCs w:val="24"/>
          <w:lang w:val="en-US"/>
        </w:rPr>
      </w:pPr>
      <w:proofErr w:type="spellStart"/>
      <w:r w:rsidRPr="00CA76D0">
        <w:rPr>
          <w:sz w:val="24"/>
          <w:szCs w:val="24"/>
          <w:lang w:val="en-US"/>
        </w:rPr>
        <w:t>Magnesiumstearat</w:t>
      </w:r>
      <w:proofErr w:type="spellEnd"/>
    </w:p>
    <w:p w14:paraId="76480ED0" w14:textId="77777777" w:rsidR="0048621A" w:rsidRPr="00CA76D0" w:rsidRDefault="0048621A" w:rsidP="00076476">
      <w:pPr>
        <w:ind w:left="851"/>
        <w:rPr>
          <w:sz w:val="24"/>
          <w:szCs w:val="24"/>
          <w:lang w:val="en-US"/>
        </w:rPr>
      </w:pPr>
      <w:r w:rsidRPr="00CA76D0">
        <w:rPr>
          <w:sz w:val="24"/>
          <w:szCs w:val="24"/>
          <w:lang w:val="en-US"/>
        </w:rPr>
        <w:t xml:space="preserve">Silica, </w:t>
      </w:r>
      <w:proofErr w:type="spellStart"/>
      <w:r w:rsidRPr="00CA76D0">
        <w:rPr>
          <w:sz w:val="24"/>
          <w:szCs w:val="24"/>
          <w:lang w:val="en-US"/>
        </w:rPr>
        <w:t>kolloid</w:t>
      </w:r>
      <w:proofErr w:type="spellEnd"/>
      <w:r w:rsidRPr="00CA76D0">
        <w:rPr>
          <w:sz w:val="24"/>
          <w:szCs w:val="24"/>
          <w:lang w:val="en-US"/>
        </w:rPr>
        <w:t xml:space="preserve"> </w:t>
      </w:r>
      <w:proofErr w:type="spellStart"/>
      <w:r w:rsidRPr="00CA76D0">
        <w:rPr>
          <w:sz w:val="24"/>
          <w:szCs w:val="24"/>
          <w:lang w:val="en-US"/>
        </w:rPr>
        <w:t>vandfri</w:t>
      </w:r>
      <w:proofErr w:type="spellEnd"/>
      <w:r w:rsidRPr="00CA76D0">
        <w:rPr>
          <w:sz w:val="24"/>
          <w:szCs w:val="24"/>
          <w:lang w:val="en-US"/>
        </w:rPr>
        <w:t xml:space="preserve"> </w:t>
      </w:r>
    </w:p>
    <w:p w14:paraId="456D2CDC" w14:textId="77777777" w:rsidR="0048621A" w:rsidRPr="00CA76D0" w:rsidRDefault="0048621A" w:rsidP="00076476">
      <w:pPr>
        <w:ind w:left="851"/>
        <w:rPr>
          <w:sz w:val="24"/>
          <w:szCs w:val="24"/>
          <w:lang w:val="en-US"/>
        </w:rPr>
      </w:pPr>
    </w:p>
    <w:p w14:paraId="085ED1F6" w14:textId="77777777" w:rsidR="0048621A" w:rsidRPr="00CA76D0" w:rsidRDefault="0048621A" w:rsidP="00076476">
      <w:pPr>
        <w:ind w:left="851"/>
        <w:rPr>
          <w:sz w:val="24"/>
          <w:szCs w:val="24"/>
          <w:u w:val="single"/>
          <w:lang w:val="en-US"/>
        </w:rPr>
      </w:pPr>
      <w:proofErr w:type="spellStart"/>
      <w:r w:rsidRPr="00CA76D0">
        <w:rPr>
          <w:sz w:val="24"/>
          <w:szCs w:val="24"/>
          <w:u w:val="single"/>
          <w:lang w:val="en-US"/>
        </w:rPr>
        <w:t>Overtræk</w:t>
      </w:r>
      <w:proofErr w:type="spellEnd"/>
    </w:p>
    <w:p w14:paraId="59113BDB" w14:textId="77777777" w:rsidR="0048621A" w:rsidRPr="00CA76D0" w:rsidRDefault="0048621A" w:rsidP="00076476">
      <w:pPr>
        <w:ind w:left="851"/>
        <w:rPr>
          <w:sz w:val="24"/>
          <w:szCs w:val="24"/>
          <w:lang w:val="en-US"/>
        </w:rPr>
      </w:pPr>
      <w:r w:rsidRPr="00CA76D0">
        <w:rPr>
          <w:sz w:val="24"/>
          <w:szCs w:val="24"/>
          <w:lang w:val="en-US"/>
        </w:rPr>
        <w:t>Hypromellose (E 464)</w:t>
      </w:r>
    </w:p>
    <w:p w14:paraId="053223C4" w14:textId="77777777" w:rsidR="0048621A" w:rsidRPr="00CA76D0" w:rsidRDefault="0048621A" w:rsidP="00076476">
      <w:pPr>
        <w:ind w:left="851"/>
        <w:rPr>
          <w:sz w:val="24"/>
          <w:szCs w:val="24"/>
          <w:lang w:val="en-US"/>
        </w:rPr>
      </w:pPr>
      <w:proofErr w:type="spellStart"/>
      <w:r w:rsidRPr="00CA76D0">
        <w:rPr>
          <w:sz w:val="24"/>
          <w:szCs w:val="24"/>
          <w:lang w:val="en-US"/>
        </w:rPr>
        <w:t>Methacrylsyre-ethylacrylat</w:t>
      </w:r>
      <w:proofErr w:type="spellEnd"/>
      <w:r w:rsidRPr="00CA76D0">
        <w:rPr>
          <w:sz w:val="24"/>
          <w:szCs w:val="24"/>
          <w:lang w:val="en-US"/>
        </w:rPr>
        <w:t xml:space="preserve"> copolymer (1:1)</w:t>
      </w:r>
    </w:p>
    <w:p w14:paraId="6F92DC8F" w14:textId="77777777" w:rsidR="0048621A" w:rsidRPr="00CA76D0" w:rsidRDefault="0048621A" w:rsidP="00076476">
      <w:pPr>
        <w:ind w:left="851"/>
        <w:rPr>
          <w:sz w:val="24"/>
          <w:szCs w:val="24"/>
          <w:lang w:val="en-US"/>
        </w:rPr>
      </w:pPr>
      <w:proofErr w:type="spellStart"/>
      <w:r w:rsidRPr="00CA76D0">
        <w:rPr>
          <w:sz w:val="24"/>
          <w:szCs w:val="24"/>
          <w:lang w:val="en-US"/>
        </w:rPr>
        <w:t>Talkum</w:t>
      </w:r>
      <w:proofErr w:type="spellEnd"/>
      <w:r w:rsidRPr="00CA76D0">
        <w:rPr>
          <w:sz w:val="24"/>
          <w:szCs w:val="24"/>
          <w:lang w:val="en-US"/>
        </w:rPr>
        <w:t xml:space="preserve"> (E 553b)</w:t>
      </w:r>
    </w:p>
    <w:p w14:paraId="7024494A" w14:textId="77777777" w:rsidR="0048621A" w:rsidRPr="0089631E" w:rsidRDefault="0048621A" w:rsidP="00076476">
      <w:pPr>
        <w:ind w:left="851"/>
        <w:rPr>
          <w:sz w:val="24"/>
          <w:szCs w:val="24"/>
        </w:rPr>
      </w:pPr>
      <w:proofErr w:type="spellStart"/>
      <w:r w:rsidRPr="0089631E">
        <w:rPr>
          <w:sz w:val="24"/>
          <w:szCs w:val="24"/>
        </w:rPr>
        <w:t>Silica</w:t>
      </w:r>
      <w:proofErr w:type="spellEnd"/>
      <w:r w:rsidRPr="0089631E">
        <w:rPr>
          <w:sz w:val="24"/>
          <w:szCs w:val="24"/>
        </w:rPr>
        <w:t>, kolloid vandfri</w:t>
      </w:r>
    </w:p>
    <w:p w14:paraId="3B1C9917" w14:textId="77777777" w:rsidR="0048621A" w:rsidRPr="0089631E" w:rsidRDefault="0048621A" w:rsidP="00076476">
      <w:pPr>
        <w:ind w:left="851"/>
        <w:rPr>
          <w:sz w:val="24"/>
          <w:szCs w:val="24"/>
        </w:rPr>
      </w:pPr>
      <w:proofErr w:type="spellStart"/>
      <w:r w:rsidRPr="0089631E">
        <w:rPr>
          <w:sz w:val="24"/>
          <w:szCs w:val="24"/>
        </w:rPr>
        <w:t>Natriumhydrogencarbonat</w:t>
      </w:r>
      <w:proofErr w:type="spellEnd"/>
      <w:r w:rsidRPr="0089631E">
        <w:rPr>
          <w:sz w:val="24"/>
          <w:szCs w:val="24"/>
        </w:rPr>
        <w:t xml:space="preserve"> (E500)</w:t>
      </w:r>
    </w:p>
    <w:p w14:paraId="5329CEE9" w14:textId="77777777" w:rsidR="0048621A" w:rsidRPr="0089631E" w:rsidRDefault="0048621A" w:rsidP="00076476">
      <w:pPr>
        <w:ind w:left="851"/>
        <w:rPr>
          <w:sz w:val="24"/>
          <w:szCs w:val="24"/>
        </w:rPr>
      </w:pPr>
      <w:proofErr w:type="spellStart"/>
      <w:r w:rsidRPr="0089631E">
        <w:rPr>
          <w:sz w:val="24"/>
          <w:szCs w:val="24"/>
        </w:rPr>
        <w:t>Natriumlaurylsulfat</w:t>
      </w:r>
      <w:proofErr w:type="spellEnd"/>
      <w:r w:rsidRPr="0089631E">
        <w:rPr>
          <w:sz w:val="24"/>
          <w:szCs w:val="24"/>
        </w:rPr>
        <w:t xml:space="preserve"> (E487)</w:t>
      </w:r>
    </w:p>
    <w:p w14:paraId="05F3AC65" w14:textId="77777777" w:rsidR="0048621A" w:rsidRPr="0089631E" w:rsidRDefault="0048621A" w:rsidP="00076476">
      <w:pPr>
        <w:ind w:left="851"/>
        <w:rPr>
          <w:sz w:val="24"/>
          <w:szCs w:val="24"/>
        </w:rPr>
      </w:pPr>
      <w:proofErr w:type="spellStart"/>
      <w:r w:rsidRPr="0089631E">
        <w:rPr>
          <w:sz w:val="24"/>
          <w:szCs w:val="24"/>
        </w:rPr>
        <w:t>Triethylcitrat</w:t>
      </w:r>
      <w:proofErr w:type="spellEnd"/>
    </w:p>
    <w:p w14:paraId="702959CF" w14:textId="77777777" w:rsidR="0048621A" w:rsidRPr="0089631E" w:rsidRDefault="0048621A" w:rsidP="00076476">
      <w:pPr>
        <w:ind w:left="851"/>
        <w:rPr>
          <w:sz w:val="24"/>
          <w:szCs w:val="24"/>
        </w:rPr>
      </w:pPr>
      <w:r w:rsidRPr="0089631E">
        <w:rPr>
          <w:sz w:val="24"/>
          <w:szCs w:val="24"/>
        </w:rPr>
        <w:t xml:space="preserve">Polyvinylalkohol delvist hydrolyseret </w:t>
      </w:r>
    </w:p>
    <w:p w14:paraId="7D674019" w14:textId="77777777" w:rsidR="0048621A" w:rsidRPr="00CA76D0" w:rsidRDefault="0048621A" w:rsidP="00076476">
      <w:pPr>
        <w:ind w:left="851"/>
        <w:rPr>
          <w:sz w:val="24"/>
          <w:szCs w:val="24"/>
          <w:lang w:val="en-US"/>
        </w:rPr>
      </w:pPr>
      <w:proofErr w:type="spellStart"/>
      <w:r w:rsidRPr="00CA76D0">
        <w:rPr>
          <w:sz w:val="24"/>
          <w:szCs w:val="24"/>
          <w:lang w:val="en-US"/>
        </w:rPr>
        <w:t>Titandioxid</w:t>
      </w:r>
      <w:proofErr w:type="spellEnd"/>
      <w:r w:rsidRPr="00CA76D0">
        <w:rPr>
          <w:sz w:val="24"/>
          <w:szCs w:val="24"/>
          <w:lang w:val="en-US"/>
        </w:rPr>
        <w:t xml:space="preserve"> (E171)</w:t>
      </w:r>
    </w:p>
    <w:p w14:paraId="7D13007B" w14:textId="77777777" w:rsidR="0048621A" w:rsidRPr="00CA76D0" w:rsidRDefault="0048621A" w:rsidP="00076476">
      <w:pPr>
        <w:ind w:left="851"/>
        <w:rPr>
          <w:sz w:val="24"/>
          <w:szCs w:val="24"/>
          <w:lang w:val="en-US"/>
        </w:rPr>
      </w:pPr>
      <w:r w:rsidRPr="00CA76D0">
        <w:rPr>
          <w:sz w:val="24"/>
          <w:szCs w:val="24"/>
          <w:lang w:val="en-US"/>
        </w:rPr>
        <w:t>Macrogol (E1521)</w:t>
      </w:r>
    </w:p>
    <w:p w14:paraId="5D066332" w14:textId="77777777" w:rsidR="0048621A" w:rsidRPr="00CA76D0" w:rsidRDefault="0048621A" w:rsidP="00076476">
      <w:pPr>
        <w:ind w:left="851"/>
        <w:rPr>
          <w:sz w:val="24"/>
          <w:szCs w:val="24"/>
          <w:lang w:val="en-US"/>
        </w:rPr>
      </w:pPr>
      <w:proofErr w:type="spellStart"/>
      <w:r w:rsidRPr="00CA76D0">
        <w:rPr>
          <w:sz w:val="24"/>
          <w:szCs w:val="24"/>
          <w:lang w:val="en-US"/>
        </w:rPr>
        <w:t>Rød</w:t>
      </w:r>
      <w:proofErr w:type="spellEnd"/>
      <w:r w:rsidRPr="00CA76D0">
        <w:rPr>
          <w:sz w:val="24"/>
          <w:szCs w:val="24"/>
          <w:lang w:val="en-US"/>
        </w:rPr>
        <w:t xml:space="preserve"> </w:t>
      </w:r>
      <w:proofErr w:type="spellStart"/>
      <w:r w:rsidRPr="00CA76D0">
        <w:rPr>
          <w:sz w:val="24"/>
          <w:szCs w:val="24"/>
          <w:lang w:val="en-US"/>
        </w:rPr>
        <w:t>jernoxid</w:t>
      </w:r>
      <w:proofErr w:type="spellEnd"/>
    </w:p>
    <w:p w14:paraId="59186063" w14:textId="77777777" w:rsidR="0048621A" w:rsidRPr="00CA76D0" w:rsidRDefault="0048621A" w:rsidP="00076476">
      <w:pPr>
        <w:ind w:left="851"/>
        <w:rPr>
          <w:sz w:val="24"/>
          <w:szCs w:val="24"/>
          <w:lang w:val="en-US"/>
        </w:rPr>
      </w:pPr>
      <w:proofErr w:type="spellStart"/>
      <w:r w:rsidRPr="00CA76D0">
        <w:rPr>
          <w:sz w:val="24"/>
          <w:szCs w:val="24"/>
          <w:lang w:val="en-US"/>
        </w:rPr>
        <w:t>Simeticon</w:t>
      </w:r>
      <w:proofErr w:type="spellEnd"/>
      <w:r w:rsidRPr="00CA76D0">
        <w:rPr>
          <w:sz w:val="24"/>
          <w:szCs w:val="24"/>
          <w:lang w:val="en-US"/>
        </w:rPr>
        <w:t xml:space="preserve"> emulsion</w:t>
      </w:r>
    </w:p>
    <w:p w14:paraId="17368D09" w14:textId="77777777" w:rsidR="0048621A" w:rsidRPr="00CA76D0" w:rsidRDefault="0048621A" w:rsidP="00076476">
      <w:pPr>
        <w:ind w:left="851"/>
        <w:rPr>
          <w:sz w:val="24"/>
          <w:szCs w:val="24"/>
          <w:lang w:val="en-US"/>
        </w:rPr>
      </w:pPr>
    </w:p>
    <w:p w14:paraId="22CD484C" w14:textId="77777777" w:rsidR="0048621A" w:rsidRPr="00041126" w:rsidRDefault="0048621A" w:rsidP="00076476">
      <w:pPr>
        <w:ind w:left="851"/>
        <w:rPr>
          <w:sz w:val="24"/>
          <w:szCs w:val="24"/>
          <w:u w:val="single"/>
        </w:rPr>
      </w:pPr>
      <w:r w:rsidRPr="00041126">
        <w:rPr>
          <w:sz w:val="24"/>
          <w:szCs w:val="24"/>
          <w:u w:val="single"/>
        </w:rPr>
        <w:t>Voksbehandling</w:t>
      </w:r>
    </w:p>
    <w:p w14:paraId="1F596320" w14:textId="77777777" w:rsidR="0048621A" w:rsidRPr="0089631E" w:rsidRDefault="0048621A" w:rsidP="00076476">
      <w:pPr>
        <w:ind w:left="851"/>
        <w:rPr>
          <w:sz w:val="24"/>
          <w:szCs w:val="24"/>
        </w:rPr>
      </w:pPr>
      <w:proofErr w:type="spellStart"/>
      <w:r w:rsidRPr="0089631E">
        <w:rPr>
          <w:sz w:val="24"/>
          <w:szCs w:val="24"/>
        </w:rPr>
        <w:t>Carnaubavoks</w:t>
      </w:r>
      <w:proofErr w:type="spellEnd"/>
    </w:p>
    <w:p w14:paraId="433C773A" w14:textId="77777777" w:rsidR="0048621A" w:rsidRPr="0089631E" w:rsidRDefault="0048621A" w:rsidP="00076476">
      <w:pPr>
        <w:ind w:left="851"/>
        <w:rPr>
          <w:sz w:val="24"/>
          <w:szCs w:val="24"/>
        </w:rPr>
      </w:pPr>
    </w:p>
    <w:p w14:paraId="01B6B32E" w14:textId="77777777" w:rsidR="0048621A" w:rsidRPr="00041126" w:rsidRDefault="0048621A" w:rsidP="00076476">
      <w:pPr>
        <w:ind w:left="851"/>
        <w:rPr>
          <w:sz w:val="24"/>
          <w:szCs w:val="24"/>
          <w:u w:val="single"/>
        </w:rPr>
      </w:pPr>
      <w:r w:rsidRPr="00041126">
        <w:rPr>
          <w:sz w:val="24"/>
          <w:szCs w:val="24"/>
          <w:u w:val="single"/>
        </w:rPr>
        <w:t>Trykfarve</w:t>
      </w:r>
    </w:p>
    <w:p w14:paraId="23868D27" w14:textId="77777777" w:rsidR="0048621A" w:rsidRPr="0089631E" w:rsidRDefault="0048621A" w:rsidP="00076476">
      <w:pPr>
        <w:ind w:left="851"/>
        <w:rPr>
          <w:sz w:val="24"/>
          <w:szCs w:val="24"/>
        </w:rPr>
      </w:pPr>
      <w:r w:rsidRPr="0089631E">
        <w:rPr>
          <w:sz w:val="24"/>
          <w:szCs w:val="24"/>
        </w:rPr>
        <w:t>Shellak (E904)</w:t>
      </w:r>
    </w:p>
    <w:p w14:paraId="7BE1E575" w14:textId="77777777" w:rsidR="0048621A" w:rsidRPr="00CA76D0" w:rsidRDefault="0048621A" w:rsidP="00076476">
      <w:pPr>
        <w:ind w:left="851"/>
        <w:rPr>
          <w:sz w:val="24"/>
          <w:szCs w:val="24"/>
          <w:lang w:val="en-US"/>
        </w:rPr>
      </w:pPr>
      <w:r w:rsidRPr="00CA76D0">
        <w:rPr>
          <w:sz w:val="24"/>
          <w:szCs w:val="24"/>
          <w:lang w:val="en-US"/>
        </w:rPr>
        <w:t xml:space="preserve">Allura </w:t>
      </w:r>
      <w:proofErr w:type="spellStart"/>
      <w:r w:rsidRPr="00CA76D0">
        <w:rPr>
          <w:sz w:val="24"/>
          <w:szCs w:val="24"/>
          <w:lang w:val="en-US"/>
        </w:rPr>
        <w:t>rød</w:t>
      </w:r>
      <w:proofErr w:type="spellEnd"/>
      <w:r w:rsidRPr="00CA76D0">
        <w:rPr>
          <w:sz w:val="24"/>
          <w:szCs w:val="24"/>
          <w:lang w:val="en-US"/>
        </w:rPr>
        <w:t xml:space="preserve"> AC </w:t>
      </w:r>
      <w:proofErr w:type="spellStart"/>
      <w:r w:rsidRPr="00CA76D0">
        <w:rPr>
          <w:sz w:val="24"/>
          <w:szCs w:val="24"/>
          <w:lang w:val="en-US"/>
        </w:rPr>
        <w:t>aluminiumlak</w:t>
      </w:r>
      <w:proofErr w:type="spellEnd"/>
      <w:r w:rsidRPr="00CA76D0">
        <w:rPr>
          <w:sz w:val="24"/>
          <w:szCs w:val="24"/>
          <w:lang w:val="en-US"/>
        </w:rPr>
        <w:t xml:space="preserve"> (E129)</w:t>
      </w:r>
    </w:p>
    <w:p w14:paraId="242CC6F8" w14:textId="77777777" w:rsidR="0048621A" w:rsidRPr="00CA76D0" w:rsidRDefault="0048621A" w:rsidP="00076476">
      <w:pPr>
        <w:ind w:left="851"/>
        <w:rPr>
          <w:sz w:val="24"/>
          <w:szCs w:val="24"/>
          <w:lang w:val="en-US"/>
        </w:rPr>
      </w:pPr>
      <w:proofErr w:type="spellStart"/>
      <w:r w:rsidRPr="00CA76D0">
        <w:rPr>
          <w:sz w:val="24"/>
          <w:szCs w:val="24"/>
          <w:lang w:val="en-US"/>
        </w:rPr>
        <w:t>Propylenglycol</w:t>
      </w:r>
      <w:proofErr w:type="spellEnd"/>
      <w:r w:rsidRPr="00CA76D0">
        <w:rPr>
          <w:sz w:val="24"/>
          <w:szCs w:val="24"/>
          <w:lang w:val="en-US"/>
        </w:rPr>
        <w:t xml:space="preserve"> (E1520)</w:t>
      </w:r>
    </w:p>
    <w:p w14:paraId="64D9EF88" w14:textId="77777777" w:rsidR="0048621A" w:rsidRPr="00CA76D0" w:rsidRDefault="0048621A" w:rsidP="00076476">
      <w:pPr>
        <w:ind w:left="851"/>
        <w:rPr>
          <w:sz w:val="24"/>
          <w:szCs w:val="24"/>
          <w:lang w:val="en-US"/>
        </w:rPr>
      </w:pPr>
      <w:proofErr w:type="spellStart"/>
      <w:r w:rsidRPr="00CA76D0">
        <w:rPr>
          <w:sz w:val="24"/>
          <w:szCs w:val="24"/>
          <w:lang w:val="en-US"/>
        </w:rPr>
        <w:t>Indigocarmin</w:t>
      </w:r>
      <w:proofErr w:type="spellEnd"/>
      <w:r w:rsidRPr="00CA76D0">
        <w:rPr>
          <w:sz w:val="24"/>
          <w:szCs w:val="24"/>
          <w:lang w:val="en-US"/>
        </w:rPr>
        <w:t xml:space="preserve"> </w:t>
      </w:r>
      <w:proofErr w:type="spellStart"/>
      <w:r w:rsidRPr="00CA76D0">
        <w:rPr>
          <w:sz w:val="24"/>
          <w:szCs w:val="24"/>
          <w:lang w:val="en-US"/>
        </w:rPr>
        <w:t>aluminumlak</w:t>
      </w:r>
      <w:proofErr w:type="spellEnd"/>
      <w:r w:rsidRPr="00CA76D0">
        <w:rPr>
          <w:sz w:val="24"/>
          <w:szCs w:val="24"/>
          <w:lang w:val="en-US"/>
        </w:rPr>
        <w:t xml:space="preserve"> (E132)</w:t>
      </w:r>
    </w:p>
    <w:p w14:paraId="17C733A3" w14:textId="77777777" w:rsidR="0048621A" w:rsidRPr="00CA76D0" w:rsidRDefault="0048621A" w:rsidP="00076476">
      <w:pPr>
        <w:ind w:left="851"/>
        <w:rPr>
          <w:sz w:val="24"/>
          <w:szCs w:val="24"/>
          <w:lang w:val="en-US"/>
        </w:rPr>
      </w:pPr>
      <w:proofErr w:type="spellStart"/>
      <w:r w:rsidRPr="00CA76D0">
        <w:rPr>
          <w:sz w:val="24"/>
          <w:szCs w:val="24"/>
          <w:lang w:val="en-US"/>
        </w:rPr>
        <w:t>Simeticon</w:t>
      </w:r>
      <w:proofErr w:type="spellEnd"/>
      <w:r w:rsidRPr="00CA76D0">
        <w:rPr>
          <w:sz w:val="24"/>
          <w:szCs w:val="24"/>
          <w:lang w:val="en-US"/>
        </w:rPr>
        <w:t xml:space="preserve"> </w:t>
      </w:r>
    </w:p>
    <w:p w14:paraId="5014B806" w14:textId="77777777" w:rsidR="0048621A" w:rsidRPr="00CA76D0" w:rsidRDefault="0048621A" w:rsidP="00076476">
      <w:pPr>
        <w:ind w:left="851"/>
        <w:rPr>
          <w:sz w:val="24"/>
          <w:szCs w:val="24"/>
          <w:lang w:val="en-US"/>
        </w:rPr>
      </w:pPr>
      <w:proofErr w:type="spellStart"/>
      <w:r w:rsidRPr="00CA76D0">
        <w:rPr>
          <w:sz w:val="24"/>
          <w:szCs w:val="24"/>
          <w:lang w:val="en-US"/>
        </w:rPr>
        <w:t>Ammoniumhydroxid</w:t>
      </w:r>
      <w:proofErr w:type="spellEnd"/>
      <w:r w:rsidRPr="00CA76D0">
        <w:rPr>
          <w:sz w:val="24"/>
          <w:szCs w:val="24"/>
          <w:lang w:val="en-US"/>
        </w:rPr>
        <w:t xml:space="preserve"> 28% (E527)</w:t>
      </w:r>
    </w:p>
    <w:p w14:paraId="55FB2147" w14:textId="77777777" w:rsidR="009260DE" w:rsidRPr="00CA76D0" w:rsidRDefault="009260DE" w:rsidP="009260DE">
      <w:pPr>
        <w:tabs>
          <w:tab w:val="left" w:pos="851"/>
        </w:tabs>
        <w:ind w:left="851"/>
        <w:rPr>
          <w:sz w:val="24"/>
          <w:szCs w:val="24"/>
          <w:lang w:val="en-US"/>
        </w:rPr>
      </w:pPr>
    </w:p>
    <w:p w14:paraId="1E3892B0" w14:textId="77777777" w:rsidR="009260DE" w:rsidRPr="0089631E" w:rsidRDefault="009260DE" w:rsidP="009260DE">
      <w:pPr>
        <w:tabs>
          <w:tab w:val="left" w:pos="851"/>
        </w:tabs>
        <w:ind w:left="851" w:hanging="851"/>
        <w:rPr>
          <w:b/>
          <w:sz w:val="24"/>
          <w:szCs w:val="24"/>
        </w:rPr>
      </w:pPr>
      <w:r w:rsidRPr="0089631E">
        <w:rPr>
          <w:b/>
          <w:sz w:val="24"/>
          <w:szCs w:val="24"/>
        </w:rPr>
        <w:t>6.2</w:t>
      </w:r>
      <w:r w:rsidRPr="0089631E">
        <w:rPr>
          <w:b/>
          <w:sz w:val="24"/>
          <w:szCs w:val="24"/>
        </w:rPr>
        <w:tab/>
        <w:t>Uforligeligheder</w:t>
      </w:r>
    </w:p>
    <w:p w14:paraId="7B602102" w14:textId="78BEEB32" w:rsidR="009260DE" w:rsidRPr="0089631E" w:rsidRDefault="0048621A" w:rsidP="00744908">
      <w:pPr>
        <w:ind w:left="851"/>
        <w:rPr>
          <w:sz w:val="24"/>
          <w:szCs w:val="24"/>
        </w:rPr>
      </w:pPr>
      <w:r w:rsidRPr="0089631E">
        <w:rPr>
          <w:sz w:val="24"/>
          <w:szCs w:val="24"/>
        </w:rPr>
        <w:t>Ikke relevant.</w:t>
      </w:r>
    </w:p>
    <w:p w14:paraId="31DF36F9" w14:textId="77777777" w:rsidR="009260DE" w:rsidRPr="0089631E" w:rsidRDefault="009260DE" w:rsidP="009260DE">
      <w:pPr>
        <w:tabs>
          <w:tab w:val="left" w:pos="851"/>
        </w:tabs>
        <w:ind w:left="851"/>
        <w:rPr>
          <w:sz w:val="24"/>
          <w:szCs w:val="24"/>
        </w:rPr>
      </w:pPr>
    </w:p>
    <w:p w14:paraId="5B4CC200" w14:textId="77777777" w:rsidR="009260DE" w:rsidRPr="0089631E" w:rsidRDefault="009260DE" w:rsidP="009260DE">
      <w:pPr>
        <w:tabs>
          <w:tab w:val="left" w:pos="851"/>
        </w:tabs>
        <w:ind w:left="851" w:hanging="851"/>
        <w:rPr>
          <w:b/>
          <w:sz w:val="24"/>
          <w:szCs w:val="24"/>
        </w:rPr>
      </w:pPr>
      <w:r w:rsidRPr="0089631E">
        <w:rPr>
          <w:b/>
          <w:sz w:val="24"/>
          <w:szCs w:val="24"/>
        </w:rPr>
        <w:t>6.3</w:t>
      </w:r>
      <w:r w:rsidRPr="0089631E">
        <w:rPr>
          <w:b/>
          <w:sz w:val="24"/>
          <w:szCs w:val="24"/>
        </w:rPr>
        <w:tab/>
        <w:t>Opbevaringstid</w:t>
      </w:r>
    </w:p>
    <w:p w14:paraId="202FE877" w14:textId="4F51C2FE" w:rsidR="0048621A" w:rsidRPr="0089631E" w:rsidRDefault="0048621A" w:rsidP="00744908">
      <w:pPr>
        <w:ind w:firstLine="851"/>
        <w:rPr>
          <w:sz w:val="24"/>
          <w:szCs w:val="24"/>
        </w:rPr>
      </w:pPr>
      <w:r w:rsidRPr="0089631E">
        <w:rPr>
          <w:sz w:val="24"/>
          <w:szCs w:val="24"/>
        </w:rPr>
        <w:t>4 år</w:t>
      </w:r>
    </w:p>
    <w:p w14:paraId="72972DBA" w14:textId="77777777" w:rsidR="009260DE" w:rsidRPr="0089631E" w:rsidRDefault="009260DE" w:rsidP="009260DE">
      <w:pPr>
        <w:tabs>
          <w:tab w:val="left" w:pos="851"/>
        </w:tabs>
        <w:ind w:left="851"/>
        <w:rPr>
          <w:sz w:val="24"/>
          <w:szCs w:val="24"/>
        </w:rPr>
      </w:pPr>
    </w:p>
    <w:p w14:paraId="2CC2340E" w14:textId="77777777" w:rsidR="009260DE" w:rsidRPr="0089631E" w:rsidRDefault="009260DE" w:rsidP="009260DE">
      <w:pPr>
        <w:tabs>
          <w:tab w:val="left" w:pos="851"/>
        </w:tabs>
        <w:ind w:left="851" w:hanging="851"/>
        <w:rPr>
          <w:b/>
          <w:sz w:val="24"/>
          <w:szCs w:val="24"/>
        </w:rPr>
      </w:pPr>
      <w:r w:rsidRPr="0089631E">
        <w:rPr>
          <w:b/>
          <w:sz w:val="24"/>
          <w:szCs w:val="24"/>
        </w:rPr>
        <w:t>6.4</w:t>
      </w:r>
      <w:r w:rsidRPr="0089631E">
        <w:rPr>
          <w:b/>
          <w:sz w:val="24"/>
          <w:szCs w:val="24"/>
        </w:rPr>
        <w:tab/>
        <w:t>Særlige opbevaringsforhold</w:t>
      </w:r>
    </w:p>
    <w:p w14:paraId="6ABCBE88" w14:textId="77777777" w:rsidR="0048621A" w:rsidRPr="0089631E" w:rsidRDefault="0048621A" w:rsidP="00076476">
      <w:pPr>
        <w:ind w:left="851"/>
        <w:rPr>
          <w:sz w:val="24"/>
          <w:szCs w:val="24"/>
          <w:lang w:eastAsia="en-GB"/>
        </w:rPr>
      </w:pPr>
      <w:r w:rsidRPr="0089631E">
        <w:rPr>
          <w:sz w:val="24"/>
          <w:szCs w:val="24"/>
        </w:rPr>
        <w:t xml:space="preserve">Dette lægemiddel kræver ingen særlige forholdsregler vedrørende opbevaringen. </w:t>
      </w:r>
    </w:p>
    <w:p w14:paraId="74A33F38" w14:textId="77777777" w:rsidR="009260DE" w:rsidRPr="0089631E" w:rsidRDefault="009260DE" w:rsidP="009260DE">
      <w:pPr>
        <w:tabs>
          <w:tab w:val="left" w:pos="851"/>
        </w:tabs>
        <w:ind w:left="851"/>
        <w:rPr>
          <w:sz w:val="24"/>
          <w:szCs w:val="24"/>
        </w:rPr>
      </w:pPr>
    </w:p>
    <w:p w14:paraId="35BD4AB2" w14:textId="77777777" w:rsidR="009260DE" w:rsidRPr="0089631E" w:rsidRDefault="009260DE" w:rsidP="009260DE">
      <w:pPr>
        <w:tabs>
          <w:tab w:val="left" w:pos="851"/>
        </w:tabs>
        <w:ind w:left="851" w:hanging="851"/>
        <w:rPr>
          <w:b/>
          <w:sz w:val="24"/>
          <w:szCs w:val="24"/>
        </w:rPr>
      </w:pPr>
      <w:r w:rsidRPr="0089631E">
        <w:rPr>
          <w:b/>
          <w:sz w:val="24"/>
          <w:szCs w:val="24"/>
        </w:rPr>
        <w:t>6.5</w:t>
      </w:r>
      <w:r w:rsidRPr="0089631E">
        <w:rPr>
          <w:b/>
          <w:sz w:val="24"/>
          <w:szCs w:val="24"/>
        </w:rPr>
        <w:tab/>
        <w:t>Emballagetype og pakningsstørrelser</w:t>
      </w:r>
    </w:p>
    <w:p w14:paraId="172EA949" w14:textId="77777777" w:rsidR="0048621A" w:rsidRPr="0089631E" w:rsidRDefault="0048621A" w:rsidP="00076476">
      <w:pPr>
        <w:ind w:left="851"/>
        <w:rPr>
          <w:sz w:val="24"/>
          <w:szCs w:val="24"/>
          <w:lang w:eastAsia="en-GB"/>
        </w:rPr>
      </w:pPr>
      <w:r w:rsidRPr="0089631E">
        <w:rPr>
          <w:sz w:val="24"/>
          <w:szCs w:val="24"/>
        </w:rPr>
        <w:t>Blisterpakninger af OPA/aluminium/PVC/Aluminium</w:t>
      </w:r>
    </w:p>
    <w:p w14:paraId="74211D00" w14:textId="77777777" w:rsidR="0048621A" w:rsidRPr="0089631E" w:rsidRDefault="0048621A" w:rsidP="00076476">
      <w:pPr>
        <w:ind w:left="851"/>
        <w:rPr>
          <w:sz w:val="24"/>
          <w:szCs w:val="24"/>
        </w:rPr>
      </w:pPr>
    </w:p>
    <w:p w14:paraId="35626DC8" w14:textId="77777777" w:rsidR="0048621A" w:rsidRPr="0089631E" w:rsidRDefault="0048621A" w:rsidP="00076476">
      <w:pPr>
        <w:ind w:left="851"/>
        <w:rPr>
          <w:sz w:val="24"/>
          <w:szCs w:val="24"/>
        </w:rPr>
      </w:pPr>
      <w:r w:rsidRPr="0089631E">
        <w:rPr>
          <w:sz w:val="24"/>
          <w:szCs w:val="24"/>
        </w:rPr>
        <w:t xml:space="preserve">Pakningsstørrelser: 10, 20, 30, 40 og 60 tabletter med modificeret udløsning. </w:t>
      </w:r>
    </w:p>
    <w:p w14:paraId="1C1A50F9" w14:textId="77777777" w:rsidR="0048621A" w:rsidRPr="0089631E" w:rsidRDefault="0048621A" w:rsidP="00076476">
      <w:pPr>
        <w:ind w:left="851"/>
        <w:rPr>
          <w:sz w:val="24"/>
          <w:szCs w:val="24"/>
        </w:rPr>
      </w:pPr>
    </w:p>
    <w:p w14:paraId="38A12697" w14:textId="77777777" w:rsidR="0048621A" w:rsidRPr="0089631E" w:rsidRDefault="0048621A" w:rsidP="00076476">
      <w:pPr>
        <w:ind w:left="851"/>
        <w:rPr>
          <w:sz w:val="24"/>
          <w:szCs w:val="24"/>
        </w:rPr>
      </w:pPr>
      <w:r w:rsidRPr="0089631E">
        <w:rPr>
          <w:sz w:val="24"/>
          <w:szCs w:val="24"/>
        </w:rPr>
        <w:t>Ikke alle pakningsstørrelser er nødvendigvis markedsført.</w:t>
      </w:r>
    </w:p>
    <w:p w14:paraId="7A485512" w14:textId="77777777" w:rsidR="009260DE" w:rsidRPr="0089631E" w:rsidRDefault="009260DE" w:rsidP="009260DE">
      <w:pPr>
        <w:tabs>
          <w:tab w:val="left" w:pos="851"/>
        </w:tabs>
        <w:ind w:left="851"/>
        <w:rPr>
          <w:sz w:val="24"/>
          <w:szCs w:val="24"/>
        </w:rPr>
      </w:pPr>
    </w:p>
    <w:p w14:paraId="43F493BE" w14:textId="77777777" w:rsidR="009260DE" w:rsidRPr="0089631E" w:rsidRDefault="009260DE" w:rsidP="009260DE">
      <w:pPr>
        <w:tabs>
          <w:tab w:val="left" w:pos="851"/>
        </w:tabs>
        <w:ind w:left="851" w:hanging="851"/>
        <w:rPr>
          <w:b/>
          <w:sz w:val="24"/>
          <w:szCs w:val="24"/>
        </w:rPr>
      </w:pPr>
      <w:r w:rsidRPr="0089631E">
        <w:rPr>
          <w:b/>
          <w:sz w:val="24"/>
          <w:szCs w:val="24"/>
        </w:rPr>
        <w:t>6.6</w:t>
      </w:r>
      <w:r w:rsidRPr="0089631E">
        <w:rPr>
          <w:b/>
          <w:sz w:val="24"/>
          <w:szCs w:val="24"/>
        </w:rPr>
        <w:tab/>
        <w:t xml:space="preserve">Regler for </w:t>
      </w:r>
      <w:r w:rsidR="00BD7931" w:rsidRPr="0089631E">
        <w:rPr>
          <w:b/>
          <w:sz w:val="24"/>
          <w:szCs w:val="24"/>
        </w:rPr>
        <w:t>bortskaffelse</w:t>
      </w:r>
      <w:r w:rsidRPr="0089631E">
        <w:rPr>
          <w:b/>
          <w:sz w:val="24"/>
          <w:szCs w:val="24"/>
        </w:rPr>
        <w:t xml:space="preserve"> og anden håndtering</w:t>
      </w:r>
    </w:p>
    <w:p w14:paraId="1ED4E3AD" w14:textId="77777777" w:rsidR="00CA76D0" w:rsidRDefault="0048621A" w:rsidP="00076476">
      <w:pPr>
        <w:ind w:left="851"/>
        <w:rPr>
          <w:sz w:val="24"/>
          <w:szCs w:val="24"/>
        </w:rPr>
      </w:pPr>
      <w:r w:rsidRPr="0089631E">
        <w:rPr>
          <w:sz w:val="24"/>
          <w:szCs w:val="24"/>
        </w:rPr>
        <w:t xml:space="preserve">Ingen særlige forholdsregler. </w:t>
      </w:r>
    </w:p>
    <w:p w14:paraId="73E2E348" w14:textId="520B8407" w:rsidR="0048621A" w:rsidRPr="0089631E" w:rsidRDefault="0048621A" w:rsidP="00076476">
      <w:pPr>
        <w:ind w:left="851"/>
        <w:rPr>
          <w:sz w:val="24"/>
          <w:szCs w:val="24"/>
          <w:lang w:eastAsia="en-GB"/>
        </w:rPr>
      </w:pPr>
      <w:r w:rsidRPr="0089631E">
        <w:rPr>
          <w:sz w:val="24"/>
          <w:szCs w:val="24"/>
        </w:rPr>
        <w:t>Ikke anvendt lægemiddel samt affald heraf skal bortskaffes i henhold til lokale retningslinjer.</w:t>
      </w:r>
    </w:p>
    <w:p w14:paraId="32B4B2ED" w14:textId="77777777" w:rsidR="009260DE" w:rsidRPr="0089631E" w:rsidRDefault="009260DE" w:rsidP="000730CA">
      <w:pPr>
        <w:tabs>
          <w:tab w:val="left" w:pos="851"/>
        </w:tabs>
        <w:ind w:left="851"/>
        <w:rPr>
          <w:sz w:val="24"/>
          <w:szCs w:val="24"/>
        </w:rPr>
      </w:pPr>
    </w:p>
    <w:p w14:paraId="5940F833" w14:textId="77777777" w:rsidR="009260DE" w:rsidRPr="0089631E" w:rsidRDefault="009260DE" w:rsidP="009260DE">
      <w:pPr>
        <w:tabs>
          <w:tab w:val="left" w:pos="851"/>
        </w:tabs>
        <w:ind w:left="851" w:hanging="851"/>
        <w:rPr>
          <w:b/>
          <w:sz w:val="24"/>
          <w:szCs w:val="24"/>
        </w:rPr>
      </w:pPr>
      <w:r w:rsidRPr="0089631E">
        <w:rPr>
          <w:b/>
          <w:sz w:val="24"/>
          <w:szCs w:val="24"/>
        </w:rPr>
        <w:t>7.</w:t>
      </w:r>
      <w:r w:rsidRPr="0089631E">
        <w:rPr>
          <w:b/>
          <w:sz w:val="24"/>
          <w:szCs w:val="24"/>
        </w:rPr>
        <w:tab/>
        <w:t>INDEHAVER AF MARKEDSFØRINGSTILLADELSEN</w:t>
      </w:r>
    </w:p>
    <w:p w14:paraId="1A2999B2" w14:textId="77777777" w:rsidR="0048621A" w:rsidRPr="0089631E" w:rsidRDefault="0048621A" w:rsidP="00076476">
      <w:pPr>
        <w:numPr>
          <w:ilvl w:val="12"/>
          <w:numId w:val="0"/>
        </w:numPr>
        <w:ind w:left="851" w:right="-2"/>
        <w:rPr>
          <w:sz w:val="24"/>
          <w:szCs w:val="24"/>
        </w:rPr>
      </w:pPr>
      <w:proofErr w:type="spellStart"/>
      <w:r w:rsidRPr="0089631E">
        <w:rPr>
          <w:sz w:val="24"/>
          <w:szCs w:val="24"/>
        </w:rPr>
        <w:t>Exeltis</w:t>
      </w:r>
      <w:proofErr w:type="spellEnd"/>
      <w:r w:rsidRPr="0089631E">
        <w:rPr>
          <w:sz w:val="24"/>
          <w:szCs w:val="24"/>
        </w:rPr>
        <w:t xml:space="preserve"> Healthcare S.L</w:t>
      </w:r>
    </w:p>
    <w:p w14:paraId="48FA04BA" w14:textId="77777777" w:rsidR="0048621A" w:rsidRPr="00CA76D0" w:rsidRDefault="0048621A" w:rsidP="00076476">
      <w:pPr>
        <w:numPr>
          <w:ilvl w:val="12"/>
          <w:numId w:val="0"/>
        </w:numPr>
        <w:ind w:left="851" w:right="-2"/>
        <w:rPr>
          <w:sz w:val="24"/>
          <w:szCs w:val="24"/>
          <w:lang w:val="en-US"/>
        </w:rPr>
      </w:pPr>
      <w:r w:rsidRPr="00CA76D0">
        <w:rPr>
          <w:sz w:val="24"/>
          <w:szCs w:val="24"/>
          <w:lang w:val="en-US"/>
        </w:rPr>
        <w:t xml:space="preserve">Avenida </w:t>
      </w:r>
      <w:proofErr w:type="spellStart"/>
      <w:r w:rsidRPr="00CA76D0">
        <w:rPr>
          <w:sz w:val="24"/>
          <w:szCs w:val="24"/>
          <w:lang w:val="en-US"/>
        </w:rPr>
        <w:t>Miralcampo</w:t>
      </w:r>
      <w:proofErr w:type="spellEnd"/>
      <w:r w:rsidRPr="00CA76D0">
        <w:rPr>
          <w:sz w:val="24"/>
          <w:szCs w:val="24"/>
          <w:lang w:val="en-US"/>
        </w:rPr>
        <w:t xml:space="preserve"> 7</w:t>
      </w:r>
    </w:p>
    <w:p w14:paraId="3A941CDA" w14:textId="77777777" w:rsidR="0048621A" w:rsidRPr="00CA76D0" w:rsidRDefault="0048621A" w:rsidP="00076476">
      <w:pPr>
        <w:numPr>
          <w:ilvl w:val="12"/>
          <w:numId w:val="0"/>
        </w:numPr>
        <w:ind w:left="851" w:right="-2"/>
        <w:rPr>
          <w:sz w:val="24"/>
          <w:szCs w:val="24"/>
          <w:lang w:val="en-US"/>
        </w:rPr>
      </w:pPr>
      <w:proofErr w:type="spellStart"/>
      <w:r w:rsidRPr="00CA76D0">
        <w:rPr>
          <w:sz w:val="24"/>
          <w:szCs w:val="24"/>
          <w:lang w:val="en-US"/>
        </w:rPr>
        <w:t>Polígono</w:t>
      </w:r>
      <w:proofErr w:type="spellEnd"/>
      <w:r w:rsidRPr="00CA76D0">
        <w:rPr>
          <w:sz w:val="24"/>
          <w:szCs w:val="24"/>
          <w:lang w:val="en-US"/>
        </w:rPr>
        <w:t xml:space="preserve"> Industrial </w:t>
      </w:r>
      <w:proofErr w:type="spellStart"/>
      <w:r w:rsidRPr="00CA76D0">
        <w:rPr>
          <w:sz w:val="24"/>
          <w:szCs w:val="24"/>
          <w:lang w:val="en-US"/>
        </w:rPr>
        <w:t>Miralcampo</w:t>
      </w:r>
      <w:proofErr w:type="spellEnd"/>
    </w:p>
    <w:p w14:paraId="5F23A365" w14:textId="77777777" w:rsidR="0048621A" w:rsidRPr="00CA76D0" w:rsidRDefault="0048621A" w:rsidP="00076476">
      <w:pPr>
        <w:numPr>
          <w:ilvl w:val="12"/>
          <w:numId w:val="0"/>
        </w:numPr>
        <w:ind w:left="851" w:right="-2"/>
        <w:rPr>
          <w:sz w:val="24"/>
          <w:szCs w:val="24"/>
          <w:lang w:val="en-US"/>
        </w:rPr>
      </w:pPr>
      <w:r w:rsidRPr="00CA76D0">
        <w:rPr>
          <w:sz w:val="24"/>
          <w:szCs w:val="24"/>
          <w:lang w:val="en-US"/>
        </w:rPr>
        <w:t xml:space="preserve">19200 </w:t>
      </w:r>
      <w:proofErr w:type="spellStart"/>
      <w:r w:rsidRPr="00CA76D0">
        <w:rPr>
          <w:sz w:val="24"/>
          <w:szCs w:val="24"/>
          <w:lang w:val="en-US"/>
        </w:rPr>
        <w:t>Azuqueca</w:t>
      </w:r>
      <w:proofErr w:type="spellEnd"/>
      <w:r w:rsidRPr="00CA76D0">
        <w:rPr>
          <w:sz w:val="24"/>
          <w:szCs w:val="24"/>
          <w:lang w:val="en-US"/>
        </w:rPr>
        <w:t xml:space="preserve"> de Henares, Guadalajara</w:t>
      </w:r>
    </w:p>
    <w:p w14:paraId="75404F7A" w14:textId="77777777" w:rsidR="0048621A" w:rsidRPr="0089631E" w:rsidRDefault="0048621A" w:rsidP="00076476">
      <w:pPr>
        <w:ind w:left="851"/>
        <w:rPr>
          <w:sz w:val="24"/>
          <w:szCs w:val="24"/>
        </w:rPr>
      </w:pPr>
      <w:r w:rsidRPr="0089631E">
        <w:rPr>
          <w:sz w:val="24"/>
          <w:szCs w:val="24"/>
        </w:rPr>
        <w:t>Spanien</w:t>
      </w:r>
    </w:p>
    <w:p w14:paraId="3F35E9D7" w14:textId="77777777" w:rsidR="0048621A" w:rsidRPr="0089631E" w:rsidRDefault="0048621A" w:rsidP="00076476">
      <w:pPr>
        <w:ind w:left="851"/>
        <w:rPr>
          <w:sz w:val="24"/>
          <w:szCs w:val="24"/>
        </w:rPr>
      </w:pPr>
    </w:p>
    <w:p w14:paraId="1258B3F3" w14:textId="77777777" w:rsidR="0048621A" w:rsidRPr="0089631E" w:rsidRDefault="0048621A" w:rsidP="00076476">
      <w:pPr>
        <w:ind w:left="851"/>
        <w:rPr>
          <w:b/>
          <w:sz w:val="24"/>
          <w:szCs w:val="24"/>
        </w:rPr>
      </w:pPr>
      <w:r w:rsidRPr="0089631E">
        <w:rPr>
          <w:b/>
          <w:sz w:val="24"/>
          <w:szCs w:val="24"/>
        </w:rPr>
        <w:t>Repræsentant</w:t>
      </w:r>
    </w:p>
    <w:p w14:paraId="6FFC38C2" w14:textId="77777777" w:rsidR="0048621A" w:rsidRPr="0089631E" w:rsidRDefault="0048621A" w:rsidP="00076476">
      <w:pPr>
        <w:ind w:left="851"/>
        <w:rPr>
          <w:sz w:val="24"/>
          <w:szCs w:val="24"/>
        </w:rPr>
      </w:pPr>
      <w:proofErr w:type="spellStart"/>
      <w:r w:rsidRPr="0089631E">
        <w:rPr>
          <w:sz w:val="24"/>
          <w:szCs w:val="24"/>
        </w:rPr>
        <w:t>Exeltis</w:t>
      </w:r>
      <w:proofErr w:type="spellEnd"/>
      <w:r w:rsidRPr="0089631E">
        <w:rPr>
          <w:sz w:val="24"/>
          <w:szCs w:val="24"/>
        </w:rPr>
        <w:t xml:space="preserve"> Sverige AB</w:t>
      </w:r>
    </w:p>
    <w:p w14:paraId="3A1A4F41" w14:textId="77777777" w:rsidR="0048621A" w:rsidRPr="0089631E" w:rsidRDefault="0048621A" w:rsidP="00076476">
      <w:pPr>
        <w:ind w:left="851"/>
        <w:rPr>
          <w:sz w:val="24"/>
          <w:szCs w:val="24"/>
        </w:rPr>
      </w:pPr>
      <w:proofErr w:type="spellStart"/>
      <w:r w:rsidRPr="0089631E">
        <w:rPr>
          <w:sz w:val="24"/>
          <w:szCs w:val="24"/>
        </w:rPr>
        <w:t>Strandvägen</w:t>
      </w:r>
      <w:proofErr w:type="spellEnd"/>
      <w:r w:rsidRPr="0089631E">
        <w:rPr>
          <w:sz w:val="24"/>
          <w:szCs w:val="24"/>
        </w:rPr>
        <w:t xml:space="preserve"> 7A</w:t>
      </w:r>
    </w:p>
    <w:p w14:paraId="1E5F564B" w14:textId="77777777" w:rsidR="0048621A" w:rsidRPr="0089631E" w:rsidRDefault="0048621A" w:rsidP="00076476">
      <w:pPr>
        <w:ind w:left="851"/>
        <w:rPr>
          <w:sz w:val="24"/>
          <w:szCs w:val="24"/>
        </w:rPr>
      </w:pPr>
      <w:r w:rsidRPr="0089631E">
        <w:rPr>
          <w:sz w:val="24"/>
          <w:szCs w:val="24"/>
        </w:rPr>
        <w:t>114 56 Stockholm</w:t>
      </w:r>
    </w:p>
    <w:p w14:paraId="4A7E4161" w14:textId="77777777" w:rsidR="0048621A" w:rsidRPr="0089631E" w:rsidRDefault="0048621A" w:rsidP="00076476">
      <w:pPr>
        <w:ind w:left="851"/>
        <w:rPr>
          <w:sz w:val="24"/>
          <w:szCs w:val="24"/>
        </w:rPr>
      </w:pPr>
      <w:r w:rsidRPr="0089631E">
        <w:rPr>
          <w:sz w:val="24"/>
          <w:szCs w:val="24"/>
        </w:rPr>
        <w:t>Sverige</w:t>
      </w:r>
    </w:p>
    <w:p w14:paraId="31A1ABEA" w14:textId="77777777" w:rsidR="00641C65" w:rsidRPr="0089631E" w:rsidRDefault="00641C65" w:rsidP="009260DE">
      <w:pPr>
        <w:tabs>
          <w:tab w:val="left" w:pos="851"/>
        </w:tabs>
        <w:ind w:left="851"/>
        <w:rPr>
          <w:sz w:val="24"/>
          <w:szCs w:val="24"/>
        </w:rPr>
      </w:pPr>
    </w:p>
    <w:p w14:paraId="224D0E1F" w14:textId="77777777" w:rsidR="009260DE" w:rsidRPr="0089631E" w:rsidRDefault="009260DE" w:rsidP="009260DE">
      <w:pPr>
        <w:tabs>
          <w:tab w:val="left" w:pos="851"/>
        </w:tabs>
        <w:ind w:left="851" w:hanging="851"/>
        <w:rPr>
          <w:b/>
          <w:sz w:val="24"/>
          <w:szCs w:val="24"/>
        </w:rPr>
      </w:pPr>
      <w:r w:rsidRPr="0089631E">
        <w:rPr>
          <w:b/>
          <w:sz w:val="24"/>
          <w:szCs w:val="24"/>
        </w:rPr>
        <w:t>8.</w:t>
      </w:r>
      <w:r w:rsidRPr="0089631E">
        <w:rPr>
          <w:b/>
          <w:sz w:val="24"/>
          <w:szCs w:val="24"/>
        </w:rPr>
        <w:tab/>
        <w:t>MARKEDSFØRINGSTILLADELSESNUMMER (</w:t>
      </w:r>
      <w:r w:rsidR="00BF6243" w:rsidRPr="0089631E">
        <w:rPr>
          <w:b/>
          <w:sz w:val="24"/>
          <w:szCs w:val="24"/>
        </w:rPr>
        <w:t>-</w:t>
      </w:r>
      <w:r w:rsidRPr="0089631E">
        <w:rPr>
          <w:b/>
          <w:sz w:val="24"/>
          <w:szCs w:val="24"/>
        </w:rPr>
        <w:t>NUMRE)</w:t>
      </w:r>
    </w:p>
    <w:p w14:paraId="01237423" w14:textId="66744B6F" w:rsidR="009260DE" w:rsidRPr="0089631E" w:rsidRDefault="0048621A" w:rsidP="009260DE">
      <w:pPr>
        <w:tabs>
          <w:tab w:val="left" w:pos="851"/>
        </w:tabs>
        <w:ind w:left="851"/>
        <w:rPr>
          <w:sz w:val="24"/>
          <w:szCs w:val="24"/>
        </w:rPr>
      </w:pPr>
      <w:r w:rsidRPr="0089631E">
        <w:rPr>
          <w:sz w:val="24"/>
          <w:szCs w:val="24"/>
        </w:rPr>
        <w:t>66650</w:t>
      </w:r>
    </w:p>
    <w:p w14:paraId="482B1105" w14:textId="77777777" w:rsidR="009260DE" w:rsidRPr="0089631E" w:rsidRDefault="009260DE" w:rsidP="009260DE">
      <w:pPr>
        <w:tabs>
          <w:tab w:val="left" w:pos="851"/>
        </w:tabs>
        <w:ind w:left="851"/>
        <w:jc w:val="both"/>
        <w:rPr>
          <w:sz w:val="24"/>
          <w:szCs w:val="24"/>
        </w:rPr>
      </w:pPr>
    </w:p>
    <w:p w14:paraId="3738D066" w14:textId="77777777" w:rsidR="009260DE" w:rsidRPr="0089631E" w:rsidRDefault="009260DE" w:rsidP="009260DE">
      <w:pPr>
        <w:tabs>
          <w:tab w:val="left" w:pos="851"/>
        </w:tabs>
        <w:ind w:left="851" w:hanging="851"/>
        <w:rPr>
          <w:b/>
          <w:sz w:val="24"/>
          <w:szCs w:val="24"/>
        </w:rPr>
      </w:pPr>
      <w:r w:rsidRPr="0089631E">
        <w:rPr>
          <w:b/>
          <w:sz w:val="24"/>
          <w:szCs w:val="24"/>
        </w:rPr>
        <w:t>9.</w:t>
      </w:r>
      <w:r w:rsidRPr="0089631E">
        <w:rPr>
          <w:b/>
          <w:sz w:val="24"/>
          <w:szCs w:val="24"/>
        </w:rPr>
        <w:tab/>
        <w:t>DATO FOR FØRSTE MARKEDSFØRINGSTILLADELSE</w:t>
      </w:r>
    </w:p>
    <w:p w14:paraId="199FA75C" w14:textId="4F6217E9" w:rsidR="009260DE" w:rsidRPr="0089631E" w:rsidRDefault="00CA76D0" w:rsidP="009260DE">
      <w:pPr>
        <w:tabs>
          <w:tab w:val="left" w:pos="851"/>
        </w:tabs>
        <w:ind w:left="851"/>
        <w:rPr>
          <w:sz w:val="24"/>
          <w:szCs w:val="24"/>
        </w:rPr>
      </w:pPr>
      <w:r>
        <w:rPr>
          <w:sz w:val="24"/>
          <w:szCs w:val="24"/>
        </w:rPr>
        <w:t>4. juli 2023</w:t>
      </w:r>
    </w:p>
    <w:p w14:paraId="1CE420C8" w14:textId="77777777" w:rsidR="009260DE" w:rsidRPr="0089631E" w:rsidRDefault="009260DE" w:rsidP="009260DE">
      <w:pPr>
        <w:tabs>
          <w:tab w:val="left" w:pos="851"/>
        </w:tabs>
        <w:ind w:left="851"/>
        <w:rPr>
          <w:sz w:val="24"/>
          <w:szCs w:val="24"/>
        </w:rPr>
      </w:pPr>
    </w:p>
    <w:p w14:paraId="76CA6082" w14:textId="77777777" w:rsidR="009260DE" w:rsidRPr="0089631E" w:rsidRDefault="009260DE" w:rsidP="009260DE">
      <w:pPr>
        <w:tabs>
          <w:tab w:val="left" w:pos="851"/>
        </w:tabs>
        <w:ind w:left="851" w:hanging="851"/>
        <w:rPr>
          <w:b/>
          <w:sz w:val="24"/>
          <w:szCs w:val="24"/>
        </w:rPr>
      </w:pPr>
      <w:r w:rsidRPr="0089631E">
        <w:rPr>
          <w:b/>
          <w:sz w:val="24"/>
          <w:szCs w:val="24"/>
        </w:rPr>
        <w:t>10.</w:t>
      </w:r>
      <w:r w:rsidRPr="0089631E">
        <w:rPr>
          <w:b/>
          <w:sz w:val="24"/>
          <w:szCs w:val="24"/>
        </w:rPr>
        <w:tab/>
        <w:t>DATO FOR ÆNDRING AF TEKSTEN</w:t>
      </w:r>
    </w:p>
    <w:p w14:paraId="4CE562D9" w14:textId="1E3B5576" w:rsidR="009260DE" w:rsidRPr="0089631E" w:rsidRDefault="008901D0" w:rsidP="009260DE">
      <w:pPr>
        <w:tabs>
          <w:tab w:val="left" w:pos="851"/>
        </w:tabs>
        <w:ind w:left="851"/>
        <w:rPr>
          <w:sz w:val="24"/>
          <w:szCs w:val="24"/>
        </w:rPr>
      </w:pPr>
      <w:r>
        <w:rPr>
          <w:sz w:val="24"/>
          <w:szCs w:val="24"/>
        </w:rPr>
        <w:t>18. marts 2025</w:t>
      </w:r>
    </w:p>
    <w:sectPr w:rsidR="009260DE" w:rsidRPr="0089631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0562" w14:textId="77777777" w:rsidR="00E84C17" w:rsidRDefault="00E84C17">
      <w:r>
        <w:separator/>
      </w:r>
    </w:p>
  </w:endnote>
  <w:endnote w:type="continuationSeparator" w:id="0">
    <w:p w14:paraId="3E177D42" w14:textId="77777777" w:rsidR="00E84C17" w:rsidRDefault="00E8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965A5" w14:textId="77777777" w:rsidR="000259B9" w:rsidRDefault="000259B9">
    <w:pPr>
      <w:pStyle w:val="Sidefod"/>
      <w:pBdr>
        <w:bottom w:val="single" w:sz="6" w:space="1" w:color="auto"/>
      </w:pBdr>
    </w:pPr>
  </w:p>
  <w:p w14:paraId="6B3D36EB" w14:textId="77777777" w:rsidR="000259B9" w:rsidRDefault="000259B9" w:rsidP="00C42586">
    <w:pPr>
      <w:pStyle w:val="Sidefod"/>
      <w:tabs>
        <w:tab w:val="clear" w:pos="4819"/>
        <w:tab w:val="left" w:pos="8505"/>
      </w:tabs>
      <w:rPr>
        <w:i/>
        <w:sz w:val="18"/>
        <w:szCs w:val="18"/>
      </w:rPr>
    </w:pPr>
  </w:p>
  <w:p w14:paraId="2670B641" w14:textId="577502C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A76D0">
      <w:rPr>
        <w:i/>
        <w:noProof/>
        <w:sz w:val="18"/>
        <w:szCs w:val="18"/>
      </w:rPr>
      <w:t>Bonjesta, tabletter med modificeret udløsning 20+20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23996" w14:textId="77777777" w:rsidR="00E84C17" w:rsidRDefault="00E84C17">
      <w:r>
        <w:separator/>
      </w:r>
    </w:p>
  </w:footnote>
  <w:footnote w:type="continuationSeparator" w:id="0">
    <w:p w14:paraId="47E5393E" w14:textId="77777777" w:rsidR="00E84C17" w:rsidRDefault="00E8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718"/>
    <w:multiLevelType w:val="hybridMultilevel"/>
    <w:tmpl w:val="BB84702E"/>
    <w:lvl w:ilvl="0" w:tplc="04060001">
      <w:start w:val="1"/>
      <w:numFmt w:val="bullet"/>
      <w:lvlText w:val=""/>
      <w:lvlJc w:val="left"/>
      <w:pPr>
        <w:ind w:left="1571" w:hanging="360"/>
      </w:pPr>
      <w:rPr>
        <w:rFonts w:ascii="Symbol" w:hAnsi="Symbol" w:hint="default"/>
      </w:rPr>
    </w:lvl>
    <w:lvl w:ilvl="1" w:tplc="10E21876">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DC01FB4"/>
    <w:multiLevelType w:val="hybridMultilevel"/>
    <w:tmpl w:val="E1CCD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EF1FD3"/>
    <w:multiLevelType w:val="hybridMultilevel"/>
    <w:tmpl w:val="BD363880"/>
    <w:lvl w:ilvl="0" w:tplc="B6F696E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5994063"/>
    <w:multiLevelType w:val="hybridMultilevel"/>
    <w:tmpl w:val="A404B6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636425D"/>
    <w:multiLevelType w:val="hybridMultilevel"/>
    <w:tmpl w:val="4DFC149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1D882DD2"/>
    <w:multiLevelType w:val="hybridMultilevel"/>
    <w:tmpl w:val="16923CE8"/>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33643A62"/>
    <w:multiLevelType w:val="hybridMultilevel"/>
    <w:tmpl w:val="35543464"/>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start w:val="1"/>
      <w:numFmt w:val="bullet"/>
      <w:lvlText w:val=""/>
      <w:lvlJc w:val="left"/>
      <w:pPr>
        <w:ind w:left="2869" w:hanging="360"/>
      </w:pPr>
      <w:rPr>
        <w:rFonts w:ascii="Wingdings" w:hAnsi="Wingdings" w:hint="default"/>
      </w:rPr>
    </w:lvl>
    <w:lvl w:ilvl="3" w:tplc="10090001">
      <w:start w:val="1"/>
      <w:numFmt w:val="bullet"/>
      <w:lvlText w:val=""/>
      <w:lvlJc w:val="left"/>
      <w:pPr>
        <w:ind w:left="3589" w:hanging="360"/>
      </w:pPr>
      <w:rPr>
        <w:rFonts w:ascii="Symbol" w:hAnsi="Symbol" w:hint="default"/>
      </w:rPr>
    </w:lvl>
    <w:lvl w:ilvl="4" w:tplc="10090003">
      <w:start w:val="1"/>
      <w:numFmt w:val="bullet"/>
      <w:lvlText w:val="o"/>
      <w:lvlJc w:val="left"/>
      <w:pPr>
        <w:ind w:left="4309" w:hanging="360"/>
      </w:pPr>
      <w:rPr>
        <w:rFonts w:ascii="Courier New" w:hAnsi="Courier New" w:cs="Courier New" w:hint="default"/>
      </w:rPr>
    </w:lvl>
    <w:lvl w:ilvl="5" w:tplc="10090005">
      <w:start w:val="1"/>
      <w:numFmt w:val="bullet"/>
      <w:lvlText w:val=""/>
      <w:lvlJc w:val="left"/>
      <w:pPr>
        <w:ind w:left="5029" w:hanging="360"/>
      </w:pPr>
      <w:rPr>
        <w:rFonts w:ascii="Wingdings" w:hAnsi="Wingdings" w:hint="default"/>
      </w:rPr>
    </w:lvl>
    <w:lvl w:ilvl="6" w:tplc="10090001">
      <w:start w:val="1"/>
      <w:numFmt w:val="bullet"/>
      <w:lvlText w:val=""/>
      <w:lvlJc w:val="left"/>
      <w:pPr>
        <w:ind w:left="5749" w:hanging="360"/>
      </w:pPr>
      <w:rPr>
        <w:rFonts w:ascii="Symbol" w:hAnsi="Symbol" w:hint="default"/>
      </w:rPr>
    </w:lvl>
    <w:lvl w:ilvl="7" w:tplc="10090003">
      <w:start w:val="1"/>
      <w:numFmt w:val="bullet"/>
      <w:lvlText w:val="o"/>
      <w:lvlJc w:val="left"/>
      <w:pPr>
        <w:ind w:left="6469" w:hanging="360"/>
      </w:pPr>
      <w:rPr>
        <w:rFonts w:ascii="Courier New" w:hAnsi="Courier New" w:cs="Courier New" w:hint="default"/>
      </w:rPr>
    </w:lvl>
    <w:lvl w:ilvl="8" w:tplc="10090005">
      <w:start w:val="1"/>
      <w:numFmt w:val="bullet"/>
      <w:lvlText w:val=""/>
      <w:lvlJc w:val="left"/>
      <w:pPr>
        <w:ind w:left="7189"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FF45AA"/>
    <w:multiLevelType w:val="hybridMultilevel"/>
    <w:tmpl w:val="B97C511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E2130BB"/>
    <w:multiLevelType w:val="hybridMultilevel"/>
    <w:tmpl w:val="7CA68E62"/>
    <w:lvl w:ilvl="0" w:tplc="B6F696EE">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9AA3831"/>
    <w:multiLevelType w:val="hybridMultilevel"/>
    <w:tmpl w:val="CE7E3DF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C7300E"/>
    <w:multiLevelType w:val="hybridMultilevel"/>
    <w:tmpl w:val="7B56F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3AE2C9C"/>
    <w:multiLevelType w:val="hybridMultilevel"/>
    <w:tmpl w:val="391659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8DA0A74"/>
    <w:multiLevelType w:val="hybridMultilevel"/>
    <w:tmpl w:val="78D290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2"/>
  </w:num>
  <w:num w:numId="10">
    <w:abstractNumId w:val="11"/>
  </w:num>
  <w:num w:numId="11">
    <w:abstractNumId w:val="17"/>
  </w:num>
  <w:num w:numId="12">
    <w:abstractNumId w:val="10"/>
  </w:num>
  <w:num w:numId="13">
    <w:abstractNumId w:val="15"/>
  </w:num>
  <w:num w:numId="14">
    <w:abstractNumId w:val="16"/>
  </w:num>
  <w:num w:numId="15">
    <w:abstractNumId w:val="1"/>
  </w:num>
  <w:num w:numId="16">
    <w:abstractNumId w:val="4"/>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17"/>
    <w:rsid w:val="000259B9"/>
    <w:rsid w:val="00041126"/>
    <w:rsid w:val="00041491"/>
    <w:rsid w:val="00050D16"/>
    <w:rsid w:val="000730CA"/>
    <w:rsid w:val="00074F2A"/>
    <w:rsid w:val="00076476"/>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5746C"/>
    <w:rsid w:val="0048621A"/>
    <w:rsid w:val="0049104B"/>
    <w:rsid w:val="004E3B12"/>
    <w:rsid w:val="00505C75"/>
    <w:rsid w:val="00532310"/>
    <w:rsid w:val="00565F0F"/>
    <w:rsid w:val="00594A86"/>
    <w:rsid w:val="00596D86"/>
    <w:rsid w:val="00637F5A"/>
    <w:rsid w:val="00641C65"/>
    <w:rsid w:val="006560B1"/>
    <w:rsid w:val="006756DD"/>
    <w:rsid w:val="0071241E"/>
    <w:rsid w:val="00737275"/>
    <w:rsid w:val="00740EEC"/>
    <w:rsid w:val="00744908"/>
    <w:rsid w:val="0078011A"/>
    <w:rsid w:val="00782AF4"/>
    <w:rsid w:val="00790EE7"/>
    <w:rsid w:val="007B6649"/>
    <w:rsid w:val="008102E2"/>
    <w:rsid w:val="0082576E"/>
    <w:rsid w:val="008806DF"/>
    <w:rsid w:val="008901D0"/>
    <w:rsid w:val="0089631E"/>
    <w:rsid w:val="00907F75"/>
    <w:rsid w:val="009260DE"/>
    <w:rsid w:val="0093258A"/>
    <w:rsid w:val="009C7BA3"/>
    <w:rsid w:val="009D1F5A"/>
    <w:rsid w:val="00A10294"/>
    <w:rsid w:val="00A84B8E"/>
    <w:rsid w:val="00B003BF"/>
    <w:rsid w:val="00B373D7"/>
    <w:rsid w:val="00B55271"/>
    <w:rsid w:val="00BD7931"/>
    <w:rsid w:val="00BF6243"/>
    <w:rsid w:val="00C36276"/>
    <w:rsid w:val="00C42586"/>
    <w:rsid w:val="00C45F6B"/>
    <w:rsid w:val="00C60CCD"/>
    <w:rsid w:val="00C84483"/>
    <w:rsid w:val="00C95551"/>
    <w:rsid w:val="00CA76D0"/>
    <w:rsid w:val="00CB1A0F"/>
    <w:rsid w:val="00CB20D7"/>
    <w:rsid w:val="00D020B0"/>
    <w:rsid w:val="00D11748"/>
    <w:rsid w:val="00D237F6"/>
    <w:rsid w:val="00D34D98"/>
    <w:rsid w:val="00D366CF"/>
    <w:rsid w:val="00D93992"/>
    <w:rsid w:val="00E108AA"/>
    <w:rsid w:val="00E3749A"/>
    <w:rsid w:val="00E7437F"/>
    <w:rsid w:val="00E84C17"/>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D78BF"/>
  <w15:chartTrackingRefBased/>
  <w15:docId w15:val="{665CB5A2-4BE6-4B23-ACE9-A5E09EC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48621A"/>
    <w:pPr>
      <w:spacing w:after="120"/>
      <w:ind w:left="720"/>
    </w:pPr>
    <w:rPr>
      <w:sz w:val="22"/>
      <w:lang w:eastAsia="en-GB"/>
    </w:rPr>
  </w:style>
  <w:style w:type="paragraph" w:styleId="Listeafsnit">
    <w:name w:val="List Paragraph"/>
    <w:basedOn w:val="Normal"/>
    <w:qFormat/>
    <w:rsid w:val="0048621A"/>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965">
      <w:bodyDiv w:val="1"/>
      <w:marLeft w:val="0"/>
      <w:marRight w:val="0"/>
      <w:marTop w:val="0"/>
      <w:marBottom w:val="0"/>
      <w:divBdr>
        <w:top w:val="none" w:sz="0" w:space="0" w:color="auto"/>
        <w:left w:val="none" w:sz="0" w:space="0" w:color="auto"/>
        <w:bottom w:val="none" w:sz="0" w:space="0" w:color="auto"/>
        <w:right w:val="none" w:sz="0" w:space="0" w:color="auto"/>
      </w:divBdr>
    </w:div>
    <w:div w:id="58598645">
      <w:bodyDiv w:val="1"/>
      <w:marLeft w:val="0"/>
      <w:marRight w:val="0"/>
      <w:marTop w:val="0"/>
      <w:marBottom w:val="0"/>
      <w:divBdr>
        <w:top w:val="none" w:sz="0" w:space="0" w:color="auto"/>
        <w:left w:val="none" w:sz="0" w:space="0" w:color="auto"/>
        <w:bottom w:val="none" w:sz="0" w:space="0" w:color="auto"/>
        <w:right w:val="none" w:sz="0" w:space="0" w:color="auto"/>
      </w:divBdr>
    </w:div>
    <w:div w:id="942504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791086">
      <w:bodyDiv w:val="1"/>
      <w:marLeft w:val="0"/>
      <w:marRight w:val="0"/>
      <w:marTop w:val="0"/>
      <w:marBottom w:val="0"/>
      <w:divBdr>
        <w:top w:val="none" w:sz="0" w:space="0" w:color="auto"/>
        <w:left w:val="none" w:sz="0" w:space="0" w:color="auto"/>
        <w:bottom w:val="none" w:sz="0" w:space="0" w:color="auto"/>
        <w:right w:val="none" w:sz="0" w:space="0" w:color="auto"/>
      </w:divBdr>
    </w:div>
    <w:div w:id="205340958">
      <w:bodyDiv w:val="1"/>
      <w:marLeft w:val="0"/>
      <w:marRight w:val="0"/>
      <w:marTop w:val="0"/>
      <w:marBottom w:val="0"/>
      <w:divBdr>
        <w:top w:val="none" w:sz="0" w:space="0" w:color="auto"/>
        <w:left w:val="none" w:sz="0" w:space="0" w:color="auto"/>
        <w:bottom w:val="none" w:sz="0" w:space="0" w:color="auto"/>
        <w:right w:val="none" w:sz="0" w:space="0" w:color="auto"/>
      </w:divBdr>
    </w:div>
    <w:div w:id="454250023">
      <w:bodyDiv w:val="1"/>
      <w:marLeft w:val="0"/>
      <w:marRight w:val="0"/>
      <w:marTop w:val="0"/>
      <w:marBottom w:val="0"/>
      <w:divBdr>
        <w:top w:val="none" w:sz="0" w:space="0" w:color="auto"/>
        <w:left w:val="none" w:sz="0" w:space="0" w:color="auto"/>
        <w:bottom w:val="none" w:sz="0" w:space="0" w:color="auto"/>
        <w:right w:val="none" w:sz="0" w:space="0" w:color="auto"/>
      </w:divBdr>
    </w:div>
    <w:div w:id="744378386">
      <w:bodyDiv w:val="1"/>
      <w:marLeft w:val="0"/>
      <w:marRight w:val="0"/>
      <w:marTop w:val="0"/>
      <w:marBottom w:val="0"/>
      <w:divBdr>
        <w:top w:val="none" w:sz="0" w:space="0" w:color="auto"/>
        <w:left w:val="none" w:sz="0" w:space="0" w:color="auto"/>
        <w:bottom w:val="none" w:sz="0" w:space="0" w:color="auto"/>
        <w:right w:val="none" w:sz="0" w:space="0" w:color="auto"/>
      </w:divBdr>
    </w:div>
    <w:div w:id="782723409">
      <w:bodyDiv w:val="1"/>
      <w:marLeft w:val="0"/>
      <w:marRight w:val="0"/>
      <w:marTop w:val="0"/>
      <w:marBottom w:val="0"/>
      <w:divBdr>
        <w:top w:val="none" w:sz="0" w:space="0" w:color="auto"/>
        <w:left w:val="none" w:sz="0" w:space="0" w:color="auto"/>
        <w:bottom w:val="none" w:sz="0" w:space="0" w:color="auto"/>
        <w:right w:val="none" w:sz="0" w:space="0" w:color="auto"/>
      </w:divBdr>
    </w:div>
    <w:div w:id="845048465">
      <w:bodyDiv w:val="1"/>
      <w:marLeft w:val="0"/>
      <w:marRight w:val="0"/>
      <w:marTop w:val="0"/>
      <w:marBottom w:val="0"/>
      <w:divBdr>
        <w:top w:val="none" w:sz="0" w:space="0" w:color="auto"/>
        <w:left w:val="none" w:sz="0" w:space="0" w:color="auto"/>
        <w:bottom w:val="none" w:sz="0" w:space="0" w:color="auto"/>
        <w:right w:val="none" w:sz="0" w:space="0" w:color="auto"/>
      </w:divBdr>
    </w:div>
    <w:div w:id="847644114">
      <w:bodyDiv w:val="1"/>
      <w:marLeft w:val="0"/>
      <w:marRight w:val="0"/>
      <w:marTop w:val="0"/>
      <w:marBottom w:val="0"/>
      <w:divBdr>
        <w:top w:val="none" w:sz="0" w:space="0" w:color="auto"/>
        <w:left w:val="none" w:sz="0" w:space="0" w:color="auto"/>
        <w:bottom w:val="none" w:sz="0" w:space="0" w:color="auto"/>
        <w:right w:val="none" w:sz="0" w:space="0" w:color="auto"/>
      </w:divBdr>
    </w:div>
    <w:div w:id="997226417">
      <w:bodyDiv w:val="1"/>
      <w:marLeft w:val="0"/>
      <w:marRight w:val="0"/>
      <w:marTop w:val="0"/>
      <w:marBottom w:val="0"/>
      <w:divBdr>
        <w:top w:val="none" w:sz="0" w:space="0" w:color="auto"/>
        <w:left w:val="none" w:sz="0" w:space="0" w:color="auto"/>
        <w:bottom w:val="none" w:sz="0" w:space="0" w:color="auto"/>
        <w:right w:val="none" w:sz="0" w:space="0" w:color="auto"/>
      </w:divBdr>
    </w:div>
    <w:div w:id="1094203349">
      <w:bodyDiv w:val="1"/>
      <w:marLeft w:val="0"/>
      <w:marRight w:val="0"/>
      <w:marTop w:val="0"/>
      <w:marBottom w:val="0"/>
      <w:divBdr>
        <w:top w:val="none" w:sz="0" w:space="0" w:color="auto"/>
        <w:left w:val="none" w:sz="0" w:space="0" w:color="auto"/>
        <w:bottom w:val="none" w:sz="0" w:space="0" w:color="auto"/>
        <w:right w:val="none" w:sz="0" w:space="0" w:color="auto"/>
      </w:divBdr>
    </w:div>
    <w:div w:id="1169516374">
      <w:bodyDiv w:val="1"/>
      <w:marLeft w:val="0"/>
      <w:marRight w:val="0"/>
      <w:marTop w:val="0"/>
      <w:marBottom w:val="0"/>
      <w:divBdr>
        <w:top w:val="none" w:sz="0" w:space="0" w:color="auto"/>
        <w:left w:val="none" w:sz="0" w:space="0" w:color="auto"/>
        <w:bottom w:val="none" w:sz="0" w:space="0" w:color="auto"/>
        <w:right w:val="none" w:sz="0" w:space="0" w:color="auto"/>
      </w:divBdr>
    </w:div>
    <w:div w:id="1176534638">
      <w:bodyDiv w:val="1"/>
      <w:marLeft w:val="0"/>
      <w:marRight w:val="0"/>
      <w:marTop w:val="0"/>
      <w:marBottom w:val="0"/>
      <w:divBdr>
        <w:top w:val="none" w:sz="0" w:space="0" w:color="auto"/>
        <w:left w:val="none" w:sz="0" w:space="0" w:color="auto"/>
        <w:bottom w:val="none" w:sz="0" w:space="0" w:color="auto"/>
        <w:right w:val="none" w:sz="0" w:space="0" w:color="auto"/>
      </w:divBdr>
    </w:div>
    <w:div w:id="1294869270">
      <w:bodyDiv w:val="1"/>
      <w:marLeft w:val="0"/>
      <w:marRight w:val="0"/>
      <w:marTop w:val="0"/>
      <w:marBottom w:val="0"/>
      <w:divBdr>
        <w:top w:val="none" w:sz="0" w:space="0" w:color="auto"/>
        <w:left w:val="none" w:sz="0" w:space="0" w:color="auto"/>
        <w:bottom w:val="none" w:sz="0" w:space="0" w:color="auto"/>
        <w:right w:val="none" w:sz="0" w:space="0" w:color="auto"/>
      </w:divBdr>
    </w:div>
    <w:div w:id="1310329506">
      <w:bodyDiv w:val="1"/>
      <w:marLeft w:val="0"/>
      <w:marRight w:val="0"/>
      <w:marTop w:val="0"/>
      <w:marBottom w:val="0"/>
      <w:divBdr>
        <w:top w:val="none" w:sz="0" w:space="0" w:color="auto"/>
        <w:left w:val="none" w:sz="0" w:space="0" w:color="auto"/>
        <w:bottom w:val="none" w:sz="0" w:space="0" w:color="auto"/>
        <w:right w:val="none" w:sz="0" w:space="0" w:color="auto"/>
      </w:divBdr>
    </w:div>
    <w:div w:id="1547714058">
      <w:bodyDiv w:val="1"/>
      <w:marLeft w:val="0"/>
      <w:marRight w:val="0"/>
      <w:marTop w:val="0"/>
      <w:marBottom w:val="0"/>
      <w:divBdr>
        <w:top w:val="none" w:sz="0" w:space="0" w:color="auto"/>
        <w:left w:val="none" w:sz="0" w:space="0" w:color="auto"/>
        <w:bottom w:val="none" w:sz="0" w:space="0" w:color="auto"/>
        <w:right w:val="none" w:sz="0" w:space="0" w:color="auto"/>
      </w:divBdr>
    </w:div>
    <w:div w:id="1637443880">
      <w:bodyDiv w:val="1"/>
      <w:marLeft w:val="0"/>
      <w:marRight w:val="0"/>
      <w:marTop w:val="0"/>
      <w:marBottom w:val="0"/>
      <w:divBdr>
        <w:top w:val="none" w:sz="0" w:space="0" w:color="auto"/>
        <w:left w:val="none" w:sz="0" w:space="0" w:color="auto"/>
        <w:bottom w:val="none" w:sz="0" w:space="0" w:color="auto"/>
        <w:right w:val="none" w:sz="0" w:space="0" w:color="auto"/>
      </w:divBdr>
    </w:div>
    <w:div w:id="2052610341">
      <w:bodyDiv w:val="1"/>
      <w:marLeft w:val="0"/>
      <w:marRight w:val="0"/>
      <w:marTop w:val="0"/>
      <w:marBottom w:val="0"/>
      <w:divBdr>
        <w:top w:val="none" w:sz="0" w:space="0" w:color="auto"/>
        <w:left w:val="none" w:sz="0" w:space="0" w:color="auto"/>
        <w:bottom w:val="none" w:sz="0" w:space="0" w:color="auto"/>
        <w:right w:val="none" w:sz="0" w:space="0" w:color="auto"/>
      </w:divBdr>
    </w:div>
    <w:div w:id="2058042376">
      <w:bodyDiv w:val="1"/>
      <w:marLeft w:val="0"/>
      <w:marRight w:val="0"/>
      <w:marTop w:val="0"/>
      <w:marBottom w:val="0"/>
      <w:divBdr>
        <w:top w:val="none" w:sz="0" w:space="0" w:color="auto"/>
        <w:left w:val="none" w:sz="0" w:space="0" w:color="auto"/>
        <w:bottom w:val="none" w:sz="0" w:space="0" w:color="auto"/>
        <w:right w:val="none" w:sz="0" w:space="0" w:color="auto"/>
      </w:divBdr>
    </w:div>
    <w:div w:id="2124376395">
      <w:bodyDiv w:val="1"/>
      <w:marLeft w:val="0"/>
      <w:marRight w:val="0"/>
      <w:marTop w:val="0"/>
      <w:marBottom w:val="0"/>
      <w:divBdr>
        <w:top w:val="none" w:sz="0" w:space="0" w:color="auto"/>
        <w:left w:val="none" w:sz="0" w:space="0" w:color="auto"/>
        <w:bottom w:val="none" w:sz="0" w:space="0" w:color="auto"/>
        <w:right w:val="none" w:sz="0" w:space="0" w:color="auto"/>
      </w:divBdr>
    </w:div>
    <w:div w:id="2130511765">
      <w:bodyDiv w:val="1"/>
      <w:marLeft w:val="0"/>
      <w:marRight w:val="0"/>
      <w:marTop w:val="0"/>
      <w:marBottom w:val="0"/>
      <w:divBdr>
        <w:top w:val="none" w:sz="0" w:space="0" w:color="auto"/>
        <w:left w:val="none" w:sz="0" w:space="0" w:color="auto"/>
        <w:bottom w:val="none" w:sz="0" w:space="0" w:color="auto"/>
        <w:right w:val="none" w:sz="0" w:space="0" w:color="auto"/>
      </w:divBdr>
    </w:div>
    <w:div w:id="21397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14</Pages>
  <Words>3966</Words>
  <Characters>26958</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2024080104 pkt. 4.2, 4.5</dc:description>
  <cp:lastModifiedBy>Lea Daugaard Kristiansen</cp:lastModifiedBy>
  <cp:revision>4</cp:revision>
  <cp:lastPrinted>2012-08-22T08:53:00Z</cp:lastPrinted>
  <dcterms:created xsi:type="dcterms:W3CDTF">2025-03-13T14:29:00Z</dcterms:created>
  <dcterms:modified xsi:type="dcterms:W3CDTF">2025-03-18T08:58:00Z</dcterms:modified>
</cp:coreProperties>
</file>