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990" w:rsidRDefault="00E92990" w:rsidP="00E92990">
      <w:pPr>
        <w:pStyle w:val="Titel"/>
        <w:tabs>
          <w:tab w:val="right" w:pos="9356"/>
        </w:tabs>
        <w:jc w:val="left"/>
        <w:rPr>
          <w:b w:val="0"/>
          <w:szCs w:val="24"/>
          <w:lang w:eastAsia="en-US"/>
        </w:rPr>
      </w:pPr>
      <w:bookmarkStart w:id="0" w:name="_GoBack"/>
      <w:bookmarkEnd w:id="0"/>
      <w:r>
        <w:rPr>
          <w:b w:val="0"/>
          <w:noProof/>
        </w:rPr>
        <w:drawing>
          <wp:inline distT="0" distB="0" distL="0" distR="0" wp14:anchorId="2A106E24" wp14:editId="535E32BE">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92990" w:rsidRDefault="00E92990" w:rsidP="00E92990">
      <w:pPr>
        <w:pStyle w:val="Titel"/>
        <w:tabs>
          <w:tab w:val="right" w:pos="9356"/>
        </w:tabs>
        <w:jc w:val="right"/>
        <w:rPr>
          <w:szCs w:val="24"/>
          <w:lang w:eastAsia="en-US"/>
        </w:rPr>
      </w:pPr>
    </w:p>
    <w:p w:rsidR="00E92990" w:rsidRPr="00D86EE2" w:rsidRDefault="00292838" w:rsidP="00263756">
      <w:pPr>
        <w:pStyle w:val="Titel"/>
        <w:tabs>
          <w:tab w:val="right" w:pos="9638"/>
        </w:tabs>
        <w:jc w:val="left"/>
        <w:rPr>
          <w:szCs w:val="24"/>
        </w:rPr>
      </w:pPr>
      <w:r>
        <w:rPr>
          <w:szCs w:val="24"/>
          <w:lang w:eastAsia="en-US"/>
        </w:rPr>
        <w:tab/>
      </w:r>
      <w:r w:rsidR="00263756">
        <w:rPr>
          <w:szCs w:val="24"/>
          <w:lang w:eastAsia="en-US"/>
        </w:rPr>
        <w:t xml:space="preserve">18. august </w:t>
      </w:r>
      <w:r w:rsidR="00E97D19">
        <w:rPr>
          <w:szCs w:val="24"/>
          <w:lang w:eastAsia="en-US"/>
        </w:rPr>
        <w:t>2023</w:t>
      </w:r>
    </w:p>
    <w:p w:rsidR="00E92990" w:rsidRPr="005134A8" w:rsidRDefault="00E92990" w:rsidP="00E92990">
      <w:pPr>
        <w:pStyle w:val="Titel"/>
        <w:jc w:val="left"/>
        <w:rPr>
          <w:b w:val="0"/>
          <w:szCs w:val="24"/>
        </w:rPr>
      </w:pPr>
    </w:p>
    <w:p w:rsidR="00E92990" w:rsidRPr="005134A8" w:rsidRDefault="00E92990" w:rsidP="00E92990">
      <w:pPr>
        <w:jc w:val="center"/>
        <w:rPr>
          <w:b/>
          <w:sz w:val="24"/>
          <w:szCs w:val="24"/>
        </w:rPr>
      </w:pPr>
      <w:r w:rsidRPr="005134A8">
        <w:rPr>
          <w:b/>
          <w:sz w:val="24"/>
          <w:szCs w:val="24"/>
        </w:rPr>
        <w:t>PRODUKTRESUMÉ</w:t>
      </w:r>
    </w:p>
    <w:p w:rsidR="00E92990" w:rsidRPr="005134A8" w:rsidRDefault="00E92990" w:rsidP="000F19EC">
      <w:pPr>
        <w:rPr>
          <w:b/>
          <w:sz w:val="24"/>
          <w:szCs w:val="24"/>
        </w:rPr>
      </w:pPr>
    </w:p>
    <w:p w:rsidR="00E92990" w:rsidRPr="005134A8" w:rsidRDefault="00E92990" w:rsidP="00E92990">
      <w:pPr>
        <w:jc w:val="center"/>
        <w:rPr>
          <w:b/>
          <w:sz w:val="24"/>
          <w:szCs w:val="24"/>
        </w:rPr>
      </w:pPr>
      <w:r w:rsidRPr="005134A8">
        <w:rPr>
          <w:b/>
          <w:sz w:val="24"/>
          <w:szCs w:val="24"/>
        </w:rPr>
        <w:t>for</w:t>
      </w:r>
    </w:p>
    <w:p w:rsidR="00E92990" w:rsidRPr="005134A8" w:rsidRDefault="00E92990" w:rsidP="00E92990">
      <w:pPr>
        <w:jc w:val="center"/>
        <w:rPr>
          <w:b/>
          <w:sz w:val="24"/>
          <w:szCs w:val="24"/>
        </w:rPr>
      </w:pPr>
    </w:p>
    <w:p w:rsidR="00E92990" w:rsidRPr="005134A8" w:rsidRDefault="00E92990" w:rsidP="00E92990">
      <w:pPr>
        <w:jc w:val="center"/>
        <w:rPr>
          <w:b/>
          <w:sz w:val="24"/>
          <w:szCs w:val="24"/>
        </w:rPr>
      </w:pPr>
      <w:proofErr w:type="spellStart"/>
      <w:r w:rsidRPr="005134A8">
        <w:rPr>
          <w:b/>
          <w:sz w:val="24"/>
          <w:szCs w:val="24"/>
        </w:rPr>
        <w:t>Boostrix</w:t>
      </w:r>
      <w:proofErr w:type="spellEnd"/>
      <w:r w:rsidRPr="005134A8">
        <w:rPr>
          <w:b/>
          <w:sz w:val="24"/>
          <w:szCs w:val="24"/>
        </w:rPr>
        <w:t xml:space="preserve"> Polio, injektionsvæske, suspension, fyldt injektionssprøjte</w:t>
      </w:r>
    </w:p>
    <w:p w:rsidR="00E92990" w:rsidRPr="005134A8" w:rsidRDefault="00E92990" w:rsidP="00E92990">
      <w:pPr>
        <w:jc w:val="both"/>
        <w:rPr>
          <w:sz w:val="24"/>
          <w:szCs w:val="24"/>
        </w:rPr>
      </w:pPr>
    </w:p>
    <w:p w:rsidR="00E92990" w:rsidRPr="005134A8" w:rsidRDefault="00E92990" w:rsidP="00E92990">
      <w:pPr>
        <w:jc w:val="both"/>
        <w:rPr>
          <w:sz w:val="24"/>
          <w:szCs w:val="24"/>
        </w:rPr>
      </w:pPr>
    </w:p>
    <w:p w:rsidR="00E92990" w:rsidRPr="005134A8" w:rsidRDefault="00E92990" w:rsidP="00E92990">
      <w:pPr>
        <w:numPr>
          <w:ilvl w:val="0"/>
          <w:numId w:val="1"/>
        </w:numPr>
        <w:tabs>
          <w:tab w:val="clear" w:pos="855"/>
          <w:tab w:val="left" w:pos="851"/>
        </w:tabs>
        <w:rPr>
          <w:b/>
          <w:sz w:val="24"/>
          <w:szCs w:val="24"/>
        </w:rPr>
      </w:pPr>
      <w:r w:rsidRPr="005134A8">
        <w:rPr>
          <w:b/>
          <w:sz w:val="24"/>
          <w:szCs w:val="24"/>
        </w:rPr>
        <w:t>D.SP.NR.</w:t>
      </w:r>
    </w:p>
    <w:p w:rsidR="00E92990" w:rsidRPr="005134A8" w:rsidRDefault="00E92990" w:rsidP="00E92990">
      <w:pPr>
        <w:tabs>
          <w:tab w:val="left" w:pos="851"/>
        </w:tabs>
        <w:rPr>
          <w:sz w:val="24"/>
          <w:szCs w:val="24"/>
        </w:rPr>
      </w:pPr>
      <w:r w:rsidRPr="005134A8">
        <w:rPr>
          <w:sz w:val="24"/>
          <w:szCs w:val="24"/>
        </w:rPr>
        <w:tab/>
      </w:r>
      <w:r>
        <w:rPr>
          <w:sz w:val="24"/>
          <w:szCs w:val="24"/>
        </w:rPr>
        <w:t>20608</w:t>
      </w:r>
    </w:p>
    <w:p w:rsidR="00E92990" w:rsidRPr="005134A8" w:rsidRDefault="00E92990" w:rsidP="00E92990">
      <w:pPr>
        <w:tabs>
          <w:tab w:val="left" w:pos="851"/>
        </w:tabs>
        <w:rPr>
          <w:sz w:val="24"/>
          <w:szCs w:val="24"/>
        </w:rPr>
      </w:pPr>
    </w:p>
    <w:p w:rsidR="00E92990" w:rsidRPr="005134A8" w:rsidRDefault="00E92990" w:rsidP="00E92990">
      <w:pPr>
        <w:numPr>
          <w:ilvl w:val="0"/>
          <w:numId w:val="1"/>
        </w:numPr>
        <w:rPr>
          <w:b/>
          <w:sz w:val="24"/>
          <w:szCs w:val="24"/>
        </w:rPr>
      </w:pPr>
      <w:r w:rsidRPr="005134A8">
        <w:rPr>
          <w:b/>
          <w:sz w:val="24"/>
          <w:szCs w:val="24"/>
        </w:rPr>
        <w:t>LÆGEMIDLETS NAVN</w:t>
      </w:r>
    </w:p>
    <w:p w:rsidR="00E92990" w:rsidRPr="005134A8" w:rsidRDefault="00E92990" w:rsidP="00E92990">
      <w:pPr>
        <w:tabs>
          <w:tab w:val="left" w:pos="851"/>
        </w:tabs>
        <w:ind w:left="855"/>
        <w:rPr>
          <w:sz w:val="24"/>
          <w:szCs w:val="24"/>
        </w:rPr>
      </w:pPr>
      <w:proofErr w:type="spellStart"/>
      <w:r w:rsidRPr="005134A8">
        <w:rPr>
          <w:sz w:val="24"/>
          <w:szCs w:val="24"/>
        </w:rPr>
        <w:t>Boostrix</w:t>
      </w:r>
      <w:proofErr w:type="spellEnd"/>
      <w:r w:rsidRPr="005134A8">
        <w:rPr>
          <w:sz w:val="24"/>
          <w:szCs w:val="24"/>
        </w:rPr>
        <w:t xml:space="preserve"> Polio</w:t>
      </w:r>
    </w:p>
    <w:p w:rsidR="00E92990" w:rsidRPr="005134A8" w:rsidRDefault="00E92990" w:rsidP="00E92990">
      <w:pPr>
        <w:tabs>
          <w:tab w:val="left" w:pos="851"/>
        </w:tabs>
        <w:rPr>
          <w:sz w:val="24"/>
          <w:szCs w:val="24"/>
        </w:rPr>
      </w:pPr>
      <w:r w:rsidRPr="005134A8">
        <w:rPr>
          <w:sz w:val="24"/>
          <w:szCs w:val="24"/>
        </w:rPr>
        <w:tab/>
      </w:r>
    </w:p>
    <w:p w:rsidR="00E92990" w:rsidRPr="005134A8" w:rsidRDefault="00E92990" w:rsidP="00E92990">
      <w:pPr>
        <w:numPr>
          <w:ilvl w:val="0"/>
          <w:numId w:val="1"/>
        </w:numPr>
        <w:rPr>
          <w:b/>
          <w:sz w:val="24"/>
          <w:szCs w:val="24"/>
        </w:rPr>
      </w:pPr>
      <w:r w:rsidRPr="005134A8">
        <w:rPr>
          <w:b/>
          <w:sz w:val="24"/>
          <w:szCs w:val="24"/>
        </w:rPr>
        <w:t>KVALITATIV OG KVANTITATIV SAMMENSÆTNING</w:t>
      </w:r>
    </w:p>
    <w:p w:rsidR="00E92990" w:rsidRPr="005134A8" w:rsidRDefault="00E92990" w:rsidP="00E92990">
      <w:pPr>
        <w:tabs>
          <w:tab w:val="left" w:pos="-720"/>
        </w:tabs>
        <w:suppressAutoHyphens/>
        <w:ind w:left="1418" w:hanging="567"/>
        <w:rPr>
          <w:sz w:val="24"/>
          <w:szCs w:val="24"/>
        </w:rPr>
      </w:pPr>
      <w:r w:rsidRPr="005134A8">
        <w:rPr>
          <w:sz w:val="24"/>
          <w:szCs w:val="24"/>
        </w:rPr>
        <w:t>1 dosis (0,5 ml) indeholder:</w:t>
      </w:r>
    </w:p>
    <w:p w:rsidR="00E92990" w:rsidRPr="005134A8" w:rsidRDefault="00E92990" w:rsidP="00E92990">
      <w:pPr>
        <w:tabs>
          <w:tab w:val="left" w:pos="-720"/>
        </w:tabs>
        <w:suppressAutoHyphens/>
        <w:ind w:left="1418" w:hanging="567"/>
        <w:rPr>
          <w:sz w:val="24"/>
          <w:szCs w:val="24"/>
        </w:rPr>
      </w:pPr>
    </w:p>
    <w:p w:rsidR="00E92990" w:rsidRDefault="00E92990" w:rsidP="00E92990">
      <w:pPr>
        <w:tabs>
          <w:tab w:val="left" w:pos="-720"/>
          <w:tab w:val="left" w:pos="5954"/>
        </w:tabs>
        <w:suppressAutoHyphens/>
        <w:ind w:left="1418" w:hanging="567"/>
        <w:rPr>
          <w:sz w:val="24"/>
          <w:szCs w:val="24"/>
        </w:rPr>
      </w:pPr>
      <w:r>
        <w:rPr>
          <w:sz w:val="24"/>
          <w:szCs w:val="24"/>
        </w:rPr>
        <w:t>Difteritoksoid</w:t>
      </w:r>
      <w:r>
        <w:rPr>
          <w:sz w:val="24"/>
          <w:szCs w:val="24"/>
          <w:vertAlign w:val="superscript"/>
        </w:rPr>
        <w:t>1</w:t>
      </w:r>
      <w:r>
        <w:rPr>
          <w:sz w:val="24"/>
          <w:szCs w:val="24"/>
        </w:rPr>
        <w:t xml:space="preserve">                                ikke mindre end 2 Internationale Enheder (IU) (2,5 </w:t>
      </w:r>
      <w:proofErr w:type="spellStart"/>
      <w:r>
        <w:rPr>
          <w:sz w:val="24"/>
          <w:szCs w:val="24"/>
        </w:rPr>
        <w:t>Lf</w:t>
      </w:r>
      <w:proofErr w:type="spellEnd"/>
      <w:r>
        <w:rPr>
          <w:sz w:val="24"/>
          <w:szCs w:val="24"/>
        </w:rPr>
        <w:t>)</w:t>
      </w:r>
    </w:p>
    <w:p w:rsidR="00E92990" w:rsidRDefault="00E92990" w:rsidP="00E92990">
      <w:pPr>
        <w:tabs>
          <w:tab w:val="left" w:pos="-720"/>
          <w:tab w:val="left" w:pos="5954"/>
        </w:tabs>
        <w:suppressAutoHyphens/>
        <w:ind w:left="1418" w:hanging="567"/>
        <w:rPr>
          <w:sz w:val="24"/>
          <w:szCs w:val="24"/>
        </w:rPr>
      </w:pPr>
      <w:r>
        <w:rPr>
          <w:sz w:val="24"/>
          <w:szCs w:val="24"/>
        </w:rPr>
        <w:t>Tetanustoksoid</w:t>
      </w:r>
      <w:r>
        <w:rPr>
          <w:sz w:val="24"/>
          <w:szCs w:val="24"/>
          <w:vertAlign w:val="superscript"/>
        </w:rPr>
        <w:t>1</w:t>
      </w:r>
      <w:r>
        <w:rPr>
          <w:sz w:val="24"/>
          <w:szCs w:val="24"/>
        </w:rPr>
        <w:t xml:space="preserve">                               ikke mindre end 20 Internationale Enheder (IU) (5 </w:t>
      </w:r>
      <w:proofErr w:type="spellStart"/>
      <w:r>
        <w:rPr>
          <w:sz w:val="24"/>
          <w:szCs w:val="24"/>
        </w:rPr>
        <w:t>Lf</w:t>
      </w:r>
      <w:proofErr w:type="spellEnd"/>
      <w:r>
        <w:rPr>
          <w:sz w:val="24"/>
          <w:szCs w:val="24"/>
        </w:rPr>
        <w:t>)</w:t>
      </w:r>
    </w:p>
    <w:p w:rsidR="00E92990" w:rsidRDefault="00E92990" w:rsidP="00E92990">
      <w:pPr>
        <w:tabs>
          <w:tab w:val="left" w:pos="-720"/>
          <w:tab w:val="left" w:pos="5954"/>
        </w:tabs>
        <w:suppressAutoHyphens/>
        <w:ind w:left="1418" w:hanging="567"/>
        <w:rPr>
          <w:sz w:val="24"/>
          <w:szCs w:val="24"/>
        </w:rPr>
      </w:pPr>
      <w:proofErr w:type="spellStart"/>
      <w:r>
        <w:rPr>
          <w:i/>
          <w:sz w:val="24"/>
          <w:szCs w:val="24"/>
        </w:rPr>
        <w:t>Bordetella</w:t>
      </w:r>
      <w:proofErr w:type="spellEnd"/>
      <w:r>
        <w:rPr>
          <w:i/>
          <w:sz w:val="24"/>
          <w:szCs w:val="24"/>
        </w:rPr>
        <w:t xml:space="preserve"> </w:t>
      </w:r>
      <w:proofErr w:type="spellStart"/>
      <w:r>
        <w:rPr>
          <w:i/>
          <w:sz w:val="24"/>
          <w:szCs w:val="24"/>
        </w:rPr>
        <w:t>pertussis</w:t>
      </w:r>
      <w:proofErr w:type="spellEnd"/>
      <w:r>
        <w:rPr>
          <w:sz w:val="24"/>
          <w:szCs w:val="24"/>
        </w:rPr>
        <w:t>-antigener</w:t>
      </w:r>
    </w:p>
    <w:p w:rsidR="00E92990" w:rsidRDefault="00E92990" w:rsidP="00E92990">
      <w:pPr>
        <w:tabs>
          <w:tab w:val="left" w:pos="-720"/>
          <w:tab w:val="left" w:pos="5954"/>
        </w:tabs>
        <w:suppressAutoHyphens/>
        <w:ind w:left="1418" w:hanging="567"/>
        <w:rPr>
          <w:sz w:val="24"/>
          <w:szCs w:val="24"/>
        </w:rPr>
      </w:pPr>
      <w:r>
        <w:rPr>
          <w:sz w:val="24"/>
          <w:szCs w:val="24"/>
        </w:rPr>
        <w:t>Pertussistoksoid</w:t>
      </w:r>
      <w:r>
        <w:rPr>
          <w:sz w:val="24"/>
          <w:szCs w:val="24"/>
          <w:vertAlign w:val="superscript"/>
        </w:rPr>
        <w:t>1</w:t>
      </w:r>
      <w:r>
        <w:rPr>
          <w:sz w:val="24"/>
          <w:szCs w:val="24"/>
        </w:rPr>
        <w:tab/>
        <w:t xml:space="preserve">                                     8 mikrogram</w:t>
      </w:r>
    </w:p>
    <w:p w:rsidR="00E92990" w:rsidRDefault="00E92990" w:rsidP="00E92990">
      <w:pPr>
        <w:tabs>
          <w:tab w:val="left" w:pos="-720"/>
          <w:tab w:val="left" w:pos="5954"/>
        </w:tabs>
        <w:suppressAutoHyphens/>
        <w:ind w:left="1418" w:hanging="567"/>
        <w:rPr>
          <w:sz w:val="24"/>
          <w:szCs w:val="24"/>
        </w:rPr>
      </w:pPr>
      <w:proofErr w:type="spellStart"/>
      <w:r>
        <w:rPr>
          <w:sz w:val="24"/>
          <w:szCs w:val="24"/>
        </w:rPr>
        <w:t>Filamentøs</w:t>
      </w:r>
      <w:proofErr w:type="spellEnd"/>
      <w:r>
        <w:rPr>
          <w:sz w:val="24"/>
          <w:szCs w:val="24"/>
        </w:rPr>
        <w:t xml:space="preserve"> hæmagglutinin</w:t>
      </w:r>
      <w:r>
        <w:rPr>
          <w:sz w:val="24"/>
          <w:szCs w:val="24"/>
          <w:vertAlign w:val="superscript"/>
        </w:rPr>
        <w:t>1</w:t>
      </w:r>
      <w:r>
        <w:rPr>
          <w:sz w:val="24"/>
          <w:szCs w:val="24"/>
        </w:rPr>
        <w:tab/>
        <w:t xml:space="preserve">                                     8 mikrogram</w:t>
      </w:r>
    </w:p>
    <w:p w:rsidR="00E92990" w:rsidRDefault="00E92990" w:rsidP="00E92990">
      <w:pPr>
        <w:tabs>
          <w:tab w:val="left" w:pos="-720"/>
          <w:tab w:val="left" w:pos="5954"/>
        </w:tabs>
        <w:suppressAutoHyphens/>
        <w:ind w:left="1418" w:hanging="567"/>
        <w:rPr>
          <w:sz w:val="24"/>
          <w:szCs w:val="24"/>
        </w:rPr>
      </w:pPr>
      <w:r>
        <w:rPr>
          <w:sz w:val="24"/>
          <w:szCs w:val="24"/>
        </w:rPr>
        <w:t>Pertactin</w:t>
      </w:r>
      <w:r>
        <w:rPr>
          <w:sz w:val="24"/>
          <w:szCs w:val="24"/>
          <w:vertAlign w:val="superscript"/>
        </w:rPr>
        <w:t>1</w:t>
      </w:r>
      <w:r>
        <w:rPr>
          <w:sz w:val="24"/>
          <w:szCs w:val="24"/>
        </w:rPr>
        <w:tab/>
        <w:t xml:space="preserve">                                   2,5 mikrogram</w:t>
      </w:r>
    </w:p>
    <w:p w:rsidR="00E92990" w:rsidRDefault="00E92990" w:rsidP="00E92990">
      <w:pPr>
        <w:tabs>
          <w:tab w:val="left" w:pos="5954"/>
        </w:tabs>
        <w:suppressAutoHyphens/>
        <w:ind w:left="1418" w:hanging="567"/>
        <w:rPr>
          <w:sz w:val="24"/>
          <w:szCs w:val="24"/>
        </w:rPr>
      </w:pPr>
      <w:r>
        <w:rPr>
          <w:sz w:val="24"/>
          <w:szCs w:val="24"/>
        </w:rPr>
        <w:t>Inaktiveret poliovirus</w:t>
      </w:r>
    </w:p>
    <w:p w:rsidR="00E92990" w:rsidRDefault="00E92990" w:rsidP="00E92990">
      <w:pPr>
        <w:tabs>
          <w:tab w:val="left" w:pos="5954"/>
        </w:tabs>
        <w:suppressAutoHyphens/>
        <w:ind w:left="1418" w:hanging="567"/>
        <w:rPr>
          <w:sz w:val="24"/>
          <w:szCs w:val="24"/>
        </w:rPr>
      </w:pPr>
      <w:r>
        <w:rPr>
          <w:sz w:val="24"/>
          <w:szCs w:val="24"/>
        </w:rPr>
        <w:t>Type 1 (</w:t>
      </w:r>
      <w:proofErr w:type="spellStart"/>
      <w:r>
        <w:rPr>
          <w:sz w:val="24"/>
          <w:szCs w:val="24"/>
        </w:rPr>
        <w:t>Mahoney</w:t>
      </w:r>
      <w:proofErr w:type="spellEnd"/>
      <w:r>
        <w:rPr>
          <w:sz w:val="24"/>
          <w:szCs w:val="24"/>
        </w:rPr>
        <w:t>-stamme)</w:t>
      </w:r>
      <w:r>
        <w:rPr>
          <w:sz w:val="24"/>
          <w:szCs w:val="24"/>
          <w:vertAlign w:val="superscript"/>
        </w:rPr>
        <w:t>2</w:t>
      </w:r>
      <w:r>
        <w:rPr>
          <w:sz w:val="24"/>
          <w:szCs w:val="24"/>
        </w:rPr>
        <w:tab/>
        <w:t xml:space="preserve">                        40 D-antigen enheder</w:t>
      </w:r>
    </w:p>
    <w:p w:rsidR="00E92990" w:rsidRDefault="00E92990" w:rsidP="00E92990">
      <w:pPr>
        <w:tabs>
          <w:tab w:val="left" w:pos="5954"/>
        </w:tabs>
        <w:suppressAutoHyphens/>
        <w:ind w:left="1418" w:hanging="567"/>
        <w:rPr>
          <w:sz w:val="24"/>
          <w:szCs w:val="24"/>
        </w:rPr>
      </w:pPr>
      <w:r>
        <w:rPr>
          <w:sz w:val="24"/>
          <w:szCs w:val="24"/>
        </w:rPr>
        <w:t>Type 2 (MEF-1-stamme)</w:t>
      </w:r>
      <w:r>
        <w:rPr>
          <w:sz w:val="24"/>
          <w:szCs w:val="24"/>
          <w:vertAlign w:val="superscript"/>
        </w:rPr>
        <w:t>2</w:t>
      </w:r>
      <w:r>
        <w:rPr>
          <w:sz w:val="24"/>
          <w:szCs w:val="24"/>
        </w:rPr>
        <w:tab/>
        <w:t xml:space="preserve">                          8 D-antigen enheder</w:t>
      </w:r>
    </w:p>
    <w:p w:rsidR="00E92990" w:rsidRDefault="00E92990" w:rsidP="00E92990">
      <w:pPr>
        <w:tabs>
          <w:tab w:val="left" w:pos="5954"/>
        </w:tabs>
        <w:suppressAutoHyphens/>
        <w:ind w:left="1418" w:hanging="567"/>
        <w:rPr>
          <w:sz w:val="24"/>
          <w:szCs w:val="24"/>
        </w:rPr>
      </w:pPr>
      <w:r>
        <w:rPr>
          <w:sz w:val="24"/>
          <w:szCs w:val="24"/>
        </w:rPr>
        <w:t>Type 3 (</w:t>
      </w:r>
      <w:proofErr w:type="spellStart"/>
      <w:r>
        <w:rPr>
          <w:sz w:val="24"/>
          <w:szCs w:val="24"/>
        </w:rPr>
        <w:t>Saukett</w:t>
      </w:r>
      <w:proofErr w:type="spellEnd"/>
      <w:r>
        <w:rPr>
          <w:sz w:val="24"/>
          <w:szCs w:val="24"/>
        </w:rPr>
        <w:t>-stamme)</w:t>
      </w:r>
      <w:r>
        <w:rPr>
          <w:sz w:val="24"/>
          <w:szCs w:val="24"/>
          <w:vertAlign w:val="superscript"/>
        </w:rPr>
        <w:t>2</w:t>
      </w:r>
      <w:r>
        <w:rPr>
          <w:sz w:val="24"/>
          <w:szCs w:val="24"/>
        </w:rPr>
        <w:tab/>
        <w:t xml:space="preserve">                        32 D-antigen enheder</w:t>
      </w:r>
    </w:p>
    <w:p w:rsidR="00E92990" w:rsidRDefault="00E92990" w:rsidP="00E92990">
      <w:pPr>
        <w:tabs>
          <w:tab w:val="left" w:pos="5954"/>
        </w:tabs>
        <w:suppressAutoHyphens/>
        <w:ind w:left="1418" w:hanging="567"/>
        <w:rPr>
          <w:sz w:val="24"/>
          <w:szCs w:val="24"/>
        </w:rPr>
      </w:pPr>
    </w:p>
    <w:p w:rsidR="00E92990" w:rsidRDefault="00E92990" w:rsidP="00E92990">
      <w:pPr>
        <w:tabs>
          <w:tab w:val="left" w:pos="5954"/>
        </w:tabs>
        <w:suppressAutoHyphens/>
        <w:ind w:left="1418" w:hanging="567"/>
        <w:rPr>
          <w:sz w:val="24"/>
          <w:szCs w:val="24"/>
        </w:rPr>
      </w:pPr>
      <w:r>
        <w:rPr>
          <w:sz w:val="24"/>
          <w:szCs w:val="24"/>
          <w:vertAlign w:val="superscript"/>
        </w:rPr>
        <w:t>1</w:t>
      </w:r>
      <w:r>
        <w:rPr>
          <w:sz w:val="24"/>
          <w:szCs w:val="24"/>
        </w:rPr>
        <w:t>adsorberet til aluminiumhydroxidhydrat (</w:t>
      </w:r>
      <w:proofErr w:type="gramStart"/>
      <w:r>
        <w:rPr>
          <w:sz w:val="24"/>
          <w:szCs w:val="24"/>
        </w:rPr>
        <w:t>Al(</w:t>
      </w:r>
      <w:proofErr w:type="gramEnd"/>
      <w:r>
        <w:rPr>
          <w:sz w:val="24"/>
          <w:szCs w:val="24"/>
        </w:rPr>
        <w:t>OH)</w:t>
      </w:r>
      <w:r>
        <w:rPr>
          <w:sz w:val="24"/>
          <w:szCs w:val="24"/>
          <w:vertAlign w:val="subscript"/>
        </w:rPr>
        <w:t>3</w:t>
      </w:r>
      <w:r>
        <w:rPr>
          <w:sz w:val="24"/>
          <w:szCs w:val="24"/>
        </w:rPr>
        <w:t>)</w:t>
      </w:r>
      <w:r>
        <w:rPr>
          <w:sz w:val="24"/>
          <w:szCs w:val="24"/>
        </w:rPr>
        <w:tab/>
        <w:t xml:space="preserve">                             0,3 milligram Al</w:t>
      </w:r>
      <w:r>
        <w:rPr>
          <w:sz w:val="24"/>
          <w:szCs w:val="24"/>
          <w:vertAlign w:val="superscript"/>
        </w:rPr>
        <w:t>3+</w:t>
      </w:r>
    </w:p>
    <w:p w:rsidR="00E92990" w:rsidRDefault="00E92990" w:rsidP="00E92990">
      <w:pPr>
        <w:tabs>
          <w:tab w:val="left" w:pos="5954"/>
        </w:tabs>
        <w:suppressAutoHyphens/>
        <w:ind w:left="1418" w:hanging="567"/>
        <w:rPr>
          <w:sz w:val="24"/>
          <w:szCs w:val="24"/>
        </w:rPr>
      </w:pPr>
      <w:r>
        <w:rPr>
          <w:sz w:val="24"/>
          <w:szCs w:val="24"/>
        </w:rPr>
        <w:t xml:space="preserve">og </w:t>
      </w:r>
      <w:proofErr w:type="spellStart"/>
      <w:r>
        <w:rPr>
          <w:sz w:val="24"/>
          <w:szCs w:val="24"/>
        </w:rPr>
        <w:t>aluminiumphosphat</w:t>
      </w:r>
      <w:proofErr w:type="spellEnd"/>
      <w:r>
        <w:rPr>
          <w:sz w:val="24"/>
          <w:szCs w:val="24"/>
        </w:rPr>
        <w:t xml:space="preserve"> (AlPO</w:t>
      </w:r>
      <w:r>
        <w:rPr>
          <w:sz w:val="24"/>
          <w:szCs w:val="24"/>
          <w:vertAlign w:val="subscript"/>
        </w:rPr>
        <w:t>4</w:t>
      </w:r>
      <w:r>
        <w:rPr>
          <w:sz w:val="24"/>
          <w:szCs w:val="24"/>
        </w:rPr>
        <w:t>)</w:t>
      </w:r>
      <w:r>
        <w:rPr>
          <w:sz w:val="24"/>
          <w:szCs w:val="24"/>
        </w:rPr>
        <w:tab/>
        <w:t xml:space="preserve">                             0,2 milligram Al</w:t>
      </w:r>
      <w:r>
        <w:rPr>
          <w:sz w:val="24"/>
          <w:szCs w:val="24"/>
          <w:vertAlign w:val="superscript"/>
        </w:rPr>
        <w:t>3+</w:t>
      </w:r>
    </w:p>
    <w:p w:rsidR="00E92990" w:rsidRDefault="00E92990" w:rsidP="00E92990">
      <w:pPr>
        <w:suppressAutoHyphens/>
        <w:ind w:left="1418" w:hanging="567"/>
        <w:rPr>
          <w:sz w:val="24"/>
          <w:szCs w:val="24"/>
        </w:rPr>
      </w:pPr>
      <w:r>
        <w:rPr>
          <w:sz w:val="24"/>
          <w:szCs w:val="24"/>
          <w:vertAlign w:val="superscript"/>
        </w:rPr>
        <w:t>2</w:t>
      </w:r>
      <w:r>
        <w:rPr>
          <w:sz w:val="24"/>
          <w:szCs w:val="24"/>
        </w:rPr>
        <w:t xml:space="preserve">dyrket i </w:t>
      </w:r>
      <w:proofErr w:type="spellStart"/>
      <w:r>
        <w:rPr>
          <w:sz w:val="24"/>
          <w:szCs w:val="24"/>
        </w:rPr>
        <w:t>Vero</w:t>
      </w:r>
      <w:proofErr w:type="spellEnd"/>
      <w:r>
        <w:rPr>
          <w:sz w:val="24"/>
          <w:szCs w:val="24"/>
        </w:rPr>
        <w:t>-celler</w:t>
      </w:r>
    </w:p>
    <w:p w:rsidR="00E92990" w:rsidRDefault="00E92990" w:rsidP="00E92990">
      <w:pPr>
        <w:suppressAutoHyphens/>
        <w:ind w:left="1418" w:hanging="567"/>
        <w:rPr>
          <w:sz w:val="24"/>
          <w:szCs w:val="24"/>
        </w:rPr>
      </w:pPr>
    </w:p>
    <w:p w:rsidR="004732C5" w:rsidRDefault="004732C5" w:rsidP="004732C5">
      <w:pPr>
        <w:suppressAutoHyphens/>
        <w:ind w:left="851"/>
        <w:rPr>
          <w:sz w:val="24"/>
          <w:szCs w:val="24"/>
        </w:rPr>
      </w:pPr>
      <w:r>
        <w:rPr>
          <w:sz w:val="24"/>
          <w:szCs w:val="24"/>
        </w:rPr>
        <w:t xml:space="preserve">Vaccinen kan indeholde spor af formaldehyd, </w:t>
      </w:r>
      <w:proofErr w:type="spellStart"/>
      <w:r>
        <w:rPr>
          <w:sz w:val="24"/>
          <w:szCs w:val="24"/>
        </w:rPr>
        <w:t>neomycin</w:t>
      </w:r>
      <w:proofErr w:type="spellEnd"/>
      <w:r>
        <w:rPr>
          <w:sz w:val="24"/>
          <w:szCs w:val="24"/>
        </w:rPr>
        <w:t xml:space="preserve"> og </w:t>
      </w:r>
      <w:proofErr w:type="spellStart"/>
      <w:r>
        <w:rPr>
          <w:sz w:val="24"/>
          <w:szCs w:val="24"/>
        </w:rPr>
        <w:t>polymyxin</w:t>
      </w:r>
      <w:proofErr w:type="spellEnd"/>
      <w:r>
        <w:rPr>
          <w:sz w:val="24"/>
          <w:szCs w:val="24"/>
        </w:rPr>
        <w:t>, som anvendes i fremstillingsprocessen (se pkt.4.3).</w:t>
      </w:r>
    </w:p>
    <w:p w:rsidR="004732C5" w:rsidRDefault="004732C5" w:rsidP="004732C5">
      <w:pPr>
        <w:suppressAutoHyphens/>
        <w:ind w:left="851"/>
        <w:rPr>
          <w:sz w:val="24"/>
          <w:szCs w:val="24"/>
        </w:rPr>
      </w:pPr>
    </w:p>
    <w:p w:rsidR="004732C5" w:rsidRDefault="004732C5" w:rsidP="004732C5">
      <w:pPr>
        <w:suppressAutoHyphens/>
        <w:ind w:left="851"/>
        <w:rPr>
          <w:sz w:val="24"/>
          <w:szCs w:val="24"/>
        </w:rPr>
      </w:pPr>
      <w:r>
        <w:rPr>
          <w:sz w:val="24"/>
          <w:szCs w:val="24"/>
          <w:u w:val="single"/>
        </w:rPr>
        <w:t>Hjælpestoffer, som behandleren skal være opmærksom på:</w:t>
      </w:r>
    </w:p>
    <w:p w:rsidR="004732C5" w:rsidRPr="00597C49" w:rsidRDefault="004732C5" w:rsidP="004732C5">
      <w:pPr>
        <w:suppressAutoHyphens/>
        <w:ind w:left="851"/>
        <w:rPr>
          <w:sz w:val="24"/>
          <w:szCs w:val="24"/>
        </w:rPr>
      </w:pPr>
      <w:r>
        <w:rPr>
          <w:sz w:val="24"/>
          <w:szCs w:val="24"/>
        </w:rPr>
        <w:t xml:space="preserve">Vaccinen indeholder </w:t>
      </w:r>
      <w:proofErr w:type="spellStart"/>
      <w:r>
        <w:rPr>
          <w:sz w:val="24"/>
          <w:szCs w:val="24"/>
        </w:rPr>
        <w:t>para</w:t>
      </w:r>
      <w:proofErr w:type="spellEnd"/>
      <w:r>
        <w:rPr>
          <w:sz w:val="24"/>
          <w:szCs w:val="24"/>
        </w:rPr>
        <w:t xml:space="preserve">-aminobenzoesyre &lt; 0,07 nanogram pr. dosis og </w:t>
      </w:r>
      <w:proofErr w:type="spellStart"/>
      <w:r>
        <w:rPr>
          <w:sz w:val="24"/>
          <w:szCs w:val="24"/>
        </w:rPr>
        <w:t>phenylalanin</w:t>
      </w:r>
      <w:proofErr w:type="spellEnd"/>
      <w:r>
        <w:rPr>
          <w:sz w:val="24"/>
          <w:szCs w:val="24"/>
        </w:rPr>
        <w:t xml:space="preserve"> 0,0298 mikrogram pr. dosis (se </w:t>
      </w:r>
      <w:proofErr w:type="spellStart"/>
      <w:r>
        <w:rPr>
          <w:sz w:val="24"/>
          <w:szCs w:val="24"/>
        </w:rPr>
        <w:t>pkt</w:t>
      </w:r>
      <w:proofErr w:type="spellEnd"/>
      <w:r>
        <w:rPr>
          <w:sz w:val="24"/>
          <w:szCs w:val="24"/>
        </w:rPr>
        <w:t xml:space="preserve"> 4.4).</w:t>
      </w:r>
    </w:p>
    <w:p w:rsidR="004732C5" w:rsidRDefault="004732C5" w:rsidP="00E92990">
      <w:pPr>
        <w:suppressAutoHyphens/>
        <w:ind w:left="1418" w:hanging="567"/>
        <w:rPr>
          <w:sz w:val="24"/>
          <w:szCs w:val="24"/>
        </w:rPr>
      </w:pPr>
    </w:p>
    <w:p w:rsidR="00E92990" w:rsidRDefault="00E92990" w:rsidP="00E92990">
      <w:pPr>
        <w:suppressAutoHyphens/>
        <w:ind w:left="1418" w:hanging="567"/>
        <w:rPr>
          <w:sz w:val="24"/>
          <w:szCs w:val="24"/>
        </w:rPr>
      </w:pPr>
      <w:r>
        <w:rPr>
          <w:sz w:val="24"/>
          <w:szCs w:val="24"/>
        </w:rPr>
        <w:t>Alle hjælpestoffer er anført under pkt. 6.1.</w:t>
      </w:r>
    </w:p>
    <w:p w:rsidR="00E92990" w:rsidRPr="005134A8" w:rsidRDefault="00E92990" w:rsidP="00E92990">
      <w:pPr>
        <w:suppressAutoHyphens/>
        <w:rPr>
          <w:b/>
          <w:noProof/>
          <w:sz w:val="24"/>
          <w:szCs w:val="24"/>
        </w:rPr>
      </w:pPr>
      <w:r w:rsidRPr="005134A8">
        <w:rPr>
          <w:sz w:val="24"/>
          <w:szCs w:val="24"/>
        </w:rPr>
        <w:t xml:space="preserve"> </w:t>
      </w:r>
    </w:p>
    <w:p w:rsidR="00E92990" w:rsidRPr="005134A8" w:rsidRDefault="00E92990" w:rsidP="00E92990">
      <w:pPr>
        <w:numPr>
          <w:ilvl w:val="0"/>
          <w:numId w:val="1"/>
        </w:numPr>
        <w:rPr>
          <w:b/>
          <w:sz w:val="24"/>
          <w:szCs w:val="24"/>
        </w:rPr>
      </w:pPr>
      <w:r w:rsidRPr="005134A8">
        <w:rPr>
          <w:b/>
          <w:sz w:val="24"/>
          <w:szCs w:val="24"/>
        </w:rPr>
        <w:t>LÆGEMIDDELFORM</w:t>
      </w:r>
    </w:p>
    <w:p w:rsidR="00E92990" w:rsidRPr="000710B5" w:rsidRDefault="00E92990" w:rsidP="00E92990">
      <w:pPr>
        <w:tabs>
          <w:tab w:val="left" w:pos="851"/>
        </w:tabs>
        <w:ind w:left="851"/>
        <w:jc w:val="both"/>
        <w:rPr>
          <w:sz w:val="24"/>
          <w:szCs w:val="24"/>
        </w:rPr>
      </w:pPr>
      <w:r w:rsidRPr="000710B5">
        <w:rPr>
          <w:sz w:val="24"/>
          <w:szCs w:val="24"/>
        </w:rPr>
        <w:t>Injektionsvæske, suspension, i fyldt injektionssprøjte</w:t>
      </w:r>
    </w:p>
    <w:p w:rsidR="00E92990" w:rsidRPr="000710B5" w:rsidRDefault="00E92990" w:rsidP="00E92990">
      <w:pPr>
        <w:tabs>
          <w:tab w:val="left" w:pos="851"/>
        </w:tabs>
        <w:ind w:left="851"/>
        <w:jc w:val="both"/>
        <w:rPr>
          <w:sz w:val="24"/>
          <w:szCs w:val="24"/>
        </w:rPr>
      </w:pPr>
      <w:proofErr w:type="spellStart"/>
      <w:r w:rsidRPr="000710B5">
        <w:rPr>
          <w:sz w:val="24"/>
          <w:szCs w:val="24"/>
        </w:rPr>
        <w:t>Boostrix</w:t>
      </w:r>
      <w:proofErr w:type="spellEnd"/>
      <w:r w:rsidRPr="000710B5">
        <w:rPr>
          <w:sz w:val="24"/>
          <w:szCs w:val="24"/>
        </w:rPr>
        <w:t xml:space="preserve"> Polio er en uklar</w:t>
      </w:r>
      <w:r>
        <w:rPr>
          <w:sz w:val="24"/>
          <w:szCs w:val="24"/>
        </w:rPr>
        <w:t>,</w:t>
      </w:r>
      <w:r w:rsidRPr="000710B5">
        <w:rPr>
          <w:sz w:val="24"/>
          <w:szCs w:val="24"/>
        </w:rPr>
        <w:t xml:space="preserve"> hvid suspension.</w:t>
      </w:r>
    </w:p>
    <w:p w:rsidR="00E92990" w:rsidRDefault="00E92990" w:rsidP="00E92990">
      <w:pPr>
        <w:tabs>
          <w:tab w:val="left" w:pos="851"/>
        </w:tabs>
        <w:rPr>
          <w:sz w:val="24"/>
          <w:szCs w:val="24"/>
        </w:rPr>
      </w:pPr>
    </w:p>
    <w:p w:rsidR="00E92990" w:rsidRDefault="00E92990" w:rsidP="00E92990">
      <w:pPr>
        <w:tabs>
          <w:tab w:val="left" w:pos="851"/>
        </w:tabs>
        <w:rPr>
          <w:sz w:val="24"/>
          <w:szCs w:val="24"/>
        </w:rPr>
      </w:pPr>
    </w:p>
    <w:p w:rsidR="00E92990" w:rsidRPr="005134A8" w:rsidRDefault="00E92990" w:rsidP="00E92990">
      <w:pPr>
        <w:numPr>
          <w:ilvl w:val="0"/>
          <w:numId w:val="1"/>
        </w:numPr>
        <w:rPr>
          <w:b/>
          <w:sz w:val="24"/>
          <w:szCs w:val="24"/>
        </w:rPr>
      </w:pPr>
      <w:r w:rsidRPr="005134A8">
        <w:rPr>
          <w:b/>
          <w:sz w:val="24"/>
          <w:szCs w:val="24"/>
        </w:rPr>
        <w:t>KLINISKE OPLYSNINGER</w:t>
      </w:r>
    </w:p>
    <w:p w:rsidR="00E92990" w:rsidRPr="005134A8" w:rsidRDefault="00E92990" w:rsidP="00E92990">
      <w:pPr>
        <w:tabs>
          <w:tab w:val="left" w:pos="851"/>
        </w:tabs>
        <w:rPr>
          <w:b/>
          <w:sz w:val="24"/>
          <w:szCs w:val="24"/>
        </w:rPr>
      </w:pPr>
    </w:p>
    <w:p w:rsidR="00E92990" w:rsidRPr="005134A8" w:rsidRDefault="00E92990" w:rsidP="00E92990">
      <w:pPr>
        <w:numPr>
          <w:ilvl w:val="1"/>
          <w:numId w:val="1"/>
        </w:numPr>
        <w:rPr>
          <w:b/>
          <w:sz w:val="24"/>
          <w:szCs w:val="24"/>
          <w:u w:val="single"/>
        </w:rPr>
      </w:pPr>
      <w:r w:rsidRPr="005134A8">
        <w:rPr>
          <w:b/>
          <w:sz w:val="24"/>
          <w:szCs w:val="24"/>
        </w:rPr>
        <w:t>Terapeutiske indikationer</w:t>
      </w:r>
    </w:p>
    <w:p w:rsidR="003F43EE" w:rsidRPr="003F43EE" w:rsidRDefault="003F43EE" w:rsidP="003F43EE">
      <w:pPr>
        <w:ind w:left="851"/>
        <w:rPr>
          <w:sz w:val="24"/>
          <w:szCs w:val="24"/>
        </w:rPr>
      </w:pPr>
      <w:proofErr w:type="spellStart"/>
      <w:r w:rsidRPr="003F43EE">
        <w:rPr>
          <w:sz w:val="24"/>
          <w:szCs w:val="24"/>
        </w:rPr>
        <w:t>Boostrix</w:t>
      </w:r>
      <w:proofErr w:type="spellEnd"/>
      <w:r w:rsidRPr="003F43EE">
        <w:rPr>
          <w:sz w:val="24"/>
          <w:szCs w:val="24"/>
        </w:rPr>
        <w:t xml:space="preserve"> Polio er indiceret til </w:t>
      </w:r>
      <w:proofErr w:type="spellStart"/>
      <w:r w:rsidRPr="003F43EE">
        <w:rPr>
          <w:sz w:val="24"/>
          <w:szCs w:val="24"/>
        </w:rPr>
        <w:t>boostervaccination</w:t>
      </w:r>
      <w:proofErr w:type="spellEnd"/>
      <w:r w:rsidRPr="003F43EE">
        <w:rPr>
          <w:sz w:val="24"/>
          <w:szCs w:val="24"/>
        </w:rPr>
        <w:t xml:space="preserve"> mod difteri, tetanus, </w:t>
      </w:r>
      <w:proofErr w:type="spellStart"/>
      <w:r w:rsidRPr="003F43EE">
        <w:rPr>
          <w:sz w:val="24"/>
          <w:szCs w:val="24"/>
        </w:rPr>
        <w:t>pertussis</w:t>
      </w:r>
      <w:proofErr w:type="spellEnd"/>
      <w:r w:rsidRPr="003F43EE">
        <w:rPr>
          <w:sz w:val="24"/>
          <w:szCs w:val="24"/>
        </w:rPr>
        <w:t xml:space="preserve"> og poliomyelitis af personer fra 3 år og opefter (se pkt. 4.2).</w:t>
      </w:r>
    </w:p>
    <w:p w:rsidR="003F43EE" w:rsidRPr="003F43EE" w:rsidRDefault="003F43EE" w:rsidP="003F43EE">
      <w:pPr>
        <w:ind w:left="851"/>
        <w:rPr>
          <w:sz w:val="24"/>
          <w:szCs w:val="24"/>
        </w:rPr>
      </w:pPr>
    </w:p>
    <w:p w:rsidR="003F43EE" w:rsidRDefault="003F43EE" w:rsidP="003F43EE">
      <w:pPr>
        <w:pStyle w:val="Slutnotetekst"/>
        <w:tabs>
          <w:tab w:val="left" w:pos="1304"/>
        </w:tabs>
        <w:ind w:left="851"/>
        <w:rPr>
          <w:sz w:val="24"/>
        </w:rPr>
      </w:pPr>
      <w:proofErr w:type="spellStart"/>
      <w:r>
        <w:rPr>
          <w:sz w:val="24"/>
        </w:rPr>
        <w:t>Boostrix</w:t>
      </w:r>
      <w:proofErr w:type="spellEnd"/>
      <w:r>
        <w:rPr>
          <w:sz w:val="24"/>
        </w:rPr>
        <w:t xml:space="preserve"> Polio er også indiceret til </w:t>
      </w:r>
      <w:r w:rsidRPr="0056565B">
        <w:rPr>
          <w:sz w:val="24"/>
        </w:rPr>
        <w:t xml:space="preserve">passiv beskyttelse mod </w:t>
      </w:r>
      <w:proofErr w:type="spellStart"/>
      <w:r>
        <w:rPr>
          <w:sz w:val="24"/>
        </w:rPr>
        <w:t>pertussis</w:t>
      </w:r>
      <w:proofErr w:type="spellEnd"/>
      <w:r w:rsidRPr="0056565B">
        <w:rPr>
          <w:sz w:val="24"/>
        </w:rPr>
        <w:t xml:space="preserve"> </w:t>
      </w:r>
      <w:r>
        <w:rPr>
          <w:sz w:val="24"/>
        </w:rPr>
        <w:t>hos</w:t>
      </w:r>
      <w:r w:rsidRPr="0056565B">
        <w:rPr>
          <w:sz w:val="24"/>
        </w:rPr>
        <w:t xml:space="preserve"> </w:t>
      </w:r>
      <w:r w:rsidRPr="005D2B62">
        <w:rPr>
          <w:sz w:val="24"/>
        </w:rPr>
        <w:t>spædb</w:t>
      </w:r>
      <w:r>
        <w:rPr>
          <w:sz w:val="24"/>
        </w:rPr>
        <w:t>ørn</w:t>
      </w:r>
      <w:r w:rsidRPr="0056565B">
        <w:rPr>
          <w:sz w:val="24"/>
        </w:rPr>
        <w:t xml:space="preserve"> </w:t>
      </w:r>
      <w:r>
        <w:rPr>
          <w:sz w:val="24"/>
        </w:rPr>
        <w:t xml:space="preserve">ved </w:t>
      </w:r>
      <w:r w:rsidRPr="0056565B">
        <w:rPr>
          <w:sz w:val="24"/>
        </w:rPr>
        <w:t>immunisering</w:t>
      </w:r>
      <w:r>
        <w:rPr>
          <w:sz w:val="24"/>
        </w:rPr>
        <w:t xml:space="preserve"> via moderen</w:t>
      </w:r>
      <w:r w:rsidRPr="0056565B">
        <w:rPr>
          <w:sz w:val="24"/>
        </w:rPr>
        <w:t xml:space="preserve"> under graviditet</w:t>
      </w:r>
      <w:r>
        <w:rPr>
          <w:sz w:val="24"/>
        </w:rPr>
        <w:t>en</w:t>
      </w:r>
      <w:r w:rsidRPr="0056565B">
        <w:rPr>
          <w:sz w:val="24"/>
        </w:rPr>
        <w:t xml:space="preserve"> (se pkt. 4.2,</w:t>
      </w:r>
      <w:r>
        <w:rPr>
          <w:sz w:val="24"/>
        </w:rPr>
        <w:t xml:space="preserve"> </w:t>
      </w:r>
      <w:r w:rsidRPr="0056565B">
        <w:rPr>
          <w:sz w:val="24"/>
        </w:rPr>
        <w:t>4.6 og 5.1).</w:t>
      </w:r>
    </w:p>
    <w:p w:rsidR="003F43EE" w:rsidRPr="003F43EE" w:rsidRDefault="003F43EE" w:rsidP="003F43EE">
      <w:pPr>
        <w:ind w:left="851"/>
        <w:rPr>
          <w:sz w:val="24"/>
          <w:szCs w:val="24"/>
        </w:rPr>
      </w:pPr>
    </w:p>
    <w:p w:rsidR="003F43EE" w:rsidRPr="003F43EE" w:rsidRDefault="003F43EE" w:rsidP="003F43EE">
      <w:pPr>
        <w:ind w:left="851"/>
        <w:rPr>
          <w:sz w:val="24"/>
          <w:szCs w:val="24"/>
        </w:rPr>
      </w:pPr>
      <w:r w:rsidRPr="003F43EE">
        <w:rPr>
          <w:sz w:val="24"/>
          <w:szCs w:val="24"/>
        </w:rPr>
        <w:t xml:space="preserve">Administration af </w:t>
      </w:r>
      <w:proofErr w:type="spellStart"/>
      <w:r w:rsidRPr="003F43EE">
        <w:rPr>
          <w:sz w:val="24"/>
          <w:szCs w:val="24"/>
        </w:rPr>
        <w:t>Boostrix</w:t>
      </w:r>
      <w:proofErr w:type="spellEnd"/>
      <w:r w:rsidRPr="003F43EE">
        <w:rPr>
          <w:sz w:val="24"/>
          <w:szCs w:val="24"/>
        </w:rPr>
        <w:t xml:space="preserve"> Polio skal ske i henhold til officielle retningslinjer.</w:t>
      </w:r>
    </w:p>
    <w:p w:rsidR="00E92990" w:rsidRPr="005134A8" w:rsidRDefault="00E92990" w:rsidP="00E92990">
      <w:pPr>
        <w:tabs>
          <w:tab w:val="left" w:pos="851"/>
        </w:tabs>
        <w:rPr>
          <w:sz w:val="24"/>
          <w:szCs w:val="24"/>
        </w:rPr>
      </w:pPr>
    </w:p>
    <w:p w:rsidR="00E92990" w:rsidRPr="005134A8" w:rsidRDefault="00E92990" w:rsidP="00E92990">
      <w:pPr>
        <w:numPr>
          <w:ilvl w:val="1"/>
          <w:numId w:val="1"/>
        </w:numPr>
        <w:rPr>
          <w:b/>
          <w:sz w:val="24"/>
          <w:szCs w:val="24"/>
        </w:rPr>
      </w:pPr>
      <w:r w:rsidRPr="005134A8">
        <w:rPr>
          <w:b/>
          <w:sz w:val="24"/>
          <w:szCs w:val="24"/>
        </w:rPr>
        <w:t xml:space="preserve">Dosering og </w:t>
      </w:r>
      <w:r w:rsidR="00B10EA7">
        <w:rPr>
          <w:b/>
          <w:sz w:val="24"/>
          <w:szCs w:val="24"/>
        </w:rPr>
        <w:t>administration</w:t>
      </w:r>
    </w:p>
    <w:p w:rsidR="003F43EE" w:rsidRPr="003F43EE" w:rsidRDefault="003F43EE" w:rsidP="003F43EE">
      <w:pPr>
        <w:ind w:left="851"/>
        <w:rPr>
          <w:noProof/>
          <w:sz w:val="24"/>
          <w:szCs w:val="24"/>
          <w:u w:val="single"/>
        </w:rPr>
      </w:pPr>
      <w:r w:rsidRPr="003F43EE">
        <w:rPr>
          <w:noProof/>
          <w:sz w:val="24"/>
          <w:szCs w:val="24"/>
          <w:u w:val="single"/>
        </w:rPr>
        <w:t>Dosering</w:t>
      </w:r>
    </w:p>
    <w:p w:rsidR="003F43EE" w:rsidRPr="003F43EE" w:rsidRDefault="003F43EE" w:rsidP="003F43EE">
      <w:pPr>
        <w:ind w:left="851"/>
        <w:rPr>
          <w:noProof/>
          <w:sz w:val="24"/>
          <w:szCs w:val="24"/>
        </w:rPr>
      </w:pPr>
      <w:r w:rsidRPr="003F43EE">
        <w:rPr>
          <w:noProof/>
          <w:sz w:val="24"/>
          <w:szCs w:val="24"/>
        </w:rPr>
        <w:t>En enkelt vaccinedosis på 0,5 ml anbefales.</w:t>
      </w:r>
    </w:p>
    <w:p w:rsidR="003F43EE" w:rsidRPr="003F43EE" w:rsidRDefault="003F43EE" w:rsidP="003F43EE">
      <w:pPr>
        <w:ind w:left="851"/>
        <w:rPr>
          <w:noProof/>
          <w:sz w:val="24"/>
          <w:szCs w:val="24"/>
        </w:rPr>
      </w:pPr>
    </w:p>
    <w:p w:rsidR="003F43EE" w:rsidRPr="003F43EE" w:rsidRDefault="003F43EE" w:rsidP="003F43EE">
      <w:pPr>
        <w:ind w:left="851"/>
        <w:rPr>
          <w:noProof/>
          <w:sz w:val="24"/>
          <w:szCs w:val="24"/>
        </w:rPr>
      </w:pPr>
      <w:r w:rsidRPr="003F43EE">
        <w:rPr>
          <w:noProof/>
          <w:sz w:val="24"/>
          <w:szCs w:val="24"/>
        </w:rPr>
        <w:t xml:space="preserve">Boostrix Polio kan administreres til personer fra </w:t>
      </w:r>
      <w:r w:rsidRPr="003F43EE">
        <w:rPr>
          <w:sz w:val="24"/>
          <w:szCs w:val="24"/>
        </w:rPr>
        <w:t>3</w:t>
      </w:r>
      <w:r w:rsidRPr="003F43EE">
        <w:rPr>
          <w:noProof/>
          <w:sz w:val="24"/>
          <w:szCs w:val="24"/>
        </w:rPr>
        <w:t xml:space="preserve"> år og opefter. </w:t>
      </w:r>
    </w:p>
    <w:p w:rsidR="003F43EE" w:rsidRPr="003F43EE" w:rsidRDefault="003F43EE" w:rsidP="003F43EE">
      <w:pPr>
        <w:ind w:left="851"/>
        <w:rPr>
          <w:noProof/>
          <w:sz w:val="24"/>
          <w:szCs w:val="24"/>
        </w:rPr>
      </w:pPr>
    </w:p>
    <w:p w:rsidR="003F43EE" w:rsidRPr="003F43EE" w:rsidRDefault="003F43EE" w:rsidP="003F43EE">
      <w:pPr>
        <w:ind w:left="851"/>
        <w:rPr>
          <w:noProof/>
          <w:sz w:val="24"/>
          <w:szCs w:val="24"/>
        </w:rPr>
      </w:pPr>
      <w:r w:rsidRPr="003F43EE">
        <w:rPr>
          <w:noProof/>
          <w:sz w:val="24"/>
          <w:szCs w:val="24"/>
        </w:rPr>
        <w:t>Boostrix Polio indeholder et reduceret indhold af difteri-, tetanus- og pertussis-antigener i kombination med poliomyelitis-antigener. Boostrix Polio skal derfor administreres i henhold til officielle retningslinier og/eller lokal praksis for brugen af disse vacciner.</w:t>
      </w:r>
    </w:p>
    <w:p w:rsidR="003F43EE" w:rsidRPr="003F43EE" w:rsidRDefault="003F43EE" w:rsidP="003F43EE">
      <w:pPr>
        <w:ind w:left="851"/>
        <w:rPr>
          <w:noProof/>
          <w:sz w:val="24"/>
          <w:szCs w:val="24"/>
        </w:rPr>
      </w:pPr>
    </w:p>
    <w:p w:rsidR="003F43EE" w:rsidRDefault="003F43EE" w:rsidP="003F43EE">
      <w:pPr>
        <w:keepNext/>
        <w:ind w:left="851"/>
        <w:jc w:val="both"/>
      </w:pPr>
      <w:proofErr w:type="spellStart"/>
      <w:r w:rsidRPr="003F43EE">
        <w:rPr>
          <w:szCs w:val="24"/>
        </w:rPr>
        <w:t>Boostrix</w:t>
      </w:r>
      <w:proofErr w:type="spellEnd"/>
      <w:r w:rsidRPr="003F43EE">
        <w:rPr>
          <w:szCs w:val="24"/>
        </w:rPr>
        <w:t xml:space="preserve"> Polio kan administreres til gravide kvinder i det andet eller tredje trimester i henhold til officielle retningslinjer (se pkt. 4.1, 4.6 og 5.1).</w:t>
      </w:r>
    </w:p>
    <w:p w:rsidR="003F43EE" w:rsidRPr="003F43EE" w:rsidRDefault="003F43EE" w:rsidP="003F43EE">
      <w:pPr>
        <w:ind w:left="851"/>
        <w:rPr>
          <w:noProof/>
          <w:sz w:val="24"/>
          <w:szCs w:val="24"/>
        </w:rPr>
      </w:pPr>
    </w:p>
    <w:p w:rsidR="003F43EE" w:rsidRPr="003F43EE" w:rsidRDefault="003F43EE" w:rsidP="003F43EE">
      <w:pPr>
        <w:ind w:left="851"/>
        <w:rPr>
          <w:noProof/>
          <w:sz w:val="24"/>
          <w:szCs w:val="24"/>
        </w:rPr>
      </w:pPr>
      <w:r w:rsidRPr="003F43EE">
        <w:rPr>
          <w:noProof/>
          <w:sz w:val="24"/>
          <w:szCs w:val="24"/>
        </w:rPr>
        <w:t xml:space="preserve">Boostrix Polio kan også anvendes mod difteri, tetanus og pertussis til unge og voksne med ukendt vaccinationsstatus eller ufuldstændig vaccination, som led i et vaccinationsprogram mod difteri, tetanus, pertussis og poliomyelitis. Baseret på data hos voksne, anbefales to yderligere doser difteri- og tetanus-vaccine administreret en og seks måneder efter første dosis for at maksimere vaccine-responset mod difteri og tetanus (se pkt. 5.1). </w:t>
      </w:r>
    </w:p>
    <w:p w:rsidR="00E92990" w:rsidRPr="000710B5" w:rsidRDefault="00E92990" w:rsidP="00E92990">
      <w:pPr>
        <w:ind w:left="851"/>
        <w:rPr>
          <w:noProof/>
          <w:sz w:val="24"/>
          <w:szCs w:val="24"/>
        </w:rPr>
      </w:pPr>
    </w:p>
    <w:p w:rsidR="00E92990" w:rsidRPr="000710B5" w:rsidRDefault="00E92990" w:rsidP="00E92990">
      <w:pPr>
        <w:ind w:left="851"/>
        <w:rPr>
          <w:noProof/>
          <w:sz w:val="24"/>
          <w:szCs w:val="24"/>
        </w:rPr>
      </w:pPr>
      <w:r w:rsidRPr="000710B5">
        <w:rPr>
          <w:noProof/>
          <w:sz w:val="24"/>
          <w:szCs w:val="24"/>
        </w:rPr>
        <w:t>Boostrix Polio kan anvendes ved skader, hvor der er sandsynlighed for tetanus-infektion, hos personer som tidligere har modtaget et primært vaccinationsprogram mod tetanus, og for hvem en booster mod difteri, pertussis og poliomyelitis er indiceret. Tetanus-immunglobulin skal gives samtidig, i henhold til officielle retningslinjer.</w:t>
      </w:r>
    </w:p>
    <w:p w:rsidR="00E92990" w:rsidRPr="000710B5" w:rsidRDefault="00E92990" w:rsidP="00E92990">
      <w:pPr>
        <w:ind w:left="851"/>
        <w:rPr>
          <w:noProof/>
          <w:sz w:val="24"/>
          <w:szCs w:val="24"/>
        </w:rPr>
      </w:pPr>
    </w:p>
    <w:p w:rsidR="00E92990" w:rsidRPr="000710B5" w:rsidRDefault="00E92990" w:rsidP="00E92990">
      <w:pPr>
        <w:ind w:left="851"/>
        <w:rPr>
          <w:noProof/>
          <w:sz w:val="24"/>
          <w:szCs w:val="24"/>
        </w:rPr>
      </w:pPr>
      <w:r w:rsidRPr="000710B5">
        <w:rPr>
          <w:sz w:val="24"/>
          <w:szCs w:val="24"/>
        </w:rPr>
        <w:t xml:space="preserve">Gentagen vaccination mod difteri, tetanus, </w:t>
      </w:r>
      <w:proofErr w:type="spellStart"/>
      <w:r w:rsidRPr="000710B5">
        <w:rPr>
          <w:sz w:val="24"/>
          <w:szCs w:val="24"/>
        </w:rPr>
        <w:t>pertussis</w:t>
      </w:r>
      <w:proofErr w:type="spellEnd"/>
      <w:r w:rsidRPr="000710B5">
        <w:rPr>
          <w:sz w:val="24"/>
          <w:szCs w:val="24"/>
        </w:rPr>
        <w:t xml:space="preserve"> og poliomyelitis skal udføres med intervaller i henhold til officielle retningslinjer.</w:t>
      </w:r>
    </w:p>
    <w:p w:rsidR="00E92990" w:rsidRPr="000710B5" w:rsidRDefault="00E92990" w:rsidP="00E92990">
      <w:pPr>
        <w:ind w:left="851"/>
        <w:rPr>
          <w:noProof/>
          <w:sz w:val="24"/>
          <w:szCs w:val="24"/>
        </w:rPr>
      </w:pPr>
    </w:p>
    <w:p w:rsidR="00E92990" w:rsidRPr="000710B5" w:rsidRDefault="00E92990" w:rsidP="00E92990">
      <w:pPr>
        <w:ind w:left="851"/>
        <w:rPr>
          <w:noProof/>
          <w:sz w:val="24"/>
          <w:szCs w:val="24"/>
        </w:rPr>
      </w:pPr>
      <w:r w:rsidRPr="000710B5">
        <w:rPr>
          <w:i/>
          <w:noProof/>
          <w:sz w:val="24"/>
          <w:szCs w:val="24"/>
        </w:rPr>
        <w:t>Pædiatrisk population</w:t>
      </w:r>
    </w:p>
    <w:p w:rsidR="00E92990" w:rsidRPr="000710B5" w:rsidRDefault="00E92990" w:rsidP="00E92990">
      <w:pPr>
        <w:ind w:left="851"/>
        <w:rPr>
          <w:noProof/>
          <w:sz w:val="24"/>
          <w:szCs w:val="24"/>
        </w:rPr>
      </w:pPr>
      <w:r w:rsidRPr="000710B5">
        <w:rPr>
          <w:noProof/>
          <w:sz w:val="24"/>
          <w:szCs w:val="24"/>
        </w:rPr>
        <w:t xml:space="preserve">Sikkerhed og virkning af Boostrix Polio til børn under </w:t>
      </w:r>
      <w:r>
        <w:rPr>
          <w:sz w:val="24"/>
          <w:szCs w:val="24"/>
        </w:rPr>
        <w:t>3</w:t>
      </w:r>
      <w:r w:rsidRPr="000710B5">
        <w:rPr>
          <w:noProof/>
          <w:sz w:val="24"/>
          <w:szCs w:val="24"/>
        </w:rPr>
        <w:t xml:space="preserve"> år er ikke fastslået.</w:t>
      </w:r>
    </w:p>
    <w:p w:rsidR="00E92990" w:rsidRPr="000710B5" w:rsidRDefault="00E92990" w:rsidP="00E92990">
      <w:pPr>
        <w:ind w:left="851"/>
        <w:rPr>
          <w:sz w:val="24"/>
          <w:szCs w:val="24"/>
        </w:rPr>
      </w:pPr>
    </w:p>
    <w:p w:rsidR="00E92990" w:rsidRPr="000710B5" w:rsidRDefault="00E92990" w:rsidP="00E92990">
      <w:pPr>
        <w:ind w:left="851"/>
        <w:rPr>
          <w:sz w:val="24"/>
          <w:szCs w:val="24"/>
          <w:u w:val="single"/>
        </w:rPr>
      </w:pPr>
      <w:r w:rsidRPr="000710B5">
        <w:rPr>
          <w:sz w:val="24"/>
          <w:szCs w:val="24"/>
          <w:u w:val="single"/>
        </w:rPr>
        <w:t>Administration</w:t>
      </w:r>
    </w:p>
    <w:p w:rsidR="00E92990" w:rsidRPr="000710B5" w:rsidRDefault="00E92990" w:rsidP="00E92990">
      <w:pPr>
        <w:ind w:left="851"/>
        <w:rPr>
          <w:noProof/>
          <w:sz w:val="24"/>
          <w:szCs w:val="24"/>
        </w:rPr>
      </w:pPr>
      <w:r w:rsidRPr="000710B5">
        <w:rPr>
          <w:noProof/>
          <w:sz w:val="24"/>
          <w:szCs w:val="24"/>
        </w:rPr>
        <w:t>Boostrix Polio er til dyb intramuskulær injektion fortrinsvist i regio deltoidea (se pkt. 4.4).</w:t>
      </w:r>
    </w:p>
    <w:p w:rsidR="00E92990" w:rsidRPr="005134A8" w:rsidRDefault="00E92990" w:rsidP="00E92990">
      <w:pPr>
        <w:tabs>
          <w:tab w:val="left" w:pos="851"/>
        </w:tabs>
        <w:ind w:left="851"/>
        <w:rPr>
          <w:sz w:val="24"/>
          <w:szCs w:val="24"/>
        </w:rPr>
      </w:pPr>
    </w:p>
    <w:p w:rsidR="00E92990" w:rsidRPr="005134A8" w:rsidRDefault="00E92990" w:rsidP="00E92990">
      <w:pPr>
        <w:numPr>
          <w:ilvl w:val="1"/>
          <w:numId w:val="1"/>
        </w:numPr>
        <w:rPr>
          <w:b/>
          <w:sz w:val="24"/>
          <w:szCs w:val="24"/>
        </w:rPr>
      </w:pPr>
      <w:r w:rsidRPr="005134A8">
        <w:rPr>
          <w:b/>
          <w:sz w:val="24"/>
          <w:szCs w:val="24"/>
        </w:rPr>
        <w:t>Kontraindikationer</w:t>
      </w:r>
    </w:p>
    <w:p w:rsidR="004732C5" w:rsidRPr="00450AF4" w:rsidRDefault="004732C5" w:rsidP="00450AF4">
      <w:pPr>
        <w:ind w:left="851"/>
        <w:rPr>
          <w:sz w:val="24"/>
          <w:szCs w:val="24"/>
        </w:rPr>
      </w:pPr>
      <w:r w:rsidRPr="00450AF4">
        <w:rPr>
          <w:sz w:val="24"/>
          <w:szCs w:val="24"/>
        </w:rPr>
        <w:t>Overfølsomhed over for de aktive stoffer, over for et eller flere af hjælpestofferne</w:t>
      </w:r>
      <w:r w:rsidRPr="006B6C59">
        <w:t xml:space="preserve"> </w:t>
      </w:r>
      <w:r>
        <w:t>anført i pkt. 6.1</w:t>
      </w:r>
      <w:r w:rsidRPr="00450AF4">
        <w:rPr>
          <w:sz w:val="24"/>
          <w:szCs w:val="24"/>
        </w:rPr>
        <w:t xml:space="preserve"> eller over for </w:t>
      </w:r>
      <w:proofErr w:type="spellStart"/>
      <w:r w:rsidRPr="00450AF4">
        <w:rPr>
          <w:sz w:val="24"/>
          <w:szCs w:val="24"/>
        </w:rPr>
        <w:t>neomycin</w:t>
      </w:r>
      <w:proofErr w:type="spellEnd"/>
      <w:r w:rsidRPr="00450AF4">
        <w:rPr>
          <w:sz w:val="24"/>
          <w:szCs w:val="24"/>
        </w:rPr>
        <w:t xml:space="preserve">, </w:t>
      </w:r>
      <w:proofErr w:type="spellStart"/>
      <w:r w:rsidRPr="00450AF4">
        <w:rPr>
          <w:sz w:val="24"/>
          <w:szCs w:val="24"/>
        </w:rPr>
        <w:t>polymyxin</w:t>
      </w:r>
      <w:proofErr w:type="spellEnd"/>
      <w:r w:rsidRPr="00450AF4">
        <w:rPr>
          <w:sz w:val="24"/>
          <w:szCs w:val="24"/>
        </w:rPr>
        <w:t xml:space="preserve"> eller formaldehyd.</w:t>
      </w:r>
    </w:p>
    <w:p w:rsidR="00E92990" w:rsidRPr="000710B5" w:rsidRDefault="00E92990" w:rsidP="00E92990">
      <w:pPr>
        <w:ind w:left="851"/>
        <w:rPr>
          <w:sz w:val="24"/>
          <w:szCs w:val="24"/>
        </w:rPr>
      </w:pPr>
    </w:p>
    <w:p w:rsidR="00E92990" w:rsidRPr="000710B5" w:rsidRDefault="00E92990" w:rsidP="00E92990">
      <w:pPr>
        <w:ind w:left="851"/>
        <w:rPr>
          <w:sz w:val="24"/>
          <w:szCs w:val="24"/>
        </w:rPr>
      </w:pPr>
      <w:r w:rsidRPr="000710B5">
        <w:rPr>
          <w:sz w:val="24"/>
          <w:szCs w:val="24"/>
        </w:rPr>
        <w:t xml:space="preserve">Overfølsomhed efter tidligere administration af difteri-, tetanus-, </w:t>
      </w:r>
      <w:proofErr w:type="spellStart"/>
      <w:r w:rsidRPr="000710B5">
        <w:rPr>
          <w:sz w:val="24"/>
          <w:szCs w:val="24"/>
        </w:rPr>
        <w:t>pertussis</w:t>
      </w:r>
      <w:proofErr w:type="spellEnd"/>
      <w:r w:rsidRPr="000710B5">
        <w:rPr>
          <w:sz w:val="24"/>
          <w:szCs w:val="24"/>
        </w:rPr>
        <w:t xml:space="preserve">- eller </w:t>
      </w:r>
      <w:r>
        <w:rPr>
          <w:sz w:val="24"/>
          <w:szCs w:val="24"/>
        </w:rPr>
        <w:t>poliomyelitis</w:t>
      </w:r>
      <w:r w:rsidRPr="000710B5">
        <w:rPr>
          <w:sz w:val="24"/>
          <w:szCs w:val="24"/>
        </w:rPr>
        <w:t>-vacciner.</w:t>
      </w:r>
    </w:p>
    <w:p w:rsidR="00E92990" w:rsidRPr="000710B5" w:rsidRDefault="00E92990" w:rsidP="00E92990">
      <w:pPr>
        <w:ind w:left="851"/>
        <w:rPr>
          <w:sz w:val="24"/>
          <w:szCs w:val="24"/>
        </w:rPr>
      </w:pPr>
    </w:p>
    <w:p w:rsidR="00E92990" w:rsidRPr="000710B5" w:rsidRDefault="00E92990" w:rsidP="00E92990">
      <w:pPr>
        <w:ind w:left="851"/>
        <w:rPr>
          <w:sz w:val="24"/>
          <w:szCs w:val="24"/>
        </w:rPr>
      </w:pPr>
      <w:proofErr w:type="spellStart"/>
      <w:r w:rsidRPr="000710B5">
        <w:rPr>
          <w:sz w:val="24"/>
          <w:szCs w:val="24"/>
        </w:rPr>
        <w:t>Boostrix</w:t>
      </w:r>
      <w:proofErr w:type="spellEnd"/>
      <w:r w:rsidRPr="000710B5">
        <w:rPr>
          <w:sz w:val="24"/>
          <w:szCs w:val="24"/>
        </w:rPr>
        <w:t xml:space="preserve"> Polio er kontraindiceret, hvis personen har haft </w:t>
      </w:r>
      <w:proofErr w:type="spellStart"/>
      <w:r w:rsidRPr="000710B5">
        <w:rPr>
          <w:sz w:val="24"/>
          <w:szCs w:val="24"/>
        </w:rPr>
        <w:t>encephalopati</w:t>
      </w:r>
      <w:proofErr w:type="spellEnd"/>
      <w:r w:rsidRPr="000710B5">
        <w:rPr>
          <w:sz w:val="24"/>
          <w:szCs w:val="24"/>
        </w:rPr>
        <w:t xml:space="preserve"> af ukendt ætiologi, opstået inden for 7 dage efter forudgående vaccination med en vaccine indeholdende </w:t>
      </w:r>
      <w:proofErr w:type="spellStart"/>
      <w:r w:rsidRPr="000710B5">
        <w:rPr>
          <w:sz w:val="24"/>
          <w:szCs w:val="24"/>
        </w:rPr>
        <w:t>pertussis</w:t>
      </w:r>
      <w:proofErr w:type="spellEnd"/>
      <w:r w:rsidRPr="000710B5">
        <w:rPr>
          <w:sz w:val="24"/>
          <w:szCs w:val="24"/>
        </w:rPr>
        <w:t xml:space="preserve">. Under disse omstændigheder skal vaccination med </w:t>
      </w:r>
      <w:proofErr w:type="spellStart"/>
      <w:r w:rsidRPr="000710B5">
        <w:rPr>
          <w:sz w:val="24"/>
          <w:szCs w:val="24"/>
        </w:rPr>
        <w:t>pertussis</w:t>
      </w:r>
      <w:proofErr w:type="spellEnd"/>
      <w:r w:rsidRPr="000710B5">
        <w:rPr>
          <w:sz w:val="24"/>
          <w:szCs w:val="24"/>
        </w:rPr>
        <w:t xml:space="preserve"> ophøre og vaccinationsprogrammet med difteri-, tetanus- og poliomyelitis-vacciner fortsættes.</w:t>
      </w:r>
    </w:p>
    <w:p w:rsidR="00E92990" w:rsidRPr="000710B5" w:rsidRDefault="00E92990" w:rsidP="00E92990">
      <w:pPr>
        <w:ind w:left="851"/>
        <w:rPr>
          <w:sz w:val="24"/>
          <w:szCs w:val="24"/>
        </w:rPr>
      </w:pPr>
    </w:p>
    <w:p w:rsidR="00E92990" w:rsidRPr="000710B5" w:rsidRDefault="00E92990" w:rsidP="00E92990">
      <w:pPr>
        <w:ind w:left="851"/>
        <w:rPr>
          <w:sz w:val="24"/>
          <w:szCs w:val="24"/>
        </w:rPr>
      </w:pPr>
      <w:proofErr w:type="spellStart"/>
      <w:r w:rsidRPr="000710B5">
        <w:rPr>
          <w:sz w:val="24"/>
          <w:szCs w:val="24"/>
        </w:rPr>
        <w:t>Boostrix</w:t>
      </w:r>
      <w:proofErr w:type="spellEnd"/>
      <w:r w:rsidRPr="000710B5">
        <w:rPr>
          <w:sz w:val="24"/>
          <w:szCs w:val="24"/>
        </w:rPr>
        <w:t xml:space="preserve"> Polio må ikke administreres til personer, som har oplevet forbigående </w:t>
      </w:r>
      <w:proofErr w:type="spellStart"/>
      <w:r w:rsidRPr="000710B5">
        <w:rPr>
          <w:sz w:val="24"/>
          <w:szCs w:val="24"/>
        </w:rPr>
        <w:t>thrombocytopeni</w:t>
      </w:r>
      <w:proofErr w:type="spellEnd"/>
      <w:r w:rsidRPr="000710B5">
        <w:rPr>
          <w:sz w:val="24"/>
          <w:szCs w:val="24"/>
        </w:rPr>
        <w:t xml:space="preserve"> eller neurologiske komplikationer (for kramper eller </w:t>
      </w:r>
      <w:proofErr w:type="spellStart"/>
      <w:r w:rsidRPr="000710B5">
        <w:rPr>
          <w:sz w:val="24"/>
          <w:szCs w:val="24"/>
        </w:rPr>
        <w:t>hypotoniske-hyporesponsive</w:t>
      </w:r>
      <w:proofErr w:type="spellEnd"/>
      <w:r w:rsidRPr="000710B5">
        <w:rPr>
          <w:sz w:val="24"/>
          <w:szCs w:val="24"/>
        </w:rPr>
        <w:t xml:space="preserve"> episoder, se pkt. 4.4) efter en tidligere immunisering mod difteri og/eller tetanus.</w:t>
      </w:r>
    </w:p>
    <w:p w:rsidR="00E92990" w:rsidRPr="000710B5" w:rsidRDefault="00E92990" w:rsidP="00E92990">
      <w:pPr>
        <w:ind w:left="851"/>
        <w:rPr>
          <w:sz w:val="24"/>
          <w:szCs w:val="24"/>
        </w:rPr>
      </w:pPr>
    </w:p>
    <w:p w:rsidR="00E92990" w:rsidRPr="000710B5" w:rsidRDefault="00E92990" w:rsidP="00E92990">
      <w:pPr>
        <w:ind w:left="851"/>
        <w:rPr>
          <w:sz w:val="24"/>
          <w:szCs w:val="24"/>
        </w:rPr>
      </w:pPr>
      <w:r w:rsidRPr="000710B5">
        <w:rPr>
          <w:sz w:val="24"/>
          <w:szCs w:val="24"/>
        </w:rPr>
        <w:t xml:space="preserve">Som for andre vacciner skal administration af </w:t>
      </w:r>
      <w:proofErr w:type="spellStart"/>
      <w:r w:rsidRPr="000710B5">
        <w:rPr>
          <w:sz w:val="24"/>
          <w:szCs w:val="24"/>
        </w:rPr>
        <w:t>Boostrix</w:t>
      </w:r>
      <w:proofErr w:type="spellEnd"/>
      <w:r w:rsidRPr="000710B5">
        <w:rPr>
          <w:sz w:val="24"/>
          <w:szCs w:val="24"/>
        </w:rPr>
        <w:t xml:space="preserve"> Polio udsættes hos personer, som lider af akut alvorlig febril sygdom. Tilstedeværelse af en mindre infektion er ikke en kontraindikation.</w:t>
      </w:r>
    </w:p>
    <w:p w:rsidR="00E92990" w:rsidRPr="005134A8" w:rsidRDefault="00E92990" w:rsidP="00E92990">
      <w:pPr>
        <w:tabs>
          <w:tab w:val="left" w:pos="851"/>
        </w:tabs>
        <w:ind w:left="851"/>
        <w:rPr>
          <w:sz w:val="24"/>
          <w:szCs w:val="24"/>
        </w:rPr>
      </w:pPr>
    </w:p>
    <w:p w:rsidR="00E92990" w:rsidRPr="005134A8" w:rsidRDefault="00E92990" w:rsidP="00E92990">
      <w:pPr>
        <w:numPr>
          <w:ilvl w:val="1"/>
          <w:numId w:val="1"/>
        </w:numPr>
        <w:rPr>
          <w:b/>
          <w:sz w:val="24"/>
          <w:szCs w:val="24"/>
        </w:rPr>
      </w:pPr>
      <w:r w:rsidRPr="005134A8">
        <w:rPr>
          <w:b/>
          <w:sz w:val="24"/>
          <w:szCs w:val="24"/>
        </w:rPr>
        <w:t>Særlige advarsler og forsigtighedsregler vedrørende brugen</w:t>
      </w:r>
    </w:p>
    <w:p w:rsidR="00E92990" w:rsidRPr="000710B5" w:rsidRDefault="00E92990" w:rsidP="00E92990">
      <w:pPr>
        <w:suppressAutoHyphens/>
        <w:ind w:left="851"/>
        <w:rPr>
          <w:sz w:val="24"/>
          <w:szCs w:val="24"/>
        </w:rPr>
      </w:pPr>
      <w:r w:rsidRPr="000710B5">
        <w:rPr>
          <w:sz w:val="24"/>
          <w:szCs w:val="24"/>
        </w:rPr>
        <w:t>Før vaccination skal der foretages en gennemgang af anamnesen (især hvad angår tidligere vaccination og eventuel forekomst af bivirkninger).</w:t>
      </w:r>
    </w:p>
    <w:p w:rsidR="00E92990" w:rsidRPr="000710B5" w:rsidRDefault="00E92990" w:rsidP="00E92990">
      <w:pPr>
        <w:suppressAutoHyphens/>
        <w:ind w:left="851" w:hanging="567"/>
        <w:rPr>
          <w:sz w:val="24"/>
          <w:szCs w:val="24"/>
        </w:rPr>
      </w:pPr>
    </w:p>
    <w:p w:rsidR="00E92990" w:rsidRPr="000710B5" w:rsidRDefault="00E92990" w:rsidP="00E92990">
      <w:pPr>
        <w:suppressAutoHyphens/>
        <w:ind w:left="851"/>
        <w:rPr>
          <w:sz w:val="24"/>
          <w:szCs w:val="24"/>
        </w:rPr>
      </w:pPr>
      <w:r w:rsidRPr="000710B5">
        <w:rPr>
          <w:sz w:val="24"/>
          <w:szCs w:val="24"/>
        </w:rPr>
        <w:t>Hvis nogle af følgende hændelser vides at have forekommet i tidsmæssig relation til modtagelse af en</w:t>
      </w:r>
      <w:r>
        <w:rPr>
          <w:sz w:val="24"/>
          <w:szCs w:val="24"/>
        </w:rPr>
        <w:t xml:space="preserve"> </w:t>
      </w:r>
      <w:proofErr w:type="spellStart"/>
      <w:r w:rsidRPr="000710B5">
        <w:rPr>
          <w:sz w:val="24"/>
          <w:szCs w:val="24"/>
        </w:rPr>
        <w:t>pertussis-holdig</w:t>
      </w:r>
      <w:proofErr w:type="spellEnd"/>
      <w:r w:rsidRPr="000710B5">
        <w:rPr>
          <w:sz w:val="24"/>
          <w:szCs w:val="24"/>
        </w:rPr>
        <w:t xml:space="preserve"> vaccine, skal beslutning om at give doser af en </w:t>
      </w:r>
      <w:proofErr w:type="spellStart"/>
      <w:r w:rsidRPr="000710B5">
        <w:rPr>
          <w:sz w:val="24"/>
          <w:szCs w:val="24"/>
        </w:rPr>
        <w:t>pertussis-holdig</w:t>
      </w:r>
      <w:proofErr w:type="spellEnd"/>
      <w:r w:rsidRPr="000710B5">
        <w:rPr>
          <w:sz w:val="24"/>
          <w:szCs w:val="24"/>
        </w:rPr>
        <w:t xml:space="preserve"> vaccine nøje </w:t>
      </w:r>
    </w:p>
    <w:p w:rsidR="00E92990" w:rsidRPr="000710B5" w:rsidRDefault="00E92990" w:rsidP="00E92990">
      <w:pPr>
        <w:suppressAutoHyphens/>
        <w:ind w:left="851"/>
        <w:rPr>
          <w:sz w:val="24"/>
          <w:szCs w:val="24"/>
        </w:rPr>
      </w:pPr>
      <w:r w:rsidRPr="000710B5">
        <w:rPr>
          <w:sz w:val="24"/>
          <w:szCs w:val="24"/>
        </w:rPr>
        <w:t>overvejes:</w:t>
      </w:r>
    </w:p>
    <w:p w:rsidR="00E92990" w:rsidRPr="000710B5" w:rsidRDefault="00E92990" w:rsidP="00E92990">
      <w:pPr>
        <w:numPr>
          <w:ilvl w:val="0"/>
          <w:numId w:val="6"/>
        </w:numPr>
        <w:suppressAutoHyphens/>
        <w:ind w:left="1276" w:hanging="425"/>
        <w:rPr>
          <w:sz w:val="24"/>
          <w:szCs w:val="24"/>
        </w:rPr>
      </w:pPr>
      <w:r w:rsidRPr="000710B5">
        <w:rPr>
          <w:sz w:val="24"/>
          <w:szCs w:val="24"/>
        </w:rPr>
        <w:t xml:space="preserve">Feber </w:t>
      </w:r>
      <w:r w:rsidRPr="000710B5">
        <w:rPr>
          <w:sz w:val="24"/>
          <w:szCs w:val="24"/>
        </w:rPr>
        <w:sym w:font="Symbol" w:char="F0B3"/>
      </w:r>
      <w:r w:rsidRPr="000710B5">
        <w:rPr>
          <w:sz w:val="24"/>
          <w:szCs w:val="24"/>
        </w:rPr>
        <w:t> 40,0 </w:t>
      </w:r>
      <w:r w:rsidRPr="000710B5">
        <w:rPr>
          <w:sz w:val="24"/>
          <w:szCs w:val="24"/>
        </w:rPr>
        <w:sym w:font="Symbol" w:char="F0B0"/>
      </w:r>
      <w:r w:rsidRPr="000710B5">
        <w:rPr>
          <w:sz w:val="24"/>
          <w:szCs w:val="24"/>
        </w:rPr>
        <w:t>C inden for 48 timer efter vaccinationen uden anden kendt årsag.</w:t>
      </w:r>
    </w:p>
    <w:p w:rsidR="00E92990" w:rsidRPr="000710B5" w:rsidRDefault="00E92990" w:rsidP="00E92990">
      <w:pPr>
        <w:numPr>
          <w:ilvl w:val="0"/>
          <w:numId w:val="6"/>
        </w:numPr>
        <w:suppressAutoHyphens/>
        <w:ind w:left="1276" w:hanging="425"/>
        <w:rPr>
          <w:sz w:val="24"/>
          <w:szCs w:val="24"/>
        </w:rPr>
      </w:pPr>
      <w:r w:rsidRPr="000710B5">
        <w:rPr>
          <w:sz w:val="24"/>
          <w:szCs w:val="24"/>
        </w:rPr>
        <w:t xml:space="preserve">Kollaps eller </w:t>
      </w:r>
      <w:proofErr w:type="spellStart"/>
      <w:r w:rsidRPr="000710B5">
        <w:rPr>
          <w:sz w:val="24"/>
          <w:szCs w:val="24"/>
        </w:rPr>
        <w:t>shocklignende</w:t>
      </w:r>
      <w:proofErr w:type="spellEnd"/>
      <w:r w:rsidRPr="000710B5">
        <w:rPr>
          <w:sz w:val="24"/>
          <w:szCs w:val="24"/>
        </w:rPr>
        <w:t xml:space="preserve"> tilstand (</w:t>
      </w:r>
      <w:proofErr w:type="spellStart"/>
      <w:r w:rsidRPr="000710B5">
        <w:rPr>
          <w:sz w:val="24"/>
          <w:szCs w:val="24"/>
        </w:rPr>
        <w:t>hypotonisk-hyporesponsiv</w:t>
      </w:r>
      <w:proofErr w:type="spellEnd"/>
      <w:r w:rsidRPr="000710B5">
        <w:rPr>
          <w:sz w:val="24"/>
          <w:szCs w:val="24"/>
        </w:rPr>
        <w:t xml:space="preserve"> episode) inden for 48 timer efter vaccinationen.</w:t>
      </w:r>
    </w:p>
    <w:p w:rsidR="00E92990" w:rsidRPr="000710B5" w:rsidRDefault="00E92990" w:rsidP="00E92990">
      <w:pPr>
        <w:numPr>
          <w:ilvl w:val="0"/>
          <w:numId w:val="6"/>
        </w:numPr>
        <w:suppressAutoHyphens/>
        <w:ind w:left="1276" w:hanging="425"/>
        <w:rPr>
          <w:sz w:val="24"/>
          <w:szCs w:val="24"/>
        </w:rPr>
      </w:pPr>
      <w:r w:rsidRPr="000710B5">
        <w:rPr>
          <w:sz w:val="24"/>
          <w:szCs w:val="24"/>
        </w:rPr>
        <w:t xml:space="preserve">Vedvarende, utrøstelig gråd varende </w:t>
      </w:r>
      <w:r w:rsidRPr="000710B5">
        <w:rPr>
          <w:sz w:val="24"/>
          <w:szCs w:val="24"/>
        </w:rPr>
        <w:sym w:font="Symbol" w:char="F0B3"/>
      </w:r>
      <w:r w:rsidRPr="000710B5">
        <w:rPr>
          <w:sz w:val="24"/>
          <w:szCs w:val="24"/>
        </w:rPr>
        <w:t> 3 timer inden for 48 timer efter vaccinationen.</w:t>
      </w:r>
    </w:p>
    <w:p w:rsidR="00E92990" w:rsidRPr="000710B5" w:rsidRDefault="00E92990" w:rsidP="00E92990">
      <w:pPr>
        <w:numPr>
          <w:ilvl w:val="0"/>
          <w:numId w:val="6"/>
        </w:numPr>
        <w:suppressAutoHyphens/>
        <w:ind w:left="1276" w:hanging="425"/>
        <w:rPr>
          <w:sz w:val="24"/>
          <w:szCs w:val="24"/>
        </w:rPr>
      </w:pPr>
      <w:r w:rsidRPr="000710B5">
        <w:rPr>
          <w:sz w:val="24"/>
          <w:szCs w:val="24"/>
        </w:rPr>
        <w:t>Kramper med eller uden feber inden for 3 dage efter vaccinationen.</w:t>
      </w:r>
    </w:p>
    <w:p w:rsidR="00E92990" w:rsidRPr="000710B5" w:rsidRDefault="00E92990" w:rsidP="00E92990">
      <w:pPr>
        <w:suppressAutoHyphens/>
        <w:ind w:left="851"/>
        <w:rPr>
          <w:sz w:val="24"/>
          <w:szCs w:val="24"/>
        </w:rPr>
      </w:pPr>
    </w:p>
    <w:p w:rsidR="00E92990" w:rsidRPr="000710B5" w:rsidRDefault="00E92990" w:rsidP="00E92990">
      <w:pPr>
        <w:suppressAutoHyphens/>
        <w:ind w:left="851"/>
        <w:rPr>
          <w:sz w:val="24"/>
          <w:szCs w:val="24"/>
        </w:rPr>
      </w:pPr>
      <w:r w:rsidRPr="000710B5">
        <w:rPr>
          <w:sz w:val="24"/>
          <w:szCs w:val="24"/>
        </w:rPr>
        <w:t xml:space="preserve">Der kan forekomme omstændigheder, såsom en høj </w:t>
      </w:r>
      <w:proofErr w:type="spellStart"/>
      <w:r w:rsidRPr="000710B5">
        <w:rPr>
          <w:sz w:val="24"/>
          <w:szCs w:val="24"/>
        </w:rPr>
        <w:t>incidens</w:t>
      </w:r>
      <w:proofErr w:type="spellEnd"/>
      <w:r w:rsidRPr="000710B5">
        <w:rPr>
          <w:sz w:val="24"/>
          <w:szCs w:val="24"/>
        </w:rPr>
        <w:t xml:space="preserve"> af </w:t>
      </w:r>
      <w:proofErr w:type="spellStart"/>
      <w:r w:rsidRPr="000710B5">
        <w:rPr>
          <w:sz w:val="24"/>
          <w:szCs w:val="24"/>
        </w:rPr>
        <w:t>pertussis</w:t>
      </w:r>
      <w:proofErr w:type="spellEnd"/>
      <w:r w:rsidRPr="000710B5">
        <w:rPr>
          <w:sz w:val="24"/>
          <w:szCs w:val="24"/>
        </w:rPr>
        <w:t>, hvor de potentielle fordele opvejer de mulige risici.</w:t>
      </w:r>
    </w:p>
    <w:p w:rsidR="00E92990" w:rsidRPr="000710B5" w:rsidRDefault="00E92990" w:rsidP="00E92990">
      <w:pPr>
        <w:suppressAutoHyphens/>
        <w:ind w:left="851"/>
        <w:rPr>
          <w:sz w:val="24"/>
          <w:szCs w:val="24"/>
        </w:rPr>
      </w:pPr>
    </w:p>
    <w:p w:rsidR="00E92990" w:rsidRPr="000710B5" w:rsidRDefault="00E92990" w:rsidP="00E92990">
      <w:pPr>
        <w:suppressAutoHyphens/>
        <w:ind w:left="851"/>
        <w:rPr>
          <w:sz w:val="24"/>
          <w:szCs w:val="24"/>
        </w:rPr>
      </w:pPr>
      <w:r w:rsidRPr="000710B5">
        <w:rPr>
          <w:sz w:val="24"/>
          <w:szCs w:val="24"/>
        </w:rPr>
        <w:t xml:space="preserve">Som ved andre vaccinationer skal risici og fordele ved immunisering med </w:t>
      </w:r>
      <w:proofErr w:type="spellStart"/>
      <w:r w:rsidRPr="000710B5">
        <w:rPr>
          <w:sz w:val="24"/>
          <w:szCs w:val="24"/>
        </w:rPr>
        <w:t>Boostrix</w:t>
      </w:r>
      <w:proofErr w:type="spellEnd"/>
      <w:r w:rsidRPr="000710B5">
        <w:rPr>
          <w:sz w:val="24"/>
          <w:szCs w:val="24"/>
        </w:rPr>
        <w:t xml:space="preserve"> Polio vurderes og en udskydelse af vaccination skal nøje overvejes for børn, som lider af en begyndende eller </w:t>
      </w:r>
      <w:proofErr w:type="spellStart"/>
      <w:r w:rsidRPr="000710B5">
        <w:rPr>
          <w:sz w:val="24"/>
          <w:szCs w:val="24"/>
        </w:rPr>
        <w:t>fremskridende</w:t>
      </w:r>
      <w:proofErr w:type="spellEnd"/>
      <w:r w:rsidRPr="000710B5">
        <w:rPr>
          <w:sz w:val="24"/>
          <w:szCs w:val="24"/>
        </w:rPr>
        <w:t xml:space="preserve"> alvorlig neurologisk lidelse.</w:t>
      </w:r>
    </w:p>
    <w:p w:rsidR="00E92990" w:rsidRPr="000710B5" w:rsidRDefault="00E92990" w:rsidP="00E92990">
      <w:pPr>
        <w:suppressAutoHyphens/>
        <w:ind w:left="851"/>
        <w:rPr>
          <w:sz w:val="24"/>
          <w:szCs w:val="24"/>
        </w:rPr>
      </w:pPr>
    </w:p>
    <w:p w:rsidR="00E92990" w:rsidRPr="000710B5" w:rsidRDefault="00E92990" w:rsidP="00E92990">
      <w:pPr>
        <w:suppressAutoHyphens/>
        <w:ind w:left="851"/>
        <w:rPr>
          <w:sz w:val="24"/>
          <w:szCs w:val="24"/>
        </w:rPr>
      </w:pPr>
      <w:r w:rsidRPr="000710B5">
        <w:rPr>
          <w:sz w:val="24"/>
          <w:szCs w:val="24"/>
        </w:rPr>
        <w:t xml:space="preserve">Som med alle </w:t>
      </w:r>
      <w:proofErr w:type="spellStart"/>
      <w:r w:rsidRPr="000710B5">
        <w:rPr>
          <w:sz w:val="24"/>
          <w:szCs w:val="24"/>
        </w:rPr>
        <w:t>injicerbare</w:t>
      </w:r>
      <w:proofErr w:type="spellEnd"/>
      <w:r w:rsidRPr="000710B5">
        <w:rPr>
          <w:sz w:val="24"/>
          <w:szCs w:val="24"/>
        </w:rPr>
        <w:t xml:space="preserve"> vacciner skal passende medicinsk behandling og overvågning altid være let tilgængelig i tilfælde af en sjældent forekommende </w:t>
      </w:r>
      <w:proofErr w:type="spellStart"/>
      <w:r w:rsidRPr="000710B5">
        <w:rPr>
          <w:sz w:val="24"/>
          <w:szCs w:val="24"/>
        </w:rPr>
        <w:t>anafylaktisk</w:t>
      </w:r>
      <w:proofErr w:type="spellEnd"/>
      <w:r w:rsidRPr="000710B5">
        <w:rPr>
          <w:sz w:val="24"/>
          <w:szCs w:val="24"/>
        </w:rPr>
        <w:t xml:space="preserve"> reaktion efter administration af vaccinen.</w:t>
      </w:r>
    </w:p>
    <w:p w:rsidR="00E92990" w:rsidRPr="000710B5" w:rsidRDefault="00E92990" w:rsidP="00E92990">
      <w:pPr>
        <w:suppressAutoHyphens/>
        <w:ind w:left="851"/>
        <w:rPr>
          <w:sz w:val="24"/>
          <w:szCs w:val="24"/>
        </w:rPr>
      </w:pPr>
    </w:p>
    <w:p w:rsidR="00F14E27" w:rsidRDefault="00F14E27" w:rsidP="00F14E27">
      <w:pPr>
        <w:suppressAutoHyphens/>
        <w:ind w:left="851"/>
        <w:rPr>
          <w:sz w:val="24"/>
          <w:szCs w:val="24"/>
        </w:rPr>
      </w:pPr>
      <w:proofErr w:type="spellStart"/>
      <w:r>
        <w:rPr>
          <w:sz w:val="24"/>
          <w:szCs w:val="24"/>
        </w:rPr>
        <w:t>Boostrix</w:t>
      </w:r>
      <w:proofErr w:type="spellEnd"/>
      <w:r>
        <w:rPr>
          <w:sz w:val="24"/>
          <w:szCs w:val="24"/>
        </w:rPr>
        <w:t xml:space="preserve"> Polio skal gives med forsigtighed til personer med </w:t>
      </w:r>
      <w:proofErr w:type="spellStart"/>
      <w:r>
        <w:rPr>
          <w:sz w:val="24"/>
          <w:szCs w:val="24"/>
        </w:rPr>
        <w:t>trombocytopeni</w:t>
      </w:r>
      <w:proofErr w:type="spellEnd"/>
      <w:r>
        <w:rPr>
          <w:sz w:val="24"/>
          <w:szCs w:val="24"/>
        </w:rPr>
        <w:t xml:space="preserve"> (se pkt. 4.3) eller blødningsforstyrrelser, eftersom blødning kan forekomme efter en intramuskulær administration hos disse personer. Hvis det er i henhold til officielle retningslinjer kan vaccinen administreres subkutant til disse personer. For begge typer af administration skal der lægges et fast tryk mod injektionsstedet (uden at gnide) i mindst to minutter.</w:t>
      </w:r>
    </w:p>
    <w:p w:rsidR="00E92990" w:rsidRPr="000710B5" w:rsidRDefault="00E92990" w:rsidP="00E92990">
      <w:pPr>
        <w:suppressAutoHyphens/>
        <w:ind w:left="851" w:hanging="567"/>
        <w:rPr>
          <w:sz w:val="24"/>
          <w:szCs w:val="24"/>
        </w:rPr>
      </w:pPr>
    </w:p>
    <w:p w:rsidR="00E92990" w:rsidRPr="000710B5" w:rsidRDefault="00E92990" w:rsidP="00E92990">
      <w:pPr>
        <w:suppressAutoHyphens/>
        <w:ind w:left="851"/>
        <w:rPr>
          <w:sz w:val="24"/>
          <w:szCs w:val="24"/>
        </w:rPr>
      </w:pPr>
      <w:proofErr w:type="spellStart"/>
      <w:r w:rsidRPr="000710B5">
        <w:rPr>
          <w:sz w:val="24"/>
          <w:szCs w:val="24"/>
        </w:rPr>
        <w:t>Boostrix</w:t>
      </w:r>
      <w:proofErr w:type="spellEnd"/>
      <w:r w:rsidRPr="000710B5">
        <w:rPr>
          <w:sz w:val="24"/>
          <w:szCs w:val="24"/>
        </w:rPr>
        <w:t xml:space="preserve"> Polio må under ingen omstændigheder administreres </w:t>
      </w:r>
      <w:proofErr w:type="spellStart"/>
      <w:r w:rsidRPr="000710B5">
        <w:rPr>
          <w:sz w:val="24"/>
          <w:szCs w:val="24"/>
        </w:rPr>
        <w:t>intravaskulært</w:t>
      </w:r>
      <w:proofErr w:type="spellEnd"/>
      <w:r w:rsidRPr="000710B5">
        <w:rPr>
          <w:sz w:val="24"/>
          <w:szCs w:val="24"/>
        </w:rPr>
        <w:t>.</w:t>
      </w:r>
    </w:p>
    <w:p w:rsidR="00E92990" w:rsidRPr="000710B5" w:rsidRDefault="00E92990" w:rsidP="00E92990">
      <w:pPr>
        <w:suppressAutoHyphens/>
        <w:ind w:left="851" w:hanging="567"/>
        <w:rPr>
          <w:sz w:val="24"/>
          <w:szCs w:val="24"/>
        </w:rPr>
      </w:pPr>
    </w:p>
    <w:p w:rsidR="00E92990" w:rsidRDefault="00E92990" w:rsidP="00E92990">
      <w:pPr>
        <w:suppressAutoHyphens/>
        <w:ind w:left="851"/>
        <w:rPr>
          <w:sz w:val="24"/>
          <w:szCs w:val="24"/>
        </w:rPr>
      </w:pPr>
      <w:r>
        <w:rPr>
          <w:sz w:val="24"/>
          <w:szCs w:val="24"/>
        </w:rPr>
        <w:t>Tidligere tilfælde af feberkramper, kramper hos personen selv eller i familien eller tilfælde af bivirkninger i familien efter en DTP-vaccination er ikke kontraindikationer.</w:t>
      </w:r>
    </w:p>
    <w:p w:rsidR="00E92990" w:rsidRPr="000710B5" w:rsidRDefault="00E92990" w:rsidP="00E92990">
      <w:pPr>
        <w:suppressAutoHyphens/>
        <w:ind w:left="851" w:hanging="567"/>
        <w:rPr>
          <w:sz w:val="24"/>
          <w:szCs w:val="24"/>
        </w:rPr>
      </w:pPr>
    </w:p>
    <w:p w:rsidR="00E92990" w:rsidRPr="00480009" w:rsidRDefault="00E92990" w:rsidP="00E92990">
      <w:pPr>
        <w:suppressAutoHyphens/>
        <w:ind w:left="851"/>
        <w:rPr>
          <w:sz w:val="24"/>
          <w:szCs w:val="24"/>
        </w:rPr>
      </w:pPr>
      <w:r w:rsidRPr="000710B5">
        <w:rPr>
          <w:sz w:val="24"/>
          <w:szCs w:val="24"/>
        </w:rPr>
        <w:lastRenderedPageBreak/>
        <w:t xml:space="preserve">Human </w:t>
      </w:r>
      <w:proofErr w:type="spellStart"/>
      <w:r w:rsidRPr="00480009">
        <w:rPr>
          <w:sz w:val="24"/>
          <w:szCs w:val="24"/>
        </w:rPr>
        <w:t>Immunodeficiency</w:t>
      </w:r>
      <w:proofErr w:type="spellEnd"/>
      <w:r w:rsidRPr="00480009">
        <w:rPr>
          <w:sz w:val="24"/>
          <w:szCs w:val="24"/>
        </w:rPr>
        <w:t xml:space="preserve"> Virus (hiv)-infektion anses ikke som en kontraindikation. Det forventede immunologiske respons kan muligvis ikke opnås ved vaccination af immunsupprimerede personer.</w:t>
      </w:r>
    </w:p>
    <w:p w:rsidR="00E92990" w:rsidRPr="00480009" w:rsidRDefault="00E92990" w:rsidP="00E92990">
      <w:pPr>
        <w:suppressAutoHyphens/>
        <w:ind w:left="851" w:hanging="567"/>
        <w:rPr>
          <w:sz w:val="24"/>
          <w:szCs w:val="24"/>
        </w:rPr>
      </w:pPr>
    </w:p>
    <w:p w:rsidR="00E92990" w:rsidRPr="00480009" w:rsidRDefault="00E92990" w:rsidP="00E92990">
      <w:pPr>
        <w:ind w:left="851"/>
        <w:rPr>
          <w:sz w:val="24"/>
          <w:szCs w:val="24"/>
        </w:rPr>
      </w:pPr>
      <w:r w:rsidRPr="00480009">
        <w:rPr>
          <w:sz w:val="24"/>
          <w:szCs w:val="24"/>
        </w:rPr>
        <w:t xml:space="preserve">Synkope (besvimelse) kan opstå efter og endda før vaccination især hos unge mennesker, som en psykogen reaktion over for kanylestik. Dette kan være ledsaget af adskillige neurologiske tegn som f.eks. kortvarige synsforstyrrelser, </w:t>
      </w:r>
      <w:proofErr w:type="spellStart"/>
      <w:r w:rsidRPr="00480009">
        <w:rPr>
          <w:sz w:val="24"/>
          <w:szCs w:val="24"/>
        </w:rPr>
        <w:t>paræstesier</w:t>
      </w:r>
      <w:proofErr w:type="spellEnd"/>
      <w:r w:rsidRPr="00480009">
        <w:rPr>
          <w:sz w:val="24"/>
          <w:szCs w:val="24"/>
        </w:rPr>
        <w:t xml:space="preserve"> og tonisk-kloniske ekstremitetsbevægelser under opvågningen. Det er vigtigt, at nødvendige foranstaltninger er til stede for at undgå skader i forbindelse med besvimelse.</w:t>
      </w:r>
    </w:p>
    <w:p w:rsidR="00E92990" w:rsidRPr="00480009" w:rsidRDefault="00E92990" w:rsidP="00E92990">
      <w:pPr>
        <w:suppressAutoHyphens/>
        <w:ind w:left="851" w:hanging="567"/>
        <w:rPr>
          <w:sz w:val="24"/>
          <w:szCs w:val="24"/>
        </w:rPr>
      </w:pPr>
    </w:p>
    <w:p w:rsidR="003F43EE" w:rsidRDefault="003F43EE" w:rsidP="003F43EE">
      <w:pPr>
        <w:suppressAutoHyphens/>
        <w:ind w:left="851"/>
        <w:rPr>
          <w:sz w:val="24"/>
          <w:szCs w:val="24"/>
        </w:rPr>
      </w:pPr>
      <w:r w:rsidRPr="00480009">
        <w:rPr>
          <w:sz w:val="24"/>
          <w:szCs w:val="24"/>
        </w:rPr>
        <w:t>Som ved andre vacciner fremkaldes et beskyttende immunrespons nødvendigvis ikke hos alle vaccinerede.</w:t>
      </w:r>
    </w:p>
    <w:p w:rsidR="003F43EE" w:rsidRDefault="003F43EE" w:rsidP="003F43EE">
      <w:pPr>
        <w:suppressAutoHyphens/>
        <w:ind w:left="851"/>
        <w:rPr>
          <w:sz w:val="24"/>
          <w:szCs w:val="24"/>
        </w:rPr>
      </w:pPr>
    </w:p>
    <w:p w:rsidR="004732C5" w:rsidRPr="008A2795" w:rsidRDefault="004732C5" w:rsidP="004732C5">
      <w:pPr>
        <w:ind w:left="851"/>
        <w:rPr>
          <w:u w:val="single"/>
        </w:rPr>
      </w:pPr>
      <w:r w:rsidRPr="008A2795">
        <w:rPr>
          <w:u w:val="single"/>
        </w:rPr>
        <w:t>Hjælpestoffer</w:t>
      </w:r>
      <w:r>
        <w:rPr>
          <w:u w:val="single"/>
        </w:rPr>
        <w:t>, som behandleren skal være opmærksom på</w:t>
      </w:r>
    </w:p>
    <w:p w:rsidR="004732C5" w:rsidRDefault="004732C5" w:rsidP="004732C5">
      <w:pPr>
        <w:ind w:left="851"/>
      </w:pPr>
    </w:p>
    <w:p w:rsidR="004732C5" w:rsidRDefault="004732C5" w:rsidP="004732C5">
      <w:pPr>
        <w:ind w:left="851"/>
      </w:pPr>
      <w:proofErr w:type="spellStart"/>
      <w:r>
        <w:t>Boostrix</w:t>
      </w:r>
      <w:proofErr w:type="spellEnd"/>
      <w:r>
        <w:t xml:space="preserve"> Polio indeholder </w:t>
      </w:r>
      <w:proofErr w:type="spellStart"/>
      <w:r>
        <w:t>para</w:t>
      </w:r>
      <w:proofErr w:type="spellEnd"/>
      <w:r>
        <w:t>-aminobenzoesyre. Kan give allergiske reaktioner (kan optræde efter behandlingen) og i sjældne tilfælde åndedrætsbesvær.</w:t>
      </w:r>
    </w:p>
    <w:p w:rsidR="004732C5" w:rsidRDefault="004732C5" w:rsidP="004732C5">
      <w:pPr>
        <w:ind w:left="851"/>
      </w:pPr>
      <w:r>
        <w:t xml:space="preserve">Denne vaccine indeholder 0,0298 mikrogram </w:t>
      </w:r>
      <w:proofErr w:type="spellStart"/>
      <w:r>
        <w:t>phenylalanin</w:t>
      </w:r>
      <w:proofErr w:type="spellEnd"/>
      <w:r>
        <w:t xml:space="preserve"> i hver dosis. </w:t>
      </w:r>
      <w:proofErr w:type="spellStart"/>
      <w:r>
        <w:t>Phenylalanin</w:t>
      </w:r>
      <w:proofErr w:type="spellEnd"/>
      <w:r>
        <w:t xml:space="preserve"> kan være skadeligt, hvis du har </w:t>
      </w:r>
      <w:proofErr w:type="spellStart"/>
      <w:r>
        <w:t>phenylketonuri</w:t>
      </w:r>
      <w:proofErr w:type="spellEnd"/>
      <w:r>
        <w:t xml:space="preserve"> (PKU, </w:t>
      </w:r>
      <w:proofErr w:type="spellStart"/>
      <w:r>
        <w:t>Føllings</w:t>
      </w:r>
      <w:proofErr w:type="spellEnd"/>
      <w:r>
        <w:t xml:space="preserve"> sygdom), en sjælden genetisk lidelse, hvor </w:t>
      </w:r>
      <w:proofErr w:type="spellStart"/>
      <w:r>
        <w:t>phenylalanin</w:t>
      </w:r>
      <w:proofErr w:type="spellEnd"/>
      <w:r>
        <w:t xml:space="preserve"> ophobes, fordi kroppen ikke kan fjerne det ordentligt.</w:t>
      </w:r>
    </w:p>
    <w:p w:rsidR="004732C5" w:rsidRPr="008A2795" w:rsidRDefault="004732C5" w:rsidP="004732C5">
      <w:pPr>
        <w:ind w:left="851"/>
      </w:pPr>
    </w:p>
    <w:p w:rsidR="004732C5" w:rsidRDefault="004732C5" w:rsidP="004732C5">
      <w:pPr>
        <w:ind w:left="851"/>
        <w:rPr>
          <w:sz w:val="24"/>
          <w:szCs w:val="22"/>
        </w:rPr>
      </w:pPr>
      <w:r w:rsidRPr="00065E9A">
        <w:rPr>
          <w:sz w:val="24"/>
          <w:szCs w:val="22"/>
        </w:rPr>
        <w:t>De</w:t>
      </w:r>
      <w:r>
        <w:rPr>
          <w:sz w:val="24"/>
          <w:szCs w:val="22"/>
        </w:rPr>
        <w:t>nne vaccine</w:t>
      </w:r>
      <w:r w:rsidRPr="00065E9A">
        <w:rPr>
          <w:sz w:val="24"/>
          <w:szCs w:val="22"/>
        </w:rPr>
        <w:t xml:space="preserve"> indeholder mindre end 1 mmol (23 mg) natrium pr. </w:t>
      </w:r>
      <w:r>
        <w:rPr>
          <w:szCs w:val="22"/>
        </w:rPr>
        <w:t>dosis</w:t>
      </w:r>
      <w:r w:rsidRPr="00065E9A">
        <w:rPr>
          <w:sz w:val="24"/>
          <w:szCs w:val="22"/>
        </w:rPr>
        <w:t>, dvs. den er i det væsentlige natriumfri.</w:t>
      </w:r>
    </w:p>
    <w:p w:rsidR="004732C5" w:rsidRPr="00065E9A" w:rsidRDefault="004732C5" w:rsidP="004732C5">
      <w:pPr>
        <w:ind w:left="851"/>
        <w:rPr>
          <w:sz w:val="24"/>
          <w:szCs w:val="22"/>
        </w:rPr>
      </w:pPr>
      <w:r>
        <w:rPr>
          <w:sz w:val="24"/>
          <w:szCs w:val="22"/>
        </w:rPr>
        <w:t>Denne vaccine indeholder mindre end 1 mmol (39 mg) kalium pr. dosis, dvs. den er i det væsentlige kaliumfri.</w:t>
      </w:r>
    </w:p>
    <w:p w:rsidR="003F43EE" w:rsidRDefault="003F43EE" w:rsidP="003F43EE"/>
    <w:p w:rsidR="003F43EE" w:rsidRPr="004732C5" w:rsidRDefault="003F43EE" w:rsidP="003F43EE">
      <w:pPr>
        <w:keepNext/>
        <w:suppressAutoHyphens/>
        <w:ind w:left="850"/>
        <w:rPr>
          <w:iCs/>
          <w:szCs w:val="24"/>
          <w:u w:val="single"/>
        </w:rPr>
      </w:pPr>
      <w:r w:rsidRPr="004732C5">
        <w:rPr>
          <w:iCs/>
          <w:szCs w:val="24"/>
          <w:u w:val="single"/>
        </w:rPr>
        <w:t>Sporbarhed</w:t>
      </w:r>
    </w:p>
    <w:p w:rsidR="003F43EE" w:rsidRPr="00065E9A" w:rsidRDefault="003F43EE" w:rsidP="003F43EE">
      <w:pPr>
        <w:keepNext/>
        <w:suppressAutoHyphens/>
        <w:ind w:left="850"/>
        <w:rPr>
          <w:i/>
          <w:iCs/>
          <w:szCs w:val="24"/>
        </w:rPr>
      </w:pPr>
    </w:p>
    <w:p w:rsidR="003F43EE" w:rsidRPr="00A54D35" w:rsidRDefault="003F43EE" w:rsidP="003F43EE">
      <w:pPr>
        <w:keepNext/>
        <w:suppressAutoHyphens/>
        <w:ind w:left="850"/>
        <w:rPr>
          <w:szCs w:val="24"/>
        </w:rPr>
      </w:pPr>
      <w:r w:rsidRPr="00302671">
        <w:rPr>
          <w:szCs w:val="24"/>
        </w:rPr>
        <w:t>For at forbedre sporbarheden af biologiske lægemidler skal det administrerede produkts navn og batchnummer tydeligt registreres</w:t>
      </w:r>
    </w:p>
    <w:p w:rsidR="00E92990" w:rsidRPr="00480009" w:rsidRDefault="00E92990" w:rsidP="00E92990">
      <w:pPr>
        <w:tabs>
          <w:tab w:val="left" w:pos="851"/>
        </w:tabs>
        <w:ind w:left="851"/>
        <w:rPr>
          <w:sz w:val="24"/>
          <w:szCs w:val="24"/>
        </w:rPr>
      </w:pPr>
    </w:p>
    <w:p w:rsidR="00E92990" w:rsidRPr="005134A8" w:rsidRDefault="00E92990" w:rsidP="00E92990">
      <w:pPr>
        <w:numPr>
          <w:ilvl w:val="1"/>
          <w:numId w:val="1"/>
        </w:numPr>
        <w:rPr>
          <w:b/>
          <w:sz w:val="24"/>
          <w:szCs w:val="24"/>
        </w:rPr>
      </w:pPr>
      <w:r w:rsidRPr="005134A8">
        <w:rPr>
          <w:b/>
          <w:sz w:val="24"/>
          <w:szCs w:val="24"/>
        </w:rPr>
        <w:t>Interaktion med andre lægemidler og andre former for interaktion</w:t>
      </w:r>
    </w:p>
    <w:p w:rsidR="003F43EE" w:rsidRPr="003F43EE" w:rsidRDefault="003F43EE" w:rsidP="003F43EE">
      <w:pPr>
        <w:ind w:left="851"/>
        <w:rPr>
          <w:b/>
          <w:sz w:val="24"/>
          <w:szCs w:val="24"/>
        </w:rPr>
      </w:pPr>
      <w:r w:rsidRPr="003F43EE">
        <w:rPr>
          <w:b/>
          <w:sz w:val="24"/>
          <w:szCs w:val="24"/>
        </w:rPr>
        <w:t xml:space="preserve">Samtidig administration med andre vacciner eller </w:t>
      </w:r>
      <w:proofErr w:type="spellStart"/>
      <w:r w:rsidRPr="003F43EE">
        <w:rPr>
          <w:b/>
          <w:sz w:val="24"/>
          <w:szCs w:val="24"/>
        </w:rPr>
        <w:t>immunglobuliner</w:t>
      </w:r>
      <w:proofErr w:type="spellEnd"/>
    </w:p>
    <w:p w:rsidR="003F43EE" w:rsidRPr="003F43EE" w:rsidRDefault="003F43EE" w:rsidP="003F43EE">
      <w:pPr>
        <w:ind w:left="851"/>
        <w:rPr>
          <w:sz w:val="24"/>
          <w:szCs w:val="24"/>
        </w:rPr>
      </w:pPr>
      <w:proofErr w:type="spellStart"/>
      <w:r w:rsidRPr="003F43EE">
        <w:rPr>
          <w:sz w:val="24"/>
          <w:szCs w:val="24"/>
        </w:rPr>
        <w:t>Boostrix</w:t>
      </w:r>
      <w:proofErr w:type="spellEnd"/>
      <w:r w:rsidRPr="003F43EE">
        <w:rPr>
          <w:sz w:val="24"/>
          <w:szCs w:val="24"/>
        </w:rPr>
        <w:t xml:space="preserve"> Polio kan administreres samtidig med enhver af følgende monovalente eller kombinerede vacciner: mæslinger, fåresyge, røde hunde, skoldkopper (MFR/V) og en vaccine </w:t>
      </w:r>
      <w:proofErr w:type="gramStart"/>
      <w:r w:rsidRPr="003F43EE">
        <w:rPr>
          <w:sz w:val="24"/>
          <w:szCs w:val="24"/>
        </w:rPr>
        <w:t>indeholdende humant papillomvirus</w:t>
      </w:r>
      <w:proofErr w:type="gramEnd"/>
      <w:r w:rsidRPr="003F43EE">
        <w:rPr>
          <w:sz w:val="24"/>
          <w:szCs w:val="24"/>
        </w:rPr>
        <w:t xml:space="preserve"> (HPV) uden klinisk relevant interferens mellem antistofresponset fra nogen af komponenterne i de to vacciner (se pkt. 4.8).</w:t>
      </w:r>
    </w:p>
    <w:p w:rsidR="003F43EE" w:rsidRPr="003F43EE" w:rsidRDefault="003F43EE" w:rsidP="003F43EE">
      <w:pPr>
        <w:ind w:left="851"/>
        <w:rPr>
          <w:sz w:val="24"/>
          <w:szCs w:val="24"/>
        </w:rPr>
      </w:pPr>
      <w:r w:rsidRPr="003F43EE">
        <w:rPr>
          <w:sz w:val="24"/>
          <w:szCs w:val="24"/>
        </w:rPr>
        <w:t xml:space="preserve">Samtidig administration af </w:t>
      </w:r>
      <w:proofErr w:type="spellStart"/>
      <w:r w:rsidRPr="003F43EE">
        <w:rPr>
          <w:sz w:val="24"/>
          <w:szCs w:val="24"/>
        </w:rPr>
        <w:t>Boostrix</w:t>
      </w:r>
      <w:proofErr w:type="spellEnd"/>
      <w:r w:rsidRPr="003F43EE">
        <w:rPr>
          <w:sz w:val="24"/>
          <w:szCs w:val="24"/>
        </w:rPr>
        <w:t xml:space="preserve"> Polio med andre vacciner eller </w:t>
      </w:r>
      <w:proofErr w:type="spellStart"/>
      <w:r w:rsidRPr="003F43EE">
        <w:rPr>
          <w:sz w:val="24"/>
          <w:szCs w:val="24"/>
        </w:rPr>
        <w:t>immunglobuliner</w:t>
      </w:r>
      <w:proofErr w:type="spellEnd"/>
      <w:r w:rsidRPr="003F43EE">
        <w:rPr>
          <w:sz w:val="24"/>
          <w:szCs w:val="24"/>
        </w:rPr>
        <w:t xml:space="preserve"> er ikke undersøgt. Det er usandsynligt, at samtidig administration vil resultere i interferens med immunresponset.  </w:t>
      </w:r>
    </w:p>
    <w:p w:rsidR="00E92990" w:rsidRPr="000710B5" w:rsidRDefault="00E92990" w:rsidP="00E92990">
      <w:pPr>
        <w:ind w:left="851"/>
        <w:rPr>
          <w:sz w:val="24"/>
          <w:szCs w:val="24"/>
        </w:rPr>
      </w:pPr>
    </w:p>
    <w:p w:rsidR="00E92990" w:rsidRPr="000710B5" w:rsidRDefault="00E92990" w:rsidP="00E92990">
      <w:pPr>
        <w:ind w:left="851"/>
        <w:rPr>
          <w:sz w:val="24"/>
          <w:szCs w:val="24"/>
        </w:rPr>
      </w:pPr>
      <w:r w:rsidRPr="000710B5">
        <w:rPr>
          <w:sz w:val="24"/>
          <w:szCs w:val="24"/>
        </w:rPr>
        <w:t xml:space="preserve">Hvis samtidig administration af </w:t>
      </w:r>
      <w:proofErr w:type="spellStart"/>
      <w:r w:rsidRPr="000710B5">
        <w:rPr>
          <w:sz w:val="24"/>
          <w:szCs w:val="24"/>
        </w:rPr>
        <w:t>Boostrix</w:t>
      </w:r>
      <w:proofErr w:type="spellEnd"/>
      <w:r w:rsidRPr="000710B5">
        <w:rPr>
          <w:sz w:val="24"/>
          <w:szCs w:val="24"/>
        </w:rPr>
        <w:t xml:space="preserve"> Polio og andre vacciner eller </w:t>
      </w:r>
      <w:proofErr w:type="spellStart"/>
      <w:r w:rsidRPr="000710B5">
        <w:rPr>
          <w:sz w:val="24"/>
          <w:szCs w:val="24"/>
        </w:rPr>
        <w:t>immunglobuliner</w:t>
      </w:r>
      <w:proofErr w:type="spellEnd"/>
      <w:r w:rsidRPr="000710B5">
        <w:rPr>
          <w:sz w:val="24"/>
          <w:szCs w:val="24"/>
        </w:rPr>
        <w:t xml:space="preserve"> anses nødvendigt, skal disse ifølge generel praksis og retningslinjer for vacciner, gives på forskellige administrationssteder.</w:t>
      </w:r>
    </w:p>
    <w:p w:rsidR="00E92990" w:rsidRPr="000710B5" w:rsidRDefault="00E92990" w:rsidP="00E92990">
      <w:pPr>
        <w:ind w:left="851"/>
        <w:rPr>
          <w:sz w:val="24"/>
          <w:szCs w:val="24"/>
        </w:rPr>
      </w:pPr>
    </w:p>
    <w:p w:rsidR="00E92990" w:rsidRPr="000710B5" w:rsidRDefault="00E92990" w:rsidP="00E92990">
      <w:pPr>
        <w:ind w:left="851"/>
        <w:rPr>
          <w:sz w:val="24"/>
          <w:szCs w:val="24"/>
        </w:rPr>
      </w:pPr>
      <w:r w:rsidRPr="000710B5">
        <w:rPr>
          <w:b/>
          <w:sz w:val="24"/>
          <w:szCs w:val="24"/>
        </w:rPr>
        <w:t xml:space="preserve">Samtidig administration med </w:t>
      </w:r>
      <w:proofErr w:type="spellStart"/>
      <w:r w:rsidRPr="000710B5">
        <w:rPr>
          <w:b/>
          <w:sz w:val="24"/>
          <w:szCs w:val="24"/>
        </w:rPr>
        <w:t>immunsuppresiv</w:t>
      </w:r>
      <w:proofErr w:type="spellEnd"/>
      <w:r w:rsidRPr="000710B5">
        <w:rPr>
          <w:b/>
          <w:sz w:val="24"/>
          <w:szCs w:val="24"/>
        </w:rPr>
        <w:t xml:space="preserve"> behandling</w:t>
      </w:r>
    </w:p>
    <w:p w:rsidR="00E92990" w:rsidRPr="000710B5" w:rsidRDefault="00E92990" w:rsidP="00E92990">
      <w:pPr>
        <w:ind w:left="851"/>
        <w:rPr>
          <w:sz w:val="24"/>
          <w:szCs w:val="24"/>
        </w:rPr>
      </w:pPr>
      <w:r w:rsidRPr="000710B5">
        <w:rPr>
          <w:sz w:val="24"/>
          <w:szCs w:val="24"/>
        </w:rPr>
        <w:t>Som med andre vacciner kan patienter, som modtager immunsuppressiv behandling muligvis ikke opnå et adækvat respons.</w:t>
      </w:r>
      <w:r w:rsidR="007A2CCB">
        <w:rPr>
          <w:sz w:val="24"/>
          <w:szCs w:val="24"/>
        </w:rPr>
        <w:br/>
      </w:r>
      <w:r w:rsidR="007A2CCB">
        <w:rPr>
          <w:sz w:val="24"/>
          <w:szCs w:val="24"/>
        </w:rPr>
        <w:br/>
      </w:r>
      <w:r w:rsidR="007A2CCB">
        <w:rPr>
          <w:sz w:val="24"/>
          <w:szCs w:val="24"/>
        </w:rPr>
        <w:br/>
      </w:r>
    </w:p>
    <w:p w:rsidR="00E92990" w:rsidRPr="005134A8" w:rsidRDefault="00E92990" w:rsidP="00E92990">
      <w:pPr>
        <w:tabs>
          <w:tab w:val="left" w:pos="851"/>
        </w:tabs>
        <w:ind w:left="851"/>
        <w:rPr>
          <w:sz w:val="24"/>
          <w:szCs w:val="24"/>
        </w:rPr>
      </w:pPr>
    </w:p>
    <w:p w:rsidR="00E92990" w:rsidRPr="005134A8" w:rsidRDefault="00B10EA7" w:rsidP="00E92990">
      <w:pPr>
        <w:numPr>
          <w:ilvl w:val="1"/>
          <w:numId w:val="1"/>
        </w:numPr>
        <w:rPr>
          <w:b/>
          <w:sz w:val="24"/>
          <w:szCs w:val="24"/>
        </w:rPr>
      </w:pPr>
      <w:r>
        <w:rPr>
          <w:b/>
          <w:sz w:val="24"/>
          <w:szCs w:val="24"/>
        </w:rPr>
        <w:lastRenderedPageBreak/>
        <w:t>Fertilitet, g</w:t>
      </w:r>
      <w:r w:rsidR="00E92990" w:rsidRPr="005134A8">
        <w:rPr>
          <w:b/>
          <w:sz w:val="24"/>
          <w:szCs w:val="24"/>
        </w:rPr>
        <w:t>raviditet og amning</w:t>
      </w:r>
    </w:p>
    <w:p w:rsidR="003F43EE" w:rsidRPr="003F43EE" w:rsidRDefault="003F43EE" w:rsidP="003F43EE">
      <w:pPr>
        <w:suppressAutoHyphens/>
        <w:ind w:left="851"/>
        <w:rPr>
          <w:sz w:val="24"/>
          <w:szCs w:val="24"/>
          <w:u w:val="single"/>
        </w:rPr>
      </w:pPr>
      <w:r w:rsidRPr="003F43EE">
        <w:rPr>
          <w:sz w:val="24"/>
          <w:szCs w:val="24"/>
          <w:u w:val="single"/>
        </w:rPr>
        <w:t>Graviditet</w:t>
      </w:r>
    </w:p>
    <w:p w:rsidR="003F43EE" w:rsidRPr="003F43EE" w:rsidRDefault="003F43EE" w:rsidP="003F43EE">
      <w:pPr>
        <w:suppressAutoHyphens/>
        <w:ind w:left="851"/>
        <w:rPr>
          <w:sz w:val="24"/>
          <w:szCs w:val="24"/>
        </w:rPr>
      </w:pPr>
      <w:proofErr w:type="spellStart"/>
      <w:r w:rsidRPr="003F43EE">
        <w:rPr>
          <w:sz w:val="24"/>
          <w:szCs w:val="24"/>
        </w:rPr>
        <w:t>Boostrix</w:t>
      </w:r>
      <w:proofErr w:type="spellEnd"/>
      <w:r w:rsidRPr="003F43EE">
        <w:rPr>
          <w:sz w:val="24"/>
          <w:szCs w:val="24"/>
        </w:rPr>
        <w:t xml:space="preserve"> Polio kan anvendes i det andet eller tredje trimester af graviditeten i henhold til officielle retningslinjer.</w:t>
      </w:r>
    </w:p>
    <w:p w:rsidR="003F43EE" w:rsidRPr="003F43EE" w:rsidRDefault="003F43EE" w:rsidP="003F43EE">
      <w:pPr>
        <w:suppressAutoHyphens/>
        <w:ind w:left="851"/>
        <w:rPr>
          <w:sz w:val="24"/>
          <w:szCs w:val="24"/>
          <w:u w:val="single"/>
        </w:rPr>
      </w:pPr>
    </w:p>
    <w:p w:rsidR="003F43EE" w:rsidRPr="003F43EE" w:rsidRDefault="003F43EE" w:rsidP="003F43EE">
      <w:pPr>
        <w:suppressAutoHyphens/>
        <w:ind w:left="851"/>
        <w:rPr>
          <w:sz w:val="24"/>
          <w:szCs w:val="24"/>
        </w:rPr>
      </w:pPr>
      <w:r w:rsidRPr="003F43EE">
        <w:rPr>
          <w:sz w:val="24"/>
          <w:szCs w:val="24"/>
        </w:rPr>
        <w:t xml:space="preserve">For data vedrørende forebyggelse af </w:t>
      </w:r>
      <w:proofErr w:type="spellStart"/>
      <w:r w:rsidRPr="003F43EE">
        <w:rPr>
          <w:sz w:val="24"/>
          <w:szCs w:val="24"/>
        </w:rPr>
        <w:t>pertussis</w:t>
      </w:r>
      <w:proofErr w:type="spellEnd"/>
      <w:r w:rsidRPr="003F43EE">
        <w:rPr>
          <w:sz w:val="24"/>
          <w:szCs w:val="24"/>
        </w:rPr>
        <w:t xml:space="preserve"> sygdom hos spædbørn født af kvinder, der er vaccineret under graviditet, se afsnit 5.1.</w:t>
      </w:r>
    </w:p>
    <w:p w:rsidR="003F43EE" w:rsidRPr="003F43EE" w:rsidRDefault="003F43EE"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 xml:space="preserve">Sikkerhedsdata fra et randomiseret, kontrolleret klinisk studie (341 graviditeter) og fra et </w:t>
      </w:r>
      <w:proofErr w:type="spellStart"/>
      <w:r w:rsidRPr="003F43EE">
        <w:rPr>
          <w:sz w:val="24"/>
          <w:szCs w:val="24"/>
        </w:rPr>
        <w:t>prospektivt</w:t>
      </w:r>
      <w:proofErr w:type="spellEnd"/>
      <w:r w:rsidRPr="003F43EE">
        <w:rPr>
          <w:sz w:val="24"/>
          <w:szCs w:val="24"/>
        </w:rPr>
        <w:t xml:space="preserve"> observationsstudie (793 graviditeter), hvor </w:t>
      </w:r>
      <w:proofErr w:type="spellStart"/>
      <w:r w:rsidRPr="003F43EE">
        <w:rPr>
          <w:sz w:val="24"/>
          <w:szCs w:val="24"/>
        </w:rPr>
        <w:t>Boostrix</w:t>
      </w:r>
      <w:proofErr w:type="spellEnd"/>
      <w:r w:rsidRPr="003F43EE">
        <w:rPr>
          <w:sz w:val="24"/>
          <w:szCs w:val="24"/>
        </w:rPr>
        <w:t xml:space="preserve"> (</w:t>
      </w:r>
      <w:proofErr w:type="spellStart"/>
      <w:r w:rsidRPr="003F43EE">
        <w:rPr>
          <w:sz w:val="24"/>
          <w:szCs w:val="24"/>
        </w:rPr>
        <w:t>dTpa</w:t>
      </w:r>
      <w:proofErr w:type="spellEnd"/>
      <w:r w:rsidRPr="003F43EE">
        <w:rPr>
          <w:sz w:val="24"/>
          <w:szCs w:val="24"/>
        </w:rPr>
        <w:t xml:space="preserve"> komponenten af </w:t>
      </w:r>
      <w:proofErr w:type="spellStart"/>
      <w:r w:rsidRPr="003F43EE">
        <w:rPr>
          <w:sz w:val="24"/>
          <w:szCs w:val="24"/>
        </w:rPr>
        <w:t>Boostrix</w:t>
      </w:r>
      <w:proofErr w:type="spellEnd"/>
      <w:r w:rsidRPr="003F43EE">
        <w:rPr>
          <w:sz w:val="24"/>
          <w:szCs w:val="24"/>
        </w:rPr>
        <w:t xml:space="preserve"> Polio) blev administreret til gravide kvinder i det tredje trimester viser ingen vaccine-relaterede bivirkninger på graviditeten eller på sundheden hos fosteret/det nyfødte barn.</w:t>
      </w:r>
    </w:p>
    <w:p w:rsidR="003F43EE" w:rsidRPr="003F43EE" w:rsidRDefault="003F43EE"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 xml:space="preserve">Sikkerhedsdata fra </w:t>
      </w:r>
      <w:proofErr w:type="spellStart"/>
      <w:r w:rsidRPr="003F43EE">
        <w:rPr>
          <w:sz w:val="24"/>
          <w:szCs w:val="24"/>
        </w:rPr>
        <w:t>prospektive</w:t>
      </w:r>
      <w:proofErr w:type="spellEnd"/>
      <w:r w:rsidRPr="003F43EE">
        <w:rPr>
          <w:sz w:val="24"/>
          <w:szCs w:val="24"/>
        </w:rPr>
        <w:t xml:space="preserve">, kliniske studier vedrørende administration af </w:t>
      </w:r>
      <w:proofErr w:type="spellStart"/>
      <w:r w:rsidRPr="003F43EE">
        <w:rPr>
          <w:sz w:val="24"/>
          <w:szCs w:val="24"/>
        </w:rPr>
        <w:t>Boostrix</w:t>
      </w:r>
      <w:proofErr w:type="spellEnd"/>
      <w:r w:rsidRPr="003F43EE">
        <w:rPr>
          <w:sz w:val="24"/>
          <w:szCs w:val="24"/>
        </w:rPr>
        <w:t xml:space="preserve"> Polio eller </w:t>
      </w:r>
      <w:proofErr w:type="spellStart"/>
      <w:r w:rsidRPr="003F43EE">
        <w:rPr>
          <w:sz w:val="24"/>
          <w:szCs w:val="24"/>
        </w:rPr>
        <w:t>Boostrix</w:t>
      </w:r>
      <w:proofErr w:type="spellEnd"/>
      <w:r w:rsidRPr="003F43EE">
        <w:rPr>
          <w:sz w:val="24"/>
          <w:szCs w:val="24"/>
        </w:rPr>
        <w:t xml:space="preserve"> under det første og andet trimestre af graviditeten er ikke tilgængelige.</w:t>
      </w:r>
    </w:p>
    <w:p w:rsidR="003F43EE" w:rsidRPr="003F43EE" w:rsidRDefault="003F43EE"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 xml:space="preserve">Data fra passiv overvågning, hvor gravide kvinder blev udsat for </w:t>
      </w:r>
      <w:proofErr w:type="spellStart"/>
      <w:r w:rsidRPr="003F43EE">
        <w:rPr>
          <w:sz w:val="24"/>
          <w:szCs w:val="24"/>
        </w:rPr>
        <w:t>Boostrix</w:t>
      </w:r>
      <w:proofErr w:type="spellEnd"/>
      <w:r w:rsidRPr="003F43EE">
        <w:rPr>
          <w:sz w:val="24"/>
          <w:szCs w:val="24"/>
        </w:rPr>
        <w:t xml:space="preserve"> Polio eller </w:t>
      </w:r>
      <w:proofErr w:type="spellStart"/>
      <w:r w:rsidRPr="003F43EE">
        <w:rPr>
          <w:sz w:val="24"/>
          <w:szCs w:val="24"/>
        </w:rPr>
        <w:t>Boostrix</w:t>
      </w:r>
      <w:proofErr w:type="spellEnd"/>
      <w:r w:rsidRPr="003F43EE">
        <w:rPr>
          <w:sz w:val="24"/>
          <w:szCs w:val="24"/>
        </w:rPr>
        <w:t xml:space="preserve"> i det tredje eller andet trimester, har ikke vist nogen vaccine-relaterede bivirkninger på graviditeten eller på sundheden hos fosteret/det nyfødte barn.</w:t>
      </w:r>
    </w:p>
    <w:p w:rsidR="003F43EE" w:rsidRPr="003F43EE" w:rsidRDefault="003F43EE"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 xml:space="preserve">Som for andre inaktiverede vacciner, forventes det ikke, at vaccination med </w:t>
      </w:r>
      <w:proofErr w:type="spellStart"/>
      <w:r w:rsidRPr="003F43EE">
        <w:rPr>
          <w:sz w:val="24"/>
          <w:szCs w:val="24"/>
        </w:rPr>
        <w:t>Boostrix</w:t>
      </w:r>
      <w:proofErr w:type="spellEnd"/>
      <w:r w:rsidRPr="003F43EE">
        <w:rPr>
          <w:sz w:val="24"/>
          <w:szCs w:val="24"/>
        </w:rPr>
        <w:t xml:space="preserve"> Polio skader fosteret under nogle af graviditetens tre trimester. </w:t>
      </w:r>
    </w:p>
    <w:p w:rsidR="003F43EE" w:rsidRPr="003F43EE" w:rsidRDefault="003F43EE"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Studier i dyr indikerer ikke direkte eller indirekte skadelige virkninger med hensyn til graviditet, embryonal/</w:t>
      </w:r>
      <w:proofErr w:type="spellStart"/>
      <w:r w:rsidRPr="003F43EE">
        <w:rPr>
          <w:sz w:val="24"/>
          <w:szCs w:val="24"/>
        </w:rPr>
        <w:t>føtal</w:t>
      </w:r>
      <w:proofErr w:type="spellEnd"/>
      <w:r w:rsidRPr="003F43EE">
        <w:rPr>
          <w:sz w:val="24"/>
          <w:szCs w:val="24"/>
        </w:rPr>
        <w:t xml:space="preserve"> udvikling, fødsel eller </w:t>
      </w:r>
      <w:proofErr w:type="spellStart"/>
      <w:r w:rsidRPr="003F43EE">
        <w:rPr>
          <w:sz w:val="24"/>
          <w:szCs w:val="24"/>
        </w:rPr>
        <w:t>postnatal</w:t>
      </w:r>
      <w:proofErr w:type="spellEnd"/>
      <w:r w:rsidRPr="003F43EE">
        <w:rPr>
          <w:sz w:val="24"/>
          <w:szCs w:val="24"/>
        </w:rPr>
        <w:t xml:space="preserve"> udvikling (se pkt. 5.3). </w:t>
      </w:r>
    </w:p>
    <w:p w:rsidR="00E92990" w:rsidRPr="0073452A" w:rsidRDefault="00E92990" w:rsidP="00E92990">
      <w:pPr>
        <w:suppressAutoHyphens/>
        <w:ind w:left="851"/>
        <w:rPr>
          <w:sz w:val="24"/>
          <w:szCs w:val="24"/>
        </w:rPr>
      </w:pPr>
    </w:p>
    <w:p w:rsidR="00E92990" w:rsidRPr="0073452A" w:rsidRDefault="00E92990" w:rsidP="00E92990">
      <w:pPr>
        <w:keepNext/>
        <w:suppressAutoHyphens/>
        <w:ind w:left="851"/>
        <w:rPr>
          <w:sz w:val="24"/>
          <w:szCs w:val="24"/>
          <w:u w:val="single"/>
        </w:rPr>
      </w:pPr>
      <w:r w:rsidRPr="0073452A">
        <w:rPr>
          <w:sz w:val="24"/>
          <w:szCs w:val="24"/>
          <w:u w:val="single"/>
        </w:rPr>
        <w:t>Amning</w:t>
      </w:r>
    </w:p>
    <w:p w:rsidR="00E92990" w:rsidRPr="0073452A" w:rsidRDefault="00E92990" w:rsidP="00E92990">
      <w:pPr>
        <w:keepNext/>
        <w:suppressAutoHyphens/>
        <w:ind w:left="851"/>
        <w:rPr>
          <w:sz w:val="24"/>
          <w:szCs w:val="24"/>
        </w:rPr>
      </w:pPr>
      <w:r w:rsidRPr="0073452A">
        <w:rPr>
          <w:sz w:val="24"/>
          <w:szCs w:val="24"/>
        </w:rPr>
        <w:t xml:space="preserve">Virkningen af </w:t>
      </w:r>
      <w:proofErr w:type="spellStart"/>
      <w:r w:rsidRPr="0073452A">
        <w:rPr>
          <w:sz w:val="24"/>
          <w:szCs w:val="24"/>
        </w:rPr>
        <w:t>Boostrix</w:t>
      </w:r>
      <w:proofErr w:type="spellEnd"/>
      <w:r w:rsidRPr="0073452A">
        <w:rPr>
          <w:sz w:val="24"/>
          <w:szCs w:val="24"/>
        </w:rPr>
        <w:t xml:space="preserve"> Polio under amning er ikke undersøgt. Selvom </w:t>
      </w:r>
      <w:proofErr w:type="spellStart"/>
      <w:r w:rsidRPr="0073452A">
        <w:rPr>
          <w:sz w:val="24"/>
          <w:szCs w:val="24"/>
        </w:rPr>
        <w:t>Boostrix</w:t>
      </w:r>
      <w:proofErr w:type="spellEnd"/>
      <w:r w:rsidRPr="0073452A">
        <w:rPr>
          <w:sz w:val="24"/>
          <w:szCs w:val="24"/>
        </w:rPr>
        <w:t xml:space="preserve"> Polio indeholder </w:t>
      </w:r>
      <w:proofErr w:type="spellStart"/>
      <w:r w:rsidRPr="0073452A">
        <w:rPr>
          <w:sz w:val="24"/>
          <w:szCs w:val="24"/>
        </w:rPr>
        <w:t>toksoider</w:t>
      </w:r>
      <w:proofErr w:type="spellEnd"/>
      <w:r w:rsidRPr="0073452A">
        <w:rPr>
          <w:sz w:val="24"/>
          <w:szCs w:val="24"/>
        </w:rPr>
        <w:t xml:space="preserve"> og inaktiverede antigener, forventes der ingen risiko for det ammede barn. Fordele og risici ved vaccination med </w:t>
      </w:r>
      <w:proofErr w:type="spellStart"/>
      <w:r w:rsidRPr="0073452A">
        <w:rPr>
          <w:sz w:val="24"/>
          <w:szCs w:val="24"/>
        </w:rPr>
        <w:t>Boostrix</w:t>
      </w:r>
      <w:proofErr w:type="spellEnd"/>
      <w:r w:rsidRPr="0073452A">
        <w:rPr>
          <w:sz w:val="24"/>
          <w:szCs w:val="24"/>
        </w:rPr>
        <w:t xml:space="preserve"> Polio til ammende kvinder skal nøje vurderes af sundhedspersonalet.</w:t>
      </w:r>
    </w:p>
    <w:p w:rsidR="00E92990" w:rsidRPr="0073452A" w:rsidRDefault="00E92990" w:rsidP="00E92990">
      <w:pPr>
        <w:suppressAutoHyphens/>
        <w:ind w:left="851"/>
        <w:rPr>
          <w:sz w:val="24"/>
          <w:szCs w:val="24"/>
        </w:rPr>
      </w:pPr>
    </w:p>
    <w:p w:rsidR="00E92990" w:rsidRPr="0073452A" w:rsidRDefault="00E92990" w:rsidP="00E92990">
      <w:pPr>
        <w:keepNext/>
        <w:ind w:left="851"/>
        <w:rPr>
          <w:noProof/>
          <w:sz w:val="24"/>
          <w:szCs w:val="24"/>
          <w:u w:val="single"/>
        </w:rPr>
      </w:pPr>
      <w:r w:rsidRPr="0073452A">
        <w:rPr>
          <w:noProof/>
          <w:sz w:val="24"/>
          <w:szCs w:val="24"/>
          <w:u w:val="single"/>
        </w:rPr>
        <w:t>Fertilitet</w:t>
      </w:r>
    </w:p>
    <w:p w:rsidR="00E92990" w:rsidRPr="0073452A" w:rsidRDefault="00E92990" w:rsidP="00E92990">
      <w:pPr>
        <w:keepNext/>
        <w:ind w:left="851"/>
        <w:rPr>
          <w:noProof/>
          <w:sz w:val="24"/>
          <w:szCs w:val="24"/>
        </w:rPr>
      </w:pPr>
      <w:r w:rsidRPr="0073452A">
        <w:rPr>
          <w:noProof/>
          <w:sz w:val="24"/>
          <w:szCs w:val="24"/>
        </w:rPr>
        <w:t xml:space="preserve">Der  er ingen humane data fra prospektive, kliniske studier tilgængelige. </w:t>
      </w:r>
      <w:r w:rsidRPr="0073452A">
        <w:rPr>
          <w:sz w:val="24"/>
          <w:szCs w:val="24"/>
        </w:rPr>
        <w:t>Studier i dyr indikerer ikke direkte eller indirekte skadelige virkninger med hensyn til kvinders fertilitet (se pkt. 5.3).</w:t>
      </w:r>
    </w:p>
    <w:p w:rsidR="00E92990" w:rsidRDefault="00E92990" w:rsidP="00E92990">
      <w:pPr>
        <w:tabs>
          <w:tab w:val="left" w:pos="851"/>
        </w:tabs>
        <w:ind w:left="851"/>
        <w:rPr>
          <w:sz w:val="24"/>
          <w:szCs w:val="24"/>
        </w:rPr>
      </w:pPr>
    </w:p>
    <w:p w:rsidR="00E92990" w:rsidRPr="005134A8" w:rsidRDefault="00E92990" w:rsidP="00E92990">
      <w:pPr>
        <w:numPr>
          <w:ilvl w:val="1"/>
          <w:numId w:val="1"/>
        </w:numPr>
        <w:rPr>
          <w:b/>
          <w:sz w:val="24"/>
          <w:szCs w:val="24"/>
        </w:rPr>
      </w:pPr>
      <w:r w:rsidRPr="005134A8">
        <w:rPr>
          <w:b/>
          <w:sz w:val="24"/>
          <w:szCs w:val="24"/>
        </w:rPr>
        <w:t xml:space="preserve">Virkning på evnen til at føre motorkøretøj </w:t>
      </w:r>
      <w:r>
        <w:rPr>
          <w:b/>
          <w:sz w:val="24"/>
          <w:szCs w:val="24"/>
        </w:rPr>
        <w:t>og</w:t>
      </w:r>
      <w:r w:rsidRPr="005134A8">
        <w:rPr>
          <w:b/>
          <w:sz w:val="24"/>
          <w:szCs w:val="24"/>
        </w:rPr>
        <w:t xml:space="preserve"> betjene maskiner</w:t>
      </w:r>
    </w:p>
    <w:p w:rsidR="00E92990" w:rsidRDefault="00E92990" w:rsidP="00E92990">
      <w:pPr>
        <w:ind w:left="851"/>
        <w:rPr>
          <w:sz w:val="24"/>
          <w:szCs w:val="24"/>
        </w:rPr>
      </w:pPr>
      <w:r>
        <w:rPr>
          <w:sz w:val="24"/>
          <w:szCs w:val="24"/>
        </w:rPr>
        <w:t>Ikke mærkning.</w:t>
      </w:r>
    </w:p>
    <w:p w:rsidR="00E92990" w:rsidRPr="000710B5" w:rsidRDefault="00E92990" w:rsidP="00E92990">
      <w:pPr>
        <w:ind w:left="851"/>
        <w:rPr>
          <w:sz w:val="24"/>
          <w:szCs w:val="24"/>
        </w:rPr>
      </w:pPr>
      <w:r w:rsidRPr="000710B5">
        <w:rPr>
          <w:sz w:val="24"/>
          <w:szCs w:val="24"/>
        </w:rPr>
        <w:t xml:space="preserve">Det er usandsynligt, at vaccinen påvirker evnen til at føre motorkøretøj </w:t>
      </w:r>
      <w:r>
        <w:rPr>
          <w:sz w:val="24"/>
          <w:szCs w:val="24"/>
        </w:rPr>
        <w:t>og</w:t>
      </w:r>
      <w:r w:rsidRPr="000710B5">
        <w:rPr>
          <w:sz w:val="24"/>
          <w:szCs w:val="24"/>
        </w:rPr>
        <w:t xml:space="preserve"> betjene maskiner.</w:t>
      </w:r>
    </w:p>
    <w:p w:rsidR="00E92990" w:rsidRPr="005134A8" w:rsidRDefault="00E92990" w:rsidP="00E92990">
      <w:pPr>
        <w:tabs>
          <w:tab w:val="left" w:pos="851"/>
        </w:tabs>
        <w:ind w:left="851"/>
        <w:rPr>
          <w:sz w:val="24"/>
          <w:szCs w:val="24"/>
        </w:rPr>
      </w:pPr>
    </w:p>
    <w:p w:rsidR="00E92990" w:rsidRPr="005134A8" w:rsidRDefault="00E92990" w:rsidP="00E92990">
      <w:pPr>
        <w:keepNext/>
        <w:numPr>
          <w:ilvl w:val="1"/>
          <w:numId w:val="1"/>
        </w:numPr>
        <w:rPr>
          <w:b/>
          <w:sz w:val="24"/>
          <w:szCs w:val="24"/>
        </w:rPr>
      </w:pPr>
      <w:r w:rsidRPr="005134A8">
        <w:rPr>
          <w:b/>
          <w:sz w:val="24"/>
          <w:szCs w:val="24"/>
        </w:rPr>
        <w:t>Bivirkninger</w:t>
      </w:r>
    </w:p>
    <w:p w:rsidR="00E92990" w:rsidRPr="00EE4A0A" w:rsidRDefault="00E92990" w:rsidP="00E92990">
      <w:pPr>
        <w:pStyle w:val="Sidehoved"/>
        <w:keepNext/>
        <w:tabs>
          <w:tab w:val="left" w:pos="851"/>
        </w:tabs>
        <w:ind w:left="851"/>
        <w:rPr>
          <w:b/>
          <w:i/>
          <w:szCs w:val="24"/>
        </w:rPr>
      </w:pPr>
      <w:r w:rsidRPr="007216AD">
        <w:rPr>
          <w:b/>
          <w:i/>
          <w:szCs w:val="24"/>
        </w:rPr>
        <w:t>Sammendrag af bivirkningsprofilen</w:t>
      </w:r>
    </w:p>
    <w:p w:rsidR="00E92990" w:rsidRPr="00C62164" w:rsidRDefault="00E92990" w:rsidP="00E92990">
      <w:pPr>
        <w:pStyle w:val="Sidehoved"/>
        <w:tabs>
          <w:tab w:val="left" w:pos="851"/>
        </w:tabs>
        <w:ind w:left="851"/>
        <w:rPr>
          <w:szCs w:val="24"/>
        </w:rPr>
      </w:pPr>
      <w:r w:rsidRPr="00C62164">
        <w:rPr>
          <w:szCs w:val="24"/>
        </w:rPr>
        <w:t>Bivirkningsprofilen anført</w:t>
      </w:r>
      <w:r>
        <w:rPr>
          <w:szCs w:val="24"/>
        </w:rPr>
        <w:t xml:space="preserve"> i tabel 1</w:t>
      </w:r>
      <w:r w:rsidRPr="00C62164">
        <w:rPr>
          <w:szCs w:val="24"/>
        </w:rPr>
        <w:t xml:space="preserve"> er baseret på data fra kliniske studier, hvor </w:t>
      </w:r>
      <w:proofErr w:type="spellStart"/>
      <w:r w:rsidRPr="00C62164">
        <w:rPr>
          <w:szCs w:val="24"/>
        </w:rPr>
        <w:t>Boostrix</w:t>
      </w:r>
      <w:proofErr w:type="spellEnd"/>
      <w:r w:rsidRPr="00C62164">
        <w:rPr>
          <w:szCs w:val="24"/>
        </w:rPr>
        <w:t xml:space="preserve"> Polio blev administreret til 908 børn (fra 4-8 år) og 955 voksne, unge og børn (fra 10-93 år).</w:t>
      </w:r>
    </w:p>
    <w:p w:rsidR="00E92990" w:rsidRPr="00C62164" w:rsidRDefault="00E92990" w:rsidP="00E92990">
      <w:pPr>
        <w:pStyle w:val="Sidehoved"/>
        <w:tabs>
          <w:tab w:val="left" w:pos="851"/>
        </w:tabs>
        <w:ind w:left="851"/>
        <w:rPr>
          <w:szCs w:val="24"/>
        </w:rPr>
      </w:pPr>
    </w:p>
    <w:p w:rsidR="00E92990" w:rsidRPr="00C62164" w:rsidRDefault="00E92990" w:rsidP="00E92990">
      <w:pPr>
        <w:pStyle w:val="Sidehoved"/>
        <w:tabs>
          <w:tab w:val="left" w:pos="851"/>
        </w:tabs>
        <w:ind w:left="851"/>
        <w:rPr>
          <w:szCs w:val="24"/>
        </w:rPr>
      </w:pPr>
      <w:r w:rsidRPr="00C62164">
        <w:rPr>
          <w:szCs w:val="24"/>
        </w:rPr>
        <w:lastRenderedPageBreak/>
        <w:t xml:space="preserve">De mest almindelige bivirkninger efter administration af </w:t>
      </w:r>
      <w:proofErr w:type="spellStart"/>
      <w:r w:rsidRPr="00C62164">
        <w:rPr>
          <w:szCs w:val="24"/>
        </w:rPr>
        <w:t>Boostrix</w:t>
      </w:r>
      <w:proofErr w:type="spellEnd"/>
      <w:r w:rsidRPr="00C62164">
        <w:rPr>
          <w:szCs w:val="24"/>
        </w:rPr>
        <w:t xml:space="preserve"> Polio var i begge aldersgrupper lokale reaktioner på injektionsstedet (smerte, rødme og hævelse), hvilket blev rapporteret af </w:t>
      </w:r>
    </w:p>
    <w:p w:rsidR="00E92990" w:rsidRPr="00C62164" w:rsidRDefault="00E92990" w:rsidP="00E92990">
      <w:pPr>
        <w:pStyle w:val="Sidehoved"/>
        <w:tabs>
          <w:tab w:val="left" w:pos="851"/>
        </w:tabs>
        <w:ind w:left="851"/>
        <w:rPr>
          <w:szCs w:val="24"/>
        </w:rPr>
      </w:pPr>
      <w:r w:rsidRPr="00C62164">
        <w:rPr>
          <w:szCs w:val="24"/>
        </w:rPr>
        <w:t>31,3-82,3 % af alle vaccinerede personer. Bivirkningerne opstod som regel inden for 48</w:t>
      </w:r>
      <w:r>
        <w:rPr>
          <w:szCs w:val="24"/>
        </w:rPr>
        <w:t> </w:t>
      </w:r>
      <w:r w:rsidRPr="00C62164">
        <w:rPr>
          <w:szCs w:val="24"/>
        </w:rPr>
        <w:t>timer efter vaccination. Alle forsvandt uden m</w:t>
      </w:r>
      <w:r>
        <w:rPr>
          <w:szCs w:val="24"/>
        </w:rPr>
        <w:t>en</w:t>
      </w:r>
      <w:r w:rsidRPr="00C62164">
        <w:rPr>
          <w:szCs w:val="24"/>
        </w:rPr>
        <w:t>.</w:t>
      </w:r>
    </w:p>
    <w:p w:rsidR="00E92990" w:rsidRPr="00C62164" w:rsidRDefault="00E92990" w:rsidP="00E92990">
      <w:pPr>
        <w:pStyle w:val="Sidehoved"/>
        <w:tabs>
          <w:tab w:val="left" w:pos="851"/>
        </w:tabs>
        <w:ind w:left="851"/>
        <w:rPr>
          <w:szCs w:val="24"/>
        </w:rPr>
      </w:pPr>
    </w:p>
    <w:p w:rsidR="00E92990" w:rsidRDefault="00E92990" w:rsidP="00E92990">
      <w:pPr>
        <w:pStyle w:val="Sidehoved"/>
        <w:tabs>
          <w:tab w:val="left" w:pos="851"/>
        </w:tabs>
        <w:ind w:left="851"/>
        <w:rPr>
          <w:b/>
          <w:i/>
          <w:szCs w:val="24"/>
        </w:rPr>
      </w:pPr>
      <w:r>
        <w:rPr>
          <w:b/>
          <w:i/>
          <w:szCs w:val="24"/>
        </w:rPr>
        <w:t>Liste over bivirkninger i tabelform</w:t>
      </w:r>
    </w:p>
    <w:p w:rsidR="00E92990" w:rsidRPr="00C62164" w:rsidRDefault="00E92990" w:rsidP="00E92990">
      <w:pPr>
        <w:pStyle w:val="Sidehoved"/>
        <w:tabs>
          <w:tab w:val="left" w:pos="851"/>
        </w:tabs>
        <w:ind w:left="851"/>
        <w:rPr>
          <w:szCs w:val="24"/>
        </w:rPr>
      </w:pPr>
      <w:r w:rsidRPr="00C62164">
        <w:rPr>
          <w:szCs w:val="24"/>
        </w:rPr>
        <w:t>De rapporterede bivirkninger er listet efter følgende hyppigheder:</w:t>
      </w:r>
    </w:p>
    <w:p w:rsidR="00E92990" w:rsidRPr="00C62164" w:rsidRDefault="00E92990" w:rsidP="00E92990">
      <w:pPr>
        <w:pStyle w:val="Sidehoved"/>
        <w:tabs>
          <w:tab w:val="clear" w:pos="4819"/>
          <w:tab w:val="left" w:pos="851"/>
          <w:tab w:val="left" w:pos="2835"/>
        </w:tabs>
        <w:ind w:left="851"/>
        <w:rPr>
          <w:szCs w:val="24"/>
        </w:rPr>
      </w:pPr>
      <w:r w:rsidRPr="00C62164">
        <w:rPr>
          <w:szCs w:val="24"/>
        </w:rPr>
        <w:t>Meget almindelig:</w:t>
      </w:r>
      <w:r w:rsidRPr="00C62164">
        <w:rPr>
          <w:szCs w:val="24"/>
        </w:rPr>
        <w:tab/>
        <w:t>(</w:t>
      </w:r>
      <w:r w:rsidRPr="00C62164">
        <w:rPr>
          <w:szCs w:val="24"/>
        </w:rPr>
        <w:sym w:font="Symbol" w:char="F0B3"/>
      </w:r>
      <w:r w:rsidRPr="00C62164">
        <w:rPr>
          <w:szCs w:val="24"/>
        </w:rPr>
        <w:t> 1/10)</w:t>
      </w:r>
    </w:p>
    <w:p w:rsidR="00E92990" w:rsidRPr="00C62164" w:rsidRDefault="00E92990" w:rsidP="00E92990">
      <w:pPr>
        <w:pStyle w:val="Sidehoved"/>
        <w:tabs>
          <w:tab w:val="clear" w:pos="4819"/>
          <w:tab w:val="left" w:pos="851"/>
          <w:tab w:val="left" w:pos="2835"/>
        </w:tabs>
        <w:ind w:left="851"/>
        <w:rPr>
          <w:szCs w:val="24"/>
        </w:rPr>
      </w:pPr>
      <w:r w:rsidRPr="00C62164">
        <w:rPr>
          <w:szCs w:val="24"/>
        </w:rPr>
        <w:t>Almindelig:</w:t>
      </w:r>
      <w:r w:rsidRPr="00C62164">
        <w:rPr>
          <w:szCs w:val="24"/>
        </w:rPr>
        <w:tab/>
        <w:t>(</w:t>
      </w:r>
      <w:r w:rsidRPr="00C62164">
        <w:rPr>
          <w:szCs w:val="24"/>
        </w:rPr>
        <w:sym w:font="Symbol" w:char="F0B3"/>
      </w:r>
      <w:r w:rsidRPr="00C62164">
        <w:rPr>
          <w:szCs w:val="24"/>
        </w:rPr>
        <w:t> 1/100 til &lt; 1/10)</w:t>
      </w:r>
    </w:p>
    <w:p w:rsidR="00E92990" w:rsidRPr="00C62164" w:rsidRDefault="00E92990" w:rsidP="00E92990">
      <w:pPr>
        <w:pStyle w:val="Sidehoved"/>
        <w:tabs>
          <w:tab w:val="clear" w:pos="4819"/>
          <w:tab w:val="left" w:pos="851"/>
          <w:tab w:val="left" w:pos="2835"/>
        </w:tabs>
        <w:ind w:left="851"/>
        <w:rPr>
          <w:szCs w:val="24"/>
        </w:rPr>
      </w:pPr>
      <w:r w:rsidRPr="00C62164">
        <w:rPr>
          <w:szCs w:val="24"/>
        </w:rPr>
        <w:t>Ikke almindelig:</w:t>
      </w:r>
      <w:r w:rsidRPr="00C62164">
        <w:rPr>
          <w:szCs w:val="24"/>
        </w:rPr>
        <w:tab/>
        <w:t>(</w:t>
      </w:r>
      <w:r w:rsidRPr="00C62164">
        <w:rPr>
          <w:szCs w:val="24"/>
        </w:rPr>
        <w:sym w:font="Symbol" w:char="F0B3"/>
      </w:r>
      <w:r w:rsidRPr="00C62164">
        <w:rPr>
          <w:szCs w:val="24"/>
        </w:rPr>
        <w:t> 1/1.000 til &lt; 1/100)</w:t>
      </w:r>
    </w:p>
    <w:p w:rsidR="00E92990" w:rsidRPr="00C62164" w:rsidRDefault="00E92990" w:rsidP="00E92990">
      <w:pPr>
        <w:pStyle w:val="Sidehoved"/>
        <w:tabs>
          <w:tab w:val="clear" w:pos="4819"/>
          <w:tab w:val="left" w:pos="851"/>
          <w:tab w:val="left" w:pos="2835"/>
        </w:tabs>
        <w:ind w:left="851"/>
        <w:rPr>
          <w:szCs w:val="24"/>
        </w:rPr>
      </w:pPr>
      <w:r w:rsidRPr="00C62164">
        <w:rPr>
          <w:szCs w:val="24"/>
        </w:rPr>
        <w:t>Sjælden:</w:t>
      </w:r>
      <w:r w:rsidRPr="00C62164">
        <w:rPr>
          <w:szCs w:val="24"/>
        </w:rPr>
        <w:tab/>
        <w:t>(</w:t>
      </w:r>
      <w:r w:rsidRPr="00C62164">
        <w:rPr>
          <w:szCs w:val="24"/>
        </w:rPr>
        <w:sym w:font="Symbol" w:char="F0B3"/>
      </w:r>
      <w:r w:rsidRPr="00C62164">
        <w:rPr>
          <w:szCs w:val="24"/>
        </w:rPr>
        <w:t> 1/10.000 til &lt; 1/1.000)</w:t>
      </w:r>
    </w:p>
    <w:p w:rsidR="00E92990" w:rsidRPr="00C62164" w:rsidRDefault="00E92990" w:rsidP="00E92990">
      <w:pPr>
        <w:pStyle w:val="Sidehoved"/>
        <w:tabs>
          <w:tab w:val="clear" w:pos="4819"/>
          <w:tab w:val="left" w:pos="851"/>
          <w:tab w:val="left" w:pos="2835"/>
        </w:tabs>
        <w:ind w:left="851"/>
        <w:rPr>
          <w:szCs w:val="24"/>
        </w:rPr>
      </w:pPr>
      <w:r w:rsidRPr="00C62164">
        <w:rPr>
          <w:szCs w:val="24"/>
        </w:rPr>
        <w:t>Meget sjælden:</w:t>
      </w:r>
      <w:r w:rsidRPr="00C62164">
        <w:rPr>
          <w:szCs w:val="24"/>
        </w:rPr>
        <w:tab/>
        <w:t>(&lt; 1/10.000)</w:t>
      </w:r>
    </w:p>
    <w:p w:rsidR="003F43EE" w:rsidRPr="00C62164" w:rsidRDefault="003F43EE" w:rsidP="004732C5">
      <w:pPr>
        <w:pStyle w:val="Sidehoved"/>
        <w:tabs>
          <w:tab w:val="left" w:pos="851"/>
        </w:tabs>
        <w:rPr>
          <w:szCs w:val="24"/>
        </w:rPr>
      </w:pPr>
    </w:p>
    <w:p w:rsidR="00E92990" w:rsidRDefault="00E92990" w:rsidP="00E92990">
      <w:pPr>
        <w:pStyle w:val="Sidehoved"/>
        <w:numPr>
          <w:ilvl w:val="0"/>
          <w:numId w:val="7"/>
        </w:numPr>
        <w:tabs>
          <w:tab w:val="left" w:pos="851"/>
        </w:tabs>
        <w:ind w:left="1208" w:hanging="357"/>
        <w:rPr>
          <w:b/>
          <w:szCs w:val="24"/>
        </w:rPr>
      </w:pPr>
      <w:r>
        <w:rPr>
          <w:b/>
          <w:szCs w:val="24"/>
        </w:rPr>
        <w:t>Kliniske studier</w:t>
      </w:r>
    </w:p>
    <w:p w:rsidR="00E92990" w:rsidRDefault="00E92990" w:rsidP="00E92990">
      <w:pPr>
        <w:pStyle w:val="Sidehoved"/>
        <w:tabs>
          <w:tab w:val="left" w:pos="851"/>
        </w:tabs>
        <w:ind w:left="851"/>
        <w:rPr>
          <w:b/>
          <w:szCs w:val="24"/>
        </w:rPr>
      </w:pPr>
    </w:p>
    <w:p w:rsidR="00E92990" w:rsidRDefault="00E92990" w:rsidP="00E92990">
      <w:pPr>
        <w:keepNext/>
        <w:spacing w:after="120"/>
        <w:ind w:firstLine="851"/>
      </w:pPr>
      <w:r w:rsidRPr="002D11C8">
        <w:rPr>
          <w:b/>
        </w:rPr>
        <w:t>Tabel 1:</w:t>
      </w:r>
      <w:r w:rsidRPr="002D11C8">
        <w:t xml:space="preserve"> Bivirkninger rapporteret fra kliniske studier med </w:t>
      </w:r>
      <w:proofErr w:type="spellStart"/>
      <w:r w:rsidRPr="002D11C8">
        <w:t>Boostrix</w:t>
      </w:r>
      <w:proofErr w:type="spellEnd"/>
      <w:r w:rsidRPr="002D11C8">
        <w:t xml:space="preserve"> Polio</w:t>
      </w:r>
    </w:p>
    <w:tbl>
      <w:tblPr>
        <w:tblW w:w="91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2302"/>
        <w:gridCol w:w="2801"/>
      </w:tblGrid>
      <w:tr w:rsidR="00E92990" w:rsidTr="00263756">
        <w:trPr>
          <w:trHeight w:val="420"/>
        </w:trPr>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spacing w:after="120"/>
              <w:jc w:val="center"/>
              <w:rPr>
                <w:b/>
                <w:i/>
                <w:lang w:val="en-US"/>
              </w:rPr>
            </w:pPr>
            <w:proofErr w:type="spellStart"/>
            <w:r>
              <w:rPr>
                <w:b/>
                <w:i/>
                <w:lang w:val="en-US"/>
              </w:rPr>
              <w:t>Systemorganklasser</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spacing w:after="120"/>
              <w:jc w:val="center"/>
              <w:rPr>
                <w:b/>
                <w:i/>
                <w:color w:val="000000"/>
                <w:lang w:val="en-US"/>
              </w:rPr>
            </w:pPr>
            <w:proofErr w:type="spellStart"/>
            <w:r>
              <w:rPr>
                <w:b/>
                <w:i/>
                <w:color w:val="000000"/>
                <w:lang w:val="en-US"/>
              </w:rPr>
              <w:t>Hyppighed</w:t>
            </w:r>
            <w:proofErr w:type="spellEnd"/>
          </w:p>
        </w:tc>
        <w:tc>
          <w:tcPr>
            <w:tcW w:w="51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lang w:val="en-US"/>
              </w:rPr>
            </w:pPr>
            <w:proofErr w:type="spellStart"/>
            <w:r>
              <w:rPr>
                <w:b/>
                <w:i/>
                <w:color w:val="000000"/>
                <w:lang w:val="en-US"/>
              </w:rPr>
              <w:t>Bivirkninger</w:t>
            </w:r>
            <w:proofErr w:type="spellEnd"/>
          </w:p>
        </w:tc>
      </w:tr>
      <w:tr w:rsidR="00E92990" w:rsidTr="00263756">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color w:val="000000"/>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lang w:val="en-US"/>
              </w:rPr>
            </w:pPr>
            <w:proofErr w:type="spellStart"/>
            <w:r>
              <w:rPr>
                <w:b/>
                <w:i/>
                <w:color w:val="000000"/>
                <w:lang w:val="en-US"/>
              </w:rPr>
              <w:t>Børn</w:t>
            </w:r>
            <w:proofErr w:type="spellEnd"/>
            <w:r>
              <w:rPr>
                <w:b/>
                <w:i/>
                <w:color w:val="000000"/>
                <w:lang w:val="en-US"/>
              </w:rPr>
              <w:t xml:space="preserve"> </w:t>
            </w:r>
            <w:proofErr w:type="spellStart"/>
            <w:r>
              <w:rPr>
                <w:b/>
                <w:i/>
                <w:color w:val="000000"/>
                <w:lang w:val="en-US"/>
              </w:rPr>
              <w:t>fra</w:t>
            </w:r>
            <w:proofErr w:type="spellEnd"/>
            <w:r>
              <w:rPr>
                <w:b/>
                <w:i/>
                <w:color w:val="000000"/>
                <w:lang w:val="en-US"/>
              </w:rPr>
              <w:t xml:space="preserve"> 4 - 8 </w:t>
            </w:r>
            <w:proofErr w:type="spellStart"/>
            <w:r>
              <w:rPr>
                <w:b/>
                <w:i/>
                <w:color w:val="000000"/>
                <w:lang w:val="en-US"/>
              </w:rPr>
              <w:t>år</w:t>
            </w:r>
            <w:proofErr w:type="spellEnd"/>
            <w:r>
              <w:rPr>
                <w:b/>
                <w:i/>
                <w:color w:val="000000"/>
                <w:lang w:val="en-US"/>
              </w:rPr>
              <w:t xml:space="preserve"> </w:t>
            </w:r>
          </w:p>
          <w:p w:rsidR="00E92990" w:rsidRDefault="00E92990" w:rsidP="00263756">
            <w:pPr>
              <w:keepNext/>
              <w:jc w:val="center"/>
              <w:rPr>
                <w:b/>
                <w:i/>
                <w:color w:val="000000"/>
                <w:lang w:val="en-US"/>
              </w:rPr>
            </w:pPr>
            <w:r>
              <w:rPr>
                <w:b/>
                <w:i/>
                <w:color w:val="000000"/>
                <w:lang w:val="en-US"/>
              </w:rPr>
              <w:t>(N=908)</w:t>
            </w:r>
          </w:p>
        </w:tc>
        <w:tc>
          <w:tcPr>
            <w:tcW w:w="28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rPr>
            </w:pPr>
            <w:r>
              <w:rPr>
                <w:b/>
                <w:i/>
                <w:color w:val="000000"/>
              </w:rPr>
              <w:t xml:space="preserve">Personer i alderen </w:t>
            </w:r>
          </w:p>
          <w:p w:rsidR="00E92990" w:rsidRDefault="00E92990" w:rsidP="00263756">
            <w:pPr>
              <w:keepNext/>
              <w:jc w:val="center"/>
              <w:rPr>
                <w:b/>
                <w:i/>
                <w:color w:val="000000"/>
              </w:rPr>
            </w:pPr>
            <w:r>
              <w:rPr>
                <w:b/>
                <w:i/>
                <w:color w:val="000000"/>
              </w:rPr>
              <w:t>10 – 93 år</w:t>
            </w:r>
          </w:p>
          <w:p w:rsidR="00E92990" w:rsidRDefault="00E92990" w:rsidP="00263756">
            <w:pPr>
              <w:keepNext/>
              <w:jc w:val="center"/>
              <w:rPr>
                <w:b/>
                <w:i/>
                <w:color w:val="000000"/>
              </w:rPr>
            </w:pPr>
            <w:r>
              <w:rPr>
                <w:b/>
                <w:i/>
                <w:color w:val="000000"/>
              </w:rPr>
              <w:t>(N=955)</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b/>
                <w:i/>
                <w:lang w:val="en-US"/>
              </w:rPr>
            </w:pPr>
            <w:proofErr w:type="spellStart"/>
            <w:r>
              <w:rPr>
                <w:b/>
                <w:i/>
                <w:lang w:val="en-US"/>
              </w:rPr>
              <w:t>Infektioner</w:t>
            </w:r>
            <w:proofErr w:type="spellEnd"/>
            <w:r>
              <w:rPr>
                <w:b/>
                <w:i/>
                <w:lang w:val="en-US"/>
              </w:rPr>
              <w:t xml:space="preserve"> </w:t>
            </w:r>
            <w:proofErr w:type="spellStart"/>
            <w:r>
              <w:rPr>
                <w:b/>
                <w:i/>
                <w:lang w:val="en-US"/>
              </w:rPr>
              <w:t>og</w:t>
            </w:r>
            <w:proofErr w:type="spellEnd"/>
            <w:r>
              <w:rPr>
                <w:b/>
                <w:i/>
                <w:lang w:val="en-US"/>
              </w:rPr>
              <w:t xml:space="preserve"> </w:t>
            </w:r>
            <w:proofErr w:type="spellStart"/>
            <w:r>
              <w:rPr>
                <w:b/>
                <w:i/>
                <w:lang w:val="en-US"/>
              </w:rPr>
              <w:t>parasitære</w:t>
            </w:r>
            <w:proofErr w:type="spellEnd"/>
            <w:r>
              <w:rPr>
                <w:b/>
                <w:i/>
                <w:lang w:val="en-US"/>
              </w:rPr>
              <w:t xml:space="preserve"> </w:t>
            </w:r>
            <w:proofErr w:type="spellStart"/>
            <w:r>
              <w:rPr>
                <w:b/>
                <w:i/>
                <w:lang w:val="en-US"/>
              </w:rPr>
              <w:t>sygdomme</w:t>
            </w:r>
            <w:proofErr w:type="spellEnd"/>
            <w:r>
              <w:rPr>
                <w:b/>
                <w:i/>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pPr>
              <w:keepNext/>
            </w:pP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rPr>
                <w:szCs w:val="24"/>
              </w:rPr>
              <w:t>oral herpes</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b/>
                <w:i/>
                <w:lang w:val="en-US"/>
              </w:rPr>
            </w:pPr>
            <w:proofErr w:type="spellStart"/>
            <w:r>
              <w:rPr>
                <w:b/>
                <w:i/>
                <w:lang w:val="en-US"/>
              </w:rPr>
              <w:t>Blod</w:t>
            </w:r>
            <w:proofErr w:type="spellEnd"/>
            <w:r>
              <w:rPr>
                <w:b/>
                <w:i/>
                <w:lang w:val="en-US"/>
              </w:rPr>
              <w:t xml:space="preserve"> </w:t>
            </w:r>
            <w:proofErr w:type="spellStart"/>
            <w:r>
              <w:rPr>
                <w:b/>
                <w:i/>
                <w:lang w:val="en-US"/>
              </w:rPr>
              <w:t>og</w:t>
            </w:r>
            <w:proofErr w:type="spellEnd"/>
            <w:r>
              <w:rPr>
                <w:b/>
                <w:i/>
                <w:lang w:val="en-US"/>
              </w:rPr>
              <w:t xml:space="preserve"> </w:t>
            </w:r>
            <w:proofErr w:type="spellStart"/>
            <w:r>
              <w:rPr>
                <w:b/>
                <w:i/>
                <w:lang w:val="en-US"/>
              </w:rPr>
              <w:t>lymfesystem</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proofErr w:type="spellStart"/>
            <w:r>
              <w:rPr>
                <w:szCs w:val="24"/>
              </w:rPr>
              <w:t>lymfadenopati</w:t>
            </w:r>
            <w:proofErr w:type="spellEnd"/>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proofErr w:type="spellStart"/>
            <w:r>
              <w:t>lymfadenopati</w:t>
            </w:r>
            <w:proofErr w:type="spellEnd"/>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hideMark/>
          </w:tcPr>
          <w:p w:rsidR="00E92990" w:rsidRDefault="00E92990" w:rsidP="00263756">
            <w:pPr>
              <w:rPr>
                <w:b/>
                <w:i/>
                <w:lang w:val="en-US"/>
              </w:rPr>
            </w:pPr>
            <w:r>
              <w:rPr>
                <w:b/>
                <w:i/>
              </w:rPr>
              <w:t>Metabolisme og ernæring</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r>
              <w:t>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t>appetitmangel</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nedsat appetit</w:t>
            </w:r>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tcPr>
          <w:p w:rsidR="00E92990" w:rsidRDefault="00E92990" w:rsidP="00263756">
            <w:pPr>
              <w:rPr>
                <w:b/>
                <w:i/>
              </w:rPr>
            </w:pPr>
            <w:r>
              <w:rPr>
                <w:b/>
                <w:i/>
              </w:rPr>
              <w:t>Psykiske forstyrrelser</w:t>
            </w:r>
          </w:p>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u w:val="single"/>
              </w:rPr>
            </w:pPr>
            <w:r>
              <w:t>irritabilitet</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Pr>
              <w:rPr>
                <w:color w:val="000000"/>
                <w:lang w:val="en-US"/>
              </w:rPr>
            </w:pPr>
          </w:p>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søvnforstyrrelser, apati</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Pr>
              <w:rPr>
                <w:color w:val="000000"/>
                <w:lang w:val="en-US"/>
              </w:rPr>
            </w:pPr>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tcPr>
          <w:p w:rsidR="00E92990" w:rsidRDefault="00E92990" w:rsidP="00263756">
            <w:pPr>
              <w:rPr>
                <w:b/>
                <w:i/>
              </w:rPr>
            </w:pPr>
            <w:r>
              <w:rPr>
                <w:b/>
                <w:i/>
              </w:rPr>
              <w:t>Nervesystemet</w:t>
            </w:r>
          </w:p>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ind w:right="-108"/>
            </w:pPr>
            <w:r>
              <w:t>Meget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roofErr w:type="spellStart"/>
            <w:r>
              <w:t>somnolens</w:t>
            </w:r>
            <w:proofErr w:type="spellEnd"/>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r>
              <w:t>hovedpine</w:t>
            </w:r>
          </w:p>
          <w:p w:rsidR="00E92990" w:rsidRDefault="00E92990" w:rsidP="00263756"/>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t>hovedpine</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 w:rsidR="00E92990" w:rsidRDefault="00E92990" w:rsidP="00263756"/>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u w:val="single"/>
              </w:rPr>
            </w:pPr>
            <w:proofErr w:type="spellStart"/>
            <w:r>
              <w:rPr>
                <w:szCs w:val="24"/>
              </w:rPr>
              <w:t>paræstesi</w:t>
            </w:r>
            <w:proofErr w:type="spellEnd"/>
            <w:r>
              <w:rPr>
                <w:szCs w:val="24"/>
              </w:rPr>
              <w:t xml:space="preserve">, </w:t>
            </w:r>
            <w:proofErr w:type="spellStart"/>
            <w:r>
              <w:rPr>
                <w:szCs w:val="24"/>
              </w:rPr>
              <w:t>somnolens</w:t>
            </w:r>
            <w:proofErr w:type="spellEnd"/>
            <w:r>
              <w:rPr>
                <w:szCs w:val="24"/>
              </w:rPr>
              <w:t>, svimmelhed</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lang w:val="en-US"/>
              </w:rPr>
            </w:pPr>
            <w:proofErr w:type="spellStart"/>
            <w:r>
              <w:rPr>
                <w:b/>
                <w:i/>
                <w:lang w:val="en-US"/>
              </w:rPr>
              <w:t>Luftveje</w:t>
            </w:r>
            <w:proofErr w:type="spellEnd"/>
            <w:r>
              <w:rPr>
                <w:b/>
                <w:i/>
                <w:lang w:val="en-US"/>
              </w:rPr>
              <w:t xml:space="preserve">, thorax </w:t>
            </w:r>
            <w:proofErr w:type="spellStart"/>
            <w:r>
              <w:rPr>
                <w:b/>
                <w:i/>
                <w:lang w:val="en-US"/>
              </w:rPr>
              <w:t>og</w:t>
            </w:r>
            <w:proofErr w:type="spellEnd"/>
            <w:r>
              <w:rPr>
                <w:b/>
                <w:i/>
                <w:lang w:val="en-US"/>
              </w:rPr>
              <w:t xml:space="preserve"> mediastinum</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tørhed i svælget</w:t>
            </w: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astma</w:t>
            </w:r>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tcPr>
          <w:p w:rsidR="00E92990" w:rsidRDefault="00E92990" w:rsidP="00263756">
            <w:pPr>
              <w:rPr>
                <w:b/>
                <w:i/>
              </w:rPr>
            </w:pPr>
            <w:r>
              <w:rPr>
                <w:b/>
                <w:i/>
              </w:rPr>
              <w:t>Mave-tarm-kanalen</w:t>
            </w:r>
          </w:p>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i/>
              </w:rPr>
            </w:pPr>
            <w:proofErr w:type="spellStart"/>
            <w:r>
              <w:rPr>
                <w:szCs w:val="24"/>
              </w:rPr>
              <w:t>gastrointestinale</w:t>
            </w:r>
            <w:proofErr w:type="spellEnd"/>
            <w:r>
              <w:rPr>
                <w:szCs w:val="24"/>
              </w:rPr>
              <w:t xml:space="preserve"> gener (f.eks. opkastning, </w:t>
            </w:r>
            <w:proofErr w:type="spellStart"/>
            <w:r>
              <w:rPr>
                <w:szCs w:val="24"/>
              </w:rPr>
              <w:t>abdominalsmerter</w:t>
            </w:r>
            <w:proofErr w:type="spellEnd"/>
            <w:r>
              <w:rPr>
                <w:szCs w:val="24"/>
              </w:rPr>
              <w:t>, kvalme)</w:t>
            </w:r>
          </w:p>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diarré,</w:t>
            </w:r>
            <w:r>
              <w:rPr>
                <w:i/>
                <w:szCs w:val="24"/>
              </w:rPr>
              <w:t xml:space="preserve"> </w:t>
            </w:r>
            <w:r>
              <w:rPr>
                <w:szCs w:val="24"/>
              </w:rPr>
              <w:t xml:space="preserve">opkastning, </w:t>
            </w:r>
            <w:proofErr w:type="spellStart"/>
            <w:r>
              <w:rPr>
                <w:szCs w:val="24"/>
              </w:rPr>
              <w:t>abdominalsmerter</w:t>
            </w:r>
            <w:proofErr w:type="spellEnd"/>
            <w:r>
              <w:rPr>
                <w:szCs w:val="24"/>
              </w:rPr>
              <w:t>, kvalme</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Pr>
              <w:rPr>
                <w:u w:val="single"/>
              </w:rPr>
            </w:pP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lang w:val="en-US"/>
              </w:rPr>
            </w:pPr>
            <w:r>
              <w:rPr>
                <w:b/>
                <w:i/>
                <w:lang w:val="en-US"/>
              </w:rPr>
              <w:t xml:space="preserve">Hud </w:t>
            </w:r>
            <w:proofErr w:type="spellStart"/>
            <w:r>
              <w:rPr>
                <w:b/>
                <w:i/>
                <w:lang w:val="en-US"/>
              </w:rPr>
              <w:t>og</w:t>
            </w:r>
            <w:proofErr w:type="spellEnd"/>
            <w:r>
              <w:rPr>
                <w:b/>
                <w:i/>
                <w:lang w:val="en-US"/>
              </w:rPr>
              <w:t xml:space="preserve"> </w:t>
            </w:r>
            <w:proofErr w:type="spellStart"/>
            <w:r>
              <w:rPr>
                <w:b/>
                <w:i/>
                <w:lang w:val="en-US"/>
              </w:rPr>
              <w:t>subkutane</w:t>
            </w:r>
            <w:proofErr w:type="spellEnd"/>
            <w:r>
              <w:rPr>
                <w:b/>
                <w:i/>
                <w:lang w:val="en-US"/>
              </w:rPr>
              <w:t xml:space="preserve"> </w:t>
            </w:r>
            <w:proofErr w:type="spellStart"/>
            <w:r>
              <w:rPr>
                <w:b/>
                <w:i/>
                <w:lang w:val="en-US"/>
              </w:rPr>
              <w:t>væv</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u w:val="single"/>
              </w:rPr>
            </w:pPr>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highlight w:val="cyan"/>
                <w:u w:val="single"/>
              </w:rPr>
            </w:pPr>
            <w:proofErr w:type="spellStart"/>
            <w:r>
              <w:rPr>
                <w:szCs w:val="24"/>
              </w:rPr>
              <w:t>pruritus</w:t>
            </w:r>
            <w:proofErr w:type="spellEnd"/>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rPr>
            </w:pPr>
            <w:r>
              <w:rPr>
                <w:b/>
                <w:i/>
              </w:rPr>
              <w:lastRenderedPageBreak/>
              <w:t>Knogler, led, muskler og bindevæv</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highlight w:val="cyan"/>
              </w:rPr>
            </w:pPr>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pPr>
              <w:rPr>
                <w:highlight w:val="cyan"/>
              </w:rPr>
            </w:pP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highlight w:val="cyan"/>
                <w:u w:val="single"/>
              </w:rPr>
            </w:pPr>
            <w:proofErr w:type="spellStart"/>
            <w:r>
              <w:t>artralgi</w:t>
            </w:r>
            <w:proofErr w:type="spellEnd"/>
            <w:r>
              <w:t>, myalgi</w:t>
            </w:r>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hideMark/>
          </w:tcPr>
          <w:p w:rsidR="00E92990" w:rsidRDefault="00E92990" w:rsidP="00263756">
            <w:pPr>
              <w:rPr>
                <w:b/>
                <w:i/>
              </w:rPr>
            </w:pPr>
            <w:r>
              <w:rPr>
                <w:b/>
                <w:i/>
              </w:rPr>
              <w:t>Almene symptomer og reaktioner på administrationsstedet</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Meget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t>reaktioner ved administrationsstedet (f.eks. rødme og/eller hævelse), smerte ved administrationsstedet</w:t>
            </w: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reaktioner ved administrationsstedet (f.eks. rødme og/eller hævelse), træthed, smerter ved administrationsstedet</w:t>
            </w:r>
          </w:p>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roofErr w:type="spellStart"/>
            <w:r>
              <w:rPr>
                <w:szCs w:val="24"/>
              </w:rPr>
              <w:t>pyreksi</w:t>
            </w:r>
            <w:proofErr w:type="spellEnd"/>
            <w:r>
              <w:rPr>
                <w:szCs w:val="24"/>
              </w:rPr>
              <w:t xml:space="preserve"> (feber ≥ 37,5 °C inklusive feber &gt; 39,0 °C), omfattende hævelse af injiceret ekstremitet (i nogle tilfælde også i tilstødende led), reaktioner ved administrationsstedet (f.eks. blødning, </w:t>
            </w:r>
            <w:proofErr w:type="spellStart"/>
            <w:r>
              <w:rPr>
                <w:szCs w:val="24"/>
              </w:rPr>
              <w:t>pruritus</w:t>
            </w:r>
            <w:proofErr w:type="spellEnd"/>
            <w:r>
              <w:rPr>
                <w:szCs w:val="24"/>
              </w:rPr>
              <w:t xml:space="preserve"> og </w:t>
            </w:r>
            <w:proofErr w:type="spellStart"/>
            <w:r>
              <w:rPr>
                <w:szCs w:val="24"/>
              </w:rPr>
              <w:t>induration</w:t>
            </w:r>
            <w:proofErr w:type="spellEnd"/>
            <w:r>
              <w:rPr>
                <w:szCs w:val="24"/>
              </w:rPr>
              <w:t>)</w:t>
            </w: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Pr>
              <w:pStyle w:val="Sidehoved"/>
              <w:tabs>
                <w:tab w:val="left" w:pos="0"/>
              </w:tabs>
              <w:rPr>
                <w:szCs w:val="24"/>
              </w:rPr>
            </w:pPr>
            <w:proofErr w:type="spellStart"/>
            <w:r>
              <w:rPr>
                <w:szCs w:val="24"/>
              </w:rPr>
              <w:t>pyreksi</w:t>
            </w:r>
            <w:proofErr w:type="spellEnd"/>
            <w:r>
              <w:rPr>
                <w:szCs w:val="24"/>
              </w:rPr>
              <w:t xml:space="preserve"> (feber </w:t>
            </w:r>
            <w:r>
              <w:rPr>
                <w:szCs w:val="24"/>
              </w:rPr>
              <w:sym w:font="Symbol" w:char="F0B3"/>
            </w:r>
            <w:r>
              <w:rPr>
                <w:szCs w:val="24"/>
              </w:rPr>
              <w:t xml:space="preserve"> 37,5 ºC), reaktioner ved administrationsstedet (f.eks. </w:t>
            </w:r>
            <w:proofErr w:type="spellStart"/>
            <w:r>
              <w:rPr>
                <w:szCs w:val="24"/>
              </w:rPr>
              <w:t>hæmatom</w:t>
            </w:r>
            <w:proofErr w:type="spellEnd"/>
            <w:r>
              <w:rPr>
                <w:szCs w:val="24"/>
              </w:rPr>
              <w:t xml:space="preserve">, </w:t>
            </w:r>
            <w:proofErr w:type="spellStart"/>
            <w:r>
              <w:rPr>
                <w:szCs w:val="24"/>
              </w:rPr>
              <w:t>pruritus</w:t>
            </w:r>
            <w:proofErr w:type="spellEnd"/>
            <w:r>
              <w:rPr>
                <w:szCs w:val="24"/>
              </w:rPr>
              <w:t xml:space="preserve">, </w:t>
            </w:r>
            <w:proofErr w:type="spellStart"/>
            <w:r>
              <w:rPr>
                <w:szCs w:val="24"/>
              </w:rPr>
              <w:t>induration</w:t>
            </w:r>
            <w:proofErr w:type="spellEnd"/>
            <w:r>
              <w:rPr>
                <w:szCs w:val="24"/>
              </w:rPr>
              <w:t>, varme og følelsesløshed)</w:t>
            </w:r>
          </w:p>
          <w:p w:rsidR="00E92990" w:rsidRDefault="00E92990" w:rsidP="00263756"/>
        </w:tc>
      </w:tr>
      <w:tr w:rsidR="00E92990" w:rsidTr="00263756">
        <w:trPr>
          <w:trHeight w:val="7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træthed</w:t>
            </w: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r>
              <w:rPr>
                <w:szCs w:val="24"/>
              </w:rPr>
              <w:t>omfattende hævelse af injiceret ekstremitet (i nogle tilfælde også i tilstødende led),</w:t>
            </w:r>
            <w:r>
              <w:rPr>
                <w:i/>
                <w:szCs w:val="24"/>
              </w:rPr>
              <w:t xml:space="preserve"> </w:t>
            </w:r>
            <w:proofErr w:type="spellStart"/>
            <w:r>
              <w:rPr>
                <w:szCs w:val="24"/>
              </w:rPr>
              <w:t>pyreksi</w:t>
            </w:r>
            <w:proofErr w:type="spellEnd"/>
            <w:r>
              <w:rPr>
                <w:szCs w:val="24"/>
              </w:rPr>
              <w:t xml:space="preserve"> (feber &gt; 39,0 ºC), kulderystelser, smerte</w:t>
            </w:r>
          </w:p>
        </w:tc>
      </w:tr>
    </w:tbl>
    <w:p w:rsidR="00E92990" w:rsidRDefault="00E92990" w:rsidP="00E92990">
      <w:pPr>
        <w:pStyle w:val="Sidehoved"/>
        <w:tabs>
          <w:tab w:val="left" w:pos="851"/>
        </w:tabs>
        <w:ind w:left="851"/>
        <w:rPr>
          <w:b/>
          <w:szCs w:val="24"/>
        </w:rPr>
      </w:pPr>
    </w:p>
    <w:p w:rsidR="00E92990" w:rsidRPr="00824A40" w:rsidRDefault="00E92990" w:rsidP="00E92990">
      <w:pPr>
        <w:keepNext/>
        <w:ind w:left="851"/>
        <w:rPr>
          <w:i/>
          <w:szCs w:val="24"/>
          <w:u w:val="single"/>
        </w:rPr>
      </w:pPr>
      <w:r w:rsidRPr="00824A40">
        <w:rPr>
          <w:i/>
          <w:sz w:val="24"/>
          <w:szCs w:val="24"/>
          <w:u w:val="single"/>
          <w:lang w:eastAsia="da-DK"/>
        </w:rPr>
        <w:t>Samtidig administration med MFR/V-vacciner til børn i alderen 3-6 år</w:t>
      </w:r>
    </w:p>
    <w:p w:rsidR="00E92990" w:rsidRDefault="00E92990" w:rsidP="00E92990">
      <w:pPr>
        <w:pStyle w:val="Sidehoved"/>
        <w:tabs>
          <w:tab w:val="left" w:pos="851"/>
        </w:tabs>
        <w:ind w:left="851"/>
        <w:rPr>
          <w:b/>
          <w:szCs w:val="24"/>
        </w:rPr>
      </w:pPr>
      <w:r w:rsidRPr="00824A40">
        <w:rPr>
          <w:szCs w:val="24"/>
        </w:rPr>
        <w:br/>
      </w:r>
      <w:proofErr w:type="spellStart"/>
      <w:r w:rsidRPr="00824A40">
        <w:rPr>
          <w:szCs w:val="24"/>
        </w:rPr>
        <w:t>Boostrix</w:t>
      </w:r>
      <w:proofErr w:type="spellEnd"/>
      <w:r w:rsidRPr="00824A40">
        <w:rPr>
          <w:szCs w:val="24"/>
        </w:rPr>
        <w:t xml:space="preserve"> Polio blev administreret samtidig med MFR/V-vacciner i 2 kliniske studier med 406 børn i alderen 3-6 år. I disse studier blev infektion i de øvre luftveje og udslæt rapporteret almindeligt. Feber, irritabilitet, træthed, appetitløshed og </w:t>
      </w:r>
      <w:proofErr w:type="spellStart"/>
      <w:r w:rsidRPr="00824A40">
        <w:rPr>
          <w:szCs w:val="24"/>
        </w:rPr>
        <w:t>gastrointestinale</w:t>
      </w:r>
      <w:proofErr w:type="spellEnd"/>
      <w:r w:rsidRPr="00824A40">
        <w:rPr>
          <w:szCs w:val="24"/>
        </w:rPr>
        <w:t xml:space="preserve"> lidelser (herunder diarré og opkastning) blev rapporteret med en højere frekvens (meget almindelig) ved sammenligning med tabel 1, mens alle andre bivirkninger forekom ved samme eller en lavere frekvens.</w:t>
      </w:r>
    </w:p>
    <w:p w:rsidR="00E92990" w:rsidRDefault="00E92990" w:rsidP="00E92990">
      <w:pPr>
        <w:pStyle w:val="Sidehoved"/>
        <w:tabs>
          <w:tab w:val="left" w:pos="851"/>
        </w:tabs>
        <w:ind w:left="851"/>
        <w:rPr>
          <w:b/>
          <w:szCs w:val="24"/>
        </w:rPr>
      </w:pPr>
    </w:p>
    <w:p w:rsidR="00E92990" w:rsidRDefault="00E92990" w:rsidP="00E92990">
      <w:pPr>
        <w:pStyle w:val="Sidehoved"/>
        <w:tabs>
          <w:tab w:val="left" w:pos="851"/>
        </w:tabs>
        <w:ind w:left="851"/>
        <w:rPr>
          <w:szCs w:val="24"/>
        </w:rPr>
      </w:pPr>
      <w:r w:rsidRPr="00312846">
        <w:rPr>
          <w:szCs w:val="24"/>
        </w:rPr>
        <w:t xml:space="preserve">Bivirkninger der er rapporteret fra kliniske studier med </w:t>
      </w:r>
      <w:proofErr w:type="spellStart"/>
      <w:r w:rsidRPr="00312846">
        <w:rPr>
          <w:szCs w:val="24"/>
        </w:rPr>
        <w:t>Boostrix</w:t>
      </w:r>
      <w:proofErr w:type="spellEnd"/>
      <w:r w:rsidRPr="00312846">
        <w:rPr>
          <w:szCs w:val="24"/>
        </w:rPr>
        <w:t xml:space="preserve"> (</w:t>
      </w:r>
      <w:proofErr w:type="spellStart"/>
      <w:r w:rsidRPr="00312846">
        <w:rPr>
          <w:szCs w:val="24"/>
        </w:rPr>
        <w:t>dTpa</w:t>
      </w:r>
      <w:proofErr w:type="spellEnd"/>
      <w:r w:rsidRPr="00312846">
        <w:rPr>
          <w:szCs w:val="24"/>
        </w:rPr>
        <w:t xml:space="preserve"> komponenten af </w:t>
      </w:r>
      <w:proofErr w:type="spellStart"/>
      <w:r w:rsidRPr="00312846">
        <w:rPr>
          <w:szCs w:val="24"/>
        </w:rPr>
        <w:t>Boostrix</w:t>
      </w:r>
      <w:proofErr w:type="spellEnd"/>
      <w:r w:rsidRPr="00312846">
        <w:rPr>
          <w:szCs w:val="24"/>
        </w:rPr>
        <w:t xml:space="preserve"> Polio), som </w:t>
      </w:r>
      <w:r>
        <w:rPr>
          <w:szCs w:val="24"/>
        </w:rPr>
        <w:t>blev administreret til 839 børn (fra 4-8 år) og 1.931 voksne, unge og børn (fra 10-76 år), er vist i tabel 2.</w:t>
      </w:r>
    </w:p>
    <w:p w:rsidR="00E92990" w:rsidRDefault="00E92990" w:rsidP="00E92990">
      <w:pPr>
        <w:pStyle w:val="Sidehoved"/>
        <w:tabs>
          <w:tab w:val="left" w:pos="851"/>
        </w:tabs>
        <w:ind w:left="851"/>
        <w:rPr>
          <w:szCs w:val="24"/>
        </w:rPr>
      </w:pPr>
    </w:p>
    <w:p w:rsidR="00E92990" w:rsidRDefault="00E92990" w:rsidP="00E92990">
      <w:pPr>
        <w:keepNext/>
        <w:spacing w:after="120"/>
        <w:ind w:firstLine="851"/>
      </w:pPr>
      <w:r w:rsidRPr="002D11C8">
        <w:rPr>
          <w:b/>
        </w:rPr>
        <w:t>Tabel 2:</w:t>
      </w:r>
      <w:r w:rsidRPr="002D11C8">
        <w:t xml:space="preserve"> Bivirkninger rapporteret fra kliniske studier med </w:t>
      </w:r>
      <w:proofErr w:type="spellStart"/>
      <w:r w:rsidRPr="002D11C8">
        <w:t>Boostrix</w:t>
      </w:r>
      <w:proofErr w:type="spellEnd"/>
    </w:p>
    <w:tbl>
      <w:tblPr>
        <w:tblW w:w="91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2302"/>
        <w:gridCol w:w="2801"/>
      </w:tblGrid>
      <w:tr w:rsidR="00E92990" w:rsidTr="00263756">
        <w:trPr>
          <w:trHeight w:val="420"/>
        </w:trPr>
        <w:tc>
          <w:tcPr>
            <w:tcW w:w="2518"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spacing w:after="120"/>
              <w:jc w:val="center"/>
              <w:rPr>
                <w:b/>
                <w:i/>
                <w:lang w:val="en-US"/>
              </w:rPr>
            </w:pPr>
            <w:proofErr w:type="spellStart"/>
            <w:r>
              <w:rPr>
                <w:b/>
                <w:i/>
                <w:lang w:val="en-US"/>
              </w:rPr>
              <w:t>Systemorganklasser</w:t>
            </w:r>
            <w:proofErr w:type="spell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spacing w:after="120"/>
              <w:jc w:val="center"/>
              <w:rPr>
                <w:b/>
                <w:i/>
                <w:color w:val="000000"/>
                <w:lang w:val="en-US"/>
              </w:rPr>
            </w:pPr>
            <w:proofErr w:type="spellStart"/>
            <w:r>
              <w:rPr>
                <w:b/>
                <w:i/>
                <w:color w:val="000000"/>
                <w:lang w:val="en-US"/>
              </w:rPr>
              <w:t>Hyppighed</w:t>
            </w:r>
            <w:proofErr w:type="spellEnd"/>
          </w:p>
        </w:tc>
        <w:tc>
          <w:tcPr>
            <w:tcW w:w="510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lang w:val="en-US"/>
              </w:rPr>
            </w:pPr>
            <w:proofErr w:type="spellStart"/>
            <w:r>
              <w:rPr>
                <w:b/>
                <w:i/>
                <w:color w:val="000000"/>
                <w:lang w:val="en-US"/>
              </w:rPr>
              <w:t>Bivirkninger</w:t>
            </w:r>
            <w:proofErr w:type="spellEnd"/>
          </w:p>
        </w:tc>
      </w:tr>
      <w:tr w:rsidR="00E92990" w:rsidTr="00263756">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color w:val="000000"/>
                <w:lang w:val="en-US"/>
              </w:rPr>
            </w:pPr>
          </w:p>
        </w:tc>
        <w:tc>
          <w:tcPr>
            <w:tcW w:w="230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lang w:val="en-US"/>
              </w:rPr>
            </w:pPr>
            <w:proofErr w:type="spellStart"/>
            <w:r>
              <w:rPr>
                <w:b/>
                <w:i/>
                <w:color w:val="000000"/>
                <w:lang w:val="en-US"/>
              </w:rPr>
              <w:t>Børn</w:t>
            </w:r>
            <w:proofErr w:type="spellEnd"/>
            <w:r>
              <w:rPr>
                <w:b/>
                <w:i/>
                <w:color w:val="000000"/>
                <w:lang w:val="en-US"/>
              </w:rPr>
              <w:t xml:space="preserve"> </w:t>
            </w:r>
            <w:proofErr w:type="spellStart"/>
            <w:r>
              <w:rPr>
                <w:b/>
                <w:i/>
                <w:color w:val="000000"/>
                <w:lang w:val="en-US"/>
              </w:rPr>
              <w:t>fra</w:t>
            </w:r>
            <w:proofErr w:type="spellEnd"/>
            <w:r>
              <w:rPr>
                <w:b/>
                <w:i/>
                <w:color w:val="000000"/>
                <w:lang w:val="en-US"/>
              </w:rPr>
              <w:t xml:space="preserve"> 4 - 8 </w:t>
            </w:r>
            <w:proofErr w:type="spellStart"/>
            <w:r>
              <w:rPr>
                <w:b/>
                <w:i/>
                <w:color w:val="000000"/>
                <w:lang w:val="en-US"/>
              </w:rPr>
              <w:t>år</w:t>
            </w:r>
            <w:proofErr w:type="spellEnd"/>
            <w:r>
              <w:rPr>
                <w:b/>
                <w:i/>
                <w:color w:val="000000"/>
                <w:lang w:val="en-US"/>
              </w:rPr>
              <w:t xml:space="preserve"> </w:t>
            </w:r>
          </w:p>
          <w:p w:rsidR="00E92990" w:rsidRDefault="00E92990" w:rsidP="00263756">
            <w:pPr>
              <w:keepNext/>
              <w:jc w:val="center"/>
              <w:rPr>
                <w:b/>
                <w:i/>
                <w:color w:val="000000"/>
                <w:lang w:val="en-US"/>
              </w:rPr>
            </w:pPr>
            <w:r>
              <w:rPr>
                <w:b/>
                <w:i/>
                <w:color w:val="000000"/>
                <w:lang w:val="en-US"/>
              </w:rPr>
              <w:t>(N=839)</w:t>
            </w:r>
          </w:p>
        </w:tc>
        <w:tc>
          <w:tcPr>
            <w:tcW w:w="28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
                <w:color w:val="000000"/>
              </w:rPr>
            </w:pPr>
            <w:r>
              <w:rPr>
                <w:b/>
                <w:i/>
                <w:color w:val="000000"/>
              </w:rPr>
              <w:t xml:space="preserve">Personer i alderen </w:t>
            </w:r>
          </w:p>
          <w:p w:rsidR="00E92990" w:rsidRDefault="00E92990" w:rsidP="00263756">
            <w:pPr>
              <w:keepNext/>
              <w:jc w:val="center"/>
              <w:rPr>
                <w:b/>
                <w:i/>
                <w:color w:val="000000"/>
              </w:rPr>
            </w:pPr>
            <w:r>
              <w:rPr>
                <w:b/>
                <w:i/>
                <w:color w:val="000000"/>
              </w:rPr>
              <w:t>10 – 76 år</w:t>
            </w:r>
          </w:p>
          <w:p w:rsidR="00E92990" w:rsidRDefault="00E92990" w:rsidP="00263756">
            <w:pPr>
              <w:keepNext/>
              <w:jc w:val="center"/>
              <w:rPr>
                <w:b/>
                <w:i/>
                <w:color w:val="000000"/>
              </w:rPr>
            </w:pPr>
            <w:r>
              <w:rPr>
                <w:b/>
                <w:i/>
                <w:color w:val="000000"/>
              </w:rPr>
              <w:t>(N=1.931)</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F34FD7">
            <w:pPr>
              <w:rPr>
                <w:b/>
                <w:i/>
                <w:lang w:val="en-US"/>
              </w:rPr>
            </w:pPr>
            <w:proofErr w:type="spellStart"/>
            <w:r>
              <w:rPr>
                <w:b/>
                <w:i/>
                <w:lang w:val="en-US"/>
              </w:rPr>
              <w:t>Infektioner</w:t>
            </w:r>
            <w:proofErr w:type="spellEnd"/>
            <w:r>
              <w:rPr>
                <w:b/>
                <w:i/>
                <w:lang w:val="en-US"/>
              </w:rPr>
              <w:t xml:space="preserve"> </w:t>
            </w:r>
            <w:proofErr w:type="spellStart"/>
            <w:r>
              <w:rPr>
                <w:b/>
                <w:i/>
                <w:lang w:val="en-US"/>
              </w:rPr>
              <w:t>og</w:t>
            </w:r>
            <w:proofErr w:type="spellEnd"/>
            <w:r>
              <w:rPr>
                <w:b/>
                <w:i/>
                <w:lang w:val="en-US"/>
              </w:rPr>
              <w:t xml:space="preserve"> </w:t>
            </w:r>
            <w:proofErr w:type="spellStart"/>
            <w:r>
              <w:rPr>
                <w:b/>
                <w:i/>
                <w:lang w:val="en-US"/>
              </w:rPr>
              <w:t>parasitære</w:t>
            </w:r>
            <w:proofErr w:type="spellEnd"/>
            <w:r>
              <w:rPr>
                <w:b/>
                <w:i/>
                <w:lang w:val="en-US"/>
              </w:rPr>
              <w:t xml:space="preserve"> </w:t>
            </w:r>
            <w:proofErr w:type="spellStart"/>
            <w:r>
              <w:rPr>
                <w:b/>
                <w:i/>
                <w:lang w:val="en-US"/>
              </w:rPr>
              <w:t>sygdomme</w:t>
            </w:r>
            <w:proofErr w:type="spellEnd"/>
            <w:r>
              <w:rPr>
                <w:b/>
                <w:i/>
                <w:lang w:val="en-US"/>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F34FD7">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F34FD7"/>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F34FD7">
            <w:r>
              <w:t xml:space="preserve">infektion i øvre luftveje, </w:t>
            </w:r>
            <w:proofErr w:type="spellStart"/>
            <w:r>
              <w:t>pharyngitis</w:t>
            </w:r>
            <w:proofErr w:type="spellEnd"/>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tcPr>
          <w:p w:rsidR="00E92990" w:rsidRDefault="00E92990" w:rsidP="00F34FD7">
            <w:pPr>
              <w:rPr>
                <w:b/>
                <w:i/>
              </w:rPr>
            </w:pPr>
            <w:r>
              <w:rPr>
                <w:b/>
                <w:i/>
              </w:rPr>
              <w:t>Nervesystemet</w:t>
            </w:r>
          </w:p>
          <w:p w:rsidR="00E92990" w:rsidRDefault="00E92990" w:rsidP="00F34FD7">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F34FD7">
            <w:pPr>
              <w:rPr>
                <w:color w:val="000000"/>
                <w:lang w:val="en-US"/>
              </w:rPr>
            </w:pPr>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F34FD7">
            <w:r>
              <w:t>koncentrationsbesvær</w:t>
            </w: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F34FD7">
            <w:pPr>
              <w:rPr>
                <w:u w:val="single"/>
              </w:rPr>
            </w:pPr>
            <w:r>
              <w:t>synkope</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tcPr>
          <w:p w:rsidR="00E92990" w:rsidRDefault="00E92990" w:rsidP="00F34FD7">
            <w:pPr>
              <w:rPr>
                <w:b/>
                <w:i/>
              </w:rPr>
            </w:pPr>
            <w:r>
              <w:rPr>
                <w:b/>
                <w:i/>
              </w:rPr>
              <w:t>Øjne</w:t>
            </w:r>
          </w:p>
          <w:p w:rsidR="00E92990" w:rsidRDefault="00E92990" w:rsidP="00F34FD7">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F34FD7">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F34FD7">
            <w:proofErr w:type="spellStart"/>
            <w:r>
              <w:t>konjunktivitis</w:t>
            </w:r>
            <w:proofErr w:type="spellEnd"/>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F34FD7">
            <w:pPr>
              <w:rPr>
                <w:highlight w:val="cyan"/>
              </w:rPr>
            </w:pP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F34FD7">
            <w:pPr>
              <w:rPr>
                <w:b/>
                <w:i/>
                <w:lang w:val="en-US"/>
              </w:rPr>
            </w:pPr>
            <w:proofErr w:type="spellStart"/>
            <w:r>
              <w:rPr>
                <w:b/>
                <w:i/>
                <w:lang w:val="en-US"/>
              </w:rPr>
              <w:t>Luftveje</w:t>
            </w:r>
            <w:proofErr w:type="spellEnd"/>
            <w:r>
              <w:rPr>
                <w:b/>
                <w:i/>
                <w:lang w:val="en-US"/>
              </w:rPr>
              <w:t xml:space="preserve">, thorax </w:t>
            </w:r>
            <w:proofErr w:type="spellStart"/>
            <w:r>
              <w:rPr>
                <w:b/>
                <w:i/>
                <w:lang w:val="en-US"/>
              </w:rPr>
              <w:t>og</w:t>
            </w:r>
            <w:proofErr w:type="spellEnd"/>
            <w:r>
              <w:rPr>
                <w:b/>
                <w:i/>
                <w:lang w:val="en-US"/>
              </w:rPr>
              <w:t xml:space="preserve"> mediastinum</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F34FD7">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F34FD7"/>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F34FD7">
            <w:r>
              <w:t>hoste</w:t>
            </w:r>
          </w:p>
        </w:tc>
      </w:tr>
      <w:tr w:rsidR="00E92990" w:rsidTr="00263756">
        <w:trPr>
          <w:trHeight w:val="552"/>
        </w:trPr>
        <w:tc>
          <w:tcPr>
            <w:tcW w:w="0" w:type="auto"/>
            <w:tcBorders>
              <w:top w:val="single" w:sz="4" w:space="0" w:color="auto"/>
              <w:left w:val="single" w:sz="4" w:space="0" w:color="auto"/>
              <w:bottom w:val="single" w:sz="4" w:space="0" w:color="auto"/>
              <w:right w:val="single" w:sz="4" w:space="0" w:color="auto"/>
            </w:tcBorders>
            <w:vAlign w:val="center"/>
            <w:hideMark/>
          </w:tcPr>
          <w:p w:rsidR="00E92990" w:rsidRPr="00AA1A2C" w:rsidRDefault="00E92990" w:rsidP="00F34FD7">
            <w:pPr>
              <w:rPr>
                <w:b/>
                <w:i/>
              </w:rPr>
            </w:pPr>
            <w:r w:rsidRPr="00AA1A2C">
              <w:rPr>
                <w:b/>
                <w:i/>
              </w:rPr>
              <w:lastRenderedPageBreak/>
              <w:t>Mave-tarm-kanalen</w:t>
            </w:r>
          </w:p>
          <w:p w:rsidR="00E92990" w:rsidRDefault="00E92990" w:rsidP="00F34FD7">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F34FD7">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F34FD7"/>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F34FD7">
            <w:pPr>
              <w:rPr>
                <w:u w:val="single"/>
              </w:rPr>
            </w:pPr>
            <w:r>
              <w:t>diarré</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b/>
                <w:i/>
                <w:lang w:val="en-US"/>
              </w:rPr>
            </w:pPr>
            <w:r>
              <w:rPr>
                <w:b/>
                <w:i/>
                <w:lang w:val="en-US"/>
              </w:rPr>
              <w:t xml:space="preserve">Hud </w:t>
            </w:r>
            <w:proofErr w:type="spellStart"/>
            <w:r>
              <w:rPr>
                <w:b/>
                <w:i/>
                <w:lang w:val="en-US"/>
              </w:rPr>
              <w:t>og</w:t>
            </w:r>
            <w:proofErr w:type="spellEnd"/>
            <w:r>
              <w:rPr>
                <w:b/>
                <w:i/>
                <w:lang w:val="en-US"/>
              </w:rPr>
              <w:t xml:space="preserve"> </w:t>
            </w:r>
            <w:proofErr w:type="spellStart"/>
            <w:r>
              <w:rPr>
                <w:b/>
                <w:i/>
                <w:lang w:val="en-US"/>
              </w:rPr>
              <w:t>subkutane</w:t>
            </w:r>
            <w:proofErr w:type="spellEnd"/>
            <w:r>
              <w:rPr>
                <w:b/>
                <w:i/>
                <w:lang w:val="en-US"/>
              </w:rPr>
              <w:t xml:space="preserve"> </w:t>
            </w:r>
            <w:proofErr w:type="spellStart"/>
            <w:r>
              <w:rPr>
                <w:b/>
                <w:i/>
                <w:lang w:val="en-US"/>
              </w:rPr>
              <w:t>væv</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u w:val="single"/>
              </w:rPr>
            </w:pPr>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proofErr w:type="spellStart"/>
            <w:r>
              <w:rPr>
                <w:szCs w:val="24"/>
              </w:rPr>
              <w:t>hyperhidrose</w:t>
            </w:r>
            <w:proofErr w:type="spellEnd"/>
            <w:r>
              <w:rPr>
                <w:szCs w:val="24"/>
              </w:rPr>
              <w:t>,</w:t>
            </w:r>
            <w:r>
              <w:t xml:space="preserve"> udslæt</w:t>
            </w:r>
          </w:p>
        </w:tc>
      </w:tr>
      <w:tr w:rsidR="00E92990" w:rsidTr="00263756">
        <w:trPr>
          <w:trHeight w:val="552"/>
        </w:trPr>
        <w:tc>
          <w:tcPr>
            <w:tcW w:w="2518"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b/>
                <w:i/>
              </w:rPr>
            </w:pPr>
            <w:r>
              <w:rPr>
                <w:b/>
                <w:i/>
              </w:rPr>
              <w:t>Knogler, led, muskler og bindevæv</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highlight w:val="cyan"/>
              </w:rPr>
            </w:pPr>
            <w:r>
              <w:t>Ikke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pPr>
              <w:keepNext/>
              <w:rPr>
                <w:highlight w:val="cyan"/>
              </w:rPr>
            </w:pP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highlight w:val="cyan"/>
                <w:u w:val="single"/>
              </w:rPr>
            </w:pPr>
            <w:r>
              <w:rPr>
                <w:szCs w:val="24"/>
              </w:rPr>
              <w:t xml:space="preserve">stivhed i leddene, </w:t>
            </w:r>
            <w:proofErr w:type="spellStart"/>
            <w:r>
              <w:rPr>
                <w:szCs w:val="24"/>
              </w:rPr>
              <w:t>muskuloskeletal</w:t>
            </w:r>
            <w:proofErr w:type="spellEnd"/>
            <w:r>
              <w:rPr>
                <w:szCs w:val="24"/>
              </w:rPr>
              <w:t xml:space="preserve"> stivhed</w:t>
            </w:r>
          </w:p>
        </w:tc>
      </w:tr>
      <w:tr w:rsidR="00E92990" w:rsidTr="00263756">
        <w:trPr>
          <w:trHeight w:val="552"/>
        </w:trPr>
        <w:tc>
          <w:tcPr>
            <w:tcW w:w="2518" w:type="dxa"/>
            <w:vMerge w:val="restart"/>
            <w:tcBorders>
              <w:top w:val="single" w:sz="4" w:space="0" w:color="auto"/>
              <w:left w:val="single" w:sz="4" w:space="0" w:color="auto"/>
              <w:bottom w:val="single" w:sz="4" w:space="0" w:color="auto"/>
              <w:right w:val="single" w:sz="4" w:space="0" w:color="auto"/>
            </w:tcBorders>
            <w:hideMark/>
          </w:tcPr>
          <w:p w:rsidR="00E92990" w:rsidRDefault="00E92990" w:rsidP="00263756">
            <w:pPr>
              <w:keepNext/>
              <w:rPr>
                <w:b/>
                <w:i/>
              </w:rPr>
            </w:pPr>
            <w:r>
              <w:rPr>
                <w:b/>
                <w:i/>
              </w:rPr>
              <w:t>Almene symptomer og reaktioner på administrationsstedet</w:t>
            </w: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Meget 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pPr>
              <w:keepNext/>
            </w:pP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rPr>
                <w:szCs w:val="24"/>
              </w:rPr>
              <w:t>utilpashed</w:t>
            </w:r>
          </w:p>
        </w:tc>
      </w:tr>
      <w:tr w:rsidR="00E92990" w:rsidTr="0026375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Almindelig</w:t>
            </w:r>
          </w:p>
        </w:tc>
        <w:tc>
          <w:tcPr>
            <w:tcW w:w="2302" w:type="dxa"/>
            <w:tcBorders>
              <w:top w:val="single" w:sz="4" w:space="0" w:color="auto"/>
              <w:left w:val="single" w:sz="4" w:space="0" w:color="auto"/>
              <w:bottom w:val="single" w:sz="4" w:space="0" w:color="auto"/>
              <w:right w:val="single" w:sz="4" w:space="0" w:color="auto"/>
            </w:tcBorders>
          </w:tcPr>
          <w:p w:rsidR="00E92990" w:rsidRDefault="00E92990" w:rsidP="00263756">
            <w:pPr>
              <w:keepNext/>
            </w:pPr>
          </w:p>
        </w:tc>
        <w:tc>
          <w:tcPr>
            <w:tcW w:w="2801" w:type="dxa"/>
            <w:tcBorders>
              <w:top w:val="single" w:sz="4" w:space="0" w:color="auto"/>
              <w:left w:val="single" w:sz="4" w:space="0" w:color="auto"/>
              <w:bottom w:val="single" w:sz="4" w:space="0" w:color="auto"/>
              <w:right w:val="single" w:sz="4" w:space="0" w:color="auto"/>
            </w:tcBorders>
          </w:tcPr>
          <w:p w:rsidR="00E92990" w:rsidRDefault="00E92990" w:rsidP="00263756">
            <w:pPr>
              <w:pStyle w:val="Sidehoved"/>
              <w:keepNext/>
              <w:tabs>
                <w:tab w:val="left" w:pos="0"/>
              </w:tabs>
              <w:rPr>
                <w:szCs w:val="24"/>
              </w:rPr>
            </w:pPr>
            <w:r>
              <w:rPr>
                <w:szCs w:val="24"/>
              </w:rPr>
              <w:t>reaktioner ved administrationsstedet (f.eks. infiltration og steril absces på injektionsstedet)</w:t>
            </w:r>
          </w:p>
          <w:p w:rsidR="00E92990" w:rsidRDefault="00E92990" w:rsidP="00263756">
            <w:pPr>
              <w:keepNext/>
            </w:pPr>
          </w:p>
        </w:tc>
      </w:tr>
      <w:tr w:rsidR="00E92990" w:rsidTr="00263756">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
              </w:rPr>
            </w:pPr>
          </w:p>
        </w:tc>
        <w:tc>
          <w:tcPr>
            <w:tcW w:w="1559"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Ikke almindelig</w:t>
            </w:r>
          </w:p>
        </w:tc>
        <w:tc>
          <w:tcPr>
            <w:tcW w:w="2302"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t>smerter</w:t>
            </w:r>
          </w:p>
        </w:tc>
        <w:tc>
          <w:tcPr>
            <w:tcW w:w="2801" w:type="dxa"/>
            <w:tcBorders>
              <w:top w:val="single" w:sz="4" w:space="0" w:color="auto"/>
              <w:left w:val="single" w:sz="4" w:space="0" w:color="auto"/>
              <w:bottom w:val="single" w:sz="4" w:space="0" w:color="auto"/>
              <w:right w:val="single" w:sz="4" w:space="0" w:color="auto"/>
            </w:tcBorders>
            <w:hideMark/>
          </w:tcPr>
          <w:p w:rsidR="00E92990" w:rsidRDefault="00E92990" w:rsidP="00263756">
            <w:pPr>
              <w:keepNext/>
            </w:pPr>
            <w:r>
              <w:rPr>
                <w:szCs w:val="24"/>
              </w:rPr>
              <w:t>influenzalignende sygdom</w:t>
            </w:r>
          </w:p>
        </w:tc>
      </w:tr>
    </w:tbl>
    <w:p w:rsidR="00E92990" w:rsidRDefault="00E92990" w:rsidP="00E92990">
      <w:pPr>
        <w:pStyle w:val="Sidehoved"/>
        <w:tabs>
          <w:tab w:val="left" w:pos="851"/>
        </w:tabs>
        <w:ind w:left="851"/>
        <w:rPr>
          <w:szCs w:val="24"/>
        </w:rPr>
      </w:pPr>
    </w:p>
    <w:p w:rsidR="00E92990" w:rsidRDefault="00E92990" w:rsidP="00E92990">
      <w:pPr>
        <w:keepNext/>
        <w:ind w:left="851"/>
        <w:jc w:val="both"/>
        <w:rPr>
          <w:i/>
          <w:sz w:val="24"/>
          <w:lang w:eastAsia="da-DK"/>
        </w:rPr>
      </w:pPr>
      <w:proofErr w:type="spellStart"/>
      <w:r>
        <w:rPr>
          <w:i/>
        </w:rPr>
        <w:t>Reaktogenicitet</w:t>
      </w:r>
      <w:proofErr w:type="spellEnd"/>
      <w:r>
        <w:rPr>
          <w:i/>
        </w:rPr>
        <w:t xml:space="preserve"> efter gentagen dosis</w:t>
      </w:r>
    </w:p>
    <w:p w:rsidR="00E92990" w:rsidRDefault="00E92990" w:rsidP="00E92990">
      <w:pPr>
        <w:keepNext/>
        <w:ind w:left="851"/>
        <w:jc w:val="both"/>
      </w:pPr>
    </w:p>
    <w:p w:rsidR="00E92990" w:rsidRDefault="00E92990" w:rsidP="00E92990">
      <w:pPr>
        <w:keepNext/>
        <w:ind w:left="851"/>
        <w:jc w:val="both"/>
      </w:pPr>
      <w:r>
        <w:t xml:space="preserve">Data indikerer, at en 2. </w:t>
      </w:r>
      <w:proofErr w:type="spellStart"/>
      <w:r>
        <w:t>boosterdosis</w:t>
      </w:r>
      <w:proofErr w:type="spellEnd"/>
      <w:r>
        <w:t xml:space="preserve"> giver en øget lokal </w:t>
      </w:r>
      <w:proofErr w:type="spellStart"/>
      <w:r>
        <w:t>reaktogenicitet</w:t>
      </w:r>
      <w:proofErr w:type="spellEnd"/>
      <w:r>
        <w:t xml:space="preserve"> hos personer, som har fået primær immunisering med DTP i barndommen.</w:t>
      </w:r>
    </w:p>
    <w:p w:rsidR="00E92990" w:rsidRDefault="00E92990" w:rsidP="00E92990">
      <w:pPr>
        <w:pStyle w:val="Sidehoved"/>
        <w:tabs>
          <w:tab w:val="left" w:pos="851"/>
        </w:tabs>
        <w:ind w:left="851"/>
        <w:rPr>
          <w:szCs w:val="24"/>
        </w:rPr>
      </w:pPr>
    </w:p>
    <w:p w:rsidR="00E92990" w:rsidRDefault="00E92990" w:rsidP="00F14E27">
      <w:pPr>
        <w:pStyle w:val="Sidehoved"/>
        <w:tabs>
          <w:tab w:val="left" w:pos="851"/>
        </w:tabs>
        <w:ind w:left="851"/>
        <w:rPr>
          <w:szCs w:val="24"/>
        </w:rPr>
      </w:pPr>
      <w:r>
        <w:rPr>
          <w:szCs w:val="24"/>
        </w:rPr>
        <w:t xml:space="preserve">Forsøgspersoner i alderen 15 år og opefter, uden nylig vaccination mod difteri, tetanus, </w:t>
      </w:r>
      <w:proofErr w:type="spellStart"/>
      <w:r>
        <w:rPr>
          <w:szCs w:val="24"/>
        </w:rPr>
        <w:t>pertussis</w:t>
      </w:r>
      <w:proofErr w:type="spellEnd"/>
      <w:r>
        <w:rPr>
          <w:szCs w:val="24"/>
        </w:rPr>
        <w:t xml:space="preserve"> og poliomyelitis, som fik en dosis af </w:t>
      </w:r>
      <w:proofErr w:type="spellStart"/>
      <w:r>
        <w:rPr>
          <w:szCs w:val="24"/>
        </w:rPr>
        <w:t>Boostrix</w:t>
      </w:r>
      <w:proofErr w:type="spellEnd"/>
      <w:r>
        <w:rPr>
          <w:szCs w:val="24"/>
        </w:rPr>
        <w:t xml:space="preserve"> Polio eller en anden reduceret </w:t>
      </w:r>
      <w:proofErr w:type="gramStart"/>
      <w:r>
        <w:rPr>
          <w:szCs w:val="24"/>
        </w:rPr>
        <w:t>antigen vaccine</w:t>
      </w:r>
      <w:proofErr w:type="gramEnd"/>
      <w:r>
        <w:rPr>
          <w:szCs w:val="24"/>
        </w:rPr>
        <w:t xml:space="preserve">, efterfulgt af en ekstra dosis af </w:t>
      </w:r>
      <w:proofErr w:type="spellStart"/>
      <w:r>
        <w:rPr>
          <w:szCs w:val="24"/>
        </w:rPr>
        <w:t>Boostrix</w:t>
      </w:r>
      <w:proofErr w:type="spellEnd"/>
      <w:r>
        <w:rPr>
          <w:szCs w:val="24"/>
        </w:rPr>
        <w:t xml:space="preserve"> Polio 10 år efter, viste ingen øget </w:t>
      </w:r>
      <w:proofErr w:type="spellStart"/>
      <w:r>
        <w:rPr>
          <w:szCs w:val="24"/>
        </w:rPr>
        <w:t>reaktogenicitet</w:t>
      </w:r>
      <w:proofErr w:type="spellEnd"/>
      <w:r>
        <w:rPr>
          <w:szCs w:val="24"/>
        </w:rPr>
        <w:t xml:space="preserve"> efter denne anden dosis sammenlignet med den første.</w:t>
      </w:r>
    </w:p>
    <w:p w:rsidR="00E92990" w:rsidRDefault="00E92990" w:rsidP="00E92990">
      <w:pPr>
        <w:pStyle w:val="Sidehoved"/>
        <w:tabs>
          <w:tab w:val="left" w:pos="851"/>
        </w:tabs>
        <w:ind w:left="851"/>
        <w:rPr>
          <w:szCs w:val="24"/>
        </w:rPr>
      </w:pPr>
    </w:p>
    <w:p w:rsidR="00E92990" w:rsidRDefault="00E92990" w:rsidP="00E92990">
      <w:pPr>
        <w:pStyle w:val="Sidehoved"/>
        <w:numPr>
          <w:ilvl w:val="0"/>
          <w:numId w:val="7"/>
        </w:numPr>
        <w:tabs>
          <w:tab w:val="left" w:pos="851"/>
        </w:tabs>
        <w:ind w:left="1208" w:hanging="357"/>
        <w:rPr>
          <w:b/>
          <w:szCs w:val="24"/>
        </w:rPr>
      </w:pPr>
      <w:r>
        <w:rPr>
          <w:b/>
          <w:szCs w:val="24"/>
        </w:rPr>
        <w:t>Post-marketing overvågning</w:t>
      </w:r>
    </w:p>
    <w:p w:rsidR="00E92990" w:rsidRDefault="00E92990" w:rsidP="00E92990">
      <w:pPr>
        <w:pStyle w:val="Sidehoved"/>
        <w:tabs>
          <w:tab w:val="left" w:pos="851"/>
        </w:tabs>
        <w:ind w:left="851"/>
        <w:rPr>
          <w:szCs w:val="24"/>
        </w:rPr>
      </w:pPr>
      <w:r>
        <w:rPr>
          <w:szCs w:val="24"/>
        </w:rPr>
        <w:t xml:space="preserve">Det er ikke muligt at estimere en pålidelig hyppighed for disse bivirkninger, da disse rapporteres spontant. </w:t>
      </w:r>
    </w:p>
    <w:p w:rsidR="00E92990" w:rsidRDefault="00E92990" w:rsidP="00E92990">
      <w:pPr>
        <w:keepNext/>
        <w:spacing w:after="120"/>
        <w:ind w:firstLine="851"/>
        <w:rPr>
          <w:b/>
        </w:rPr>
      </w:pPr>
    </w:p>
    <w:p w:rsidR="00E92990" w:rsidRPr="00616A44" w:rsidRDefault="00E92990" w:rsidP="00E92990">
      <w:pPr>
        <w:keepNext/>
        <w:spacing w:after="120"/>
        <w:ind w:firstLine="851"/>
      </w:pPr>
      <w:r w:rsidRPr="00312846">
        <w:rPr>
          <w:b/>
        </w:rPr>
        <w:t>Tabel 3:</w:t>
      </w:r>
      <w:r w:rsidRPr="00312846">
        <w:t xml:space="preserve"> Bivirkninger rapporteret for </w:t>
      </w:r>
      <w:proofErr w:type="spellStart"/>
      <w:r w:rsidRPr="00312846">
        <w:t>Boostrix</w:t>
      </w:r>
      <w:proofErr w:type="spellEnd"/>
      <w:r w:rsidRPr="00312846">
        <w:t xml:space="preserve"> Polio ved overvågning efter markedsføring</w:t>
      </w:r>
    </w:p>
    <w:tbl>
      <w:tblPr>
        <w:tblW w:w="91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1283"/>
        <w:gridCol w:w="4814"/>
      </w:tblGrid>
      <w:tr w:rsidR="00E92990" w:rsidTr="00263756">
        <w:trPr>
          <w:trHeight w:val="615"/>
        </w:trPr>
        <w:tc>
          <w:tcPr>
            <w:tcW w:w="30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jc w:val="center"/>
              <w:rPr>
                <w:b/>
                <w:i/>
                <w:color w:val="000000"/>
                <w:lang w:val="en-US"/>
              </w:rPr>
            </w:pPr>
            <w:proofErr w:type="spellStart"/>
            <w:r>
              <w:rPr>
                <w:b/>
                <w:i/>
                <w:color w:val="000000"/>
                <w:lang w:val="en-US"/>
              </w:rPr>
              <w:t>Systemorganklasser</w:t>
            </w:r>
            <w:proofErr w:type="spellEnd"/>
          </w:p>
        </w:tc>
        <w:tc>
          <w:tcPr>
            <w:tcW w:w="12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jc w:val="center"/>
              <w:rPr>
                <w:b/>
                <w:i/>
                <w:color w:val="000000"/>
                <w:lang w:val="en-US"/>
              </w:rPr>
            </w:pPr>
            <w:proofErr w:type="spellStart"/>
            <w:r>
              <w:rPr>
                <w:b/>
                <w:i/>
                <w:color w:val="000000"/>
                <w:lang w:val="en-US"/>
              </w:rPr>
              <w:t>Hyppighed</w:t>
            </w:r>
            <w:proofErr w:type="spellEnd"/>
          </w:p>
        </w:tc>
        <w:tc>
          <w:tcPr>
            <w:tcW w:w="481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jc w:val="center"/>
              <w:rPr>
                <w:b/>
                <w:i/>
                <w:color w:val="000000"/>
                <w:lang w:val="en-US"/>
              </w:rPr>
            </w:pPr>
            <w:proofErr w:type="spellStart"/>
            <w:r>
              <w:rPr>
                <w:b/>
                <w:i/>
                <w:color w:val="000000"/>
                <w:lang w:val="en-US"/>
              </w:rPr>
              <w:t>Bivirkninger</w:t>
            </w:r>
            <w:proofErr w:type="spellEnd"/>
          </w:p>
        </w:tc>
      </w:tr>
      <w:tr w:rsidR="00E92990" w:rsidTr="00263756">
        <w:trPr>
          <w:trHeight w:val="615"/>
        </w:trPr>
        <w:tc>
          <w:tcPr>
            <w:tcW w:w="30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color w:val="000000"/>
                <w:lang w:val="en-US"/>
              </w:rPr>
            </w:pPr>
            <w:proofErr w:type="spellStart"/>
            <w:r>
              <w:rPr>
                <w:b/>
                <w:i/>
                <w:color w:val="000000"/>
                <w:lang w:val="en-US"/>
              </w:rPr>
              <w:t>Immunsystemet</w:t>
            </w:r>
            <w:proofErr w:type="spellEnd"/>
          </w:p>
        </w:tc>
        <w:tc>
          <w:tcPr>
            <w:tcW w:w="12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proofErr w:type="spellStart"/>
            <w:r>
              <w:rPr>
                <w:color w:val="000000"/>
                <w:lang w:val="en-US"/>
              </w:rPr>
              <w:t>Ikke</w:t>
            </w:r>
            <w:proofErr w:type="spellEnd"/>
            <w:r>
              <w:rPr>
                <w:color w:val="000000"/>
                <w:lang w:val="en-US"/>
              </w:rPr>
              <w:t xml:space="preserve"> </w:t>
            </w:r>
            <w:proofErr w:type="spellStart"/>
            <w:r>
              <w:rPr>
                <w:color w:val="000000"/>
                <w:lang w:val="en-US"/>
              </w:rPr>
              <w:t>kendt</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u w:val="single"/>
              </w:rPr>
            </w:pPr>
            <w:r>
              <w:t xml:space="preserve">allergiske reaktioner inklusive anafylaktiske og </w:t>
            </w:r>
            <w:proofErr w:type="spellStart"/>
            <w:r>
              <w:t>anafylaktoide</w:t>
            </w:r>
            <w:proofErr w:type="spellEnd"/>
            <w:r>
              <w:t xml:space="preserve"> reaktioner</w:t>
            </w:r>
          </w:p>
        </w:tc>
      </w:tr>
      <w:tr w:rsidR="00E92990" w:rsidTr="00263756">
        <w:trPr>
          <w:trHeight w:val="615"/>
        </w:trPr>
        <w:tc>
          <w:tcPr>
            <w:tcW w:w="30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color w:val="000000"/>
                <w:lang w:val="en-US"/>
              </w:rPr>
            </w:pPr>
            <w:proofErr w:type="spellStart"/>
            <w:r>
              <w:rPr>
                <w:b/>
                <w:i/>
                <w:color w:val="000000"/>
                <w:lang w:val="en-US"/>
              </w:rPr>
              <w:t>Nervesystemet</w:t>
            </w:r>
            <w:proofErr w:type="spellEnd"/>
          </w:p>
        </w:tc>
        <w:tc>
          <w:tcPr>
            <w:tcW w:w="12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proofErr w:type="spellStart"/>
            <w:r>
              <w:rPr>
                <w:color w:val="000000"/>
                <w:lang w:val="en-US"/>
              </w:rPr>
              <w:t>Ikke</w:t>
            </w:r>
            <w:proofErr w:type="spellEnd"/>
            <w:r>
              <w:rPr>
                <w:color w:val="000000"/>
                <w:lang w:val="en-US"/>
              </w:rPr>
              <w:t xml:space="preserve"> </w:t>
            </w:r>
            <w:proofErr w:type="spellStart"/>
            <w:r>
              <w:rPr>
                <w:color w:val="000000"/>
                <w:lang w:val="en-US"/>
              </w:rPr>
              <w:t>kendt</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E92990" w:rsidRDefault="00E92990" w:rsidP="00263756">
            <w:pPr>
              <w:pStyle w:val="Brdtekstindrykning2"/>
              <w:ind w:left="0"/>
              <w:jc w:val="both"/>
            </w:pPr>
            <w:proofErr w:type="spellStart"/>
            <w:r>
              <w:t>hypotonisk-hyporesponsive</w:t>
            </w:r>
            <w:proofErr w:type="spellEnd"/>
            <w:r>
              <w:t xml:space="preserve"> episoder, kramper (med og uden feber)</w:t>
            </w:r>
          </w:p>
        </w:tc>
      </w:tr>
      <w:tr w:rsidR="00E92990" w:rsidTr="00263756">
        <w:trPr>
          <w:trHeight w:val="615"/>
        </w:trPr>
        <w:tc>
          <w:tcPr>
            <w:tcW w:w="30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color w:val="000000"/>
                <w:lang w:val="en-US"/>
              </w:rPr>
            </w:pPr>
            <w:r>
              <w:rPr>
                <w:b/>
                <w:i/>
                <w:color w:val="000000"/>
                <w:lang w:val="en-US"/>
              </w:rPr>
              <w:t xml:space="preserve">Hud </w:t>
            </w:r>
            <w:proofErr w:type="spellStart"/>
            <w:r>
              <w:rPr>
                <w:b/>
                <w:i/>
                <w:color w:val="000000"/>
                <w:lang w:val="en-US"/>
              </w:rPr>
              <w:t>og</w:t>
            </w:r>
            <w:proofErr w:type="spellEnd"/>
            <w:r>
              <w:rPr>
                <w:b/>
                <w:i/>
                <w:color w:val="000000"/>
                <w:lang w:val="en-US"/>
              </w:rPr>
              <w:t xml:space="preserve"> </w:t>
            </w:r>
            <w:proofErr w:type="spellStart"/>
            <w:r>
              <w:rPr>
                <w:b/>
                <w:i/>
                <w:color w:val="000000"/>
                <w:lang w:val="en-US"/>
              </w:rPr>
              <w:t>subkutane</w:t>
            </w:r>
            <w:proofErr w:type="spellEnd"/>
            <w:r>
              <w:rPr>
                <w:b/>
                <w:i/>
                <w:color w:val="000000"/>
                <w:lang w:val="en-US"/>
              </w:rPr>
              <w:t xml:space="preserve"> </w:t>
            </w:r>
            <w:proofErr w:type="spellStart"/>
            <w:r>
              <w:rPr>
                <w:b/>
                <w:i/>
                <w:color w:val="000000"/>
                <w:lang w:val="en-US"/>
              </w:rPr>
              <w:t>væv</w:t>
            </w:r>
            <w:proofErr w:type="spellEnd"/>
          </w:p>
        </w:tc>
        <w:tc>
          <w:tcPr>
            <w:tcW w:w="12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proofErr w:type="spellStart"/>
            <w:r>
              <w:rPr>
                <w:color w:val="000000"/>
                <w:lang w:val="en-US"/>
              </w:rPr>
              <w:t>Ikke</w:t>
            </w:r>
            <w:proofErr w:type="spellEnd"/>
            <w:r>
              <w:rPr>
                <w:color w:val="000000"/>
                <w:lang w:val="en-US"/>
              </w:rPr>
              <w:t xml:space="preserve"> </w:t>
            </w:r>
            <w:proofErr w:type="spellStart"/>
            <w:r>
              <w:rPr>
                <w:color w:val="000000"/>
                <w:lang w:val="en-US"/>
              </w:rPr>
              <w:t>kendt</w:t>
            </w:r>
            <w:proofErr w:type="spellEnd"/>
          </w:p>
        </w:tc>
        <w:tc>
          <w:tcPr>
            <w:tcW w:w="4814" w:type="dxa"/>
            <w:tcBorders>
              <w:top w:val="single" w:sz="4" w:space="0" w:color="auto"/>
              <w:left w:val="single" w:sz="4" w:space="0" w:color="auto"/>
              <w:bottom w:val="single" w:sz="4" w:space="0" w:color="auto"/>
              <w:right w:val="single" w:sz="4" w:space="0" w:color="auto"/>
            </w:tcBorders>
          </w:tcPr>
          <w:p w:rsidR="00E92990" w:rsidRDefault="00E92990" w:rsidP="00263756">
            <w:pPr>
              <w:pStyle w:val="Brdtekstindrykning2"/>
              <w:ind w:left="0"/>
              <w:jc w:val="both"/>
            </w:pPr>
            <w:proofErr w:type="spellStart"/>
            <w:r>
              <w:t>urticaria</w:t>
            </w:r>
            <w:proofErr w:type="spellEnd"/>
            <w:r>
              <w:t xml:space="preserve">, </w:t>
            </w:r>
            <w:proofErr w:type="spellStart"/>
            <w:r>
              <w:t>angioødem</w:t>
            </w:r>
            <w:proofErr w:type="spellEnd"/>
          </w:p>
          <w:p w:rsidR="00E92990" w:rsidRDefault="00E92990" w:rsidP="00263756">
            <w:pPr>
              <w:rPr>
                <w:color w:val="000000"/>
              </w:rPr>
            </w:pPr>
          </w:p>
        </w:tc>
      </w:tr>
      <w:tr w:rsidR="00E92990" w:rsidTr="00263756">
        <w:trPr>
          <w:trHeight w:val="615"/>
        </w:trPr>
        <w:tc>
          <w:tcPr>
            <w:tcW w:w="30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b/>
                <w:i/>
              </w:rPr>
            </w:pPr>
            <w:r>
              <w:rPr>
                <w:b/>
                <w:i/>
              </w:rPr>
              <w:t>Almene symptomer og reaktioner på administrationsstedet</w:t>
            </w:r>
          </w:p>
        </w:tc>
        <w:tc>
          <w:tcPr>
            <w:tcW w:w="1283" w:type="dxa"/>
            <w:tcBorders>
              <w:top w:val="single" w:sz="4" w:space="0" w:color="auto"/>
              <w:left w:val="single" w:sz="4" w:space="0" w:color="auto"/>
              <w:bottom w:val="single" w:sz="4" w:space="0" w:color="auto"/>
              <w:right w:val="single" w:sz="4" w:space="0" w:color="auto"/>
            </w:tcBorders>
            <w:hideMark/>
          </w:tcPr>
          <w:p w:rsidR="00E92990" w:rsidRDefault="00E92990" w:rsidP="00263756">
            <w:pPr>
              <w:rPr>
                <w:color w:val="000000"/>
                <w:lang w:val="en-US"/>
              </w:rPr>
            </w:pPr>
            <w:proofErr w:type="spellStart"/>
            <w:r>
              <w:rPr>
                <w:color w:val="000000"/>
                <w:lang w:val="en-US"/>
              </w:rPr>
              <w:t>Ikke</w:t>
            </w:r>
            <w:proofErr w:type="spellEnd"/>
            <w:r>
              <w:rPr>
                <w:color w:val="000000"/>
                <w:lang w:val="en-US"/>
              </w:rPr>
              <w:t xml:space="preserve"> </w:t>
            </w:r>
            <w:proofErr w:type="spellStart"/>
            <w:r>
              <w:rPr>
                <w:color w:val="000000"/>
                <w:lang w:val="en-US"/>
              </w:rPr>
              <w:t>kendt</w:t>
            </w:r>
            <w:proofErr w:type="spellEnd"/>
          </w:p>
        </w:tc>
        <w:tc>
          <w:tcPr>
            <w:tcW w:w="4814" w:type="dxa"/>
            <w:tcBorders>
              <w:top w:val="single" w:sz="4" w:space="0" w:color="auto"/>
              <w:left w:val="single" w:sz="4" w:space="0" w:color="auto"/>
              <w:bottom w:val="single" w:sz="4" w:space="0" w:color="auto"/>
              <w:right w:val="single" w:sz="4" w:space="0" w:color="auto"/>
            </w:tcBorders>
            <w:hideMark/>
          </w:tcPr>
          <w:p w:rsidR="00E92990" w:rsidRDefault="00E92990" w:rsidP="00263756">
            <w:r>
              <w:rPr>
                <w:color w:val="000000"/>
              </w:rPr>
              <w:t>asteni</w:t>
            </w:r>
          </w:p>
        </w:tc>
      </w:tr>
    </w:tbl>
    <w:p w:rsidR="00E92990" w:rsidRDefault="00E92990" w:rsidP="00E92990">
      <w:pPr>
        <w:pStyle w:val="Sidehoved"/>
        <w:tabs>
          <w:tab w:val="left" w:pos="851"/>
        </w:tabs>
        <w:rPr>
          <w:szCs w:val="24"/>
        </w:rPr>
      </w:pPr>
    </w:p>
    <w:p w:rsidR="00E92990" w:rsidRDefault="00E92990" w:rsidP="00E92990">
      <w:pPr>
        <w:pStyle w:val="Sidehoved"/>
        <w:tabs>
          <w:tab w:val="left" w:pos="851"/>
        </w:tabs>
        <w:ind w:left="851"/>
        <w:rPr>
          <w:szCs w:val="24"/>
        </w:rPr>
      </w:pPr>
      <w:r>
        <w:rPr>
          <w:szCs w:val="24"/>
        </w:rPr>
        <w:t xml:space="preserve">Efter administration af vacciner indeholdende </w:t>
      </w:r>
      <w:proofErr w:type="spellStart"/>
      <w:r>
        <w:rPr>
          <w:szCs w:val="24"/>
        </w:rPr>
        <w:t>tetanustoksoid</w:t>
      </w:r>
      <w:proofErr w:type="spellEnd"/>
      <w:r>
        <w:rPr>
          <w:szCs w:val="24"/>
        </w:rPr>
        <w:t xml:space="preserve">, har der meget sjældent været rapporter om bivirkninger i de centrale eller perifere nervesystemer, inklusiv </w:t>
      </w:r>
      <w:proofErr w:type="spellStart"/>
      <w:r>
        <w:rPr>
          <w:szCs w:val="24"/>
        </w:rPr>
        <w:t>ascenderende</w:t>
      </w:r>
      <w:proofErr w:type="spellEnd"/>
      <w:r>
        <w:rPr>
          <w:szCs w:val="24"/>
        </w:rPr>
        <w:t xml:space="preserve"> lammelse eller endda respirationslammelse (f.eks. </w:t>
      </w:r>
      <w:proofErr w:type="spellStart"/>
      <w:r>
        <w:rPr>
          <w:szCs w:val="24"/>
        </w:rPr>
        <w:t>Guillain-Barré</w:t>
      </w:r>
      <w:proofErr w:type="spellEnd"/>
      <w:r>
        <w:rPr>
          <w:szCs w:val="24"/>
        </w:rPr>
        <w:t xml:space="preserve"> syndrom).</w:t>
      </w:r>
    </w:p>
    <w:p w:rsidR="00E92990" w:rsidRDefault="00E92990" w:rsidP="00E92990">
      <w:pPr>
        <w:pStyle w:val="Sidehoved"/>
        <w:tabs>
          <w:tab w:val="left" w:pos="851"/>
        </w:tabs>
        <w:ind w:left="851"/>
        <w:rPr>
          <w:szCs w:val="24"/>
        </w:rPr>
      </w:pPr>
    </w:p>
    <w:p w:rsidR="00E92990" w:rsidRDefault="00E92990" w:rsidP="00F34FD7">
      <w:pPr>
        <w:pStyle w:val="Sidehoved"/>
        <w:keepNext/>
        <w:tabs>
          <w:tab w:val="left" w:pos="851"/>
        </w:tabs>
        <w:ind w:left="851"/>
        <w:rPr>
          <w:szCs w:val="24"/>
          <w:u w:val="single"/>
        </w:rPr>
      </w:pPr>
      <w:r>
        <w:rPr>
          <w:szCs w:val="24"/>
          <w:u w:val="single"/>
        </w:rPr>
        <w:lastRenderedPageBreak/>
        <w:t>Indberetning af formodede bivirkninger</w:t>
      </w:r>
    </w:p>
    <w:p w:rsidR="00E92990" w:rsidRDefault="00E92990" w:rsidP="00E92990">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 xml:space="preserve">-forholdet for lægemidlet. </w:t>
      </w:r>
      <w:r w:rsidR="00F14E27">
        <w:rPr>
          <w:szCs w:val="24"/>
        </w:rPr>
        <w:t>S</w:t>
      </w:r>
      <w:r>
        <w:rPr>
          <w:szCs w:val="24"/>
        </w:rPr>
        <w:t>undhedsperson</w:t>
      </w:r>
      <w:r w:rsidR="00F14E27">
        <w:rPr>
          <w:szCs w:val="24"/>
        </w:rPr>
        <w:t>er</w:t>
      </w:r>
      <w:r>
        <w:rPr>
          <w:szCs w:val="24"/>
        </w:rPr>
        <w:t xml:space="preserve"> anmodes om at indberette alle formodede bivirkninger via</w:t>
      </w:r>
      <w:r w:rsidR="00B10EA7">
        <w:rPr>
          <w:szCs w:val="24"/>
        </w:rPr>
        <w:t>:</w:t>
      </w:r>
    </w:p>
    <w:p w:rsidR="00E92990" w:rsidRDefault="00E92990" w:rsidP="00E92990">
      <w:pPr>
        <w:pStyle w:val="Sidehoved"/>
        <w:tabs>
          <w:tab w:val="left" w:pos="851"/>
        </w:tabs>
        <w:ind w:left="851"/>
        <w:rPr>
          <w:szCs w:val="24"/>
        </w:rPr>
      </w:pPr>
    </w:p>
    <w:p w:rsidR="00E92990" w:rsidRDefault="00E92990" w:rsidP="00E92990">
      <w:pPr>
        <w:pStyle w:val="Sidehoved"/>
        <w:tabs>
          <w:tab w:val="left" w:pos="851"/>
        </w:tabs>
        <w:ind w:left="851"/>
        <w:rPr>
          <w:szCs w:val="24"/>
        </w:rPr>
      </w:pPr>
      <w:r>
        <w:rPr>
          <w:szCs w:val="24"/>
        </w:rPr>
        <w:t>Lægemiddelstyrelsen</w:t>
      </w:r>
    </w:p>
    <w:p w:rsidR="00E92990" w:rsidRDefault="00E92990" w:rsidP="00E92990">
      <w:pPr>
        <w:pStyle w:val="Sidehoved"/>
        <w:tabs>
          <w:tab w:val="left" w:pos="851"/>
        </w:tabs>
        <w:ind w:left="851"/>
        <w:rPr>
          <w:szCs w:val="24"/>
        </w:rPr>
      </w:pPr>
      <w:r>
        <w:rPr>
          <w:szCs w:val="24"/>
        </w:rPr>
        <w:t>Axel Heides Gade 1</w:t>
      </w:r>
    </w:p>
    <w:p w:rsidR="00E92990" w:rsidRDefault="00E92990" w:rsidP="00E92990">
      <w:pPr>
        <w:pStyle w:val="Sidehoved"/>
        <w:tabs>
          <w:tab w:val="left" w:pos="851"/>
        </w:tabs>
        <w:ind w:left="851"/>
        <w:rPr>
          <w:szCs w:val="24"/>
        </w:rPr>
      </w:pPr>
      <w:r>
        <w:rPr>
          <w:szCs w:val="24"/>
        </w:rPr>
        <w:t>DK-2300 København S</w:t>
      </w:r>
    </w:p>
    <w:p w:rsidR="00E92990" w:rsidRDefault="00E92990" w:rsidP="00E92990">
      <w:pPr>
        <w:pStyle w:val="Sidehoved"/>
        <w:tabs>
          <w:tab w:val="left" w:pos="851"/>
        </w:tabs>
        <w:ind w:left="851"/>
        <w:rPr>
          <w:szCs w:val="24"/>
        </w:rPr>
      </w:pPr>
      <w:r w:rsidRPr="000F19EC">
        <w:rPr>
          <w:szCs w:val="24"/>
        </w:rPr>
        <w:t xml:space="preserve">Websted: </w:t>
      </w:r>
      <w:hyperlink r:id="rId8" w:history="1">
        <w:r w:rsidR="003F43EE" w:rsidRPr="005E0B16">
          <w:rPr>
            <w:rStyle w:val="Hyperlink"/>
            <w:szCs w:val="24"/>
          </w:rPr>
          <w:t>www.meldenbivirkning.dk</w:t>
        </w:r>
      </w:hyperlink>
    </w:p>
    <w:p w:rsidR="00E92990" w:rsidRPr="007B5B08" w:rsidRDefault="00E92990" w:rsidP="00E92990">
      <w:pPr>
        <w:pStyle w:val="Sidehoved"/>
        <w:tabs>
          <w:tab w:val="left" w:pos="851"/>
        </w:tabs>
        <w:ind w:left="851"/>
        <w:rPr>
          <w:szCs w:val="24"/>
        </w:rPr>
      </w:pPr>
    </w:p>
    <w:p w:rsidR="00E92990" w:rsidRPr="005134A8" w:rsidRDefault="00E92990" w:rsidP="00E92990">
      <w:pPr>
        <w:numPr>
          <w:ilvl w:val="1"/>
          <w:numId w:val="1"/>
        </w:numPr>
        <w:rPr>
          <w:b/>
          <w:sz w:val="24"/>
          <w:szCs w:val="24"/>
        </w:rPr>
      </w:pPr>
      <w:r w:rsidRPr="005134A8">
        <w:rPr>
          <w:b/>
          <w:sz w:val="24"/>
          <w:szCs w:val="24"/>
        </w:rPr>
        <w:t>Overdosering</w:t>
      </w:r>
    </w:p>
    <w:p w:rsidR="00E92990" w:rsidRPr="000710B5" w:rsidRDefault="00E92990" w:rsidP="00E92990">
      <w:pPr>
        <w:ind w:left="851"/>
        <w:rPr>
          <w:sz w:val="24"/>
          <w:szCs w:val="24"/>
        </w:rPr>
      </w:pPr>
      <w:r w:rsidRPr="000710B5">
        <w:rPr>
          <w:sz w:val="24"/>
          <w:szCs w:val="24"/>
        </w:rPr>
        <w:t>Ved overvågning efter markedsføring er der set tilfælde af overdosering. Bivirkningerne efter overdosering var sammenlignelige med bivirkningerne, set efter almindelig administration af vaccinen.</w:t>
      </w:r>
    </w:p>
    <w:p w:rsidR="00E92990" w:rsidRPr="005134A8" w:rsidRDefault="00E92990" w:rsidP="00E92990">
      <w:pPr>
        <w:tabs>
          <w:tab w:val="left" w:pos="851"/>
        </w:tabs>
        <w:ind w:left="851"/>
        <w:rPr>
          <w:sz w:val="24"/>
          <w:szCs w:val="24"/>
        </w:rPr>
      </w:pPr>
    </w:p>
    <w:p w:rsidR="00E92990" w:rsidRPr="005134A8" w:rsidRDefault="00E92990" w:rsidP="00E92990">
      <w:pPr>
        <w:numPr>
          <w:ilvl w:val="1"/>
          <w:numId w:val="1"/>
        </w:numPr>
        <w:rPr>
          <w:b/>
          <w:sz w:val="24"/>
          <w:szCs w:val="24"/>
        </w:rPr>
      </w:pPr>
      <w:r w:rsidRPr="005134A8">
        <w:rPr>
          <w:b/>
          <w:sz w:val="24"/>
          <w:szCs w:val="24"/>
        </w:rPr>
        <w:t>Udlevering</w:t>
      </w:r>
    </w:p>
    <w:p w:rsidR="00E92990" w:rsidRPr="005134A8" w:rsidRDefault="00E92990" w:rsidP="00E92990">
      <w:pPr>
        <w:tabs>
          <w:tab w:val="left" w:pos="851"/>
        </w:tabs>
        <w:ind w:left="851" w:hanging="851"/>
        <w:rPr>
          <w:sz w:val="24"/>
          <w:szCs w:val="24"/>
        </w:rPr>
      </w:pPr>
      <w:r w:rsidRPr="005134A8">
        <w:rPr>
          <w:sz w:val="24"/>
          <w:szCs w:val="24"/>
        </w:rPr>
        <w:tab/>
      </w:r>
      <w:r>
        <w:rPr>
          <w:sz w:val="24"/>
          <w:szCs w:val="24"/>
        </w:rPr>
        <w:t>B</w:t>
      </w:r>
    </w:p>
    <w:p w:rsidR="00E92990" w:rsidRPr="005134A8" w:rsidRDefault="00E92990" w:rsidP="00E92990">
      <w:pPr>
        <w:tabs>
          <w:tab w:val="left" w:pos="851"/>
        </w:tabs>
        <w:rPr>
          <w:sz w:val="24"/>
          <w:szCs w:val="24"/>
        </w:rPr>
      </w:pPr>
    </w:p>
    <w:p w:rsidR="00E92990" w:rsidRPr="005134A8" w:rsidRDefault="00E92990" w:rsidP="00E92990">
      <w:pPr>
        <w:tabs>
          <w:tab w:val="left" w:pos="851"/>
        </w:tabs>
        <w:rPr>
          <w:sz w:val="24"/>
          <w:szCs w:val="24"/>
        </w:rPr>
      </w:pPr>
    </w:p>
    <w:p w:rsidR="00E92990" w:rsidRPr="005134A8" w:rsidRDefault="00E92990" w:rsidP="00E92990">
      <w:pPr>
        <w:numPr>
          <w:ilvl w:val="0"/>
          <w:numId w:val="1"/>
        </w:numPr>
        <w:rPr>
          <w:b/>
          <w:sz w:val="24"/>
          <w:szCs w:val="24"/>
        </w:rPr>
      </w:pPr>
      <w:r w:rsidRPr="005134A8">
        <w:rPr>
          <w:b/>
          <w:sz w:val="24"/>
          <w:szCs w:val="24"/>
        </w:rPr>
        <w:t>FARMAKOLOGISKE EGENSKABER</w:t>
      </w:r>
    </w:p>
    <w:p w:rsidR="00E92990" w:rsidRPr="005134A8" w:rsidRDefault="00E92990" w:rsidP="00E92990">
      <w:pPr>
        <w:tabs>
          <w:tab w:val="left" w:pos="851"/>
        </w:tabs>
        <w:rPr>
          <w:sz w:val="24"/>
          <w:szCs w:val="24"/>
        </w:rPr>
      </w:pPr>
    </w:p>
    <w:p w:rsidR="00E92990" w:rsidRPr="005134A8" w:rsidRDefault="00E92990" w:rsidP="00E92990">
      <w:pPr>
        <w:numPr>
          <w:ilvl w:val="1"/>
          <w:numId w:val="2"/>
        </w:numPr>
        <w:tabs>
          <w:tab w:val="num" w:pos="851"/>
        </w:tabs>
        <w:ind w:left="851" w:hanging="851"/>
        <w:rPr>
          <w:b/>
          <w:sz w:val="24"/>
          <w:szCs w:val="24"/>
        </w:rPr>
      </w:pPr>
      <w:proofErr w:type="spellStart"/>
      <w:r w:rsidRPr="005134A8">
        <w:rPr>
          <w:b/>
          <w:sz w:val="24"/>
          <w:szCs w:val="24"/>
        </w:rPr>
        <w:t>Farmakodynamiske</w:t>
      </w:r>
      <w:proofErr w:type="spellEnd"/>
      <w:r w:rsidRPr="005134A8">
        <w:rPr>
          <w:b/>
          <w:sz w:val="24"/>
          <w:szCs w:val="24"/>
        </w:rPr>
        <w:t xml:space="preserve"> egenskaber</w:t>
      </w:r>
    </w:p>
    <w:p w:rsidR="00B10EA7" w:rsidRDefault="00B10EA7" w:rsidP="00B10EA7">
      <w:pPr>
        <w:ind w:left="855"/>
        <w:rPr>
          <w:noProof/>
          <w:sz w:val="24"/>
          <w:szCs w:val="24"/>
        </w:rPr>
      </w:pPr>
      <w:proofErr w:type="spellStart"/>
      <w:r w:rsidRPr="00B10EA7">
        <w:rPr>
          <w:sz w:val="24"/>
          <w:szCs w:val="24"/>
        </w:rPr>
        <w:t>Farmakoterapeutisk</w:t>
      </w:r>
      <w:proofErr w:type="spellEnd"/>
      <w:r w:rsidRPr="00B10EA7">
        <w:rPr>
          <w:sz w:val="24"/>
          <w:szCs w:val="24"/>
        </w:rPr>
        <w:t xml:space="preserve"> klassifikation</w:t>
      </w:r>
      <w:r>
        <w:rPr>
          <w:sz w:val="24"/>
          <w:szCs w:val="24"/>
        </w:rPr>
        <w:t xml:space="preserve">: </w:t>
      </w:r>
      <w:r w:rsidRPr="000710B5">
        <w:rPr>
          <w:sz w:val="24"/>
          <w:szCs w:val="24"/>
        </w:rPr>
        <w:t>Kombine</w:t>
      </w:r>
      <w:r>
        <w:rPr>
          <w:sz w:val="24"/>
          <w:szCs w:val="24"/>
        </w:rPr>
        <w:t xml:space="preserve">ret bakteriel og viral vaccine. </w:t>
      </w:r>
      <w:r w:rsidRPr="000710B5">
        <w:rPr>
          <w:sz w:val="24"/>
          <w:szCs w:val="24"/>
        </w:rPr>
        <w:t xml:space="preserve">ATC-kode: </w:t>
      </w:r>
      <w:proofErr w:type="gramStart"/>
      <w:r w:rsidRPr="000710B5">
        <w:rPr>
          <w:sz w:val="24"/>
          <w:szCs w:val="24"/>
        </w:rPr>
        <w:t>J</w:t>
      </w:r>
      <w:r>
        <w:rPr>
          <w:sz w:val="24"/>
          <w:szCs w:val="24"/>
        </w:rPr>
        <w:t xml:space="preserve">  </w:t>
      </w:r>
      <w:r w:rsidRPr="000710B5">
        <w:rPr>
          <w:sz w:val="24"/>
          <w:szCs w:val="24"/>
        </w:rPr>
        <w:t>07</w:t>
      </w:r>
      <w:proofErr w:type="gramEnd"/>
      <w:r>
        <w:rPr>
          <w:sz w:val="24"/>
          <w:szCs w:val="24"/>
        </w:rPr>
        <w:t> </w:t>
      </w:r>
      <w:r w:rsidRPr="000710B5">
        <w:rPr>
          <w:sz w:val="24"/>
          <w:szCs w:val="24"/>
        </w:rPr>
        <w:t>CA</w:t>
      </w:r>
      <w:r>
        <w:rPr>
          <w:sz w:val="24"/>
          <w:szCs w:val="24"/>
        </w:rPr>
        <w:t xml:space="preserve"> </w:t>
      </w:r>
      <w:r w:rsidRPr="000710B5">
        <w:rPr>
          <w:sz w:val="24"/>
          <w:szCs w:val="24"/>
        </w:rPr>
        <w:t>02</w:t>
      </w:r>
      <w:r>
        <w:rPr>
          <w:sz w:val="24"/>
          <w:szCs w:val="24"/>
        </w:rPr>
        <w:t>.</w:t>
      </w:r>
    </w:p>
    <w:p w:rsidR="00B10EA7" w:rsidRPr="00B10EA7" w:rsidRDefault="00B10EA7" w:rsidP="00E92990">
      <w:pPr>
        <w:ind w:left="851"/>
        <w:rPr>
          <w:sz w:val="24"/>
          <w:szCs w:val="24"/>
        </w:rPr>
      </w:pPr>
    </w:p>
    <w:p w:rsidR="00E92990" w:rsidRDefault="00E92990" w:rsidP="00E92990">
      <w:pPr>
        <w:ind w:left="851"/>
        <w:rPr>
          <w:sz w:val="24"/>
          <w:szCs w:val="24"/>
        </w:rPr>
      </w:pPr>
      <w:r>
        <w:rPr>
          <w:i/>
          <w:sz w:val="24"/>
          <w:szCs w:val="24"/>
        </w:rPr>
        <w:t>Immunrespons</w:t>
      </w:r>
    </w:p>
    <w:p w:rsidR="00E92990" w:rsidRDefault="00E92990" w:rsidP="00E92990">
      <w:pPr>
        <w:ind w:left="851"/>
        <w:rPr>
          <w:sz w:val="24"/>
          <w:szCs w:val="24"/>
        </w:rPr>
      </w:pPr>
      <w:r w:rsidRPr="000710B5">
        <w:rPr>
          <w:sz w:val="24"/>
          <w:szCs w:val="24"/>
        </w:rPr>
        <w:t xml:space="preserve">Immunresponset for </w:t>
      </w:r>
      <w:proofErr w:type="spellStart"/>
      <w:r w:rsidRPr="000710B5">
        <w:rPr>
          <w:sz w:val="24"/>
          <w:szCs w:val="24"/>
        </w:rPr>
        <w:t>Boostrix</w:t>
      </w:r>
      <w:proofErr w:type="spellEnd"/>
      <w:r w:rsidRPr="000710B5">
        <w:rPr>
          <w:sz w:val="24"/>
          <w:szCs w:val="24"/>
        </w:rPr>
        <w:t xml:space="preserve"> Polio blev vurderet i kliniske studier, hvor der indgik personer med forskellig alder og forskellig vaccinations historik (se pkt. 4.8).</w:t>
      </w:r>
    </w:p>
    <w:p w:rsidR="00E92990" w:rsidRDefault="00E92990" w:rsidP="00E92990">
      <w:pPr>
        <w:ind w:left="851"/>
        <w:rPr>
          <w:sz w:val="24"/>
          <w:szCs w:val="24"/>
        </w:rPr>
      </w:pPr>
    </w:p>
    <w:p w:rsidR="00E92990" w:rsidRPr="00ED1FC1" w:rsidRDefault="00E92990" w:rsidP="00E92990">
      <w:pPr>
        <w:ind w:left="851"/>
        <w:rPr>
          <w:sz w:val="24"/>
          <w:szCs w:val="24"/>
        </w:rPr>
      </w:pPr>
      <w:r w:rsidRPr="00ED1FC1">
        <w:rPr>
          <w:sz w:val="24"/>
          <w:szCs w:val="24"/>
        </w:rPr>
        <w:t xml:space="preserve">Følgende immunrespons blev observeret hos børn, unge og voksne på tværs af studier, en måned efter vaccination med </w:t>
      </w:r>
      <w:proofErr w:type="spellStart"/>
      <w:r w:rsidRPr="00ED1FC1">
        <w:rPr>
          <w:sz w:val="24"/>
          <w:szCs w:val="24"/>
        </w:rPr>
        <w:t>Boostrix</w:t>
      </w:r>
      <w:proofErr w:type="spellEnd"/>
      <w:r w:rsidRPr="00ED1FC1">
        <w:rPr>
          <w:sz w:val="24"/>
          <w:szCs w:val="24"/>
        </w:rPr>
        <w:t xml:space="preserve"> Polio (tabel 4).</w:t>
      </w:r>
    </w:p>
    <w:p w:rsidR="00E92990" w:rsidRPr="00ED1FC1" w:rsidRDefault="00E92990" w:rsidP="00E92990">
      <w:pPr>
        <w:rPr>
          <w:sz w:val="24"/>
          <w:szCs w:val="24"/>
        </w:rPr>
      </w:pPr>
    </w:p>
    <w:p w:rsidR="00E92990" w:rsidRPr="00A55EFE" w:rsidRDefault="00E92990" w:rsidP="00A55EFE">
      <w:pPr>
        <w:spacing w:after="120"/>
        <w:ind w:firstLine="851"/>
        <w:rPr>
          <w:snapToGrid w:val="0"/>
          <w:color w:val="000000"/>
          <w:sz w:val="24"/>
          <w:szCs w:val="24"/>
        </w:rPr>
      </w:pPr>
      <w:r w:rsidRPr="00A55EFE">
        <w:rPr>
          <w:b/>
          <w:snapToGrid w:val="0"/>
          <w:color w:val="000000"/>
          <w:sz w:val="24"/>
          <w:szCs w:val="24"/>
        </w:rPr>
        <w:t>Tabel 4</w:t>
      </w:r>
      <w:r w:rsidRPr="00A55EFE">
        <w:rPr>
          <w:snapToGrid w:val="0"/>
          <w:color w:val="000000"/>
          <w:sz w:val="24"/>
          <w:szCs w:val="24"/>
        </w:rPr>
        <w:t>: Immunrespons hos børn, unge og voksne</w:t>
      </w:r>
    </w:p>
    <w:tbl>
      <w:tblPr>
        <w:tblW w:w="4708"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897"/>
        <w:gridCol w:w="2464"/>
        <w:gridCol w:w="2578"/>
      </w:tblGrid>
      <w:tr w:rsidR="00E92990" w:rsidRPr="00ED1FC1" w:rsidTr="00263756">
        <w:trPr>
          <w:trHeight w:val="1363"/>
        </w:trPr>
        <w:tc>
          <w:tcPr>
            <w:tcW w:w="1173" w:type="pct"/>
            <w:vMerge w:val="restart"/>
            <w:shd w:val="clear" w:color="auto" w:fill="F2F2F2"/>
            <w:vAlign w:val="center"/>
          </w:tcPr>
          <w:p w:rsidR="00E92990" w:rsidRDefault="00E92990" w:rsidP="00A55EFE">
            <w:pPr>
              <w:spacing w:after="240"/>
              <w:jc w:val="center"/>
              <w:rPr>
                <w:b/>
                <w:szCs w:val="22"/>
              </w:rPr>
            </w:pPr>
            <w:r>
              <w:rPr>
                <w:b/>
                <w:szCs w:val="22"/>
              </w:rPr>
              <w:t>Antigen</w:t>
            </w:r>
          </w:p>
        </w:tc>
        <w:tc>
          <w:tcPr>
            <w:tcW w:w="1046" w:type="pct"/>
            <w:vMerge w:val="restart"/>
            <w:shd w:val="clear" w:color="auto" w:fill="F2F2F2"/>
            <w:vAlign w:val="center"/>
          </w:tcPr>
          <w:p w:rsidR="00E92990" w:rsidRDefault="00E92990" w:rsidP="00A55EFE">
            <w:pPr>
              <w:spacing w:after="240"/>
              <w:jc w:val="center"/>
              <w:rPr>
                <w:b/>
                <w:szCs w:val="22"/>
              </w:rPr>
            </w:pPr>
            <w:r>
              <w:rPr>
                <w:b/>
                <w:szCs w:val="22"/>
              </w:rPr>
              <w:t>Respons</w:t>
            </w:r>
          </w:p>
        </w:tc>
        <w:tc>
          <w:tcPr>
            <w:tcW w:w="1359" w:type="pct"/>
            <w:tcBorders>
              <w:bottom w:val="nil"/>
            </w:tcBorders>
            <w:shd w:val="clear" w:color="auto" w:fill="F2F2F2"/>
            <w:vAlign w:val="center"/>
          </w:tcPr>
          <w:p w:rsidR="00E92990" w:rsidRDefault="00E92990" w:rsidP="00A55EFE">
            <w:pPr>
              <w:spacing w:after="120"/>
              <w:jc w:val="center"/>
              <w:rPr>
                <w:b/>
                <w:szCs w:val="22"/>
              </w:rPr>
            </w:pPr>
            <w:r>
              <w:rPr>
                <w:b/>
                <w:szCs w:val="22"/>
              </w:rPr>
              <w:t>Børn i alderen 3 - 8 år</w:t>
            </w:r>
          </w:p>
          <w:p w:rsidR="00E92990" w:rsidRDefault="00E92990" w:rsidP="00A55EFE">
            <w:pPr>
              <w:spacing w:after="120"/>
              <w:jc w:val="center"/>
              <w:rPr>
                <w:b/>
                <w:szCs w:val="22"/>
              </w:rPr>
            </w:pPr>
            <w:r>
              <w:rPr>
                <w:b/>
                <w:szCs w:val="22"/>
              </w:rPr>
              <w:t>(N=1.195)</w:t>
            </w:r>
          </w:p>
        </w:tc>
        <w:tc>
          <w:tcPr>
            <w:tcW w:w="1422" w:type="pct"/>
            <w:tcBorders>
              <w:bottom w:val="nil"/>
            </w:tcBorders>
            <w:shd w:val="clear" w:color="auto" w:fill="F2F2F2"/>
            <w:vAlign w:val="center"/>
          </w:tcPr>
          <w:p w:rsidR="00E92990" w:rsidRDefault="00E92990" w:rsidP="00A55EFE">
            <w:pPr>
              <w:spacing w:after="120"/>
              <w:jc w:val="center"/>
              <w:rPr>
                <w:b/>
                <w:szCs w:val="22"/>
              </w:rPr>
            </w:pPr>
          </w:p>
          <w:p w:rsidR="00E92990" w:rsidRDefault="00E92990" w:rsidP="00A55EFE">
            <w:pPr>
              <w:spacing w:after="120"/>
              <w:jc w:val="center"/>
              <w:rPr>
                <w:b/>
                <w:szCs w:val="22"/>
              </w:rPr>
            </w:pPr>
            <w:r>
              <w:rPr>
                <w:b/>
                <w:szCs w:val="22"/>
              </w:rPr>
              <w:t>Voksne, unge og børn i alderen fra 10 år og opefter</w:t>
            </w:r>
          </w:p>
          <w:p w:rsidR="00E92990" w:rsidRDefault="00E92990" w:rsidP="00A55EFE">
            <w:pPr>
              <w:jc w:val="center"/>
              <w:rPr>
                <w:b/>
                <w:szCs w:val="22"/>
              </w:rPr>
            </w:pPr>
            <w:r>
              <w:rPr>
                <w:b/>
                <w:szCs w:val="22"/>
              </w:rPr>
              <w:t>(N=923)</w:t>
            </w:r>
          </w:p>
        </w:tc>
      </w:tr>
      <w:tr w:rsidR="00E92990" w:rsidRPr="00ED1FC1" w:rsidTr="00263756">
        <w:trPr>
          <w:trHeight w:val="422"/>
        </w:trPr>
        <w:tc>
          <w:tcPr>
            <w:tcW w:w="1173" w:type="pct"/>
            <w:vMerge/>
            <w:shd w:val="clear" w:color="auto" w:fill="F2F2F2"/>
            <w:vAlign w:val="center"/>
          </w:tcPr>
          <w:p w:rsidR="00E92990" w:rsidRPr="00ED1FC1" w:rsidRDefault="00E92990" w:rsidP="00A55EFE">
            <w:pPr>
              <w:spacing w:after="240"/>
              <w:jc w:val="center"/>
              <w:rPr>
                <w:b/>
                <w:szCs w:val="22"/>
              </w:rPr>
            </w:pPr>
          </w:p>
        </w:tc>
        <w:tc>
          <w:tcPr>
            <w:tcW w:w="1046" w:type="pct"/>
            <w:vMerge/>
            <w:shd w:val="clear" w:color="auto" w:fill="F2F2F2"/>
            <w:vAlign w:val="center"/>
          </w:tcPr>
          <w:p w:rsidR="00E92990" w:rsidRPr="00ED1FC1" w:rsidRDefault="00E92990" w:rsidP="00A55EFE">
            <w:pPr>
              <w:spacing w:after="240"/>
              <w:jc w:val="center"/>
              <w:rPr>
                <w:b/>
                <w:szCs w:val="22"/>
              </w:rPr>
            </w:pPr>
          </w:p>
        </w:tc>
        <w:tc>
          <w:tcPr>
            <w:tcW w:w="1359" w:type="pct"/>
            <w:tcBorders>
              <w:top w:val="nil"/>
            </w:tcBorders>
            <w:shd w:val="clear" w:color="auto" w:fill="F2F2F2"/>
            <w:vAlign w:val="center"/>
          </w:tcPr>
          <w:p w:rsidR="00E92990" w:rsidRPr="00ED1FC1" w:rsidRDefault="00E92990" w:rsidP="00A55EFE">
            <w:pPr>
              <w:jc w:val="center"/>
              <w:rPr>
                <w:b/>
                <w:szCs w:val="22"/>
              </w:rPr>
            </w:pPr>
            <w:r>
              <w:rPr>
                <w:szCs w:val="22"/>
              </w:rPr>
              <w:t>(% vaccinerede)</w:t>
            </w:r>
          </w:p>
        </w:tc>
        <w:tc>
          <w:tcPr>
            <w:tcW w:w="1422" w:type="pct"/>
            <w:tcBorders>
              <w:top w:val="nil"/>
            </w:tcBorders>
            <w:shd w:val="clear" w:color="auto" w:fill="F2F2F2"/>
            <w:vAlign w:val="center"/>
          </w:tcPr>
          <w:p w:rsidR="00E92990" w:rsidRPr="00ED1FC1" w:rsidRDefault="00E92990" w:rsidP="00A55EFE">
            <w:pPr>
              <w:jc w:val="center"/>
              <w:rPr>
                <w:b/>
                <w:szCs w:val="22"/>
              </w:rPr>
            </w:pPr>
            <w:r>
              <w:rPr>
                <w:szCs w:val="22"/>
              </w:rPr>
              <w:t>(% vaccinerede)</w:t>
            </w:r>
          </w:p>
        </w:tc>
      </w:tr>
      <w:tr w:rsidR="00E92990" w:rsidRPr="00ED1FC1" w:rsidTr="00263756">
        <w:trPr>
          <w:trHeight w:val="390"/>
        </w:trPr>
        <w:tc>
          <w:tcPr>
            <w:tcW w:w="1173" w:type="pct"/>
            <w:vMerge w:val="restart"/>
            <w:shd w:val="clear" w:color="auto" w:fill="F2F2F2"/>
            <w:vAlign w:val="center"/>
          </w:tcPr>
          <w:p w:rsidR="00E92990" w:rsidRDefault="00E92990" w:rsidP="00A55EFE">
            <w:pPr>
              <w:rPr>
                <w:b/>
                <w:szCs w:val="22"/>
              </w:rPr>
            </w:pPr>
            <w:r>
              <w:rPr>
                <w:b/>
                <w:szCs w:val="22"/>
              </w:rPr>
              <w:t>Difteri</w:t>
            </w:r>
          </w:p>
        </w:tc>
        <w:tc>
          <w:tcPr>
            <w:tcW w:w="1046" w:type="pct"/>
            <w:tcBorders>
              <w:bottom w:val="dashed" w:sz="4" w:space="0" w:color="auto"/>
            </w:tcBorders>
            <w:vAlign w:val="center"/>
          </w:tcPr>
          <w:p w:rsidR="00E92990" w:rsidRDefault="00E92990" w:rsidP="00A55EFE">
            <w:pPr>
              <w:jc w:val="center"/>
              <w:rPr>
                <w:szCs w:val="22"/>
              </w:rPr>
            </w:pPr>
            <w:r>
              <w:rPr>
                <w:szCs w:val="22"/>
              </w:rPr>
              <w:sym w:font="Symbol" w:char="F0B3"/>
            </w:r>
            <w:r>
              <w:rPr>
                <w:szCs w:val="22"/>
              </w:rPr>
              <w:t xml:space="preserve"> 0,1 IU/ml</w:t>
            </w:r>
          </w:p>
        </w:tc>
        <w:tc>
          <w:tcPr>
            <w:tcW w:w="1359" w:type="pct"/>
            <w:tcBorders>
              <w:bottom w:val="dashed" w:sz="4" w:space="0" w:color="auto"/>
            </w:tcBorders>
            <w:vAlign w:val="center"/>
          </w:tcPr>
          <w:p w:rsidR="00E92990" w:rsidRDefault="00E92990" w:rsidP="00A55EFE">
            <w:pPr>
              <w:jc w:val="center"/>
              <w:rPr>
                <w:szCs w:val="22"/>
              </w:rPr>
            </w:pPr>
            <w:r>
              <w:rPr>
                <w:szCs w:val="22"/>
                <w:lang w:val="fr-BE"/>
              </w:rPr>
              <w:t>100 %</w:t>
            </w:r>
          </w:p>
        </w:tc>
        <w:tc>
          <w:tcPr>
            <w:tcW w:w="1422" w:type="pct"/>
            <w:tcBorders>
              <w:bottom w:val="dashed" w:sz="4" w:space="0" w:color="auto"/>
            </w:tcBorders>
            <w:vAlign w:val="center"/>
          </w:tcPr>
          <w:p w:rsidR="00E92990" w:rsidRDefault="00E92990" w:rsidP="00A55EFE">
            <w:pPr>
              <w:jc w:val="center"/>
              <w:rPr>
                <w:szCs w:val="22"/>
              </w:rPr>
            </w:pPr>
            <w:r>
              <w:rPr>
                <w:szCs w:val="22"/>
                <w:lang w:val="fr-BE"/>
              </w:rPr>
              <w:t>82,2 – 100 %</w:t>
            </w:r>
          </w:p>
        </w:tc>
      </w:tr>
      <w:tr w:rsidR="00E92990" w:rsidRPr="00ED1FC1" w:rsidTr="00263756">
        <w:trPr>
          <w:trHeight w:val="390"/>
        </w:trPr>
        <w:tc>
          <w:tcPr>
            <w:tcW w:w="1173" w:type="pct"/>
            <w:vMerge/>
            <w:shd w:val="clear" w:color="auto" w:fill="F2F2F2"/>
            <w:vAlign w:val="center"/>
          </w:tcPr>
          <w:p w:rsidR="00E92990" w:rsidRPr="00ED1FC1" w:rsidRDefault="00E92990" w:rsidP="00A55EFE">
            <w:pPr>
              <w:rPr>
                <w:b/>
                <w:szCs w:val="22"/>
              </w:rPr>
            </w:pPr>
          </w:p>
        </w:tc>
        <w:tc>
          <w:tcPr>
            <w:tcW w:w="1046" w:type="pct"/>
            <w:tcBorders>
              <w:top w:val="dashed" w:sz="4" w:space="0" w:color="auto"/>
            </w:tcBorders>
            <w:vAlign w:val="center"/>
          </w:tcPr>
          <w:p w:rsidR="00E92990" w:rsidRPr="00ED1FC1" w:rsidRDefault="00E92990" w:rsidP="00A55EFE">
            <w:pPr>
              <w:jc w:val="center"/>
              <w:rPr>
                <w:szCs w:val="22"/>
              </w:rPr>
            </w:pPr>
            <w:r>
              <w:sym w:font="Symbol" w:char="F0B3"/>
            </w:r>
            <w:r>
              <w:t xml:space="preserve"> 0,016 IU/ml</w:t>
            </w:r>
            <w:r>
              <w:rPr>
                <w:vertAlign w:val="superscript"/>
              </w:rPr>
              <w:t xml:space="preserve"> (1)</w:t>
            </w:r>
          </w:p>
        </w:tc>
        <w:tc>
          <w:tcPr>
            <w:tcW w:w="1359" w:type="pct"/>
            <w:tcBorders>
              <w:top w:val="dashed" w:sz="4" w:space="0" w:color="auto"/>
            </w:tcBorders>
            <w:vAlign w:val="center"/>
          </w:tcPr>
          <w:p w:rsidR="00E92990" w:rsidRPr="00ED1FC1" w:rsidRDefault="00E92990" w:rsidP="00A55EFE">
            <w:pPr>
              <w:jc w:val="center"/>
              <w:rPr>
                <w:szCs w:val="22"/>
                <w:lang w:val="fr-BE"/>
              </w:rPr>
            </w:pPr>
            <w:r>
              <w:t>NA</w:t>
            </w:r>
          </w:p>
        </w:tc>
        <w:tc>
          <w:tcPr>
            <w:tcW w:w="1422" w:type="pct"/>
            <w:tcBorders>
              <w:top w:val="dashed" w:sz="4" w:space="0" w:color="auto"/>
            </w:tcBorders>
            <w:vAlign w:val="center"/>
          </w:tcPr>
          <w:p w:rsidR="00E92990" w:rsidRPr="00ED1FC1" w:rsidRDefault="00E92990" w:rsidP="00A55EFE">
            <w:pPr>
              <w:jc w:val="center"/>
              <w:rPr>
                <w:szCs w:val="22"/>
                <w:lang w:val="fr-BE"/>
              </w:rPr>
            </w:pPr>
            <w:r>
              <w:t xml:space="preserve">87,7 – 100 % </w:t>
            </w:r>
            <w:r>
              <w:rPr>
                <w:vertAlign w:val="superscript"/>
              </w:rPr>
              <w:t>(2)</w:t>
            </w:r>
          </w:p>
        </w:tc>
      </w:tr>
      <w:tr w:rsidR="00E92990" w:rsidRPr="00ED1FC1" w:rsidTr="00263756">
        <w:trPr>
          <w:trHeight w:val="423"/>
        </w:trPr>
        <w:tc>
          <w:tcPr>
            <w:tcW w:w="1173" w:type="pct"/>
            <w:shd w:val="clear" w:color="auto" w:fill="F2F2F2"/>
            <w:vAlign w:val="center"/>
          </w:tcPr>
          <w:p w:rsidR="00E92990" w:rsidRDefault="00E92990" w:rsidP="00A55EFE">
            <w:pPr>
              <w:rPr>
                <w:b/>
                <w:szCs w:val="22"/>
              </w:rPr>
            </w:pPr>
            <w:r>
              <w:rPr>
                <w:b/>
                <w:szCs w:val="22"/>
              </w:rPr>
              <w:t>Tetanus</w:t>
            </w:r>
          </w:p>
        </w:tc>
        <w:tc>
          <w:tcPr>
            <w:tcW w:w="1046" w:type="pct"/>
            <w:tcBorders>
              <w:bottom w:val="single" w:sz="4" w:space="0" w:color="auto"/>
            </w:tcBorders>
            <w:vAlign w:val="center"/>
          </w:tcPr>
          <w:p w:rsidR="00E92990" w:rsidRDefault="00E92990" w:rsidP="00A55EFE">
            <w:pPr>
              <w:jc w:val="center"/>
              <w:rPr>
                <w:szCs w:val="22"/>
              </w:rPr>
            </w:pPr>
            <w:r>
              <w:rPr>
                <w:szCs w:val="22"/>
              </w:rPr>
              <w:sym w:font="Symbol" w:char="F0B3"/>
            </w:r>
            <w:r>
              <w:rPr>
                <w:szCs w:val="22"/>
              </w:rPr>
              <w:t xml:space="preserve"> 0,1 IU/ml</w:t>
            </w:r>
          </w:p>
        </w:tc>
        <w:tc>
          <w:tcPr>
            <w:tcW w:w="1359" w:type="pct"/>
            <w:tcBorders>
              <w:bottom w:val="single" w:sz="4" w:space="0" w:color="auto"/>
            </w:tcBorders>
            <w:vAlign w:val="center"/>
          </w:tcPr>
          <w:p w:rsidR="00E92990" w:rsidRDefault="00E92990" w:rsidP="00A55EFE">
            <w:pPr>
              <w:jc w:val="center"/>
              <w:rPr>
                <w:szCs w:val="22"/>
              </w:rPr>
            </w:pPr>
            <w:r>
              <w:rPr>
                <w:szCs w:val="22"/>
                <w:lang w:val="fr-BE"/>
              </w:rPr>
              <w:t>99,9 – 100 %</w:t>
            </w:r>
          </w:p>
        </w:tc>
        <w:tc>
          <w:tcPr>
            <w:tcW w:w="1422" w:type="pct"/>
            <w:vAlign w:val="center"/>
          </w:tcPr>
          <w:p w:rsidR="00E92990" w:rsidRDefault="00E92990" w:rsidP="00A55EFE">
            <w:pPr>
              <w:jc w:val="center"/>
              <w:rPr>
                <w:szCs w:val="22"/>
              </w:rPr>
            </w:pPr>
            <w:r>
              <w:rPr>
                <w:szCs w:val="22"/>
                <w:lang w:val="fr-BE"/>
              </w:rPr>
              <w:t>99,6 – 100 %</w:t>
            </w:r>
          </w:p>
        </w:tc>
      </w:tr>
      <w:tr w:rsidR="00E92990" w:rsidRPr="00ED1FC1" w:rsidTr="00263756">
        <w:trPr>
          <w:trHeight w:val="415"/>
        </w:trPr>
        <w:tc>
          <w:tcPr>
            <w:tcW w:w="1173" w:type="pct"/>
            <w:tcBorders>
              <w:bottom w:val="nil"/>
              <w:right w:val="single" w:sz="4" w:space="0" w:color="auto"/>
            </w:tcBorders>
            <w:shd w:val="clear" w:color="auto" w:fill="F2F2F2"/>
            <w:vAlign w:val="center"/>
          </w:tcPr>
          <w:p w:rsidR="00E92990" w:rsidRDefault="00E92990" w:rsidP="00263756">
            <w:pPr>
              <w:keepNext/>
              <w:rPr>
                <w:b/>
                <w:szCs w:val="22"/>
              </w:rPr>
            </w:pPr>
            <w:proofErr w:type="spellStart"/>
            <w:r>
              <w:rPr>
                <w:b/>
                <w:szCs w:val="22"/>
              </w:rPr>
              <w:lastRenderedPageBreak/>
              <w:t>Pertussis</w:t>
            </w:r>
            <w:proofErr w:type="spellEnd"/>
          </w:p>
        </w:tc>
        <w:tc>
          <w:tcPr>
            <w:tcW w:w="1046" w:type="pct"/>
            <w:vMerge w:val="restart"/>
            <w:tcBorders>
              <w:left w:val="single" w:sz="4" w:space="0" w:color="auto"/>
              <w:right w:val="single" w:sz="4" w:space="0" w:color="auto"/>
            </w:tcBorders>
            <w:vAlign w:val="center"/>
          </w:tcPr>
          <w:p w:rsidR="00E92990" w:rsidRDefault="00E92990" w:rsidP="00263756">
            <w:pPr>
              <w:keepNext/>
              <w:ind w:left="-81" w:right="-188"/>
              <w:jc w:val="center"/>
              <w:rPr>
                <w:szCs w:val="22"/>
              </w:rPr>
            </w:pPr>
            <w:r>
              <w:rPr>
                <w:szCs w:val="22"/>
              </w:rPr>
              <w:t>Booster respons</w:t>
            </w:r>
            <w:r>
              <w:rPr>
                <w:szCs w:val="22"/>
                <w:vertAlign w:val="superscript"/>
              </w:rPr>
              <w:t xml:space="preserve"> (3)</w:t>
            </w:r>
          </w:p>
        </w:tc>
        <w:tc>
          <w:tcPr>
            <w:tcW w:w="1359" w:type="pct"/>
            <w:tcBorders>
              <w:left w:val="single" w:sz="4" w:space="0" w:color="auto"/>
              <w:bottom w:val="nil"/>
              <w:right w:val="single" w:sz="4" w:space="0" w:color="auto"/>
            </w:tcBorders>
            <w:vAlign w:val="center"/>
          </w:tcPr>
          <w:p w:rsidR="00E92990" w:rsidRDefault="00E92990" w:rsidP="00263756">
            <w:pPr>
              <w:keepNext/>
              <w:rPr>
                <w:szCs w:val="22"/>
              </w:rPr>
            </w:pPr>
          </w:p>
        </w:tc>
        <w:tc>
          <w:tcPr>
            <w:tcW w:w="1422" w:type="pct"/>
            <w:tcBorders>
              <w:left w:val="single" w:sz="4" w:space="0" w:color="auto"/>
              <w:bottom w:val="nil"/>
            </w:tcBorders>
            <w:vAlign w:val="center"/>
          </w:tcPr>
          <w:p w:rsidR="00E92990" w:rsidRDefault="00E92990" w:rsidP="00263756">
            <w:pPr>
              <w:keepNext/>
              <w:rPr>
                <w:szCs w:val="22"/>
              </w:rPr>
            </w:pPr>
          </w:p>
        </w:tc>
      </w:tr>
      <w:tr w:rsidR="00E92990" w:rsidRPr="00ED1FC1" w:rsidTr="00263756">
        <w:trPr>
          <w:trHeight w:val="214"/>
        </w:trPr>
        <w:tc>
          <w:tcPr>
            <w:tcW w:w="1173" w:type="pct"/>
            <w:tcBorders>
              <w:top w:val="nil"/>
              <w:bottom w:val="nil"/>
              <w:right w:val="single" w:sz="4" w:space="0" w:color="auto"/>
            </w:tcBorders>
            <w:shd w:val="clear" w:color="auto" w:fill="F2F2F2"/>
            <w:vAlign w:val="center"/>
          </w:tcPr>
          <w:p w:rsidR="00E92990" w:rsidRPr="00ED1FC1" w:rsidRDefault="00E92990" w:rsidP="00263756">
            <w:pPr>
              <w:keepNext/>
              <w:ind w:left="142"/>
              <w:rPr>
                <w:szCs w:val="22"/>
              </w:rPr>
            </w:pPr>
            <w:proofErr w:type="spellStart"/>
            <w:r>
              <w:rPr>
                <w:szCs w:val="22"/>
              </w:rPr>
              <w:t>Pertussistoksoid</w:t>
            </w:r>
            <w:proofErr w:type="spellEnd"/>
          </w:p>
        </w:tc>
        <w:tc>
          <w:tcPr>
            <w:tcW w:w="1046" w:type="pct"/>
            <w:vMerge/>
            <w:tcBorders>
              <w:left w:val="single" w:sz="4" w:space="0" w:color="auto"/>
              <w:right w:val="single" w:sz="4" w:space="0" w:color="auto"/>
            </w:tcBorders>
            <w:vAlign w:val="center"/>
          </w:tcPr>
          <w:p w:rsidR="00E92990" w:rsidRPr="00ED1FC1" w:rsidRDefault="00E92990" w:rsidP="00263756">
            <w:pPr>
              <w:keepNext/>
              <w:jc w:val="center"/>
              <w:rPr>
                <w:szCs w:val="22"/>
              </w:rPr>
            </w:pPr>
          </w:p>
        </w:tc>
        <w:tc>
          <w:tcPr>
            <w:tcW w:w="1359" w:type="pct"/>
            <w:tcBorders>
              <w:top w:val="nil"/>
              <w:left w:val="single" w:sz="4" w:space="0" w:color="auto"/>
              <w:bottom w:val="nil"/>
              <w:right w:val="single" w:sz="4" w:space="0" w:color="auto"/>
            </w:tcBorders>
            <w:vAlign w:val="center"/>
          </w:tcPr>
          <w:p w:rsidR="00E92990" w:rsidRPr="00ED1FC1" w:rsidRDefault="00E92990" w:rsidP="00263756">
            <w:pPr>
              <w:keepNext/>
              <w:jc w:val="center"/>
              <w:rPr>
                <w:szCs w:val="22"/>
                <w:lang w:val="fr-BE" w:eastAsia="ja-JP"/>
              </w:rPr>
            </w:pPr>
            <w:r>
              <w:rPr>
                <w:szCs w:val="22"/>
                <w:lang w:val="fr-BE" w:eastAsia="ja-JP"/>
              </w:rPr>
              <w:t>84,6 – 90,6 %</w:t>
            </w:r>
          </w:p>
        </w:tc>
        <w:tc>
          <w:tcPr>
            <w:tcW w:w="1422" w:type="pct"/>
            <w:tcBorders>
              <w:top w:val="nil"/>
              <w:left w:val="single" w:sz="4" w:space="0" w:color="auto"/>
              <w:bottom w:val="nil"/>
            </w:tcBorders>
            <w:vAlign w:val="center"/>
          </w:tcPr>
          <w:p w:rsidR="00E92990" w:rsidRPr="00ED1FC1" w:rsidRDefault="00E92990" w:rsidP="00263756">
            <w:pPr>
              <w:keepNext/>
              <w:jc w:val="center"/>
              <w:rPr>
                <w:szCs w:val="22"/>
              </w:rPr>
            </w:pPr>
            <w:r>
              <w:rPr>
                <w:szCs w:val="22"/>
              </w:rPr>
              <w:t>79,8 – 94,0 %</w:t>
            </w:r>
          </w:p>
        </w:tc>
      </w:tr>
      <w:tr w:rsidR="00E92990" w:rsidRPr="00ED1FC1" w:rsidTr="00263756">
        <w:trPr>
          <w:trHeight w:val="565"/>
        </w:trPr>
        <w:tc>
          <w:tcPr>
            <w:tcW w:w="1173" w:type="pct"/>
            <w:tcBorders>
              <w:top w:val="nil"/>
              <w:bottom w:val="nil"/>
              <w:right w:val="single" w:sz="4" w:space="0" w:color="auto"/>
            </w:tcBorders>
            <w:shd w:val="clear" w:color="auto" w:fill="F2F2F2"/>
            <w:vAlign w:val="center"/>
          </w:tcPr>
          <w:p w:rsidR="00E92990" w:rsidRDefault="00E92990" w:rsidP="00263756">
            <w:pPr>
              <w:keepNext/>
              <w:tabs>
                <w:tab w:val="left" w:pos="142"/>
              </w:tabs>
              <w:ind w:left="142"/>
              <w:rPr>
                <w:szCs w:val="22"/>
              </w:rPr>
            </w:pPr>
            <w:proofErr w:type="spellStart"/>
            <w:r>
              <w:rPr>
                <w:szCs w:val="22"/>
              </w:rPr>
              <w:t>Filamentøs</w:t>
            </w:r>
            <w:proofErr w:type="spellEnd"/>
            <w:r>
              <w:rPr>
                <w:szCs w:val="22"/>
              </w:rPr>
              <w:t xml:space="preserve">      </w:t>
            </w:r>
          </w:p>
          <w:p w:rsidR="00E92990" w:rsidRPr="00ED1FC1" w:rsidRDefault="00E92990" w:rsidP="00263756">
            <w:pPr>
              <w:keepNext/>
              <w:tabs>
                <w:tab w:val="left" w:pos="142"/>
              </w:tabs>
              <w:ind w:left="142"/>
              <w:rPr>
                <w:szCs w:val="22"/>
              </w:rPr>
            </w:pPr>
            <w:r>
              <w:rPr>
                <w:szCs w:val="22"/>
              </w:rPr>
              <w:t xml:space="preserve">   </w:t>
            </w:r>
            <w:proofErr w:type="spellStart"/>
            <w:r>
              <w:rPr>
                <w:szCs w:val="22"/>
              </w:rPr>
              <w:t>hæmagglutin</w:t>
            </w:r>
            <w:proofErr w:type="spellEnd"/>
          </w:p>
        </w:tc>
        <w:tc>
          <w:tcPr>
            <w:tcW w:w="1046" w:type="pct"/>
            <w:vMerge/>
            <w:tcBorders>
              <w:left w:val="single" w:sz="4" w:space="0" w:color="auto"/>
              <w:right w:val="single" w:sz="4" w:space="0" w:color="auto"/>
            </w:tcBorders>
            <w:vAlign w:val="center"/>
          </w:tcPr>
          <w:p w:rsidR="00E92990" w:rsidRPr="00ED1FC1" w:rsidRDefault="00E92990" w:rsidP="00263756">
            <w:pPr>
              <w:keepNext/>
              <w:jc w:val="center"/>
              <w:rPr>
                <w:szCs w:val="22"/>
              </w:rPr>
            </w:pPr>
          </w:p>
        </w:tc>
        <w:tc>
          <w:tcPr>
            <w:tcW w:w="1359" w:type="pct"/>
            <w:tcBorders>
              <w:top w:val="nil"/>
              <w:left w:val="single" w:sz="4" w:space="0" w:color="auto"/>
              <w:bottom w:val="nil"/>
              <w:right w:val="single" w:sz="4" w:space="0" w:color="auto"/>
            </w:tcBorders>
            <w:vAlign w:val="center"/>
          </w:tcPr>
          <w:p w:rsidR="00E92990" w:rsidRPr="00ED1FC1" w:rsidRDefault="00E92990" w:rsidP="00263756">
            <w:pPr>
              <w:keepNext/>
              <w:jc w:val="center"/>
              <w:rPr>
                <w:szCs w:val="22"/>
              </w:rPr>
            </w:pPr>
            <w:r>
              <w:rPr>
                <w:szCs w:val="22"/>
              </w:rPr>
              <w:t>90,1 – 98,8 %</w:t>
            </w:r>
          </w:p>
        </w:tc>
        <w:tc>
          <w:tcPr>
            <w:tcW w:w="1422" w:type="pct"/>
            <w:tcBorders>
              <w:top w:val="nil"/>
              <w:left w:val="single" w:sz="4" w:space="0" w:color="auto"/>
              <w:bottom w:val="nil"/>
            </w:tcBorders>
            <w:vAlign w:val="center"/>
          </w:tcPr>
          <w:p w:rsidR="00E92990" w:rsidRPr="00ED1FC1" w:rsidRDefault="00E92990" w:rsidP="00263756">
            <w:pPr>
              <w:keepNext/>
              <w:jc w:val="center"/>
              <w:rPr>
                <w:szCs w:val="22"/>
              </w:rPr>
            </w:pPr>
            <w:r>
              <w:rPr>
                <w:szCs w:val="22"/>
              </w:rPr>
              <w:t>90,7 – 97,2 %</w:t>
            </w:r>
          </w:p>
        </w:tc>
      </w:tr>
      <w:tr w:rsidR="00E92990" w:rsidRPr="00ED1FC1" w:rsidTr="00263756">
        <w:trPr>
          <w:trHeight w:val="301"/>
        </w:trPr>
        <w:tc>
          <w:tcPr>
            <w:tcW w:w="1173" w:type="pct"/>
            <w:tcBorders>
              <w:top w:val="nil"/>
              <w:right w:val="single" w:sz="4" w:space="0" w:color="auto"/>
            </w:tcBorders>
            <w:shd w:val="clear" w:color="auto" w:fill="F2F2F2"/>
            <w:vAlign w:val="center"/>
          </w:tcPr>
          <w:p w:rsidR="00E92990" w:rsidRPr="00ED1FC1" w:rsidRDefault="00E92990" w:rsidP="00263756">
            <w:pPr>
              <w:keepNext/>
              <w:ind w:left="142"/>
              <w:rPr>
                <w:szCs w:val="22"/>
              </w:rPr>
            </w:pPr>
            <w:proofErr w:type="spellStart"/>
            <w:r>
              <w:rPr>
                <w:szCs w:val="22"/>
              </w:rPr>
              <w:t>Pertactin</w:t>
            </w:r>
            <w:proofErr w:type="spellEnd"/>
          </w:p>
        </w:tc>
        <w:tc>
          <w:tcPr>
            <w:tcW w:w="1046" w:type="pct"/>
            <w:vMerge/>
            <w:tcBorders>
              <w:left w:val="single" w:sz="4" w:space="0" w:color="auto"/>
              <w:right w:val="single" w:sz="4" w:space="0" w:color="auto"/>
            </w:tcBorders>
            <w:vAlign w:val="center"/>
          </w:tcPr>
          <w:p w:rsidR="00E92990" w:rsidRPr="00ED1FC1" w:rsidRDefault="00E92990" w:rsidP="00263756">
            <w:pPr>
              <w:keepNext/>
              <w:jc w:val="center"/>
              <w:rPr>
                <w:szCs w:val="22"/>
              </w:rPr>
            </w:pPr>
          </w:p>
        </w:tc>
        <w:tc>
          <w:tcPr>
            <w:tcW w:w="1359" w:type="pct"/>
            <w:tcBorders>
              <w:top w:val="nil"/>
              <w:left w:val="single" w:sz="4" w:space="0" w:color="auto"/>
              <w:right w:val="single" w:sz="4" w:space="0" w:color="auto"/>
            </w:tcBorders>
            <w:vAlign w:val="center"/>
          </w:tcPr>
          <w:p w:rsidR="00E92990" w:rsidRPr="00ED1FC1" w:rsidRDefault="00E92990" w:rsidP="00263756">
            <w:pPr>
              <w:keepNext/>
              <w:jc w:val="center"/>
              <w:rPr>
                <w:szCs w:val="22"/>
              </w:rPr>
            </w:pPr>
            <w:r>
              <w:rPr>
                <w:szCs w:val="22"/>
              </w:rPr>
              <w:t>94,2 – 96,6 %</w:t>
            </w:r>
          </w:p>
        </w:tc>
        <w:tc>
          <w:tcPr>
            <w:tcW w:w="1422" w:type="pct"/>
            <w:tcBorders>
              <w:top w:val="nil"/>
              <w:left w:val="single" w:sz="4" w:space="0" w:color="auto"/>
            </w:tcBorders>
            <w:vAlign w:val="center"/>
          </w:tcPr>
          <w:p w:rsidR="00E92990" w:rsidRPr="00ED1FC1" w:rsidRDefault="00E92990" w:rsidP="00263756">
            <w:pPr>
              <w:keepNext/>
              <w:jc w:val="center"/>
              <w:rPr>
                <w:szCs w:val="22"/>
              </w:rPr>
            </w:pPr>
            <w:r>
              <w:rPr>
                <w:szCs w:val="22"/>
              </w:rPr>
              <w:t>90,0 – 96,7 %</w:t>
            </w:r>
          </w:p>
        </w:tc>
      </w:tr>
      <w:tr w:rsidR="00E92990" w:rsidRPr="00ED1FC1" w:rsidTr="00263756">
        <w:trPr>
          <w:trHeight w:val="376"/>
        </w:trPr>
        <w:tc>
          <w:tcPr>
            <w:tcW w:w="1173" w:type="pct"/>
            <w:tcBorders>
              <w:bottom w:val="nil"/>
            </w:tcBorders>
            <w:shd w:val="clear" w:color="auto" w:fill="F2F2F2"/>
            <w:vAlign w:val="center"/>
          </w:tcPr>
          <w:p w:rsidR="00E92990" w:rsidRDefault="00E92990" w:rsidP="00263756">
            <w:pPr>
              <w:keepNext/>
              <w:rPr>
                <w:b/>
                <w:szCs w:val="22"/>
              </w:rPr>
            </w:pPr>
            <w:r>
              <w:rPr>
                <w:b/>
                <w:szCs w:val="22"/>
              </w:rPr>
              <w:t>Inaktiveret poliovirus</w:t>
            </w:r>
          </w:p>
        </w:tc>
        <w:tc>
          <w:tcPr>
            <w:tcW w:w="1046" w:type="pct"/>
            <w:vMerge w:val="restart"/>
            <w:vAlign w:val="center"/>
          </w:tcPr>
          <w:p w:rsidR="00E92990" w:rsidRDefault="00E92990" w:rsidP="00263756">
            <w:pPr>
              <w:keepNext/>
              <w:jc w:val="center"/>
              <w:rPr>
                <w:szCs w:val="22"/>
              </w:rPr>
            </w:pPr>
            <w:r>
              <w:rPr>
                <w:szCs w:val="22"/>
              </w:rPr>
              <w:sym w:font="Symbol" w:char="F0B3"/>
            </w:r>
            <w:r>
              <w:rPr>
                <w:szCs w:val="22"/>
              </w:rPr>
              <w:t xml:space="preserve"> 8 ED50</w:t>
            </w:r>
          </w:p>
        </w:tc>
        <w:tc>
          <w:tcPr>
            <w:tcW w:w="1359" w:type="pct"/>
            <w:tcBorders>
              <w:bottom w:val="nil"/>
            </w:tcBorders>
          </w:tcPr>
          <w:p w:rsidR="00E92990" w:rsidRDefault="00E92990" w:rsidP="00263756">
            <w:pPr>
              <w:keepNext/>
              <w:jc w:val="center"/>
              <w:rPr>
                <w:szCs w:val="22"/>
              </w:rPr>
            </w:pPr>
          </w:p>
        </w:tc>
        <w:tc>
          <w:tcPr>
            <w:tcW w:w="1422" w:type="pct"/>
            <w:tcBorders>
              <w:bottom w:val="nil"/>
            </w:tcBorders>
          </w:tcPr>
          <w:p w:rsidR="00E92990" w:rsidRDefault="00E92990" w:rsidP="00263756">
            <w:pPr>
              <w:keepNext/>
              <w:rPr>
                <w:szCs w:val="22"/>
              </w:rPr>
            </w:pPr>
          </w:p>
        </w:tc>
      </w:tr>
      <w:tr w:rsidR="00E92990" w:rsidRPr="00ED1FC1" w:rsidTr="00263756">
        <w:trPr>
          <w:trHeight w:val="287"/>
        </w:trPr>
        <w:tc>
          <w:tcPr>
            <w:tcW w:w="1173" w:type="pct"/>
            <w:tcBorders>
              <w:top w:val="nil"/>
              <w:bottom w:val="nil"/>
            </w:tcBorders>
            <w:shd w:val="clear" w:color="auto" w:fill="F2F2F2"/>
            <w:vAlign w:val="center"/>
          </w:tcPr>
          <w:p w:rsidR="00E92990" w:rsidRPr="00ED1FC1" w:rsidRDefault="00E92990" w:rsidP="00263756">
            <w:pPr>
              <w:keepNext/>
              <w:ind w:left="142"/>
              <w:rPr>
                <w:szCs w:val="22"/>
              </w:rPr>
            </w:pPr>
            <w:r>
              <w:rPr>
                <w:szCs w:val="22"/>
              </w:rPr>
              <w:t>type 1</w:t>
            </w:r>
          </w:p>
        </w:tc>
        <w:tc>
          <w:tcPr>
            <w:tcW w:w="1046" w:type="pct"/>
            <w:vMerge/>
            <w:vAlign w:val="center"/>
          </w:tcPr>
          <w:p w:rsidR="00E92990" w:rsidRPr="00ED1FC1" w:rsidRDefault="00E92990" w:rsidP="00263756">
            <w:pPr>
              <w:keepNext/>
              <w:jc w:val="center"/>
              <w:rPr>
                <w:szCs w:val="22"/>
              </w:rPr>
            </w:pPr>
          </w:p>
        </w:tc>
        <w:tc>
          <w:tcPr>
            <w:tcW w:w="1359" w:type="pct"/>
            <w:tcBorders>
              <w:top w:val="nil"/>
              <w:bottom w:val="nil"/>
            </w:tcBorders>
            <w:vAlign w:val="center"/>
          </w:tcPr>
          <w:p w:rsidR="00E92990" w:rsidRPr="00ED1FC1" w:rsidRDefault="00E92990" w:rsidP="00263756">
            <w:pPr>
              <w:keepNext/>
              <w:jc w:val="center"/>
              <w:rPr>
                <w:szCs w:val="22"/>
              </w:rPr>
            </w:pPr>
            <w:r>
              <w:rPr>
                <w:szCs w:val="22"/>
              </w:rPr>
              <w:t>98,8 – 100 %</w:t>
            </w:r>
          </w:p>
        </w:tc>
        <w:tc>
          <w:tcPr>
            <w:tcW w:w="1422" w:type="pct"/>
            <w:tcBorders>
              <w:top w:val="nil"/>
              <w:bottom w:val="nil"/>
            </w:tcBorders>
            <w:vAlign w:val="center"/>
          </w:tcPr>
          <w:p w:rsidR="00E92990" w:rsidRPr="00ED1FC1" w:rsidRDefault="00E92990" w:rsidP="00263756">
            <w:pPr>
              <w:keepNext/>
              <w:jc w:val="center"/>
              <w:rPr>
                <w:szCs w:val="22"/>
              </w:rPr>
            </w:pPr>
            <w:r>
              <w:rPr>
                <w:szCs w:val="22"/>
              </w:rPr>
              <w:t>99,6 – 100 %</w:t>
            </w:r>
          </w:p>
        </w:tc>
      </w:tr>
      <w:tr w:rsidR="00E92990" w:rsidRPr="00ED1FC1" w:rsidTr="00263756">
        <w:trPr>
          <w:trHeight w:val="290"/>
        </w:trPr>
        <w:tc>
          <w:tcPr>
            <w:tcW w:w="1173" w:type="pct"/>
            <w:tcBorders>
              <w:top w:val="nil"/>
              <w:bottom w:val="nil"/>
            </w:tcBorders>
            <w:shd w:val="clear" w:color="auto" w:fill="F2F2F2"/>
            <w:vAlign w:val="center"/>
          </w:tcPr>
          <w:p w:rsidR="00E92990" w:rsidRPr="00ED1FC1" w:rsidRDefault="00E92990" w:rsidP="00263756">
            <w:pPr>
              <w:keepNext/>
              <w:ind w:left="142"/>
              <w:rPr>
                <w:szCs w:val="22"/>
              </w:rPr>
            </w:pPr>
            <w:r>
              <w:rPr>
                <w:szCs w:val="22"/>
              </w:rPr>
              <w:t>type 2</w:t>
            </w:r>
          </w:p>
        </w:tc>
        <w:tc>
          <w:tcPr>
            <w:tcW w:w="1046" w:type="pct"/>
            <w:vMerge/>
            <w:vAlign w:val="center"/>
          </w:tcPr>
          <w:p w:rsidR="00E92990" w:rsidRPr="00ED1FC1" w:rsidRDefault="00E92990" w:rsidP="00263756">
            <w:pPr>
              <w:keepNext/>
              <w:jc w:val="center"/>
              <w:rPr>
                <w:szCs w:val="22"/>
              </w:rPr>
            </w:pPr>
          </w:p>
        </w:tc>
        <w:tc>
          <w:tcPr>
            <w:tcW w:w="1359" w:type="pct"/>
            <w:tcBorders>
              <w:top w:val="nil"/>
              <w:bottom w:val="nil"/>
            </w:tcBorders>
            <w:vAlign w:val="center"/>
          </w:tcPr>
          <w:p w:rsidR="00E92990" w:rsidRPr="00ED1FC1" w:rsidRDefault="00E92990" w:rsidP="00263756">
            <w:pPr>
              <w:keepNext/>
              <w:jc w:val="center"/>
              <w:rPr>
                <w:szCs w:val="22"/>
              </w:rPr>
            </w:pPr>
            <w:r>
              <w:rPr>
                <w:szCs w:val="22"/>
              </w:rPr>
              <w:t>99,2 – 100 %</w:t>
            </w:r>
          </w:p>
        </w:tc>
        <w:tc>
          <w:tcPr>
            <w:tcW w:w="1422" w:type="pct"/>
            <w:tcBorders>
              <w:top w:val="nil"/>
              <w:bottom w:val="nil"/>
            </w:tcBorders>
            <w:vAlign w:val="center"/>
          </w:tcPr>
          <w:p w:rsidR="00E92990" w:rsidRPr="00ED1FC1" w:rsidRDefault="00E92990" w:rsidP="00263756">
            <w:pPr>
              <w:keepNext/>
              <w:jc w:val="center"/>
              <w:rPr>
                <w:szCs w:val="22"/>
              </w:rPr>
            </w:pPr>
            <w:r>
              <w:rPr>
                <w:szCs w:val="22"/>
              </w:rPr>
              <w:t>99,6 – 100 %</w:t>
            </w:r>
          </w:p>
        </w:tc>
      </w:tr>
      <w:tr w:rsidR="00E92990" w:rsidRPr="00ED1FC1" w:rsidTr="00263756">
        <w:trPr>
          <w:trHeight w:val="277"/>
        </w:trPr>
        <w:tc>
          <w:tcPr>
            <w:tcW w:w="1173" w:type="pct"/>
            <w:tcBorders>
              <w:top w:val="nil"/>
            </w:tcBorders>
            <w:shd w:val="clear" w:color="auto" w:fill="F2F2F2"/>
            <w:vAlign w:val="center"/>
          </w:tcPr>
          <w:p w:rsidR="00E92990" w:rsidRPr="00ED1FC1" w:rsidRDefault="00E92990" w:rsidP="00263756">
            <w:pPr>
              <w:keepNext/>
              <w:ind w:left="142"/>
              <w:rPr>
                <w:szCs w:val="22"/>
              </w:rPr>
            </w:pPr>
            <w:r>
              <w:rPr>
                <w:szCs w:val="22"/>
              </w:rPr>
              <w:t>type 3</w:t>
            </w:r>
          </w:p>
        </w:tc>
        <w:tc>
          <w:tcPr>
            <w:tcW w:w="1046" w:type="pct"/>
            <w:vMerge/>
            <w:vAlign w:val="center"/>
          </w:tcPr>
          <w:p w:rsidR="00E92990" w:rsidRPr="00ED1FC1" w:rsidRDefault="00E92990" w:rsidP="00263756">
            <w:pPr>
              <w:keepNext/>
              <w:jc w:val="center"/>
              <w:rPr>
                <w:szCs w:val="22"/>
              </w:rPr>
            </w:pPr>
          </w:p>
        </w:tc>
        <w:tc>
          <w:tcPr>
            <w:tcW w:w="1359" w:type="pct"/>
            <w:tcBorders>
              <w:top w:val="nil"/>
            </w:tcBorders>
            <w:vAlign w:val="center"/>
          </w:tcPr>
          <w:p w:rsidR="00E92990" w:rsidRPr="00ED1FC1" w:rsidRDefault="00E92990" w:rsidP="00263756">
            <w:pPr>
              <w:keepNext/>
              <w:jc w:val="center"/>
              <w:rPr>
                <w:szCs w:val="22"/>
              </w:rPr>
            </w:pPr>
            <w:r>
              <w:rPr>
                <w:szCs w:val="22"/>
              </w:rPr>
              <w:t>99,4 – 100 %</w:t>
            </w:r>
          </w:p>
        </w:tc>
        <w:tc>
          <w:tcPr>
            <w:tcW w:w="1422" w:type="pct"/>
            <w:tcBorders>
              <w:top w:val="nil"/>
            </w:tcBorders>
            <w:vAlign w:val="center"/>
          </w:tcPr>
          <w:p w:rsidR="00E92990" w:rsidRPr="00ED1FC1" w:rsidRDefault="00E92990" w:rsidP="00263756">
            <w:pPr>
              <w:keepNext/>
              <w:jc w:val="center"/>
              <w:rPr>
                <w:szCs w:val="22"/>
              </w:rPr>
            </w:pPr>
            <w:r>
              <w:rPr>
                <w:szCs w:val="22"/>
              </w:rPr>
              <w:t>99,1 – 100 %</w:t>
            </w:r>
          </w:p>
        </w:tc>
      </w:tr>
    </w:tbl>
    <w:p w:rsidR="00E92990" w:rsidRPr="00ED1FC1" w:rsidRDefault="00E92990" w:rsidP="00E92990">
      <w:pPr>
        <w:keepNext/>
        <w:spacing w:before="80" w:after="80"/>
        <w:ind w:left="852"/>
        <w:rPr>
          <w:sz w:val="20"/>
        </w:rPr>
      </w:pPr>
      <w:r w:rsidRPr="00ED1FC1">
        <w:rPr>
          <w:sz w:val="20"/>
        </w:rPr>
        <w:t>n = antal personer</w:t>
      </w:r>
    </w:p>
    <w:p w:rsidR="00E92990" w:rsidRPr="00ED1FC1" w:rsidRDefault="00E92990" w:rsidP="00E92990">
      <w:pPr>
        <w:keepNext/>
        <w:widowControl w:val="0"/>
        <w:numPr>
          <w:ilvl w:val="0"/>
          <w:numId w:val="9"/>
        </w:numPr>
        <w:tabs>
          <w:tab w:val="left" w:pos="284"/>
        </w:tabs>
        <w:adjustRightInd w:val="0"/>
        <w:spacing w:after="80"/>
        <w:ind w:left="1136" w:hanging="284"/>
        <w:textAlignment w:val="baseline"/>
        <w:rPr>
          <w:sz w:val="20"/>
        </w:rPr>
      </w:pPr>
      <w:r w:rsidRPr="00ED1FC1">
        <w:rPr>
          <w:sz w:val="20"/>
        </w:rPr>
        <w:t>Procentdel af personer med antistofkoncentrationer associeret til beskyttelse mod sygdom (</w:t>
      </w:r>
      <w:r w:rsidRPr="00ED1FC1">
        <w:rPr>
          <w:sz w:val="20"/>
        </w:rPr>
        <w:sym w:font="Symbol" w:char="F0B3"/>
      </w:r>
      <w:r w:rsidRPr="00ED1FC1">
        <w:rPr>
          <w:sz w:val="20"/>
        </w:rPr>
        <w:t xml:space="preserve"> 0,1 IU/ml ved ELISA-</w:t>
      </w:r>
      <w:proofErr w:type="spellStart"/>
      <w:r w:rsidRPr="00ED1FC1">
        <w:rPr>
          <w:sz w:val="20"/>
        </w:rPr>
        <w:t>assay</w:t>
      </w:r>
      <w:proofErr w:type="spellEnd"/>
      <w:r w:rsidRPr="00ED1FC1">
        <w:rPr>
          <w:sz w:val="20"/>
        </w:rPr>
        <w:t xml:space="preserve"> eller </w:t>
      </w:r>
      <w:r w:rsidRPr="00ED1FC1">
        <w:rPr>
          <w:sz w:val="20"/>
        </w:rPr>
        <w:sym w:font="Symbol" w:char="F0B3"/>
      </w:r>
      <w:r w:rsidRPr="00ED1FC1">
        <w:rPr>
          <w:sz w:val="20"/>
        </w:rPr>
        <w:t xml:space="preserve"> 0,016 IU/ml ved </w:t>
      </w:r>
      <w:r w:rsidRPr="00ED1FC1">
        <w:rPr>
          <w:i/>
          <w:sz w:val="20"/>
        </w:rPr>
        <w:t>in-</w:t>
      </w:r>
      <w:proofErr w:type="spellStart"/>
      <w:r w:rsidRPr="00ED1FC1">
        <w:rPr>
          <w:i/>
          <w:sz w:val="20"/>
        </w:rPr>
        <w:t>vitro</w:t>
      </w:r>
      <w:proofErr w:type="spellEnd"/>
      <w:r w:rsidRPr="00ED1FC1">
        <w:rPr>
          <w:sz w:val="20"/>
        </w:rPr>
        <w:t xml:space="preserve"> </w:t>
      </w:r>
      <w:proofErr w:type="spellStart"/>
      <w:r w:rsidRPr="00ED1FC1">
        <w:rPr>
          <w:sz w:val="20"/>
        </w:rPr>
        <w:t>Vero</w:t>
      </w:r>
      <w:proofErr w:type="spellEnd"/>
      <w:r w:rsidRPr="00ED1FC1">
        <w:rPr>
          <w:sz w:val="20"/>
        </w:rPr>
        <w:t>-celle neutraliserings-</w:t>
      </w:r>
      <w:proofErr w:type="spellStart"/>
      <w:r w:rsidRPr="00ED1FC1">
        <w:rPr>
          <w:sz w:val="20"/>
        </w:rPr>
        <w:t>assay</w:t>
      </w:r>
      <w:proofErr w:type="spellEnd"/>
      <w:r w:rsidRPr="00ED1FC1">
        <w:rPr>
          <w:sz w:val="20"/>
        </w:rPr>
        <w:t>).</w:t>
      </w:r>
    </w:p>
    <w:p w:rsidR="00E92990" w:rsidRPr="00ED1FC1" w:rsidRDefault="00E92990" w:rsidP="00E92990">
      <w:pPr>
        <w:keepNext/>
        <w:widowControl w:val="0"/>
        <w:numPr>
          <w:ilvl w:val="0"/>
          <w:numId w:val="9"/>
        </w:numPr>
        <w:tabs>
          <w:tab w:val="left" w:pos="284"/>
        </w:tabs>
        <w:adjustRightInd w:val="0"/>
        <w:ind w:left="1136" w:hanging="284"/>
        <w:textAlignment w:val="baseline"/>
        <w:rPr>
          <w:sz w:val="20"/>
        </w:rPr>
      </w:pPr>
      <w:r w:rsidRPr="00ED1FC1">
        <w:rPr>
          <w:sz w:val="20"/>
        </w:rPr>
        <w:t xml:space="preserve">Dette </w:t>
      </w:r>
      <w:proofErr w:type="spellStart"/>
      <w:r w:rsidRPr="00ED1FC1">
        <w:rPr>
          <w:sz w:val="20"/>
        </w:rPr>
        <w:t>assay</w:t>
      </w:r>
      <w:proofErr w:type="spellEnd"/>
      <w:r w:rsidRPr="00ED1FC1">
        <w:rPr>
          <w:sz w:val="20"/>
        </w:rPr>
        <w:t xml:space="preserve"> blev ikke udført i studie HPV-042.</w:t>
      </w:r>
    </w:p>
    <w:p w:rsidR="00E92990" w:rsidRPr="00ED1FC1" w:rsidRDefault="00E92990" w:rsidP="00E92990">
      <w:pPr>
        <w:keepNext/>
        <w:widowControl w:val="0"/>
        <w:numPr>
          <w:ilvl w:val="0"/>
          <w:numId w:val="9"/>
        </w:numPr>
        <w:tabs>
          <w:tab w:val="left" w:pos="284"/>
        </w:tabs>
        <w:adjustRightInd w:val="0"/>
        <w:spacing w:before="80" w:after="80"/>
        <w:ind w:left="1136" w:hanging="284"/>
        <w:textAlignment w:val="baseline"/>
        <w:rPr>
          <w:sz w:val="20"/>
        </w:rPr>
      </w:pPr>
      <w:proofErr w:type="spellStart"/>
      <w:r w:rsidRPr="00ED1FC1">
        <w:rPr>
          <w:sz w:val="20"/>
        </w:rPr>
        <w:t>Boosterrespons</w:t>
      </w:r>
      <w:proofErr w:type="spellEnd"/>
      <w:r w:rsidRPr="00ED1FC1">
        <w:rPr>
          <w:sz w:val="20"/>
        </w:rPr>
        <w:t xml:space="preserve"> defineret som: </w:t>
      </w:r>
    </w:p>
    <w:p w:rsidR="00E92990" w:rsidRPr="00ED1FC1" w:rsidRDefault="00E92990" w:rsidP="00E92990">
      <w:pPr>
        <w:keepNext/>
        <w:numPr>
          <w:ilvl w:val="0"/>
          <w:numId w:val="8"/>
        </w:numPr>
        <w:tabs>
          <w:tab w:val="left" w:pos="426"/>
        </w:tabs>
        <w:ind w:left="1136" w:firstLine="0"/>
        <w:rPr>
          <w:sz w:val="20"/>
        </w:rPr>
      </w:pPr>
      <w:r w:rsidRPr="00ED1FC1">
        <w:rPr>
          <w:sz w:val="20"/>
        </w:rPr>
        <w:t xml:space="preserve">for personer der var </w:t>
      </w:r>
      <w:proofErr w:type="spellStart"/>
      <w:r w:rsidRPr="00ED1FC1">
        <w:rPr>
          <w:sz w:val="20"/>
        </w:rPr>
        <w:t>seronegative</w:t>
      </w:r>
      <w:proofErr w:type="spellEnd"/>
      <w:r w:rsidRPr="00ED1FC1">
        <w:rPr>
          <w:sz w:val="20"/>
        </w:rPr>
        <w:t xml:space="preserve"> inden, en antistofkoncentration på </w:t>
      </w:r>
      <w:r w:rsidRPr="00824A40">
        <w:rPr>
          <w:sz w:val="20"/>
        </w:rPr>
        <w:t xml:space="preserve">mindst fire gange </w:t>
      </w:r>
      <w:r w:rsidRPr="00824A40">
        <w:rPr>
          <w:i/>
          <w:sz w:val="20"/>
        </w:rPr>
        <w:t>cut-</w:t>
      </w:r>
      <w:proofErr w:type="spellStart"/>
      <w:r w:rsidRPr="00824A40">
        <w:rPr>
          <w:i/>
          <w:sz w:val="20"/>
        </w:rPr>
        <w:t>off</w:t>
      </w:r>
      <w:proofErr w:type="spellEnd"/>
      <w:r w:rsidRPr="00ED1FC1">
        <w:rPr>
          <w:sz w:val="20"/>
        </w:rPr>
        <w:t xml:space="preserve"> (koncentrationer efter vaccination ≥ 20 </w:t>
      </w:r>
      <w:proofErr w:type="spellStart"/>
      <w:proofErr w:type="gramStart"/>
      <w:r w:rsidRPr="00ED1FC1">
        <w:rPr>
          <w:sz w:val="20"/>
        </w:rPr>
        <w:t>El.U</w:t>
      </w:r>
      <w:proofErr w:type="spellEnd"/>
      <w:proofErr w:type="gramEnd"/>
      <w:r w:rsidRPr="00ED1FC1">
        <w:rPr>
          <w:sz w:val="20"/>
        </w:rPr>
        <w:t xml:space="preserve">/ml); </w:t>
      </w:r>
    </w:p>
    <w:p w:rsidR="00E92990" w:rsidRPr="00ED1FC1" w:rsidRDefault="00E92990" w:rsidP="00E92990">
      <w:pPr>
        <w:keepNext/>
        <w:numPr>
          <w:ilvl w:val="0"/>
          <w:numId w:val="8"/>
        </w:numPr>
        <w:tabs>
          <w:tab w:val="left" w:pos="426"/>
        </w:tabs>
        <w:ind w:left="1136" w:firstLine="0"/>
        <w:rPr>
          <w:sz w:val="20"/>
        </w:rPr>
      </w:pPr>
      <w:r w:rsidRPr="00ED1FC1">
        <w:rPr>
          <w:sz w:val="20"/>
        </w:rPr>
        <w:t xml:space="preserve">for personer der var </w:t>
      </w:r>
      <w:proofErr w:type="spellStart"/>
      <w:r w:rsidRPr="00ED1FC1">
        <w:rPr>
          <w:sz w:val="20"/>
        </w:rPr>
        <w:t>seropositive</w:t>
      </w:r>
      <w:proofErr w:type="spellEnd"/>
      <w:r w:rsidRPr="00ED1FC1">
        <w:rPr>
          <w:sz w:val="20"/>
        </w:rPr>
        <w:t xml:space="preserve"> inden, med </w:t>
      </w:r>
      <w:proofErr w:type="spellStart"/>
      <w:r w:rsidRPr="00ED1FC1">
        <w:rPr>
          <w:sz w:val="20"/>
        </w:rPr>
        <w:t>pre</w:t>
      </w:r>
      <w:proofErr w:type="spellEnd"/>
      <w:r w:rsidRPr="00ED1FC1">
        <w:rPr>
          <w:sz w:val="20"/>
        </w:rPr>
        <w:t xml:space="preserve">-booster vaccine </w:t>
      </w:r>
      <w:proofErr w:type="gramStart"/>
      <w:r w:rsidRPr="00ED1FC1">
        <w:rPr>
          <w:sz w:val="20"/>
        </w:rPr>
        <w:t>koncentrationer  ≥</w:t>
      </w:r>
      <w:proofErr w:type="gramEnd"/>
      <w:r w:rsidRPr="00ED1FC1">
        <w:rPr>
          <w:sz w:val="20"/>
        </w:rPr>
        <w:t xml:space="preserve"> 5 </w:t>
      </w:r>
      <w:proofErr w:type="spellStart"/>
      <w:r w:rsidRPr="00ED1FC1">
        <w:rPr>
          <w:sz w:val="20"/>
        </w:rPr>
        <w:t>El.U</w:t>
      </w:r>
      <w:proofErr w:type="spellEnd"/>
      <w:r w:rsidRPr="00ED1FC1">
        <w:rPr>
          <w:sz w:val="20"/>
        </w:rPr>
        <w:t>/ml og &lt; 20 </w:t>
      </w:r>
      <w:proofErr w:type="spellStart"/>
      <w:r w:rsidRPr="00ED1FC1">
        <w:rPr>
          <w:sz w:val="20"/>
        </w:rPr>
        <w:t>El.U</w:t>
      </w:r>
      <w:proofErr w:type="spellEnd"/>
      <w:r w:rsidRPr="00ED1FC1">
        <w:rPr>
          <w:sz w:val="20"/>
        </w:rPr>
        <w:t xml:space="preserve">/ml: en stigning i antistofkoncentration på mindst fire gange i forhold til </w:t>
      </w:r>
      <w:proofErr w:type="spellStart"/>
      <w:r w:rsidRPr="00ED1FC1">
        <w:rPr>
          <w:sz w:val="20"/>
        </w:rPr>
        <w:t>pre</w:t>
      </w:r>
      <w:proofErr w:type="spellEnd"/>
      <w:r w:rsidRPr="00ED1FC1">
        <w:rPr>
          <w:sz w:val="20"/>
        </w:rPr>
        <w:t xml:space="preserve">-booster vaccine koncentrationer. </w:t>
      </w:r>
    </w:p>
    <w:p w:rsidR="00E92990" w:rsidRPr="00ED1FC1" w:rsidRDefault="00E92990" w:rsidP="00E92990">
      <w:pPr>
        <w:keepNext/>
        <w:numPr>
          <w:ilvl w:val="0"/>
          <w:numId w:val="8"/>
        </w:numPr>
        <w:tabs>
          <w:tab w:val="left" w:pos="426"/>
        </w:tabs>
        <w:ind w:left="1136" w:firstLine="0"/>
        <w:rPr>
          <w:sz w:val="20"/>
        </w:rPr>
      </w:pPr>
      <w:r w:rsidRPr="00ED1FC1">
        <w:rPr>
          <w:sz w:val="20"/>
        </w:rPr>
        <w:t xml:space="preserve">for personer der var </w:t>
      </w:r>
      <w:proofErr w:type="spellStart"/>
      <w:r w:rsidRPr="00ED1FC1">
        <w:rPr>
          <w:sz w:val="20"/>
        </w:rPr>
        <w:t>seropositive</w:t>
      </w:r>
      <w:proofErr w:type="spellEnd"/>
      <w:r w:rsidRPr="00ED1FC1">
        <w:rPr>
          <w:sz w:val="20"/>
        </w:rPr>
        <w:t xml:space="preserve"> inden, med </w:t>
      </w:r>
      <w:proofErr w:type="spellStart"/>
      <w:r w:rsidRPr="00ED1FC1">
        <w:rPr>
          <w:sz w:val="20"/>
        </w:rPr>
        <w:t>pre</w:t>
      </w:r>
      <w:proofErr w:type="spellEnd"/>
      <w:r w:rsidRPr="00ED1FC1">
        <w:rPr>
          <w:sz w:val="20"/>
        </w:rPr>
        <w:t xml:space="preserve">-booster vaccine </w:t>
      </w:r>
      <w:proofErr w:type="gramStart"/>
      <w:r w:rsidRPr="00ED1FC1">
        <w:rPr>
          <w:sz w:val="20"/>
        </w:rPr>
        <w:t>koncentrationer  ≥</w:t>
      </w:r>
      <w:proofErr w:type="gramEnd"/>
      <w:r w:rsidRPr="00ED1FC1">
        <w:rPr>
          <w:sz w:val="20"/>
        </w:rPr>
        <w:t xml:space="preserve"> 20 </w:t>
      </w:r>
      <w:proofErr w:type="spellStart"/>
      <w:r w:rsidRPr="00ED1FC1">
        <w:rPr>
          <w:sz w:val="20"/>
        </w:rPr>
        <w:t>El.U</w:t>
      </w:r>
      <w:proofErr w:type="spellEnd"/>
      <w:r w:rsidRPr="00ED1FC1">
        <w:rPr>
          <w:sz w:val="20"/>
        </w:rPr>
        <w:t xml:space="preserve">/ml: en stigning i antistofkoncentration på mindst to gange i forhold til </w:t>
      </w:r>
      <w:proofErr w:type="spellStart"/>
      <w:r w:rsidRPr="00ED1FC1">
        <w:rPr>
          <w:sz w:val="20"/>
        </w:rPr>
        <w:t>pre</w:t>
      </w:r>
      <w:proofErr w:type="spellEnd"/>
      <w:r w:rsidRPr="00ED1FC1">
        <w:rPr>
          <w:sz w:val="20"/>
        </w:rPr>
        <w:t xml:space="preserve">-booster vaccine koncentrationer. </w:t>
      </w:r>
    </w:p>
    <w:p w:rsidR="00E92990" w:rsidRPr="000710B5" w:rsidRDefault="00E92990" w:rsidP="00E92990">
      <w:pPr>
        <w:ind w:left="851"/>
        <w:rPr>
          <w:sz w:val="24"/>
          <w:szCs w:val="24"/>
        </w:rPr>
      </w:pPr>
    </w:p>
    <w:p w:rsidR="00E92990" w:rsidRDefault="00E92990" w:rsidP="00E92990">
      <w:pPr>
        <w:ind w:left="851"/>
        <w:rPr>
          <w:sz w:val="24"/>
          <w:szCs w:val="24"/>
        </w:rPr>
      </w:pPr>
      <w:r>
        <w:rPr>
          <w:sz w:val="24"/>
          <w:szCs w:val="24"/>
        </w:rPr>
        <w:t xml:space="preserve">Som ved andre </w:t>
      </w:r>
      <w:proofErr w:type="spellStart"/>
      <w:r>
        <w:rPr>
          <w:sz w:val="24"/>
          <w:szCs w:val="24"/>
        </w:rPr>
        <w:t>Td</w:t>
      </w:r>
      <w:proofErr w:type="spellEnd"/>
      <w:r>
        <w:rPr>
          <w:sz w:val="24"/>
          <w:szCs w:val="24"/>
        </w:rPr>
        <w:t xml:space="preserve">-vacciner til voksne inducerer </w:t>
      </w:r>
      <w:proofErr w:type="spellStart"/>
      <w:r>
        <w:rPr>
          <w:sz w:val="24"/>
          <w:szCs w:val="24"/>
        </w:rPr>
        <w:t>Boostrix</w:t>
      </w:r>
      <w:proofErr w:type="spellEnd"/>
      <w:r>
        <w:rPr>
          <w:sz w:val="24"/>
          <w:szCs w:val="24"/>
        </w:rPr>
        <w:t xml:space="preserve"> Polio højere </w:t>
      </w:r>
      <w:proofErr w:type="spellStart"/>
      <w:r>
        <w:rPr>
          <w:sz w:val="24"/>
          <w:szCs w:val="24"/>
        </w:rPr>
        <w:t>seroprotektionsrater</w:t>
      </w:r>
      <w:proofErr w:type="spellEnd"/>
      <w:r>
        <w:rPr>
          <w:sz w:val="24"/>
          <w:szCs w:val="24"/>
        </w:rPr>
        <w:t xml:space="preserve"> og højere </w:t>
      </w:r>
      <w:proofErr w:type="spellStart"/>
      <w:r>
        <w:rPr>
          <w:sz w:val="24"/>
          <w:szCs w:val="24"/>
        </w:rPr>
        <w:t>titere</w:t>
      </w:r>
      <w:proofErr w:type="spellEnd"/>
      <w:r>
        <w:rPr>
          <w:sz w:val="24"/>
          <w:szCs w:val="24"/>
        </w:rPr>
        <w:t xml:space="preserve"> af både </w:t>
      </w:r>
      <w:proofErr w:type="spellStart"/>
      <w:r>
        <w:rPr>
          <w:sz w:val="24"/>
          <w:szCs w:val="24"/>
        </w:rPr>
        <w:t>anti</w:t>
      </w:r>
      <w:proofErr w:type="spellEnd"/>
      <w:r>
        <w:rPr>
          <w:sz w:val="24"/>
          <w:szCs w:val="24"/>
        </w:rPr>
        <w:t xml:space="preserve">-D- og </w:t>
      </w:r>
      <w:proofErr w:type="spellStart"/>
      <w:r>
        <w:rPr>
          <w:sz w:val="24"/>
          <w:szCs w:val="24"/>
        </w:rPr>
        <w:t>anti</w:t>
      </w:r>
      <w:proofErr w:type="spellEnd"/>
      <w:r>
        <w:rPr>
          <w:sz w:val="24"/>
          <w:szCs w:val="24"/>
        </w:rPr>
        <w:t>-T-antistoffer hos børn og unge sammenlignet med voksne.</w:t>
      </w:r>
    </w:p>
    <w:p w:rsidR="00E92990" w:rsidRDefault="00E92990" w:rsidP="00F14E27">
      <w:pPr>
        <w:rPr>
          <w:sz w:val="24"/>
          <w:szCs w:val="24"/>
        </w:rPr>
      </w:pPr>
    </w:p>
    <w:p w:rsidR="00E92990" w:rsidRDefault="00E92990" w:rsidP="00E92990">
      <w:pPr>
        <w:ind w:left="851"/>
        <w:rPr>
          <w:i/>
          <w:szCs w:val="24"/>
        </w:rPr>
      </w:pPr>
      <w:proofErr w:type="spellStart"/>
      <w:r>
        <w:rPr>
          <w:i/>
          <w:szCs w:val="24"/>
        </w:rPr>
        <w:t>Persistens</w:t>
      </w:r>
      <w:proofErr w:type="spellEnd"/>
      <w:r>
        <w:rPr>
          <w:i/>
          <w:szCs w:val="24"/>
        </w:rPr>
        <w:t xml:space="preserve"> af immunrespons</w:t>
      </w:r>
    </w:p>
    <w:p w:rsidR="00E92990" w:rsidRDefault="00E92990" w:rsidP="00E92990">
      <w:pPr>
        <w:ind w:left="851"/>
        <w:rPr>
          <w:i/>
          <w:szCs w:val="24"/>
        </w:rPr>
      </w:pPr>
    </w:p>
    <w:p w:rsidR="00E92990" w:rsidRDefault="00E92990" w:rsidP="00E92990">
      <w:pPr>
        <w:ind w:left="851"/>
        <w:rPr>
          <w:sz w:val="24"/>
          <w:szCs w:val="24"/>
        </w:rPr>
      </w:pPr>
      <w:r>
        <w:rPr>
          <w:sz w:val="24"/>
          <w:szCs w:val="24"/>
        </w:rPr>
        <w:t xml:space="preserve">Følgende </w:t>
      </w:r>
      <w:proofErr w:type="spellStart"/>
      <w:r>
        <w:rPr>
          <w:sz w:val="24"/>
          <w:szCs w:val="24"/>
        </w:rPr>
        <w:t>seroprotektions</w:t>
      </w:r>
      <w:proofErr w:type="spellEnd"/>
      <w:r>
        <w:rPr>
          <w:sz w:val="24"/>
          <w:szCs w:val="24"/>
        </w:rPr>
        <w:t>/</w:t>
      </w:r>
      <w:proofErr w:type="spellStart"/>
      <w:r>
        <w:rPr>
          <w:sz w:val="24"/>
          <w:szCs w:val="24"/>
        </w:rPr>
        <w:t>seropositivitetsrater</w:t>
      </w:r>
      <w:proofErr w:type="spellEnd"/>
      <w:r>
        <w:rPr>
          <w:sz w:val="24"/>
          <w:szCs w:val="24"/>
        </w:rPr>
        <w:t xml:space="preserve"> blev observeret fem år efter vaccination med </w:t>
      </w:r>
      <w:proofErr w:type="spellStart"/>
      <w:r>
        <w:rPr>
          <w:sz w:val="24"/>
          <w:szCs w:val="24"/>
        </w:rPr>
        <w:t>Boostrix</w:t>
      </w:r>
      <w:proofErr w:type="spellEnd"/>
      <w:r>
        <w:rPr>
          <w:sz w:val="24"/>
          <w:szCs w:val="24"/>
        </w:rPr>
        <w:t xml:space="preserve"> Polio hos børn, og 10 år efter vaccination med </w:t>
      </w:r>
      <w:proofErr w:type="spellStart"/>
      <w:r>
        <w:rPr>
          <w:sz w:val="24"/>
          <w:szCs w:val="24"/>
        </w:rPr>
        <w:t>Boostrix</w:t>
      </w:r>
      <w:proofErr w:type="spellEnd"/>
      <w:r>
        <w:rPr>
          <w:sz w:val="24"/>
          <w:szCs w:val="24"/>
        </w:rPr>
        <w:t xml:space="preserve"> Polio hos unge og voksne (tabel 5).</w:t>
      </w:r>
    </w:p>
    <w:p w:rsidR="00E92990" w:rsidRDefault="00E92990" w:rsidP="00E92990">
      <w:pPr>
        <w:ind w:left="851"/>
        <w:rPr>
          <w:sz w:val="24"/>
          <w:szCs w:val="24"/>
        </w:rPr>
      </w:pPr>
      <w:r>
        <w:rPr>
          <w:sz w:val="20"/>
          <w:vertAlign w:val="superscript"/>
        </w:rPr>
        <w:t xml:space="preserve"> </w:t>
      </w:r>
    </w:p>
    <w:p w:rsidR="00E92990" w:rsidRPr="00A55EFE" w:rsidRDefault="00E92990" w:rsidP="00E92990">
      <w:pPr>
        <w:keepNext/>
        <w:ind w:firstLine="851"/>
        <w:rPr>
          <w:sz w:val="24"/>
          <w:szCs w:val="24"/>
        </w:rPr>
      </w:pPr>
      <w:r w:rsidRPr="00A55EFE">
        <w:rPr>
          <w:b/>
          <w:sz w:val="24"/>
          <w:szCs w:val="24"/>
        </w:rPr>
        <w:t>Tabel 5:</w:t>
      </w:r>
      <w:r w:rsidRPr="00A55EFE">
        <w:rPr>
          <w:sz w:val="24"/>
          <w:szCs w:val="24"/>
        </w:rPr>
        <w:t xml:space="preserve"> </w:t>
      </w:r>
      <w:proofErr w:type="spellStart"/>
      <w:r w:rsidRPr="00A55EFE">
        <w:rPr>
          <w:sz w:val="24"/>
          <w:szCs w:val="24"/>
        </w:rPr>
        <w:t>Persistens</w:t>
      </w:r>
      <w:proofErr w:type="spellEnd"/>
      <w:r w:rsidRPr="00A55EFE">
        <w:rPr>
          <w:sz w:val="24"/>
          <w:szCs w:val="24"/>
        </w:rPr>
        <w:t xml:space="preserve"> af immunresponset hos børn, unge og voksne.</w:t>
      </w:r>
    </w:p>
    <w:tbl>
      <w:tblPr>
        <w:tblW w:w="47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912"/>
        <w:gridCol w:w="2296"/>
        <w:gridCol w:w="2659"/>
      </w:tblGrid>
      <w:tr w:rsidR="00E92990" w:rsidTr="00263756">
        <w:trPr>
          <w:trHeight w:val="1712"/>
          <w:jc w:val="center"/>
        </w:trPr>
        <w:tc>
          <w:tcPr>
            <w:tcW w:w="1258"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Cs/>
                <w:color w:val="000000"/>
                <w:szCs w:val="22"/>
              </w:rPr>
            </w:pPr>
            <w:r>
              <w:rPr>
                <w:b/>
                <w:iCs/>
                <w:color w:val="000000"/>
                <w:szCs w:val="22"/>
              </w:rPr>
              <w:t>Antigen</w:t>
            </w:r>
          </w:p>
        </w:tc>
        <w:tc>
          <w:tcPr>
            <w:tcW w:w="104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spacing w:before="120"/>
              <w:jc w:val="center"/>
              <w:rPr>
                <w:b/>
                <w:iCs/>
                <w:color w:val="000000"/>
                <w:szCs w:val="22"/>
              </w:rPr>
            </w:pPr>
            <w:proofErr w:type="spellStart"/>
            <w:r>
              <w:rPr>
                <w:b/>
                <w:iCs/>
                <w:color w:val="000000"/>
                <w:szCs w:val="22"/>
              </w:rPr>
              <w:t>Seroprotektion</w:t>
            </w:r>
            <w:proofErr w:type="spellEnd"/>
            <w:r>
              <w:rPr>
                <w:b/>
                <w:iCs/>
                <w:color w:val="000000"/>
                <w:szCs w:val="22"/>
              </w:rPr>
              <w:t>/</w:t>
            </w:r>
          </w:p>
          <w:p w:rsidR="00E92990" w:rsidRDefault="00E92990" w:rsidP="00263756">
            <w:pPr>
              <w:keepNext/>
              <w:jc w:val="center"/>
              <w:rPr>
                <w:b/>
                <w:iCs/>
                <w:color w:val="000000"/>
                <w:szCs w:val="22"/>
              </w:rPr>
            </w:pPr>
            <w:proofErr w:type="spellStart"/>
            <w:r>
              <w:rPr>
                <w:b/>
                <w:iCs/>
                <w:color w:val="000000"/>
                <w:szCs w:val="22"/>
              </w:rPr>
              <w:t>seropositivitet</w:t>
            </w:r>
            <w:proofErr w:type="spellEnd"/>
          </w:p>
        </w:tc>
        <w:tc>
          <w:tcPr>
            <w:tcW w:w="1251" w:type="pct"/>
            <w:tcBorders>
              <w:top w:val="single" w:sz="4" w:space="0" w:color="auto"/>
              <w:left w:val="single" w:sz="4" w:space="0" w:color="auto"/>
              <w:bottom w:val="nil"/>
              <w:right w:val="single" w:sz="4" w:space="0" w:color="auto"/>
            </w:tcBorders>
            <w:shd w:val="clear" w:color="auto" w:fill="F2F2F2"/>
            <w:vAlign w:val="center"/>
            <w:hideMark/>
          </w:tcPr>
          <w:p w:rsidR="00E92990" w:rsidRDefault="00E92990" w:rsidP="00263756">
            <w:pPr>
              <w:keepNext/>
              <w:jc w:val="center"/>
              <w:rPr>
                <w:b/>
                <w:iCs/>
                <w:color w:val="000000"/>
                <w:szCs w:val="22"/>
              </w:rPr>
            </w:pPr>
            <w:r>
              <w:rPr>
                <w:b/>
                <w:iCs/>
                <w:color w:val="000000"/>
                <w:szCs w:val="22"/>
              </w:rPr>
              <w:t xml:space="preserve">Procentdel der opfylder kriterie 5 år efter vaccination af børn (i alderen </w:t>
            </w:r>
          </w:p>
          <w:p w:rsidR="00E92990" w:rsidRDefault="00E92990" w:rsidP="00263756">
            <w:pPr>
              <w:keepNext/>
              <w:jc w:val="center"/>
              <w:rPr>
                <w:b/>
                <w:iCs/>
                <w:color w:val="000000"/>
                <w:szCs w:val="22"/>
              </w:rPr>
            </w:pPr>
            <w:r>
              <w:rPr>
                <w:b/>
                <w:iCs/>
                <w:color w:val="000000"/>
                <w:szCs w:val="22"/>
              </w:rPr>
              <w:t>4-8 år)</w:t>
            </w:r>
          </w:p>
          <w:p w:rsidR="00E92990" w:rsidRDefault="00E92990" w:rsidP="00263756">
            <w:pPr>
              <w:keepNext/>
              <w:spacing w:before="120" w:after="120"/>
              <w:jc w:val="center"/>
              <w:rPr>
                <w:b/>
                <w:iCs/>
                <w:color w:val="000000"/>
                <w:szCs w:val="22"/>
              </w:rPr>
            </w:pPr>
            <w:r>
              <w:rPr>
                <w:b/>
                <w:iCs/>
                <w:color w:val="000000"/>
                <w:szCs w:val="22"/>
              </w:rPr>
              <w:t>(N=344)</w:t>
            </w:r>
          </w:p>
        </w:tc>
        <w:tc>
          <w:tcPr>
            <w:tcW w:w="1450" w:type="pct"/>
            <w:tcBorders>
              <w:top w:val="single" w:sz="4" w:space="0" w:color="auto"/>
              <w:left w:val="single" w:sz="4" w:space="0" w:color="auto"/>
              <w:bottom w:val="nil"/>
              <w:right w:val="single" w:sz="4" w:space="0" w:color="auto"/>
            </w:tcBorders>
            <w:shd w:val="clear" w:color="auto" w:fill="F2F2F2"/>
            <w:vAlign w:val="center"/>
            <w:hideMark/>
          </w:tcPr>
          <w:p w:rsidR="00E92990" w:rsidRDefault="00E92990" w:rsidP="00263756">
            <w:pPr>
              <w:keepNext/>
              <w:spacing w:after="120"/>
              <w:jc w:val="center"/>
              <w:rPr>
                <w:b/>
                <w:iCs/>
                <w:color w:val="000000"/>
                <w:szCs w:val="22"/>
              </w:rPr>
            </w:pPr>
            <w:r>
              <w:rPr>
                <w:b/>
                <w:iCs/>
                <w:color w:val="000000"/>
                <w:szCs w:val="22"/>
              </w:rPr>
              <w:t>Procentdel der opfylder kriterie 10 år efter vaccination af unge og voksne (i alderen 15 år og opefter)</w:t>
            </w:r>
          </w:p>
          <w:p w:rsidR="00E92990" w:rsidRDefault="00E92990" w:rsidP="00263756">
            <w:pPr>
              <w:keepNext/>
              <w:spacing w:after="120"/>
              <w:jc w:val="center"/>
              <w:rPr>
                <w:b/>
                <w:iCs/>
                <w:color w:val="000000"/>
                <w:szCs w:val="22"/>
              </w:rPr>
            </w:pPr>
            <w:r>
              <w:rPr>
                <w:b/>
                <w:iCs/>
                <w:color w:val="000000"/>
                <w:szCs w:val="22"/>
              </w:rPr>
              <w:t>(N=63)</w:t>
            </w:r>
          </w:p>
        </w:tc>
      </w:tr>
      <w:tr w:rsidR="00E92990" w:rsidTr="00263756">
        <w:trPr>
          <w:trHeight w:val="3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Cs/>
                <w:color w:val="000000"/>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b/>
                <w:iCs/>
                <w:color w:val="000000"/>
                <w:szCs w:val="22"/>
              </w:rPr>
            </w:pPr>
          </w:p>
        </w:tc>
        <w:tc>
          <w:tcPr>
            <w:tcW w:w="1251" w:type="pct"/>
            <w:tcBorders>
              <w:top w:val="nil"/>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Cs/>
                <w:color w:val="000000"/>
                <w:szCs w:val="22"/>
              </w:rPr>
            </w:pPr>
            <w:r>
              <w:rPr>
                <w:iCs/>
                <w:color w:val="000000"/>
                <w:szCs w:val="22"/>
              </w:rPr>
              <w:t>(% vaccinerede)</w:t>
            </w:r>
          </w:p>
        </w:tc>
        <w:tc>
          <w:tcPr>
            <w:tcW w:w="1450" w:type="pct"/>
            <w:tcBorders>
              <w:top w:val="nil"/>
              <w:left w:val="single" w:sz="4" w:space="0" w:color="auto"/>
              <w:bottom w:val="single" w:sz="4" w:space="0" w:color="auto"/>
              <w:right w:val="single" w:sz="4" w:space="0" w:color="auto"/>
            </w:tcBorders>
            <w:shd w:val="clear" w:color="auto" w:fill="F2F2F2"/>
            <w:vAlign w:val="center"/>
            <w:hideMark/>
          </w:tcPr>
          <w:p w:rsidR="00E92990" w:rsidRDefault="00E92990" w:rsidP="00263756">
            <w:pPr>
              <w:keepNext/>
              <w:jc w:val="center"/>
              <w:rPr>
                <w:b/>
                <w:iCs/>
                <w:color w:val="000000"/>
                <w:szCs w:val="22"/>
              </w:rPr>
            </w:pPr>
            <w:r>
              <w:rPr>
                <w:iCs/>
                <w:color w:val="000000"/>
                <w:szCs w:val="22"/>
              </w:rPr>
              <w:t>(% vaccinerede)</w:t>
            </w:r>
          </w:p>
        </w:tc>
      </w:tr>
      <w:tr w:rsidR="00E92990" w:rsidTr="00263756">
        <w:trPr>
          <w:trHeight w:val="316"/>
          <w:jc w:val="center"/>
        </w:trPr>
        <w:tc>
          <w:tcPr>
            <w:tcW w:w="1258" w:type="pct"/>
            <w:tcBorders>
              <w:top w:val="single" w:sz="4" w:space="0" w:color="auto"/>
              <w:left w:val="single" w:sz="4" w:space="0" w:color="auto"/>
              <w:bottom w:val="single" w:sz="4" w:space="0" w:color="auto"/>
              <w:right w:val="single" w:sz="4" w:space="0" w:color="auto"/>
            </w:tcBorders>
            <w:shd w:val="clear" w:color="auto" w:fill="F2F2F2"/>
            <w:hideMark/>
          </w:tcPr>
          <w:p w:rsidR="00E92990" w:rsidRDefault="00E92990" w:rsidP="00A55EFE">
            <w:pPr>
              <w:rPr>
                <w:b/>
                <w:iCs/>
                <w:color w:val="000000"/>
                <w:szCs w:val="22"/>
              </w:rPr>
            </w:pPr>
            <w:r>
              <w:rPr>
                <w:b/>
                <w:iCs/>
                <w:color w:val="000000"/>
                <w:szCs w:val="22"/>
              </w:rPr>
              <w:t>Difteri</w:t>
            </w:r>
          </w:p>
        </w:tc>
        <w:tc>
          <w:tcPr>
            <w:tcW w:w="1042"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sym w:font="Symbol" w:char="F0B3"/>
            </w:r>
            <w:r>
              <w:rPr>
                <w:iCs/>
                <w:color w:val="000000"/>
                <w:szCs w:val="22"/>
              </w:rPr>
              <w:t xml:space="preserve"> 0,1 IU/ml</w:t>
            </w:r>
          </w:p>
        </w:tc>
        <w:tc>
          <w:tcPr>
            <w:tcW w:w="1251"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t>89,4 %*</w:t>
            </w:r>
          </w:p>
        </w:tc>
        <w:tc>
          <w:tcPr>
            <w:tcW w:w="1450"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t>81,0 %**</w:t>
            </w:r>
          </w:p>
        </w:tc>
      </w:tr>
      <w:tr w:rsidR="00E92990" w:rsidTr="00263756">
        <w:trPr>
          <w:trHeight w:val="316"/>
          <w:jc w:val="center"/>
        </w:trPr>
        <w:tc>
          <w:tcPr>
            <w:tcW w:w="1258" w:type="pct"/>
            <w:tcBorders>
              <w:top w:val="single" w:sz="4" w:space="0" w:color="auto"/>
              <w:left w:val="single" w:sz="4" w:space="0" w:color="auto"/>
              <w:bottom w:val="single" w:sz="4" w:space="0" w:color="auto"/>
              <w:right w:val="single" w:sz="4" w:space="0" w:color="auto"/>
            </w:tcBorders>
            <w:shd w:val="clear" w:color="auto" w:fill="F2F2F2"/>
            <w:hideMark/>
          </w:tcPr>
          <w:p w:rsidR="00E92990" w:rsidRDefault="00E92990" w:rsidP="00A55EFE">
            <w:pPr>
              <w:rPr>
                <w:b/>
                <w:iCs/>
                <w:color w:val="000000"/>
                <w:szCs w:val="22"/>
              </w:rPr>
            </w:pPr>
            <w:r>
              <w:rPr>
                <w:b/>
                <w:iCs/>
                <w:color w:val="000000"/>
                <w:szCs w:val="22"/>
              </w:rPr>
              <w:t>Tetanus</w:t>
            </w:r>
          </w:p>
        </w:tc>
        <w:tc>
          <w:tcPr>
            <w:tcW w:w="1042"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sym w:font="Symbol" w:char="F0B3"/>
            </w:r>
            <w:r>
              <w:rPr>
                <w:iCs/>
                <w:color w:val="000000"/>
                <w:szCs w:val="22"/>
              </w:rPr>
              <w:t xml:space="preserve"> 0,1 IU/ml</w:t>
            </w:r>
          </w:p>
        </w:tc>
        <w:tc>
          <w:tcPr>
            <w:tcW w:w="1251"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t>98,5 %</w:t>
            </w:r>
          </w:p>
        </w:tc>
        <w:tc>
          <w:tcPr>
            <w:tcW w:w="1450" w:type="pct"/>
            <w:tcBorders>
              <w:top w:val="single" w:sz="4" w:space="0" w:color="auto"/>
              <w:left w:val="single" w:sz="4" w:space="0" w:color="auto"/>
              <w:bottom w:val="single" w:sz="4" w:space="0" w:color="auto"/>
              <w:right w:val="single" w:sz="4" w:space="0" w:color="auto"/>
            </w:tcBorders>
            <w:hideMark/>
          </w:tcPr>
          <w:p w:rsidR="00E92990" w:rsidRDefault="00E92990" w:rsidP="00A55EFE">
            <w:pPr>
              <w:jc w:val="center"/>
              <w:rPr>
                <w:iCs/>
                <w:color w:val="000000"/>
                <w:szCs w:val="22"/>
              </w:rPr>
            </w:pPr>
            <w:r>
              <w:rPr>
                <w:iCs/>
                <w:color w:val="000000"/>
                <w:szCs w:val="22"/>
              </w:rPr>
              <w:t>98,4 %</w:t>
            </w:r>
          </w:p>
        </w:tc>
      </w:tr>
      <w:tr w:rsidR="00E92990" w:rsidTr="00263756">
        <w:trPr>
          <w:trHeight w:val="345"/>
          <w:jc w:val="center"/>
        </w:trPr>
        <w:tc>
          <w:tcPr>
            <w:tcW w:w="1258" w:type="pct"/>
            <w:tcBorders>
              <w:top w:val="single" w:sz="4" w:space="0" w:color="auto"/>
              <w:left w:val="single" w:sz="4" w:space="0" w:color="auto"/>
              <w:bottom w:val="nil"/>
              <w:right w:val="single" w:sz="4" w:space="0" w:color="auto"/>
            </w:tcBorders>
            <w:shd w:val="clear" w:color="auto" w:fill="F2F2F2"/>
            <w:hideMark/>
          </w:tcPr>
          <w:p w:rsidR="00E92990" w:rsidRDefault="00E92990" w:rsidP="00A55EFE">
            <w:pPr>
              <w:rPr>
                <w:b/>
                <w:iCs/>
                <w:color w:val="000000"/>
                <w:szCs w:val="22"/>
                <w:lang w:val="fr-FR"/>
              </w:rPr>
            </w:pPr>
            <w:r>
              <w:rPr>
                <w:b/>
                <w:iCs/>
                <w:color w:val="000000"/>
                <w:szCs w:val="22"/>
                <w:lang w:val="fr-FR"/>
              </w:rPr>
              <w:t>Pertussis</w:t>
            </w:r>
          </w:p>
        </w:tc>
        <w:tc>
          <w:tcPr>
            <w:tcW w:w="1042" w:type="pct"/>
            <w:vMerge w:val="restart"/>
            <w:tcBorders>
              <w:top w:val="single" w:sz="4" w:space="0" w:color="auto"/>
              <w:left w:val="single" w:sz="4" w:space="0" w:color="auto"/>
              <w:bottom w:val="single" w:sz="4" w:space="0" w:color="auto"/>
              <w:right w:val="single" w:sz="4" w:space="0" w:color="auto"/>
            </w:tcBorders>
            <w:vAlign w:val="center"/>
            <w:hideMark/>
          </w:tcPr>
          <w:p w:rsidR="00E92990" w:rsidRDefault="00E92990" w:rsidP="00A55EFE">
            <w:pPr>
              <w:jc w:val="center"/>
              <w:rPr>
                <w:iCs/>
                <w:color w:val="000000"/>
                <w:szCs w:val="22"/>
              </w:rPr>
            </w:pPr>
            <w:r>
              <w:rPr>
                <w:iCs/>
                <w:color w:val="000000"/>
                <w:szCs w:val="22"/>
              </w:rPr>
              <w:sym w:font="Symbol" w:char="F0B3"/>
            </w:r>
            <w:r>
              <w:rPr>
                <w:iCs/>
                <w:color w:val="000000"/>
                <w:szCs w:val="22"/>
              </w:rPr>
              <w:t xml:space="preserve"> 5 </w:t>
            </w:r>
            <w:proofErr w:type="gramStart"/>
            <w:r>
              <w:rPr>
                <w:iCs/>
                <w:color w:val="000000"/>
                <w:szCs w:val="22"/>
              </w:rPr>
              <w:t>EL.U</w:t>
            </w:r>
            <w:proofErr w:type="gramEnd"/>
            <w:r>
              <w:rPr>
                <w:iCs/>
                <w:color w:val="000000"/>
                <w:szCs w:val="22"/>
              </w:rPr>
              <w:t>/ml</w:t>
            </w:r>
          </w:p>
        </w:tc>
        <w:tc>
          <w:tcPr>
            <w:tcW w:w="1251" w:type="pct"/>
            <w:tcBorders>
              <w:top w:val="single" w:sz="4" w:space="0" w:color="auto"/>
              <w:left w:val="single" w:sz="4" w:space="0" w:color="auto"/>
              <w:bottom w:val="nil"/>
              <w:right w:val="single" w:sz="4" w:space="0" w:color="auto"/>
            </w:tcBorders>
          </w:tcPr>
          <w:p w:rsidR="00E92990" w:rsidRDefault="00E92990" w:rsidP="00A55EFE">
            <w:pPr>
              <w:rPr>
                <w:iCs/>
                <w:color w:val="000000"/>
                <w:szCs w:val="22"/>
                <w:lang w:val="fr-FR"/>
              </w:rPr>
            </w:pPr>
          </w:p>
        </w:tc>
        <w:tc>
          <w:tcPr>
            <w:tcW w:w="1450" w:type="pct"/>
            <w:tcBorders>
              <w:top w:val="single" w:sz="4" w:space="0" w:color="auto"/>
              <w:left w:val="single" w:sz="4" w:space="0" w:color="auto"/>
              <w:bottom w:val="nil"/>
              <w:right w:val="single" w:sz="4" w:space="0" w:color="auto"/>
            </w:tcBorders>
          </w:tcPr>
          <w:p w:rsidR="00E92990" w:rsidRDefault="00E92990" w:rsidP="00A55EFE">
            <w:pPr>
              <w:rPr>
                <w:iCs/>
                <w:color w:val="000000"/>
                <w:szCs w:val="22"/>
                <w:lang w:val="fr-FR"/>
              </w:rPr>
            </w:pPr>
          </w:p>
        </w:tc>
      </w:tr>
      <w:tr w:rsidR="00E92990" w:rsidTr="00263756">
        <w:trPr>
          <w:trHeight w:val="295"/>
          <w:jc w:val="center"/>
        </w:trPr>
        <w:tc>
          <w:tcPr>
            <w:tcW w:w="1258" w:type="pct"/>
            <w:tcBorders>
              <w:top w:val="nil"/>
              <w:left w:val="single" w:sz="4" w:space="0" w:color="auto"/>
              <w:bottom w:val="nil"/>
              <w:right w:val="single" w:sz="4" w:space="0" w:color="auto"/>
            </w:tcBorders>
            <w:shd w:val="clear" w:color="auto" w:fill="F2F2F2"/>
            <w:hideMark/>
          </w:tcPr>
          <w:p w:rsidR="00E92990" w:rsidRDefault="00E92990" w:rsidP="00A55EFE">
            <w:pPr>
              <w:ind w:left="205"/>
              <w:rPr>
                <w:b/>
                <w:iCs/>
                <w:color w:val="000000"/>
                <w:szCs w:val="22"/>
                <w:lang w:val="fr-FR"/>
              </w:rPr>
            </w:pPr>
            <w:r>
              <w:rPr>
                <w:iCs/>
                <w:color w:val="000000"/>
                <w:szCs w:val="22"/>
                <w:lang w:val="fr-FR"/>
              </w:rPr>
              <w:t>Pertussistoksoid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A55EFE">
            <w:pPr>
              <w:rPr>
                <w:iCs/>
                <w:color w:val="000000"/>
                <w:szCs w:val="22"/>
              </w:rPr>
            </w:pPr>
          </w:p>
        </w:tc>
        <w:tc>
          <w:tcPr>
            <w:tcW w:w="1251" w:type="pct"/>
            <w:tcBorders>
              <w:top w:val="nil"/>
              <w:left w:val="single" w:sz="4" w:space="0" w:color="auto"/>
              <w:bottom w:val="nil"/>
              <w:right w:val="single" w:sz="4" w:space="0" w:color="auto"/>
            </w:tcBorders>
            <w:hideMark/>
          </w:tcPr>
          <w:p w:rsidR="00E92990" w:rsidRDefault="00E92990" w:rsidP="00A55EFE">
            <w:pPr>
              <w:jc w:val="center"/>
              <w:rPr>
                <w:iCs/>
                <w:color w:val="000000"/>
                <w:szCs w:val="22"/>
                <w:lang w:val="fr-FR"/>
              </w:rPr>
            </w:pPr>
            <w:r>
              <w:rPr>
                <w:iCs/>
                <w:color w:val="000000"/>
                <w:szCs w:val="22"/>
                <w:lang w:val="fr-FR"/>
              </w:rPr>
              <w:t>40,9 %</w:t>
            </w:r>
          </w:p>
        </w:tc>
        <w:tc>
          <w:tcPr>
            <w:tcW w:w="1450" w:type="pct"/>
            <w:tcBorders>
              <w:top w:val="nil"/>
              <w:left w:val="single" w:sz="4" w:space="0" w:color="auto"/>
              <w:bottom w:val="nil"/>
              <w:right w:val="single" w:sz="4" w:space="0" w:color="auto"/>
            </w:tcBorders>
            <w:hideMark/>
          </w:tcPr>
          <w:p w:rsidR="00E92990" w:rsidRDefault="00E92990" w:rsidP="00A55EFE">
            <w:pPr>
              <w:jc w:val="center"/>
              <w:rPr>
                <w:iCs/>
                <w:color w:val="000000"/>
                <w:szCs w:val="22"/>
                <w:lang w:val="fr-FR"/>
              </w:rPr>
            </w:pPr>
            <w:r>
              <w:rPr>
                <w:iCs/>
                <w:color w:val="000000"/>
                <w:szCs w:val="22"/>
                <w:lang w:val="fr-FR"/>
              </w:rPr>
              <w:t>78,7 %</w:t>
            </w:r>
          </w:p>
        </w:tc>
      </w:tr>
      <w:tr w:rsidR="00E92990" w:rsidTr="00263756">
        <w:trPr>
          <w:trHeight w:val="350"/>
          <w:jc w:val="center"/>
        </w:trPr>
        <w:tc>
          <w:tcPr>
            <w:tcW w:w="1258" w:type="pct"/>
            <w:tcBorders>
              <w:top w:val="nil"/>
              <w:left w:val="single" w:sz="4" w:space="0" w:color="auto"/>
              <w:bottom w:val="nil"/>
              <w:right w:val="single" w:sz="4" w:space="0" w:color="auto"/>
            </w:tcBorders>
            <w:shd w:val="clear" w:color="auto" w:fill="F2F2F2"/>
            <w:hideMark/>
          </w:tcPr>
          <w:p w:rsidR="00E92990" w:rsidRDefault="00E92990" w:rsidP="00A55EFE">
            <w:pPr>
              <w:ind w:left="205"/>
              <w:rPr>
                <w:iCs/>
                <w:color w:val="000000"/>
                <w:szCs w:val="22"/>
                <w:lang w:val="fr-FR"/>
              </w:rPr>
            </w:pPr>
            <w:r>
              <w:rPr>
                <w:iCs/>
                <w:color w:val="000000"/>
                <w:szCs w:val="22"/>
                <w:lang w:val="fr-FR"/>
              </w:rPr>
              <w:t xml:space="preserve">Filamentøs   </w:t>
            </w:r>
          </w:p>
          <w:p w:rsidR="00E92990" w:rsidRDefault="00E92990" w:rsidP="00A55EFE">
            <w:pPr>
              <w:ind w:left="205"/>
              <w:rPr>
                <w:b/>
                <w:iCs/>
                <w:color w:val="000000"/>
                <w:szCs w:val="22"/>
                <w:lang w:val="fr-FR"/>
              </w:rPr>
            </w:pPr>
            <w:r>
              <w:rPr>
                <w:iCs/>
                <w:color w:val="000000"/>
                <w:szCs w:val="22"/>
                <w:lang w:val="fr-FR"/>
              </w:rPr>
              <w:t xml:space="preserve">    hæmagglutin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A55EFE">
            <w:pPr>
              <w:rPr>
                <w:iCs/>
                <w:color w:val="000000"/>
                <w:szCs w:val="22"/>
              </w:rPr>
            </w:pPr>
          </w:p>
        </w:tc>
        <w:tc>
          <w:tcPr>
            <w:tcW w:w="1251" w:type="pct"/>
            <w:tcBorders>
              <w:top w:val="nil"/>
              <w:left w:val="single" w:sz="4" w:space="0" w:color="auto"/>
              <w:bottom w:val="nil"/>
              <w:right w:val="single" w:sz="4" w:space="0" w:color="auto"/>
            </w:tcBorders>
            <w:vAlign w:val="center"/>
            <w:hideMark/>
          </w:tcPr>
          <w:p w:rsidR="00E92990" w:rsidRDefault="00E92990" w:rsidP="00A55EFE">
            <w:pPr>
              <w:jc w:val="center"/>
              <w:rPr>
                <w:iCs/>
                <w:color w:val="000000"/>
                <w:szCs w:val="22"/>
                <w:lang w:val="fr-FR"/>
              </w:rPr>
            </w:pPr>
            <w:r>
              <w:rPr>
                <w:iCs/>
                <w:color w:val="000000"/>
                <w:szCs w:val="22"/>
                <w:lang w:val="fr-FR"/>
              </w:rPr>
              <w:t>99,7 %</w:t>
            </w:r>
          </w:p>
        </w:tc>
        <w:tc>
          <w:tcPr>
            <w:tcW w:w="1450" w:type="pct"/>
            <w:tcBorders>
              <w:top w:val="nil"/>
              <w:left w:val="single" w:sz="4" w:space="0" w:color="auto"/>
              <w:bottom w:val="nil"/>
              <w:right w:val="single" w:sz="4" w:space="0" w:color="auto"/>
            </w:tcBorders>
            <w:vAlign w:val="center"/>
            <w:hideMark/>
          </w:tcPr>
          <w:p w:rsidR="00E92990" w:rsidRDefault="00E92990" w:rsidP="00A55EFE">
            <w:pPr>
              <w:jc w:val="center"/>
              <w:rPr>
                <w:iCs/>
                <w:color w:val="000000"/>
                <w:szCs w:val="22"/>
                <w:lang w:val="fr-FR"/>
              </w:rPr>
            </w:pPr>
            <w:r>
              <w:rPr>
                <w:iCs/>
                <w:color w:val="000000"/>
                <w:szCs w:val="22"/>
                <w:lang w:val="fr-FR"/>
              </w:rPr>
              <w:t>100 %</w:t>
            </w:r>
          </w:p>
        </w:tc>
      </w:tr>
      <w:tr w:rsidR="00E92990" w:rsidTr="00263756">
        <w:trPr>
          <w:trHeight w:val="322"/>
          <w:jc w:val="center"/>
        </w:trPr>
        <w:tc>
          <w:tcPr>
            <w:tcW w:w="1258" w:type="pct"/>
            <w:tcBorders>
              <w:top w:val="nil"/>
              <w:left w:val="single" w:sz="4" w:space="0" w:color="auto"/>
              <w:bottom w:val="single" w:sz="4" w:space="0" w:color="auto"/>
              <w:right w:val="single" w:sz="4" w:space="0" w:color="auto"/>
            </w:tcBorders>
            <w:shd w:val="clear" w:color="auto" w:fill="F2F2F2"/>
            <w:hideMark/>
          </w:tcPr>
          <w:p w:rsidR="00E92990" w:rsidRDefault="00E92990" w:rsidP="00A55EFE">
            <w:pPr>
              <w:ind w:left="205"/>
              <w:rPr>
                <w:b/>
                <w:iCs/>
                <w:color w:val="000000"/>
                <w:szCs w:val="22"/>
                <w:lang w:val="fr-FR"/>
              </w:rPr>
            </w:pPr>
            <w:r>
              <w:rPr>
                <w:iCs/>
                <w:color w:val="000000"/>
                <w:szCs w:val="22"/>
                <w:lang w:val="fr-FR"/>
              </w:rPr>
              <w:t>Pertactin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A55EFE">
            <w:pPr>
              <w:rPr>
                <w:iCs/>
                <w:color w:val="000000"/>
                <w:szCs w:val="22"/>
              </w:rPr>
            </w:pPr>
          </w:p>
        </w:tc>
        <w:tc>
          <w:tcPr>
            <w:tcW w:w="1251" w:type="pct"/>
            <w:tcBorders>
              <w:top w:val="nil"/>
              <w:left w:val="single" w:sz="4" w:space="0" w:color="auto"/>
              <w:bottom w:val="single" w:sz="4" w:space="0" w:color="auto"/>
              <w:right w:val="single" w:sz="4" w:space="0" w:color="auto"/>
            </w:tcBorders>
            <w:hideMark/>
          </w:tcPr>
          <w:p w:rsidR="00E92990" w:rsidRDefault="00E92990" w:rsidP="00A55EFE">
            <w:pPr>
              <w:jc w:val="center"/>
              <w:rPr>
                <w:iCs/>
                <w:color w:val="000000"/>
                <w:szCs w:val="22"/>
                <w:lang w:val="fr-FR"/>
              </w:rPr>
            </w:pPr>
            <w:r>
              <w:rPr>
                <w:iCs/>
                <w:color w:val="000000"/>
                <w:szCs w:val="22"/>
                <w:lang w:val="fr-FR"/>
              </w:rPr>
              <w:t>97,1 %</w:t>
            </w:r>
          </w:p>
        </w:tc>
        <w:tc>
          <w:tcPr>
            <w:tcW w:w="1450" w:type="pct"/>
            <w:tcBorders>
              <w:top w:val="nil"/>
              <w:left w:val="single" w:sz="4" w:space="0" w:color="auto"/>
              <w:bottom w:val="single" w:sz="4" w:space="0" w:color="auto"/>
              <w:right w:val="single" w:sz="4" w:space="0" w:color="auto"/>
            </w:tcBorders>
            <w:hideMark/>
          </w:tcPr>
          <w:p w:rsidR="00E92990" w:rsidRDefault="00E92990" w:rsidP="00A55EFE">
            <w:pPr>
              <w:jc w:val="center"/>
              <w:rPr>
                <w:iCs/>
                <w:color w:val="000000"/>
                <w:szCs w:val="22"/>
                <w:lang w:val="fr-FR"/>
              </w:rPr>
            </w:pPr>
            <w:r>
              <w:rPr>
                <w:iCs/>
                <w:color w:val="000000"/>
                <w:szCs w:val="22"/>
                <w:lang w:val="fr-FR"/>
              </w:rPr>
              <w:t>88,7 %</w:t>
            </w:r>
          </w:p>
        </w:tc>
      </w:tr>
      <w:tr w:rsidR="00E92990" w:rsidTr="00263756">
        <w:trPr>
          <w:trHeight w:val="339"/>
          <w:jc w:val="center"/>
        </w:trPr>
        <w:tc>
          <w:tcPr>
            <w:tcW w:w="1258" w:type="pct"/>
            <w:tcBorders>
              <w:top w:val="single" w:sz="4" w:space="0" w:color="auto"/>
              <w:left w:val="single" w:sz="4" w:space="0" w:color="auto"/>
              <w:bottom w:val="nil"/>
              <w:right w:val="single" w:sz="4" w:space="0" w:color="auto"/>
            </w:tcBorders>
            <w:shd w:val="clear" w:color="auto" w:fill="F2F2F2"/>
            <w:hideMark/>
          </w:tcPr>
          <w:p w:rsidR="00E92990" w:rsidRDefault="00E92990" w:rsidP="00263756">
            <w:pPr>
              <w:keepNext/>
              <w:ind w:right="-135"/>
              <w:rPr>
                <w:b/>
                <w:iCs/>
                <w:color w:val="000000"/>
                <w:szCs w:val="22"/>
              </w:rPr>
            </w:pPr>
            <w:r>
              <w:rPr>
                <w:b/>
                <w:iCs/>
                <w:color w:val="000000"/>
                <w:szCs w:val="22"/>
              </w:rPr>
              <w:lastRenderedPageBreak/>
              <w:t xml:space="preserve">Inaktiveret poliovirus </w:t>
            </w:r>
          </w:p>
        </w:tc>
        <w:tc>
          <w:tcPr>
            <w:tcW w:w="1042" w:type="pct"/>
            <w:vMerge w:val="restart"/>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keepNext/>
              <w:jc w:val="center"/>
              <w:rPr>
                <w:iCs/>
                <w:color w:val="000000"/>
                <w:szCs w:val="22"/>
              </w:rPr>
            </w:pPr>
            <w:r>
              <w:rPr>
                <w:iCs/>
                <w:color w:val="000000"/>
                <w:szCs w:val="22"/>
              </w:rPr>
              <w:sym w:font="Symbol" w:char="F0B3"/>
            </w:r>
            <w:r>
              <w:rPr>
                <w:bCs/>
                <w:iCs/>
                <w:color w:val="000000"/>
                <w:szCs w:val="22"/>
              </w:rPr>
              <w:t xml:space="preserve"> 8 ED50</w:t>
            </w:r>
          </w:p>
        </w:tc>
        <w:tc>
          <w:tcPr>
            <w:tcW w:w="1251" w:type="pct"/>
            <w:tcBorders>
              <w:top w:val="single" w:sz="4" w:space="0" w:color="auto"/>
              <w:left w:val="single" w:sz="4" w:space="0" w:color="auto"/>
              <w:bottom w:val="nil"/>
              <w:right w:val="single" w:sz="4" w:space="0" w:color="auto"/>
            </w:tcBorders>
          </w:tcPr>
          <w:p w:rsidR="00E92990" w:rsidRDefault="00E92990" w:rsidP="00263756">
            <w:pPr>
              <w:keepNext/>
              <w:rPr>
                <w:iCs/>
                <w:color w:val="000000"/>
                <w:szCs w:val="22"/>
              </w:rPr>
            </w:pPr>
          </w:p>
        </w:tc>
        <w:tc>
          <w:tcPr>
            <w:tcW w:w="1450" w:type="pct"/>
            <w:tcBorders>
              <w:top w:val="single" w:sz="4" w:space="0" w:color="auto"/>
              <w:left w:val="single" w:sz="4" w:space="0" w:color="auto"/>
              <w:bottom w:val="nil"/>
              <w:right w:val="single" w:sz="4" w:space="0" w:color="auto"/>
            </w:tcBorders>
          </w:tcPr>
          <w:p w:rsidR="00E92990" w:rsidRDefault="00E92990" w:rsidP="00263756">
            <w:pPr>
              <w:keepNext/>
              <w:rPr>
                <w:iCs/>
                <w:color w:val="000000"/>
                <w:szCs w:val="22"/>
              </w:rPr>
            </w:pPr>
          </w:p>
        </w:tc>
      </w:tr>
      <w:tr w:rsidR="00E92990" w:rsidTr="00263756">
        <w:trPr>
          <w:trHeight w:val="274"/>
          <w:jc w:val="center"/>
        </w:trPr>
        <w:tc>
          <w:tcPr>
            <w:tcW w:w="1258" w:type="pct"/>
            <w:tcBorders>
              <w:top w:val="nil"/>
              <w:left w:val="single" w:sz="4" w:space="0" w:color="auto"/>
              <w:bottom w:val="nil"/>
              <w:right w:val="single" w:sz="4" w:space="0" w:color="auto"/>
            </w:tcBorders>
            <w:shd w:val="clear" w:color="auto" w:fill="F2F2F2"/>
            <w:hideMark/>
          </w:tcPr>
          <w:p w:rsidR="00E92990" w:rsidRDefault="00E92990" w:rsidP="00263756">
            <w:pPr>
              <w:keepNext/>
              <w:ind w:left="205"/>
              <w:rPr>
                <w:iCs/>
                <w:color w:val="000000"/>
                <w:szCs w:val="22"/>
              </w:rPr>
            </w:pPr>
            <w:r>
              <w:rPr>
                <w:iCs/>
                <w:color w:val="000000"/>
                <w:szCs w:val="22"/>
              </w:rPr>
              <w:t>type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iCs/>
                <w:color w:val="000000"/>
                <w:szCs w:val="22"/>
              </w:rPr>
            </w:pPr>
          </w:p>
        </w:tc>
        <w:tc>
          <w:tcPr>
            <w:tcW w:w="1251" w:type="pct"/>
            <w:tcBorders>
              <w:top w:val="nil"/>
              <w:left w:val="single" w:sz="4" w:space="0" w:color="auto"/>
              <w:bottom w:val="nil"/>
              <w:right w:val="single" w:sz="4" w:space="0" w:color="auto"/>
            </w:tcBorders>
            <w:hideMark/>
          </w:tcPr>
          <w:p w:rsidR="00E92990" w:rsidRDefault="00E92990" w:rsidP="00263756">
            <w:pPr>
              <w:keepNext/>
              <w:jc w:val="center"/>
              <w:rPr>
                <w:iCs/>
                <w:color w:val="000000"/>
                <w:szCs w:val="22"/>
              </w:rPr>
            </w:pPr>
            <w:r>
              <w:rPr>
                <w:iCs/>
                <w:color w:val="000000"/>
                <w:szCs w:val="22"/>
              </w:rPr>
              <w:t>98,8 %</w:t>
            </w:r>
          </w:p>
        </w:tc>
        <w:tc>
          <w:tcPr>
            <w:tcW w:w="1450" w:type="pct"/>
            <w:tcBorders>
              <w:top w:val="nil"/>
              <w:left w:val="single" w:sz="4" w:space="0" w:color="auto"/>
              <w:bottom w:val="nil"/>
              <w:right w:val="single" w:sz="4" w:space="0" w:color="auto"/>
            </w:tcBorders>
            <w:hideMark/>
          </w:tcPr>
          <w:p w:rsidR="00E92990" w:rsidRDefault="00E92990" w:rsidP="00263756">
            <w:pPr>
              <w:keepNext/>
              <w:jc w:val="center"/>
              <w:rPr>
                <w:iCs/>
                <w:color w:val="000000"/>
                <w:szCs w:val="22"/>
              </w:rPr>
            </w:pPr>
            <w:r>
              <w:rPr>
                <w:iCs/>
                <w:color w:val="000000"/>
                <w:szCs w:val="22"/>
              </w:rPr>
              <w:t>100 %</w:t>
            </w:r>
          </w:p>
        </w:tc>
      </w:tr>
      <w:tr w:rsidR="00E92990" w:rsidTr="00263756">
        <w:trPr>
          <w:trHeight w:val="277"/>
          <w:jc w:val="center"/>
        </w:trPr>
        <w:tc>
          <w:tcPr>
            <w:tcW w:w="1258" w:type="pct"/>
            <w:tcBorders>
              <w:top w:val="nil"/>
              <w:left w:val="single" w:sz="4" w:space="0" w:color="auto"/>
              <w:bottom w:val="nil"/>
              <w:right w:val="single" w:sz="4" w:space="0" w:color="auto"/>
            </w:tcBorders>
            <w:shd w:val="clear" w:color="auto" w:fill="F2F2F2"/>
            <w:hideMark/>
          </w:tcPr>
          <w:p w:rsidR="00E92990" w:rsidRDefault="00E92990" w:rsidP="00263756">
            <w:pPr>
              <w:keepNext/>
              <w:ind w:left="205"/>
              <w:rPr>
                <w:iCs/>
                <w:color w:val="000000"/>
                <w:szCs w:val="22"/>
              </w:rPr>
            </w:pPr>
            <w:r>
              <w:rPr>
                <w:iCs/>
                <w:color w:val="000000"/>
                <w:szCs w:val="22"/>
              </w:rPr>
              <w:t>type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iCs/>
                <w:color w:val="000000"/>
                <w:szCs w:val="22"/>
              </w:rPr>
            </w:pPr>
          </w:p>
        </w:tc>
        <w:tc>
          <w:tcPr>
            <w:tcW w:w="1251" w:type="pct"/>
            <w:tcBorders>
              <w:top w:val="nil"/>
              <w:left w:val="single" w:sz="4" w:space="0" w:color="auto"/>
              <w:bottom w:val="nil"/>
              <w:right w:val="single" w:sz="4" w:space="0" w:color="auto"/>
            </w:tcBorders>
            <w:hideMark/>
          </w:tcPr>
          <w:p w:rsidR="00E92990" w:rsidRDefault="00E92990" w:rsidP="00263756">
            <w:pPr>
              <w:keepNext/>
              <w:jc w:val="center"/>
              <w:rPr>
                <w:iCs/>
                <w:color w:val="000000"/>
                <w:szCs w:val="22"/>
              </w:rPr>
            </w:pPr>
            <w:r>
              <w:rPr>
                <w:iCs/>
                <w:color w:val="000000"/>
                <w:szCs w:val="22"/>
              </w:rPr>
              <w:t>99,7 %</w:t>
            </w:r>
          </w:p>
        </w:tc>
        <w:tc>
          <w:tcPr>
            <w:tcW w:w="1450" w:type="pct"/>
            <w:tcBorders>
              <w:top w:val="nil"/>
              <w:left w:val="single" w:sz="4" w:space="0" w:color="auto"/>
              <w:bottom w:val="nil"/>
              <w:right w:val="single" w:sz="4" w:space="0" w:color="auto"/>
            </w:tcBorders>
            <w:hideMark/>
          </w:tcPr>
          <w:p w:rsidR="00E92990" w:rsidRDefault="00E92990" w:rsidP="00263756">
            <w:pPr>
              <w:keepNext/>
              <w:jc w:val="center"/>
              <w:rPr>
                <w:iCs/>
                <w:color w:val="000000"/>
                <w:szCs w:val="22"/>
              </w:rPr>
            </w:pPr>
            <w:r>
              <w:rPr>
                <w:iCs/>
                <w:color w:val="000000"/>
                <w:szCs w:val="22"/>
              </w:rPr>
              <w:t>100 %</w:t>
            </w:r>
          </w:p>
        </w:tc>
      </w:tr>
      <w:tr w:rsidR="00E92990" w:rsidTr="00263756">
        <w:trPr>
          <w:trHeight w:val="209"/>
          <w:jc w:val="center"/>
        </w:trPr>
        <w:tc>
          <w:tcPr>
            <w:tcW w:w="1258" w:type="pct"/>
            <w:tcBorders>
              <w:top w:val="nil"/>
              <w:left w:val="single" w:sz="4" w:space="0" w:color="auto"/>
              <w:bottom w:val="single" w:sz="4" w:space="0" w:color="auto"/>
              <w:right w:val="single" w:sz="4" w:space="0" w:color="auto"/>
            </w:tcBorders>
            <w:shd w:val="clear" w:color="auto" w:fill="F2F2F2"/>
            <w:hideMark/>
          </w:tcPr>
          <w:p w:rsidR="00E92990" w:rsidRDefault="00E92990" w:rsidP="00263756">
            <w:pPr>
              <w:keepNext/>
              <w:ind w:left="205" w:right="-135"/>
              <w:rPr>
                <w:b/>
                <w:iCs/>
                <w:color w:val="000000"/>
                <w:szCs w:val="22"/>
              </w:rPr>
            </w:pPr>
            <w:r>
              <w:rPr>
                <w:iCs/>
                <w:color w:val="000000"/>
                <w:szCs w:val="22"/>
              </w:rPr>
              <w:t>type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2990" w:rsidRDefault="00E92990" w:rsidP="00263756">
            <w:pPr>
              <w:rPr>
                <w:iCs/>
                <w:color w:val="000000"/>
                <w:szCs w:val="22"/>
              </w:rPr>
            </w:pPr>
          </w:p>
        </w:tc>
        <w:tc>
          <w:tcPr>
            <w:tcW w:w="1251" w:type="pct"/>
            <w:tcBorders>
              <w:top w:val="nil"/>
              <w:left w:val="single" w:sz="4" w:space="0" w:color="auto"/>
              <w:bottom w:val="single" w:sz="4" w:space="0" w:color="auto"/>
              <w:right w:val="single" w:sz="4" w:space="0" w:color="auto"/>
            </w:tcBorders>
            <w:hideMark/>
          </w:tcPr>
          <w:p w:rsidR="00E92990" w:rsidRDefault="00E92990" w:rsidP="00263756">
            <w:pPr>
              <w:keepNext/>
              <w:jc w:val="center"/>
              <w:rPr>
                <w:iCs/>
                <w:color w:val="000000"/>
                <w:szCs w:val="22"/>
              </w:rPr>
            </w:pPr>
            <w:r>
              <w:rPr>
                <w:iCs/>
                <w:color w:val="000000"/>
                <w:szCs w:val="22"/>
              </w:rPr>
              <w:t>97,1 %</w:t>
            </w:r>
          </w:p>
        </w:tc>
        <w:tc>
          <w:tcPr>
            <w:tcW w:w="1450" w:type="pct"/>
            <w:tcBorders>
              <w:top w:val="nil"/>
              <w:left w:val="single" w:sz="4" w:space="0" w:color="auto"/>
              <w:bottom w:val="single" w:sz="4" w:space="0" w:color="auto"/>
              <w:right w:val="single" w:sz="4" w:space="0" w:color="auto"/>
            </w:tcBorders>
            <w:hideMark/>
          </w:tcPr>
          <w:p w:rsidR="00E92990" w:rsidRDefault="00E92990" w:rsidP="00263756">
            <w:pPr>
              <w:keepNext/>
              <w:jc w:val="center"/>
              <w:rPr>
                <w:iCs/>
                <w:color w:val="000000"/>
                <w:szCs w:val="22"/>
              </w:rPr>
            </w:pPr>
            <w:r>
              <w:rPr>
                <w:iCs/>
                <w:color w:val="000000"/>
                <w:szCs w:val="22"/>
              </w:rPr>
              <w:t>98,3 %</w:t>
            </w:r>
          </w:p>
        </w:tc>
      </w:tr>
    </w:tbl>
    <w:p w:rsidR="00E92990" w:rsidRDefault="00E92990" w:rsidP="00E92990">
      <w:pPr>
        <w:ind w:left="150"/>
        <w:rPr>
          <w:sz w:val="20"/>
        </w:rPr>
      </w:pPr>
      <w:r>
        <w:rPr>
          <w:sz w:val="20"/>
        </w:rPr>
        <w:t xml:space="preserve">*98,2 % af personerne med antistof-koncentrationer associeret med beskyttelse mod sygdom ≥ 0,016 IU/ml ved </w:t>
      </w:r>
      <w:r>
        <w:rPr>
          <w:i/>
          <w:sz w:val="20"/>
        </w:rPr>
        <w:t>in-</w:t>
      </w:r>
      <w:proofErr w:type="spellStart"/>
      <w:r>
        <w:rPr>
          <w:i/>
          <w:sz w:val="20"/>
        </w:rPr>
        <w:t>vitro</w:t>
      </w:r>
      <w:proofErr w:type="spellEnd"/>
      <w:r>
        <w:rPr>
          <w:sz w:val="20"/>
        </w:rPr>
        <w:t xml:space="preserve"> </w:t>
      </w:r>
      <w:proofErr w:type="spellStart"/>
      <w:r>
        <w:rPr>
          <w:sz w:val="20"/>
        </w:rPr>
        <w:t>Vero</w:t>
      </w:r>
      <w:proofErr w:type="spellEnd"/>
      <w:r>
        <w:rPr>
          <w:sz w:val="20"/>
        </w:rPr>
        <w:t>-celle neutraliserings-</w:t>
      </w:r>
      <w:proofErr w:type="spellStart"/>
      <w:r>
        <w:rPr>
          <w:sz w:val="20"/>
        </w:rPr>
        <w:t>assay</w:t>
      </w:r>
      <w:proofErr w:type="spellEnd"/>
      <w:r>
        <w:rPr>
          <w:sz w:val="20"/>
        </w:rPr>
        <w:t>.</w:t>
      </w:r>
    </w:p>
    <w:p w:rsidR="00E92990" w:rsidRDefault="00E92990" w:rsidP="00E92990">
      <w:pPr>
        <w:ind w:left="150"/>
        <w:rPr>
          <w:sz w:val="24"/>
          <w:szCs w:val="24"/>
          <w:vertAlign w:val="superscript"/>
        </w:rPr>
      </w:pPr>
      <w:r>
        <w:rPr>
          <w:sz w:val="20"/>
        </w:rPr>
        <w:t xml:space="preserve">**92,1 % af personerne med antistof-koncentrationer associeret med beskyttelse mod sygdom ≥ 0,01 IU/ml ved </w:t>
      </w:r>
      <w:r>
        <w:rPr>
          <w:i/>
          <w:sz w:val="20"/>
        </w:rPr>
        <w:t xml:space="preserve">in </w:t>
      </w:r>
      <w:proofErr w:type="spellStart"/>
      <w:r>
        <w:rPr>
          <w:i/>
          <w:sz w:val="20"/>
        </w:rPr>
        <w:t>vitro</w:t>
      </w:r>
      <w:proofErr w:type="spellEnd"/>
      <w:r>
        <w:rPr>
          <w:sz w:val="20"/>
        </w:rPr>
        <w:t xml:space="preserve"> </w:t>
      </w:r>
      <w:proofErr w:type="spellStart"/>
      <w:r>
        <w:rPr>
          <w:sz w:val="20"/>
        </w:rPr>
        <w:t>Vero</w:t>
      </w:r>
      <w:proofErr w:type="spellEnd"/>
      <w:r>
        <w:rPr>
          <w:sz w:val="20"/>
        </w:rPr>
        <w:t>-celle neutraliserings-</w:t>
      </w:r>
      <w:proofErr w:type="spellStart"/>
      <w:r>
        <w:rPr>
          <w:sz w:val="20"/>
        </w:rPr>
        <w:t>assay</w:t>
      </w:r>
      <w:proofErr w:type="spellEnd"/>
      <w:r>
        <w:rPr>
          <w:sz w:val="20"/>
        </w:rPr>
        <w:t>.</w:t>
      </w:r>
    </w:p>
    <w:p w:rsidR="00E92990" w:rsidRDefault="00E92990" w:rsidP="00E92990">
      <w:pPr>
        <w:ind w:left="851"/>
        <w:rPr>
          <w:sz w:val="24"/>
          <w:szCs w:val="24"/>
        </w:rPr>
      </w:pPr>
    </w:p>
    <w:p w:rsidR="00E92990" w:rsidRDefault="00E92990" w:rsidP="00E92990">
      <w:pPr>
        <w:suppressAutoHyphens/>
        <w:ind w:left="851"/>
        <w:jc w:val="both"/>
        <w:outlineLvl w:val="0"/>
        <w:rPr>
          <w:i/>
        </w:rPr>
      </w:pPr>
      <w:r>
        <w:rPr>
          <w:i/>
        </w:rPr>
        <w:t>Immunrespons efter gentagen dosis</w:t>
      </w:r>
    </w:p>
    <w:p w:rsidR="00E92990" w:rsidRDefault="00E92990" w:rsidP="00E92990">
      <w:pPr>
        <w:suppressAutoHyphens/>
        <w:ind w:left="851"/>
        <w:jc w:val="both"/>
        <w:outlineLvl w:val="0"/>
        <w:rPr>
          <w:i/>
        </w:rPr>
      </w:pPr>
    </w:p>
    <w:p w:rsidR="00E92990" w:rsidRDefault="00E92990" w:rsidP="00E92990">
      <w:pPr>
        <w:ind w:left="851"/>
        <w:rPr>
          <w:sz w:val="24"/>
          <w:szCs w:val="24"/>
        </w:rPr>
      </w:pPr>
      <w:proofErr w:type="spellStart"/>
      <w:r>
        <w:rPr>
          <w:sz w:val="24"/>
          <w:szCs w:val="24"/>
        </w:rPr>
        <w:t>Immunogeniciteten</w:t>
      </w:r>
      <w:proofErr w:type="spellEnd"/>
      <w:r>
        <w:rPr>
          <w:sz w:val="24"/>
          <w:szCs w:val="24"/>
        </w:rPr>
        <w:t xml:space="preserve"> er undersøgt for </w:t>
      </w:r>
      <w:proofErr w:type="spellStart"/>
      <w:r>
        <w:rPr>
          <w:sz w:val="24"/>
          <w:szCs w:val="24"/>
        </w:rPr>
        <w:t>Boostrix</w:t>
      </w:r>
      <w:proofErr w:type="spellEnd"/>
      <w:r>
        <w:rPr>
          <w:sz w:val="24"/>
          <w:szCs w:val="24"/>
        </w:rPr>
        <w:t xml:space="preserve"> Polio administreret 5 år efter en tidligere </w:t>
      </w:r>
      <w:proofErr w:type="spellStart"/>
      <w:r>
        <w:rPr>
          <w:sz w:val="24"/>
          <w:szCs w:val="24"/>
        </w:rPr>
        <w:t>boosterdosis</w:t>
      </w:r>
      <w:proofErr w:type="spellEnd"/>
      <w:r>
        <w:rPr>
          <w:sz w:val="24"/>
          <w:szCs w:val="24"/>
        </w:rPr>
        <w:t xml:space="preserve"> af </w:t>
      </w:r>
      <w:proofErr w:type="spellStart"/>
      <w:r>
        <w:rPr>
          <w:sz w:val="24"/>
          <w:szCs w:val="24"/>
        </w:rPr>
        <w:t>Boostrix</w:t>
      </w:r>
      <w:proofErr w:type="spellEnd"/>
      <w:r>
        <w:rPr>
          <w:sz w:val="24"/>
          <w:szCs w:val="24"/>
        </w:rPr>
        <w:t xml:space="preserve"> Polio til børn fra 4-8 år. Én måned efter vaccination var &gt; 99 % af personerne </w:t>
      </w:r>
      <w:proofErr w:type="spellStart"/>
      <w:r>
        <w:rPr>
          <w:sz w:val="24"/>
          <w:szCs w:val="24"/>
        </w:rPr>
        <w:t>seropositive</w:t>
      </w:r>
      <w:proofErr w:type="spellEnd"/>
      <w:r>
        <w:rPr>
          <w:sz w:val="24"/>
          <w:szCs w:val="24"/>
        </w:rPr>
        <w:t xml:space="preserve"> over for </w:t>
      </w:r>
      <w:proofErr w:type="spellStart"/>
      <w:r>
        <w:rPr>
          <w:sz w:val="24"/>
          <w:szCs w:val="24"/>
        </w:rPr>
        <w:t>pertussis</w:t>
      </w:r>
      <w:proofErr w:type="spellEnd"/>
      <w:r>
        <w:rPr>
          <w:sz w:val="24"/>
          <w:szCs w:val="24"/>
        </w:rPr>
        <w:t xml:space="preserve"> og </w:t>
      </w:r>
      <w:proofErr w:type="spellStart"/>
      <w:r>
        <w:rPr>
          <w:sz w:val="24"/>
          <w:szCs w:val="24"/>
        </w:rPr>
        <w:t>serobeskyttet</w:t>
      </w:r>
      <w:proofErr w:type="spellEnd"/>
      <w:r>
        <w:rPr>
          <w:sz w:val="24"/>
          <w:szCs w:val="24"/>
        </w:rPr>
        <w:t xml:space="preserve"> mod difteri, tetanus og alle tre poliovirustyper.</w:t>
      </w:r>
    </w:p>
    <w:p w:rsidR="00E92990" w:rsidRDefault="00E92990" w:rsidP="00E92990">
      <w:pPr>
        <w:ind w:left="851"/>
        <w:rPr>
          <w:sz w:val="24"/>
          <w:szCs w:val="24"/>
        </w:rPr>
      </w:pPr>
    </w:p>
    <w:p w:rsidR="00E92990" w:rsidRPr="00075087" w:rsidRDefault="00E92990" w:rsidP="00E92990">
      <w:pPr>
        <w:ind w:left="851"/>
        <w:rPr>
          <w:sz w:val="24"/>
          <w:szCs w:val="24"/>
        </w:rPr>
      </w:pPr>
      <w:r>
        <w:rPr>
          <w:sz w:val="24"/>
          <w:szCs w:val="24"/>
        </w:rPr>
        <w:t xml:space="preserve">En dosis af </w:t>
      </w:r>
      <w:proofErr w:type="spellStart"/>
      <w:r>
        <w:rPr>
          <w:sz w:val="24"/>
          <w:szCs w:val="24"/>
        </w:rPr>
        <w:t>Boostrix</w:t>
      </w:r>
      <w:proofErr w:type="spellEnd"/>
      <w:r>
        <w:rPr>
          <w:sz w:val="24"/>
          <w:szCs w:val="24"/>
        </w:rPr>
        <w:t xml:space="preserve"> Polio, administreret hos voksne 10 år efter den foregående dosis, </w:t>
      </w:r>
      <w:r w:rsidRPr="00075087">
        <w:rPr>
          <w:sz w:val="24"/>
          <w:szCs w:val="24"/>
        </w:rPr>
        <w:t xml:space="preserve">fremkaldte et beskyttende immunrespons hos &gt; 96,8 % af personerne (for difteri-antigen) og hos 100 % af personerne (for tetanus- og polio-antigener). </w:t>
      </w:r>
      <w:proofErr w:type="spellStart"/>
      <w:r w:rsidRPr="00075087">
        <w:rPr>
          <w:sz w:val="24"/>
          <w:szCs w:val="24"/>
        </w:rPr>
        <w:t>Boosterresponset</w:t>
      </w:r>
      <w:proofErr w:type="spellEnd"/>
      <w:r w:rsidRPr="00075087">
        <w:rPr>
          <w:sz w:val="24"/>
          <w:szCs w:val="24"/>
        </w:rPr>
        <w:t xml:space="preserve"> mod </w:t>
      </w:r>
      <w:proofErr w:type="spellStart"/>
      <w:r w:rsidRPr="00075087">
        <w:rPr>
          <w:sz w:val="24"/>
          <w:szCs w:val="24"/>
        </w:rPr>
        <w:t>pertussis</w:t>
      </w:r>
      <w:proofErr w:type="spellEnd"/>
      <w:r w:rsidRPr="00075087">
        <w:rPr>
          <w:sz w:val="24"/>
          <w:szCs w:val="24"/>
        </w:rPr>
        <w:t>-antigen lå mellem 74,2 og 98,4 %.</w:t>
      </w:r>
    </w:p>
    <w:p w:rsidR="00E92990" w:rsidRPr="00075087" w:rsidRDefault="00E92990" w:rsidP="00E92990">
      <w:pPr>
        <w:ind w:left="851"/>
        <w:rPr>
          <w:sz w:val="24"/>
          <w:szCs w:val="24"/>
        </w:rPr>
      </w:pPr>
    </w:p>
    <w:p w:rsidR="00E92990" w:rsidRPr="00075087" w:rsidRDefault="00E92990" w:rsidP="00E92990">
      <w:pPr>
        <w:keepNext/>
        <w:suppressAutoHyphens/>
        <w:ind w:left="851"/>
        <w:jc w:val="both"/>
        <w:outlineLvl w:val="0"/>
        <w:rPr>
          <w:i/>
          <w:sz w:val="24"/>
          <w:szCs w:val="24"/>
        </w:rPr>
      </w:pPr>
      <w:r w:rsidRPr="00075087">
        <w:rPr>
          <w:i/>
          <w:sz w:val="24"/>
          <w:szCs w:val="24"/>
        </w:rPr>
        <w:t>Immunrespons hos personer uden tidligere eller med ukendt vaccinationsstatus</w:t>
      </w:r>
    </w:p>
    <w:p w:rsidR="00E92990" w:rsidRPr="00075087" w:rsidRDefault="00E92990" w:rsidP="00E92990">
      <w:pPr>
        <w:keepNext/>
        <w:suppressAutoHyphens/>
        <w:ind w:left="851"/>
        <w:jc w:val="both"/>
        <w:outlineLvl w:val="0"/>
        <w:rPr>
          <w:i/>
          <w:sz w:val="24"/>
          <w:szCs w:val="24"/>
        </w:rPr>
      </w:pPr>
    </w:p>
    <w:p w:rsidR="00E92990" w:rsidRPr="00075087" w:rsidRDefault="00E92990" w:rsidP="00E92990">
      <w:pPr>
        <w:suppressAutoHyphens/>
        <w:ind w:left="851"/>
        <w:jc w:val="both"/>
        <w:outlineLvl w:val="0"/>
        <w:rPr>
          <w:sz w:val="24"/>
          <w:szCs w:val="24"/>
        </w:rPr>
      </w:pPr>
      <w:r w:rsidRPr="00075087">
        <w:rPr>
          <w:sz w:val="24"/>
          <w:szCs w:val="24"/>
        </w:rPr>
        <w:t xml:space="preserve">Efter administration af en </w:t>
      </w:r>
      <w:proofErr w:type="spellStart"/>
      <w:r w:rsidRPr="00075087">
        <w:rPr>
          <w:sz w:val="24"/>
          <w:szCs w:val="24"/>
        </w:rPr>
        <w:t>Boostrix</w:t>
      </w:r>
      <w:proofErr w:type="spellEnd"/>
      <w:r w:rsidRPr="00075087">
        <w:rPr>
          <w:sz w:val="24"/>
          <w:szCs w:val="24"/>
        </w:rPr>
        <w:t xml:space="preserve"> dosis (</w:t>
      </w:r>
      <w:proofErr w:type="spellStart"/>
      <w:r w:rsidRPr="00075087">
        <w:rPr>
          <w:sz w:val="24"/>
          <w:szCs w:val="24"/>
        </w:rPr>
        <w:t>dTa</w:t>
      </w:r>
      <w:proofErr w:type="spellEnd"/>
      <w:r w:rsidRPr="00075087">
        <w:rPr>
          <w:sz w:val="24"/>
          <w:szCs w:val="24"/>
        </w:rPr>
        <w:t xml:space="preserve"> komponent af </w:t>
      </w:r>
      <w:proofErr w:type="spellStart"/>
      <w:r w:rsidRPr="00075087">
        <w:rPr>
          <w:sz w:val="24"/>
          <w:szCs w:val="24"/>
        </w:rPr>
        <w:t>Boostrix</w:t>
      </w:r>
      <w:proofErr w:type="spellEnd"/>
      <w:r w:rsidRPr="00075087">
        <w:rPr>
          <w:sz w:val="24"/>
          <w:szCs w:val="24"/>
        </w:rPr>
        <w:t xml:space="preserve"> Polio) til 83 unge mellem 11 og 18 år, som ikke tidligere var vaccineret mod </w:t>
      </w:r>
      <w:proofErr w:type="spellStart"/>
      <w:r w:rsidRPr="00075087">
        <w:rPr>
          <w:sz w:val="24"/>
          <w:szCs w:val="24"/>
        </w:rPr>
        <w:t>pertussis</w:t>
      </w:r>
      <w:proofErr w:type="spellEnd"/>
      <w:r w:rsidRPr="00075087">
        <w:rPr>
          <w:sz w:val="24"/>
          <w:szCs w:val="24"/>
        </w:rPr>
        <w:t xml:space="preserve"> og som ikke var blevet vaccineret mod difteri og tetanus i de foregående 5 år, var alle personer </w:t>
      </w:r>
      <w:proofErr w:type="spellStart"/>
      <w:r w:rsidRPr="00075087">
        <w:rPr>
          <w:sz w:val="24"/>
          <w:szCs w:val="24"/>
        </w:rPr>
        <w:t>serobeskyttet</w:t>
      </w:r>
      <w:proofErr w:type="spellEnd"/>
      <w:r w:rsidRPr="00075087">
        <w:rPr>
          <w:sz w:val="24"/>
          <w:szCs w:val="24"/>
        </w:rPr>
        <w:t xml:space="preserve"> mod tetanus og difteri. </w:t>
      </w:r>
      <w:proofErr w:type="spellStart"/>
      <w:r w:rsidRPr="00075087">
        <w:rPr>
          <w:sz w:val="24"/>
          <w:szCs w:val="24"/>
        </w:rPr>
        <w:t>Seropositivitetsgraden</w:t>
      </w:r>
      <w:proofErr w:type="spellEnd"/>
      <w:r w:rsidRPr="00075087">
        <w:rPr>
          <w:sz w:val="24"/>
          <w:szCs w:val="24"/>
        </w:rPr>
        <w:t xml:space="preserve"> efter en dosis varierede mellem 87 % og 100 % for de forskellige </w:t>
      </w:r>
      <w:proofErr w:type="spellStart"/>
      <w:r w:rsidRPr="00075087">
        <w:rPr>
          <w:sz w:val="24"/>
          <w:szCs w:val="24"/>
        </w:rPr>
        <w:t>persussis</w:t>
      </w:r>
      <w:proofErr w:type="spellEnd"/>
      <w:r w:rsidRPr="00075087">
        <w:rPr>
          <w:sz w:val="24"/>
          <w:szCs w:val="24"/>
        </w:rPr>
        <w:t>-antigener.</w:t>
      </w:r>
    </w:p>
    <w:p w:rsidR="00E92990" w:rsidRDefault="00E92990" w:rsidP="00E92990">
      <w:pPr>
        <w:ind w:left="851"/>
        <w:rPr>
          <w:sz w:val="24"/>
          <w:szCs w:val="24"/>
        </w:rPr>
      </w:pPr>
    </w:p>
    <w:p w:rsidR="00E92990" w:rsidRDefault="00E92990" w:rsidP="00E92990">
      <w:pPr>
        <w:ind w:left="851"/>
        <w:rPr>
          <w:sz w:val="24"/>
          <w:szCs w:val="24"/>
        </w:rPr>
      </w:pPr>
      <w:r>
        <w:rPr>
          <w:sz w:val="24"/>
          <w:szCs w:val="24"/>
        </w:rPr>
        <w:t xml:space="preserve">Efter administration af en dosis </w:t>
      </w:r>
      <w:proofErr w:type="spellStart"/>
      <w:r>
        <w:rPr>
          <w:sz w:val="24"/>
          <w:szCs w:val="24"/>
        </w:rPr>
        <w:t>Boostrix</w:t>
      </w:r>
      <w:proofErr w:type="spellEnd"/>
      <w:r>
        <w:rPr>
          <w:sz w:val="24"/>
          <w:szCs w:val="24"/>
        </w:rPr>
        <w:t xml:space="preserve"> Polio til 140 voksne ≥ 40 år (inklusive de personer, som aldrig var blevet vaccineret eller de personer, hvis vaccinationsstatus var ukendt), som ikke inden for de sidste 20 år havde fået en difteri- eller tetanus-vaccine, var mere end 96,4 % </w:t>
      </w:r>
      <w:proofErr w:type="spellStart"/>
      <w:r>
        <w:rPr>
          <w:sz w:val="24"/>
          <w:szCs w:val="24"/>
        </w:rPr>
        <w:t>seropositive</w:t>
      </w:r>
      <w:proofErr w:type="spellEnd"/>
      <w:r>
        <w:rPr>
          <w:sz w:val="24"/>
          <w:szCs w:val="24"/>
        </w:rPr>
        <w:t xml:space="preserve"> over for alle tre </w:t>
      </w:r>
      <w:proofErr w:type="spellStart"/>
      <w:r>
        <w:rPr>
          <w:sz w:val="24"/>
          <w:szCs w:val="24"/>
        </w:rPr>
        <w:t>pertussis</w:t>
      </w:r>
      <w:proofErr w:type="spellEnd"/>
      <w:r>
        <w:rPr>
          <w:sz w:val="24"/>
          <w:szCs w:val="24"/>
        </w:rPr>
        <w:t xml:space="preserve"> antigener, og 77,7 % og 95,7 % var </w:t>
      </w:r>
      <w:proofErr w:type="spellStart"/>
      <w:r>
        <w:rPr>
          <w:sz w:val="24"/>
          <w:szCs w:val="24"/>
        </w:rPr>
        <w:t>serobeskyttet</w:t>
      </w:r>
      <w:proofErr w:type="spellEnd"/>
      <w:r>
        <w:rPr>
          <w:sz w:val="24"/>
          <w:szCs w:val="24"/>
        </w:rPr>
        <w:t xml:space="preserve"> mod henholdsvis difteri og tetanus.</w:t>
      </w:r>
    </w:p>
    <w:p w:rsidR="00B10EA7" w:rsidRDefault="00B10EA7" w:rsidP="00E92990">
      <w:pPr>
        <w:ind w:left="851"/>
        <w:rPr>
          <w:sz w:val="24"/>
          <w:szCs w:val="24"/>
        </w:rPr>
      </w:pPr>
    </w:p>
    <w:p w:rsidR="00B10EA7" w:rsidRPr="00B10EA7" w:rsidRDefault="00B10EA7" w:rsidP="00B10EA7">
      <w:pPr>
        <w:suppressAutoHyphens/>
        <w:ind w:left="851"/>
        <w:outlineLvl w:val="0"/>
        <w:rPr>
          <w:sz w:val="24"/>
          <w:szCs w:val="24"/>
        </w:rPr>
      </w:pPr>
      <w:r w:rsidRPr="00B10EA7">
        <w:rPr>
          <w:i/>
          <w:iCs/>
          <w:sz w:val="24"/>
          <w:szCs w:val="24"/>
        </w:rPr>
        <w:t>Immunrespons og sikkerhedsprofil hos personer i aktiv behandling for obstruktive luftvejssygdomme</w:t>
      </w:r>
    </w:p>
    <w:p w:rsidR="00B10EA7" w:rsidRPr="00B10EA7" w:rsidRDefault="00B10EA7" w:rsidP="00B10EA7">
      <w:pPr>
        <w:ind w:left="851"/>
        <w:rPr>
          <w:sz w:val="24"/>
          <w:szCs w:val="24"/>
        </w:rPr>
      </w:pPr>
      <w:r w:rsidRPr="00B10EA7">
        <w:rPr>
          <w:sz w:val="24"/>
          <w:szCs w:val="24"/>
        </w:rPr>
        <w:t xml:space="preserve">Sikkerheden og </w:t>
      </w:r>
      <w:proofErr w:type="spellStart"/>
      <w:r w:rsidRPr="00B10EA7">
        <w:rPr>
          <w:sz w:val="24"/>
          <w:szCs w:val="24"/>
        </w:rPr>
        <w:t>immunogeniciteten</w:t>
      </w:r>
      <w:proofErr w:type="spellEnd"/>
      <w:r w:rsidRPr="00B10EA7">
        <w:rPr>
          <w:sz w:val="24"/>
          <w:szCs w:val="24"/>
        </w:rPr>
        <w:t xml:space="preserve"> er undersøgt for </w:t>
      </w:r>
      <w:proofErr w:type="spellStart"/>
      <w:r w:rsidRPr="00B10EA7">
        <w:rPr>
          <w:sz w:val="24"/>
          <w:szCs w:val="24"/>
        </w:rPr>
        <w:t>Boostrix</w:t>
      </w:r>
      <w:proofErr w:type="spellEnd"/>
      <w:r w:rsidRPr="00B10EA7">
        <w:rPr>
          <w:sz w:val="24"/>
          <w:szCs w:val="24"/>
        </w:rPr>
        <w:t xml:space="preserve"> i et deskriptivt </w:t>
      </w:r>
      <w:proofErr w:type="spellStart"/>
      <w:r w:rsidRPr="00B10EA7">
        <w:rPr>
          <w:sz w:val="24"/>
          <w:szCs w:val="24"/>
        </w:rPr>
        <w:t>meta</w:t>
      </w:r>
      <w:proofErr w:type="spellEnd"/>
      <w:r w:rsidRPr="00B10EA7">
        <w:rPr>
          <w:sz w:val="24"/>
          <w:szCs w:val="24"/>
        </w:rPr>
        <w:t xml:space="preserve">-analyse studie, som kombinerer data fra 222 personer ≥ 18 år vaccineret med </w:t>
      </w:r>
      <w:proofErr w:type="spellStart"/>
      <w:r w:rsidRPr="00B10EA7">
        <w:rPr>
          <w:sz w:val="24"/>
          <w:szCs w:val="24"/>
        </w:rPr>
        <w:t>Boostrix</w:t>
      </w:r>
      <w:proofErr w:type="spellEnd"/>
      <w:r w:rsidRPr="00B10EA7">
        <w:rPr>
          <w:sz w:val="24"/>
          <w:szCs w:val="24"/>
        </w:rPr>
        <w:t xml:space="preserve">, imens de var i aktiv behandling for obstruktiv luftvejssygdom såsom astma eller kronisk obstruktiv lungesygdom (KOL). En måned efter vaccination med </w:t>
      </w:r>
      <w:proofErr w:type="spellStart"/>
      <w:r w:rsidRPr="00B10EA7">
        <w:rPr>
          <w:sz w:val="24"/>
          <w:szCs w:val="24"/>
        </w:rPr>
        <w:t>Boostrix</w:t>
      </w:r>
      <w:proofErr w:type="spellEnd"/>
      <w:r w:rsidRPr="00B10EA7">
        <w:rPr>
          <w:sz w:val="24"/>
          <w:szCs w:val="24"/>
        </w:rPr>
        <w:t xml:space="preserve"> var immunresponset imod difteri- og tetanusantigener, med hensyn til </w:t>
      </w:r>
      <w:proofErr w:type="spellStart"/>
      <w:r w:rsidRPr="00B10EA7">
        <w:rPr>
          <w:sz w:val="24"/>
          <w:szCs w:val="24"/>
        </w:rPr>
        <w:t>seroprotektionsrater</w:t>
      </w:r>
      <w:proofErr w:type="spellEnd"/>
      <w:r w:rsidRPr="00B10EA7">
        <w:rPr>
          <w:sz w:val="24"/>
          <w:szCs w:val="24"/>
        </w:rPr>
        <w:t xml:space="preserve"> (≥ 0,1 IU/ml), henholdsvis 89,0 % og 97,2 %, og imod </w:t>
      </w:r>
      <w:proofErr w:type="spellStart"/>
      <w:r w:rsidRPr="00B10EA7">
        <w:rPr>
          <w:sz w:val="24"/>
          <w:szCs w:val="24"/>
        </w:rPr>
        <w:t>pertussis</w:t>
      </w:r>
      <w:proofErr w:type="spellEnd"/>
      <w:r w:rsidRPr="00B10EA7">
        <w:rPr>
          <w:sz w:val="24"/>
          <w:szCs w:val="24"/>
        </w:rPr>
        <w:t xml:space="preserve">, med hensyn til </w:t>
      </w:r>
      <w:proofErr w:type="spellStart"/>
      <w:r w:rsidRPr="00B10EA7">
        <w:rPr>
          <w:sz w:val="24"/>
          <w:szCs w:val="24"/>
        </w:rPr>
        <w:t>boosterresponses</w:t>
      </w:r>
      <w:proofErr w:type="spellEnd"/>
      <w:r w:rsidRPr="00B10EA7">
        <w:rPr>
          <w:sz w:val="24"/>
          <w:szCs w:val="24"/>
        </w:rPr>
        <w:t xml:space="preserve">, 78,3 %, 96,1 % og 92,2 % imod henholdsvis </w:t>
      </w:r>
      <w:proofErr w:type="spellStart"/>
      <w:r w:rsidRPr="00B10EA7">
        <w:rPr>
          <w:sz w:val="24"/>
          <w:szCs w:val="24"/>
        </w:rPr>
        <w:t>pertussis</w:t>
      </w:r>
      <w:proofErr w:type="spellEnd"/>
      <w:r w:rsidRPr="00B10EA7">
        <w:rPr>
          <w:sz w:val="24"/>
          <w:szCs w:val="24"/>
        </w:rPr>
        <w:t xml:space="preserve"> </w:t>
      </w:r>
      <w:proofErr w:type="spellStart"/>
      <w:r w:rsidRPr="00B10EA7">
        <w:rPr>
          <w:sz w:val="24"/>
          <w:szCs w:val="24"/>
        </w:rPr>
        <w:t>toksoid</w:t>
      </w:r>
      <w:proofErr w:type="spellEnd"/>
      <w:r w:rsidRPr="00B10EA7">
        <w:rPr>
          <w:sz w:val="24"/>
          <w:szCs w:val="24"/>
        </w:rPr>
        <w:t xml:space="preserve"> (PT), </w:t>
      </w:r>
      <w:proofErr w:type="spellStart"/>
      <w:r w:rsidRPr="00B10EA7">
        <w:rPr>
          <w:sz w:val="24"/>
          <w:szCs w:val="24"/>
        </w:rPr>
        <w:t>filamentøs</w:t>
      </w:r>
      <w:proofErr w:type="spellEnd"/>
      <w:r w:rsidRPr="00B10EA7">
        <w:rPr>
          <w:sz w:val="24"/>
          <w:szCs w:val="24"/>
        </w:rPr>
        <w:t xml:space="preserve"> </w:t>
      </w:r>
      <w:proofErr w:type="spellStart"/>
      <w:r w:rsidRPr="00B10EA7">
        <w:rPr>
          <w:sz w:val="24"/>
          <w:szCs w:val="24"/>
        </w:rPr>
        <w:t>hæmagglutinin</w:t>
      </w:r>
      <w:proofErr w:type="spellEnd"/>
      <w:r w:rsidRPr="00B10EA7">
        <w:rPr>
          <w:sz w:val="24"/>
          <w:szCs w:val="24"/>
        </w:rPr>
        <w:t xml:space="preserve"> (FHA) og </w:t>
      </w:r>
      <w:proofErr w:type="spellStart"/>
      <w:r w:rsidRPr="00B10EA7">
        <w:rPr>
          <w:sz w:val="24"/>
          <w:szCs w:val="24"/>
        </w:rPr>
        <w:t>pertactin</w:t>
      </w:r>
      <w:proofErr w:type="spellEnd"/>
      <w:r w:rsidRPr="00B10EA7">
        <w:rPr>
          <w:sz w:val="24"/>
          <w:szCs w:val="24"/>
        </w:rPr>
        <w:t xml:space="preserve"> (PRN). Disse resultater er i overensstemmelse med </w:t>
      </w:r>
      <w:proofErr w:type="spellStart"/>
      <w:r w:rsidRPr="00B10EA7">
        <w:rPr>
          <w:sz w:val="24"/>
          <w:szCs w:val="24"/>
        </w:rPr>
        <w:t>responses</w:t>
      </w:r>
      <w:proofErr w:type="spellEnd"/>
      <w:r w:rsidRPr="00B10EA7">
        <w:rPr>
          <w:sz w:val="24"/>
          <w:szCs w:val="24"/>
        </w:rPr>
        <w:t xml:space="preserve"> opnået i den generelle voksne befolkning og har en lignende sikkerhedsprofil.</w:t>
      </w:r>
    </w:p>
    <w:p w:rsidR="00B10EA7" w:rsidRPr="00B10EA7" w:rsidRDefault="00B10EA7" w:rsidP="00E92990">
      <w:pPr>
        <w:ind w:left="851"/>
        <w:rPr>
          <w:sz w:val="24"/>
          <w:szCs w:val="24"/>
        </w:rPr>
      </w:pPr>
    </w:p>
    <w:p w:rsidR="00E92990" w:rsidRDefault="00E92990" w:rsidP="00E92990">
      <w:pPr>
        <w:keepNext/>
        <w:suppressAutoHyphens/>
        <w:ind w:left="851"/>
        <w:jc w:val="both"/>
        <w:outlineLvl w:val="0"/>
        <w:rPr>
          <w:i/>
        </w:rPr>
      </w:pPr>
      <w:r>
        <w:rPr>
          <w:i/>
        </w:rPr>
        <w:t xml:space="preserve">Effektivitet ved beskyttelse mod </w:t>
      </w:r>
      <w:proofErr w:type="spellStart"/>
      <w:r>
        <w:rPr>
          <w:i/>
        </w:rPr>
        <w:t>pertussis</w:t>
      </w:r>
      <w:proofErr w:type="spellEnd"/>
    </w:p>
    <w:p w:rsidR="00E92990" w:rsidRDefault="00E92990" w:rsidP="00E92990">
      <w:pPr>
        <w:keepNext/>
        <w:suppressAutoHyphens/>
        <w:ind w:left="851"/>
        <w:jc w:val="both"/>
        <w:outlineLvl w:val="0"/>
        <w:rPr>
          <w:i/>
        </w:rPr>
      </w:pPr>
    </w:p>
    <w:p w:rsidR="003F43EE" w:rsidRDefault="003F43EE" w:rsidP="003F43EE">
      <w:pPr>
        <w:keepNext/>
        <w:ind w:left="851"/>
        <w:rPr>
          <w:sz w:val="24"/>
          <w:szCs w:val="24"/>
        </w:rPr>
      </w:pPr>
      <w:proofErr w:type="spellStart"/>
      <w:r>
        <w:rPr>
          <w:sz w:val="24"/>
          <w:szCs w:val="24"/>
        </w:rPr>
        <w:t>Pertussis</w:t>
      </w:r>
      <w:proofErr w:type="spellEnd"/>
      <w:r>
        <w:rPr>
          <w:sz w:val="24"/>
          <w:szCs w:val="24"/>
        </w:rPr>
        <w:t xml:space="preserve">-antigenerne, som er indeholdt i </w:t>
      </w:r>
      <w:proofErr w:type="spellStart"/>
      <w:r>
        <w:rPr>
          <w:sz w:val="24"/>
          <w:szCs w:val="24"/>
        </w:rPr>
        <w:t>Boostrix</w:t>
      </w:r>
      <w:proofErr w:type="spellEnd"/>
      <w:r>
        <w:rPr>
          <w:sz w:val="24"/>
          <w:szCs w:val="24"/>
        </w:rPr>
        <w:t xml:space="preserve"> Polio, er en integreret del af den </w:t>
      </w:r>
      <w:proofErr w:type="spellStart"/>
      <w:r>
        <w:rPr>
          <w:sz w:val="24"/>
          <w:szCs w:val="24"/>
        </w:rPr>
        <w:t>acellulære</w:t>
      </w:r>
      <w:proofErr w:type="spellEnd"/>
      <w:r>
        <w:rPr>
          <w:sz w:val="24"/>
          <w:szCs w:val="24"/>
        </w:rPr>
        <w:t xml:space="preserve"> </w:t>
      </w:r>
      <w:proofErr w:type="spellStart"/>
      <w:r>
        <w:rPr>
          <w:sz w:val="24"/>
          <w:szCs w:val="24"/>
        </w:rPr>
        <w:t>pertussis</w:t>
      </w:r>
      <w:proofErr w:type="spellEnd"/>
      <w:r>
        <w:rPr>
          <w:sz w:val="24"/>
          <w:szCs w:val="24"/>
        </w:rPr>
        <w:t>-kombinationsvaccine til børn (</w:t>
      </w:r>
      <w:proofErr w:type="spellStart"/>
      <w:r>
        <w:rPr>
          <w:sz w:val="24"/>
          <w:szCs w:val="24"/>
        </w:rPr>
        <w:t>Infanrix</w:t>
      </w:r>
      <w:proofErr w:type="spellEnd"/>
      <w:r>
        <w:rPr>
          <w:sz w:val="24"/>
          <w:szCs w:val="24"/>
        </w:rPr>
        <w:t xml:space="preserve">), hvis effektivitet er blevet demonstreret i et effektivitetsstudie baseret på husstandskontakt. </w:t>
      </w:r>
      <w:proofErr w:type="spellStart"/>
      <w:r>
        <w:rPr>
          <w:sz w:val="24"/>
          <w:szCs w:val="24"/>
        </w:rPr>
        <w:t>Antistoftiterene</w:t>
      </w:r>
      <w:proofErr w:type="spellEnd"/>
      <w:r>
        <w:rPr>
          <w:sz w:val="24"/>
          <w:szCs w:val="24"/>
        </w:rPr>
        <w:t xml:space="preserve"> for alle </w:t>
      </w:r>
      <w:r>
        <w:rPr>
          <w:sz w:val="24"/>
          <w:szCs w:val="24"/>
        </w:rPr>
        <w:lastRenderedPageBreak/>
        <w:t xml:space="preserve">tre </w:t>
      </w:r>
      <w:proofErr w:type="spellStart"/>
      <w:r>
        <w:rPr>
          <w:sz w:val="24"/>
          <w:szCs w:val="24"/>
        </w:rPr>
        <w:t>pertussis</w:t>
      </w:r>
      <w:proofErr w:type="spellEnd"/>
      <w:r>
        <w:rPr>
          <w:sz w:val="24"/>
          <w:szCs w:val="24"/>
        </w:rPr>
        <w:t xml:space="preserve">-komponenter efter vaccination med </w:t>
      </w:r>
      <w:proofErr w:type="spellStart"/>
      <w:r>
        <w:rPr>
          <w:sz w:val="24"/>
          <w:szCs w:val="24"/>
        </w:rPr>
        <w:t>Boostrix</w:t>
      </w:r>
      <w:proofErr w:type="spellEnd"/>
      <w:r>
        <w:rPr>
          <w:sz w:val="24"/>
          <w:szCs w:val="24"/>
        </w:rPr>
        <w:t xml:space="preserve"> Polio er mindst lige så høje eller højere end dem, som sås under effektivitetsstudiet baseret på husstandskontakt. Baseret på disse sammenligninger, giver </w:t>
      </w:r>
      <w:proofErr w:type="spellStart"/>
      <w:r>
        <w:rPr>
          <w:sz w:val="24"/>
          <w:szCs w:val="24"/>
        </w:rPr>
        <w:t>Boostrix</w:t>
      </w:r>
      <w:proofErr w:type="spellEnd"/>
      <w:r>
        <w:rPr>
          <w:sz w:val="24"/>
          <w:szCs w:val="24"/>
        </w:rPr>
        <w:t xml:space="preserve"> Polio beskyttelse mod </w:t>
      </w:r>
      <w:proofErr w:type="spellStart"/>
      <w:r>
        <w:rPr>
          <w:sz w:val="24"/>
          <w:szCs w:val="24"/>
        </w:rPr>
        <w:t>pertussis</w:t>
      </w:r>
      <w:proofErr w:type="spellEnd"/>
      <w:r>
        <w:rPr>
          <w:sz w:val="24"/>
          <w:szCs w:val="24"/>
        </w:rPr>
        <w:t>; graden og varigheden af beskyttelse fremkaldt af vaccinen er dog ikke fastslået.</w:t>
      </w:r>
    </w:p>
    <w:p w:rsidR="003F43EE" w:rsidRDefault="003F43EE" w:rsidP="003F43EE">
      <w:pPr>
        <w:keepNext/>
        <w:ind w:left="851"/>
        <w:rPr>
          <w:sz w:val="24"/>
          <w:szCs w:val="24"/>
        </w:rPr>
      </w:pPr>
    </w:p>
    <w:p w:rsidR="003F43EE" w:rsidRPr="005E1ABF" w:rsidRDefault="003F43EE" w:rsidP="003F43EE">
      <w:pPr>
        <w:keepNext/>
        <w:ind w:left="851"/>
        <w:rPr>
          <w:i/>
          <w:iCs/>
          <w:sz w:val="24"/>
          <w:szCs w:val="24"/>
        </w:rPr>
      </w:pPr>
      <w:r w:rsidRPr="005E1ABF">
        <w:rPr>
          <w:i/>
          <w:iCs/>
          <w:sz w:val="24"/>
          <w:szCs w:val="24"/>
        </w:rPr>
        <w:t xml:space="preserve">Passiv beskyttelse mod </w:t>
      </w:r>
      <w:proofErr w:type="spellStart"/>
      <w:r w:rsidRPr="005E1ABF">
        <w:rPr>
          <w:i/>
          <w:iCs/>
          <w:sz w:val="24"/>
          <w:szCs w:val="24"/>
        </w:rPr>
        <w:t>pertussis</w:t>
      </w:r>
      <w:proofErr w:type="spellEnd"/>
      <w:r w:rsidRPr="005E1ABF">
        <w:rPr>
          <w:i/>
          <w:iCs/>
          <w:sz w:val="24"/>
          <w:szCs w:val="24"/>
        </w:rPr>
        <w:t xml:space="preserve"> hos spædbørn (under 3 måneder) født af mødre vaccineret under graviditeten</w:t>
      </w:r>
    </w:p>
    <w:p w:rsidR="003F43EE" w:rsidRPr="005E1ABF" w:rsidRDefault="003F43EE" w:rsidP="003F43EE">
      <w:pPr>
        <w:keepNext/>
        <w:ind w:left="851"/>
        <w:rPr>
          <w:i/>
          <w:iCs/>
          <w:sz w:val="24"/>
          <w:szCs w:val="24"/>
        </w:rPr>
      </w:pPr>
    </w:p>
    <w:p w:rsidR="003F43EE" w:rsidRPr="005E1ABF" w:rsidRDefault="003F43EE" w:rsidP="003F43EE">
      <w:pPr>
        <w:keepNext/>
        <w:ind w:left="851"/>
        <w:rPr>
          <w:sz w:val="24"/>
          <w:szCs w:val="24"/>
        </w:rPr>
      </w:pPr>
      <w:r w:rsidRPr="005E1ABF">
        <w:rPr>
          <w:sz w:val="24"/>
          <w:szCs w:val="24"/>
        </w:rPr>
        <w:t xml:space="preserve">I et randomiseret, cross-over, placebokontrolleret studie blev højere </w:t>
      </w:r>
      <w:proofErr w:type="spellStart"/>
      <w:r w:rsidRPr="005E1ABF">
        <w:rPr>
          <w:sz w:val="24"/>
          <w:szCs w:val="24"/>
        </w:rPr>
        <w:t>pertussis</w:t>
      </w:r>
      <w:proofErr w:type="spellEnd"/>
      <w:r w:rsidRPr="005E1ABF">
        <w:rPr>
          <w:sz w:val="24"/>
          <w:szCs w:val="24"/>
        </w:rPr>
        <w:t xml:space="preserve">- antistofkoncentrationer påvist i navlesnorsblod ved fødslen hos spædbørn født af mødre vaccineret med </w:t>
      </w:r>
      <w:proofErr w:type="spellStart"/>
      <w:r w:rsidRPr="005E1ABF">
        <w:rPr>
          <w:sz w:val="24"/>
          <w:szCs w:val="24"/>
        </w:rPr>
        <w:t>Boostrix</w:t>
      </w:r>
      <w:proofErr w:type="spellEnd"/>
      <w:r w:rsidRPr="005E1ABF">
        <w:rPr>
          <w:sz w:val="24"/>
          <w:szCs w:val="24"/>
        </w:rPr>
        <w:t xml:space="preserve"> (</w:t>
      </w:r>
      <w:proofErr w:type="spellStart"/>
      <w:r w:rsidRPr="005E1ABF">
        <w:rPr>
          <w:sz w:val="24"/>
          <w:szCs w:val="24"/>
        </w:rPr>
        <w:t>dTpa</w:t>
      </w:r>
      <w:proofErr w:type="spellEnd"/>
      <w:r w:rsidRPr="005E1ABF">
        <w:rPr>
          <w:sz w:val="24"/>
          <w:szCs w:val="24"/>
        </w:rPr>
        <w:t xml:space="preserve"> gruppe; N=291) versus placebo (kontrolgruppe; N=292) ved uge 27-36 af graviditeten. Geometrisk middel koncentrationer af antistoffer mod </w:t>
      </w:r>
      <w:proofErr w:type="spellStart"/>
      <w:r w:rsidRPr="005E1ABF">
        <w:rPr>
          <w:sz w:val="24"/>
          <w:szCs w:val="24"/>
        </w:rPr>
        <w:t>pertussis</w:t>
      </w:r>
      <w:proofErr w:type="spellEnd"/>
      <w:r w:rsidRPr="005E1ABF">
        <w:rPr>
          <w:sz w:val="24"/>
          <w:szCs w:val="24"/>
        </w:rPr>
        <w:t xml:space="preserve"> antigener PT, FHA og PRN i navlesnorsblod var 46,9, 366,1 og 301,8 I</w:t>
      </w:r>
      <w:r w:rsidR="00B10EA7">
        <w:rPr>
          <w:sz w:val="24"/>
          <w:szCs w:val="24"/>
        </w:rPr>
        <w:t>U</w:t>
      </w:r>
      <w:r w:rsidRPr="005E1ABF">
        <w:rPr>
          <w:sz w:val="24"/>
          <w:szCs w:val="24"/>
        </w:rPr>
        <w:t xml:space="preserve">/ml i </w:t>
      </w:r>
      <w:proofErr w:type="spellStart"/>
      <w:r w:rsidRPr="005E1ABF">
        <w:rPr>
          <w:sz w:val="24"/>
          <w:szCs w:val="24"/>
        </w:rPr>
        <w:t>dTpa</w:t>
      </w:r>
      <w:proofErr w:type="spellEnd"/>
      <w:r w:rsidRPr="005E1ABF">
        <w:rPr>
          <w:sz w:val="24"/>
          <w:szCs w:val="24"/>
        </w:rPr>
        <w:t xml:space="preserve"> gruppen, og 5,5, 22,7 og 14,6 I</w:t>
      </w:r>
      <w:r w:rsidR="00B10EA7">
        <w:rPr>
          <w:sz w:val="24"/>
          <w:szCs w:val="24"/>
        </w:rPr>
        <w:t>U</w:t>
      </w:r>
      <w:r w:rsidRPr="005E1ABF">
        <w:rPr>
          <w:sz w:val="24"/>
          <w:szCs w:val="24"/>
        </w:rPr>
        <w:t>/ml i kontrolgruppen. Dette svarer til antistof</w:t>
      </w:r>
      <w:r>
        <w:rPr>
          <w:sz w:val="24"/>
          <w:szCs w:val="24"/>
        </w:rPr>
        <w:t xml:space="preserve"> </w:t>
      </w:r>
      <w:proofErr w:type="spellStart"/>
      <w:r w:rsidRPr="005E1ABF">
        <w:rPr>
          <w:sz w:val="24"/>
          <w:szCs w:val="24"/>
        </w:rPr>
        <w:t>titre</w:t>
      </w:r>
      <w:proofErr w:type="spellEnd"/>
      <w:r w:rsidRPr="005E1ABF">
        <w:rPr>
          <w:sz w:val="24"/>
          <w:szCs w:val="24"/>
        </w:rPr>
        <w:t xml:space="preserve"> der er 8, 16 og 21 gange højere i navlesnorsblod hos babyer født af vaccinerede mødre versus kontrolgruppen. Disse antistof</w:t>
      </w:r>
      <w:r>
        <w:rPr>
          <w:sz w:val="24"/>
          <w:szCs w:val="24"/>
        </w:rPr>
        <w:t xml:space="preserve"> </w:t>
      </w:r>
      <w:proofErr w:type="spellStart"/>
      <w:r w:rsidRPr="005E1ABF">
        <w:rPr>
          <w:sz w:val="24"/>
          <w:szCs w:val="24"/>
        </w:rPr>
        <w:t>titre</w:t>
      </w:r>
      <w:proofErr w:type="spellEnd"/>
      <w:r w:rsidRPr="005E1ABF">
        <w:rPr>
          <w:sz w:val="24"/>
          <w:szCs w:val="24"/>
        </w:rPr>
        <w:t xml:space="preserve"> kan give passiv beskyttelse mod </w:t>
      </w:r>
      <w:proofErr w:type="spellStart"/>
      <w:r w:rsidRPr="005E1ABF">
        <w:rPr>
          <w:sz w:val="24"/>
          <w:szCs w:val="24"/>
        </w:rPr>
        <w:t>pertussis</w:t>
      </w:r>
      <w:proofErr w:type="spellEnd"/>
      <w:r w:rsidRPr="005E1ABF">
        <w:rPr>
          <w:sz w:val="24"/>
          <w:szCs w:val="24"/>
        </w:rPr>
        <w:t>, som vist ved observations effektivitetsstudier.</w:t>
      </w:r>
    </w:p>
    <w:p w:rsidR="003F43EE" w:rsidRPr="005E1ABF" w:rsidRDefault="003F43EE" w:rsidP="003F43EE">
      <w:pPr>
        <w:keepNext/>
        <w:ind w:left="851"/>
        <w:rPr>
          <w:sz w:val="24"/>
          <w:szCs w:val="24"/>
        </w:rPr>
      </w:pPr>
    </w:p>
    <w:p w:rsidR="003F43EE" w:rsidRPr="005E1ABF" w:rsidRDefault="003F43EE" w:rsidP="003F43EE">
      <w:pPr>
        <w:keepNext/>
        <w:ind w:left="851"/>
        <w:rPr>
          <w:i/>
          <w:sz w:val="24"/>
          <w:szCs w:val="24"/>
        </w:rPr>
      </w:pPr>
      <w:proofErr w:type="spellStart"/>
      <w:r w:rsidRPr="005E1ABF">
        <w:rPr>
          <w:i/>
          <w:sz w:val="24"/>
          <w:szCs w:val="24"/>
        </w:rPr>
        <w:t>Immunogenicitet</w:t>
      </w:r>
      <w:proofErr w:type="spellEnd"/>
      <w:r w:rsidRPr="005E1ABF">
        <w:rPr>
          <w:i/>
          <w:sz w:val="24"/>
          <w:szCs w:val="24"/>
        </w:rPr>
        <w:t xml:space="preserve"> hos spædbørn og småbørn født af mødre vaccineret under graviditet</w:t>
      </w:r>
      <w:r>
        <w:rPr>
          <w:i/>
          <w:sz w:val="24"/>
          <w:szCs w:val="24"/>
        </w:rPr>
        <w:t>en</w:t>
      </w:r>
    </w:p>
    <w:p w:rsidR="003F43EE" w:rsidRPr="005E1ABF" w:rsidRDefault="003F43EE" w:rsidP="003F43EE">
      <w:pPr>
        <w:keepNext/>
        <w:ind w:left="851"/>
        <w:rPr>
          <w:i/>
          <w:sz w:val="24"/>
          <w:szCs w:val="24"/>
        </w:rPr>
      </w:pPr>
    </w:p>
    <w:p w:rsidR="003F43EE" w:rsidRPr="005E1ABF" w:rsidRDefault="003F43EE" w:rsidP="003F43EE">
      <w:pPr>
        <w:keepNext/>
        <w:ind w:left="851"/>
        <w:rPr>
          <w:sz w:val="24"/>
          <w:szCs w:val="24"/>
        </w:rPr>
      </w:pPr>
      <w:proofErr w:type="spellStart"/>
      <w:r w:rsidRPr="005E1ABF">
        <w:rPr>
          <w:sz w:val="24"/>
          <w:szCs w:val="24"/>
        </w:rPr>
        <w:t>Immunogenicitet</w:t>
      </w:r>
      <w:proofErr w:type="spellEnd"/>
      <w:r w:rsidRPr="005E1ABF">
        <w:rPr>
          <w:sz w:val="24"/>
          <w:szCs w:val="24"/>
        </w:rPr>
        <w:t xml:space="preserve"> af </w:t>
      </w:r>
      <w:proofErr w:type="spellStart"/>
      <w:r w:rsidRPr="005E1ABF">
        <w:rPr>
          <w:sz w:val="24"/>
          <w:szCs w:val="24"/>
        </w:rPr>
        <w:t>Infanrix</w:t>
      </w:r>
      <w:proofErr w:type="spellEnd"/>
      <w:r w:rsidRPr="005E1ABF">
        <w:rPr>
          <w:sz w:val="24"/>
          <w:szCs w:val="24"/>
        </w:rPr>
        <w:t xml:space="preserve"> hexa (difteri, tetanus, </w:t>
      </w:r>
      <w:proofErr w:type="spellStart"/>
      <w:r w:rsidRPr="005E1ABF">
        <w:rPr>
          <w:sz w:val="24"/>
          <w:szCs w:val="24"/>
        </w:rPr>
        <w:t>pertussis</w:t>
      </w:r>
      <w:proofErr w:type="spellEnd"/>
      <w:r w:rsidRPr="005E1ABF">
        <w:rPr>
          <w:sz w:val="24"/>
          <w:szCs w:val="24"/>
        </w:rPr>
        <w:t xml:space="preserve">, hepatitis B, inaktiveret poliovirus, </w:t>
      </w:r>
      <w:proofErr w:type="spellStart"/>
      <w:r w:rsidRPr="005E1ABF">
        <w:rPr>
          <w:i/>
          <w:iCs/>
          <w:sz w:val="24"/>
          <w:szCs w:val="24"/>
        </w:rPr>
        <w:t>Haemophilus</w:t>
      </w:r>
      <w:proofErr w:type="spellEnd"/>
      <w:r w:rsidRPr="005E1ABF">
        <w:rPr>
          <w:i/>
          <w:iCs/>
          <w:sz w:val="24"/>
          <w:szCs w:val="24"/>
        </w:rPr>
        <w:t xml:space="preserve"> </w:t>
      </w:r>
      <w:proofErr w:type="spellStart"/>
      <w:r w:rsidRPr="005E1ABF">
        <w:rPr>
          <w:i/>
          <w:iCs/>
          <w:sz w:val="24"/>
          <w:szCs w:val="24"/>
        </w:rPr>
        <w:t>influenzae</w:t>
      </w:r>
      <w:proofErr w:type="spellEnd"/>
      <w:r w:rsidRPr="005E1ABF">
        <w:rPr>
          <w:i/>
          <w:iCs/>
          <w:sz w:val="24"/>
          <w:szCs w:val="24"/>
        </w:rPr>
        <w:t xml:space="preserve"> </w:t>
      </w:r>
      <w:r w:rsidRPr="005E1ABF">
        <w:rPr>
          <w:sz w:val="24"/>
          <w:szCs w:val="24"/>
        </w:rPr>
        <w:t xml:space="preserve">type b konjugeret vaccine) hos spædbørn og småbørn født af raske mødre vaccineret med </w:t>
      </w:r>
      <w:proofErr w:type="spellStart"/>
      <w:r w:rsidRPr="005E1ABF">
        <w:rPr>
          <w:sz w:val="24"/>
          <w:szCs w:val="24"/>
        </w:rPr>
        <w:t>Boostrix</w:t>
      </w:r>
      <w:proofErr w:type="spellEnd"/>
      <w:r w:rsidRPr="005E1ABF">
        <w:rPr>
          <w:sz w:val="24"/>
          <w:szCs w:val="24"/>
        </w:rPr>
        <w:t xml:space="preserve"> ved uge 27-36 af graviditeten, blev evalueret i to kliniske studier.</w:t>
      </w:r>
    </w:p>
    <w:p w:rsidR="003F43EE" w:rsidRPr="005E1ABF" w:rsidRDefault="003F43EE" w:rsidP="003F43EE">
      <w:pPr>
        <w:keepNext/>
        <w:ind w:left="851"/>
        <w:rPr>
          <w:sz w:val="24"/>
          <w:szCs w:val="24"/>
        </w:rPr>
      </w:pPr>
    </w:p>
    <w:p w:rsidR="003F43EE" w:rsidRPr="005E1ABF" w:rsidRDefault="003F43EE" w:rsidP="003F43EE">
      <w:pPr>
        <w:keepNext/>
        <w:ind w:left="851"/>
        <w:rPr>
          <w:sz w:val="24"/>
          <w:szCs w:val="24"/>
        </w:rPr>
      </w:pPr>
      <w:proofErr w:type="spellStart"/>
      <w:r w:rsidRPr="005E1ABF">
        <w:rPr>
          <w:sz w:val="24"/>
          <w:szCs w:val="24"/>
        </w:rPr>
        <w:t>Infanrix</w:t>
      </w:r>
      <w:proofErr w:type="spellEnd"/>
      <w:r w:rsidRPr="005E1ABF">
        <w:rPr>
          <w:sz w:val="24"/>
          <w:szCs w:val="24"/>
        </w:rPr>
        <w:t xml:space="preserve"> hexa blev administreret samtidig med en 13-valent </w:t>
      </w:r>
      <w:proofErr w:type="spellStart"/>
      <w:r w:rsidRPr="005E1ABF">
        <w:rPr>
          <w:sz w:val="24"/>
          <w:szCs w:val="24"/>
        </w:rPr>
        <w:t>pneumokok</w:t>
      </w:r>
      <w:proofErr w:type="spellEnd"/>
      <w:r w:rsidRPr="005E1ABF">
        <w:rPr>
          <w:sz w:val="24"/>
          <w:szCs w:val="24"/>
        </w:rPr>
        <w:t xml:space="preserve"> konjugeret vaccine til spædbørn ved primær vaccination (n=268); og til de samme spædbørn/småbørn fra 11-18 måneder som booster dosis (n=229).</w:t>
      </w:r>
    </w:p>
    <w:p w:rsidR="003F43EE" w:rsidRPr="005E1ABF" w:rsidRDefault="003F43EE" w:rsidP="003F43EE">
      <w:pPr>
        <w:keepNext/>
        <w:ind w:left="851"/>
        <w:rPr>
          <w:sz w:val="24"/>
          <w:szCs w:val="24"/>
        </w:rPr>
      </w:pPr>
    </w:p>
    <w:p w:rsidR="003F43EE" w:rsidRPr="005E1ABF" w:rsidRDefault="003F43EE" w:rsidP="003F43EE">
      <w:pPr>
        <w:keepNext/>
        <w:ind w:left="851"/>
        <w:rPr>
          <w:sz w:val="24"/>
          <w:szCs w:val="24"/>
        </w:rPr>
      </w:pPr>
      <w:r w:rsidRPr="005E1ABF">
        <w:rPr>
          <w:sz w:val="24"/>
          <w:szCs w:val="24"/>
        </w:rPr>
        <w:t xml:space="preserve">Efter primær- og booster vaccination viste immunologiske data ikke klinisk relevant interferens af vaccinerede mødre med </w:t>
      </w:r>
      <w:proofErr w:type="spellStart"/>
      <w:r w:rsidRPr="005E1ABF">
        <w:rPr>
          <w:sz w:val="24"/>
          <w:szCs w:val="24"/>
        </w:rPr>
        <w:t>Boostrix</w:t>
      </w:r>
      <w:proofErr w:type="spellEnd"/>
      <w:r w:rsidRPr="005E1ABF">
        <w:rPr>
          <w:sz w:val="24"/>
          <w:szCs w:val="24"/>
        </w:rPr>
        <w:t xml:space="preserve"> på spædbarnets eller småbørnenes respons mod difteri, tetanus, hepatitis B, inaktiveret poliovirus, </w:t>
      </w:r>
      <w:proofErr w:type="spellStart"/>
      <w:r w:rsidRPr="005E1ABF">
        <w:rPr>
          <w:i/>
          <w:iCs/>
          <w:sz w:val="24"/>
          <w:szCs w:val="24"/>
        </w:rPr>
        <w:t>Haemophilus</w:t>
      </w:r>
      <w:proofErr w:type="spellEnd"/>
      <w:r w:rsidRPr="005E1ABF">
        <w:rPr>
          <w:i/>
          <w:iCs/>
          <w:sz w:val="24"/>
          <w:szCs w:val="24"/>
        </w:rPr>
        <w:t xml:space="preserve"> </w:t>
      </w:r>
      <w:proofErr w:type="spellStart"/>
      <w:r w:rsidRPr="005E1ABF">
        <w:rPr>
          <w:i/>
          <w:iCs/>
          <w:sz w:val="24"/>
          <w:szCs w:val="24"/>
        </w:rPr>
        <w:t>influenzae</w:t>
      </w:r>
      <w:proofErr w:type="spellEnd"/>
      <w:r w:rsidRPr="005E1ABF">
        <w:rPr>
          <w:i/>
          <w:iCs/>
          <w:sz w:val="24"/>
          <w:szCs w:val="24"/>
        </w:rPr>
        <w:t xml:space="preserve"> </w:t>
      </w:r>
      <w:r w:rsidRPr="005E1ABF">
        <w:rPr>
          <w:sz w:val="24"/>
          <w:szCs w:val="24"/>
        </w:rPr>
        <w:t xml:space="preserve">type b eller </w:t>
      </w:r>
      <w:proofErr w:type="spellStart"/>
      <w:r w:rsidRPr="005E1ABF">
        <w:rPr>
          <w:sz w:val="24"/>
          <w:szCs w:val="24"/>
        </w:rPr>
        <w:t>pneumokok</w:t>
      </w:r>
      <w:proofErr w:type="spellEnd"/>
      <w:r w:rsidRPr="005E1ABF">
        <w:rPr>
          <w:sz w:val="24"/>
          <w:szCs w:val="24"/>
        </w:rPr>
        <w:t xml:space="preserve"> antigener.</w:t>
      </w:r>
    </w:p>
    <w:p w:rsidR="003F43EE" w:rsidRPr="005E1ABF" w:rsidRDefault="003F43EE" w:rsidP="003F43EE">
      <w:pPr>
        <w:keepNext/>
        <w:ind w:left="851"/>
        <w:rPr>
          <w:sz w:val="24"/>
          <w:szCs w:val="24"/>
        </w:rPr>
      </w:pPr>
    </w:p>
    <w:p w:rsidR="003F43EE" w:rsidRPr="005E1ABF" w:rsidRDefault="003F43EE" w:rsidP="003F43EE">
      <w:pPr>
        <w:keepNext/>
        <w:ind w:left="851"/>
        <w:rPr>
          <w:sz w:val="24"/>
          <w:szCs w:val="24"/>
        </w:rPr>
      </w:pPr>
      <w:r w:rsidRPr="005E1ABF">
        <w:rPr>
          <w:sz w:val="24"/>
          <w:szCs w:val="24"/>
        </w:rPr>
        <w:t xml:space="preserve">Lavere koncentrationer af antistoffer mod </w:t>
      </w:r>
      <w:proofErr w:type="spellStart"/>
      <w:r w:rsidRPr="005E1ABF">
        <w:rPr>
          <w:sz w:val="24"/>
          <w:szCs w:val="24"/>
        </w:rPr>
        <w:t>pertussis</w:t>
      </w:r>
      <w:proofErr w:type="spellEnd"/>
      <w:r w:rsidRPr="005E1ABF">
        <w:rPr>
          <w:sz w:val="24"/>
          <w:szCs w:val="24"/>
        </w:rPr>
        <w:t xml:space="preserve"> antigener efter primær vaccination (PT, FHA og PRN) og efter booster-vaccination (PT, FHA), blev observeret hos spædbørn og småbørn født af mødre vaccineret med </w:t>
      </w:r>
      <w:proofErr w:type="spellStart"/>
      <w:r w:rsidRPr="005E1ABF">
        <w:rPr>
          <w:sz w:val="24"/>
          <w:szCs w:val="24"/>
        </w:rPr>
        <w:t>Boostrix</w:t>
      </w:r>
      <w:proofErr w:type="spellEnd"/>
      <w:r w:rsidRPr="005E1ABF">
        <w:rPr>
          <w:sz w:val="24"/>
          <w:szCs w:val="24"/>
        </w:rPr>
        <w:t xml:space="preserve"> under graviditeten. Foldforøgelserne af </w:t>
      </w:r>
      <w:proofErr w:type="spellStart"/>
      <w:r w:rsidRPr="005E1ABF">
        <w:rPr>
          <w:sz w:val="24"/>
          <w:szCs w:val="24"/>
        </w:rPr>
        <w:t>anti-pertussis</w:t>
      </w:r>
      <w:proofErr w:type="spellEnd"/>
      <w:r w:rsidRPr="005E1ABF">
        <w:rPr>
          <w:sz w:val="24"/>
          <w:szCs w:val="24"/>
        </w:rPr>
        <w:t xml:space="preserve"> antistofkoncentrationer fra præ-booster til tidspunktet for 1 måned efter booster, var i samme interval for spædbørn og småbørn født af mødre vaccineret med </w:t>
      </w:r>
      <w:proofErr w:type="spellStart"/>
      <w:r w:rsidRPr="005E1ABF">
        <w:rPr>
          <w:sz w:val="24"/>
          <w:szCs w:val="24"/>
        </w:rPr>
        <w:t>Boostrix</w:t>
      </w:r>
      <w:proofErr w:type="spellEnd"/>
      <w:r w:rsidRPr="005E1ABF">
        <w:rPr>
          <w:sz w:val="24"/>
          <w:szCs w:val="24"/>
        </w:rPr>
        <w:t xml:space="preserve"> eller med placebo, hvilket viser effektiv </w:t>
      </w:r>
      <w:proofErr w:type="spellStart"/>
      <w:r w:rsidRPr="005E1ABF">
        <w:rPr>
          <w:sz w:val="24"/>
          <w:szCs w:val="24"/>
        </w:rPr>
        <w:t>priming</w:t>
      </w:r>
      <w:proofErr w:type="spellEnd"/>
      <w:r w:rsidRPr="005E1ABF">
        <w:rPr>
          <w:sz w:val="24"/>
          <w:szCs w:val="24"/>
        </w:rPr>
        <w:t xml:space="preserve"> af immunsystemet. I mangel af korrelater for beskyttelse for </w:t>
      </w:r>
      <w:proofErr w:type="spellStart"/>
      <w:r w:rsidRPr="005E1ABF">
        <w:rPr>
          <w:sz w:val="24"/>
          <w:szCs w:val="24"/>
        </w:rPr>
        <w:t>pertussis</w:t>
      </w:r>
      <w:proofErr w:type="spellEnd"/>
      <w:r w:rsidRPr="005E1ABF">
        <w:rPr>
          <w:sz w:val="24"/>
          <w:szCs w:val="24"/>
        </w:rPr>
        <w:t xml:space="preserve">, mangler der stadig en fuld forståelse af den kliniske relevans af disse observationer. Aktuelle epidemiologiske data om </w:t>
      </w:r>
      <w:proofErr w:type="spellStart"/>
      <w:r w:rsidRPr="005E1ABF">
        <w:rPr>
          <w:sz w:val="24"/>
          <w:szCs w:val="24"/>
        </w:rPr>
        <w:t>pertussis</w:t>
      </w:r>
      <w:proofErr w:type="spellEnd"/>
      <w:r w:rsidRPr="005E1ABF">
        <w:rPr>
          <w:sz w:val="24"/>
          <w:szCs w:val="24"/>
        </w:rPr>
        <w:t xml:space="preserve"> sygdom efter implementeringen af ​​</w:t>
      </w:r>
      <w:proofErr w:type="spellStart"/>
      <w:r w:rsidRPr="005E1ABF">
        <w:rPr>
          <w:sz w:val="24"/>
          <w:szCs w:val="24"/>
        </w:rPr>
        <w:t>dTpa</w:t>
      </w:r>
      <w:proofErr w:type="spellEnd"/>
      <w:r w:rsidRPr="005E1ABF">
        <w:rPr>
          <w:sz w:val="24"/>
          <w:szCs w:val="24"/>
        </w:rPr>
        <w:t xml:space="preserve"> immunisering af mødre, antyder dog imidlertid ikke nogen klinisk relevans af denne immuninterferens.</w:t>
      </w:r>
    </w:p>
    <w:p w:rsidR="00E92990" w:rsidRDefault="00E92990" w:rsidP="00E92990">
      <w:pPr>
        <w:keepNext/>
        <w:ind w:left="851"/>
        <w:rPr>
          <w:sz w:val="24"/>
          <w:szCs w:val="24"/>
        </w:rPr>
      </w:pPr>
    </w:p>
    <w:p w:rsidR="00A55EFE" w:rsidRDefault="00E92990" w:rsidP="00A55EFE">
      <w:pPr>
        <w:tabs>
          <w:tab w:val="left" w:pos="851"/>
        </w:tabs>
        <w:ind w:left="851"/>
        <w:rPr>
          <w:i/>
          <w:sz w:val="24"/>
          <w:szCs w:val="24"/>
        </w:rPr>
      </w:pPr>
      <w:r>
        <w:rPr>
          <w:i/>
          <w:sz w:val="24"/>
          <w:szCs w:val="24"/>
        </w:rPr>
        <w:t xml:space="preserve">Effektivitet ved beskyttelse mod </w:t>
      </w:r>
      <w:proofErr w:type="spellStart"/>
      <w:r>
        <w:rPr>
          <w:i/>
          <w:sz w:val="24"/>
          <w:szCs w:val="24"/>
        </w:rPr>
        <w:t>pertussis</w:t>
      </w:r>
      <w:proofErr w:type="spellEnd"/>
      <w:r>
        <w:rPr>
          <w:i/>
          <w:sz w:val="24"/>
          <w:szCs w:val="24"/>
        </w:rPr>
        <w:t xml:space="preserve"> sygdom hos spædbørn født af kvinder, der er vaccineret under graviditet</w:t>
      </w:r>
    </w:p>
    <w:p w:rsidR="00A55EFE" w:rsidRDefault="00A55EFE" w:rsidP="00A55EFE">
      <w:pPr>
        <w:tabs>
          <w:tab w:val="left" w:pos="851"/>
        </w:tabs>
        <w:ind w:left="851"/>
        <w:rPr>
          <w:sz w:val="24"/>
          <w:szCs w:val="24"/>
        </w:rPr>
      </w:pPr>
    </w:p>
    <w:p w:rsidR="00A55EFE" w:rsidRDefault="00E92990" w:rsidP="00A55EFE">
      <w:pPr>
        <w:tabs>
          <w:tab w:val="left" w:pos="851"/>
        </w:tabs>
        <w:ind w:left="851"/>
        <w:rPr>
          <w:sz w:val="24"/>
          <w:szCs w:val="24"/>
        </w:rPr>
      </w:pPr>
      <w:proofErr w:type="spellStart"/>
      <w:r>
        <w:rPr>
          <w:sz w:val="24"/>
          <w:szCs w:val="24"/>
        </w:rPr>
        <w:t>Boostrix</w:t>
      </w:r>
      <w:proofErr w:type="spellEnd"/>
      <w:r>
        <w:rPr>
          <w:sz w:val="24"/>
          <w:szCs w:val="24"/>
        </w:rPr>
        <w:t xml:space="preserve"> eller </w:t>
      </w:r>
      <w:proofErr w:type="spellStart"/>
      <w:r>
        <w:rPr>
          <w:sz w:val="24"/>
          <w:szCs w:val="24"/>
        </w:rPr>
        <w:t>Boostrix</w:t>
      </w:r>
      <w:proofErr w:type="spellEnd"/>
      <w:r>
        <w:rPr>
          <w:sz w:val="24"/>
          <w:szCs w:val="24"/>
        </w:rPr>
        <w:t xml:space="preserve"> Polio vaccine effektivitet (VE) blev evalueret i tre observationsstudier i Storbritannien, Spanien og Australien. Vaccinen blev anvendt i </w:t>
      </w:r>
      <w:r>
        <w:rPr>
          <w:sz w:val="24"/>
          <w:szCs w:val="24"/>
        </w:rPr>
        <w:lastRenderedPageBreak/>
        <w:t xml:space="preserve">graviditetens tredje trimester for at beskytte spædbørn under 3 måneder mod </w:t>
      </w:r>
      <w:proofErr w:type="spellStart"/>
      <w:r>
        <w:rPr>
          <w:sz w:val="24"/>
          <w:szCs w:val="24"/>
        </w:rPr>
        <w:t>pertussis</w:t>
      </w:r>
      <w:proofErr w:type="spellEnd"/>
      <w:r>
        <w:rPr>
          <w:sz w:val="24"/>
          <w:szCs w:val="24"/>
        </w:rPr>
        <w:t xml:space="preserve"> sygdom som led i moderens vaccinationsprogram.</w:t>
      </w:r>
    </w:p>
    <w:p w:rsidR="00A55EFE" w:rsidRDefault="00A55EFE" w:rsidP="00A55EFE">
      <w:pPr>
        <w:tabs>
          <w:tab w:val="left" w:pos="851"/>
        </w:tabs>
        <w:ind w:left="851"/>
        <w:rPr>
          <w:sz w:val="24"/>
          <w:szCs w:val="24"/>
        </w:rPr>
      </w:pPr>
    </w:p>
    <w:p w:rsidR="00A55EFE" w:rsidRDefault="00E92990" w:rsidP="00A55EFE">
      <w:pPr>
        <w:tabs>
          <w:tab w:val="left" w:pos="851"/>
        </w:tabs>
        <w:ind w:left="851"/>
        <w:rPr>
          <w:sz w:val="24"/>
          <w:szCs w:val="24"/>
        </w:rPr>
      </w:pPr>
      <w:r>
        <w:rPr>
          <w:sz w:val="24"/>
          <w:szCs w:val="24"/>
        </w:rPr>
        <w:t>Nærmere oplysninger om hvert undersøgelsesdesign og resultater er angivet i tabel 6.</w:t>
      </w:r>
    </w:p>
    <w:p w:rsidR="00A55EFE" w:rsidRDefault="00A55EFE" w:rsidP="00A55EFE">
      <w:pPr>
        <w:tabs>
          <w:tab w:val="left" w:pos="851"/>
        </w:tabs>
        <w:ind w:left="851"/>
        <w:rPr>
          <w:sz w:val="24"/>
          <w:szCs w:val="24"/>
        </w:rPr>
      </w:pPr>
    </w:p>
    <w:p w:rsidR="00E92990" w:rsidRDefault="00E92990" w:rsidP="00A55EFE">
      <w:pPr>
        <w:tabs>
          <w:tab w:val="left" w:pos="851"/>
        </w:tabs>
        <w:ind w:left="851"/>
        <w:rPr>
          <w:sz w:val="24"/>
          <w:szCs w:val="24"/>
        </w:rPr>
      </w:pPr>
      <w:r>
        <w:rPr>
          <w:b/>
          <w:sz w:val="24"/>
          <w:szCs w:val="24"/>
        </w:rPr>
        <w:t>Tabel 6</w:t>
      </w:r>
      <w:r>
        <w:rPr>
          <w:sz w:val="24"/>
          <w:szCs w:val="24"/>
        </w:rPr>
        <w:t xml:space="preserve">: VE mod </w:t>
      </w:r>
      <w:proofErr w:type="spellStart"/>
      <w:r>
        <w:rPr>
          <w:sz w:val="24"/>
          <w:szCs w:val="24"/>
        </w:rPr>
        <w:t>pertussis</w:t>
      </w:r>
      <w:proofErr w:type="spellEnd"/>
      <w:r>
        <w:rPr>
          <w:sz w:val="24"/>
          <w:szCs w:val="24"/>
        </w:rPr>
        <w:t xml:space="preserve"> sygdom hos spædbørn under 3 måneder født af mødre vaccineret i tredje trimester af graviditeten med </w:t>
      </w:r>
      <w:proofErr w:type="spellStart"/>
      <w:r>
        <w:rPr>
          <w:sz w:val="24"/>
          <w:szCs w:val="24"/>
        </w:rPr>
        <w:t>Boostrix</w:t>
      </w:r>
      <w:proofErr w:type="spellEnd"/>
      <w:r>
        <w:rPr>
          <w:sz w:val="24"/>
          <w:szCs w:val="24"/>
        </w:rPr>
        <w:t xml:space="preserve"> / </w:t>
      </w:r>
      <w:proofErr w:type="spellStart"/>
      <w:r>
        <w:rPr>
          <w:sz w:val="24"/>
          <w:szCs w:val="24"/>
        </w:rPr>
        <w:t>Boostrix</w:t>
      </w:r>
      <w:proofErr w:type="spellEnd"/>
      <w:r>
        <w:rPr>
          <w:sz w:val="24"/>
          <w:szCs w:val="24"/>
        </w:rPr>
        <w:t xml:space="preserve"> Polio</w:t>
      </w:r>
    </w:p>
    <w:p w:rsidR="00E92990" w:rsidRDefault="00E92990" w:rsidP="00E92990">
      <w:pPr>
        <w:tabs>
          <w:tab w:val="left" w:pos="851"/>
        </w:tabs>
        <w:rPr>
          <w:sz w:val="24"/>
          <w:szCs w:val="24"/>
        </w:rPr>
      </w:pPr>
    </w:p>
    <w:tbl>
      <w:tblPr>
        <w:tblW w:w="4462" w:type="pct"/>
        <w:tblInd w:w="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078"/>
        <w:gridCol w:w="2391"/>
        <w:gridCol w:w="2847"/>
      </w:tblGrid>
      <w:tr w:rsidR="00E92990" w:rsidTr="00263756">
        <w:tc>
          <w:tcPr>
            <w:tcW w:w="1324"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rPr>
                <w:b/>
                <w:sz w:val="22"/>
                <w:szCs w:val="22"/>
                <w:lang w:val="en-GB"/>
              </w:rPr>
            </w:pPr>
            <w:proofErr w:type="spellStart"/>
            <w:r>
              <w:rPr>
                <w:b/>
                <w:sz w:val="22"/>
                <w:szCs w:val="22"/>
                <w:lang w:val="en-GB"/>
              </w:rPr>
              <w:t>Studielokation</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b/>
                <w:sz w:val="22"/>
                <w:szCs w:val="22"/>
                <w:lang w:val="en-GB"/>
              </w:rPr>
            </w:pPr>
            <w:r>
              <w:rPr>
                <w:b/>
                <w:sz w:val="22"/>
                <w:szCs w:val="22"/>
                <w:lang w:val="en-GB"/>
              </w:rPr>
              <w:t>Vaccine</w:t>
            </w:r>
          </w:p>
        </w:tc>
        <w:tc>
          <w:tcPr>
            <w:tcW w:w="1391"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b/>
                <w:sz w:val="22"/>
                <w:szCs w:val="22"/>
                <w:lang w:val="en-GB"/>
              </w:rPr>
            </w:pPr>
            <w:proofErr w:type="spellStart"/>
            <w:r>
              <w:rPr>
                <w:b/>
                <w:sz w:val="22"/>
                <w:szCs w:val="22"/>
                <w:lang w:val="en-GB"/>
              </w:rPr>
              <w:t>Undersøgelsesdesign</w:t>
            </w:r>
            <w:proofErr w:type="spellEnd"/>
          </w:p>
        </w:tc>
        <w:tc>
          <w:tcPr>
            <w:tcW w:w="1657"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b/>
                <w:sz w:val="22"/>
                <w:szCs w:val="22"/>
                <w:lang w:val="en-GB"/>
              </w:rPr>
            </w:pPr>
            <w:r>
              <w:rPr>
                <w:b/>
                <w:sz w:val="22"/>
                <w:szCs w:val="22"/>
                <w:lang w:val="en-GB"/>
              </w:rPr>
              <w:t xml:space="preserve">Vaccine </w:t>
            </w:r>
            <w:proofErr w:type="spellStart"/>
            <w:r>
              <w:rPr>
                <w:b/>
                <w:sz w:val="22"/>
                <w:szCs w:val="22"/>
                <w:lang w:val="en-GB"/>
              </w:rPr>
              <w:t>effektivitet</w:t>
            </w:r>
            <w:proofErr w:type="spellEnd"/>
            <w:r>
              <w:rPr>
                <w:b/>
                <w:sz w:val="22"/>
                <w:szCs w:val="22"/>
                <w:lang w:val="en-GB"/>
              </w:rPr>
              <w:t xml:space="preserve"> </w:t>
            </w:r>
          </w:p>
        </w:tc>
      </w:tr>
      <w:tr w:rsidR="00E92990" w:rsidTr="00263756">
        <w:tc>
          <w:tcPr>
            <w:tcW w:w="1324"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rPr>
                <w:b/>
                <w:sz w:val="22"/>
                <w:szCs w:val="22"/>
                <w:lang w:val="en-GB"/>
              </w:rPr>
            </w:pPr>
            <w:proofErr w:type="spellStart"/>
            <w:r>
              <w:rPr>
                <w:b/>
                <w:sz w:val="22"/>
                <w:szCs w:val="22"/>
                <w:lang w:val="en-GB"/>
              </w:rPr>
              <w:t>Storbritannien</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i/>
                <w:sz w:val="22"/>
                <w:szCs w:val="22"/>
                <w:lang w:val="en-GB"/>
              </w:rPr>
              <w:t>Boostrix</w:t>
            </w:r>
            <w:proofErr w:type="spellEnd"/>
            <w:r>
              <w:rPr>
                <w:i/>
                <w:sz w:val="22"/>
                <w:szCs w:val="22"/>
                <w:lang w:val="en-GB"/>
              </w:rPr>
              <w:t xml:space="preserve"> Polio</w:t>
            </w:r>
          </w:p>
        </w:tc>
        <w:tc>
          <w:tcPr>
            <w:tcW w:w="1391"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sz w:val="22"/>
                <w:szCs w:val="22"/>
                <w:lang w:val="en-GB"/>
              </w:rPr>
              <w:t>Retrospektiv</w:t>
            </w:r>
            <w:proofErr w:type="spellEnd"/>
            <w:r>
              <w:rPr>
                <w:sz w:val="22"/>
                <w:szCs w:val="22"/>
                <w:lang w:val="en-GB"/>
              </w:rPr>
              <w:t xml:space="preserve">, </w:t>
            </w:r>
            <w:proofErr w:type="spellStart"/>
            <w:r>
              <w:rPr>
                <w:sz w:val="22"/>
                <w:szCs w:val="22"/>
                <w:lang w:val="en-GB"/>
              </w:rPr>
              <w:t>screeningsmetode</w:t>
            </w:r>
            <w:proofErr w:type="spellEnd"/>
          </w:p>
        </w:tc>
        <w:tc>
          <w:tcPr>
            <w:tcW w:w="1657" w:type="pct"/>
            <w:tcBorders>
              <w:top w:val="single" w:sz="4" w:space="0" w:color="auto"/>
              <w:left w:val="single" w:sz="4" w:space="0" w:color="auto"/>
              <w:bottom w:val="single" w:sz="4" w:space="0" w:color="auto"/>
              <w:right w:val="single" w:sz="4" w:space="0" w:color="auto"/>
            </w:tcBorders>
          </w:tcPr>
          <w:p w:rsidR="00E92990" w:rsidRDefault="00E92990" w:rsidP="00263756">
            <w:pPr>
              <w:keepNext/>
              <w:keepLines/>
              <w:jc w:val="center"/>
              <w:rPr>
                <w:sz w:val="22"/>
                <w:szCs w:val="22"/>
                <w:lang w:val="en-GB"/>
              </w:rPr>
            </w:pPr>
            <w:r>
              <w:rPr>
                <w:sz w:val="22"/>
                <w:szCs w:val="22"/>
                <w:lang w:val="en-GB"/>
              </w:rPr>
              <w:t>88 % (95 % CI: 79, 93)</w:t>
            </w:r>
          </w:p>
          <w:p w:rsidR="00E92990" w:rsidRDefault="00E92990" w:rsidP="00263756">
            <w:pPr>
              <w:keepNext/>
              <w:keepLines/>
              <w:jc w:val="center"/>
              <w:rPr>
                <w:i/>
                <w:color w:val="000000"/>
                <w:sz w:val="22"/>
                <w:szCs w:val="22"/>
                <w:lang w:val="en-GB"/>
              </w:rPr>
            </w:pPr>
          </w:p>
        </w:tc>
      </w:tr>
      <w:tr w:rsidR="00E92990" w:rsidTr="00263756">
        <w:tc>
          <w:tcPr>
            <w:tcW w:w="1324"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rPr>
                <w:b/>
                <w:sz w:val="22"/>
                <w:szCs w:val="22"/>
                <w:lang w:val="en-GB"/>
              </w:rPr>
            </w:pPr>
            <w:proofErr w:type="spellStart"/>
            <w:r>
              <w:rPr>
                <w:b/>
                <w:sz w:val="22"/>
                <w:szCs w:val="22"/>
                <w:lang w:val="en-GB"/>
              </w:rPr>
              <w:t>Spanien</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i/>
                <w:sz w:val="22"/>
                <w:szCs w:val="22"/>
                <w:lang w:val="en-GB"/>
              </w:rPr>
              <w:t>Boostrix</w:t>
            </w:r>
            <w:proofErr w:type="spellEnd"/>
          </w:p>
        </w:tc>
        <w:tc>
          <w:tcPr>
            <w:tcW w:w="1391"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sz w:val="22"/>
                <w:szCs w:val="22"/>
                <w:lang w:val="en-GB"/>
              </w:rPr>
              <w:t>Prospektiv</w:t>
            </w:r>
            <w:proofErr w:type="spellEnd"/>
            <w:r>
              <w:rPr>
                <w:sz w:val="22"/>
                <w:szCs w:val="22"/>
                <w:lang w:val="en-GB"/>
              </w:rPr>
              <w:t xml:space="preserve">, </w:t>
            </w:r>
            <w:proofErr w:type="spellStart"/>
            <w:r>
              <w:rPr>
                <w:sz w:val="22"/>
                <w:szCs w:val="22"/>
                <w:lang w:val="en-GB"/>
              </w:rPr>
              <w:t>matchet</w:t>
            </w:r>
            <w:proofErr w:type="spellEnd"/>
            <w:r>
              <w:rPr>
                <w:sz w:val="22"/>
                <w:szCs w:val="22"/>
                <w:lang w:val="en-GB"/>
              </w:rPr>
              <w:t xml:space="preserve"> case-control</w:t>
            </w:r>
          </w:p>
        </w:tc>
        <w:tc>
          <w:tcPr>
            <w:tcW w:w="1657" w:type="pct"/>
            <w:tcBorders>
              <w:top w:val="single" w:sz="4" w:space="0" w:color="auto"/>
              <w:left w:val="single" w:sz="4" w:space="0" w:color="auto"/>
              <w:bottom w:val="single" w:sz="4" w:space="0" w:color="auto"/>
              <w:right w:val="single" w:sz="4" w:space="0" w:color="auto"/>
            </w:tcBorders>
          </w:tcPr>
          <w:p w:rsidR="00E92990" w:rsidRDefault="00E92990" w:rsidP="00263756">
            <w:pPr>
              <w:keepNext/>
              <w:keepLines/>
              <w:jc w:val="center"/>
              <w:rPr>
                <w:sz w:val="22"/>
                <w:szCs w:val="22"/>
                <w:lang w:val="en-GB"/>
              </w:rPr>
            </w:pPr>
            <w:r>
              <w:rPr>
                <w:sz w:val="22"/>
                <w:szCs w:val="22"/>
                <w:lang w:val="en-GB"/>
              </w:rPr>
              <w:t>90.9 % (95 % CI: 56.6, 98.1)</w:t>
            </w:r>
          </w:p>
          <w:p w:rsidR="00E92990" w:rsidRDefault="00E92990" w:rsidP="00263756">
            <w:pPr>
              <w:keepNext/>
              <w:keepLines/>
              <w:jc w:val="center"/>
              <w:rPr>
                <w:sz w:val="22"/>
                <w:szCs w:val="22"/>
                <w:lang w:val="en-GB"/>
              </w:rPr>
            </w:pPr>
          </w:p>
        </w:tc>
      </w:tr>
      <w:tr w:rsidR="00E92990" w:rsidTr="00263756">
        <w:tc>
          <w:tcPr>
            <w:tcW w:w="1324"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rPr>
                <w:b/>
                <w:sz w:val="22"/>
                <w:szCs w:val="22"/>
                <w:lang w:val="en-GB"/>
              </w:rPr>
            </w:pPr>
            <w:proofErr w:type="spellStart"/>
            <w:r>
              <w:rPr>
                <w:b/>
                <w:sz w:val="22"/>
                <w:szCs w:val="22"/>
                <w:lang w:val="en-GB"/>
              </w:rPr>
              <w:t>Australien</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i/>
                <w:sz w:val="22"/>
                <w:szCs w:val="22"/>
                <w:lang w:val="en-GB"/>
              </w:rPr>
              <w:t>Boostrix</w:t>
            </w:r>
            <w:proofErr w:type="spellEnd"/>
          </w:p>
        </w:tc>
        <w:tc>
          <w:tcPr>
            <w:tcW w:w="1391" w:type="pct"/>
            <w:tcBorders>
              <w:top w:val="single" w:sz="4" w:space="0" w:color="auto"/>
              <w:left w:val="single" w:sz="4" w:space="0" w:color="auto"/>
              <w:bottom w:val="single" w:sz="4" w:space="0" w:color="auto"/>
              <w:right w:val="single" w:sz="4" w:space="0" w:color="auto"/>
            </w:tcBorders>
            <w:hideMark/>
          </w:tcPr>
          <w:p w:rsidR="00E92990" w:rsidRDefault="00E92990" w:rsidP="00263756">
            <w:pPr>
              <w:keepNext/>
              <w:keepLines/>
              <w:jc w:val="center"/>
              <w:rPr>
                <w:sz w:val="22"/>
                <w:szCs w:val="22"/>
                <w:lang w:val="en-GB"/>
              </w:rPr>
            </w:pPr>
            <w:proofErr w:type="spellStart"/>
            <w:r>
              <w:rPr>
                <w:sz w:val="22"/>
                <w:szCs w:val="22"/>
                <w:lang w:val="en-GB"/>
              </w:rPr>
              <w:t>Prospektiv</w:t>
            </w:r>
            <w:proofErr w:type="spellEnd"/>
            <w:r>
              <w:rPr>
                <w:sz w:val="22"/>
                <w:szCs w:val="22"/>
                <w:lang w:val="en-GB"/>
              </w:rPr>
              <w:t xml:space="preserve">, </w:t>
            </w:r>
            <w:proofErr w:type="spellStart"/>
            <w:r>
              <w:rPr>
                <w:sz w:val="22"/>
                <w:szCs w:val="22"/>
                <w:lang w:val="en-GB"/>
              </w:rPr>
              <w:t>matchet</w:t>
            </w:r>
            <w:proofErr w:type="spellEnd"/>
            <w:r>
              <w:rPr>
                <w:sz w:val="22"/>
                <w:szCs w:val="22"/>
                <w:lang w:val="en-GB"/>
              </w:rPr>
              <w:t xml:space="preserve"> case-control</w:t>
            </w:r>
          </w:p>
        </w:tc>
        <w:tc>
          <w:tcPr>
            <w:tcW w:w="1657" w:type="pct"/>
            <w:tcBorders>
              <w:top w:val="single" w:sz="4" w:space="0" w:color="auto"/>
              <w:left w:val="single" w:sz="4" w:space="0" w:color="auto"/>
              <w:bottom w:val="single" w:sz="4" w:space="0" w:color="auto"/>
              <w:right w:val="single" w:sz="4" w:space="0" w:color="auto"/>
            </w:tcBorders>
          </w:tcPr>
          <w:p w:rsidR="00E92990" w:rsidRDefault="00E92990" w:rsidP="00263756">
            <w:pPr>
              <w:keepNext/>
              <w:keepLines/>
              <w:jc w:val="center"/>
              <w:rPr>
                <w:sz w:val="22"/>
                <w:szCs w:val="22"/>
                <w:lang w:val="en-GB"/>
              </w:rPr>
            </w:pPr>
            <w:r>
              <w:rPr>
                <w:sz w:val="22"/>
                <w:szCs w:val="22"/>
                <w:lang w:val="en-GB"/>
              </w:rPr>
              <w:t>69 % (95 % CI: 13, 89)</w:t>
            </w:r>
          </w:p>
          <w:p w:rsidR="00E92990" w:rsidRDefault="00E92990" w:rsidP="00263756">
            <w:pPr>
              <w:keepNext/>
              <w:keepLines/>
              <w:jc w:val="center"/>
              <w:rPr>
                <w:i/>
                <w:color w:val="000000"/>
                <w:sz w:val="22"/>
                <w:szCs w:val="22"/>
                <w:lang w:val="en-GB"/>
              </w:rPr>
            </w:pPr>
          </w:p>
        </w:tc>
      </w:tr>
    </w:tbl>
    <w:p w:rsidR="00E92990" w:rsidRDefault="00E92990" w:rsidP="00E92990">
      <w:pPr>
        <w:tabs>
          <w:tab w:val="left" w:pos="851"/>
        </w:tabs>
        <w:ind w:left="855"/>
        <w:rPr>
          <w:sz w:val="24"/>
          <w:szCs w:val="24"/>
        </w:rPr>
      </w:pPr>
      <w:r>
        <w:rPr>
          <w:sz w:val="24"/>
          <w:szCs w:val="24"/>
        </w:rPr>
        <w:t>CI: Konfidensinterval</w:t>
      </w:r>
      <w:r>
        <w:rPr>
          <w:sz w:val="24"/>
          <w:szCs w:val="24"/>
        </w:rPr>
        <w:br/>
      </w:r>
      <w:r>
        <w:rPr>
          <w:sz w:val="24"/>
          <w:szCs w:val="24"/>
        </w:rPr>
        <w:br/>
        <w:t>Hvis vaccination af moderen sker indenfor to uger før fødsel, kan vaccineeffektiviteten hos spædbarnet være lavere end tallene i tabellen.</w:t>
      </w:r>
    </w:p>
    <w:p w:rsidR="00E92990" w:rsidRPr="005134A8" w:rsidRDefault="00E92990" w:rsidP="00E92990">
      <w:pPr>
        <w:tabs>
          <w:tab w:val="left" w:pos="851"/>
        </w:tabs>
        <w:rPr>
          <w:sz w:val="24"/>
          <w:szCs w:val="24"/>
        </w:rPr>
      </w:pPr>
    </w:p>
    <w:p w:rsidR="00E92990" w:rsidRPr="005134A8" w:rsidRDefault="00E92990" w:rsidP="00E92990">
      <w:pPr>
        <w:numPr>
          <w:ilvl w:val="1"/>
          <w:numId w:val="3"/>
        </w:numPr>
        <w:rPr>
          <w:b/>
          <w:sz w:val="24"/>
          <w:szCs w:val="24"/>
        </w:rPr>
      </w:pPr>
      <w:proofErr w:type="spellStart"/>
      <w:r w:rsidRPr="005134A8">
        <w:rPr>
          <w:b/>
          <w:sz w:val="24"/>
          <w:szCs w:val="24"/>
        </w:rPr>
        <w:t>Farmakokinetiske</w:t>
      </w:r>
      <w:proofErr w:type="spellEnd"/>
      <w:r w:rsidRPr="005134A8">
        <w:rPr>
          <w:b/>
          <w:sz w:val="24"/>
          <w:szCs w:val="24"/>
        </w:rPr>
        <w:t xml:space="preserve"> egenskaber</w:t>
      </w:r>
    </w:p>
    <w:p w:rsidR="00E92990" w:rsidRPr="000710B5" w:rsidRDefault="00E92990" w:rsidP="00E92990">
      <w:pPr>
        <w:suppressAutoHyphens/>
        <w:ind w:left="851"/>
        <w:rPr>
          <w:sz w:val="24"/>
          <w:szCs w:val="24"/>
        </w:rPr>
      </w:pPr>
      <w:r w:rsidRPr="000710B5">
        <w:rPr>
          <w:sz w:val="24"/>
          <w:szCs w:val="24"/>
        </w:rPr>
        <w:t xml:space="preserve">Evaluering af de </w:t>
      </w:r>
      <w:proofErr w:type="spellStart"/>
      <w:r w:rsidRPr="000710B5">
        <w:rPr>
          <w:sz w:val="24"/>
          <w:szCs w:val="24"/>
        </w:rPr>
        <w:t>farmakokinetiske</w:t>
      </w:r>
      <w:proofErr w:type="spellEnd"/>
      <w:r w:rsidRPr="000710B5">
        <w:rPr>
          <w:sz w:val="24"/>
          <w:szCs w:val="24"/>
        </w:rPr>
        <w:t xml:space="preserve"> egenskaber kræves ikke for vacciner.</w:t>
      </w:r>
    </w:p>
    <w:p w:rsidR="00E92990" w:rsidRPr="005134A8" w:rsidRDefault="00E92990" w:rsidP="00E92990">
      <w:pPr>
        <w:tabs>
          <w:tab w:val="left" w:pos="851"/>
        </w:tabs>
        <w:rPr>
          <w:sz w:val="24"/>
          <w:szCs w:val="24"/>
        </w:rPr>
      </w:pPr>
    </w:p>
    <w:p w:rsidR="00E92990" w:rsidRPr="005134A8" w:rsidRDefault="00B10EA7" w:rsidP="003F43EE">
      <w:pPr>
        <w:keepNext/>
        <w:numPr>
          <w:ilvl w:val="1"/>
          <w:numId w:val="4"/>
        </w:numPr>
        <w:rPr>
          <w:b/>
          <w:sz w:val="24"/>
          <w:szCs w:val="24"/>
        </w:rPr>
      </w:pPr>
      <w:r>
        <w:rPr>
          <w:b/>
          <w:sz w:val="24"/>
          <w:szCs w:val="24"/>
        </w:rPr>
        <w:t>Non-</w:t>
      </w:r>
      <w:r w:rsidR="00E92990" w:rsidRPr="005134A8">
        <w:rPr>
          <w:b/>
          <w:sz w:val="24"/>
          <w:szCs w:val="24"/>
        </w:rPr>
        <w:t>kliniske sikkerhedsdata</w:t>
      </w:r>
    </w:p>
    <w:p w:rsidR="00E92990" w:rsidRPr="00D86EE2" w:rsidRDefault="00E92990" w:rsidP="00E92990">
      <w:pPr>
        <w:ind w:left="851"/>
        <w:rPr>
          <w:b/>
          <w:sz w:val="24"/>
          <w:szCs w:val="24"/>
        </w:rPr>
      </w:pPr>
      <w:r w:rsidRPr="00D86EE2">
        <w:rPr>
          <w:b/>
          <w:sz w:val="24"/>
          <w:szCs w:val="24"/>
        </w:rPr>
        <w:t>Reproduktionstoksicitet</w:t>
      </w:r>
    </w:p>
    <w:p w:rsidR="00E92990" w:rsidRPr="00D86EE2" w:rsidRDefault="00E92990" w:rsidP="00E92990">
      <w:pPr>
        <w:ind w:left="851"/>
        <w:rPr>
          <w:i/>
          <w:sz w:val="24"/>
          <w:szCs w:val="24"/>
        </w:rPr>
      </w:pPr>
      <w:r w:rsidRPr="00D86EE2">
        <w:rPr>
          <w:i/>
          <w:sz w:val="24"/>
          <w:szCs w:val="24"/>
        </w:rPr>
        <w:t>Fertilitet</w:t>
      </w:r>
    </w:p>
    <w:p w:rsidR="00E92990" w:rsidRPr="00F73EC0" w:rsidRDefault="00E92990" w:rsidP="00E92990">
      <w:pPr>
        <w:ind w:left="851"/>
        <w:rPr>
          <w:sz w:val="24"/>
          <w:szCs w:val="24"/>
        </w:rPr>
      </w:pPr>
      <w:r w:rsidRPr="00F73EC0">
        <w:rPr>
          <w:sz w:val="24"/>
          <w:szCs w:val="24"/>
        </w:rPr>
        <w:t xml:space="preserve">Nonkliniske data viser ingen speciel risiko for mennesker vurderet ud fra konventionelle studier af fertilitet i </w:t>
      </w:r>
      <w:r>
        <w:rPr>
          <w:sz w:val="24"/>
          <w:szCs w:val="24"/>
        </w:rPr>
        <w:t>hun</w:t>
      </w:r>
      <w:r w:rsidRPr="00F73EC0">
        <w:rPr>
          <w:sz w:val="24"/>
          <w:szCs w:val="24"/>
        </w:rPr>
        <w:t xml:space="preserve">rotter og </w:t>
      </w:r>
      <w:r>
        <w:rPr>
          <w:sz w:val="24"/>
          <w:szCs w:val="24"/>
        </w:rPr>
        <w:t>hun</w:t>
      </w:r>
      <w:r w:rsidRPr="00F73EC0">
        <w:rPr>
          <w:sz w:val="24"/>
          <w:szCs w:val="24"/>
        </w:rPr>
        <w:t>kaniner.</w:t>
      </w:r>
    </w:p>
    <w:p w:rsidR="00E92990" w:rsidRPr="00F73EC0" w:rsidRDefault="00E92990" w:rsidP="00E92990">
      <w:pPr>
        <w:ind w:left="851"/>
        <w:rPr>
          <w:sz w:val="24"/>
          <w:szCs w:val="24"/>
        </w:rPr>
      </w:pPr>
    </w:p>
    <w:p w:rsidR="00E92990" w:rsidRPr="00D86EE2" w:rsidRDefault="00E92990" w:rsidP="00E92990">
      <w:pPr>
        <w:ind w:left="851"/>
        <w:rPr>
          <w:i/>
          <w:sz w:val="24"/>
          <w:szCs w:val="24"/>
        </w:rPr>
      </w:pPr>
      <w:r w:rsidRPr="00D86EE2">
        <w:rPr>
          <w:i/>
          <w:sz w:val="24"/>
          <w:szCs w:val="24"/>
        </w:rPr>
        <w:t>Graviditet</w:t>
      </w:r>
    </w:p>
    <w:p w:rsidR="00E92990" w:rsidRPr="00F73EC0" w:rsidRDefault="00E92990" w:rsidP="00E92990">
      <w:pPr>
        <w:ind w:left="851"/>
        <w:rPr>
          <w:sz w:val="24"/>
          <w:szCs w:val="24"/>
        </w:rPr>
      </w:pPr>
      <w:r w:rsidRPr="00F73EC0">
        <w:rPr>
          <w:sz w:val="24"/>
          <w:szCs w:val="24"/>
        </w:rPr>
        <w:t>Nonkliniske data viser ingen speciel risiko for mennesker vurderet ud fra konventionelle studier af embryo/</w:t>
      </w:r>
      <w:proofErr w:type="spellStart"/>
      <w:r w:rsidRPr="00F73EC0">
        <w:rPr>
          <w:sz w:val="24"/>
          <w:szCs w:val="24"/>
        </w:rPr>
        <w:t>føtal</w:t>
      </w:r>
      <w:proofErr w:type="spellEnd"/>
      <w:r w:rsidRPr="00F73EC0">
        <w:rPr>
          <w:sz w:val="24"/>
          <w:szCs w:val="24"/>
        </w:rPr>
        <w:t xml:space="preserve"> udvikling i rotter og kaniner samt fødsel og </w:t>
      </w:r>
      <w:proofErr w:type="spellStart"/>
      <w:r w:rsidRPr="00F73EC0">
        <w:rPr>
          <w:sz w:val="24"/>
          <w:szCs w:val="24"/>
        </w:rPr>
        <w:t>postnatal</w:t>
      </w:r>
      <w:proofErr w:type="spellEnd"/>
      <w:r w:rsidRPr="00F73EC0">
        <w:rPr>
          <w:sz w:val="24"/>
          <w:szCs w:val="24"/>
        </w:rPr>
        <w:t xml:space="preserve"> toksicitet i rotter (frem til afslutningen på </w:t>
      </w:r>
      <w:proofErr w:type="spellStart"/>
      <w:r w:rsidRPr="00F73EC0">
        <w:rPr>
          <w:sz w:val="24"/>
          <w:szCs w:val="24"/>
        </w:rPr>
        <w:t>ammeperioden</w:t>
      </w:r>
      <w:proofErr w:type="spellEnd"/>
      <w:r w:rsidRPr="00F73EC0">
        <w:rPr>
          <w:sz w:val="24"/>
          <w:szCs w:val="24"/>
        </w:rPr>
        <w:t>).</w:t>
      </w:r>
    </w:p>
    <w:p w:rsidR="00E92990" w:rsidRPr="00F73EC0" w:rsidRDefault="00E92990" w:rsidP="00E92990">
      <w:pPr>
        <w:ind w:left="851"/>
        <w:rPr>
          <w:sz w:val="24"/>
          <w:szCs w:val="24"/>
        </w:rPr>
      </w:pPr>
    </w:p>
    <w:p w:rsidR="003F43EE" w:rsidRPr="00D86EE2" w:rsidRDefault="003F43EE" w:rsidP="003F43EE">
      <w:pPr>
        <w:ind w:left="851"/>
        <w:rPr>
          <w:b/>
          <w:i/>
          <w:sz w:val="24"/>
          <w:szCs w:val="24"/>
        </w:rPr>
      </w:pPr>
      <w:r w:rsidRPr="00D86EE2">
        <w:rPr>
          <w:b/>
          <w:sz w:val="24"/>
          <w:szCs w:val="24"/>
        </w:rPr>
        <w:t xml:space="preserve">Toksikologi og/eller farmakologi i dyr </w:t>
      </w:r>
    </w:p>
    <w:p w:rsidR="003F43EE" w:rsidRPr="00F73EC0" w:rsidRDefault="003F43EE" w:rsidP="003F43EE">
      <w:pPr>
        <w:ind w:left="851"/>
        <w:rPr>
          <w:sz w:val="24"/>
          <w:szCs w:val="24"/>
        </w:rPr>
      </w:pPr>
      <w:r>
        <w:rPr>
          <w:sz w:val="24"/>
          <w:szCs w:val="24"/>
        </w:rPr>
        <w:t>Non-</w:t>
      </w:r>
      <w:r w:rsidRPr="00F73EC0">
        <w:rPr>
          <w:sz w:val="24"/>
          <w:szCs w:val="24"/>
        </w:rPr>
        <w:t>kliniske data viser ingen speciel risiko for mennesker vurderet ud fra konventionelle studier af sikkerhed og toksicitet.</w:t>
      </w:r>
    </w:p>
    <w:p w:rsidR="00E92990" w:rsidRDefault="00E92990" w:rsidP="00E92990">
      <w:pPr>
        <w:tabs>
          <w:tab w:val="left" w:pos="851"/>
        </w:tabs>
        <w:rPr>
          <w:sz w:val="24"/>
          <w:szCs w:val="24"/>
        </w:rPr>
      </w:pPr>
    </w:p>
    <w:p w:rsidR="00B10EA7" w:rsidRPr="005134A8" w:rsidRDefault="00B10EA7" w:rsidP="00E92990">
      <w:pPr>
        <w:tabs>
          <w:tab w:val="left" w:pos="851"/>
        </w:tabs>
        <w:rPr>
          <w:sz w:val="24"/>
          <w:szCs w:val="24"/>
        </w:rPr>
      </w:pPr>
    </w:p>
    <w:p w:rsidR="00E92990" w:rsidRPr="005134A8" w:rsidRDefault="00E92990" w:rsidP="00E92990">
      <w:pPr>
        <w:keepNext/>
        <w:numPr>
          <w:ilvl w:val="0"/>
          <w:numId w:val="3"/>
        </w:numPr>
        <w:rPr>
          <w:b/>
          <w:sz w:val="24"/>
          <w:szCs w:val="24"/>
        </w:rPr>
      </w:pPr>
      <w:r w:rsidRPr="005134A8">
        <w:rPr>
          <w:b/>
          <w:sz w:val="24"/>
          <w:szCs w:val="24"/>
        </w:rPr>
        <w:t>FARMACEUTISKE OPLYSNINGER</w:t>
      </w:r>
    </w:p>
    <w:p w:rsidR="00E92990" w:rsidRPr="005134A8" w:rsidRDefault="00E92990" w:rsidP="00E92990">
      <w:pPr>
        <w:keepNext/>
        <w:tabs>
          <w:tab w:val="left" w:pos="851"/>
        </w:tabs>
        <w:rPr>
          <w:b/>
          <w:sz w:val="24"/>
          <w:szCs w:val="24"/>
        </w:rPr>
      </w:pPr>
    </w:p>
    <w:p w:rsidR="00E92990" w:rsidRPr="005134A8" w:rsidRDefault="00E92990" w:rsidP="00E92990">
      <w:pPr>
        <w:numPr>
          <w:ilvl w:val="1"/>
          <w:numId w:val="5"/>
        </w:numPr>
        <w:rPr>
          <w:b/>
          <w:sz w:val="24"/>
          <w:szCs w:val="24"/>
        </w:rPr>
      </w:pPr>
      <w:r w:rsidRPr="005134A8">
        <w:rPr>
          <w:b/>
          <w:sz w:val="24"/>
          <w:szCs w:val="24"/>
        </w:rPr>
        <w:t>Hjælpestoffer</w:t>
      </w:r>
    </w:p>
    <w:p w:rsidR="004732C5" w:rsidRPr="004732C5" w:rsidRDefault="004732C5" w:rsidP="004732C5">
      <w:pPr>
        <w:tabs>
          <w:tab w:val="left" w:pos="851"/>
        </w:tabs>
        <w:ind w:left="851"/>
        <w:rPr>
          <w:sz w:val="24"/>
          <w:szCs w:val="24"/>
        </w:rPr>
      </w:pPr>
      <w:r w:rsidRPr="004732C5">
        <w:rPr>
          <w:sz w:val="24"/>
          <w:szCs w:val="24"/>
        </w:rPr>
        <w:t xml:space="preserve">Medie 199 (som stabilisator, indeholdende aminosyrer (herunder </w:t>
      </w:r>
      <w:proofErr w:type="spellStart"/>
      <w:r w:rsidRPr="004732C5">
        <w:rPr>
          <w:sz w:val="24"/>
          <w:szCs w:val="24"/>
        </w:rPr>
        <w:t>phenylalanin</w:t>
      </w:r>
      <w:proofErr w:type="spellEnd"/>
      <w:r w:rsidRPr="004732C5">
        <w:rPr>
          <w:sz w:val="24"/>
          <w:szCs w:val="24"/>
        </w:rPr>
        <w:t xml:space="preserve">), mineralsalte (herunder natrium og kalium), vitaminer (herunder </w:t>
      </w:r>
      <w:proofErr w:type="spellStart"/>
      <w:r w:rsidRPr="004732C5">
        <w:rPr>
          <w:sz w:val="24"/>
          <w:szCs w:val="24"/>
        </w:rPr>
        <w:t>para</w:t>
      </w:r>
      <w:proofErr w:type="spellEnd"/>
      <w:r w:rsidRPr="004732C5">
        <w:rPr>
          <w:sz w:val="24"/>
          <w:szCs w:val="24"/>
        </w:rPr>
        <w:t>-aminobenzoesyre) og andre stoffer)</w:t>
      </w:r>
    </w:p>
    <w:p w:rsidR="004732C5" w:rsidRPr="004732C5" w:rsidRDefault="004732C5" w:rsidP="004732C5">
      <w:pPr>
        <w:tabs>
          <w:tab w:val="left" w:pos="851"/>
        </w:tabs>
        <w:ind w:left="851"/>
        <w:rPr>
          <w:sz w:val="24"/>
          <w:szCs w:val="24"/>
        </w:rPr>
      </w:pPr>
      <w:proofErr w:type="spellStart"/>
      <w:r w:rsidRPr="004732C5">
        <w:rPr>
          <w:sz w:val="24"/>
          <w:szCs w:val="24"/>
        </w:rPr>
        <w:t>Natriumchlorid</w:t>
      </w:r>
      <w:proofErr w:type="spellEnd"/>
    </w:p>
    <w:p w:rsidR="004732C5" w:rsidRPr="004732C5" w:rsidRDefault="004732C5" w:rsidP="004732C5">
      <w:pPr>
        <w:tabs>
          <w:tab w:val="left" w:pos="851"/>
        </w:tabs>
        <w:ind w:left="851"/>
        <w:rPr>
          <w:sz w:val="24"/>
          <w:szCs w:val="24"/>
        </w:rPr>
      </w:pPr>
      <w:r w:rsidRPr="004732C5">
        <w:rPr>
          <w:sz w:val="24"/>
          <w:szCs w:val="24"/>
        </w:rPr>
        <w:t>Vand til injektionsvæsker</w:t>
      </w:r>
    </w:p>
    <w:p w:rsidR="004732C5" w:rsidRPr="004732C5" w:rsidRDefault="004732C5" w:rsidP="004732C5">
      <w:pPr>
        <w:tabs>
          <w:tab w:val="left" w:pos="851"/>
        </w:tabs>
        <w:ind w:left="851"/>
        <w:rPr>
          <w:sz w:val="24"/>
          <w:szCs w:val="24"/>
        </w:rPr>
      </w:pPr>
    </w:p>
    <w:p w:rsidR="00E92990" w:rsidRPr="005134A8" w:rsidRDefault="004732C5" w:rsidP="004732C5">
      <w:pPr>
        <w:tabs>
          <w:tab w:val="left" w:pos="851"/>
        </w:tabs>
        <w:ind w:left="851"/>
        <w:rPr>
          <w:sz w:val="24"/>
          <w:szCs w:val="24"/>
        </w:rPr>
      </w:pPr>
      <w:r w:rsidRPr="004732C5">
        <w:rPr>
          <w:sz w:val="24"/>
          <w:szCs w:val="24"/>
        </w:rPr>
        <w:t xml:space="preserve">Vedrørende </w:t>
      </w:r>
      <w:proofErr w:type="spellStart"/>
      <w:r w:rsidRPr="004732C5">
        <w:rPr>
          <w:sz w:val="24"/>
          <w:szCs w:val="24"/>
        </w:rPr>
        <w:t>adjuvans</w:t>
      </w:r>
      <w:proofErr w:type="spellEnd"/>
      <w:r w:rsidRPr="004732C5">
        <w:rPr>
          <w:sz w:val="24"/>
          <w:szCs w:val="24"/>
        </w:rPr>
        <w:t>, se pkt. 2.</w:t>
      </w:r>
      <w:r>
        <w:rPr>
          <w:sz w:val="24"/>
          <w:szCs w:val="24"/>
        </w:rPr>
        <w:br/>
      </w:r>
    </w:p>
    <w:p w:rsidR="00E92990" w:rsidRPr="005134A8" w:rsidRDefault="00E92990" w:rsidP="00A55EFE">
      <w:pPr>
        <w:keepNext/>
        <w:numPr>
          <w:ilvl w:val="1"/>
          <w:numId w:val="5"/>
        </w:numPr>
        <w:ind w:left="856" w:hanging="856"/>
        <w:rPr>
          <w:b/>
          <w:sz w:val="24"/>
          <w:szCs w:val="24"/>
        </w:rPr>
      </w:pPr>
      <w:r w:rsidRPr="005134A8">
        <w:rPr>
          <w:b/>
          <w:sz w:val="24"/>
          <w:szCs w:val="24"/>
        </w:rPr>
        <w:lastRenderedPageBreak/>
        <w:t>Uforligeligheder</w:t>
      </w:r>
    </w:p>
    <w:p w:rsidR="00E92990" w:rsidRPr="000710B5" w:rsidRDefault="00E92990" w:rsidP="00E92990">
      <w:pPr>
        <w:suppressAutoHyphens/>
        <w:ind w:left="851"/>
        <w:rPr>
          <w:sz w:val="24"/>
          <w:szCs w:val="24"/>
        </w:rPr>
      </w:pPr>
      <w:r w:rsidRPr="000710B5">
        <w:rPr>
          <w:sz w:val="24"/>
          <w:szCs w:val="24"/>
        </w:rPr>
        <w:t>Da der ikke foreligger studier over eventuelle uforligeligheder, må dette lægemiddel ikke blandes med andre lægemidler.</w:t>
      </w:r>
    </w:p>
    <w:p w:rsidR="00E92990" w:rsidRPr="005134A8" w:rsidRDefault="00E92990" w:rsidP="00E92990">
      <w:pPr>
        <w:tabs>
          <w:tab w:val="left" w:pos="851"/>
        </w:tabs>
        <w:rPr>
          <w:sz w:val="24"/>
          <w:szCs w:val="24"/>
        </w:rPr>
      </w:pPr>
    </w:p>
    <w:p w:rsidR="00E92990" w:rsidRPr="005134A8" w:rsidRDefault="00E92990" w:rsidP="00E92990">
      <w:pPr>
        <w:numPr>
          <w:ilvl w:val="1"/>
          <w:numId w:val="5"/>
        </w:numPr>
        <w:rPr>
          <w:b/>
          <w:sz w:val="24"/>
          <w:szCs w:val="24"/>
        </w:rPr>
      </w:pPr>
      <w:r w:rsidRPr="005134A8">
        <w:rPr>
          <w:b/>
          <w:sz w:val="24"/>
          <w:szCs w:val="24"/>
        </w:rPr>
        <w:t>Opbevaringstid</w:t>
      </w:r>
    </w:p>
    <w:p w:rsidR="00E92990" w:rsidRPr="005134A8" w:rsidRDefault="00E92990" w:rsidP="00E92990">
      <w:pPr>
        <w:tabs>
          <w:tab w:val="left" w:pos="851"/>
        </w:tabs>
        <w:ind w:left="855"/>
        <w:rPr>
          <w:sz w:val="24"/>
          <w:szCs w:val="24"/>
        </w:rPr>
      </w:pPr>
      <w:r>
        <w:rPr>
          <w:sz w:val="24"/>
          <w:szCs w:val="24"/>
        </w:rPr>
        <w:t>3 år.</w:t>
      </w:r>
    </w:p>
    <w:p w:rsidR="00E92990" w:rsidRPr="005134A8" w:rsidRDefault="00E92990" w:rsidP="00E92990">
      <w:pPr>
        <w:tabs>
          <w:tab w:val="left" w:pos="851"/>
        </w:tabs>
        <w:rPr>
          <w:sz w:val="24"/>
          <w:szCs w:val="24"/>
        </w:rPr>
      </w:pPr>
    </w:p>
    <w:p w:rsidR="00E92990" w:rsidRPr="005134A8" w:rsidRDefault="00E92990" w:rsidP="00E92990">
      <w:pPr>
        <w:numPr>
          <w:ilvl w:val="1"/>
          <w:numId w:val="5"/>
        </w:numPr>
        <w:rPr>
          <w:b/>
          <w:sz w:val="24"/>
          <w:szCs w:val="24"/>
        </w:rPr>
      </w:pPr>
      <w:r w:rsidRPr="005134A8">
        <w:rPr>
          <w:b/>
          <w:sz w:val="24"/>
          <w:szCs w:val="24"/>
        </w:rPr>
        <w:t>Særlige opbevaringsforhold</w:t>
      </w:r>
    </w:p>
    <w:p w:rsidR="003F43EE" w:rsidRPr="00F35868" w:rsidRDefault="00E92990" w:rsidP="003F43EE">
      <w:pPr>
        <w:tabs>
          <w:tab w:val="left" w:pos="851"/>
        </w:tabs>
        <w:ind w:left="851" w:hanging="851"/>
        <w:rPr>
          <w:sz w:val="24"/>
          <w:szCs w:val="24"/>
        </w:rPr>
      </w:pPr>
      <w:r w:rsidRPr="005134A8">
        <w:rPr>
          <w:sz w:val="24"/>
          <w:szCs w:val="24"/>
        </w:rPr>
        <w:tab/>
      </w:r>
      <w:r w:rsidR="003F43EE" w:rsidRPr="00F35868">
        <w:rPr>
          <w:sz w:val="24"/>
          <w:szCs w:val="24"/>
        </w:rPr>
        <w:t>Opbevares i køleskab (2</w:t>
      </w:r>
      <w:r w:rsidR="003F43EE">
        <w:rPr>
          <w:sz w:val="24"/>
          <w:szCs w:val="24"/>
        </w:rPr>
        <w:t>-</w:t>
      </w:r>
      <w:r w:rsidR="003F43EE" w:rsidRPr="00F35868">
        <w:rPr>
          <w:sz w:val="24"/>
          <w:szCs w:val="24"/>
        </w:rPr>
        <w:t>8 ºC).</w:t>
      </w:r>
      <w:r w:rsidR="003F43EE" w:rsidRPr="00F35868">
        <w:rPr>
          <w:i/>
          <w:sz w:val="24"/>
          <w:szCs w:val="24"/>
        </w:rPr>
        <w:br/>
      </w:r>
    </w:p>
    <w:p w:rsidR="003F43EE" w:rsidRPr="00F35868" w:rsidRDefault="003F43EE" w:rsidP="003F43EE">
      <w:pPr>
        <w:tabs>
          <w:tab w:val="left" w:pos="851"/>
        </w:tabs>
        <w:ind w:left="851"/>
        <w:rPr>
          <w:b/>
          <w:sz w:val="24"/>
          <w:szCs w:val="24"/>
        </w:rPr>
      </w:pPr>
      <w:r w:rsidRPr="00F35868">
        <w:rPr>
          <w:sz w:val="24"/>
          <w:szCs w:val="24"/>
        </w:rPr>
        <w:t>Efter at være taget ud af køleskabet er vaccinen holdbar i 8 timer ved 21 ºC.</w:t>
      </w:r>
      <w:r>
        <w:rPr>
          <w:sz w:val="24"/>
          <w:szCs w:val="24"/>
        </w:rPr>
        <w:t xml:space="preserve"> </w:t>
      </w:r>
      <w:r w:rsidRPr="005E1ABF">
        <w:rPr>
          <w:sz w:val="24"/>
          <w:szCs w:val="24"/>
        </w:rPr>
        <w:t xml:space="preserve">Vaccinen skal kasseres hvis den ikke anvendes indenfor denne periode. Denne information er beregnet til at vejlede sundhedspersoner i tilfælde af </w:t>
      </w:r>
      <w:proofErr w:type="gramStart"/>
      <w:r w:rsidRPr="005E1ABF">
        <w:rPr>
          <w:sz w:val="24"/>
          <w:szCs w:val="24"/>
        </w:rPr>
        <w:t>midlertidig</w:t>
      </w:r>
      <w:proofErr w:type="gramEnd"/>
      <w:r w:rsidRPr="005E1ABF">
        <w:rPr>
          <w:sz w:val="24"/>
          <w:szCs w:val="24"/>
        </w:rPr>
        <w:t xml:space="preserve"> temperaturudsving.</w:t>
      </w:r>
    </w:p>
    <w:p w:rsidR="00E92990" w:rsidRPr="00F35868" w:rsidRDefault="00E92990" w:rsidP="003F43EE">
      <w:pPr>
        <w:tabs>
          <w:tab w:val="left" w:pos="851"/>
        </w:tabs>
        <w:ind w:left="851" w:hanging="851"/>
        <w:rPr>
          <w:b/>
          <w:sz w:val="24"/>
          <w:szCs w:val="24"/>
        </w:rPr>
      </w:pPr>
    </w:p>
    <w:p w:rsidR="00E92990" w:rsidRPr="00F35868" w:rsidRDefault="00E92990" w:rsidP="00E92990">
      <w:pPr>
        <w:tabs>
          <w:tab w:val="left" w:pos="851"/>
        </w:tabs>
        <w:ind w:left="851"/>
        <w:rPr>
          <w:b/>
          <w:sz w:val="24"/>
          <w:szCs w:val="24"/>
        </w:rPr>
      </w:pPr>
      <w:r w:rsidRPr="00F35868">
        <w:rPr>
          <w:b/>
          <w:sz w:val="24"/>
          <w:szCs w:val="24"/>
        </w:rPr>
        <w:t xml:space="preserve">Må ikke nedfryses. </w:t>
      </w:r>
    </w:p>
    <w:p w:rsidR="00E92990" w:rsidRPr="00F35868" w:rsidRDefault="00E92990" w:rsidP="00E92990">
      <w:pPr>
        <w:tabs>
          <w:tab w:val="left" w:pos="851"/>
        </w:tabs>
        <w:ind w:left="851"/>
        <w:rPr>
          <w:sz w:val="24"/>
          <w:szCs w:val="24"/>
        </w:rPr>
      </w:pPr>
      <w:r w:rsidRPr="00F35868">
        <w:rPr>
          <w:sz w:val="24"/>
          <w:szCs w:val="24"/>
        </w:rPr>
        <w:t>Opbevares i den originale yderpakning for at beskytte mod lys.</w:t>
      </w:r>
    </w:p>
    <w:p w:rsidR="00E92990" w:rsidRPr="005134A8" w:rsidRDefault="00E92990" w:rsidP="00E92990">
      <w:pPr>
        <w:rPr>
          <w:sz w:val="24"/>
          <w:szCs w:val="24"/>
        </w:rPr>
      </w:pPr>
    </w:p>
    <w:p w:rsidR="00E92990" w:rsidRPr="005134A8" w:rsidRDefault="00E92990" w:rsidP="00E92990">
      <w:pPr>
        <w:numPr>
          <w:ilvl w:val="1"/>
          <w:numId w:val="5"/>
        </w:numPr>
        <w:rPr>
          <w:b/>
          <w:sz w:val="24"/>
          <w:szCs w:val="24"/>
        </w:rPr>
      </w:pPr>
      <w:r w:rsidRPr="005134A8">
        <w:rPr>
          <w:b/>
          <w:sz w:val="24"/>
          <w:szCs w:val="24"/>
        </w:rPr>
        <w:t>Emballagetype og pakningsstørrelser</w:t>
      </w:r>
    </w:p>
    <w:p w:rsidR="00263756" w:rsidRPr="00263756" w:rsidRDefault="00263756" w:rsidP="00263756">
      <w:pPr>
        <w:suppressAutoHyphens/>
        <w:ind w:left="855"/>
        <w:rPr>
          <w:sz w:val="24"/>
          <w:szCs w:val="24"/>
        </w:rPr>
      </w:pPr>
      <w:r w:rsidRPr="00263756">
        <w:rPr>
          <w:sz w:val="24"/>
          <w:szCs w:val="24"/>
        </w:rPr>
        <w:t>0,5 ml suspension i en fyldt injektionssprøjte (type I glas) med en stempelprop (butylgummi) og en gummispidshætte.</w:t>
      </w:r>
    </w:p>
    <w:p w:rsidR="00263756" w:rsidRPr="00263756" w:rsidRDefault="00263756" w:rsidP="00263756">
      <w:pPr>
        <w:suppressAutoHyphens/>
        <w:ind w:left="855"/>
        <w:rPr>
          <w:sz w:val="24"/>
          <w:szCs w:val="24"/>
        </w:rPr>
      </w:pPr>
      <w:r w:rsidRPr="00263756">
        <w:rPr>
          <w:sz w:val="24"/>
          <w:szCs w:val="24"/>
        </w:rPr>
        <w:t>Pakninger med 1 og 10, med eller uden kanyle.</w:t>
      </w:r>
    </w:p>
    <w:p w:rsidR="008E706A" w:rsidRDefault="008E706A" w:rsidP="00263756">
      <w:pPr>
        <w:suppressAutoHyphens/>
        <w:ind w:left="855"/>
        <w:rPr>
          <w:sz w:val="24"/>
          <w:szCs w:val="24"/>
        </w:rPr>
      </w:pPr>
    </w:p>
    <w:p w:rsidR="00263756" w:rsidRPr="00263756" w:rsidRDefault="00263756" w:rsidP="00263756">
      <w:pPr>
        <w:suppressAutoHyphens/>
        <w:ind w:left="855"/>
        <w:rPr>
          <w:sz w:val="24"/>
          <w:szCs w:val="24"/>
        </w:rPr>
      </w:pPr>
      <w:r w:rsidRPr="00263756">
        <w:rPr>
          <w:sz w:val="24"/>
          <w:szCs w:val="24"/>
        </w:rPr>
        <w:t>Spidshætten og gummistempelproppen til den fyldte injektionssprøjte er fremstillet af syntetisk gummi.</w:t>
      </w:r>
    </w:p>
    <w:p w:rsidR="00263756" w:rsidRDefault="00263756" w:rsidP="003F43EE">
      <w:pPr>
        <w:suppressAutoHyphens/>
        <w:ind w:left="851"/>
        <w:rPr>
          <w:sz w:val="24"/>
          <w:szCs w:val="24"/>
        </w:rPr>
      </w:pPr>
    </w:p>
    <w:p w:rsidR="003F43EE" w:rsidRPr="003F43EE" w:rsidRDefault="003F43EE" w:rsidP="003F43EE">
      <w:pPr>
        <w:suppressAutoHyphens/>
        <w:ind w:left="851"/>
        <w:rPr>
          <w:sz w:val="24"/>
          <w:szCs w:val="24"/>
        </w:rPr>
      </w:pPr>
      <w:r w:rsidRPr="003F43EE">
        <w:rPr>
          <w:sz w:val="24"/>
          <w:szCs w:val="24"/>
        </w:rPr>
        <w:t>Ikke alle pakningsstørrelser er nødvendigvis markedsført.</w:t>
      </w:r>
    </w:p>
    <w:p w:rsidR="00E92990" w:rsidRPr="005134A8" w:rsidRDefault="00E92990" w:rsidP="00E92990">
      <w:pPr>
        <w:tabs>
          <w:tab w:val="left" w:pos="851"/>
        </w:tabs>
        <w:rPr>
          <w:sz w:val="24"/>
          <w:szCs w:val="24"/>
        </w:rPr>
      </w:pPr>
    </w:p>
    <w:p w:rsidR="00E92990" w:rsidRPr="005134A8" w:rsidRDefault="00E92990" w:rsidP="003F43EE">
      <w:pPr>
        <w:keepNext/>
        <w:numPr>
          <w:ilvl w:val="1"/>
          <w:numId w:val="5"/>
        </w:numPr>
        <w:rPr>
          <w:b/>
          <w:sz w:val="24"/>
          <w:szCs w:val="24"/>
        </w:rPr>
      </w:pPr>
      <w:r w:rsidRPr="005134A8">
        <w:rPr>
          <w:b/>
          <w:sz w:val="24"/>
          <w:szCs w:val="24"/>
        </w:rPr>
        <w:t xml:space="preserve">Regler for </w:t>
      </w:r>
      <w:r w:rsidR="00B10EA7">
        <w:rPr>
          <w:b/>
          <w:sz w:val="24"/>
          <w:szCs w:val="24"/>
        </w:rPr>
        <w:t>bortskaffelse</w:t>
      </w:r>
      <w:r w:rsidRPr="005134A8">
        <w:rPr>
          <w:b/>
          <w:sz w:val="24"/>
          <w:szCs w:val="24"/>
        </w:rPr>
        <w:t xml:space="preserve"> og anden håndtering</w:t>
      </w:r>
    </w:p>
    <w:p w:rsidR="003F43EE" w:rsidRPr="003F43EE" w:rsidRDefault="003F43EE" w:rsidP="003F43EE">
      <w:pPr>
        <w:ind w:left="851"/>
        <w:rPr>
          <w:sz w:val="24"/>
          <w:szCs w:val="24"/>
        </w:rPr>
      </w:pPr>
      <w:r w:rsidRPr="003F43EE">
        <w:rPr>
          <w:sz w:val="24"/>
          <w:szCs w:val="24"/>
        </w:rPr>
        <w:t>Før brug skal vaccinen have stuetemperatur og omrystes omhyggeligt for at opnå en homogen, uklar, hvid suspension. Før administration skal en visuel inspektion foretages med henblik på fremmede partikler og/eller variationer i det fysiske udseende. I tilfælde af sådanne observationer må vaccinen ikke administreres.</w:t>
      </w:r>
    </w:p>
    <w:p w:rsidR="00E92990" w:rsidRPr="000710B5" w:rsidRDefault="00E92990" w:rsidP="00E92990">
      <w:pPr>
        <w:ind w:left="851"/>
        <w:rPr>
          <w:sz w:val="24"/>
          <w:szCs w:val="24"/>
        </w:rPr>
      </w:pPr>
    </w:p>
    <w:p w:rsidR="008E706A" w:rsidRDefault="008E706A" w:rsidP="008E706A">
      <w:pPr>
        <w:widowControl w:val="0"/>
        <w:ind w:firstLine="851"/>
        <w:rPr>
          <w:noProof/>
          <w:snapToGrid w:val="0"/>
          <w:sz w:val="24"/>
          <w:szCs w:val="24"/>
          <w:u w:val="single"/>
        </w:rPr>
      </w:pPr>
      <w:r>
        <w:rPr>
          <w:noProof/>
          <w:snapToGrid w:val="0"/>
          <w:sz w:val="24"/>
          <w:szCs w:val="24"/>
          <w:u w:val="single"/>
        </w:rPr>
        <w:t>Instruktioner til den fyldte injektionssprøjte</w:t>
      </w:r>
    </w:p>
    <w:p w:rsidR="008E706A" w:rsidRDefault="008E706A" w:rsidP="008E706A">
      <w:pPr>
        <w:widowControl w:val="0"/>
        <w:rPr>
          <w:noProof/>
          <w:snapToGrid w:val="0"/>
          <w:sz w:val="24"/>
          <w:szCs w:val="24"/>
        </w:rPr>
      </w:pPr>
    </w:p>
    <w:tbl>
      <w:tblPr>
        <w:tblW w:w="0" w:type="auto"/>
        <w:tblLook w:val="04A0" w:firstRow="1" w:lastRow="0" w:firstColumn="1" w:lastColumn="0" w:noHBand="0" w:noVBand="1"/>
      </w:tblPr>
      <w:tblGrid>
        <w:gridCol w:w="4531"/>
        <w:gridCol w:w="4531"/>
      </w:tblGrid>
      <w:tr w:rsidR="008E706A" w:rsidTr="008E706A">
        <w:tc>
          <w:tcPr>
            <w:tcW w:w="4531" w:type="dxa"/>
            <w:vAlign w:val="center"/>
            <w:hideMark/>
          </w:tcPr>
          <w:p w:rsidR="008E706A" w:rsidRDefault="008E706A">
            <w:pPr>
              <w:jc w:val="center"/>
              <w:rPr>
                <w:snapToGrid w:val="0"/>
                <w:sz w:val="24"/>
                <w:szCs w:val="24"/>
                <w:lang w:eastAsia="it-IT"/>
              </w:rPr>
            </w:pPr>
            <w:r>
              <w:rPr>
                <w:noProof/>
              </w:rPr>
              <mc:AlternateContent>
                <mc:Choice Requires="wps">
                  <w:drawing>
                    <wp:anchor distT="0" distB="0" distL="0" distR="0" simplePos="0" relativeHeight="251659264" behindDoc="0" locked="0" layoutInCell="1" allowOverlap="0">
                      <wp:simplePos x="0" y="0"/>
                      <wp:positionH relativeFrom="column">
                        <wp:posOffset>339725</wp:posOffset>
                      </wp:positionH>
                      <wp:positionV relativeFrom="paragraph">
                        <wp:posOffset>906145</wp:posOffset>
                      </wp:positionV>
                      <wp:extent cx="793750" cy="266700"/>
                      <wp:effectExtent l="0" t="0" r="0" b="0"/>
                      <wp:wrapNone/>
                      <wp:docPr id="21" name="Tekstfel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266700"/>
                              </a:xfrm>
                              <a:prstGeom prst="rect">
                                <a:avLst/>
                              </a:prstGeom>
                              <a:noFill/>
                              <a:ln w="6350">
                                <a:noFill/>
                              </a:ln>
                            </wps:spPr>
                            <wps:txbx>
                              <w:txbxContent>
                                <w:p w:rsidR="008E706A" w:rsidRDefault="008E706A" w:rsidP="008E706A">
                                  <w:pPr>
                                    <w:rPr>
                                      <w:snapToGrid w:val="0"/>
                                      <w:sz w:val="22"/>
                                      <w:szCs w:val="28"/>
                                      <w:lang w:eastAsia="it-IT"/>
                                    </w:rPr>
                                  </w:pPr>
                                  <w:r>
                                    <w:rPr>
                                      <w:snapToGrid w:val="0"/>
                                      <w:sz w:val="22"/>
                                      <w:szCs w:val="28"/>
                                      <w:lang w:eastAsia="it-IT"/>
                                    </w:rPr>
                                    <w:t>Stempel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1" o:spid="_x0000_s1026" type="#_x0000_t202" style="position:absolute;left:0;text-align:left;margin-left:26.75pt;margin-top:71.35pt;width:62.5pt;height:21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" o:allowoverlap="f" filled="f" stroked="f" strokeweight=".5pt">
                      <v:textbox>
                        <w:txbxContent>
                          <w:p w:rsidR="008E706A" w:rsidRDefault="008E706A" w:rsidP="008E706A">
                            <w:pPr>
                              <w:rPr>
                                <w:snapToGrid w:val="0"/>
                                <w:sz w:val="22"/>
                                <w:szCs w:val="28"/>
                                <w:lang w:eastAsia="it-IT"/>
                              </w:rPr>
                            </w:pPr>
                            <w:r>
                              <w:rPr>
                                <w:snapToGrid w:val="0"/>
                                <w:sz w:val="22"/>
                                <w:szCs w:val="28"/>
                                <w:lang w:eastAsia="it-IT"/>
                              </w:rPr>
                              <w:t>Stempel</w:t>
                            </w:r>
                          </w:p>
                        </w:txbxContent>
                      </v:textbox>
                    </v:shape>
                  </w:pict>
                </mc:Fallback>
              </mc:AlternateContent>
            </w:r>
            <w:r>
              <w:rPr>
                <w:noProof/>
              </w:rPr>
              <mc:AlternateContent>
                <mc:Choice Requires="wps">
                  <w:drawing>
                    <wp:anchor distT="0" distB="0" distL="0" distR="0" simplePos="0" relativeHeight="251660288" behindDoc="0" locked="0" layoutInCell="1" allowOverlap="0">
                      <wp:simplePos x="0" y="0"/>
                      <wp:positionH relativeFrom="column">
                        <wp:posOffset>1829435</wp:posOffset>
                      </wp:positionH>
                      <wp:positionV relativeFrom="paragraph">
                        <wp:posOffset>1268095</wp:posOffset>
                      </wp:positionV>
                      <wp:extent cx="548640" cy="262255"/>
                      <wp:effectExtent l="0" t="0" r="0" b="4445"/>
                      <wp:wrapNone/>
                      <wp:docPr id="20"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 cy="262255"/>
                              </a:xfrm>
                              <a:prstGeom prst="rect">
                                <a:avLst/>
                              </a:prstGeom>
                              <a:noFill/>
                              <a:ln w="6350">
                                <a:noFill/>
                              </a:ln>
                            </wps:spPr>
                            <wps:txbx>
                              <w:txbxContent>
                                <w:p w:rsidR="008E706A" w:rsidRDefault="008E706A" w:rsidP="008E706A">
                                  <w:pPr>
                                    <w:rPr>
                                      <w:snapToGrid w:val="0"/>
                                      <w:sz w:val="22"/>
                                      <w:szCs w:val="28"/>
                                      <w:lang w:eastAsia="it-IT"/>
                                    </w:rPr>
                                  </w:pPr>
                                  <w:r>
                                    <w:rPr>
                                      <w:snapToGrid w:val="0"/>
                                      <w:sz w:val="22"/>
                                      <w:szCs w:val="28"/>
                                      <w:lang w:eastAsia="it-IT"/>
                                    </w:rPr>
                                    <w:t>Hætte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20" o:spid="_x0000_s1027" type="#_x0000_t202" style="position:absolute;left:0;text-align:left;margin-left:144.05pt;margin-top:99.85pt;width:43.2pt;height:20.6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" o:allowoverlap="f" filled="f" stroked="f" strokeweight=".5pt">
                      <v:textbox>
                        <w:txbxContent>
                          <w:p w:rsidR="008E706A" w:rsidRDefault="008E706A" w:rsidP="008E706A">
                            <w:pPr>
                              <w:rPr>
                                <w:snapToGrid w:val="0"/>
                                <w:sz w:val="22"/>
                                <w:szCs w:val="28"/>
                                <w:lang w:eastAsia="it-IT"/>
                              </w:rPr>
                            </w:pPr>
                            <w:r>
                              <w:rPr>
                                <w:snapToGrid w:val="0"/>
                                <w:sz w:val="22"/>
                                <w:szCs w:val="28"/>
                                <w:lang w:eastAsia="it-IT"/>
                              </w:rPr>
                              <w:t>Hætte</w:t>
                            </w:r>
                          </w:p>
                        </w:txbxContent>
                      </v:textbox>
                    </v:shape>
                  </w:pict>
                </mc:Fallback>
              </mc:AlternateContent>
            </w:r>
            <w:r>
              <w:rPr>
                <w:noProof/>
              </w:rPr>
              <mc:AlternateContent>
                <mc:Choice Requires="wps">
                  <w:drawing>
                    <wp:anchor distT="0" distB="0" distL="0" distR="0" simplePos="0" relativeHeight="251661312" behindDoc="0" locked="0" layoutInCell="1" allowOverlap="0">
                      <wp:simplePos x="0" y="0"/>
                      <wp:positionH relativeFrom="column">
                        <wp:posOffset>1074420</wp:posOffset>
                      </wp:positionH>
                      <wp:positionV relativeFrom="paragraph">
                        <wp:posOffset>1108710</wp:posOffset>
                      </wp:positionV>
                      <wp:extent cx="755015" cy="262255"/>
                      <wp:effectExtent l="0" t="0" r="0" b="4445"/>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262255"/>
                              </a:xfrm>
                              <a:prstGeom prst="rect">
                                <a:avLst/>
                              </a:prstGeom>
                              <a:noFill/>
                              <a:ln w="6350">
                                <a:noFill/>
                              </a:ln>
                            </wps:spPr>
                            <wps:txbx>
                              <w:txbxContent>
                                <w:p w:rsidR="008E706A" w:rsidRDefault="008E706A" w:rsidP="008E706A">
                                  <w:pPr>
                                    <w:rPr>
                                      <w:snapToGrid w:val="0"/>
                                      <w:sz w:val="22"/>
                                      <w:szCs w:val="28"/>
                                      <w:lang w:eastAsia="it-IT"/>
                                    </w:rPr>
                                  </w:pPr>
                                  <w:r>
                                    <w:rPr>
                                      <w:snapToGrid w:val="0"/>
                                      <w:sz w:val="22"/>
                                      <w:szCs w:val="28"/>
                                      <w:lang w:eastAsia="it-IT"/>
                                    </w:rPr>
                                    <w:t>Cylinder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9" o:spid="_x0000_s1028" type="#_x0000_t202" style="position:absolute;left:0;text-align:left;margin-left:84.6pt;margin-top:87.3pt;width:59.45pt;height:20.6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" o:allowoverlap="f" filled="f" stroked="f" strokeweight=".5pt">
                      <v:textbox>
                        <w:txbxContent>
                          <w:p w:rsidR="008E706A" w:rsidRDefault="008E706A" w:rsidP="008E706A">
                            <w:pPr>
                              <w:rPr>
                                <w:snapToGrid w:val="0"/>
                                <w:sz w:val="22"/>
                                <w:szCs w:val="28"/>
                                <w:lang w:eastAsia="it-IT"/>
                              </w:rPr>
                            </w:pPr>
                            <w:r>
                              <w:rPr>
                                <w:snapToGrid w:val="0"/>
                                <w:sz w:val="22"/>
                                <w:szCs w:val="28"/>
                                <w:lang w:eastAsia="it-IT"/>
                              </w:rPr>
                              <w:t>Cylinder</w:t>
                            </w:r>
                          </w:p>
                        </w:txbxContent>
                      </v:textbox>
                    </v:shape>
                  </w:pict>
                </mc:Fallback>
              </mc:AlternateContent>
            </w:r>
            <w:r>
              <w:rPr>
                <w:noProof/>
              </w:rPr>
              <mc:AlternateContent>
                <mc:Choice Requires="wps">
                  <w:drawing>
                    <wp:anchor distT="0" distB="0" distL="0" distR="0" simplePos="0" relativeHeight="251662336" behindDoc="0" locked="0" layoutInCell="1" allowOverlap="0">
                      <wp:simplePos x="0" y="0"/>
                      <wp:positionH relativeFrom="column">
                        <wp:posOffset>1130300</wp:posOffset>
                      </wp:positionH>
                      <wp:positionV relativeFrom="paragraph">
                        <wp:posOffset>307975</wp:posOffset>
                      </wp:positionV>
                      <wp:extent cx="1476375" cy="271780"/>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271780"/>
                              </a:xfrm>
                              <a:prstGeom prst="rect">
                                <a:avLst/>
                              </a:prstGeom>
                              <a:noFill/>
                              <a:ln w="6350">
                                <a:noFill/>
                              </a:ln>
                            </wps:spPr>
                            <wps:txbx>
                              <w:txbxContent>
                                <w:p w:rsidR="008E706A" w:rsidRDefault="008E706A" w:rsidP="008E706A">
                                  <w:pPr>
                                    <w:rPr>
                                      <w:sz w:val="22"/>
                                      <w:szCs w:val="28"/>
                                    </w:rPr>
                                  </w:pPr>
                                  <w:r>
                                    <w:rPr>
                                      <w:sz w:val="22"/>
                                      <w:szCs w:val="28"/>
                                    </w:rPr>
                                    <w:t>Luer Lock Adapter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8" o:spid="_x0000_s1029" type="#_x0000_t202" style="position:absolute;left:0;text-align:left;margin-left:89pt;margin-top:24.25pt;width:116.25pt;height:21.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" o:allowoverlap="f" filled="f" stroked="f" strokeweight=".5pt">
                      <v:textbox>
                        <w:txbxContent>
                          <w:p w:rsidR="008E706A" w:rsidRDefault="008E706A" w:rsidP="008E706A">
                            <w:pPr>
                              <w:rPr>
                                <w:sz w:val="22"/>
                                <w:szCs w:val="28"/>
                              </w:rPr>
                            </w:pPr>
                            <w:r>
                              <w:rPr>
                                <w:sz w:val="22"/>
                                <w:szCs w:val="28"/>
                              </w:rPr>
                              <w:t>Luer Lock Adapter</w:t>
                            </w:r>
                          </w:p>
                        </w:txbxContent>
                      </v:textbox>
                    </v:shape>
                  </w:pict>
                </mc:Fallback>
              </mc:AlternateContent>
            </w:r>
            <w:r>
              <w:rPr>
                <w:noProof/>
                <w:sz w:val="24"/>
                <w:szCs w:val="24"/>
              </w:rPr>
              <w:drawing>
                <wp:inline distT="0" distB="0" distL="0" distR="0">
                  <wp:extent cx="1752600" cy="1762125"/>
                  <wp:effectExtent l="0" t="0" r="0" b="9525"/>
                  <wp:docPr id="3" name="Billede 3" descr="A picture containing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ntenna&#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762125"/>
                          </a:xfrm>
                          <a:prstGeom prst="rect">
                            <a:avLst/>
                          </a:prstGeom>
                          <a:noFill/>
                          <a:ln>
                            <a:noFill/>
                          </a:ln>
                        </pic:spPr>
                      </pic:pic>
                    </a:graphicData>
                  </a:graphic>
                </wp:inline>
              </w:drawing>
            </w:r>
          </w:p>
        </w:tc>
        <w:tc>
          <w:tcPr>
            <w:tcW w:w="4531" w:type="dxa"/>
            <w:vAlign w:val="center"/>
            <w:hideMark/>
          </w:tcPr>
          <w:p w:rsidR="008E706A" w:rsidRDefault="008E706A">
            <w:pPr>
              <w:spacing w:after="120"/>
              <w:rPr>
                <w:sz w:val="24"/>
                <w:szCs w:val="24"/>
              </w:rPr>
            </w:pPr>
            <w:r>
              <w:rPr>
                <w:sz w:val="24"/>
                <w:szCs w:val="24"/>
              </w:rPr>
              <w:t>Hold på sprøjtens cylinder, ikke på stemplet.</w:t>
            </w:r>
          </w:p>
          <w:p w:rsidR="008E706A" w:rsidRDefault="008E706A">
            <w:pPr>
              <w:rPr>
                <w:snapToGrid w:val="0"/>
                <w:sz w:val="24"/>
                <w:szCs w:val="24"/>
                <w:lang w:eastAsia="it-IT"/>
              </w:rPr>
            </w:pPr>
            <w:r>
              <w:rPr>
                <w:sz w:val="24"/>
                <w:szCs w:val="24"/>
              </w:rPr>
              <w:t>Skru sprøjtens hætte af ved at dreje den imod uret.</w:t>
            </w:r>
          </w:p>
        </w:tc>
      </w:tr>
      <w:tr w:rsidR="008E706A" w:rsidTr="008E706A">
        <w:trPr>
          <w:trHeight w:val="3103"/>
        </w:trPr>
        <w:tc>
          <w:tcPr>
            <w:tcW w:w="4531" w:type="dxa"/>
            <w:vAlign w:val="center"/>
            <w:hideMark/>
          </w:tcPr>
          <w:p w:rsidR="008E706A" w:rsidRDefault="008E706A">
            <w:pPr>
              <w:jc w:val="center"/>
              <w:rPr>
                <w:snapToGrid w:val="0"/>
                <w:sz w:val="24"/>
                <w:szCs w:val="24"/>
                <w:lang w:eastAsia="it-IT"/>
              </w:rPr>
            </w:pPr>
            <w:r>
              <w:rPr>
                <w:noProof/>
              </w:rPr>
              <w:lastRenderedPageBreak/>
              <mc:AlternateContent>
                <mc:Choice Requires="wps">
                  <w:drawing>
                    <wp:anchor distT="0" distB="0" distL="0" distR="0" simplePos="0" relativeHeight="251663360" behindDoc="0" locked="0" layoutInCell="1" allowOverlap="0">
                      <wp:simplePos x="0" y="0"/>
                      <wp:positionH relativeFrom="column">
                        <wp:posOffset>1206500</wp:posOffset>
                      </wp:positionH>
                      <wp:positionV relativeFrom="paragraph">
                        <wp:posOffset>288290</wp:posOffset>
                      </wp:positionV>
                      <wp:extent cx="942975" cy="271780"/>
                      <wp:effectExtent l="0" t="0" r="0" b="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2975" cy="271780"/>
                              </a:xfrm>
                              <a:prstGeom prst="rect">
                                <a:avLst/>
                              </a:prstGeom>
                              <a:noFill/>
                              <a:ln w="6350">
                                <a:noFill/>
                              </a:ln>
                            </wps:spPr>
                            <wps:txbx>
                              <w:txbxContent>
                                <w:p w:rsidR="008E706A" w:rsidRDefault="008E706A" w:rsidP="008E706A">
                                  <w:pPr>
                                    <w:rPr>
                                      <w:sz w:val="22"/>
                                      <w:szCs w:val="28"/>
                                    </w:rPr>
                                  </w:pPr>
                                  <w:r>
                                    <w:rPr>
                                      <w:sz w:val="22"/>
                                      <w:szCs w:val="28"/>
                                    </w:rPr>
                                    <w:t>Nålebase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felt 17" o:spid="_x0000_s1030" type="#_x0000_t202" style="position:absolute;left:0;text-align:left;margin-left:95pt;margin-top:22.7pt;width:74.25pt;height:21.4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" o:allowoverlap="f" filled="f" stroked="f" strokeweight=".5pt">
                      <v:textbox>
                        <w:txbxContent>
                          <w:p w:rsidR="008E706A" w:rsidRDefault="008E706A" w:rsidP="008E706A">
                            <w:pPr>
                              <w:rPr>
                                <w:sz w:val="22"/>
                                <w:szCs w:val="28"/>
                              </w:rPr>
                            </w:pPr>
                            <w:r>
                              <w:rPr>
                                <w:sz w:val="22"/>
                                <w:szCs w:val="28"/>
                              </w:rPr>
                              <w:t>Nålebase</w:t>
                            </w:r>
                          </w:p>
                        </w:txbxContent>
                      </v:textbox>
                    </v:shape>
                  </w:pict>
                </mc:Fallback>
              </mc:AlternateContent>
            </w:r>
            <w:r>
              <w:rPr>
                <w:noProof/>
                <w:sz w:val="24"/>
                <w:szCs w:val="24"/>
              </w:rPr>
              <w:drawing>
                <wp:inline distT="0" distB="0" distL="0" distR="0">
                  <wp:extent cx="1828800" cy="1847850"/>
                  <wp:effectExtent l="0" t="0" r="0" b="0"/>
                  <wp:docPr id="1" name="Billed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47850"/>
                          </a:xfrm>
                          <a:prstGeom prst="rect">
                            <a:avLst/>
                          </a:prstGeom>
                          <a:noFill/>
                          <a:ln>
                            <a:noFill/>
                          </a:ln>
                        </pic:spPr>
                      </pic:pic>
                    </a:graphicData>
                  </a:graphic>
                </wp:inline>
              </w:drawing>
            </w:r>
          </w:p>
        </w:tc>
        <w:tc>
          <w:tcPr>
            <w:tcW w:w="4531" w:type="dxa"/>
            <w:vAlign w:val="center"/>
            <w:hideMark/>
          </w:tcPr>
          <w:p w:rsidR="008E706A" w:rsidRDefault="008E706A">
            <w:pPr>
              <w:spacing w:after="120"/>
              <w:rPr>
                <w:sz w:val="24"/>
                <w:szCs w:val="24"/>
              </w:rPr>
            </w:pPr>
            <w:r>
              <w:rPr>
                <w:sz w:val="24"/>
                <w:szCs w:val="24"/>
              </w:rPr>
              <w:t>Fastgør kanylen ved at forbinde nålebasen med Luer Lock Adapteren og dreje en kvart omgang med uret, indtil du mærker, at den låser.</w:t>
            </w:r>
          </w:p>
          <w:p w:rsidR="008E706A" w:rsidRDefault="008E706A">
            <w:pPr>
              <w:rPr>
                <w:snapToGrid w:val="0"/>
                <w:sz w:val="24"/>
                <w:szCs w:val="24"/>
                <w:lang w:eastAsia="it-IT"/>
              </w:rPr>
            </w:pPr>
            <w:r>
              <w:rPr>
                <w:sz w:val="24"/>
                <w:szCs w:val="24"/>
              </w:rPr>
              <w:t>Træk ikke stemplet ud af cylinderen. Hvis dette sker, må vaccinen ikke administreres.</w:t>
            </w:r>
          </w:p>
        </w:tc>
      </w:tr>
    </w:tbl>
    <w:p w:rsidR="008E706A" w:rsidRDefault="008E706A" w:rsidP="008E706A">
      <w:pPr>
        <w:widowControl w:val="0"/>
        <w:rPr>
          <w:noProof/>
          <w:snapToGrid w:val="0"/>
          <w:szCs w:val="24"/>
        </w:rPr>
      </w:pPr>
    </w:p>
    <w:p w:rsidR="008E706A" w:rsidRDefault="008E706A" w:rsidP="008E706A">
      <w:pPr>
        <w:pStyle w:val="Brdtekstindrykning2"/>
        <w:jc w:val="both"/>
        <w:rPr>
          <w:szCs w:val="24"/>
          <w:u w:val="single"/>
        </w:rPr>
      </w:pPr>
      <w:r>
        <w:rPr>
          <w:szCs w:val="24"/>
          <w:u w:val="single"/>
        </w:rPr>
        <w:t>Bortskaffelse</w:t>
      </w:r>
    </w:p>
    <w:p w:rsidR="00E92990" w:rsidRPr="000710B5" w:rsidRDefault="00E92990" w:rsidP="00E92990">
      <w:pPr>
        <w:ind w:left="851"/>
        <w:rPr>
          <w:sz w:val="24"/>
          <w:szCs w:val="24"/>
        </w:rPr>
      </w:pPr>
      <w:r w:rsidRPr="000710B5">
        <w:rPr>
          <w:sz w:val="24"/>
          <w:szCs w:val="24"/>
        </w:rPr>
        <w:t>Ikke anvendt</w:t>
      </w:r>
      <w:r>
        <w:rPr>
          <w:sz w:val="24"/>
          <w:szCs w:val="24"/>
        </w:rPr>
        <w:t xml:space="preserve"> lægemiddel</w:t>
      </w:r>
      <w:r w:rsidRPr="000710B5">
        <w:rPr>
          <w:sz w:val="24"/>
          <w:szCs w:val="24"/>
        </w:rPr>
        <w:t xml:space="preserve"> samt affald heraf skal bortskaffes i henhold til lokale retningslinjer. </w:t>
      </w:r>
    </w:p>
    <w:p w:rsidR="00E92990" w:rsidRPr="005134A8" w:rsidRDefault="00E92990" w:rsidP="00F14E27">
      <w:pPr>
        <w:tabs>
          <w:tab w:val="left" w:pos="851"/>
        </w:tabs>
        <w:jc w:val="both"/>
        <w:rPr>
          <w:sz w:val="24"/>
          <w:szCs w:val="24"/>
        </w:rPr>
      </w:pPr>
    </w:p>
    <w:p w:rsidR="00E92990" w:rsidRPr="005134A8" w:rsidRDefault="00E92990" w:rsidP="00F34FD7">
      <w:pPr>
        <w:keepNext/>
        <w:tabs>
          <w:tab w:val="left" w:pos="851"/>
        </w:tabs>
        <w:rPr>
          <w:b/>
          <w:sz w:val="24"/>
          <w:szCs w:val="24"/>
        </w:rPr>
      </w:pPr>
      <w:r w:rsidRPr="005134A8">
        <w:rPr>
          <w:b/>
          <w:sz w:val="24"/>
          <w:szCs w:val="24"/>
        </w:rPr>
        <w:t>7.</w:t>
      </w:r>
      <w:r w:rsidRPr="005134A8">
        <w:rPr>
          <w:b/>
          <w:sz w:val="24"/>
          <w:szCs w:val="24"/>
        </w:rPr>
        <w:tab/>
        <w:t>INDEHAVER AF MARKEDSFØRINGSTILLADELSEN</w:t>
      </w:r>
    </w:p>
    <w:p w:rsidR="00E92990" w:rsidRPr="008E00E6" w:rsidRDefault="00E92990" w:rsidP="00F34FD7">
      <w:pPr>
        <w:keepNext/>
        <w:ind w:left="851"/>
        <w:rPr>
          <w:spacing w:val="-3"/>
          <w:sz w:val="24"/>
          <w:szCs w:val="24"/>
        </w:rPr>
      </w:pPr>
      <w:r w:rsidRPr="008E00E6">
        <w:rPr>
          <w:spacing w:val="-3"/>
          <w:sz w:val="24"/>
          <w:szCs w:val="24"/>
        </w:rPr>
        <w:t>GlaxoSmithKline Pharma A/S</w:t>
      </w:r>
    </w:p>
    <w:p w:rsidR="00096BAD" w:rsidRPr="00096BAD" w:rsidRDefault="00096BAD" w:rsidP="00096BAD">
      <w:pPr>
        <w:tabs>
          <w:tab w:val="left" w:pos="0"/>
          <w:tab w:val="left" w:pos="851"/>
        </w:tabs>
        <w:jc w:val="both"/>
        <w:rPr>
          <w:spacing w:val="-3"/>
          <w:sz w:val="24"/>
          <w:szCs w:val="24"/>
        </w:rPr>
      </w:pPr>
      <w:r>
        <w:rPr>
          <w:spacing w:val="-3"/>
        </w:rPr>
        <w:tab/>
      </w:r>
      <w:r w:rsidRPr="00096BAD">
        <w:rPr>
          <w:spacing w:val="-3"/>
          <w:sz w:val="24"/>
          <w:szCs w:val="24"/>
        </w:rPr>
        <w:t>Delta Park 37</w:t>
      </w:r>
    </w:p>
    <w:p w:rsidR="00096BAD" w:rsidRPr="00096BAD" w:rsidRDefault="00096BAD" w:rsidP="00096BAD">
      <w:pPr>
        <w:tabs>
          <w:tab w:val="left" w:pos="0"/>
          <w:tab w:val="left" w:pos="851"/>
        </w:tabs>
        <w:jc w:val="both"/>
        <w:rPr>
          <w:spacing w:val="-3"/>
          <w:sz w:val="24"/>
          <w:szCs w:val="24"/>
        </w:rPr>
      </w:pPr>
      <w:r w:rsidRPr="00096BAD">
        <w:rPr>
          <w:spacing w:val="-3"/>
          <w:sz w:val="24"/>
          <w:szCs w:val="24"/>
        </w:rPr>
        <w:tab/>
        <w:t>2665 Vallensbæk Strand</w:t>
      </w:r>
    </w:p>
    <w:p w:rsidR="00E92990" w:rsidRPr="005134A8" w:rsidRDefault="00E92990" w:rsidP="00E92990">
      <w:pPr>
        <w:tabs>
          <w:tab w:val="left" w:pos="851"/>
        </w:tabs>
        <w:ind w:left="851"/>
        <w:rPr>
          <w:sz w:val="24"/>
          <w:szCs w:val="24"/>
        </w:rPr>
      </w:pPr>
    </w:p>
    <w:p w:rsidR="00E92990" w:rsidRPr="005134A8" w:rsidRDefault="00E92990" w:rsidP="00E92990">
      <w:pPr>
        <w:keepNext/>
        <w:tabs>
          <w:tab w:val="left" w:pos="851"/>
        </w:tabs>
        <w:rPr>
          <w:b/>
          <w:sz w:val="24"/>
          <w:szCs w:val="24"/>
        </w:rPr>
      </w:pPr>
      <w:r w:rsidRPr="005134A8">
        <w:rPr>
          <w:b/>
          <w:sz w:val="24"/>
          <w:szCs w:val="24"/>
        </w:rPr>
        <w:t>8.</w:t>
      </w:r>
      <w:r w:rsidRPr="005134A8">
        <w:rPr>
          <w:b/>
          <w:sz w:val="24"/>
          <w:szCs w:val="24"/>
        </w:rPr>
        <w:tab/>
        <w:t>MARKEDSFØRINGSTILLADELSESNUMMER (</w:t>
      </w:r>
      <w:r w:rsidR="00B10EA7">
        <w:rPr>
          <w:b/>
          <w:sz w:val="24"/>
          <w:szCs w:val="24"/>
        </w:rPr>
        <w:t>-</w:t>
      </w:r>
      <w:r w:rsidRPr="005134A8">
        <w:rPr>
          <w:b/>
          <w:sz w:val="24"/>
          <w:szCs w:val="24"/>
        </w:rPr>
        <w:t>NUMRE)</w:t>
      </w:r>
    </w:p>
    <w:p w:rsidR="00E92990" w:rsidRPr="005134A8" w:rsidRDefault="00E92990" w:rsidP="00E92990">
      <w:pPr>
        <w:tabs>
          <w:tab w:val="left" w:pos="851"/>
        </w:tabs>
        <w:ind w:left="851" w:hanging="851"/>
        <w:rPr>
          <w:sz w:val="24"/>
          <w:szCs w:val="24"/>
        </w:rPr>
      </w:pPr>
      <w:r w:rsidRPr="005134A8">
        <w:rPr>
          <w:sz w:val="24"/>
          <w:szCs w:val="24"/>
        </w:rPr>
        <w:tab/>
      </w:r>
      <w:r>
        <w:rPr>
          <w:sz w:val="24"/>
          <w:szCs w:val="24"/>
        </w:rPr>
        <w:t>49761</w:t>
      </w:r>
    </w:p>
    <w:p w:rsidR="00E92990" w:rsidRPr="005134A8" w:rsidRDefault="00E92990" w:rsidP="00E92990">
      <w:pPr>
        <w:tabs>
          <w:tab w:val="left" w:pos="851"/>
        </w:tabs>
        <w:jc w:val="both"/>
        <w:rPr>
          <w:sz w:val="24"/>
          <w:szCs w:val="24"/>
        </w:rPr>
      </w:pPr>
    </w:p>
    <w:p w:rsidR="00E92990" w:rsidRPr="005134A8" w:rsidRDefault="00E92990" w:rsidP="00F14E27">
      <w:pPr>
        <w:keepNext/>
        <w:tabs>
          <w:tab w:val="left" w:pos="851"/>
        </w:tabs>
        <w:rPr>
          <w:b/>
          <w:sz w:val="24"/>
          <w:szCs w:val="24"/>
        </w:rPr>
      </w:pPr>
      <w:r w:rsidRPr="005134A8">
        <w:rPr>
          <w:b/>
          <w:sz w:val="24"/>
          <w:szCs w:val="24"/>
        </w:rPr>
        <w:t>9.</w:t>
      </w:r>
      <w:r w:rsidRPr="005134A8">
        <w:rPr>
          <w:b/>
          <w:sz w:val="24"/>
          <w:szCs w:val="24"/>
        </w:rPr>
        <w:tab/>
        <w:t>DATO FOR FØRSTE MARKEDSFØRINGSTILLADELSE</w:t>
      </w:r>
    </w:p>
    <w:p w:rsidR="00E92990" w:rsidRPr="005134A8" w:rsidRDefault="00E92990" w:rsidP="00E92990">
      <w:pPr>
        <w:tabs>
          <w:tab w:val="left" w:pos="851"/>
        </w:tabs>
        <w:rPr>
          <w:sz w:val="24"/>
          <w:szCs w:val="24"/>
        </w:rPr>
      </w:pPr>
      <w:r w:rsidRPr="005134A8">
        <w:rPr>
          <w:sz w:val="24"/>
          <w:szCs w:val="24"/>
        </w:rPr>
        <w:tab/>
      </w:r>
      <w:r>
        <w:rPr>
          <w:sz w:val="24"/>
          <w:szCs w:val="24"/>
        </w:rPr>
        <w:t>19. juni 2012</w:t>
      </w:r>
    </w:p>
    <w:p w:rsidR="00E92990" w:rsidRPr="005134A8" w:rsidRDefault="00E92990" w:rsidP="00E92990">
      <w:pPr>
        <w:tabs>
          <w:tab w:val="left" w:pos="851"/>
        </w:tabs>
        <w:rPr>
          <w:sz w:val="24"/>
          <w:szCs w:val="24"/>
        </w:rPr>
      </w:pPr>
    </w:p>
    <w:p w:rsidR="00E92990" w:rsidRPr="005134A8" w:rsidRDefault="00E92990" w:rsidP="00E92990">
      <w:pPr>
        <w:tabs>
          <w:tab w:val="left" w:pos="851"/>
        </w:tabs>
        <w:rPr>
          <w:b/>
          <w:sz w:val="24"/>
          <w:szCs w:val="24"/>
        </w:rPr>
      </w:pPr>
      <w:r w:rsidRPr="005134A8">
        <w:rPr>
          <w:b/>
          <w:sz w:val="24"/>
          <w:szCs w:val="24"/>
        </w:rPr>
        <w:t>10.</w:t>
      </w:r>
      <w:r w:rsidRPr="005134A8">
        <w:rPr>
          <w:b/>
          <w:sz w:val="24"/>
          <w:szCs w:val="24"/>
        </w:rPr>
        <w:tab/>
        <w:t>DATO FOR ÆNDRING AF TEKSTEN</w:t>
      </w:r>
    </w:p>
    <w:p w:rsidR="00E92990" w:rsidRPr="002B5327" w:rsidRDefault="00E92990" w:rsidP="00E92990">
      <w:pPr>
        <w:tabs>
          <w:tab w:val="left" w:pos="851"/>
        </w:tabs>
        <w:rPr>
          <w:sz w:val="24"/>
          <w:szCs w:val="24"/>
        </w:rPr>
      </w:pPr>
      <w:r w:rsidRPr="002B5327">
        <w:rPr>
          <w:sz w:val="24"/>
          <w:szCs w:val="24"/>
        </w:rPr>
        <w:tab/>
      </w:r>
      <w:r w:rsidR="00263756" w:rsidRPr="00263756">
        <w:rPr>
          <w:sz w:val="24"/>
          <w:szCs w:val="24"/>
        </w:rPr>
        <w:t>18. august 2023</w:t>
      </w:r>
    </w:p>
    <w:p w:rsidR="00E92990" w:rsidRPr="00D5493D" w:rsidRDefault="00E92990" w:rsidP="00E92990"/>
    <w:p w:rsidR="009260DE" w:rsidRPr="00E92990" w:rsidRDefault="009260DE" w:rsidP="00E92990"/>
    <w:sectPr w:rsidR="009260DE" w:rsidRPr="00E9299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756" w:rsidRDefault="00263756">
      <w:r>
        <w:separator/>
      </w:r>
    </w:p>
  </w:endnote>
  <w:endnote w:type="continuationSeparator" w:id="0">
    <w:p w:rsidR="00263756" w:rsidRDefault="0026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756" w:rsidRDefault="00263756">
    <w:pPr>
      <w:pStyle w:val="Sidefod"/>
      <w:pBdr>
        <w:bottom w:val="single" w:sz="6" w:space="1" w:color="auto"/>
      </w:pBdr>
    </w:pPr>
  </w:p>
  <w:p w:rsidR="00263756" w:rsidRDefault="00263756" w:rsidP="00C42586">
    <w:pPr>
      <w:pStyle w:val="Sidefod"/>
      <w:tabs>
        <w:tab w:val="clear" w:pos="4819"/>
        <w:tab w:val="left" w:pos="8505"/>
      </w:tabs>
      <w:rPr>
        <w:i/>
        <w:sz w:val="18"/>
        <w:szCs w:val="18"/>
      </w:rPr>
    </w:pPr>
  </w:p>
  <w:p w:rsidR="00263756" w:rsidRPr="00B373D7" w:rsidRDefault="0026375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Boostrix Polio, injektionsvæske, suspension, fyldt injektionssprøjte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756" w:rsidRDefault="00263756">
      <w:r>
        <w:separator/>
      </w:r>
    </w:p>
  </w:footnote>
  <w:footnote w:type="continuationSeparator" w:id="0">
    <w:p w:rsidR="00263756" w:rsidRDefault="002637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28A0"/>
    <w:multiLevelType w:val="hybridMultilevel"/>
    <w:tmpl w:val="B15E14D6"/>
    <w:lvl w:ilvl="0" w:tplc="C30C5DE0">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F7F4843"/>
    <w:multiLevelType w:val="hybridMultilevel"/>
    <w:tmpl w:val="DB32B566"/>
    <w:lvl w:ilvl="0" w:tplc="1D3874C4">
      <w:start w:val="4"/>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A799A"/>
    <w:multiLevelType w:val="hybridMultilevel"/>
    <w:tmpl w:val="D48C9A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66C5A10"/>
    <w:multiLevelType w:val="singleLevel"/>
    <w:tmpl w:val="565A4448"/>
    <w:lvl w:ilvl="0">
      <w:start w:val="4"/>
      <w:numFmt w:val="bullet"/>
      <w:lvlText w:val="-"/>
      <w:lvlJc w:val="left"/>
      <w:pPr>
        <w:tabs>
          <w:tab w:val="num" w:pos="1301"/>
        </w:tabs>
        <w:ind w:left="1301" w:hanging="45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90"/>
    <w:rsid w:val="000259B9"/>
    <w:rsid w:val="00041491"/>
    <w:rsid w:val="00050D16"/>
    <w:rsid w:val="00074F2A"/>
    <w:rsid w:val="00096BAD"/>
    <w:rsid w:val="000A1CA8"/>
    <w:rsid w:val="000A466B"/>
    <w:rsid w:val="000B058C"/>
    <w:rsid w:val="000E4EE6"/>
    <w:rsid w:val="000F19EC"/>
    <w:rsid w:val="001454E2"/>
    <w:rsid w:val="001F73B4"/>
    <w:rsid w:val="00206CE8"/>
    <w:rsid w:val="0021526C"/>
    <w:rsid w:val="00263756"/>
    <w:rsid w:val="00265172"/>
    <w:rsid w:val="00283A2B"/>
    <w:rsid w:val="00292838"/>
    <w:rsid w:val="002B30AD"/>
    <w:rsid w:val="002C2C01"/>
    <w:rsid w:val="00340230"/>
    <w:rsid w:val="003A29AE"/>
    <w:rsid w:val="003A32D7"/>
    <w:rsid w:val="003B4074"/>
    <w:rsid w:val="003C769A"/>
    <w:rsid w:val="003F1838"/>
    <w:rsid w:val="003F43EE"/>
    <w:rsid w:val="00450AF4"/>
    <w:rsid w:val="0045746C"/>
    <w:rsid w:val="004732C5"/>
    <w:rsid w:val="0049104B"/>
    <w:rsid w:val="004E3B12"/>
    <w:rsid w:val="00510ED6"/>
    <w:rsid w:val="00511BF5"/>
    <w:rsid w:val="00532310"/>
    <w:rsid w:val="00560ECC"/>
    <w:rsid w:val="00565F0F"/>
    <w:rsid w:val="00594A86"/>
    <w:rsid w:val="00596864"/>
    <w:rsid w:val="00596D86"/>
    <w:rsid w:val="006019C2"/>
    <w:rsid w:val="00637F5A"/>
    <w:rsid w:val="006560B1"/>
    <w:rsid w:val="006756DD"/>
    <w:rsid w:val="00695CFD"/>
    <w:rsid w:val="006C1869"/>
    <w:rsid w:val="00737275"/>
    <w:rsid w:val="00740EEC"/>
    <w:rsid w:val="0078011A"/>
    <w:rsid w:val="00782AF4"/>
    <w:rsid w:val="00790EE7"/>
    <w:rsid w:val="007A2CCB"/>
    <w:rsid w:val="007B5B08"/>
    <w:rsid w:val="007B6649"/>
    <w:rsid w:val="00805520"/>
    <w:rsid w:val="0081546F"/>
    <w:rsid w:val="0082576E"/>
    <w:rsid w:val="008E706A"/>
    <w:rsid w:val="00907F75"/>
    <w:rsid w:val="009260DE"/>
    <w:rsid w:val="0093258A"/>
    <w:rsid w:val="009A4BC8"/>
    <w:rsid w:val="009C7BA3"/>
    <w:rsid w:val="009D1F5A"/>
    <w:rsid w:val="00A02039"/>
    <w:rsid w:val="00A55EFE"/>
    <w:rsid w:val="00A66A87"/>
    <w:rsid w:val="00AD5C59"/>
    <w:rsid w:val="00B003BF"/>
    <w:rsid w:val="00B03EFE"/>
    <w:rsid w:val="00B10EA7"/>
    <w:rsid w:val="00B373D7"/>
    <w:rsid w:val="00B93098"/>
    <w:rsid w:val="00C057A1"/>
    <w:rsid w:val="00C21EA4"/>
    <w:rsid w:val="00C36276"/>
    <w:rsid w:val="00C42586"/>
    <w:rsid w:val="00C60CCD"/>
    <w:rsid w:val="00C84483"/>
    <w:rsid w:val="00C95551"/>
    <w:rsid w:val="00CB20D7"/>
    <w:rsid w:val="00CB70C7"/>
    <w:rsid w:val="00D020B0"/>
    <w:rsid w:val="00D11748"/>
    <w:rsid w:val="00D366CF"/>
    <w:rsid w:val="00E108AA"/>
    <w:rsid w:val="00E31812"/>
    <w:rsid w:val="00E3749A"/>
    <w:rsid w:val="00E7437F"/>
    <w:rsid w:val="00E865B8"/>
    <w:rsid w:val="00E92990"/>
    <w:rsid w:val="00E97D19"/>
    <w:rsid w:val="00EA63DF"/>
    <w:rsid w:val="00EC0B9B"/>
    <w:rsid w:val="00ED5E9F"/>
    <w:rsid w:val="00F14E27"/>
    <w:rsid w:val="00F34FD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51E57B8D"/>
  <w15:chartTrackingRefBased/>
  <w15:docId w15:val="{1753C0E1-3700-4862-809A-BC2648CC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E92990"/>
    <w:pPr>
      <w:ind w:left="851"/>
    </w:pPr>
    <w:rPr>
      <w:sz w:val="24"/>
      <w:lang w:eastAsia="da-DK"/>
    </w:rPr>
  </w:style>
  <w:style w:type="character" w:customStyle="1" w:styleId="Brdtekstindrykning2Tegn">
    <w:name w:val="Brødtekstindrykning 2 Tegn"/>
    <w:basedOn w:val="Standardskrifttypeiafsnit"/>
    <w:link w:val="Brdtekstindrykning2"/>
    <w:semiHidden/>
    <w:rsid w:val="00E92990"/>
    <w:rPr>
      <w:sz w:val="24"/>
    </w:rPr>
  </w:style>
  <w:style w:type="paragraph" w:styleId="Slutnotetekst">
    <w:name w:val="endnote text"/>
    <w:basedOn w:val="Normal"/>
    <w:link w:val="SlutnotetekstTegn"/>
    <w:semiHidden/>
    <w:rsid w:val="003F43EE"/>
    <w:pPr>
      <w:widowControl w:val="0"/>
      <w:tabs>
        <w:tab w:val="left" w:pos="567"/>
      </w:tabs>
    </w:pPr>
    <w:rPr>
      <w:sz w:val="22"/>
      <w:lang w:eastAsia="da-DK"/>
    </w:rPr>
  </w:style>
  <w:style w:type="character" w:customStyle="1" w:styleId="SlutnotetekstTegn">
    <w:name w:val="Slutnotetekst Tegn"/>
    <w:basedOn w:val="Standardskrifttypeiafsnit"/>
    <w:link w:val="Slutnotetekst"/>
    <w:semiHidden/>
    <w:rsid w:val="003F43EE"/>
    <w:rPr>
      <w:sz w:val="22"/>
    </w:rPr>
  </w:style>
  <w:style w:type="paragraph" w:styleId="Listeafsnit">
    <w:name w:val="List Paragraph"/>
    <w:basedOn w:val="Normal"/>
    <w:uiPriority w:val="34"/>
    <w:qFormat/>
    <w:rsid w:val="003F43EE"/>
    <w:pPr>
      <w:ind w:left="720"/>
      <w:contextualSpacing/>
    </w:pPr>
  </w:style>
  <w:style w:type="character" w:styleId="Hyperlink">
    <w:name w:val="Hyperlink"/>
    <w:basedOn w:val="Standardskrifttypeiafsnit"/>
    <w:uiPriority w:val="99"/>
    <w:unhideWhenUsed/>
    <w:rsid w:val="003F43EE"/>
    <w:rPr>
      <w:color w:val="0563C1" w:themeColor="hyperlink"/>
      <w:u w:val="single"/>
    </w:rPr>
  </w:style>
  <w:style w:type="character" w:styleId="Ulstomtale">
    <w:name w:val="Unresolved Mention"/>
    <w:basedOn w:val="Standardskrifttypeiafsnit"/>
    <w:uiPriority w:val="99"/>
    <w:semiHidden/>
    <w:unhideWhenUsed/>
    <w:rsid w:val="003F4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2951668">
      <w:bodyDiv w:val="1"/>
      <w:marLeft w:val="0"/>
      <w:marRight w:val="0"/>
      <w:marTop w:val="0"/>
      <w:marBottom w:val="0"/>
      <w:divBdr>
        <w:top w:val="none" w:sz="0" w:space="0" w:color="auto"/>
        <w:left w:val="none" w:sz="0" w:space="0" w:color="auto"/>
        <w:bottom w:val="none" w:sz="0" w:space="0" w:color="auto"/>
        <w:right w:val="none" w:sz="0" w:space="0" w:color="auto"/>
      </w:divBdr>
    </w:div>
    <w:div w:id="808716208">
      <w:bodyDiv w:val="1"/>
      <w:marLeft w:val="0"/>
      <w:marRight w:val="0"/>
      <w:marTop w:val="0"/>
      <w:marBottom w:val="0"/>
      <w:divBdr>
        <w:top w:val="none" w:sz="0" w:space="0" w:color="auto"/>
        <w:left w:val="none" w:sz="0" w:space="0" w:color="auto"/>
        <w:bottom w:val="none" w:sz="0" w:space="0" w:color="auto"/>
        <w:right w:val="none" w:sz="0" w:space="0" w:color="auto"/>
      </w:divBdr>
    </w:div>
    <w:div w:id="1085951978">
      <w:bodyDiv w:val="1"/>
      <w:marLeft w:val="0"/>
      <w:marRight w:val="0"/>
      <w:marTop w:val="0"/>
      <w:marBottom w:val="0"/>
      <w:divBdr>
        <w:top w:val="none" w:sz="0" w:space="0" w:color="auto"/>
        <w:left w:val="none" w:sz="0" w:space="0" w:color="auto"/>
        <w:bottom w:val="none" w:sz="0" w:space="0" w:color="auto"/>
        <w:right w:val="none" w:sz="0" w:space="0" w:color="auto"/>
      </w:divBdr>
    </w:div>
    <w:div w:id="13624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15</Pages>
  <Words>4137</Words>
  <Characters>26758</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2023033297_x000d_
SPC pkt. 6.5, 6.6</dc:description>
  <cp:lastModifiedBy>Betty Winther Andersen</cp:lastModifiedBy>
  <cp:revision>4</cp:revision>
  <cp:lastPrinted>2012-08-22T08:53:00Z</cp:lastPrinted>
  <dcterms:created xsi:type="dcterms:W3CDTF">2023-08-16T09:32:00Z</dcterms:created>
  <dcterms:modified xsi:type="dcterms:W3CDTF">2023-08-16T09:46:00Z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